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diagrams/colors1.xml" ContentType="application/vnd.openxmlformats-officedocument.drawingml.diagramColors+xml"/>
  <Override PartName="/word/diagrams/layout1.xml" ContentType="application/vnd.openxmlformats-officedocument.drawingml.diagramLayout+xml"/>
  <Override PartName="/word/diagrams/drawing1.xml" ContentType="application/vnd.ms-office.drawingml.diagramDrawing+xml"/>
  <Override PartName="/word/diagrams/quickStyle1.xml" ContentType="application/vnd.openxmlformats-officedocument.drawingml.diagramStyle+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04D" w:rsidRPr="00A36E49" w:rsidRDefault="00CE6991" w:rsidP="005A504D">
      <w:pPr>
        <w:jc w:val="center"/>
        <w:rPr>
          <w:rFonts w:ascii="Times New Roman" w:hAnsi="Times New Roman"/>
          <w:b/>
          <w:sz w:val="28"/>
          <w:szCs w:val="28"/>
          <w:lang w:val="es-AR"/>
        </w:rPr>
      </w:pPr>
      <w:r>
        <w:rPr>
          <w:rFonts w:ascii="Times New Roman" w:hAnsi="Times New Roman"/>
          <w:b/>
          <w:sz w:val="28"/>
          <w:szCs w:val="28"/>
          <w:lang w:val="es-AR"/>
        </w:rPr>
        <w:t xml:space="preserve"> </w:t>
      </w:r>
      <w:r w:rsidR="001B1BB1">
        <w:rPr>
          <w:rFonts w:ascii="Times New Roman" w:hAnsi="Times New Roman"/>
          <w:b/>
          <w:sz w:val="28"/>
          <w:szCs w:val="28"/>
          <w:lang w:val="es-AR"/>
        </w:rPr>
        <w:t xml:space="preserve">  </w:t>
      </w:r>
      <w:r w:rsidR="009142D5">
        <w:rPr>
          <w:rFonts w:ascii="Times New Roman" w:hAnsi="Times New Roman"/>
          <w:b/>
          <w:sz w:val="28"/>
          <w:szCs w:val="28"/>
          <w:lang w:val="es-AR"/>
        </w:rPr>
        <w:t xml:space="preserve"> </w:t>
      </w:r>
      <w:r w:rsidR="005A504D" w:rsidRPr="00A36E49">
        <w:rPr>
          <w:rFonts w:ascii="Times New Roman" w:hAnsi="Times New Roman"/>
          <w:b/>
          <w:sz w:val="28"/>
          <w:szCs w:val="28"/>
          <w:lang w:val="es-AR"/>
        </w:rPr>
        <w:t>BANCO INTERAMERICANO DE DESARROLLO</w:t>
      </w:r>
    </w:p>
    <w:p w:rsidR="005A504D" w:rsidRPr="00626FCC" w:rsidRDefault="005A504D" w:rsidP="005A504D">
      <w:pPr>
        <w:rPr>
          <w:rFonts w:ascii="Times New Roman" w:hAnsi="Times New Roman"/>
          <w:b/>
          <w:bCs/>
          <w:smallCaps/>
          <w:sz w:val="24"/>
          <w:szCs w:val="24"/>
          <w:lang w:val="es-NI"/>
        </w:rPr>
      </w:pPr>
    </w:p>
    <w:p w:rsidR="005A504D" w:rsidRPr="00130DE6" w:rsidRDefault="005A504D" w:rsidP="005A504D">
      <w:pPr>
        <w:jc w:val="center"/>
        <w:rPr>
          <w:rFonts w:ascii="Times New Roman" w:hAnsi="Times New Roman"/>
          <w:b/>
          <w:sz w:val="28"/>
          <w:szCs w:val="28"/>
          <w:lang w:val="es-AR"/>
        </w:rPr>
      </w:pPr>
    </w:p>
    <w:p w:rsidR="00130DE6" w:rsidRDefault="00130DE6" w:rsidP="00130DE6">
      <w:pPr>
        <w:jc w:val="center"/>
        <w:rPr>
          <w:rFonts w:ascii="Times New Roman" w:hAnsi="Times New Roman"/>
          <w:b/>
          <w:sz w:val="28"/>
          <w:szCs w:val="28"/>
          <w:lang w:val="es-AR"/>
        </w:rPr>
      </w:pPr>
      <w:r w:rsidRPr="00130DE6">
        <w:rPr>
          <w:rFonts w:ascii="Times New Roman" w:hAnsi="Times New Roman"/>
          <w:b/>
          <w:sz w:val="28"/>
          <w:szCs w:val="28"/>
          <w:lang w:val="es-AR"/>
        </w:rPr>
        <w:t xml:space="preserve">  R</w:t>
      </w:r>
      <w:r>
        <w:rPr>
          <w:rFonts w:ascii="Times New Roman" w:hAnsi="Times New Roman"/>
          <w:b/>
          <w:sz w:val="28"/>
          <w:szCs w:val="28"/>
          <w:lang w:val="es-AR"/>
        </w:rPr>
        <w:t>EPÚBLICA DEL ECUADOR</w:t>
      </w:r>
    </w:p>
    <w:p w:rsidR="00130DE6" w:rsidRPr="00130DE6" w:rsidRDefault="00130DE6" w:rsidP="00130DE6">
      <w:pPr>
        <w:jc w:val="center"/>
        <w:rPr>
          <w:rFonts w:ascii="Times New Roman" w:hAnsi="Times New Roman"/>
          <w:b/>
          <w:sz w:val="28"/>
          <w:szCs w:val="28"/>
          <w:lang w:val="es-AR"/>
        </w:rPr>
      </w:pPr>
    </w:p>
    <w:p w:rsidR="005A504D" w:rsidRDefault="005A504D" w:rsidP="005A504D">
      <w:pPr>
        <w:jc w:val="center"/>
        <w:rPr>
          <w:rFonts w:ascii="Times New Roman" w:hAnsi="Times New Roman"/>
          <w:bCs/>
          <w:smallCaps/>
          <w:sz w:val="24"/>
          <w:szCs w:val="24"/>
          <w:lang w:val="es-NI"/>
        </w:rPr>
      </w:pPr>
    </w:p>
    <w:p w:rsidR="00130DE6" w:rsidRDefault="00130DE6" w:rsidP="005A504D">
      <w:pPr>
        <w:jc w:val="center"/>
        <w:rPr>
          <w:rFonts w:ascii="Times New Roman" w:hAnsi="Times New Roman"/>
          <w:bCs/>
          <w:smallCaps/>
          <w:sz w:val="24"/>
          <w:szCs w:val="24"/>
          <w:lang w:val="es-NI"/>
        </w:rPr>
      </w:pPr>
    </w:p>
    <w:p w:rsidR="005A504D" w:rsidRDefault="000F573F" w:rsidP="005A504D">
      <w:pPr>
        <w:jc w:val="center"/>
        <w:rPr>
          <w:rFonts w:ascii="Times New Roman" w:hAnsi="Times New Roman"/>
          <w:bCs/>
          <w:smallCaps/>
          <w:sz w:val="28"/>
          <w:szCs w:val="28"/>
          <w:lang w:val="es-NI"/>
        </w:rPr>
      </w:pPr>
      <w:r w:rsidRPr="005C396F">
        <w:rPr>
          <w:rFonts w:cs="Arial"/>
          <w:smallCaps/>
          <w:sz w:val="28"/>
          <w:szCs w:val="28"/>
          <w:lang w:val="es-ES"/>
        </w:rPr>
        <w:t xml:space="preserve">Programa </w:t>
      </w:r>
      <w:r w:rsidR="00A873ED">
        <w:rPr>
          <w:rFonts w:cs="Arial"/>
          <w:smallCaps/>
          <w:sz w:val="28"/>
          <w:szCs w:val="28"/>
          <w:lang w:val="es-ES"/>
        </w:rPr>
        <w:t xml:space="preserve">De </w:t>
      </w:r>
      <w:bookmarkStart w:id="0" w:name="_GoBack"/>
      <w:bookmarkEnd w:id="0"/>
      <w:r w:rsidRPr="005C396F">
        <w:rPr>
          <w:rFonts w:cs="Arial"/>
          <w:smallCaps/>
          <w:sz w:val="28"/>
          <w:lang w:val="es-ES"/>
        </w:rPr>
        <w:t>Fortalecimiento del Sistema Nacional de Alerta Temprana</w:t>
      </w:r>
      <w:r w:rsidRPr="005C396F" w:rsidDel="000F573F">
        <w:rPr>
          <w:rFonts w:ascii="Times New Roman" w:hAnsi="Times New Roman"/>
          <w:bCs/>
          <w:smallCaps/>
          <w:sz w:val="28"/>
          <w:szCs w:val="28"/>
          <w:lang w:val="es-NI"/>
        </w:rPr>
        <w:t xml:space="preserve"> </w:t>
      </w:r>
    </w:p>
    <w:p w:rsidR="00130DE6" w:rsidRDefault="00130DE6" w:rsidP="005A504D">
      <w:pPr>
        <w:jc w:val="center"/>
        <w:rPr>
          <w:rFonts w:ascii="Times New Roman" w:hAnsi="Times New Roman"/>
          <w:bCs/>
          <w:smallCaps/>
          <w:sz w:val="28"/>
          <w:szCs w:val="28"/>
          <w:lang w:val="es-NI"/>
        </w:rPr>
      </w:pPr>
    </w:p>
    <w:p w:rsidR="00130DE6" w:rsidRPr="00130DE6" w:rsidRDefault="00130DE6" w:rsidP="005A504D">
      <w:pPr>
        <w:jc w:val="center"/>
        <w:rPr>
          <w:rFonts w:ascii="Times New Roman" w:hAnsi="Times New Roman"/>
          <w:bCs/>
          <w:smallCaps/>
          <w:sz w:val="28"/>
          <w:szCs w:val="28"/>
          <w:lang w:val="es-NI"/>
        </w:rPr>
      </w:pPr>
    </w:p>
    <w:p w:rsidR="005A504D" w:rsidRPr="00130DE6" w:rsidRDefault="00F5069D" w:rsidP="005A504D">
      <w:pPr>
        <w:jc w:val="center"/>
        <w:rPr>
          <w:rFonts w:ascii="Times New Roman" w:hAnsi="Times New Roman"/>
          <w:bCs/>
          <w:smallCaps/>
          <w:sz w:val="28"/>
          <w:szCs w:val="28"/>
          <w:lang w:val="es-ES_tradnl"/>
        </w:rPr>
      </w:pPr>
      <w:r w:rsidRPr="00130DE6">
        <w:rPr>
          <w:rFonts w:ascii="Times New Roman" w:hAnsi="Times New Roman"/>
          <w:bCs/>
          <w:smallCaps/>
          <w:sz w:val="28"/>
          <w:szCs w:val="28"/>
          <w:lang w:val="es-ES_tradnl"/>
        </w:rPr>
        <w:t>EC</w:t>
      </w:r>
      <w:r w:rsidR="005A504D" w:rsidRPr="00130DE6">
        <w:rPr>
          <w:rFonts w:ascii="Times New Roman" w:hAnsi="Times New Roman"/>
          <w:bCs/>
          <w:smallCaps/>
          <w:sz w:val="28"/>
          <w:szCs w:val="28"/>
          <w:lang w:val="es-ES_tradnl"/>
        </w:rPr>
        <w:t>-L1</w:t>
      </w:r>
      <w:r w:rsidRPr="00130DE6">
        <w:rPr>
          <w:rFonts w:ascii="Times New Roman" w:hAnsi="Times New Roman"/>
          <w:bCs/>
          <w:smallCaps/>
          <w:sz w:val="28"/>
          <w:szCs w:val="28"/>
          <w:lang w:val="es-ES_tradnl"/>
        </w:rPr>
        <w:t>221</w:t>
      </w:r>
    </w:p>
    <w:p w:rsidR="005A504D" w:rsidRPr="00130DE6" w:rsidRDefault="005A504D" w:rsidP="005A504D">
      <w:pPr>
        <w:rPr>
          <w:rFonts w:ascii="Times New Roman" w:hAnsi="Times New Roman"/>
          <w:sz w:val="28"/>
          <w:szCs w:val="28"/>
          <w:lang w:val="es-AR"/>
        </w:rPr>
      </w:pPr>
    </w:p>
    <w:p w:rsidR="005A504D" w:rsidRPr="00130DE6" w:rsidRDefault="005A504D" w:rsidP="005A504D">
      <w:pPr>
        <w:rPr>
          <w:rFonts w:ascii="Times New Roman" w:hAnsi="Times New Roman"/>
          <w:sz w:val="28"/>
          <w:szCs w:val="28"/>
          <w:lang w:val="es-AR"/>
        </w:rPr>
      </w:pPr>
    </w:p>
    <w:p w:rsidR="005A504D" w:rsidRPr="00130DE6" w:rsidRDefault="005A504D" w:rsidP="005A504D">
      <w:pPr>
        <w:rPr>
          <w:rFonts w:ascii="Times New Roman" w:hAnsi="Times New Roman"/>
          <w:sz w:val="28"/>
          <w:szCs w:val="28"/>
          <w:lang w:val="es-AR"/>
        </w:rPr>
      </w:pPr>
    </w:p>
    <w:p w:rsidR="005A504D" w:rsidRPr="00130DE6" w:rsidRDefault="005A504D" w:rsidP="005A504D">
      <w:pPr>
        <w:rPr>
          <w:rFonts w:ascii="Times New Roman" w:hAnsi="Times New Roman"/>
          <w:sz w:val="28"/>
          <w:szCs w:val="28"/>
          <w:lang w:val="es-AR"/>
        </w:rPr>
      </w:pPr>
    </w:p>
    <w:p w:rsidR="005A504D" w:rsidRPr="00455FC7" w:rsidRDefault="005A504D" w:rsidP="005A504D">
      <w:pPr>
        <w:rPr>
          <w:rFonts w:ascii="Times New Roman" w:hAnsi="Times New Roman"/>
          <w:sz w:val="28"/>
          <w:szCs w:val="28"/>
          <w:lang w:val="es-AR"/>
        </w:rPr>
      </w:pPr>
    </w:p>
    <w:p w:rsidR="00130DE6" w:rsidRDefault="00130DE6" w:rsidP="00130DE6">
      <w:pPr>
        <w:ind w:firstLine="3"/>
        <w:jc w:val="center"/>
        <w:rPr>
          <w:rFonts w:ascii="Times New Roman" w:hAnsi="Times New Roman"/>
          <w:bCs/>
          <w:smallCaps/>
          <w:sz w:val="24"/>
          <w:szCs w:val="24"/>
          <w:lang w:val="es-AR"/>
        </w:rPr>
      </w:pPr>
      <w:r w:rsidRPr="00130DE6">
        <w:rPr>
          <w:rFonts w:ascii="Times New Roman" w:hAnsi="Times New Roman"/>
          <w:bCs/>
          <w:smallCaps/>
          <w:sz w:val="24"/>
          <w:szCs w:val="24"/>
          <w:lang w:val="es-AR"/>
        </w:rPr>
        <w:t xml:space="preserve">Evaluación </w:t>
      </w:r>
      <w:r w:rsidR="00837476">
        <w:rPr>
          <w:rFonts w:ascii="Times New Roman" w:hAnsi="Times New Roman"/>
          <w:bCs/>
          <w:smallCaps/>
          <w:sz w:val="24"/>
          <w:szCs w:val="24"/>
          <w:lang w:val="es-AR"/>
        </w:rPr>
        <w:t>e</w:t>
      </w:r>
      <w:r w:rsidRPr="00130DE6">
        <w:rPr>
          <w:rFonts w:ascii="Times New Roman" w:hAnsi="Times New Roman"/>
          <w:bCs/>
          <w:smallCaps/>
          <w:sz w:val="24"/>
          <w:szCs w:val="24"/>
          <w:lang w:val="es-AR"/>
        </w:rPr>
        <w:t xml:space="preserve">conómica </w:t>
      </w:r>
      <w:r w:rsidR="00267C2C">
        <w:rPr>
          <w:rFonts w:ascii="Times New Roman" w:hAnsi="Times New Roman"/>
          <w:bCs/>
          <w:smallCaps/>
          <w:sz w:val="24"/>
          <w:szCs w:val="24"/>
          <w:lang w:val="es-AR"/>
        </w:rPr>
        <w:t xml:space="preserve"> </w:t>
      </w:r>
      <w:r w:rsidR="00837476">
        <w:rPr>
          <w:rFonts w:ascii="Times New Roman" w:hAnsi="Times New Roman"/>
          <w:bCs/>
          <w:smallCaps/>
          <w:sz w:val="24"/>
          <w:szCs w:val="24"/>
          <w:lang w:val="es-AR"/>
        </w:rPr>
        <w:t>ex a</w:t>
      </w:r>
      <w:r w:rsidR="00267C2C">
        <w:rPr>
          <w:rFonts w:ascii="Times New Roman" w:hAnsi="Times New Roman"/>
          <w:bCs/>
          <w:smallCaps/>
          <w:sz w:val="24"/>
          <w:szCs w:val="24"/>
          <w:lang w:val="es-AR"/>
        </w:rPr>
        <w:t>nte</w:t>
      </w:r>
    </w:p>
    <w:p w:rsidR="00267C2C" w:rsidRPr="00130DE6" w:rsidRDefault="00267C2C" w:rsidP="00130DE6">
      <w:pPr>
        <w:ind w:firstLine="3"/>
        <w:jc w:val="center"/>
        <w:rPr>
          <w:rFonts w:ascii="Times New Roman" w:hAnsi="Times New Roman"/>
          <w:bCs/>
          <w:smallCaps/>
          <w:sz w:val="24"/>
          <w:szCs w:val="24"/>
          <w:lang w:val="es-AR"/>
        </w:rPr>
      </w:pPr>
      <w:r>
        <w:rPr>
          <w:rFonts w:ascii="Times New Roman" w:hAnsi="Times New Roman"/>
          <w:bCs/>
          <w:smallCaps/>
          <w:sz w:val="24"/>
          <w:szCs w:val="24"/>
          <w:lang w:val="es-AR"/>
        </w:rPr>
        <w:t xml:space="preserve">Documento </w:t>
      </w:r>
      <w:r w:rsidR="00837476">
        <w:rPr>
          <w:rFonts w:ascii="Times New Roman" w:hAnsi="Times New Roman"/>
          <w:bCs/>
          <w:smallCaps/>
          <w:sz w:val="24"/>
          <w:szCs w:val="24"/>
          <w:lang w:val="es-AR"/>
        </w:rPr>
        <w:t xml:space="preserve">final </w:t>
      </w:r>
    </w:p>
    <w:p w:rsidR="005A504D" w:rsidRPr="00130DE6" w:rsidRDefault="005A504D" w:rsidP="005A504D">
      <w:pPr>
        <w:jc w:val="center"/>
        <w:rPr>
          <w:rFonts w:ascii="Times New Roman" w:hAnsi="Times New Roman"/>
          <w:bCs/>
          <w:smallCaps/>
          <w:sz w:val="28"/>
          <w:szCs w:val="28"/>
          <w:lang w:val="es-ES_tradnl"/>
        </w:rPr>
      </w:pPr>
    </w:p>
    <w:p w:rsidR="005A504D" w:rsidRPr="00130DE6" w:rsidRDefault="005A504D" w:rsidP="005A504D">
      <w:pPr>
        <w:jc w:val="center"/>
        <w:rPr>
          <w:rFonts w:ascii="Times New Roman" w:hAnsi="Times New Roman"/>
          <w:bCs/>
          <w:smallCaps/>
          <w:sz w:val="28"/>
          <w:szCs w:val="28"/>
          <w:lang w:val="es-ES_tradnl"/>
        </w:rPr>
      </w:pPr>
    </w:p>
    <w:p w:rsidR="005A504D" w:rsidRDefault="005A504D" w:rsidP="005A504D">
      <w:pPr>
        <w:jc w:val="center"/>
        <w:rPr>
          <w:rFonts w:ascii="Times New Roman" w:hAnsi="Times New Roman"/>
          <w:bCs/>
          <w:smallCaps/>
          <w:color w:val="000000"/>
          <w:sz w:val="28"/>
          <w:szCs w:val="28"/>
          <w:lang w:val="es-ES_tradnl"/>
        </w:rPr>
      </w:pPr>
    </w:p>
    <w:p w:rsidR="00130DE6" w:rsidRDefault="00130DE6" w:rsidP="005A504D">
      <w:pPr>
        <w:jc w:val="center"/>
        <w:rPr>
          <w:rFonts w:ascii="Times New Roman" w:hAnsi="Times New Roman"/>
          <w:bCs/>
          <w:smallCaps/>
          <w:color w:val="000000"/>
          <w:sz w:val="28"/>
          <w:szCs w:val="28"/>
          <w:lang w:val="es-ES_tradnl"/>
        </w:rPr>
      </w:pPr>
    </w:p>
    <w:p w:rsidR="00130DE6" w:rsidRPr="00130DE6" w:rsidRDefault="00130DE6" w:rsidP="005A504D">
      <w:pPr>
        <w:jc w:val="center"/>
        <w:rPr>
          <w:rFonts w:ascii="Times New Roman" w:hAnsi="Times New Roman"/>
          <w:bCs/>
          <w:smallCaps/>
          <w:color w:val="000000"/>
          <w:sz w:val="28"/>
          <w:szCs w:val="28"/>
          <w:lang w:val="es-ES_tradnl"/>
        </w:rPr>
      </w:pPr>
    </w:p>
    <w:p w:rsidR="005A504D" w:rsidRPr="00130DE6" w:rsidRDefault="005A504D" w:rsidP="005A504D">
      <w:pPr>
        <w:jc w:val="center"/>
        <w:rPr>
          <w:rFonts w:ascii="Times New Roman" w:hAnsi="Times New Roman"/>
          <w:bCs/>
          <w:smallCaps/>
          <w:color w:val="000000"/>
          <w:sz w:val="24"/>
          <w:szCs w:val="24"/>
          <w:lang w:val="es-ES_tradnl"/>
        </w:rPr>
      </w:pPr>
      <w:r w:rsidRPr="00130DE6">
        <w:rPr>
          <w:rFonts w:ascii="Times New Roman" w:hAnsi="Times New Roman"/>
          <w:bCs/>
          <w:smallCaps/>
          <w:color w:val="000000"/>
          <w:sz w:val="24"/>
          <w:szCs w:val="24"/>
          <w:lang w:val="es-ES_tradnl"/>
        </w:rPr>
        <w:t xml:space="preserve">Consultoría </w:t>
      </w:r>
      <w:r w:rsidR="00837476">
        <w:rPr>
          <w:rFonts w:ascii="Times New Roman" w:hAnsi="Times New Roman"/>
          <w:bCs/>
          <w:smallCaps/>
          <w:color w:val="000000"/>
          <w:sz w:val="24"/>
          <w:szCs w:val="24"/>
          <w:lang w:val="es-ES_tradnl"/>
        </w:rPr>
        <w:t>i</w:t>
      </w:r>
      <w:r w:rsidR="00837476" w:rsidRPr="00130DE6">
        <w:rPr>
          <w:rFonts w:ascii="Times New Roman" w:hAnsi="Times New Roman"/>
          <w:bCs/>
          <w:smallCaps/>
          <w:color w:val="000000"/>
          <w:sz w:val="24"/>
          <w:szCs w:val="24"/>
          <w:lang w:val="es-ES_tradnl"/>
        </w:rPr>
        <w:t>ndividual</w:t>
      </w:r>
    </w:p>
    <w:p w:rsidR="005A504D" w:rsidRPr="00130DE6" w:rsidRDefault="005A504D" w:rsidP="005A504D">
      <w:pPr>
        <w:rPr>
          <w:rFonts w:ascii="Times New Roman" w:hAnsi="Times New Roman"/>
          <w:sz w:val="24"/>
          <w:szCs w:val="24"/>
          <w:lang w:val="es-AR"/>
        </w:rPr>
      </w:pPr>
    </w:p>
    <w:p w:rsidR="005A504D" w:rsidRDefault="005A504D" w:rsidP="005A504D">
      <w:pPr>
        <w:jc w:val="center"/>
        <w:rPr>
          <w:rFonts w:ascii="Times New Roman" w:hAnsi="Times New Roman"/>
          <w:bCs/>
          <w:smallCaps/>
          <w:sz w:val="24"/>
          <w:szCs w:val="24"/>
          <w:lang w:val="es-ES"/>
        </w:rPr>
      </w:pPr>
    </w:p>
    <w:p w:rsidR="005A504D" w:rsidRDefault="005A504D" w:rsidP="005A504D">
      <w:pPr>
        <w:jc w:val="center"/>
        <w:rPr>
          <w:rFonts w:ascii="Times New Roman" w:hAnsi="Times New Roman"/>
          <w:bCs/>
          <w:smallCaps/>
          <w:sz w:val="24"/>
          <w:szCs w:val="24"/>
          <w:lang w:val="es-ES"/>
        </w:rPr>
      </w:pPr>
    </w:p>
    <w:p w:rsidR="005A504D" w:rsidRDefault="005A504D" w:rsidP="005A504D">
      <w:pPr>
        <w:jc w:val="center"/>
        <w:rPr>
          <w:rFonts w:ascii="Times New Roman" w:hAnsi="Times New Roman"/>
          <w:bCs/>
          <w:smallCaps/>
          <w:sz w:val="24"/>
          <w:szCs w:val="24"/>
          <w:lang w:val="es-ES"/>
        </w:rPr>
      </w:pPr>
    </w:p>
    <w:p w:rsidR="005A504D" w:rsidRDefault="005A504D" w:rsidP="005A504D">
      <w:pPr>
        <w:jc w:val="center"/>
        <w:rPr>
          <w:rFonts w:ascii="Times New Roman" w:hAnsi="Times New Roman"/>
          <w:bCs/>
          <w:smallCaps/>
          <w:sz w:val="24"/>
          <w:szCs w:val="24"/>
          <w:lang w:val="es-ES"/>
        </w:rPr>
      </w:pPr>
    </w:p>
    <w:p w:rsidR="005A504D" w:rsidRDefault="005A504D" w:rsidP="005A504D">
      <w:pPr>
        <w:jc w:val="center"/>
        <w:rPr>
          <w:rFonts w:ascii="Times New Roman" w:hAnsi="Times New Roman"/>
          <w:bCs/>
          <w:smallCaps/>
          <w:sz w:val="24"/>
          <w:szCs w:val="24"/>
          <w:lang w:val="es-ES"/>
        </w:rPr>
      </w:pPr>
      <w:r>
        <w:rPr>
          <w:rFonts w:ascii="Times New Roman" w:hAnsi="Times New Roman"/>
          <w:bCs/>
          <w:smallCaps/>
          <w:sz w:val="24"/>
          <w:szCs w:val="24"/>
          <w:lang w:val="es-ES"/>
        </w:rPr>
        <w:t xml:space="preserve">Consultor </w:t>
      </w:r>
      <w:r w:rsidR="00837476">
        <w:rPr>
          <w:rFonts w:ascii="Times New Roman" w:hAnsi="Times New Roman"/>
          <w:bCs/>
          <w:smallCaps/>
          <w:sz w:val="24"/>
          <w:szCs w:val="24"/>
          <w:lang w:val="es-ES"/>
        </w:rPr>
        <w:t>económico</w:t>
      </w:r>
      <w:r w:rsidRPr="00626FCC">
        <w:rPr>
          <w:rFonts w:ascii="Times New Roman" w:hAnsi="Times New Roman"/>
          <w:bCs/>
          <w:smallCaps/>
          <w:sz w:val="24"/>
          <w:szCs w:val="24"/>
          <w:lang w:val="es-ES"/>
        </w:rPr>
        <w:t>: Jorge Marcelo Mendoza</w:t>
      </w:r>
    </w:p>
    <w:p w:rsidR="005A504D" w:rsidRDefault="005A504D" w:rsidP="005A504D">
      <w:pPr>
        <w:jc w:val="center"/>
        <w:rPr>
          <w:rFonts w:ascii="Times New Roman" w:hAnsi="Times New Roman"/>
          <w:bCs/>
          <w:smallCaps/>
          <w:sz w:val="24"/>
          <w:szCs w:val="24"/>
          <w:lang w:val="es-ES"/>
        </w:rPr>
      </w:pPr>
    </w:p>
    <w:p w:rsidR="005A504D" w:rsidRPr="00626FCC" w:rsidRDefault="00F5069D" w:rsidP="005A504D">
      <w:pPr>
        <w:jc w:val="center"/>
        <w:rPr>
          <w:rFonts w:ascii="Times New Roman" w:hAnsi="Times New Roman"/>
          <w:bCs/>
          <w:smallCaps/>
          <w:sz w:val="24"/>
          <w:szCs w:val="24"/>
          <w:lang w:val="es-ES"/>
        </w:rPr>
      </w:pPr>
      <w:r>
        <w:rPr>
          <w:rFonts w:ascii="Times New Roman" w:hAnsi="Times New Roman"/>
          <w:bCs/>
          <w:smallCaps/>
          <w:sz w:val="24"/>
          <w:szCs w:val="24"/>
          <w:lang w:val="es-ES"/>
        </w:rPr>
        <w:t>Quito</w:t>
      </w:r>
      <w:r w:rsidR="005A504D" w:rsidRPr="007462AB">
        <w:rPr>
          <w:rFonts w:ascii="Times New Roman" w:hAnsi="Times New Roman"/>
          <w:bCs/>
          <w:smallCaps/>
          <w:sz w:val="24"/>
          <w:szCs w:val="24"/>
          <w:lang w:val="es-ES"/>
        </w:rPr>
        <w:t xml:space="preserve">,  </w:t>
      </w:r>
      <w:r>
        <w:rPr>
          <w:rFonts w:ascii="Times New Roman" w:hAnsi="Times New Roman"/>
          <w:bCs/>
          <w:smallCaps/>
          <w:sz w:val="24"/>
          <w:szCs w:val="24"/>
          <w:lang w:val="es-ES"/>
        </w:rPr>
        <w:t xml:space="preserve">República </w:t>
      </w:r>
      <w:r w:rsidR="00DC5AA2">
        <w:rPr>
          <w:rFonts w:ascii="Times New Roman" w:hAnsi="Times New Roman"/>
          <w:bCs/>
          <w:smallCaps/>
          <w:sz w:val="24"/>
          <w:szCs w:val="24"/>
          <w:lang w:val="es-ES"/>
        </w:rPr>
        <w:t>de</w:t>
      </w:r>
      <w:r>
        <w:rPr>
          <w:rFonts w:ascii="Times New Roman" w:hAnsi="Times New Roman"/>
          <w:bCs/>
          <w:smallCaps/>
          <w:sz w:val="24"/>
          <w:szCs w:val="24"/>
          <w:lang w:val="es-ES"/>
        </w:rPr>
        <w:t>l Ecuador</w:t>
      </w:r>
    </w:p>
    <w:p w:rsidR="005A504D" w:rsidRDefault="00483711" w:rsidP="00483711">
      <w:pPr>
        <w:tabs>
          <w:tab w:val="left" w:pos="2714"/>
        </w:tabs>
        <w:rPr>
          <w:rFonts w:ascii="Times New Roman" w:hAnsi="Times New Roman"/>
          <w:bCs/>
          <w:smallCaps/>
          <w:sz w:val="24"/>
          <w:szCs w:val="24"/>
          <w:lang w:val="es-ES"/>
        </w:rPr>
      </w:pPr>
      <w:r>
        <w:rPr>
          <w:rFonts w:ascii="Times New Roman" w:hAnsi="Times New Roman"/>
          <w:bCs/>
          <w:smallCaps/>
          <w:sz w:val="24"/>
          <w:szCs w:val="24"/>
          <w:lang w:val="es-ES"/>
        </w:rPr>
        <w:tab/>
      </w:r>
    </w:p>
    <w:p w:rsidR="005A504D" w:rsidRDefault="005A504D" w:rsidP="005A504D">
      <w:pPr>
        <w:jc w:val="center"/>
        <w:rPr>
          <w:rFonts w:ascii="Times New Roman" w:hAnsi="Times New Roman"/>
          <w:bCs/>
          <w:smallCaps/>
          <w:sz w:val="24"/>
          <w:szCs w:val="24"/>
          <w:lang w:val="es-ES"/>
        </w:rPr>
      </w:pPr>
    </w:p>
    <w:p w:rsidR="00437F64" w:rsidRDefault="00437F64" w:rsidP="005A504D">
      <w:pPr>
        <w:jc w:val="center"/>
        <w:rPr>
          <w:rFonts w:ascii="Times New Roman" w:hAnsi="Times New Roman"/>
          <w:bCs/>
          <w:smallCaps/>
          <w:sz w:val="24"/>
          <w:szCs w:val="24"/>
          <w:lang w:val="es-ES"/>
        </w:rPr>
      </w:pPr>
    </w:p>
    <w:p w:rsidR="005A504D" w:rsidRPr="00626FCC" w:rsidRDefault="005A504D" w:rsidP="005A504D">
      <w:pPr>
        <w:jc w:val="center"/>
        <w:rPr>
          <w:rFonts w:ascii="Times New Roman" w:hAnsi="Times New Roman"/>
          <w:bCs/>
          <w:smallCaps/>
          <w:sz w:val="24"/>
          <w:szCs w:val="24"/>
          <w:lang w:val="es-ES"/>
        </w:rPr>
      </w:pPr>
    </w:p>
    <w:p w:rsidR="00DF266D" w:rsidRDefault="00DF266D" w:rsidP="005A504D">
      <w:pPr>
        <w:jc w:val="right"/>
        <w:rPr>
          <w:rFonts w:ascii="Times New Roman" w:hAnsi="Times New Roman"/>
          <w:bCs/>
          <w:smallCaps/>
          <w:sz w:val="24"/>
          <w:szCs w:val="24"/>
          <w:lang w:val="es-ES"/>
        </w:rPr>
      </w:pPr>
    </w:p>
    <w:p w:rsidR="005A504D" w:rsidRPr="00626FCC" w:rsidRDefault="000021F9" w:rsidP="005A504D">
      <w:pPr>
        <w:jc w:val="right"/>
        <w:rPr>
          <w:rFonts w:ascii="Times New Roman" w:hAnsi="Times New Roman"/>
          <w:bCs/>
          <w:smallCaps/>
          <w:sz w:val="24"/>
          <w:szCs w:val="24"/>
          <w:lang w:val="es-ES"/>
        </w:rPr>
      </w:pPr>
      <w:r>
        <w:rPr>
          <w:rFonts w:ascii="Times New Roman" w:hAnsi="Times New Roman"/>
          <w:bCs/>
          <w:smallCaps/>
          <w:sz w:val="24"/>
          <w:szCs w:val="24"/>
          <w:lang w:val="es-ES"/>
        </w:rPr>
        <w:t>Noviembre</w:t>
      </w:r>
      <w:r w:rsidR="005A504D">
        <w:rPr>
          <w:rFonts w:ascii="Times New Roman" w:hAnsi="Times New Roman"/>
          <w:bCs/>
          <w:smallCaps/>
          <w:sz w:val="24"/>
          <w:szCs w:val="24"/>
          <w:lang w:val="es-ES"/>
        </w:rPr>
        <w:t xml:space="preserve"> de 2016</w:t>
      </w:r>
    </w:p>
    <w:p w:rsidR="00E13636" w:rsidRPr="00E13636" w:rsidRDefault="00E13636" w:rsidP="00E13636">
      <w:pPr>
        <w:rPr>
          <w:lang w:val="es-AR"/>
        </w:rPr>
      </w:pPr>
    </w:p>
    <w:p w:rsidR="00E13636" w:rsidRDefault="00E13636" w:rsidP="00E13636">
      <w:pPr>
        <w:pStyle w:val="TOCHeading"/>
        <w:tabs>
          <w:tab w:val="left" w:pos="5959"/>
        </w:tabs>
        <w:spacing w:before="0"/>
        <w:ind w:left="357"/>
        <w:jc w:val="left"/>
        <w:rPr>
          <w:lang w:val="es-AR"/>
        </w:rPr>
      </w:pPr>
      <w:r>
        <w:rPr>
          <w:lang w:val="es-AR"/>
        </w:rPr>
        <w:tab/>
      </w:r>
    </w:p>
    <w:p w:rsidR="00685536" w:rsidRPr="00455FC7" w:rsidRDefault="00297479" w:rsidP="008A166B">
      <w:pPr>
        <w:pStyle w:val="TOCHeading"/>
        <w:spacing w:before="0"/>
        <w:ind w:left="357"/>
        <w:rPr>
          <w:rStyle w:val="Hyperlink"/>
          <w:rFonts w:ascii="Times New Roman" w:hAnsi="Times New Roman"/>
          <w:i w:val="0"/>
          <w:caps/>
          <w:color w:val="auto"/>
          <w:sz w:val="20"/>
          <w:u w:val="none"/>
          <w:lang w:val="es-AR"/>
        </w:rPr>
      </w:pPr>
      <w:r w:rsidRPr="00E13636">
        <w:rPr>
          <w:lang w:val="es-AR"/>
        </w:rPr>
        <w:br w:type="page"/>
      </w:r>
      <w:r w:rsidR="009217CE" w:rsidRPr="00297479">
        <w:rPr>
          <w:rStyle w:val="Hyperlink"/>
          <w:rFonts w:ascii="Times New Roman" w:hAnsi="Times New Roman"/>
          <w:i w:val="0"/>
          <w:iCs w:val="0"/>
          <w:caps/>
          <w:noProof/>
          <w:color w:val="auto"/>
          <w:sz w:val="20"/>
          <w:szCs w:val="20"/>
          <w:u w:val="none"/>
          <w:lang w:val="es-AR"/>
        </w:rPr>
        <w:lastRenderedPageBreak/>
        <w:t xml:space="preserve">Índice de </w:t>
      </w:r>
      <w:r w:rsidR="00685536" w:rsidRPr="00297479">
        <w:rPr>
          <w:rStyle w:val="Hyperlink"/>
          <w:rFonts w:ascii="Times New Roman" w:hAnsi="Times New Roman"/>
          <w:i w:val="0"/>
          <w:iCs w:val="0"/>
          <w:caps/>
          <w:noProof/>
          <w:color w:val="auto"/>
          <w:sz w:val="20"/>
          <w:szCs w:val="20"/>
          <w:u w:val="none"/>
          <w:lang w:val="es-AR"/>
        </w:rPr>
        <w:t>Contenido</w:t>
      </w:r>
      <w:r w:rsidR="008A166B">
        <w:rPr>
          <w:rStyle w:val="Hyperlink"/>
          <w:rFonts w:ascii="Times New Roman" w:hAnsi="Times New Roman"/>
          <w:i w:val="0"/>
          <w:iCs w:val="0"/>
          <w:caps/>
          <w:noProof/>
          <w:color w:val="auto"/>
          <w:sz w:val="20"/>
          <w:szCs w:val="20"/>
          <w:u w:val="none"/>
          <w:lang w:val="es-AR"/>
        </w:rPr>
        <w:t xml:space="preserve"> DE</w:t>
      </w:r>
      <w:r w:rsidR="006D0AA1">
        <w:rPr>
          <w:rStyle w:val="Hyperlink"/>
          <w:rFonts w:ascii="Times New Roman" w:hAnsi="Times New Roman"/>
          <w:i w:val="0"/>
          <w:iCs w:val="0"/>
          <w:caps/>
          <w:noProof/>
          <w:color w:val="auto"/>
          <w:sz w:val="20"/>
          <w:szCs w:val="20"/>
          <w:u w:val="none"/>
          <w:lang w:val="es-AR"/>
        </w:rPr>
        <w:t xml:space="preserve"> la Evaluación Económica</w:t>
      </w:r>
    </w:p>
    <w:p w:rsidR="00B037BC" w:rsidRPr="00B037BC" w:rsidRDefault="00B037BC" w:rsidP="00B037BC">
      <w:pPr>
        <w:rPr>
          <w:lang w:val="es-AR"/>
        </w:rPr>
      </w:pPr>
    </w:p>
    <w:p w:rsidR="002E5093" w:rsidRDefault="00081A23">
      <w:pPr>
        <w:pStyle w:val="TOC1"/>
        <w:rPr>
          <w:rStyle w:val="Hyperlink"/>
        </w:rPr>
      </w:pPr>
      <w:r w:rsidRPr="00920B3C">
        <w:rPr>
          <w:lang w:val="es-ES"/>
        </w:rPr>
        <w:fldChar w:fldCharType="begin"/>
      </w:r>
      <w:r w:rsidR="000822B7" w:rsidRPr="00920B3C">
        <w:rPr>
          <w:lang w:val="es-ES"/>
        </w:rPr>
        <w:instrText xml:space="preserve"> TOC \o "1-4" \h \z \u </w:instrText>
      </w:r>
      <w:r w:rsidRPr="00920B3C">
        <w:rPr>
          <w:lang w:val="es-ES"/>
        </w:rPr>
        <w:fldChar w:fldCharType="separate"/>
      </w:r>
      <w:hyperlink w:anchor="_Toc468199822" w:history="1">
        <w:r w:rsidR="002E5093" w:rsidRPr="0081248A">
          <w:rPr>
            <w:rStyle w:val="Hyperlink"/>
          </w:rPr>
          <w:t>RESUMEN EJECUTIVO</w:t>
        </w:r>
        <w:r w:rsidR="002E5093">
          <w:rPr>
            <w:webHidden/>
          </w:rPr>
          <w:tab/>
        </w:r>
        <w:r w:rsidR="002E5093">
          <w:rPr>
            <w:webHidden/>
          </w:rPr>
          <w:fldChar w:fldCharType="begin"/>
        </w:r>
        <w:r w:rsidR="002E5093">
          <w:rPr>
            <w:webHidden/>
          </w:rPr>
          <w:instrText xml:space="preserve"> PAGEREF _Toc468199822 \h </w:instrText>
        </w:r>
        <w:r w:rsidR="002E5093">
          <w:rPr>
            <w:webHidden/>
          </w:rPr>
        </w:r>
        <w:r w:rsidR="002E5093">
          <w:rPr>
            <w:webHidden/>
          </w:rPr>
          <w:fldChar w:fldCharType="separate"/>
        </w:r>
        <w:r w:rsidR="002E5093">
          <w:rPr>
            <w:webHidden/>
          </w:rPr>
          <w:t>4</w:t>
        </w:r>
        <w:r w:rsidR="002E5093">
          <w:rPr>
            <w:webHidden/>
          </w:rPr>
          <w:fldChar w:fldCharType="end"/>
        </w:r>
      </w:hyperlink>
    </w:p>
    <w:p w:rsidR="002E5093" w:rsidRPr="00455FC7" w:rsidRDefault="002E5093" w:rsidP="00455FC7">
      <w:pPr>
        <w:rPr>
          <w:rFonts w:eastAsiaTheme="minorEastAsia"/>
          <w:bCs/>
          <w:caps/>
        </w:rPr>
      </w:pPr>
    </w:p>
    <w:p w:rsidR="002E5093" w:rsidRDefault="00A873ED">
      <w:pPr>
        <w:pStyle w:val="TOC1"/>
        <w:rPr>
          <w:rFonts w:asciiTheme="minorHAnsi" w:eastAsiaTheme="minorEastAsia" w:hAnsiTheme="minorHAnsi" w:cstheme="minorBidi"/>
          <w:bCs w:val="0"/>
          <w:caps w:val="0"/>
          <w:sz w:val="22"/>
          <w:szCs w:val="22"/>
          <w:lang w:val="es-AR" w:eastAsia="es-AR"/>
        </w:rPr>
      </w:pPr>
      <w:hyperlink w:anchor="_Toc468199823" w:history="1">
        <w:r w:rsidR="002E5093" w:rsidRPr="0081248A">
          <w:rPr>
            <w:rStyle w:val="Hyperlink"/>
          </w:rPr>
          <w:t>I.</w:t>
        </w:r>
        <w:r w:rsidR="002E5093">
          <w:rPr>
            <w:rFonts w:asciiTheme="minorHAnsi" w:eastAsiaTheme="minorEastAsia" w:hAnsiTheme="minorHAnsi" w:cstheme="minorBidi"/>
            <w:bCs w:val="0"/>
            <w:caps w:val="0"/>
            <w:sz w:val="22"/>
            <w:szCs w:val="22"/>
            <w:lang w:val="es-AR" w:eastAsia="es-AR"/>
          </w:rPr>
          <w:tab/>
        </w:r>
        <w:r w:rsidR="002E5093" w:rsidRPr="0081248A">
          <w:rPr>
            <w:rStyle w:val="Hyperlink"/>
          </w:rPr>
          <w:t>PLANTEO METODOLÓGICO</w:t>
        </w:r>
        <w:r w:rsidR="002E5093">
          <w:rPr>
            <w:webHidden/>
          </w:rPr>
          <w:tab/>
        </w:r>
        <w:r w:rsidR="002E5093">
          <w:rPr>
            <w:webHidden/>
          </w:rPr>
          <w:fldChar w:fldCharType="begin"/>
        </w:r>
        <w:r w:rsidR="002E5093">
          <w:rPr>
            <w:webHidden/>
          </w:rPr>
          <w:instrText xml:space="preserve"> PAGEREF _Toc468199823 \h </w:instrText>
        </w:r>
        <w:r w:rsidR="002E5093">
          <w:rPr>
            <w:webHidden/>
          </w:rPr>
        </w:r>
        <w:r w:rsidR="002E5093">
          <w:rPr>
            <w:webHidden/>
          </w:rPr>
          <w:fldChar w:fldCharType="separate"/>
        </w:r>
        <w:r w:rsidR="002E5093">
          <w:rPr>
            <w:webHidden/>
          </w:rPr>
          <w:t>7</w:t>
        </w:r>
        <w:r w:rsidR="002E5093">
          <w:rPr>
            <w:webHidden/>
          </w:rPr>
          <w:fldChar w:fldCharType="end"/>
        </w:r>
      </w:hyperlink>
    </w:p>
    <w:p w:rsidR="002E5093" w:rsidRDefault="00A873ED">
      <w:pPr>
        <w:pStyle w:val="TOC3"/>
        <w:rPr>
          <w:rFonts w:asciiTheme="minorHAnsi" w:eastAsiaTheme="minorEastAsia" w:hAnsiTheme="minorHAnsi" w:cstheme="minorBidi"/>
          <w:i w:val="0"/>
          <w:iCs w:val="0"/>
          <w:sz w:val="22"/>
          <w:szCs w:val="22"/>
          <w:lang w:val="es-AR" w:eastAsia="es-AR"/>
        </w:rPr>
      </w:pPr>
      <w:hyperlink w:anchor="_Toc468199824" w:history="1">
        <w:r w:rsidR="002E5093" w:rsidRPr="0081248A">
          <w:rPr>
            <w:rStyle w:val="Hyperlink"/>
          </w:rPr>
          <w:t>Contexto de la intervención</w:t>
        </w:r>
        <w:r w:rsidR="002E5093">
          <w:rPr>
            <w:webHidden/>
          </w:rPr>
          <w:tab/>
        </w:r>
        <w:r w:rsidR="002E5093">
          <w:rPr>
            <w:webHidden/>
          </w:rPr>
          <w:fldChar w:fldCharType="begin"/>
        </w:r>
        <w:r w:rsidR="002E5093">
          <w:rPr>
            <w:webHidden/>
          </w:rPr>
          <w:instrText xml:space="preserve"> PAGEREF _Toc468199824 \h </w:instrText>
        </w:r>
        <w:r w:rsidR="002E5093">
          <w:rPr>
            <w:webHidden/>
          </w:rPr>
        </w:r>
        <w:r w:rsidR="002E5093">
          <w:rPr>
            <w:webHidden/>
          </w:rPr>
          <w:fldChar w:fldCharType="separate"/>
        </w:r>
        <w:r w:rsidR="002E5093">
          <w:rPr>
            <w:webHidden/>
          </w:rPr>
          <w:t>7</w:t>
        </w:r>
        <w:r w:rsidR="002E5093">
          <w:rPr>
            <w:webHidden/>
          </w:rPr>
          <w:fldChar w:fldCharType="end"/>
        </w:r>
      </w:hyperlink>
    </w:p>
    <w:p w:rsidR="002E5093" w:rsidRDefault="00A873ED">
      <w:pPr>
        <w:pStyle w:val="TOC3"/>
        <w:rPr>
          <w:rFonts w:asciiTheme="minorHAnsi" w:eastAsiaTheme="minorEastAsia" w:hAnsiTheme="minorHAnsi" w:cstheme="minorBidi"/>
          <w:i w:val="0"/>
          <w:iCs w:val="0"/>
          <w:sz w:val="22"/>
          <w:szCs w:val="22"/>
          <w:lang w:val="es-AR" w:eastAsia="es-AR"/>
        </w:rPr>
      </w:pPr>
      <w:hyperlink w:anchor="_Toc468199825" w:history="1">
        <w:r w:rsidR="002E5093" w:rsidRPr="0081248A">
          <w:rPr>
            <w:rStyle w:val="Hyperlink"/>
          </w:rPr>
          <w:t>Enfoque.</w:t>
        </w:r>
        <w:r w:rsidR="002E5093">
          <w:rPr>
            <w:webHidden/>
          </w:rPr>
          <w:tab/>
        </w:r>
        <w:r w:rsidR="002E5093">
          <w:rPr>
            <w:webHidden/>
          </w:rPr>
          <w:fldChar w:fldCharType="begin"/>
        </w:r>
        <w:r w:rsidR="002E5093">
          <w:rPr>
            <w:webHidden/>
          </w:rPr>
          <w:instrText xml:space="preserve"> PAGEREF _Toc468199825 \h </w:instrText>
        </w:r>
        <w:r w:rsidR="002E5093">
          <w:rPr>
            <w:webHidden/>
          </w:rPr>
        </w:r>
        <w:r w:rsidR="002E5093">
          <w:rPr>
            <w:webHidden/>
          </w:rPr>
          <w:fldChar w:fldCharType="separate"/>
        </w:r>
        <w:r w:rsidR="002E5093">
          <w:rPr>
            <w:webHidden/>
          </w:rPr>
          <w:t>9</w:t>
        </w:r>
        <w:r w:rsidR="002E5093">
          <w:rPr>
            <w:webHidden/>
          </w:rPr>
          <w:fldChar w:fldCharType="end"/>
        </w:r>
      </w:hyperlink>
    </w:p>
    <w:p w:rsidR="002E5093" w:rsidRDefault="00A873ED">
      <w:pPr>
        <w:pStyle w:val="TOC3"/>
        <w:rPr>
          <w:rFonts w:asciiTheme="minorHAnsi" w:eastAsiaTheme="minorEastAsia" w:hAnsiTheme="minorHAnsi" w:cstheme="minorBidi"/>
          <w:i w:val="0"/>
          <w:iCs w:val="0"/>
          <w:sz w:val="22"/>
          <w:szCs w:val="22"/>
          <w:lang w:val="es-AR" w:eastAsia="es-AR"/>
        </w:rPr>
      </w:pPr>
      <w:hyperlink w:anchor="_Toc468199826" w:history="1">
        <w:r w:rsidR="002E5093" w:rsidRPr="0081248A">
          <w:rPr>
            <w:rStyle w:val="Hyperlink"/>
          </w:rPr>
          <w:t>Situación Sin Proyecto vs. Con Proyecto</w:t>
        </w:r>
        <w:r w:rsidR="002E5093">
          <w:rPr>
            <w:webHidden/>
          </w:rPr>
          <w:tab/>
        </w:r>
        <w:r w:rsidR="002E5093">
          <w:rPr>
            <w:webHidden/>
          </w:rPr>
          <w:fldChar w:fldCharType="begin"/>
        </w:r>
        <w:r w:rsidR="002E5093">
          <w:rPr>
            <w:webHidden/>
          </w:rPr>
          <w:instrText xml:space="preserve"> PAGEREF _Toc468199826 \h </w:instrText>
        </w:r>
        <w:r w:rsidR="002E5093">
          <w:rPr>
            <w:webHidden/>
          </w:rPr>
        </w:r>
        <w:r w:rsidR="002E5093">
          <w:rPr>
            <w:webHidden/>
          </w:rPr>
          <w:fldChar w:fldCharType="separate"/>
        </w:r>
        <w:r w:rsidR="002E5093">
          <w:rPr>
            <w:webHidden/>
          </w:rPr>
          <w:t>11</w:t>
        </w:r>
        <w:r w:rsidR="002E5093">
          <w:rPr>
            <w:webHidden/>
          </w:rPr>
          <w:fldChar w:fldCharType="end"/>
        </w:r>
      </w:hyperlink>
    </w:p>
    <w:p w:rsidR="002E5093" w:rsidRDefault="00A873ED">
      <w:pPr>
        <w:pStyle w:val="TOC3"/>
        <w:rPr>
          <w:rFonts w:asciiTheme="minorHAnsi" w:eastAsiaTheme="minorEastAsia" w:hAnsiTheme="minorHAnsi" w:cstheme="minorBidi"/>
          <w:i w:val="0"/>
          <w:iCs w:val="0"/>
          <w:sz w:val="22"/>
          <w:szCs w:val="22"/>
          <w:lang w:val="es-AR" w:eastAsia="es-AR"/>
        </w:rPr>
      </w:pPr>
      <w:hyperlink w:anchor="_Toc468199827" w:history="1">
        <w:r w:rsidR="002E5093" w:rsidRPr="0081248A">
          <w:rPr>
            <w:rStyle w:val="Hyperlink"/>
          </w:rPr>
          <w:t>Criterios de cuantificación de costos y beneficios</w:t>
        </w:r>
        <w:r w:rsidR="002E5093">
          <w:rPr>
            <w:webHidden/>
          </w:rPr>
          <w:tab/>
        </w:r>
        <w:r w:rsidR="002E5093">
          <w:rPr>
            <w:webHidden/>
          </w:rPr>
          <w:fldChar w:fldCharType="begin"/>
        </w:r>
        <w:r w:rsidR="002E5093">
          <w:rPr>
            <w:webHidden/>
          </w:rPr>
          <w:instrText xml:space="preserve"> PAGEREF _Toc468199827 \h </w:instrText>
        </w:r>
        <w:r w:rsidR="002E5093">
          <w:rPr>
            <w:webHidden/>
          </w:rPr>
        </w:r>
        <w:r w:rsidR="002E5093">
          <w:rPr>
            <w:webHidden/>
          </w:rPr>
          <w:fldChar w:fldCharType="separate"/>
        </w:r>
        <w:r w:rsidR="002E5093">
          <w:rPr>
            <w:webHidden/>
          </w:rPr>
          <w:t>13</w:t>
        </w:r>
        <w:r w:rsidR="002E5093">
          <w:rPr>
            <w:webHidden/>
          </w:rPr>
          <w:fldChar w:fldCharType="end"/>
        </w:r>
      </w:hyperlink>
    </w:p>
    <w:p w:rsidR="002E5093" w:rsidRDefault="00A873ED">
      <w:pPr>
        <w:pStyle w:val="TOC3"/>
        <w:rPr>
          <w:rStyle w:val="Hyperlink"/>
        </w:rPr>
      </w:pPr>
      <w:hyperlink w:anchor="_Toc468199828" w:history="1">
        <w:r w:rsidR="002E5093" w:rsidRPr="0081248A">
          <w:rPr>
            <w:rStyle w:val="Hyperlink"/>
          </w:rPr>
          <w:t>Antecedentes  en intervenciones similares.</w:t>
        </w:r>
        <w:r w:rsidR="002E5093">
          <w:rPr>
            <w:webHidden/>
          </w:rPr>
          <w:tab/>
        </w:r>
        <w:r w:rsidR="002E5093">
          <w:rPr>
            <w:webHidden/>
          </w:rPr>
          <w:fldChar w:fldCharType="begin"/>
        </w:r>
        <w:r w:rsidR="002E5093">
          <w:rPr>
            <w:webHidden/>
          </w:rPr>
          <w:instrText xml:space="preserve"> PAGEREF _Toc468199828 \h </w:instrText>
        </w:r>
        <w:r w:rsidR="002E5093">
          <w:rPr>
            <w:webHidden/>
          </w:rPr>
        </w:r>
        <w:r w:rsidR="002E5093">
          <w:rPr>
            <w:webHidden/>
          </w:rPr>
          <w:fldChar w:fldCharType="separate"/>
        </w:r>
        <w:r w:rsidR="002E5093">
          <w:rPr>
            <w:webHidden/>
          </w:rPr>
          <w:t>14</w:t>
        </w:r>
        <w:r w:rsidR="002E5093">
          <w:rPr>
            <w:webHidden/>
          </w:rPr>
          <w:fldChar w:fldCharType="end"/>
        </w:r>
      </w:hyperlink>
    </w:p>
    <w:p w:rsidR="002E5093" w:rsidRPr="00455FC7" w:rsidRDefault="002E5093" w:rsidP="00455FC7">
      <w:pPr>
        <w:rPr>
          <w:rFonts w:eastAsiaTheme="minorEastAsia"/>
          <w:i/>
          <w:iCs/>
          <w:lang w:val="es-ES_tradnl"/>
        </w:rPr>
      </w:pPr>
    </w:p>
    <w:p w:rsidR="002E5093" w:rsidRDefault="00A873ED">
      <w:pPr>
        <w:pStyle w:val="TOC1"/>
        <w:rPr>
          <w:rFonts w:asciiTheme="minorHAnsi" w:eastAsiaTheme="minorEastAsia" w:hAnsiTheme="minorHAnsi" w:cstheme="minorBidi"/>
          <w:bCs w:val="0"/>
          <w:caps w:val="0"/>
          <w:sz w:val="22"/>
          <w:szCs w:val="22"/>
          <w:lang w:val="es-AR" w:eastAsia="es-AR"/>
        </w:rPr>
      </w:pPr>
      <w:hyperlink w:anchor="_Toc468199829" w:history="1">
        <w:r w:rsidR="002E5093" w:rsidRPr="0081248A">
          <w:rPr>
            <w:rStyle w:val="Hyperlink"/>
          </w:rPr>
          <w:t>II.</w:t>
        </w:r>
        <w:r w:rsidR="002E5093">
          <w:rPr>
            <w:rFonts w:asciiTheme="minorHAnsi" w:eastAsiaTheme="minorEastAsia" w:hAnsiTheme="minorHAnsi" w:cstheme="minorBidi"/>
            <w:bCs w:val="0"/>
            <w:caps w:val="0"/>
            <w:sz w:val="22"/>
            <w:szCs w:val="22"/>
            <w:lang w:val="es-AR" w:eastAsia="es-AR"/>
          </w:rPr>
          <w:tab/>
        </w:r>
        <w:r w:rsidR="002E5093" w:rsidRPr="0081248A">
          <w:rPr>
            <w:rStyle w:val="Hyperlink"/>
          </w:rPr>
          <w:t>IDENTIFICACIÓN DE BENEFICIOS</w:t>
        </w:r>
        <w:r w:rsidR="002E5093">
          <w:rPr>
            <w:webHidden/>
          </w:rPr>
          <w:tab/>
        </w:r>
        <w:r w:rsidR="002E5093">
          <w:rPr>
            <w:webHidden/>
          </w:rPr>
          <w:fldChar w:fldCharType="begin"/>
        </w:r>
        <w:r w:rsidR="002E5093">
          <w:rPr>
            <w:webHidden/>
          </w:rPr>
          <w:instrText xml:space="preserve"> PAGEREF _Toc468199829 \h </w:instrText>
        </w:r>
        <w:r w:rsidR="002E5093">
          <w:rPr>
            <w:webHidden/>
          </w:rPr>
        </w:r>
        <w:r w:rsidR="002E5093">
          <w:rPr>
            <w:webHidden/>
          </w:rPr>
          <w:fldChar w:fldCharType="separate"/>
        </w:r>
        <w:r w:rsidR="002E5093">
          <w:rPr>
            <w:webHidden/>
          </w:rPr>
          <w:t>15</w:t>
        </w:r>
        <w:r w:rsidR="002E5093">
          <w:rPr>
            <w:webHidden/>
          </w:rPr>
          <w:fldChar w:fldCharType="end"/>
        </w:r>
      </w:hyperlink>
    </w:p>
    <w:p w:rsidR="002E5093" w:rsidRDefault="00A873ED">
      <w:pPr>
        <w:pStyle w:val="TOC3"/>
        <w:rPr>
          <w:rFonts w:asciiTheme="minorHAnsi" w:eastAsiaTheme="minorEastAsia" w:hAnsiTheme="minorHAnsi" w:cstheme="minorBidi"/>
          <w:i w:val="0"/>
          <w:iCs w:val="0"/>
          <w:sz w:val="22"/>
          <w:szCs w:val="22"/>
          <w:lang w:val="es-AR" w:eastAsia="es-AR"/>
        </w:rPr>
      </w:pPr>
      <w:hyperlink w:anchor="_Toc468199830" w:history="1">
        <w:r w:rsidR="002E5093" w:rsidRPr="0081248A">
          <w:rPr>
            <w:rStyle w:val="Hyperlink"/>
          </w:rPr>
          <w:t>Lógica del Programa</w:t>
        </w:r>
        <w:r w:rsidR="002E5093">
          <w:rPr>
            <w:webHidden/>
          </w:rPr>
          <w:tab/>
        </w:r>
        <w:r w:rsidR="002E5093">
          <w:rPr>
            <w:webHidden/>
          </w:rPr>
          <w:fldChar w:fldCharType="begin"/>
        </w:r>
        <w:r w:rsidR="002E5093">
          <w:rPr>
            <w:webHidden/>
          </w:rPr>
          <w:instrText xml:space="preserve"> PAGEREF _Toc468199830 \h </w:instrText>
        </w:r>
        <w:r w:rsidR="002E5093">
          <w:rPr>
            <w:webHidden/>
          </w:rPr>
        </w:r>
        <w:r w:rsidR="002E5093">
          <w:rPr>
            <w:webHidden/>
          </w:rPr>
          <w:fldChar w:fldCharType="separate"/>
        </w:r>
        <w:r w:rsidR="002E5093">
          <w:rPr>
            <w:webHidden/>
          </w:rPr>
          <w:t>15</w:t>
        </w:r>
        <w:r w:rsidR="002E5093">
          <w:rPr>
            <w:webHidden/>
          </w:rPr>
          <w:fldChar w:fldCharType="end"/>
        </w:r>
      </w:hyperlink>
    </w:p>
    <w:p w:rsidR="002E5093" w:rsidRDefault="00A873ED">
      <w:pPr>
        <w:pStyle w:val="TOC3"/>
        <w:rPr>
          <w:rFonts w:asciiTheme="minorHAnsi" w:eastAsiaTheme="minorEastAsia" w:hAnsiTheme="minorHAnsi" w:cstheme="minorBidi"/>
          <w:i w:val="0"/>
          <w:iCs w:val="0"/>
          <w:sz w:val="22"/>
          <w:szCs w:val="22"/>
          <w:lang w:val="es-AR" w:eastAsia="es-AR"/>
        </w:rPr>
      </w:pPr>
      <w:hyperlink w:anchor="_Toc468199831" w:history="1">
        <w:r w:rsidR="002E5093" w:rsidRPr="0081248A">
          <w:rPr>
            <w:rStyle w:val="Hyperlink"/>
          </w:rPr>
          <w:t>Probabilidad de ocurrencia de los desastres</w:t>
        </w:r>
        <w:r w:rsidR="002E5093">
          <w:rPr>
            <w:webHidden/>
          </w:rPr>
          <w:tab/>
        </w:r>
        <w:r w:rsidR="002E5093">
          <w:rPr>
            <w:webHidden/>
          </w:rPr>
          <w:fldChar w:fldCharType="begin"/>
        </w:r>
        <w:r w:rsidR="002E5093">
          <w:rPr>
            <w:webHidden/>
          </w:rPr>
          <w:instrText xml:space="preserve"> PAGEREF _Toc468199831 \h </w:instrText>
        </w:r>
        <w:r w:rsidR="002E5093">
          <w:rPr>
            <w:webHidden/>
          </w:rPr>
        </w:r>
        <w:r w:rsidR="002E5093">
          <w:rPr>
            <w:webHidden/>
          </w:rPr>
          <w:fldChar w:fldCharType="separate"/>
        </w:r>
        <w:r w:rsidR="002E5093">
          <w:rPr>
            <w:webHidden/>
          </w:rPr>
          <w:t>16</w:t>
        </w:r>
        <w:r w:rsidR="002E5093">
          <w:rPr>
            <w:webHidden/>
          </w:rPr>
          <w:fldChar w:fldCharType="end"/>
        </w:r>
      </w:hyperlink>
    </w:p>
    <w:p w:rsidR="002E5093" w:rsidRDefault="00A873ED">
      <w:pPr>
        <w:pStyle w:val="TOC3"/>
        <w:rPr>
          <w:rFonts w:asciiTheme="minorHAnsi" w:eastAsiaTheme="minorEastAsia" w:hAnsiTheme="minorHAnsi" w:cstheme="minorBidi"/>
          <w:i w:val="0"/>
          <w:iCs w:val="0"/>
          <w:sz w:val="22"/>
          <w:szCs w:val="22"/>
          <w:lang w:val="es-AR" w:eastAsia="es-AR"/>
        </w:rPr>
      </w:pPr>
      <w:hyperlink w:anchor="_Toc468199832" w:history="1">
        <w:r w:rsidR="002E5093" w:rsidRPr="0081248A">
          <w:rPr>
            <w:rStyle w:val="Hyperlink"/>
          </w:rPr>
          <w:t>Magnitud del impacto potencial sobre las personas</w:t>
        </w:r>
        <w:r w:rsidR="002E5093">
          <w:rPr>
            <w:webHidden/>
          </w:rPr>
          <w:tab/>
        </w:r>
        <w:r w:rsidR="002E5093">
          <w:rPr>
            <w:webHidden/>
          </w:rPr>
          <w:fldChar w:fldCharType="begin"/>
        </w:r>
        <w:r w:rsidR="002E5093">
          <w:rPr>
            <w:webHidden/>
          </w:rPr>
          <w:instrText xml:space="preserve"> PAGEREF _Toc468199832 \h </w:instrText>
        </w:r>
        <w:r w:rsidR="002E5093">
          <w:rPr>
            <w:webHidden/>
          </w:rPr>
        </w:r>
        <w:r w:rsidR="002E5093">
          <w:rPr>
            <w:webHidden/>
          </w:rPr>
          <w:fldChar w:fldCharType="separate"/>
        </w:r>
        <w:r w:rsidR="002E5093">
          <w:rPr>
            <w:webHidden/>
          </w:rPr>
          <w:t>17</w:t>
        </w:r>
        <w:r w:rsidR="002E5093">
          <w:rPr>
            <w:webHidden/>
          </w:rPr>
          <w:fldChar w:fldCharType="end"/>
        </w:r>
      </w:hyperlink>
    </w:p>
    <w:p w:rsidR="002E5093" w:rsidRDefault="00A873ED">
      <w:pPr>
        <w:pStyle w:val="TOC3"/>
        <w:rPr>
          <w:rFonts w:asciiTheme="minorHAnsi" w:eastAsiaTheme="minorEastAsia" w:hAnsiTheme="minorHAnsi" w:cstheme="minorBidi"/>
          <w:i w:val="0"/>
          <w:iCs w:val="0"/>
          <w:sz w:val="22"/>
          <w:szCs w:val="22"/>
          <w:lang w:val="es-AR" w:eastAsia="es-AR"/>
        </w:rPr>
      </w:pPr>
      <w:hyperlink w:anchor="_Toc468199833" w:history="1">
        <w:r w:rsidR="002E5093" w:rsidRPr="0081248A">
          <w:rPr>
            <w:rStyle w:val="Hyperlink"/>
          </w:rPr>
          <w:t>Activos e Infraestructura en las áreas expuestas al desastre</w:t>
        </w:r>
        <w:r w:rsidR="002E5093">
          <w:rPr>
            <w:webHidden/>
          </w:rPr>
          <w:tab/>
        </w:r>
        <w:r w:rsidR="002E5093">
          <w:rPr>
            <w:webHidden/>
          </w:rPr>
          <w:fldChar w:fldCharType="begin"/>
        </w:r>
        <w:r w:rsidR="002E5093">
          <w:rPr>
            <w:webHidden/>
          </w:rPr>
          <w:instrText xml:space="preserve"> PAGEREF _Toc468199833 \h </w:instrText>
        </w:r>
        <w:r w:rsidR="002E5093">
          <w:rPr>
            <w:webHidden/>
          </w:rPr>
        </w:r>
        <w:r w:rsidR="002E5093">
          <w:rPr>
            <w:webHidden/>
          </w:rPr>
          <w:fldChar w:fldCharType="separate"/>
        </w:r>
        <w:r w:rsidR="002E5093">
          <w:rPr>
            <w:webHidden/>
          </w:rPr>
          <w:t>23</w:t>
        </w:r>
        <w:r w:rsidR="002E5093">
          <w:rPr>
            <w:webHidden/>
          </w:rPr>
          <w:fldChar w:fldCharType="end"/>
        </w:r>
      </w:hyperlink>
    </w:p>
    <w:p w:rsidR="002E5093" w:rsidRDefault="00A873ED">
      <w:pPr>
        <w:pStyle w:val="TOC3"/>
        <w:rPr>
          <w:rFonts w:asciiTheme="minorHAnsi" w:eastAsiaTheme="minorEastAsia" w:hAnsiTheme="minorHAnsi" w:cstheme="minorBidi"/>
          <w:i w:val="0"/>
          <w:iCs w:val="0"/>
          <w:sz w:val="22"/>
          <w:szCs w:val="22"/>
          <w:lang w:val="es-AR" w:eastAsia="es-AR"/>
        </w:rPr>
      </w:pPr>
      <w:hyperlink w:anchor="_Toc468199834" w:history="1">
        <w:r w:rsidR="002E5093" w:rsidRPr="0081248A">
          <w:rPr>
            <w:rStyle w:val="Hyperlink"/>
          </w:rPr>
          <w:t>Mejora en las condiciones de desarrollo.</w:t>
        </w:r>
        <w:r w:rsidR="002E5093">
          <w:rPr>
            <w:webHidden/>
          </w:rPr>
          <w:tab/>
        </w:r>
        <w:r w:rsidR="002E5093">
          <w:rPr>
            <w:webHidden/>
          </w:rPr>
          <w:fldChar w:fldCharType="begin"/>
        </w:r>
        <w:r w:rsidR="002E5093">
          <w:rPr>
            <w:webHidden/>
          </w:rPr>
          <w:instrText xml:space="preserve"> PAGEREF _Toc468199834 \h </w:instrText>
        </w:r>
        <w:r w:rsidR="002E5093">
          <w:rPr>
            <w:webHidden/>
          </w:rPr>
        </w:r>
        <w:r w:rsidR="002E5093">
          <w:rPr>
            <w:webHidden/>
          </w:rPr>
          <w:fldChar w:fldCharType="separate"/>
        </w:r>
        <w:r w:rsidR="002E5093">
          <w:rPr>
            <w:webHidden/>
          </w:rPr>
          <w:t>28</w:t>
        </w:r>
        <w:r w:rsidR="002E5093">
          <w:rPr>
            <w:webHidden/>
          </w:rPr>
          <w:fldChar w:fldCharType="end"/>
        </w:r>
      </w:hyperlink>
    </w:p>
    <w:p w:rsidR="002E5093" w:rsidRDefault="00A873ED">
      <w:pPr>
        <w:pStyle w:val="TOC3"/>
        <w:rPr>
          <w:rStyle w:val="Hyperlink"/>
        </w:rPr>
      </w:pPr>
      <w:hyperlink w:anchor="_Toc468199835" w:history="1">
        <w:r w:rsidR="002E5093" w:rsidRPr="0081248A">
          <w:rPr>
            <w:rStyle w:val="Hyperlink"/>
          </w:rPr>
          <w:t>Parámetros para la cuantificación del efecto-beneficio SAT</w:t>
        </w:r>
        <w:r w:rsidR="002E5093">
          <w:rPr>
            <w:webHidden/>
          </w:rPr>
          <w:tab/>
        </w:r>
        <w:r w:rsidR="002E5093">
          <w:rPr>
            <w:webHidden/>
          </w:rPr>
          <w:fldChar w:fldCharType="begin"/>
        </w:r>
        <w:r w:rsidR="002E5093">
          <w:rPr>
            <w:webHidden/>
          </w:rPr>
          <w:instrText xml:space="preserve"> PAGEREF _Toc468199835 \h </w:instrText>
        </w:r>
        <w:r w:rsidR="002E5093">
          <w:rPr>
            <w:webHidden/>
          </w:rPr>
        </w:r>
        <w:r w:rsidR="002E5093">
          <w:rPr>
            <w:webHidden/>
          </w:rPr>
          <w:fldChar w:fldCharType="separate"/>
        </w:r>
        <w:r w:rsidR="002E5093">
          <w:rPr>
            <w:webHidden/>
          </w:rPr>
          <w:t>29</w:t>
        </w:r>
        <w:r w:rsidR="002E5093">
          <w:rPr>
            <w:webHidden/>
          </w:rPr>
          <w:fldChar w:fldCharType="end"/>
        </w:r>
      </w:hyperlink>
    </w:p>
    <w:p w:rsidR="002E5093" w:rsidRPr="00455FC7" w:rsidRDefault="002E5093" w:rsidP="00455FC7">
      <w:pPr>
        <w:rPr>
          <w:rFonts w:eastAsiaTheme="minorEastAsia"/>
          <w:i/>
          <w:iCs/>
          <w:lang w:val="es-ES_tradnl"/>
        </w:rPr>
      </w:pPr>
    </w:p>
    <w:p w:rsidR="002E5093" w:rsidRDefault="00A873ED">
      <w:pPr>
        <w:pStyle w:val="TOC1"/>
        <w:rPr>
          <w:rStyle w:val="Hyperlink"/>
        </w:rPr>
      </w:pPr>
      <w:hyperlink w:anchor="_Toc468199836" w:history="1">
        <w:r w:rsidR="002E5093" w:rsidRPr="0081248A">
          <w:rPr>
            <w:rStyle w:val="Hyperlink"/>
          </w:rPr>
          <w:t>III.</w:t>
        </w:r>
        <w:r w:rsidR="002E5093">
          <w:rPr>
            <w:rFonts w:asciiTheme="minorHAnsi" w:eastAsiaTheme="minorEastAsia" w:hAnsiTheme="minorHAnsi" w:cstheme="minorBidi"/>
            <w:bCs w:val="0"/>
            <w:caps w:val="0"/>
            <w:sz w:val="22"/>
            <w:szCs w:val="22"/>
            <w:lang w:val="es-AR" w:eastAsia="es-AR"/>
          </w:rPr>
          <w:tab/>
        </w:r>
        <w:r w:rsidR="002E5093" w:rsidRPr="0081248A">
          <w:rPr>
            <w:rStyle w:val="Hyperlink"/>
          </w:rPr>
          <w:t>Costos económicos</w:t>
        </w:r>
        <w:r w:rsidR="002E5093">
          <w:rPr>
            <w:webHidden/>
          </w:rPr>
          <w:tab/>
        </w:r>
        <w:r w:rsidR="002E5093">
          <w:rPr>
            <w:webHidden/>
          </w:rPr>
          <w:fldChar w:fldCharType="begin"/>
        </w:r>
        <w:r w:rsidR="002E5093">
          <w:rPr>
            <w:webHidden/>
          </w:rPr>
          <w:instrText xml:space="preserve"> PAGEREF _Toc468199836 \h </w:instrText>
        </w:r>
        <w:r w:rsidR="002E5093">
          <w:rPr>
            <w:webHidden/>
          </w:rPr>
        </w:r>
        <w:r w:rsidR="002E5093">
          <w:rPr>
            <w:webHidden/>
          </w:rPr>
          <w:fldChar w:fldCharType="separate"/>
        </w:r>
        <w:r w:rsidR="002E5093">
          <w:rPr>
            <w:webHidden/>
          </w:rPr>
          <w:t>32</w:t>
        </w:r>
        <w:r w:rsidR="002E5093">
          <w:rPr>
            <w:webHidden/>
          </w:rPr>
          <w:fldChar w:fldCharType="end"/>
        </w:r>
      </w:hyperlink>
    </w:p>
    <w:p w:rsidR="002E5093" w:rsidRPr="00455FC7" w:rsidRDefault="002E5093" w:rsidP="00455FC7">
      <w:pPr>
        <w:rPr>
          <w:rFonts w:eastAsiaTheme="minorEastAsia"/>
          <w:bCs/>
          <w:caps/>
        </w:rPr>
      </w:pPr>
    </w:p>
    <w:p w:rsidR="002E5093" w:rsidRDefault="00A873ED">
      <w:pPr>
        <w:pStyle w:val="TOC1"/>
        <w:rPr>
          <w:rFonts w:asciiTheme="minorHAnsi" w:eastAsiaTheme="minorEastAsia" w:hAnsiTheme="minorHAnsi" w:cstheme="minorBidi"/>
          <w:bCs w:val="0"/>
          <w:caps w:val="0"/>
          <w:sz w:val="22"/>
          <w:szCs w:val="22"/>
          <w:lang w:val="es-AR" w:eastAsia="es-AR"/>
        </w:rPr>
      </w:pPr>
      <w:hyperlink w:anchor="_Toc468199837" w:history="1">
        <w:r w:rsidR="002E5093" w:rsidRPr="0081248A">
          <w:rPr>
            <w:rStyle w:val="Hyperlink"/>
          </w:rPr>
          <w:t>IV.</w:t>
        </w:r>
        <w:r w:rsidR="002E5093">
          <w:rPr>
            <w:rFonts w:asciiTheme="minorHAnsi" w:eastAsiaTheme="minorEastAsia" w:hAnsiTheme="minorHAnsi" w:cstheme="minorBidi"/>
            <w:bCs w:val="0"/>
            <w:caps w:val="0"/>
            <w:sz w:val="22"/>
            <w:szCs w:val="22"/>
            <w:lang w:val="es-AR" w:eastAsia="es-AR"/>
          </w:rPr>
          <w:tab/>
        </w:r>
        <w:r w:rsidR="002E5093" w:rsidRPr="0081248A">
          <w:rPr>
            <w:rStyle w:val="Hyperlink"/>
          </w:rPr>
          <w:t>Retorno Económico del Programa</w:t>
        </w:r>
        <w:r w:rsidR="002E5093">
          <w:rPr>
            <w:webHidden/>
          </w:rPr>
          <w:tab/>
        </w:r>
        <w:r w:rsidR="002E5093">
          <w:rPr>
            <w:webHidden/>
          </w:rPr>
          <w:fldChar w:fldCharType="begin"/>
        </w:r>
        <w:r w:rsidR="002E5093">
          <w:rPr>
            <w:webHidden/>
          </w:rPr>
          <w:instrText xml:space="preserve"> PAGEREF _Toc468199837 \h </w:instrText>
        </w:r>
        <w:r w:rsidR="002E5093">
          <w:rPr>
            <w:webHidden/>
          </w:rPr>
        </w:r>
        <w:r w:rsidR="002E5093">
          <w:rPr>
            <w:webHidden/>
          </w:rPr>
          <w:fldChar w:fldCharType="separate"/>
        </w:r>
        <w:r w:rsidR="002E5093">
          <w:rPr>
            <w:webHidden/>
          </w:rPr>
          <w:t>36</w:t>
        </w:r>
        <w:r w:rsidR="002E5093">
          <w:rPr>
            <w:webHidden/>
          </w:rPr>
          <w:fldChar w:fldCharType="end"/>
        </w:r>
      </w:hyperlink>
    </w:p>
    <w:p w:rsidR="002E5093" w:rsidRDefault="00A873ED">
      <w:pPr>
        <w:pStyle w:val="TOC3"/>
        <w:rPr>
          <w:rFonts w:asciiTheme="minorHAnsi" w:eastAsiaTheme="minorEastAsia" w:hAnsiTheme="minorHAnsi" w:cstheme="minorBidi"/>
          <w:i w:val="0"/>
          <w:iCs w:val="0"/>
          <w:sz w:val="22"/>
          <w:szCs w:val="22"/>
          <w:lang w:val="es-AR" w:eastAsia="es-AR"/>
        </w:rPr>
      </w:pPr>
      <w:hyperlink w:anchor="_Toc468199838" w:history="1">
        <w:r w:rsidR="002E5093" w:rsidRPr="0081248A">
          <w:rPr>
            <w:rStyle w:val="Hyperlink"/>
          </w:rPr>
          <w:t>Resultados de la evaluación.</w:t>
        </w:r>
        <w:r w:rsidR="002E5093">
          <w:rPr>
            <w:webHidden/>
          </w:rPr>
          <w:tab/>
        </w:r>
        <w:r w:rsidR="002E5093">
          <w:rPr>
            <w:webHidden/>
          </w:rPr>
          <w:fldChar w:fldCharType="begin"/>
        </w:r>
        <w:r w:rsidR="002E5093">
          <w:rPr>
            <w:webHidden/>
          </w:rPr>
          <w:instrText xml:space="preserve"> PAGEREF _Toc468199838 \h </w:instrText>
        </w:r>
        <w:r w:rsidR="002E5093">
          <w:rPr>
            <w:webHidden/>
          </w:rPr>
        </w:r>
        <w:r w:rsidR="002E5093">
          <w:rPr>
            <w:webHidden/>
          </w:rPr>
          <w:fldChar w:fldCharType="separate"/>
        </w:r>
        <w:r w:rsidR="002E5093">
          <w:rPr>
            <w:webHidden/>
          </w:rPr>
          <w:t>36</w:t>
        </w:r>
        <w:r w:rsidR="002E5093">
          <w:rPr>
            <w:webHidden/>
          </w:rPr>
          <w:fldChar w:fldCharType="end"/>
        </w:r>
      </w:hyperlink>
    </w:p>
    <w:p w:rsidR="002E5093" w:rsidRDefault="00A873ED">
      <w:pPr>
        <w:pStyle w:val="TOC3"/>
        <w:rPr>
          <w:rFonts w:asciiTheme="minorHAnsi" w:eastAsiaTheme="minorEastAsia" w:hAnsiTheme="minorHAnsi" w:cstheme="minorBidi"/>
          <w:i w:val="0"/>
          <w:iCs w:val="0"/>
          <w:sz w:val="22"/>
          <w:szCs w:val="22"/>
          <w:lang w:val="es-AR" w:eastAsia="es-AR"/>
        </w:rPr>
      </w:pPr>
      <w:hyperlink w:anchor="_Toc468199839" w:history="1">
        <w:r w:rsidR="002E5093" w:rsidRPr="0081248A">
          <w:rPr>
            <w:rStyle w:val="Hyperlink"/>
          </w:rPr>
          <w:t>Escenarios complementarios de evaluación</w:t>
        </w:r>
        <w:r w:rsidR="002E5093">
          <w:rPr>
            <w:webHidden/>
          </w:rPr>
          <w:tab/>
        </w:r>
        <w:r w:rsidR="002E5093">
          <w:rPr>
            <w:webHidden/>
          </w:rPr>
          <w:fldChar w:fldCharType="begin"/>
        </w:r>
        <w:r w:rsidR="002E5093">
          <w:rPr>
            <w:webHidden/>
          </w:rPr>
          <w:instrText xml:space="preserve"> PAGEREF _Toc468199839 \h </w:instrText>
        </w:r>
        <w:r w:rsidR="002E5093">
          <w:rPr>
            <w:webHidden/>
          </w:rPr>
        </w:r>
        <w:r w:rsidR="002E5093">
          <w:rPr>
            <w:webHidden/>
          </w:rPr>
          <w:fldChar w:fldCharType="separate"/>
        </w:r>
        <w:r w:rsidR="002E5093">
          <w:rPr>
            <w:webHidden/>
          </w:rPr>
          <w:t>40</w:t>
        </w:r>
        <w:r w:rsidR="002E5093">
          <w:rPr>
            <w:webHidden/>
          </w:rPr>
          <w:fldChar w:fldCharType="end"/>
        </w:r>
      </w:hyperlink>
    </w:p>
    <w:p w:rsidR="002E5093" w:rsidRDefault="00A873ED">
      <w:pPr>
        <w:pStyle w:val="TOC3"/>
        <w:rPr>
          <w:rStyle w:val="Hyperlink"/>
        </w:rPr>
      </w:pPr>
      <w:hyperlink w:anchor="_Toc468199840" w:history="1">
        <w:r w:rsidR="002E5093" w:rsidRPr="0081248A">
          <w:rPr>
            <w:rStyle w:val="Hyperlink"/>
          </w:rPr>
          <w:t>Análisis de sensibilidad</w:t>
        </w:r>
        <w:r w:rsidR="002E5093">
          <w:rPr>
            <w:webHidden/>
          </w:rPr>
          <w:tab/>
        </w:r>
        <w:r w:rsidR="002E5093">
          <w:rPr>
            <w:webHidden/>
          </w:rPr>
          <w:fldChar w:fldCharType="begin"/>
        </w:r>
        <w:r w:rsidR="002E5093">
          <w:rPr>
            <w:webHidden/>
          </w:rPr>
          <w:instrText xml:space="preserve"> PAGEREF _Toc468199840 \h </w:instrText>
        </w:r>
        <w:r w:rsidR="002E5093">
          <w:rPr>
            <w:webHidden/>
          </w:rPr>
        </w:r>
        <w:r w:rsidR="002E5093">
          <w:rPr>
            <w:webHidden/>
          </w:rPr>
          <w:fldChar w:fldCharType="separate"/>
        </w:r>
        <w:r w:rsidR="002E5093">
          <w:rPr>
            <w:webHidden/>
          </w:rPr>
          <w:t>42</w:t>
        </w:r>
        <w:r w:rsidR="002E5093">
          <w:rPr>
            <w:webHidden/>
          </w:rPr>
          <w:fldChar w:fldCharType="end"/>
        </w:r>
      </w:hyperlink>
    </w:p>
    <w:p w:rsidR="002E5093" w:rsidRPr="00455FC7" w:rsidRDefault="002E5093" w:rsidP="00455FC7">
      <w:pPr>
        <w:rPr>
          <w:rFonts w:eastAsiaTheme="minorEastAsia"/>
          <w:i/>
          <w:iCs/>
          <w:lang w:val="es-ES_tradnl"/>
        </w:rPr>
      </w:pPr>
    </w:p>
    <w:p w:rsidR="002E5093" w:rsidRDefault="00A873ED">
      <w:pPr>
        <w:pStyle w:val="TOC1"/>
        <w:rPr>
          <w:rFonts w:asciiTheme="minorHAnsi" w:eastAsiaTheme="minorEastAsia" w:hAnsiTheme="minorHAnsi" w:cstheme="minorBidi"/>
          <w:bCs w:val="0"/>
          <w:caps w:val="0"/>
          <w:sz w:val="22"/>
          <w:szCs w:val="22"/>
          <w:lang w:val="es-AR" w:eastAsia="es-AR"/>
        </w:rPr>
      </w:pPr>
      <w:hyperlink w:anchor="_Toc468199841" w:history="1">
        <w:r w:rsidR="002E5093" w:rsidRPr="0081248A">
          <w:rPr>
            <w:rStyle w:val="Hyperlink"/>
            <w:lang w:val="es-AR"/>
          </w:rPr>
          <w:t>Anexo  A:</w:t>
        </w:r>
        <w:r w:rsidR="002E5093" w:rsidRPr="0081248A">
          <w:rPr>
            <w:rStyle w:val="Hyperlink"/>
            <w:lang w:val="es-AR" w:eastAsia="zh-CN" w:bidi="hi-IN"/>
          </w:rPr>
          <w:t xml:space="preserve"> Elementos  de</w:t>
        </w:r>
        <w:r w:rsidR="002E5093" w:rsidRPr="0081248A">
          <w:rPr>
            <w:rStyle w:val="Hyperlink"/>
            <w:lang w:val="es-CR" w:eastAsia="zh-CN" w:bidi="hi-IN"/>
          </w:rPr>
          <w:t xml:space="preserve"> la amenaza  de tsunami</w:t>
        </w:r>
        <w:r w:rsidR="002E5093">
          <w:rPr>
            <w:webHidden/>
          </w:rPr>
          <w:tab/>
        </w:r>
        <w:r w:rsidR="002E5093">
          <w:rPr>
            <w:webHidden/>
          </w:rPr>
          <w:fldChar w:fldCharType="begin"/>
        </w:r>
        <w:r w:rsidR="002E5093">
          <w:rPr>
            <w:webHidden/>
          </w:rPr>
          <w:instrText xml:space="preserve"> PAGEREF _Toc468199841 \h </w:instrText>
        </w:r>
        <w:r w:rsidR="002E5093">
          <w:rPr>
            <w:webHidden/>
          </w:rPr>
        </w:r>
        <w:r w:rsidR="002E5093">
          <w:rPr>
            <w:webHidden/>
          </w:rPr>
          <w:fldChar w:fldCharType="separate"/>
        </w:r>
        <w:r w:rsidR="002E5093">
          <w:rPr>
            <w:webHidden/>
          </w:rPr>
          <w:t>45</w:t>
        </w:r>
        <w:r w:rsidR="002E5093">
          <w:rPr>
            <w:webHidden/>
          </w:rPr>
          <w:fldChar w:fldCharType="end"/>
        </w:r>
      </w:hyperlink>
    </w:p>
    <w:p w:rsidR="002E5093" w:rsidRDefault="00A873ED">
      <w:pPr>
        <w:pStyle w:val="TOC1"/>
        <w:rPr>
          <w:rFonts w:asciiTheme="minorHAnsi" w:eastAsiaTheme="minorEastAsia" w:hAnsiTheme="minorHAnsi" w:cstheme="minorBidi"/>
          <w:bCs w:val="0"/>
          <w:caps w:val="0"/>
          <w:sz w:val="22"/>
          <w:szCs w:val="22"/>
          <w:lang w:val="es-AR" w:eastAsia="es-AR"/>
        </w:rPr>
      </w:pPr>
      <w:hyperlink w:anchor="_Toc468199842" w:history="1">
        <w:r w:rsidR="002E5093" w:rsidRPr="0081248A">
          <w:rPr>
            <w:rStyle w:val="Hyperlink"/>
          </w:rPr>
          <w:t>Anexo  B: Criterios para medir la eficacia de los SAT</w:t>
        </w:r>
        <w:r w:rsidR="002E5093">
          <w:rPr>
            <w:webHidden/>
          </w:rPr>
          <w:tab/>
        </w:r>
        <w:r w:rsidR="002E5093">
          <w:rPr>
            <w:webHidden/>
          </w:rPr>
          <w:fldChar w:fldCharType="begin"/>
        </w:r>
        <w:r w:rsidR="002E5093">
          <w:rPr>
            <w:webHidden/>
          </w:rPr>
          <w:instrText xml:space="preserve"> PAGEREF _Toc468199842 \h </w:instrText>
        </w:r>
        <w:r w:rsidR="002E5093">
          <w:rPr>
            <w:webHidden/>
          </w:rPr>
        </w:r>
        <w:r w:rsidR="002E5093">
          <w:rPr>
            <w:webHidden/>
          </w:rPr>
          <w:fldChar w:fldCharType="separate"/>
        </w:r>
        <w:r w:rsidR="002E5093">
          <w:rPr>
            <w:webHidden/>
          </w:rPr>
          <w:t>48</w:t>
        </w:r>
        <w:r w:rsidR="002E5093">
          <w:rPr>
            <w:webHidden/>
          </w:rPr>
          <w:fldChar w:fldCharType="end"/>
        </w:r>
      </w:hyperlink>
    </w:p>
    <w:p w:rsidR="002E5093" w:rsidRDefault="00A873ED">
      <w:pPr>
        <w:pStyle w:val="TOC1"/>
        <w:rPr>
          <w:rFonts w:asciiTheme="minorHAnsi" w:eastAsiaTheme="minorEastAsia" w:hAnsiTheme="minorHAnsi" w:cstheme="minorBidi"/>
          <w:bCs w:val="0"/>
          <w:caps w:val="0"/>
          <w:sz w:val="22"/>
          <w:szCs w:val="22"/>
          <w:lang w:val="es-AR" w:eastAsia="es-AR"/>
        </w:rPr>
      </w:pPr>
      <w:hyperlink w:anchor="_Toc468199843" w:history="1">
        <w:r w:rsidR="002E5093" w:rsidRPr="0081248A">
          <w:rPr>
            <w:rStyle w:val="Hyperlink"/>
          </w:rPr>
          <w:t>Anexo C: Referencias del terremoto 2016</w:t>
        </w:r>
        <w:r w:rsidR="002E5093">
          <w:rPr>
            <w:webHidden/>
          </w:rPr>
          <w:tab/>
        </w:r>
        <w:r w:rsidR="002E5093">
          <w:rPr>
            <w:webHidden/>
          </w:rPr>
          <w:fldChar w:fldCharType="begin"/>
        </w:r>
        <w:r w:rsidR="002E5093">
          <w:rPr>
            <w:webHidden/>
          </w:rPr>
          <w:instrText xml:space="preserve"> PAGEREF _Toc468199843 \h </w:instrText>
        </w:r>
        <w:r w:rsidR="002E5093">
          <w:rPr>
            <w:webHidden/>
          </w:rPr>
        </w:r>
        <w:r w:rsidR="002E5093">
          <w:rPr>
            <w:webHidden/>
          </w:rPr>
          <w:fldChar w:fldCharType="separate"/>
        </w:r>
        <w:r w:rsidR="002E5093">
          <w:rPr>
            <w:webHidden/>
          </w:rPr>
          <w:t>50</w:t>
        </w:r>
        <w:r w:rsidR="002E5093">
          <w:rPr>
            <w:webHidden/>
          </w:rPr>
          <w:fldChar w:fldCharType="end"/>
        </w:r>
      </w:hyperlink>
    </w:p>
    <w:p w:rsidR="002E5093" w:rsidRDefault="00A873ED">
      <w:pPr>
        <w:pStyle w:val="TOC1"/>
        <w:rPr>
          <w:rFonts w:asciiTheme="minorHAnsi" w:eastAsiaTheme="minorEastAsia" w:hAnsiTheme="minorHAnsi" w:cstheme="minorBidi"/>
          <w:bCs w:val="0"/>
          <w:caps w:val="0"/>
          <w:sz w:val="22"/>
          <w:szCs w:val="22"/>
          <w:lang w:val="es-AR" w:eastAsia="es-AR"/>
        </w:rPr>
      </w:pPr>
      <w:hyperlink w:anchor="_Toc468199844" w:history="1">
        <w:r w:rsidR="002E5093" w:rsidRPr="0081248A">
          <w:rPr>
            <w:rStyle w:val="Hyperlink"/>
          </w:rPr>
          <w:t xml:space="preserve">Anexo D: </w:t>
        </w:r>
        <w:r w:rsidR="002E5093" w:rsidRPr="0081248A">
          <w:rPr>
            <w:rStyle w:val="Hyperlink"/>
            <w:lang w:val="es-CR" w:eastAsia="zh-CN" w:bidi="hi-IN"/>
          </w:rPr>
          <w:t>Matriz de Resultados</w:t>
        </w:r>
        <w:r w:rsidR="002E5093">
          <w:rPr>
            <w:webHidden/>
          </w:rPr>
          <w:tab/>
        </w:r>
        <w:r w:rsidR="002E5093">
          <w:rPr>
            <w:webHidden/>
          </w:rPr>
          <w:fldChar w:fldCharType="begin"/>
        </w:r>
        <w:r w:rsidR="002E5093">
          <w:rPr>
            <w:webHidden/>
          </w:rPr>
          <w:instrText xml:space="preserve"> PAGEREF _Toc468199844 \h </w:instrText>
        </w:r>
        <w:r w:rsidR="002E5093">
          <w:rPr>
            <w:webHidden/>
          </w:rPr>
        </w:r>
        <w:r w:rsidR="002E5093">
          <w:rPr>
            <w:webHidden/>
          </w:rPr>
          <w:fldChar w:fldCharType="separate"/>
        </w:r>
        <w:r w:rsidR="002E5093">
          <w:rPr>
            <w:webHidden/>
          </w:rPr>
          <w:t>52</w:t>
        </w:r>
        <w:r w:rsidR="002E5093">
          <w:rPr>
            <w:webHidden/>
          </w:rPr>
          <w:fldChar w:fldCharType="end"/>
        </w:r>
      </w:hyperlink>
    </w:p>
    <w:p w:rsidR="002E5093" w:rsidRDefault="00A873ED">
      <w:pPr>
        <w:pStyle w:val="TOC1"/>
        <w:rPr>
          <w:rFonts w:asciiTheme="minorHAnsi" w:eastAsiaTheme="minorEastAsia" w:hAnsiTheme="minorHAnsi" w:cstheme="minorBidi"/>
          <w:bCs w:val="0"/>
          <w:caps w:val="0"/>
          <w:sz w:val="22"/>
          <w:szCs w:val="22"/>
          <w:lang w:val="es-AR" w:eastAsia="es-AR"/>
        </w:rPr>
      </w:pPr>
      <w:hyperlink w:anchor="_Toc468199845" w:history="1">
        <w:r w:rsidR="002E5093" w:rsidRPr="0081248A">
          <w:rPr>
            <w:rStyle w:val="Hyperlink"/>
          </w:rPr>
          <w:t>Anexo E -  Caso Base – Flujo de Fondos Proyectado</w:t>
        </w:r>
        <w:r w:rsidR="002E5093">
          <w:rPr>
            <w:webHidden/>
          </w:rPr>
          <w:tab/>
        </w:r>
        <w:r w:rsidR="002E5093">
          <w:rPr>
            <w:webHidden/>
          </w:rPr>
          <w:fldChar w:fldCharType="begin"/>
        </w:r>
        <w:r w:rsidR="002E5093">
          <w:rPr>
            <w:webHidden/>
          </w:rPr>
          <w:instrText xml:space="preserve"> PAGEREF _Toc468199845 \h </w:instrText>
        </w:r>
        <w:r w:rsidR="002E5093">
          <w:rPr>
            <w:webHidden/>
          </w:rPr>
        </w:r>
        <w:r w:rsidR="002E5093">
          <w:rPr>
            <w:webHidden/>
          </w:rPr>
          <w:fldChar w:fldCharType="separate"/>
        </w:r>
        <w:r w:rsidR="002E5093">
          <w:rPr>
            <w:webHidden/>
          </w:rPr>
          <w:t>55</w:t>
        </w:r>
        <w:r w:rsidR="002E5093">
          <w:rPr>
            <w:webHidden/>
          </w:rPr>
          <w:fldChar w:fldCharType="end"/>
        </w:r>
      </w:hyperlink>
    </w:p>
    <w:p w:rsidR="002E5093" w:rsidRDefault="00A873ED">
      <w:pPr>
        <w:pStyle w:val="TOC1"/>
        <w:rPr>
          <w:rFonts w:asciiTheme="minorHAnsi" w:eastAsiaTheme="minorEastAsia" w:hAnsiTheme="minorHAnsi" w:cstheme="minorBidi"/>
          <w:bCs w:val="0"/>
          <w:caps w:val="0"/>
          <w:sz w:val="22"/>
          <w:szCs w:val="22"/>
          <w:lang w:val="es-AR" w:eastAsia="es-AR"/>
        </w:rPr>
      </w:pPr>
      <w:hyperlink w:anchor="_Toc468199846" w:history="1">
        <w:r w:rsidR="002E5093" w:rsidRPr="0081248A">
          <w:rPr>
            <w:rStyle w:val="Hyperlink"/>
            <w:rFonts w:eastAsia="Calibri"/>
          </w:rPr>
          <w:t>Bibliografía consultada y fuentes de información</w:t>
        </w:r>
        <w:r w:rsidR="002E5093">
          <w:rPr>
            <w:webHidden/>
          </w:rPr>
          <w:tab/>
        </w:r>
        <w:r w:rsidR="002E5093">
          <w:rPr>
            <w:webHidden/>
          </w:rPr>
          <w:fldChar w:fldCharType="begin"/>
        </w:r>
        <w:r w:rsidR="002E5093">
          <w:rPr>
            <w:webHidden/>
          </w:rPr>
          <w:instrText xml:space="preserve"> PAGEREF _Toc468199846 \h </w:instrText>
        </w:r>
        <w:r w:rsidR="002E5093">
          <w:rPr>
            <w:webHidden/>
          </w:rPr>
        </w:r>
        <w:r w:rsidR="002E5093">
          <w:rPr>
            <w:webHidden/>
          </w:rPr>
          <w:fldChar w:fldCharType="separate"/>
        </w:r>
        <w:r w:rsidR="002E5093">
          <w:rPr>
            <w:webHidden/>
          </w:rPr>
          <w:t>58</w:t>
        </w:r>
        <w:r w:rsidR="002E5093">
          <w:rPr>
            <w:webHidden/>
          </w:rPr>
          <w:fldChar w:fldCharType="end"/>
        </w:r>
      </w:hyperlink>
    </w:p>
    <w:p w:rsidR="00055DFD" w:rsidRPr="00920B3C" w:rsidRDefault="00081A23" w:rsidP="00527587">
      <w:pPr>
        <w:tabs>
          <w:tab w:val="left" w:pos="2104"/>
        </w:tabs>
        <w:rPr>
          <w:rFonts w:ascii="Times New Roman" w:hAnsi="Times New Roman"/>
          <w:bCs/>
          <w:caps/>
          <w:lang w:val="es-ES"/>
        </w:rPr>
      </w:pPr>
      <w:r w:rsidRPr="00920B3C">
        <w:rPr>
          <w:rFonts w:ascii="Times New Roman" w:hAnsi="Times New Roman"/>
          <w:bCs/>
          <w:caps/>
          <w:lang w:val="es-ES"/>
        </w:rPr>
        <w:fldChar w:fldCharType="end"/>
      </w:r>
      <w:r w:rsidR="00C826B8" w:rsidRPr="00920B3C">
        <w:rPr>
          <w:rFonts w:ascii="Times New Roman" w:hAnsi="Times New Roman"/>
          <w:bCs/>
          <w:caps/>
          <w:lang w:val="es-ES"/>
        </w:rPr>
        <w:t xml:space="preserve"> </w:t>
      </w:r>
      <w:r w:rsidR="00527587" w:rsidRPr="00920B3C">
        <w:rPr>
          <w:rFonts w:ascii="Times New Roman" w:hAnsi="Times New Roman"/>
          <w:bCs/>
          <w:caps/>
          <w:lang w:val="es-ES"/>
        </w:rPr>
        <w:tab/>
      </w:r>
    </w:p>
    <w:p w:rsidR="00E10C8A" w:rsidRDefault="00E10C8A" w:rsidP="00E10C8A">
      <w:pPr>
        <w:autoSpaceDE w:val="0"/>
        <w:autoSpaceDN w:val="0"/>
        <w:adjustRightInd w:val="0"/>
        <w:rPr>
          <w:rFonts w:ascii="Times New Roman" w:hAnsi="Times New Roman"/>
          <w:b/>
          <w:bCs/>
          <w:lang w:val="es-AR" w:eastAsia="es-AR"/>
        </w:rPr>
      </w:pPr>
    </w:p>
    <w:p w:rsidR="009574C3" w:rsidRDefault="009574C3" w:rsidP="00E10C8A">
      <w:pPr>
        <w:autoSpaceDE w:val="0"/>
        <w:autoSpaceDN w:val="0"/>
        <w:adjustRightInd w:val="0"/>
        <w:rPr>
          <w:rFonts w:ascii="Times New Roman" w:hAnsi="Times New Roman"/>
          <w:b/>
          <w:bCs/>
          <w:lang w:val="es-AR" w:eastAsia="es-AR"/>
        </w:rPr>
      </w:pPr>
    </w:p>
    <w:p w:rsidR="00840B90" w:rsidRPr="00455FC7" w:rsidRDefault="00081A23" w:rsidP="00111924">
      <w:pPr>
        <w:rPr>
          <w:lang w:val="es-AR"/>
        </w:rPr>
      </w:pPr>
      <w:r w:rsidRPr="00455FC7">
        <w:rPr>
          <w:lang w:val="es-AR"/>
        </w:rPr>
        <w:br w:type="page"/>
      </w:r>
    </w:p>
    <w:p w:rsidR="00E10C8A" w:rsidRPr="00E10C8A" w:rsidRDefault="00E10C8A" w:rsidP="00E10C8A">
      <w:pPr>
        <w:autoSpaceDE w:val="0"/>
        <w:autoSpaceDN w:val="0"/>
        <w:adjustRightInd w:val="0"/>
        <w:rPr>
          <w:rFonts w:ascii="Times New Roman" w:hAnsi="Times New Roman"/>
          <w:b/>
          <w:bCs/>
          <w:lang w:val="es-AR" w:eastAsia="es-AR"/>
        </w:rPr>
      </w:pPr>
      <w:r w:rsidRPr="00E10C8A">
        <w:rPr>
          <w:rFonts w:ascii="Times New Roman" w:hAnsi="Times New Roman"/>
          <w:b/>
          <w:bCs/>
          <w:lang w:val="es-AR" w:eastAsia="es-AR"/>
        </w:rPr>
        <w:lastRenderedPageBreak/>
        <w:t>ABREVIATURAS</w:t>
      </w:r>
    </w:p>
    <w:p w:rsidR="00702C39" w:rsidRPr="00E10C8A" w:rsidRDefault="00702C39" w:rsidP="00E10C8A">
      <w:pPr>
        <w:autoSpaceDE w:val="0"/>
        <w:autoSpaceDN w:val="0"/>
        <w:adjustRightInd w:val="0"/>
        <w:rPr>
          <w:rFonts w:ascii="Times New Roman" w:hAnsi="Times New Roman"/>
          <w:lang w:val="es-AR" w:eastAsia="es-AR"/>
        </w:rPr>
      </w:pPr>
    </w:p>
    <w:p w:rsidR="006D130A" w:rsidRPr="006D130A" w:rsidRDefault="006D130A" w:rsidP="006D130A">
      <w:pPr>
        <w:autoSpaceDE w:val="0"/>
        <w:autoSpaceDN w:val="0"/>
        <w:adjustRightInd w:val="0"/>
        <w:rPr>
          <w:rFonts w:ascii="Times New Roman" w:hAnsi="Times New Roman"/>
          <w:lang w:val="es-AR" w:eastAsia="es-AR"/>
        </w:rPr>
      </w:pPr>
      <w:r w:rsidRPr="006D130A">
        <w:rPr>
          <w:rFonts w:ascii="Times New Roman" w:hAnsi="Times New Roman"/>
          <w:lang w:val="es-AR" w:eastAsia="es-AR"/>
        </w:rPr>
        <w:t xml:space="preserve">ATN </w:t>
      </w:r>
      <w:r w:rsidRPr="006D130A">
        <w:rPr>
          <w:rFonts w:ascii="Times New Roman" w:hAnsi="Times New Roman"/>
          <w:lang w:val="es-AR" w:eastAsia="es-AR"/>
        </w:rPr>
        <w:tab/>
      </w:r>
      <w:r w:rsidRPr="006D130A">
        <w:rPr>
          <w:rFonts w:ascii="Times New Roman" w:hAnsi="Times New Roman"/>
          <w:lang w:val="es-AR" w:eastAsia="es-AR"/>
        </w:rPr>
        <w:tab/>
        <w:t>Adelantos Tesoro Nacional</w:t>
      </w:r>
    </w:p>
    <w:p w:rsidR="006D130A" w:rsidRPr="006D130A" w:rsidRDefault="006D130A" w:rsidP="006D130A">
      <w:pPr>
        <w:autoSpaceDE w:val="0"/>
        <w:autoSpaceDN w:val="0"/>
        <w:adjustRightInd w:val="0"/>
        <w:rPr>
          <w:rFonts w:ascii="Times New Roman" w:hAnsi="Times New Roman"/>
          <w:lang w:val="es-AR" w:eastAsia="es-AR"/>
        </w:rPr>
      </w:pPr>
      <w:r w:rsidRPr="006D130A">
        <w:rPr>
          <w:rFonts w:ascii="Times New Roman" w:hAnsi="Times New Roman"/>
          <w:lang w:val="es-AR" w:eastAsia="es-AR"/>
        </w:rPr>
        <w:t>BDE</w:t>
      </w:r>
      <w:r w:rsidRPr="006D130A">
        <w:rPr>
          <w:rFonts w:ascii="Times New Roman" w:hAnsi="Times New Roman"/>
          <w:lang w:val="es-AR" w:eastAsia="es-AR"/>
        </w:rPr>
        <w:tab/>
      </w:r>
      <w:r w:rsidRPr="006D130A">
        <w:rPr>
          <w:rFonts w:ascii="Times New Roman" w:hAnsi="Times New Roman"/>
          <w:lang w:val="es-AR" w:eastAsia="es-AR"/>
        </w:rPr>
        <w:tab/>
        <w:t>Banco de Desarrollo del Ecuador</w:t>
      </w:r>
    </w:p>
    <w:p w:rsidR="006D130A" w:rsidRPr="006D130A" w:rsidRDefault="006D130A" w:rsidP="006D130A">
      <w:pPr>
        <w:autoSpaceDE w:val="0"/>
        <w:autoSpaceDN w:val="0"/>
        <w:adjustRightInd w:val="0"/>
        <w:rPr>
          <w:rFonts w:ascii="Times New Roman" w:hAnsi="Times New Roman"/>
          <w:lang w:val="es-AR" w:eastAsia="es-AR"/>
        </w:rPr>
      </w:pPr>
      <w:r w:rsidRPr="006D130A">
        <w:rPr>
          <w:rFonts w:ascii="Times New Roman" w:hAnsi="Times New Roman"/>
          <w:lang w:val="es-AR" w:eastAsia="es-AR"/>
        </w:rPr>
        <w:t>BID</w:t>
      </w:r>
      <w:r w:rsidRPr="006D130A">
        <w:rPr>
          <w:rFonts w:ascii="Times New Roman" w:hAnsi="Times New Roman"/>
          <w:lang w:val="es-AR" w:eastAsia="es-AR"/>
        </w:rPr>
        <w:tab/>
      </w:r>
      <w:r w:rsidRPr="006D130A">
        <w:rPr>
          <w:rFonts w:ascii="Times New Roman" w:hAnsi="Times New Roman"/>
          <w:lang w:val="es-AR" w:eastAsia="es-AR"/>
        </w:rPr>
        <w:tab/>
        <w:t>Banco Interamericano de Desarrollo</w:t>
      </w:r>
    </w:p>
    <w:p w:rsidR="006D130A" w:rsidRPr="006D130A" w:rsidRDefault="006D130A" w:rsidP="006D130A">
      <w:pPr>
        <w:autoSpaceDE w:val="0"/>
        <w:autoSpaceDN w:val="0"/>
        <w:adjustRightInd w:val="0"/>
        <w:rPr>
          <w:rFonts w:ascii="Times New Roman" w:hAnsi="Times New Roman"/>
          <w:lang w:val="es-AR" w:eastAsia="es-AR"/>
        </w:rPr>
      </w:pPr>
      <w:r w:rsidRPr="006D130A">
        <w:rPr>
          <w:rFonts w:ascii="Times New Roman" w:hAnsi="Times New Roman"/>
          <w:lang w:val="es-AR" w:eastAsia="es-AR"/>
        </w:rPr>
        <w:t>BM</w:t>
      </w:r>
      <w:r w:rsidRPr="006D130A">
        <w:rPr>
          <w:rFonts w:ascii="Times New Roman" w:hAnsi="Times New Roman"/>
          <w:lang w:val="es-AR" w:eastAsia="es-AR"/>
        </w:rPr>
        <w:tab/>
      </w:r>
      <w:r w:rsidRPr="006D130A">
        <w:rPr>
          <w:rFonts w:ascii="Times New Roman" w:hAnsi="Times New Roman"/>
          <w:lang w:val="es-AR" w:eastAsia="es-AR"/>
        </w:rPr>
        <w:tab/>
        <w:t>Banco Mundial</w:t>
      </w:r>
    </w:p>
    <w:p w:rsidR="006D130A" w:rsidRPr="006D130A" w:rsidRDefault="006D130A" w:rsidP="006D130A">
      <w:pPr>
        <w:autoSpaceDE w:val="0"/>
        <w:autoSpaceDN w:val="0"/>
        <w:adjustRightInd w:val="0"/>
        <w:rPr>
          <w:rFonts w:ascii="Times New Roman" w:hAnsi="Times New Roman"/>
          <w:lang w:val="es-AR" w:eastAsia="es-AR"/>
        </w:rPr>
      </w:pPr>
      <w:r w:rsidRPr="006D130A">
        <w:rPr>
          <w:rFonts w:ascii="Times New Roman" w:hAnsi="Times New Roman"/>
          <w:lang w:val="es-AR" w:eastAsia="es-AR"/>
        </w:rPr>
        <w:t xml:space="preserve">DNPOIC </w:t>
      </w:r>
      <w:r w:rsidRPr="006D130A">
        <w:rPr>
          <w:rFonts w:ascii="Times New Roman" w:hAnsi="Times New Roman"/>
          <w:lang w:val="es-AR" w:eastAsia="es-AR"/>
        </w:rPr>
        <w:tab/>
        <w:t>Dirección Nacional de Proyectos con Organismos Internacionales de Crédito</w:t>
      </w:r>
    </w:p>
    <w:p w:rsidR="006D130A" w:rsidRPr="006D130A" w:rsidRDefault="006D130A" w:rsidP="006D130A">
      <w:pPr>
        <w:autoSpaceDE w:val="0"/>
        <w:autoSpaceDN w:val="0"/>
        <w:adjustRightInd w:val="0"/>
        <w:rPr>
          <w:rFonts w:ascii="Times New Roman" w:hAnsi="Times New Roman"/>
          <w:lang w:val="es-AR" w:eastAsia="es-AR"/>
        </w:rPr>
      </w:pPr>
      <w:r w:rsidRPr="006D130A">
        <w:rPr>
          <w:rFonts w:ascii="Times New Roman" w:hAnsi="Times New Roman"/>
          <w:lang w:val="es-AR" w:eastAsia="es-AR"/>
        </w:rPr>
        <w:t>EEEP</w:t>
      </w:r>
      <w:r w:rsidRPr="006D130A">
        <w:rPr>
          <w:rFonts w:ascii="Times New Roman" w:hAnsi="Times New Roman"/>
          <w:lang w:val="es-AR" w:eastAsia="es-AR"/>
        </w:rPr>
        <w:tab/>
      </w:r>
      <w:r w:rsidRPr="006D130A">
        <w:rPr>
          <w:rFonts w:ascii="Times New Roman" w:hAnsi="Times New Roman"/>
          <w:lang w:val="es-AR" w:eastAsia="es-AR"/>
        </w:rPr>
        <w:tab/>
        <w:t>Empresa Pública de Desarrollo Estratégico -Ecuador Estratégico</w:t>
      </w:r>
    </w:p>
    <w:p w:rsidR="006D130A" w:rsidRPr="006D130A" w:rsidRDefault="006D130A" w:rsidP="006D130A">
      <w:pPr>
        <w:autoSpaceDE w:val="0"/>
        <w:autoSpaceDN w:val="0"/>
        <w:adjustRightInd w:val="0"/>
        <w:rPr>
          <w:rFonts w:ascii="Times New Roman" w:hAnsi="Times New Roman"/>
          <w:lang w:val="es-AR" w:eastAsia="es-AR"/>
        </w:rPr>
      </w:pPr>
      <w:r w:rsidRPr="006D130A">
        <w:rPr>
          <w:rFonts w:ascii="Times New Roman" w:hAnsi="Times New Roman"/>
          <w:lang w:val="es-AR" w:eastAsia="es-AR"/>
        </w:rPr>
        <w:t>FCC</w:t>
      </w:r>
      <w:r w:rsidRPr="006D130A">
        <w:rPr>
          <w:rFonts w:ascii="Times New Roman" w:hAnsi="Times New Roman"/>
          <w:lang w:val="es-AR" w:eastAsia="es-AR"/>
        </w:rPr>
        <w:tab/>
      </w:r>
      <w:r w:rsidRPr="006D130A">
        <w:rPr>
          <w:rFonts w:ascii="Times New Roman" w:hAnsi="Times New Roman"/>
          <w:lang w:val="es-AR" w:eastAsia="es-AR"/>
        </w:rPr>
        <w:tab/>
        <w:t>Facilidad de Crédito Contingente para Emergencias por Desastres Naturales</w:t>
      </w:r>
    </w:p>
    <w:p w:rsidR="006D130A" w:rsidRDefault="006D130A" w:rsidP="006D130A">
      <w:pPr>
        <w:autoSpaceDE w:val="0"/>
        <w:autoSpaceDN w:val="0"/>
        <w:adjustRightInd w:val="0"/>
        <w:rPr>
          <w:rFonts w:ascii="Times New Roman" w:hAnsi="Times New Roman"/>
          <w:lang w:val="es-AR" w:eastAsia="es-AR"/>
        </w:rPr>
      </w:pPr>
      <w:r w:rsidRPr="006D130A">
        <w:rPr>
          <w:rFonts w:ascii="Times New Roman" w:hAnsi="Times New Roman"/>
          <w:lang w:val="es-AR" w:eastAsia="es-AR"/>
        </w:rPr>
        <w:t xml:space="preserve">FRI </w:t>
      </w:r>
      <w:r w:rsidRPr="006D130A">
        <w:rPr>
          <w:rFonts w:ascii="Times New Roman" w:hAnsi="Times New Roman"/>
          <w:lang w:val="es-AR" w:eastAsia="es-AR"/>
        </w:rPr>
        <w:tab/>
      </w:r>
      <w:r w:rsidRPr="006D130A">
        <w:rPr>
          <w:rFonts w:ascii="Times New Roman" w:hAnsi="Times New Roman"/>
          <w:lang w:val="es-AR" w:eastAsia="es-AR"/>
        </w:rPr>
        <w:tab/>
        <w:t>Facilidad de Respuesta Inmediata a Emergencias Causadas por Desastres</w:t>
      </w:r>
    </w:p>
    <w:p w:rsidR="00433416" w:rsidRPr="006D130A" w:rsidRDefault="00433416" w:rsidP="006D130A">
      <w:pPr>
        <w:autoSpaceDE w:val="0"/>
        <w:autoSpaceDN w:val="0"/>
        <w:adjustRightInd w:val="0"/>
        <w:rPr>
          <w:rFonts w:ascii="Times New Roman" w:hAnsi="Times New Roman"/>
          <w:lang w:val="es-AR" w:eastAsia="es-AR"/>
        </w:rPr>
      </w:pPr>
      <w:r>
        <w:rPr>
          <w:rFonts w:ascii="Times New Roman" w:hAnsi="Times New Roman"/>
          <w:lang w:val="es-AR" w:eastAsia="es-AR"/>
        </w:rPr>
        <w:t>GdA</w:t>
      </w:r>
      <w:r>
        <w:rPr>
          <w:rFonts w:ascii="Times New Roman" w:hAnsi="Times New Roman"/>
          <w:lang w:val="es-AR" w:eastAsia="es-AR"/>
        </w:rPr>
        <w:tab/>
      </w:r>
      <w:r>
        <w:rPr>
          <w:rFonts w:ascii="Times New Roman" w:hAnsi="Times New Roman"/>
          <w:lang w:val="es-AR" w:eastAsia="es-AR"/>
        </w:rPr>
        <w:tab/>
        <w:t xml:space="preserve">Gobiernos </w:t>
      </w:r>
      <w:r w:rsidR="00837476">
        <w:rPr>
          <w:rFonts w:ascii="Times New Roman" w:hAnsi="Times New Roman"/>
          <w:lang w:val="es-AR" w:eastAsia="es-AR"/>
        </w:rPr>
        <w:t>autónomos descentralizados</w:t>
      </w:r>
    </w:p>
    <w:p w:rsidR="006D130A" w:rsidRPr="006D130A" w:rsidRDefault="006D130A" w:rsidP="006D130A">
      <w:pPr>
        <w:autoSpaceDE w:val="0"/>
        <w:autoSpaceDN w:val="0"/>
        <w:adjustRightInd w:val="0"/>
        <w:rPr>
          <w:rFonts w:ascii="Times New Roman" w:hAnsi="Times New Roman"/>
          <w:lang w:val="es-AR" w:eastAsia="es-AR"/>
        </w:rPr>
      </w:pPr>
      <w:r w:rsidRPr="006D130A">
        <w:rPr>
          <w:rFonts w:ascii="Times New Roman" w:hAnsi="Times New Roman"/>
          <w:lang w:val="es-AR" w:eastAsia="es-AR"/>
        </w:rPr>
        <w:t>GdE</w:t>
      </w:r>
      <w:r w:rsidRPr="006D130A">
        <w:rPr>
          <w:rFonts w:ascii="Times New Roman" w:hAnsi="Times New Roman"/>
          <w:lang w:val="es-AR" w:eastAsia="es-AR"/>
        </w:rPr>
        <w:tab/>
      </w:r>
      <w:r w:rsidRPr="006D130A">
        <w:rPr>
          <w:rFonts w:ascii="Times New Roman" w:hAnsi="Times New Roman"/>
          <w:lang w:val="es-AR" w:eastAsia="es-AR"/>
        </w:rPr>
        <w:tab/>
        <w:t>Gobierno de Ecuador</w:t>
      </w:r>
    </w:p>
    <w:p w:rsidR="006D130A" w:rsidRPr="006D130A" w:rsidRDefault="006D130A" w:rsidP="006D130A">
      <w:pPr>
        <w:autoSpaceDE w:val="0"/>
        <w:autoSpaceDN w:val="0"/>
        <w:adjustRightInd w:val="0"/>
        <w:rPr>
          <w:rFonts w:ascii="Times New Roman" w:hAnsi="Times New Roman"/>
          <w:lang w:val="es-AR" w:eastAsia="es-AR"/>
        </w:rPr>
      </w:pPr>
      <w:r w:rsidRPr="006D130A">
        <w:rPr>
          <w:rFonts w:ascii="Times New Roman" w:hAnsi="Times New Roman"/>
          <w:lang w:val="es-AR" w:eastAsia="es-AR"/>
        </w:rPr>
        <w:t xml:space="preserve">GRD </w:t>
      </w:r>
      <w:r w:rsidRPr="006D130A">
        <w:rPr>
          <w:rFonts w:ascii="Times New Roman" w:hAnsi="Times New Roman"/>
          <w:lang w:val="es-AR" w:eastAsia="es-AR"/>
        </w:rPr>
        <w:tab/>
      </w:r>
      <w:r w:rsidRPr="006D130A">
        <w:rPr>
          <w:rFonts w:ascii="Times New Roman" w:hAnsi="Times New Roman"/>
          <w:lang w:val="es-AR" w:eastAsia="es-AR"/>
        </w:rPr>
        <w:tab/>
        <w:t xml:space="preserve">Gestión de </w:t>
      </w:r>
      <w:r w:rsidR="00837476" w:rsidRPr="006D130A">
        <w:rPr>
          <w:rFonts w:ascii="Times New Roman" w:hAnsi="Times New Roman"/>
          <w:lang w:val="es-AR" w:eastAsia="es-AR"/>
        </w:rPr>
        <w:t>riesgo de desastres</w:t>
      </w:r>
    </w:p>
    <w:p w:rsidR="006D130A" w:rsidRPr="006D130A" w:rsidRDefault="006D130A" w:rsidP="006D130A">
      <w:pPr>
        <w:autoSpaceDE w:val="0"/>
        <w:autoSpaceDN w:val="0"/>
        <w:adjustRightInd w:val="0"/>
        <w:rPr>
          <w:rFonts w:ascii="Times New Roman" w:hAnsi="Times New Roman"/>
          <w:lang w:val="es-AR" w:eastAsia="es-AR"/>
        </w:rPr>
      </w:pPr>
      <w:r w:rsidRPr="006D130A">
        <w:rPr>
          <w:rFonts w:ascii="Times New Roman" w:hAnsi="Times New Roman"/>
          <w:lang w:val="es-AR" w:eastAsia="es-AR"/>
        </w:rPr>
        <w:t>INEC</w:t>
      </w:r>
      <w:r w:rsidRPr="006D130A">
        <w:rPr>
          <w:rFonts w:ascii="Times New Roman" w:hAnsi="Times New Roman"/>
          <w:lang w:val="es-AR" w:eastAsia="es-AR"/>
        </w:rPr>
        <w:tab/>
      </w:r>
      <w:r w:rsidRPr="006D130A">
        <w:rPr>
          <w:rFonts w:ascii="Times New Roman" w:hAnsi="Times New Roman"/>
          <w:lang w:val="es-AR" w:eastAsia="es-AR"/>
        </w:rPr>
        <w:tab/>
        <w:t>Instituto Nacional de Estadística y Censo de Ecuador</w:t>
      </w:r>
    </w:p>
    <w:p w:rsidR="006D130A" w:rsidRPr="006D130A" w:rsidRDefault="006D130A" w:rsidP="006D130A">
      <w:pPr>
        <w:autoSpaceDE w:val="0"/>
        <w:autoSpaceDN w:val="0"/>
        <w:adjustRightInd w:val="0"/>
        <w:rPr>
          <w:rFonts w:ascii="Times New Roman" w:hAnsi="Times New Roman"/>
          <w:lang w:val="es-AR" w:eastAsia="es-AR"/>
        </w:rPr>
      </w:pPr>
      <w:r w:rsidRPr="006D130A">
        <w:rPr>
          <w:rFonts w:ascii="Times New Roman" w:hAnsi="Times New Roman"/>
          <w:lang w:val="es-AR" w:eastAsia="es-AR"/>
        </w:rPr>
        <w:t xml:space="preserve">LPI </w:t>
      </w:r>
      <w:r w:rsidRPr="006D130A">
        <w:rPr>
          <w:rFonts w:ascii="Times New Roman" w:hAnsi="Times New Roman"/>
          <w:lang w:val="es-AR" w:eastAsia="es-AR"/>
        </w:rPr>
        <w:tab/>
      </w:r>
      <w:r w:rsidRPr="006D130A">
        <w:rPr>
          <w:rFonts w:ascii="Times New Roman" w:hAnsi="Times New Roman"/>
          <w:lang w:val="es-AR" w:eastAsia="es-AR"/>
        </w:rPr>
        <w:tab/>
        <w:t xml:space="preserve">Licitación </w:t>
      </w:r>
      <w:r w:rsidR="00837476" w:rsidRPr="006D130A">
        <w:rPr>
          <w:rFonts w:ascii="Times New Roman" w:hAnsi="Times New Roman"/>
          <w:lang w:val="es-AR" w:eastAsia="es-AR"/>
        </w:rPr>
        <w:t>pública internacional</w:t>
      </w:r>
    </w:p>
    <w:p w:rsidR="006D130A" w:rsidRPr="006D130A" w:rsidRDefault="006D130A" w:rsidP="006D130A">
      <w:pPr>
        <w:autoSpaceDE w:val="0"/>
        <w:autoSpaceDN w:val="0"/>
        <w:adjustRightInd w:val="0"/>
        <w:rPr>
          <w:rFonts w:ascii="Times New Roman" w:hAnsi="Times New Roman"/>
          <w:lang w:val="es-AR" w:eastAsia="es-AR"/>
        </w:rPr>
      </w:pPr>
      <w:r w:rsidRPr="006D130A">
        <w:rPr>
          <w:rFonts w:ascii="Times New Roman" w:hAnsi="Times New Roman"/>
          <w:lang w:val="es-AR" w:eastAsia="es-AR"/>
        </w:rPr>
        <w:t>LPN</w:t>
      </w:r>
      <w:r w:rsidRPr="006D130A">
        <w:rPr>
          <w:rFonts w:ascii="Times New Roman" w:hAnsi="Times New Roman"/>
          <w:lang w:val="es-AR" w:eastAsia="es-AR"/>
        </w:rPr>
        <w:tab/>
      </w:r>
      <w:r w:rsidRPr="006D130A">
        <w:rPr>
          <w:rFonts w:ascii="Times New Roman" w:hAnsi="Times New Roman"/>
          <w:lang w:val="es-AR" w:eastAsia="es-AR"/>
        </w:rPr>
        <w:tab/>
        <w:t xml:space="preserve">Licitación </w:t>
      </w:r>
      <w:r w:rsidR="00837476" w:rsidRPr="006D130A">
        <w:rPr>
          <w:rFonts w:ascii="Times New Roman" w:hAnsi="Times New Roman"/>
          <w:lang w:val="es-AR" w:eastAsia="es-AR"/>
        </w:rPr>
        <w:t>pública nacional</w:t>
      </w:r>
    </w:p>
    <w:p w:rsidR="006D130A" w:rsidRPr="006D130A" w:rsidRDefault="006D130A" w:rsidP="006D130A">
      <w:pPr>
        <w:autoSpaceDE w:val="0"/>
        <w:autoSpaceDN w:val="0"/>
        <w:adjustRightInd w:val="0"/>
        <w:rPr>
          <w:rFonts w:ascii="Times New Roman" w:hAnsi="Times New Roman"/>
          <w:lang w:val="es-AR" w:eastAsia="es-AR"/>
        </w:rPr>
      </w:pPr>
      <w:r w:rsidRPr="006D130A">
        <w:rPr>
          <w:rFonts w:ascii="Times New Roman" w:hAnsi="Times New Roman"/>
          <w:lang w:val="es-AR" w:eastAsia="es-AR"/>
        </w:rPr>
        <w:t>MINFIN</w:t>
      </w:r>
      <w:r w:rsidRPr="006D130A">
        <w:rPr>
          <w:rFonts w:ascii="Times New Roman" w:hAnsi="Times New Roman"/>
          <w:lang w:val="es-AR" w:eastAsia="es-AR"/>
        </w:rPr>
        <w:tab/>
      </w:r>
      <w:r>
        <w:rPr>
          <w:rFonts w:ascii="Times New Roman" w:hAnsi="Times New Roman"/>
          <w:lang w:val="es-AR" w:eastAsia="es-AR"/>
        </w:rPr>
        <w:tab/>
      </w:r>
      <w:r w:rsidRPr="006D130A">
        <w:rPr>
          <w:rFonts w:ascii="Times New Roman" w:hAnsi="Times New Roman"/>
          <w:lang w:val="es-AR" w:eastAsia="es-AR"/>
        </w:rPr>
        <w:t>Ministerio de Finanzas del Ecuador</w:t>
      </w:r>
    </w:p>
    <w:p w:rsidR="006D130A" w:rsidRPr="006D130A" w:rsidRDefault="006D130A" w:rsidP="006D130A">
      <w:pPr>
        <w:autoSpaceDE w:val="0"/>
        <w:autoSpaceDN w:val="0"/>
        <w:adjustRightInd w:val="0"/>
        <w:rPr>
          <w:rFonts w:ascii="Times New Roman" w:hAnsi="Times New Roman"/>
          <w:lang w:val="es-AR" w:eastAsia="es-AR"/>
        </w:rPr>
      </w:pPr>
      <w:r w:rsidRPr="006D130A">
        <w:rPr>
          <w:rFonts w:ascii="Times New Roman" w:hAnsi="Times New Roman"/>
          <w:lang w:val="es-AR" w:eastAsia="es-AR"/>
        </w:rPr>
        <w:t>MTOP</w:t>
      </w:r>
      <w:r w:rsidRPr="006D130A">
        <w:rPr>
          <w:rFonts w:ascii="Times New Roman" w:hAnsi="Times New Roman"/>
          <w:lang w:val="es-AR" w:eastAsia="es-AR"/>
        </w:rPr>
        <w:tab/>
      </w:r>
      <w:r w:rsidRPr="006D130A">
        <w:rPr>
          <w:rFonts w:ascii="Times New Roman" w:hAnsi="Times New Roman"/>
          <w:lang w:val="es-AR" w:eastAsia="es-AR"/>
        </w:rPr>
        <w:tab/>
        <w:t>Ministerio de Transporte y Obras Públicas</w:t>
      </w:r>
    </w:p>
    <w:p w:rsidR="006D130A" w:rsidRPr="006D130A" w:rsidRDefault="006D130A" w:rsidP="006D130A">
      <w:pPr>
        <w:autoSpaceDE w:val="0"/>
        <w:autoSpaceDN w:val="0"/>
        <w:adjustRightInd w:val="0"/>
        <w:rPr>
          <w:rFonts w:ascii="Times New Roman" w:hAnsi="Times New Roman"/>
          <w:lang w:val="es-AR" w:eastAsia="es-AR"/>
        </w:rPr>
      </w:pPr>
      <w:r w:rsidRPr="006D130A">
        <w:rPr>
          <w:rFonts w:ascii="Times New Roman" w:hAnsi="Times New Roman"/>
          <w:lang w:val="es-AR" w:eastAsia="es-AR"/>
        </w:rPr>
        <w:t>OMM</w:t>
      </w:r>
      <w:r w:rsidRPr="006D130A">
        <w:rPr>
          <w:rFonts w:ascii="Times New Roman" w:hAnsi="Times New Roman"/>
          <w:lang w:val="es-AR" w:eastAsia="es-AR"/>
        </w:rPr>
        <w:tab/>
      </w:r>
      <w:r w:rsidRPr="006D130A">
        <w:rPr>
          <w:rFonts w:ascii="Times New Roman" w:hAnsi="Times New Roman"/>
          <w:lang w:val="es-AR" w:eastAsia="es-AR"/>
        </w:rPr>
        <w:tab/>
        <w:t>Organización Meteorológica Mundial de la ONU</w:t>
      </w:r>
    </w:p>
    <w:p w:rsidR="006D130A" w:rsidRPr="006D130A" w:rsidRDefault="006D130A" w:rsidP="006D130A">
      <w:pPr>
        <w:autoSpaceDE w:val="0"/>
        <w:autoSpaceDN w:val="0"/>
        <w:adjustRightInd w:val="0"/>
        <w:rPr>
          <w:rFonts w:ascii="Times New Roman" w:hAnsi="Times New Roman"/>
          <w:lang w:val="es-AR" w:eastAsia="es-AR"/>
        </w:rPr>
      </w:pPr>
      <w:r w:rsidRPr="006D130A">
        <w:rPr>
          <w:rFonts w:ascii="Times New Roman" w:hAnsi="Times New Roman"/>
          <w:lang w:val="es-AR" w:eastAsia="es-AR"/>
        </w:rPr>
        <w:t>PGE</w:t>
      </w:r>
      <w:r w:rsidRPr="006D130A">
        <w:rPr>
          <w:rFonts w:ascii="Times New Roman" w:hAnsi="Times New Roman"/>
          <w:lang w:val="es-AR" w:eastAsia="es-AR"/>
        </w:rPr>
        <w:tab/>
      </w:r>
      <w:r w:rsidRPr="006D130A">
        <w:rPr>
          <w:rFonts w:ascii="Times New Roman" w:hAnsi="Times New Roman"/>
          <w:lang w:val="es-AR" w:eastAsia="es-AR"/>
        </w:rPr>
        <w:tab/>
        <w:t>Presupuesto General del Estado</w:t>
      </w:r>
    </w:p>
    <w:p w:rsidR="006D130A" w:rsidRPr="006D130A" w:rsidRDefault="006D130A" w:rsidP="006D130A">
      <w:pPr>
        <w:autoSpaceDE w:val="0"/>
        <w:autoSpaceDN w:val="0"/>
        <w:adjustRightInd w:val="0"/>
        <w:rPr>
          <w:rFonts w:ascii="Times New Roman" w:hAnsi="Times New Roman"/>
          <w:lang w:val="es-AR" w:eastAsia="es-AR"/>
        </w:rPr>
      </w:pPr>
      <w:r w:rsidRPr="006D130A">
        <w:rPr>
          <w:rFonts w:ascii="Times New Roman" w:hAnsi="Times New Roman"/>
          <w:lang w:val="es-AR" w:eastAsia="es-AR"/>
        </w:rPr>
        <w:t xml:space="preserve">PIB </w:t>
      </w:r>
      <w:r w:rsidRPr="006D130A">
        <w:rPr>
          <w:rFonts w:ascii="Times New Roman" w:hAnsi="Times New Roman"/>
          <w:lang w:val="es-AR" w:eastAsia="es-AR"/>
        </w:rPr>
        <w:tab/>
      </w:r>
      <w:r w:rsidRPr="006D130A">
        <w:rPr>
          <w:rFonts w:ascii="Times New Roman" w:hAnsi="Times New Roman"/>
          <w:lang w:val="es-AR" w:eastAsia="es-AR"/>
        </w:rPr>
        <w:tab/>
        <w:t xml:space="preserve">Producto </w:t>
      </w:r>
      <w:r w:rsidR="00837476" w:rsidRPr="006D130A">
        <w:rPr>
          <w:rFonts w:ascii="Times New Roman" w:hAnsi="Times New Roman"/>
          <w:lang w:val="es-AR" w:eastAsia="es-AR"/>
        </w:rPr>
        <w:t>interno bruto</w:t>
      </w:r>
    </w:p>
    <w:p w:rsidR="006D130A" w:rsidRPr="006D130A" w:rsidRDefault="006D130A" w:rsidP="006D130A">
      <w:pPr>
        <w:autoSpaceDE w:val="0"/>
        <w:autoSpaceDN w:val="0"/>
        <w:adjustRightInd w:val="0"/>
        <w:rPr>
          <w:rFonts w:ascii="Times New Roman" w:hAnsi="Times New Roman"/>
          <w:lang w:val="es-AR" w:eastAsia="es-AR"/>
        </w:rPr>
      </w:pPr>
      <w:r w:rsidRPr="006D130A">
        <w:rPr>
          <w:rFonts w:ascii="Times New Roman" w:hAnsi="Times New Roman"/>
          <w:lang w:val="es-AR" w:eastAsia="es-AR"/>
        </w:rPr>
        <w:t xml:space="preserve">PNGR </w:t>
      </w:r>
      <w:r w:rsidRPr="006D130A">
        <w:rPr>
          <w:rFonts w:ascii="Times New Roman" w:hAnsi="Times New Roman"/>
          <w:lang w:val="es-AR" w:eastAsia="es-AR"/>
        </w:rPr>
        <w:tab/>
      </w:r>
      <w:r w:rsidRPr="006D130A">
        <w:rPr>
          <w:rFonts w:ascii="Times New Roman" w:hAnsi="Times New Roman"/>
          <w:lang w:val="es-AR" w:eastAsia="es-AR"/>
        </w:rPr>
        <w:tab/>
        <w:t>Plan Nacional para la Gestión del Riesgo</w:t>
      </w:r>
    </w:p>
    <w:p w:rsidR="006D130A" w:rsidRPr="006D130A" w:rsidRDefault="006D130A" w:rsidP="006D130A">
      <w:pPr>
        <w:autoSpaceDE w:val="0"/>
        <w:autoSpaceDN w:val="0"/>
        <w:adjustRightInd w:val="0"/>
        <w:rPr>
          <w:rFonts w:ascii="Times New Roman" w:hAnsi="Times New Roman"/>
          <w:lang w:val="es-AR" w:eastAsia="es-AR"/>
        </w:rPr>
      </w:pPr>
      <w:r w:rsidRPr="006D130A">
        <w:rPr>
          <w:rFonts w:ascii="Times New Roman" w:hAnsi="Times New Roman"/>
          <w:lang w:val="es-AR" w:eastAsia="es-AR"/>
        </w:rPr>
        <w:t>PNUD</w:t>
      </w:r>
      <w:r w:rsidRPr="006D130A">
        <w:rPr>
          <w:rFonts w:ascii="Times New Roman" w:hAnsi="Times New Roman"/>
          <w:lang w:val="es-AR" w:eastAsia="es-AR"/>
        </w:rPr>
        <w:tab/>
      </w:r>
      <w:r w:rsidRPr="006D130A">
        <w:rPr>
          <w:rFonts w:ascii="Times New Roman" w:hAnsi="Times New Roman"/>
          <w:lang w:val="es-AR" w:eastAsia="es-AR"/>
        </w:rPr>
        <w:tab/>
        <w:t>Programa de las Naciones Unidas para el Desarrollo</w:t>
      </w:r>
    </w:p>
    <w:p w:rsidR="006D130A" w:rsidRPr="006D130A" w:rsidRDefault="006D130A" w:rsidP="006D130A">
      <w:pPr>
        <w:autoSpaceDE w:val="0"/>
        <w:autoSpaceDN w:val="0"/>
        <w:adjustRightInd w:val="0"/>
        <w:rPr>
          <w:rFonts w:ascii="Times New Roman" w:hAnsi="Times New Roman"/>
          <w:lang w:val="es-AR" w:eastAsia="es-AR"/>
        </w:rPr>
      </w:pPr>
      <w:r w:rsidRPr="006D130A">
        <w:rPr>
          <w:rFonts w:ascii="Times New Roman" w:hAnsi="Times New Roman"/>
          <w:lang w:val="es-AR" w:eastAsia="es-AR"/>
        </w:rPr>
        <w:t xml:space="preserve">RRHH </w:t>
      </w:r>
      <w:r w:rsidRPr="006D130A">
        <w:rPr>
          <w:rFonts w:ascii="Times New Roman" w:hAnsi="Times New Roman"/>
          <w:lang w:val="es-AR" w:eastAsia="es-AR"/>
        </w:rPr>
        <w:tab/>
      </w:r>
      <w:r w:rsidRPr="006D130A">
        <w:rPr>
          <w:rFonts w:ascii="Times New Roman" w:hAnsi="Times New Roman"/>
          <w:lang w:val="es-AR" w:eastAsia="es-AR"/>
        </w:rPr>
        <w:tab/>
        <w:t>Recursos Humanos</w:t>
      </w:r>
    </w:p>
    <w:p w:rsidR="006D130A" w:rsidRPr="006D130A" w:rsidRDefault="006D130A" w:rsidP="006D130A">
      <w:pPr>
        <w:autoSpaceDE w:val="0"/>
        <w:autoSpaceDN w:val="0"/>
        <w:adjustRightInd w:val="0"/>
        <w:rPr>
          <w:rFonts w:ascii="Times New Roman" w:hAnsi="Times New Roman"/>
          <w:lang w:val="es-AR" w:eastAsia="es-AR"/>
        </w:rPr>
      </w:pPr>
      <w:r w:rsidRPr="006D130A">
        <w:rPr>
          <w:rFonts w:ascii="Times New Roman" w:hAnsi="Times New Roman"/>
          <w:lang w:val="es-AR" w:eastAsia="es-AR"/>
        </w:rPr>
        <w:t>SENAGUA</w:t>
      </w:r>
      <w:r w:rsidRPr="006D130A">
        <w:rPr>
          <w:rFonts w:ascii="Times New Roman" w:hAnsi="Times New Roman"/>
          <w:lang w:val="es-AR" w:eastAsia="es-AR"/>
        </w:rPr>
        <w:tab/>
        <w:t>Secretaría del Agua de Ecuador</w:t>
      </w:r>
    </w:p>
    <w:p w:rsidR="006D130A" w:rsidRPr="006D130A" w:rsidRDefault="006D130A" w:rsidP="006D130A">
      <w:pPr>
        <w:autoSpaceDE w:val="0"/>
        <w:autoSpaceDN w:val="0"/>
        <w:adjustRightInd w:val="0"/>
        <w:rPr>
          <w:rFonts w:ascii="Times New Roman" w:hAnsi="Times New Roman"/>
          <w:lang w:val="es-AR" w:eastAsia="es-AR"/>
        </w:rPr>
      </w:pPr>
      <w:r w:rsidRPr="006D130A">
        <w:rPr>
          <w:rFonts w:ascii="Times New Roman" w:hAnsi="Times New Roman"/>
          <w:lang w:val="es-AR" w:eastAsia="es-AR"/>
        </w:rPr>
        <w:t>SENPLADES</w:t>
      </w:r>
      <w:r w:rsidRPr="006D130A">
        <w:rPr>
          <w:rFonts w:ascii="Times New Roman" w:hAnsi="Times New Roman"/>
          <w:lang w:val="es-AR" w:eastAsia="es-AR"/>
        </w:rPr>
        <w:tab/>
        <w:t>Secretaría Nacional de Planificación del Desarrollo</w:t>
      </w:r>
    </w:p>
    <w:p w:rsidR="006D130A" w:rsidRDefault="006D130A" w:rsidP="006D130A">
      <w:pPr>
        <w:autoSpaceDE w:val="0"/>
        <w:autoSpaceDN w:val="0"/>
        <w:adjustRightInd w:val="0"/>
        <w:rPr>
          <w:rFonts w:ascii="Times New Roman" w:hAnsi="Times New Roman"/>
          <w:lang w:val="es-AR" w:eastAsia="es-AR"/>
        </w:rPr>
      </w:pPr>
      <w:r w:rsidRPr="006D130A">
        <w:rPr>
          <w:rFonts w:ascii="Times New Roman" w:hAnsi="Times New Roman"/>
          <w:lang w:val="es-AR" w:eastAsia="es-AR"/>
        </w:rPr>
        <w:t xml:space="preserve">SEPA </w:t>
      </w:r>
      <w:r w:rsidRPr="006D130A">
        <w:rPr>
          <w:rFonts w:ascii="Times New Roman" w:hAnsi="Times New Roman"/>
          <w:lang w:val="es-AR" w:eastAsia="es-AR"/>
        </w:rPr>
        <w:tab/>
      </w:r>
      <w:r w:rsidRPr="006D130A">
        <w:rPr>
          <w:rFonts w:ascii="Times New Roman" w:hAnsi="Times New Roman"/>
          <w:lang w:val="es-AR" w:eastAsia="es-AR"/>
        </w:rPr>
        <w:tab/>
        <w:t>Sistema de Ejecución de Planes de Adquisiciones</w:t>
      </w:r>
    </w:p>
    <w:p w:rsidR="00BE6D44" w:rsidRPr="006D130A" w:rsidRDefault="00BE6D44" w:rsidP="006D130A">
      <w:pPr>
        <w:autoSpaceDE w:val="0"/>
        <w:autoSpaceDN w:val="0"/>
        <w:adjustRightInd w:val="0"/>
        <w:rPr>
          <w:rFonts w:ascii="Times New Roman" w:hAnsi="Times New Roman"/>
          <w:lang w:val="es-AR" w:eastAsia="es-AR"/>
        </w:rPr>
      </w:pPr>
      <w:r>
        <w:rPr>
          <w:rFonts w:ascii="Times New Roman" w:hAnsi="Times New Roman"/>
          <w:lang w:val="es-AR" w:eastAsia="es-AR"/>
        </w:rPr>
        <w:t xml:space="preserve">SGR </w:t>
      </w:r>
      <w:r>
        <w:rPr>
          <w:rFonts w:ascii="Times New Roman" w:hAnsi="Times New Roman"/>
          <w:lang w:val="es-AR" w:eastAsia="es-AR"/>
        </w:rPr>
        <w:tab/>
      </w:r>
      <w:r>
        <w:rPr>
          <w:rFonts w:ascii="Times New Roman" w:hAnsi="Times New Roman"/>
          <w:lang w:val="es-AR" w:eastAsia="es-AR"/>
        </w:rPr>
        <w:tab/>
        <w:t>Secretaría de Gestión de Riesgo</w:t>
      </w:r>
    </w:p>
    <w:p w:rsidR="005A504D" w:rsidRDefault="005A504D" w:rsidP="005A504D">
      <w:pPr>
        <w:autoSpaceDE w:val="0"/>
        <w:autoSpaceDN w:val="0"/>
        <w:adjustRightInd w:val="0"/>
        <w:rPr>
          <w:rFonts w:ascii="Times New Roman" w:hAnsi="Times New Roman"/>
          <w:lang w:val="es-AR" w:eastAsia="es-AR"/>
        </w:rPr>
      </w:pPr>
      <w:r w:rsidRPr="00E10C8A">
        <w:rPr>
          <w:rFonts w:ascii="Times New Roman" w:hAnsi="Times New Roman"/>
          <w:lang w:val="es-AR" w:eastAsia="es-AR"/>
        </w:rPr>
        <w:t xml:space="preserve">TIR </w:t>
      </w:r>
      <w:r>
        <w:rPr>
          <w:rFonts w:ascii="Times New Roman" w:hAnsi="Times New Roman"/>
          <w:lang w:val="es-AR" w:eastAsia="es-AR"/>
        </w:rPr>
        <w:tab/>
      </w:r>
      <w:r>
        <w:rPr>
          <w:rFonts w:ascii="Times New Roman" w:hAnsi="Times New Roman"/>
          <w:lang w:val="es-AR" w:eastAsia="es-AR"/>
        </w:rPr>
        <w:tab/>
      </w:r>
      <w:r w:rsidRPr="00E10C8A">
        <w:rPr>
          <w:rFonts w:ascii="Times New Roman" w:hAnsi="Times New Roman"/>
          <w:lang w:val="es-AR" w:eastAsia="es-AR"/>
        </w:rPr>
        <w:t xml:space="preserve">Tasa </w:t>
      </w:r>
      <w:r w:rsidR="00837476">
        <w:rPr>
          <w:rFonts w:ascii="Times New Roman" w:hAnsi="Times New Roman"/>
          <w:lang w:val="es-AR" w:eastAsia="es-AR"/>
        </w:rPr>
        <w:t>i</w:t>
      </w:r>
      <w:r w:rsidR="00837476" w:rsidRPr="00E10C8A">
        <w:rPr>
          <w:rFonts w:ascii="Times New Roman" w:hAnsi="Times New Roman"/>
          <w:lang w:val="es-AR" w:eastAsia="es-AR"/>
        </w:rPr>
        <w:t xml:space="preserve">nterna </w:t>
      </w:r>
      <w:r w:rsidRPr="00E10C8A">
        <w:rPr>
          <w:rFonts w:ascii="Times New Roman" w:hAnsi="Times New Roman"/>
          <w:lang w:val="es-AR" w:eastAsia="es-AR"/>
        </w:rPr>
        <w:t xml:space="preserve">de </w:t>
      </w:r>
      <w:r w:rsidR="00837476">
        <w:rPr>
          <w:rFonts w:ascii="Times New Roman" w:hAnsi="Times New Roman"/>
          <w:lang w:val="es-AR" w:eastAsia="es-AR"/>
        </w:rPr>
        <w:t>r</w:t>
      </w:r>
      <w:r w:rsidR="00837476" w:rsidRPr="00E10C8A">
        <w:rPr>
          <w:rFonts w:ascii="Times New Roman" w:hAnsi="Times New Roman"/>
          <w:lang w:val="es-AR" w:eastAsia="es-AR"/>
        </w:rPr>
        <w:t>etorno</w:t>
      </w:r>
    </w:p>
    <w:p w:rsidR="00D1046D" w:rsidRDefault="005A504D" w:rsidP="005A504D">
      <w:pPr>
        <w:rPr>
          <w:rFonts w:ascii="Times New Roman" w:hAnsi="Times New Roman"/>
          <w:lang w:val="es-AR" w:eastAsia="es-AR"/>
        </w:rPr>
      </w:pPr>
      <w:r>
        <w:rPr>
          <w:rFonts w:ascii="Times New Roman" w:hAnsi="Times New Roman"/>
          <w:lang w:val="es-AR" w:eastAsia="es-AR"/>
        </w:rPr>
        <w:t>VAN</w:t>
      </w:r>
      <w:r>
        <w:rPr>
          <w:rFonts w:ascii="Times New Roman" w:hAnsi="Times New Roman"/>
          <w:lang w:val="es-AR" w:eastAsia="es-AR"/>
        </w:rPr>
        <w:tab/>
      </w:r>
      <w:r>
        <w:rPr>
          <w:rFonts w:ascii="Times New Roman" w:hAnsi="Times New Roman"/>
          <w:lang w:val="es-AR" w:eastAsia="es-AR"/>
        </w:rPr>
        <w:tab/>
        <w:t xml:space="preserve">Valor </w:t>
      </w:r>
      <w:r w:rsidR="00837476">
        <w:rPr>
          <w:rFonts w:ascii="Times New Roman" w:hAnsi="Times New Roman"/>
          <w:lang w:val="es-AR" w:eastAsia="es-AR"/>
        </w:rPr>
        <w:t>actual neto</w:t>
      </w:r>
    </w:p>
    <w:p w:rsidR="00F00AF0" w:rsidRDefault="00D1046D" w:rsidP="005A504D">
      <w:pPr>
        <w:rPr>
          <w:rStyle w:val="Heading1Char"/>
        </w:rPr>
      </w:pPr>
      <w:r>
        <w:rPr>
          <w:rFonts w:ascii="Times New Roman" w:hAnsi="Times New Roman"/>
          <w:lang w:val="es-AR" w:eastAsia="es-AR"/>
        </w:rPr>
        <w:t>VEV</w:t>
      </w:r>
      <w:r>
        <w:rPr>
          <w:rFonts w:ascii="Times New Roman" w:hAnsi="Times New Roman"/>
          <w:lang w:val="es-AR" w:eastAsia="es-AR"/>
        </w:rPr>
        <w:tab/>
      </w:r>
      <w:r>
        <w:rPr>
          <w:rFonts w:ascii="Times New Roman" w:hAnsi="Times New Roman"/>
          <w:lang w:val="es-AR" w:eastAsia="es-AR"/>
        </w:rPr>
        <w:tab/>
        <w:t xml:space="preserve">Valor </w:t>
      </w:r>
      <w:r w:rsidR="00837476">
        <w:rPr>
          <w:rFonts w:ascii="Times New Roman" w:hAnsi="Times New Roman"/>
          <w:lang w:val="es-AR" w:eastAsia="es-AR"/>
        </w:rPr>
        <w:t>e</w:t>
      </w:r>
      <w:r>
        <w:rPr>
          <w:rFonts w:ascii="Times New Roman" w:hAnsi="Times New Roman"/>
          <w:lang w:val="es-AR" w:eastAsia="es-AR"/>
        </w:rPr>
        <w:t xml:space="preserve">stadístico de la </w:t>
      </w:r>
      <w:r w:rsidR="00837476">
        <w:rPr>
          <w:rFonts w:ascii="Times New Roman" w:hAnsi="Times New Roman"/>
          <w:lang w:val="es-AR" w:eastAsia="es-AR"/>
        </w:rPr>
        <w:t>v</w:t>
      </w:r>
      <w:r>
        <w:rPr>
          <w:rFonts w:ascii="Times New Roman" w:hAnsi="Times New Roman"/>
          <w:lang w:val="es-AR" w:eastAsia="es-AR"/>
        </w:rPr>
        <w:t>ida (</w:t>
      </w:r>
      <w:r w:rsidR="00837476">
        <w:rPr>
          <w:rFonts w:ascii="Times New Roman" w:hAnsi="Times New Roman"/>
          <w:lang w:val="es-AR" w:eastAsia="es-AR"/>
        </w:rPr>
        <w:t>Statistical v</w:t>
      </w:r>
      <w:r>
        <w:rPr>
          <w:rFonts w:ascii="Times New Roman" w:hAnsi="Times New Roman"/>
          <w:lang w:val="es-AR" w:eastAsia="es-AR"/>
        </w:rPr>
        <w:t xml:space="preserve">alue of </w:t>
      </w:r>
      <w:r w:rsidR="00837476">
        <w:rPr>
          <w:rFonts w:ascii="Times New Roman" w:hAnsi="Times New Roman"/>
          <w:lang w:val="es-AR" w:eastAsia="es-AR"/>
        </w:rPr>
        <w:t>l</w:t>
      </w:r>
      <w:r>
        <w:rPr>
          <w:rFonts w:ascii="Times New Roman" w:hAnsi="Times New Roman"/>
          <w:lang w:val="es-AR" w:eastAsia="es-AR"/>
        </w:rPr>
        <w:t>ife)</w:t>
      </w:r>
      <w:r w:rsidR="00841A98" w:rsidRPr="00504996">
        <w:rPr>
          <w:lang w:val="es-ES"/>
        </w:rPr>
        <w:br w:type="page"/>
      </w:r>
    </w:p>
    <w:p w:rsidR="006F2F33" w:rsidRPr="00FA064C" w:rsidRDefault="00FA064C" w:rsidP="006F2F33">
      <w:pPr>
        <w:jc w:val="both"/>
        <w:rPr>
          <w:rStyle w:val="Heading1Char"/>
          <w:rFonts w:ascii="Times New Roman" w:hAnsi="Times New Roman"/>
        </w:rPr>
      </w:pPr>
      <w:bookmarkStart w:id="1" w:name="_Toc465929609"/>
      <w:bookmarkStart w:id="2" w:name="_Toc468199822"/>
      <w:r w:rsidRPr="00FA064C">
        <w:rPr>
          <w:rStyle w:val="Heading1Char"/>
          <w:rFonts w:ascii="Times New Roman" w:hAnsi="Times New Roman"/>
        </w:rPr>
        <w:lastRenderedPageBreak/>
        <w:t>RESUMEN EJECUTIVO</w:t>
      </w:r>
      <w:bookmarkEnd w:id="1"/>
      <w:bookmarkEnd w:id="2"/>
    </w:p>
    <w:p w:rsidR="006533EC" w:rsidRDefault="006533EC" w:rsidP="006F2F33">
      <w:pPr>
        <w:jc w:val="both"/>
        <w:rPr>
          <w:rFonts w:ascii="Times New Roman" w:hAnsi="Times New Roman"/>
          <w:i/>
          <w:sz w:val="22"/>
          <w:szCs w:val="22"/>
          <w:lang w:val="es-AR"/>
        </w:rPr>
      </w:pPr>
    </w:p>
    <w:p w:rsidR="001F1256" w:rsidRDefault="00312481" w:rsidP="006F2F33">
      <w:pPr>
        <w:jc w:val="both"/>
        <w:rPr>
          <w:rFonts w:ascii="Times New Roman" w:hAnsi="Times New Roman"/>
          <w:sz w:val="22"/>
          <w:szCs w:val="22"/>
          <w:lang w:val="es-AR"/>
        </w:rPr>
      </w:pPr>
      <w:r w:rsidRPr="00312481">
        <w:rPr>
          <w:rFonts w:ascii="Times New Roman" w:hAnsi="Times New Roman"/>
          <w:i/>
          <w:sz w:val="22"/>
          <w:szCs w:val="22"/>
          <w:lang w:val="es-AR"/>
        </w:rPr>
        <w:t>Contenido.</w:t>
      </w:r>
      <w:r w:rsidR="000C15FD">
        <w:rPr>
          <w:rFonts w:ascii="Times New Roman" w:hAnsi="Times New Roman"/>
          <w:i/>
          <w:sz w:val="22"/>
          <w:szCs w:val="22"/>
          <w:lang w:val="es-AR"/>
        </w:rPr>
        <w:t xml:space="preserve"> </w:t>
      </w:r>
      <w:r w:rsidR="00C93F2E" w:rsidRPr="00AA497D">
        <w:rPr>
          <w:rFonts w:ascii="Times New Roman" w:hAnsi="Times New Roman"/>
          <w:sz w:val="22"/>
          <w:szCs w:val="22"/>
          <w:lang w:val="es-AR"/>
        </w:rPr>
        <w:t xml:space="preserve">El presente documento </w:t>
      </w:r>
      <w:r w:rsidR="006F2F33">
        <w:rPr>
          <w:rFonts w:ascii="Times New Roman" w:hAnsi="Times New Roman"/>
          <w:sz w:val="22"/>
          <w:szCs w:val="22"/>
          <w:lang w:val="es-AR"/>
        </w:rPr>
        <w:t xml:space="preserve">utiliza la </w:t>
      </w:r>
      <w:r w:rsidR="00837476">
        <w:rPr>
          <w:rFonts w:ascii="Times New Roman" w:hAnsi="Times New Roman"/>
          <w:sz w:val="22"/>
          <w:szCs w:val="22"/>
          <w:lang w:val="es-AR"/>
        </w:rPr>
        <w:t>metodología c</w:t>
      </w:r>
      <w:r w:rsidR="00837476" w:rsidRPr="00AA497D">
        <w:rPr>
          <w:rFonts w:ascii="Times New Roman" w:hAnsi="Times New Roman"/>
          <w:sz w:val="22"/>
          <w:szCs w:val="22"/>
          <w:lang w:val="es-AR"/>
        </w:rPr>
        <w:t>osto</w:t>
      </w:r>
      <w:r w:rsidR="00C93F2E" w:rsidRPr="00AA497D">
        <w:rPr>
          <w:rFonts w:ascii="Times New Roman" w:hAnsi="Times New Roman"/>
          <w:sz w:val="22"/>
          <w:szCs w:val="22"/>
          <w:lang w:val="es-AR"/>
        </w:rPr>
        <w:t>/</w:t>
      </w:r>
      <w:r w:rsidR="00837476">
        <w:rPr>
          <w:rFonts w:ascii="Times New Roman" w:hAnsi="Times New Roman"/>
          <w:sz w:val="22"/>
          <w:szCs w:val="22"/>
          <w:lang w:val="es-AR"/>
        </w:rPr>
        <w:t>b</w:t>
      </w:r>
      <w:r w:rsidR="00837476" w:rsidRPr="00AA497D">
        <w:rPr>
          <w:rFonts w:ascii="Times New Roman" w:hAnsi="Times New Roman"/>
          <w:sz w:val="22"/>
          <w:szCs w:val="22"/>
          <w:lang w:val="es-AR"/>
        </w:rPr>
        <w:t>eneficio</w:t>
      </w:r>
      <w:r w:rsidR="00837476">
        <w:rPr>
          <w:rFonts w:ascii="Times New Roman" w:hAnsi="Times New Roman"/>
          <w:sz w:val="22"/>
          <w:szCs w:val="22"/>
          <w:lang w:val="es-AR"/>
        </w:rPr>
        <w:t xml:space="preserve"> (C/B)</w:t>
      </w:r>
      <w:r w:rsidR="00837476" w:rsidRPr="00AA497D">
        <w:rPr>
          <w:rFonts w:ascii="Times New Roman" w:hAnsi="Times New Roman"/>
          <w:sz w:val="22"/>
          <w:szCs w:val="22"/>
          <w:lang w:val="es-AR"/>
        </w:rPr>
        <w:t xml:space="preserve"> </w:t>
      </w:r>
      <w:r w:rsidR="00C93F2E" w:rsidRPr="00AA497D">
        <w:rPr>
          <w:rFonts w:ascii="Times New Roman" w:hAnsi="Times New Roman"/>
          <w:sz w:val="22"/>
          <w:szCs w:val="22"/>
          <w:lang w:val="es-AR"/>
        </w:rPr>
        <w:t xml:space="preserve">para la evaluación </w:t>
      </w:r>
      <w:r w:rsidR="00C93F2E" w:rsidRPr="003C6A31">
        <w:rPr>
          <w:rFonts w:ascii="Times New Roman" w:hAnsi="Times New Roman"/>
          <w:sz w:val="24"/>
          <w:szCs w:val="24"/>
          <w:lang w:val="es-AR"/>
        </w:rPr>
        <w:t xml:space="preserve">del </w:t>
      </w:r>
      <w:r w:rsidR="00E50B6A" w:rsidRPr="003C6A31">
        <w:rPr>
          <w:rFonts w:ascii="Times New Roman" w:hAnsi="Times New Roman"/>
          <w:sz w:val="22"/>
          <w:szCs w:val="22"/>
          <w:lang w:val="es-ES"/>
        </w:rPr>
        <w:t>Programa Fortalecimiento del Sistema Nacional de Alerta Temprana</w:t>
      </w:r>
      <w:r w:rsidR="00081A23" w:rsidRPr="00455FC7">
        <w:rPr>
          <w:rFonts w:ascii="Times New Roman" w:hAnsi="Times New Roman"/>
          <w:sz w:val="22"/>
          <w:lang w:val="es-ES_tradnl"/>
        </w:rPr>
        <w:t xml:space="preserve"> </w:t>
      </w:r>
      <w:r w:rsidR="002B43A1" w:rsidRPr="002B43A1">
        <w:rPr>
          <w:rFonts w:ascii="Times New Roman" w:hAnsi="Times New Roman" w:hint="eastAsia"/>
          <w:sz w:val="22"/>
          <w:szCs w:val="22"/>
          <w:lang w:val="es-ES_tradnl"/>
        </w:rPr>
        <w:t>(</w:t>
      </w:r>
      <w:r w:rsidR="00E50B6A">
        <w:rPr>
          <w:rFonts w:ascii="Times New Roman" w:hAnsi="Times New Roman" w:hint="eastAsia"/>
          <w:sz w:val="22"/>
          <w:szCs w:val="22"/>
          <w:lang w:val="es-ES_tradnl"/>
        </w:rPr>
        <w:t>P</w:t>
      </w:r>
      <w:r w:rsidR="00E50B6A">
        <w:rPr>
          <w:rFonts w:ascii="Times New Roman" w:hAnsi="Times New Roman" w:hint="eastAsia"/>
          <w:sz w:val="22"/>
          <w:szCs w:val="22"/>
          <w:lang w:val="es-ES_tradnl" w:eastAsia="ja-JP"/>
        </w:rPr>
        <w:t>rograma</w:t>
      </w:r>
      <w:r w:rsidR="002B43A1" w:rsidRPr="002B43A1">
        <w:rPr>
          <w:rFonts w:ascii="Times New Roman" w:hAnsi="Times New Roman" w:hint="eastAsia"/>
          <w:sz w:val="22"/>
          <w:szCs w:val="22"/>
          <w:lang w:val="es-ES_tradnl"/>
        </w:rPr>
        <w:t>)</w:t>
      </w:r>
      <w:r w:rsidR="006F2F33">
        <w:rPr>
          <w:rFonts w:ascii="Times New Roman" w:hAnsi="Times New Roman"/>
          <w:sz w:val="22"/>
          <w:szCs w:val="22"/>
          <w:lang w:val="es-AR"/>
        </w:rPr>
        <w:t xml:space="preserve">, </w:t>
      </w:r>
      <w:r w:rsidR="007C1874">
        <w:rPr>
          <w:rFonts w:ascii="Times New Roman" w:hAnsi="Times New Roman"/>
          <w:sz w:val="22"/>
          <w:szCs w:val="22"/>
          <w:lang w:val="es-AR"/>
        </w:rPr>
        <w:t xml:space="preserve">estimando los resultados económicos a ser generados en </w:t>
      </w:r>
      <w:r w:rsidR="00046EFF">
        <w:rPr>
          <w:rFonts w:ascii="Times New Roman" w:hAnsi="Times New Roman"/>
          <w:sz w:val="22"/>
          <w:szCs w:val="22"/>
          <w:lang w:val="es-AR"/>
        </w:rPr>
        <w:t xml:space="preserve">las </w:t>
      </w:r>
      <w:r w:rsidR="002B43A1">
        <w:rPr>
          <w:rFonts w:ascii="Times New Roman" w:hAnsi="Times New Roman"/>
          <w:sz w:val="22"/>
          <w:szCs w:val="22"/>
          <w:lang w:val="es-AR"/>
        </w:rPr>
        <w:t>área</w:t>
      </w:r>
      <w:r w:rsidR="00046EFF">
        <w:rPr>
          <w:rFonts w:ascii="Times New Roman" w:hAnsi="Times New Roman"/>
          <w:sz w:val="22"/>
          <w:szCs w:val="22"/>
          <w:lang w:val="es-AR"/>
        </w:rPr>
        <w:t>s</w:t>
      </w:r>
      <w:r w:rsidR="002B43A1">
        <w:rPr>
          <w:rFonts w:ascii="Times New Roman" w:hAnsi="Times New Roman"/>
          <w:sz w:val="22"/>
          <w:szCs w:val="22"/>
          <w:lang w:val="es-AR"/>
        </w:rPr>
        <w:t xml:space="preserve"> objetivo </w:t>
      </w:r>
      <w:r w:rsidR="007C1874">
        <w:rPr>
          <w:rFonts w:ascii="Times New Roman" w:hAnsi="Times New Roman"/>
          <w:sz w:val="22"/>
          <w:szCs w:val="22"/>
          <w:lang w:val="es-AR"/>
        </w:rPr>
        <w:t>c</w:t>
      </w:r>
      <w:r w:rsidR="006F2F33">
        <w:rPr>
          <w:rFonts w:ascii="Times New Roman" w:hAnsi="Times New Roman"/>
          <w:sz w:val="22"/>
          <w:szCs w:val="22"/>
          <w:lang w:val="es-AR"/>
        </w:rPr>
        <w:t xml:space="preserve">on el fin de justificar la </w:t>
      </w:r>
      <w:r w:rsidR="00054DB8">
        <w:rPr>
          <w:rFonts w:ascii="Times New Roman" w:hAnsi="Times New Roman"/>
          <w:sz w:val="22"/>
          <w:szCs w:val="22"/>
          <w:lang w:val="es-AR"/>
        </w:rPr>
        <w:t>prioriza</w:t>
      </w:r>
      <w:r w:rsidR="002B43A1">
        <w:rPr>
          <w:rFonts w:ascii="Times New Roman" w:hAnsi="Times New Roman"/>
          <w:sz w:val="22"/>
          <w:szCs w:val="22"/>
          <w:lang w:val="es-AR"/>
        </w:rPr>
        <w:t>ción de la Intervención</w:t>
      </w:r>
      <w:r w:rsidR="006F2F33">
        <w:rPr>
          <w:rFonts w:ascii="Times New Roman" w:hAnsi="Times New Roman"/>
          <w:sz w:val="22"/>
          <w:szCs w:val="22"/>
          <w:lang w:val="es-AR"/>
        </w:rPr>
        <w:t>.</w:t>
      </w:r>
    </w:p>
    <w:p w:rsidR="00C80953" w:rsidRDefault="006F2F33" w:rsidP="006F2F33">
      <w:pPr>
        <w:jc w:val="both"/>
        <w:rPr>
          <w:rFonts w:ascii="Times New Roman" w:hAnsi="Times New Roman"/>
          <w:sz w:val="22"/>
          <w:szCs w:val="22"/>
          <w:lang w:val="es-AR"/>
        </w:rPr>
      </w:pPr>
      <w:r>
        <w:rPr>
          <w:rFonts w:ascii="Times New Roman" w:hAnsi="Times New Roman"/>
          <w:sz w:val="22"/>
          <w:szCs w:val="22"/>
          <w:lang w:val="es-AR"/>
        </w:rPr>
        <w:t xml:space="preserve"> </w:t>
      </w:r>
    </w:p>
    <w:p w:rsidR="00B73A0C" w:rsidRDefault="006F2F33" w:rsidP="00312481">
      <w:pPr>
        <w:jc w:val="both"/>
        <w:rPr>
          <w:rFonts w:ascii="Times New Roman" w:hAnsi="Times New Roman"/>
          <w:sz w:val="22"/>
          <w:szCs w:val="22"/>
          <w:lang w:val="es-AR"/>
        </w:rPr>
      </w:pPr>
      <w:r>
        <w:rPr>
          <w:rFonts w:ascii="Times New Roman" w:hAnsi="Times New Roman"/>
          <w:sz w:val="22"/>
          <w:szCs w:val="22"/>
          <w:lang w:val="es-AR"/>
        </w:rPr>
        <w:t>E</w:t>
      </w:r>
      <w:r w:rsidRPr="006F2F33">
        <w:rPr>
          <w:rFonts w:ascii="Times New Roman" w:hAnsi="Times New Roman"/>
          <w:sz w:val="22"/>
          <w:szCs w:val="22"/>
          <w:lang w:val="es-AR"/>
        </w:rPr>
        <w:t xml:space="preserve">n su primera parte </w:t>
      </w:r>
      <w:r w:rsidR="007C1874">
        <w:rPr>
          <w:rFonts w:ascii="Times New Roman" w:hAnsi="Times New Roman"/>
          <w:sz w:val="22"/>
          <w:szCs w:val="22"/>
          <w:lang w:val="es-AR"/>
        </w:rPr>
        <w:t xml:space="preserve">introductoria </w:t>
      </w:r>
      <w:r w:rsidRPr="006F2F33">
        <w:rPr>
          <w:rFonts w:ascii="Times New Roman" w:hAnsi="Times New Roman"/>
          <w:sz w:val="22"/>
          <w:szCs w:val="22"/>
          <w:lang w:val="es-AR"/>
        </w:rPr>
        <w:t xml:space="preserve">(Capítulo I) </w:t>
      </w:r>
      <w:r w:rsidR="00C80953">
        <w:rPr>
          <w:rFonts w:ascii="Times New Roman" w:hAnsi="Times New Roman"/>
          <w:sz w:val="22"/>
          <w:szCs w:val="22"/>
          <w:lang w:val="es-AR"/>
        </w:rPr>
        <w:t xml:space="preserve">se </w:t>
      </w:r>
      <w:r w:rsidR="002B43A1">
        <w:rPr>
          <w:rFonts w:ascii="Times New Roman" w:hAnsi="Times New Roman"/>
          <w:sz w:val="22"/>
          <w:szCs w:val="22"/>
          <w:lang w:val="es-AR"/>
        </w:rPr>
        <w:t xml:space="preserve">establece  </w:t>
      </w:r>
      <w:r w:rsidR="00B73A0C">
        <w:rPr>
          <w:rFonts w:ascii="Times New Roman" w:hAnsi="Times New Roman"/>
          <w:sz w:val="22"/>
          <w:szCs w:val="22"/>
          <w:lang w:val="es-AR"/>
        </w:rPr>
        <w:t>la metodología de evaluación</w:t>
      </w:r>
      <w:r w:rsidR="002B43A1">
        <w:rPr>
          <w:rFonts w:ascii="Times New Roman" w:hAnsi="Times New Roman"/>
          <w:sz w:val="22"/>
          <w:szCs w:val="22"/>
          <w:lang w:val="es-AR"/>
        </w:rPr>
        <w:t xml:space="preserve">, a partir de los efectos esperados del mejoramiento y expansión del </w:t>
      </w:r>
      <w:r w:rsidR="00E50B6A">
        <w:rPr>
          <w:rFonts w:ascii="Times New Roman" w:hAnsi="Times New Roman" w:hint="eastAsia"/>
          <w:sz w:val="22"/>
          <w:szCs w:val="22"/>
          <w:lang w:val="es-ES_tradnl"/>
        </w:rPr>
        <w:t>P</w:t>
      </w:r>
      <w:r w:rsidR="00E50B6A">
        <w:rPr>
          <w:rFonts w:ascii="Times New Roman" w:hAnsi="Times New Roman" w:hint="eastAsia"/>
          <w:sz w:val="22"/>
          <w:szCs w:val="22"/>
          <w:lang w:val="es-ES_tradnl" w:eastAsia="ja-JP"/>
        </w:rPr>
        <w:t>rograma</w:t>
      </w:r>
      <w:r w:rsidR="00C93F2E" w:rsidRPr="00AA497D">
        <w:rPr>
          <w:rFonts w:ascii="Times New Roman" w:hAnsi="Times New Roman"/>
          <w:sz w:val="22"/>
          <w:szCs w:val="22"/>
          <w:lang w:val="es-AR"/>
        </w:rPr>
        <w:t>. Las  diferentes perspec</w:t>
      </w:r>
      <w:r w:rsidR="00C80953">
        <w:rPr>
          <w:rFonts w:ascii="Times New Roman" w:hAnsi="Times New Roman"/>
          <w:sz w:val="22"/>
          <w:szCs w:val="22"/>
          <w:lang w:val="es-AR"/>
        </w:rPr>
        <w:t xml:space="preserve">tivas futuras </w:t>
      </w:r>
      <w:r w:rsidR="00C93F2E" w:rsidRPr="00AA497D">
        <w:rPr>
          <w:rFonts w:ascii="Times New Roman" w:hAnsi="Times New Roman"/>
          <w:sz w:val="22"/>
          <w:szCs w:val="22"/>
          <w:lang w:val="es-AR"/>
        </w:rPr>
        <w:t xml:space="preserve">que resultan de </w:t>
      </w:r>
      <w:r w:rsidR="000C15FD">
        <w:rPr>
          <w:rFonts w:ascii="Times New Roman" w:hAnsi="Times New Roman"/>
          <w:sz w:val="22"/>
          <w:szCs w:val="22"/>
          <w:lang w:val="es-AR"/>
        </w:rPr>
        <w:t xml:space="preserve"> </w:t>
      </w:r>
      <w:r w:rsidR="00C93F2E" w:rsidRPr="00AA497D">
        <w:rPr>
          <w:rFonts w:ascii="Times New Roman" w:hAnsi="Times New Roman"/>
          <w:sz w:val="22"/>
          <w:szCs w:val="22"/>
          <w:lang w:val="es-AR"/>
        </w:rPr>
        <w:t xml:space="preserve">la persistencia de las debilidades </w:t>
      </w:r>
      <w:r w:rsidR="000C15FD">
        <w:rPr>
          <w:rFonts w:ascii="Times New Roman" w:hAnsi="Times New Roman"/>
          <w:sz w:val="22"/>
          <w:szCs w:val="22"/>
          <w:lang w:val="es-AR"/>
        </w:rPr>
        <w:t>del</w:t>
      </w:r>
      <w:r w:rsidR="00C93F2E" w:rsidRPr="00AA497D">
        <w:rPr>
          <w:rFonts w:ascii="Times New Roman" w:hAnsi="Times New Roman"/>
          <w:sz w:val="22"/>
          <w:szCs w:val="22"/>
          <w:lang w:val="es-AR"/>
        </w:rPr>
        <w:t xml:space="preserve"> contexto actual (lo que representa la opción </w:t>
      </w:r>
      <w:r w:rsidR="00BE23B4" w:rsidRPr="00BE23B4">
        <w:rPr>
          <w:rFonts w:ascii="Times New Roman" w:hAnsi="Times New Roman"/>
          <w:i/>
          <w:sz w:val="22"/>
          <w:szCs w:val="22"/>
          <w:lang w:val="es-AR"/>
        </w:rPr>
        <w:t>Sin Proyecto</w:t>
      </w:r>
      <w:r w:rsidR="00C93F2E" w:rsidRPr="00AA497D">
        <w:rPr>
          <w:rFonts w:ascii="Times New Roman" w:hAnsi="Times New Roman"/>
          <w:sz w:val="22"/>
          <w:szCs w:val="22"/>
          <w:lang w:val="es-AR"/>
        </w:rPr>
        <w:t xml:space="preserve">) </w:t>
      </w:r>
      <w:r w:rsidR="000C15FD">
        <w:rPr>
          <w:rFonts w:ascii="Times New Roman" w:hAnsi="Times New Roman"/>
          <w:sz w:val="22"/>
          <w:szCs w:val="22"/>
          <w:lang w:val="es-AR"/>
        </w:rPr>
        <w:t xml:space="preserve"> </w:t>
      </w:r>
      <w:r w:rsidR="00C93F2E" w:rsidRPr="00AA497D">
        <w:rPr>
          <w:rFonts w:ascii="Times New Roman" w:hAnsi="Times New Roman"/>
          <w:sz w:val="22"/>
          <w:szCs w:val="22"/>
          <w:lang w:val="es-AR"/>
        </w:rPr>
        <w:t xml:space="preserve">frente a las mejores condiciones </w:t>
      </w:r>
      <w:r w:rsidR="002B43A1">
        <w:rPr>
          <w:rFonts w:ascii="Times New Roman" w:hAnsi="Times New Roman"/>
          <w:sz w:val="22"/>
          <w:szCs w:val="22"/>
          <w:lang w:val="es-AR"/>
        </w:rPr>
        <w:t>de funcionamiento</w:t>
      </w:r>
      <w:r w:rsidR="001C53F2">
        <w:rPr>
          <w:rFonts w:ascii="Times New Roman" w:hAnsi="Times New Roman"/>
          <w:sz w:val="22"/>
          <w:szCs w:val="22"/>
          <w:lang w:val="es-AR"/>
        </w:rPr>
        <w:t>,</w:t>
      </w:r>
      <w:r w:rsidR="002B43A1">
        <w:rPr>
          <w:rFonts w:ascii="Times New Roman" w:hAnsi="Times New Roman"/>
          <w:sz w:val="22"/>
          <w:szCs w:val="22"/>
          <w:lang w:val="es-AR"/>
        </w:rPr>
        <w:t xml:space="preserve"> cobertura </w:t>
      </w:r>
      <w:r w:rsidR="001C53F2">
        <w:rPr>
          <w:rFonts w:ascii="Times New Roman" w:hAnsi="Times New Roman"/>
          <w:sz w:val="22"/>
          <w:szCs w:val="22"/>
          <w:lang w:val="es-AR"/>
        </w:rPr>
        <w:t xml:space="preserve">y eficacia </w:t>
      </w:r>
      <w:r w:rsidR="002B43A1">
        <w:rPr>
          <w:rFonts w:ascii="Times New Roman" w:hAnsi="Times New Roman"/>
          <w:sz w:val="22"/>
          <w:szCs w:val="22"/>
          <w:lang w:val="es-AR"/>
        </w:rPr>
        <w:t xml:space="preserve">del Sistema  que </w:t>
      </w:r>
      <w:r w:rsidR="00C93F2E" w:rsidRPr="00AA497D">
        <w:rPr>
          <w:rFonts w:ascii="Times New Roman" w:hAnsi="Times New Roman"/>
          <w:sz w:val="22"/>
          <w:szCs w:val="22"/>
          <w:lang w:val="es-AR"/>
        </w:rPr>
        <w:t>este Programa</w:t>
      </w:r>
      <w:r w:rsidR="004C4266">
        <w:rPr>
          <w:rFonts w:ascii="Times New Roman" w:hAnsi="Times New Roman"/>
          <w:sz w:val="22"/>
          <w:szCs w:val="22"/>
          <w:lang w:val="es-AR"/>
        </w:rPr>
        <w:t xml:space="preserve"> contribuirá a consolidar</w:t>
      </w:r>
      <w:r w:rsidR="00C93F2E" w:rsidRPr="00AA497D">
        <w:rPr>
          <w:rFonts w:ascii="Times New Roman" w:hAnsi="Times New Roman"/>
          <w:sz w:val="22"/>
          <w:szCs w:val="22"/>
          <w:lang w:val="es-AR"/>
        </w:rPr>
        <w:t xml:space="preserve"> (alternativa </w:t>
      </w:r>
      <w:r w:rsidR="00BE23B4" w:rsidRPr="00BE23B4">
        <w:rPr>
          <w:rFonts w:ascii="Times New Roman" w:hAnsi="Times New Roman"/>
          <w:i/>
          <w:sz w:val="22"/>
          <w:szCs w:val="22"/>
          <w:lang w:val="es-AR"/>
        </w:rPr>
        <w:t>Con Proyecto</w:t>
      </w:r>
      <w:r w:rsidR="00C93F2E" w:rsidRPr="00AA497D">
        <w:rPr>
          <w:rFonts w:ascii="Times New Roman" w:hAnsi="Times New Roman"/>
          <w:sz w:val="22"/>
          <w:szCs w:val="22"/>
          <w:lang w:val="es-AR"/>
        </w:rPr>
        <w:t xml:space="preserve">) constituyen el punto de referencia del enfoque. </w:t>
      </w:r>
      <w:r w:rsidR="00A055E2">
        <w:rPr>
          <w:rFonts w:ascii="Times New Roman" w:hAnsi="Times New Roman"/>
          <w:sz w:val="22"/>
          <w:szCs w:val="22"/>
          <w:lang w:val="es-AR"/>
        </w:rPr>
        <w:t xml:space="preserve"> </w:t>
      </w:r>
      <w:r w:rsidR="00C93F2E" w:rsidRPr="00AA497D">
        <w:rPr>
          <w:rFonts w:ascii="Times New Roman" w:hAnsi="Times New Roman"/>
          <w:sz w:val="22"/>
          <w:szCs w:val="22"/>
          <w:lang w:val="es-AR"/>
        </w:rPr>
        <w:t xml:space="preserve">A continuación, en el Capítulo II se presenta </w:t>
      </w:r>
      <w:r w:rsidR="00C80953">
        <w:rPr>
          <w:rFonts w:ascii="Times New Roman" w:hAnsi="Times New Roman"/>
          <w:sz w:val="22"/>
          <w:szCs w:val="22"/>
          <w:lang w:val="es-AR"/>
        </w:rPr>
        <w:t xml:space="preserve">el análisis </w:t>
      </w:r>
      <w:r w:rsidR="00C93F2E" w:rsidRPr="00AA497D">
        <w:rPr>
          <w:rFonts w:ascii="Times New Roman" w:hAnsi="Times New Roman"/>
          <w:sz w:val="22"/>
          <w:szCs w:val="22"/>
          <w:lang w:val="es-AR"/>
        </w:rPr>
        <w:t xml:space="preserve"> de los beneficios esperados, </w:t>
      </w:r>
      <w:r w:rsidR="00A055E2">
        <w:rPr>
          <w:rFonts w:ascii="Times New Roman" w:hAnsi="Times New Roman"/>
          <w:sz w:val="22"/>
          <w:szCs w:val="22"/>
          <w:lang w:val="es-AR"/>
        </w:rPr>
        <w:t>sobre la hipótesis d</w:t>
      </w:r>
      <w:r w:rsidR="00354F45">
        <w:rPr>
          <w:rFonts w:ascii="Times New Roman" w:hAnsi="Times New Roman"/>
          <w:sz w:val="22"/>
          <w:szCs w:val="22"/>
          <w:lang w:val="es-AR"/>
        </w:rPr>
        <w:t xml:space="preserve">e que el Sistema permitirá disminuir los potenciales impactos derivados de la eventual ocurrencia de los citados eventos. </w:t>
      </w:r>
      <w:r w:rsidR="00C93F2E" w:rsidRPr="00AA497D">
        <w:rPr>
          <w:rFonts w:ascii="Times New Roman" w:hAnsi="Times New Roman"/>
          <w:sz w:val="22"/>
          <w:szCs w:val="22"/>
          <w:lang w:val="es-AR"/>
        </w:rPr>
        <w:t>En correspondencia con el apartado anterior, el Capítulo I</w:t>
      </w:r>
      <w:r w:rsidR="008C1ABC">
        <w:rPr>
          <w:rFonts w:ascii="Times New Roman" w:hAnsi="Times New Roman"/>
          <w:sz w:val="22"/>
          <w:szCs w:val="22"/>
          <w:lang w:val="es-AR"/>
        </w:rPr>
        <w:t>II</w:t>
      </w:r>
      <w:r w:rsidR="00C93F2E" w:rsidRPr="00AA497D">
        <w:rPr>
          <w:rFonts w:ascii="Times New Roman" w:hAnsi="Times New Roman"/>
          <w:sz w:val="22"/>
          <w:szCs w:val="22"/>
          <w:lang w:val="es-AR"/>
        </w:rPr>
        <w:t xml:space="preserve"> detalla las inversiones que se corresponden con las acciones previstas</w:t>
      </w:r>
      <w:r w:rsidR="004C4266">
        <w:rPr>
          <w:rFonts w:ascii="Times New Roman" w:hAnsi="Times New Roman"/>
          <w:sz w:val="22"/>
          <w:szCs w:val="22"/>
          <w:lang w:val="es-AR"/>
        </w:rPr>
        <w:t xml:space="preserve"> para alcanzar los objetivos perseguidos.</w:t>
      </w:r>
      <w:r w:rsidR="00A055E2">
        <w:rPr>
          <w:rFonts w:ascii="Times New Roman" w:hAnsi="Times New Roman"/>
          <w:sz w:val="22"/>
          <w:szCs w:val="22"/>
          <w:lang w:val="es-AR"/>
        </w:rPr>
        <w:t xml:space="preserve"> </w:t>
      </w:r>
      <w:r w:rsidR="004C4266">
        <w:rPr>
          <w:rFonts w:ascii="Times New Roman" w:hAnsi="Times New Roman"/>
          <w:sz w:val="22"/>
          <w:szCs w:val="22"/>
          <w:lang w:val="es-AR"/>
        </w:rPr>
        <w:t>Est</w:t>
      </w:r>
      <w:r w:rsidR="00A055E2">
        <w:rPr>
          <w:rFonts w:ascii="Times New Roman" w:hAnsi="Times New Roman"/>
          <w:sz w:val="22"/>
          <w:szCs w:val="22"/>
          <w:lang w:val="es-AR"/>
        </w:rPr>
        <w:t>a</w:t>
      </w:r>
      <w:r w:rsidR="004C4266">
        <w:rPr>
          <w:rFonts w:ascii="Times New Roman" w:hAnsi="Times New Roman"/>
          <w:sz w:val="22"/>
          <w:szCs w:val="22"/>
          <w:lang w:val="es-AR"/>
        </w:rPr>
        <w:t>s</w:t>
      </w:r>
      <w:r w:rsidR="00C93F2E" w:rsidRPr="00AA497D">
        <w:rPr>
          <w:rFonts w:ascii="Times New Roman" w:hAnsi="Times New Roman"/>
          <w:sz w:val="22"/>
          <w:szCs w:val="22"/>
          <w:lang w:val="es-AR"/>
        </w:rPr>
        <w:t xml:space="preserve"> son presentadas </w:t>
      </w:r>
      <w:r w:rsidR="004C4266">
        <w:rPr>
          <w:rFonts w:ascii="Times New Roman" w:hAnsi="Times New Roman"/>
          <w:sz w:val="22"/>
          <w:szCs w:val="22"/>
          <w:lang w:val="es-AR"/>
        </w:rPr>
        <w:t xml:space="preserve">desagregadas </w:t>
      </w:r>
      <w:r w:rsidR="00C93F2E" w:rsidRPr="00AA497D">
        <w:rPr>
          <w:rFonts w:ascii="Times New Roman" w:hAnsi="Times New Roman"/>
          <w:sz w:val="22"/>
          <w:szCs w:val="22"/>
          <w:lang w:val="es-AR"/>
        </w:rPr>
        <w:t>por Componente</w:t>
      </w:r>
      <w:r w:rsidR="004C4266">
        <w:rPr>
          <w:rFonts w:ascii="Times New Roman" w:hAnsi="Times New Roman"/>
          <w:sz w:val="22"/>
          <w:szCs w:val="22"/>
          <w:lang w:val="es-AR"/>
        </w:rPr>
        <w:t>, explicitando las</w:t>
      </w:r>
      <w:r w:rsidR="00945729">
        <w:rPr>
          <w:rFonts w:ascii="Times New Roman" w:hAnsi="Times New Roman"/>
          <w:sz w:val="22"/>
          <w:szCs w:val="22"/>
          <w:lang w:val="es-AR"/>
        </w:rPr>
        <w:t xml:space="preserve"> principales actividades</w:t>
      </w:r>
      <w:r w:rsidR="004C4266">
        <w:rPr>
          <w:rFonts w:ascii="Times New Roman" w:hAnsi="Times New Roman"/>
          <w:sz w:val="22"/>
          <w:szCs w:val="22"/>
          <w:lang w:val="es-AR"/>
        </w:rPr>
        <w:t xml:space="preserve"> planteadas</w:t>
      </w:r>
      <w:r w:rsidR="00C93F2E" w:rsidRPr="00AA497D">
        <w:rPr>
          <w:rFonts w:ascii="Times New Roman" w:hAnsi="Times New Roman"/>
          <w:sz w:val="22"/>
          <w:szCs w:val="22"/>
          <w:lang w:val="es-AR"/>
        </w:rPr>
        <w:t>.</w:t>
      </w:r>
      <w:r w:rsidR="00046EFF">
        <w:rPr>
          <w:rFonts w:ascii="Times New Roman" w:hAnsi="Times New Roman"/>
          <w:sz w:val="22"/>
          <w:szCs w:val="22"/>
          <w:lang w:val="es-AR"/>
        </w:rPr>
        <w:t xml:space="preserve"> </w:t>
      </w:r>
      <w:r w:rsidR="00C93F2E" w:rsidRPr="00AA497D">
        <w:rPr>
          <w:rFonts w:ascii="Times New Roman" w:hAnsi="Times New Roman"/>
          <w:sz w:val="22"/>
          <w:szCs w:val="22"/>
          <w:lang w:val="es-AR"/>
        </w:rPr>
        <w:t>Como corolario de los valores estimados en los dos Capítulos anteriores, los indicadores ex</w:t>
      </w:r>
      <w:r w:rsidR="000C15FD">
        <w:rPr>
          <w:rFonts w:ascii="Times New Roman" w:hAnsi="Times New Roman"/>
          <w:sz w:val="22"/>
          <w:szCs w:val="22"/>
          <w:lang w:val="es-AR"/>
        </w:rPr>
        <w:t xml:space="preserve">puestos en el Capítulo </w:t>
      </w:r>
      <w:r w:rsidR="008C1ABC">
        <w:rPr>
          <w:rFonts w:ascii="Times New Roman" w:hAnsi="Times New Roman"/>
          <w:sz w:val="22"/>
          <w:szCs w:val="22"/>
          <w:lang w:val="es-AR"/>
        </w:rPr>
        <w:t>I</w:t>
      </w:r>
      <w:r w:rsidR="000C15FD">
        <w:rPr>
          <w:rFonts w:ascii="Times New Roman" w:hAnsi="Times New Roman"/>
          <w:sz w:val="22"/>
          <w:szCs w:val="22"/>
          <w:lang w:val="es-AR"/>
        </w:rPr>
        <w:t xml:space="preserve">V </w:t>
      </w:r>
      <w:r w:rsidR="00C93F2E">
        <w:rPr>
          <w:rFonts w:ascii="Times New Roman" w:hAnsi="Times New Roman"/>
          <w:sz w:val="22"/>
          <w:szCs w:val="22"/>
          <w:lang w:val="es-AR"/>
        </w:rPr>
        <w:t xml:space="preserve"> resumen</w:t>
      </w:r>
      <w:r w:rsidR="00C93F2E" w:rsidRPr="00AA497D">
        <w:rPr>
          <w:rFonts w:ascii="Times New Roman" w:hAnsi="Times New Roman"/>
          <w:sz w:val="22"/>
          <w:szCs w:val="22"/>
          <w:lang w:val="es-AR"/>
        </w:rPr>
        <w:t xml:space="preserve"> los resultados </w:t>
      </w:r>
      <w:r w:rsidR="00C93F2E">
        <w:rPr>
          <w:rFonts w:ascii="Times New Roman" w:hAnsi="Times New Roman"/>
          <w:sz w:val="22"/>
          <w:szCs w:val="22"/>
          <w:lang w:val="es-AR"/>
        </w:rPr>
        <w:t xml:space="preserve">estimados para el Programa y su sensibilidad a las variables determinantes. </w:t>
      </w:r>
    </w:p>
    <w:p w:rsidR="00CD4869" w:rsidRDefault="00CD4869" w:rsidP="00312481">
      <w:pPr>
        <w:jc w:val="both"/>
        <w:rPr>
          <w:rFonts w:ascii="Times New Roman" w:hAnsi="Times New Roman"/>
          <w:sz w:val="22"/>
          <w:szCs w:val="22"/>
          <w:lang w:val="es-AR"/>
        </w:rPr>
      </w:pPr>
    </w:p>
    <w:p w:rsidR="00416632" w:rsidRPr="00C02BEC" w:rsidRDefault="00B73A0C" w:rsidP="00ED41C2">
      <w:pPr>
        <w:jc w:val="both"/>
        <w:rPr>
          <w:rFonts w:ascii="Times New Roman" w:hAnsi="Times New Roman"/>
          <w:sz w:val="22"/>
          <w:szCs w:val="22"/>
          <w:lang w:val="es-AR"/>
        </w:rPr>
      </w:pPr>
      <w:r w:rsidRPr="000C15FD">
        <w:rPr>
          <w:rFonts w:ascii="Times New Roman" w:hAnsi="Times New Roman"/>
          <w:i/>
          <w:sz w:val="22"/>
          <w:szCs w:val="22"/>
          <w:lang w:val="es-ES_tradnl"/>
        </w:rPr>
        <w:t>Conclusi</w:t>
      </w:r>
      <w:r w:rsidR="007925F7">
        <w:rPr>
          <w:rFonts w:ascii="Times New Roman" w:hAnsi="Times New Roman"/>
          <w:i/>
          <w:sz w:val="22"/>
          <w:szCs w:val="22"/>
          <w:lang w:val="es-ES_tradnl"/>
        </w:rPr>
        <w:t>ones</w:t>
      </w:r>
      <w:r w:rsidR="00F0257F">
        <w:rPr>
          <w:rFonts w:ascii="Times New Roman" w:hAnsi="Times New Roman"/>
          <w:i/>
          <w:sz w:val="22"/>
          <w:szCs w:val="22"/>
          <w:lang w:val="es-ES_tradnl"/>
        </w:rPr>
        <w:t xml:space="preserve">. </w:t>
      </w:r>
      <w:r w:rsidR="00F60E4F" w:rsidRPr="00F60E4F">
        <w:rPr>
          <w:rFonts w:ascii="Times New Roman" w:hAnsi="Times New Roman"/>
          <w:sz w:val="22"/>
          <w:szCs w:val="22"/>
          <w:lang w:val="es-ES"/>
        </w:rPr>
        <w:t xml:space="preserve">El análisis </w:t>
      </w:r>
      <w:r w:rsidR="004C4266">
        <w:rPr>
          <w:rFonts w:ascii="Times New Roman" w:hAnsi="Times New Roman"/>
          <w:sz w:val="22"/>
          <w:szCs w:val="22"/>
          <w:lang w:val="es-ES"/>
        </w:rPr>
        <w:t>ex ante</w:t>
      </w:r>
      <w:r w:rsidR="004C4266" w:rsidRPr="004C4266">
        <w:rPr>
          <w:rFonts w:ascii="Times New Roman" w:hAnsi="Times New Roman"/>
          <w:sz w:val="22"/>
          <w:szCs w:val="22"/>
          <w:lang w:val="es-AR"/>
        </w:rPr>
        <w:t xml:space="preserve"> </w:t>
      </w:r>
      <w:r w:rsidR="004C4266" w:rsidRPr="00740877">
        <w:rPr>
          <w:rFonts w:ascii="Times New Roman" w:hAnsi="Times New Roman"/>
          <w:sz w:val="22"/>
          <w:szCs w:val="22"/>
          <w:lang w:val="es-AR"/>
        </w:rPr>
        <w:t xml:space="preserve">utiliza </w:t>
      </w:r>
      <w:r w:rsidR="00A055E2">
        <w:rPr>
          <w:rFonts w:ascii="Times New Roman" w:hAnsi="Times New Roman"/>
          <w:sz w:val="22"/>
          <w:szCs w:val="22"/>
          <w:lang w:val="es-AR"/>
        </w:rPr>
        <w:t xml:space="preserve">la </w:t>
      </w:r>
      <w:r w:rsidR="004C4266" w:rsidRPr="00740877">
        <w:rPr>
          <w:rFonts w:ascii="Times New Roman" w:hAnsi="Times New Roman"/>
          <w:sz w:val="22"/>
          <w:szCs w:val="22"/>
          <w:lang w:val="es-AR"/>
        </w:rPr>
        <w:t xml:space="preserve">metodología de </w:t>
      </w:r>
      <w:r w:rsidR="00B779F4" w:rsidRPr="00740877">
        <w:rPr>
          <w:rFonts w:ascii="Times New Roman" w:hAnsi="Times New Roman"/>
          <w:sz w:val="22"/>
          <w:szCs w:val="22"/>
          <w:lang w:val="es-AR"/>
        </w:rPr>
        <w:t>costo</w:t>
      </w:r>
      <w:r w:rsidR="00B779F4">
        <w:rPr>
          <w:rFonts w:ascii="Times New Roman" w:hAnsi="Times New Roman"/>
          <w:sz w:val="22"/>
          <w:szCs w:val="22"/>
          <w:lang w:val="es-AR"/>
        </w:rPr>
        <w:t>-</w:t>
      </w:r>
      <w:r w:rsidR="004C4266" w:rsidRPr="00740877">
        <w:rPr>
          <w:rFonts w:ascii="Times New Roman" w:hAnsi="Times New Roman"/>
          <w:sz w:val="22"/>
          <w:szCs w:val="22"/>
          <w:lang w:val="es-AR"/>
        </w:rPr>
        <w:t>beneficio</w:t>
      </w:r>
      <w:r w:rsidR="004B3372">
        <w:rPr>
          <w:rFonts w:ascii="Times New Roman" w:hAnsi="Times New Roman"/>
          <w:sz w:val="22"/>
          <w:szCs w:val="22"/>
          <w:lang w:val="es-AR"/>
        </w:rPr>
        <w:t xml:space="preserve"> para establecer </w:t>
      </w:r>
      <w:r w:rsidR="00F60E4F" w:rsidRPr="00F60E4F">
        <w:rPr>
          <w:rFonts w:ascii="Times New Roman" w:hAnsi="Times New Roman"/>
          <w:sz w:val="22"/>
          <w:szCs w:val="22"/>
          <w:lang w:val="es-ES"/>
        </w:rPr>
        <w:t>e</w:t>
      </w:r>
      <w:r w:rsidR="00F0257F">
        <w:rPr>
          <w:rFonts w:ascii="Times New Roman" w:hAnsi="Times New Roman"/>
          <w:sz w:val="22"/>
          <w:szCs w:val="22"/>
          <w:lang w:val="es-ES"/>
        </w:rPr>
        <w:t xml:space="preserve">l retorno de las </w:t>
      </w:r>
      <w:r w:rsidR="00F60E4F" w:rsidRPr="00F60E4F">
        <w:rPr>
          <w:rFonts w:ascii="Times New Roman" w:hAnsi="Times New Roman"/>
          <w:sz w:val="22"/>
          <w:szCs w:val="22"/>
          <w:lang w:val="es-ES"/>
        </w:rPr>
        <w:t xml:space="preserve"> inversiones</w:t>
      </w:r>
      <w:r w:rsidR="004B3372">
        <w:rPr>
          <w:rFonts w:ascii="Times New Roman" w:hAnsi="Times New Roman"/>
          <w:sz w:val="22"/>
          <w:szCs w:val="22"/>
          <w:lang w:val="es-ES"/>
        </w:rPr>
        <w:t xml:space="preserve"> previstas. A los fines de establecer el marco de valoración se han establecido supuestos</w:t>
      </w:r>
      <w:r w:rsidR="00ED41C2">
        <w:rPr>
          <w:rFonts w:ascii="Times New Roman" w:hAnsi="Times New Roman"/>
          <w:sz w:val="22"/>
          <w:szCs w:val="22"/>
          <w:lang w:val="es-ES"/>
        </w:rPr>
        <w:t>,</w:t>
      </w:r>
      <w:r w:rsidR="00ED41C2" w:rsidRPr="00ED41C2">
        <w:rPr>
          <w:rFonts w:ascii="Times New Roman" w:hAnsi="Times New Roman"/>
          <w:sz w:val="22"/>
          <w:szCs w:val="22"/>
          <w:lang w:val="es-AR"/>
        </w:rPr>
        <w:t xml:space="preserve"> </w:t>
      </w:r>
      <w:r w:rsidR="00ED41C2" w:rsidRPr="00C02BEC">
        <w:rPr>
          <w:rFonts w:ascii="Times New Roman" w:hAnsi="Times New Roman"/>
          <w:sz w:val="22"/>
          <w:szCs w:val="22"/>
          <w:lang w:val="es-AR"/>
        </w:rPr>
        <w:t xml:space="preserve">conforme a </w:t>
      </w:r>
      <w:r w:rsidR="00D36B53">
        <w:rPr>
          <w:rFonts w:ascii="Times New Roman" w:hAnsi="Times New Roman"/>
          <w:sz w:val="22"/>
          <w:szCs w:val="22"/>
          <w:lang w:val="es-AR"/>
        </w:rPr>
        <w:t xml:space="preserve"> </w:t>
      </w:r>
      <w:r w:rsidR="00ED41C2">
        <w:rPr>
          <w:rFonts w:ascii="Times New Roman" w:hAnsi="Times New Roman"/>
          <w:sz w:val="22"/>
          <w:szCs w:val="22"/>
          <w:lang w:val="es-AR"/>
        </w:rPr>
        <w:t xml:space="preserve">referencias </w:t>
      </w:r>
      <w:r w:rsidR="00ED41C2" w:rsidRPr="00C02BEC">
        <w:rPr>
          <w:rFonts w:ascii="Times New Roman" w:hAnsi="Times New Roman"/>
          <w:sz w:val="22"/>
          <w:szCs w:val="22"/>
          <w:lang w:val="es-AR"/>
        </w:rPr>
        <w:t xml:space="preserve"> técnic</w:t>
      </w:r>
      <w:r w:rsidR="00ED41C2">
        <w:rPr>
          <w:rFonts w:ascii="Times New Roman" w:hAnsi="Times New Roman"/>
          <w:sz w:val="22"/>
          <w:szCs w:val="22"/>
          <w:lang w:val="es-AR"/>
        </w:rPr>
        <w:t>as</w:t>
      </w:r>
      <w:r w:rsidR="00391B8F">
        <w:rPr>
          <w:rFonts w:ascii="Times New Roman" w:hAnsi="Times New Roman"/>
          <w:sz w:val="22"/>
          <w:szCs w:val="22"/>
          <w:lang w:val="es-AR"/>
        </w:rPr>
        <w:t>,</w:t>
      </w:r>
      <w:r w:rsidR="00ED41C2">
        <w:rPr>
          <w:rFonts w:ascii="Times New Roman" w:hAnsi="Times New Roman"/>
          <w:sz w:val="22"/>
          <w:szCs w:val="22"/>
          <w:lang w:val="es-AR"/>
        </w:rPr>
        <w:t xml:space="preserve"> literatura especializada</w:t>
      </w:r>
      <w:r w:rsidR="00391B8F">
        <w:rPr>
          <w:rFonts w:ascii="Times New Roman" w:hAnsi="Times New Roman"/>
          <w:sz w:val="22"/>
          <w:szCs w:val="22"/>
          <w:lang w:val="es-AR"/>
        </w:rPr>
        <w:t xml:space="preserve"> y antecedentes históricos</w:t>
      </w:r>
      <w:r w:rsidR="00A055E2">
        <w:rPr>
          <w:rFonts w:ascii="Times New Roman" w:hAnsi="Times New Roman"/>
          <w:sz w:val="22"/>
          <w:szCs w:val="22"/>
          <w:lang w:val="es-AR"/>
        </w:rPr>
        <w:t xml:space="preserve"> locales</w:t>
      </w:r>
      <w:r w:rsidR="00ED41C2">
        <w:rPr>
          <w:rFonts w:ascii="Times New Roman" w:hAnsi="Times New Roman"/>
          <w:sz w:val="22"/>
          <w:szCs w:val="22"/>
          <w:lang w:val="es-AR"/>
        </w:rPr>
        <w:t>,</w:t>
      </w:r>
      <w:r w:rsidR="004B3372">
        <w:rPr>
          <w:rFonts w:ascii="Times New Roman" w:hAnsi="Times New Roman"/>
          <w:sz w:val="22"/>
          <w:szCs w:val="22"/>
          <w:lang w:val="es-ES"/>
        </w:rPr>
        <w:t xml:space="preserve"> sobre las</w:t>
      </w:r>
      <w:r w:rsidR="008C1ABC">
        <w:rPr>
          <w:rFonts w:ascii="Times New Roman" w:hAnsi="Times New Roman"/>
          <w:sz w:val="22"/>
          <w:szCs w:val="22"/>
          <w:lang w:val="es-ES"/>
        </w:rPr>
        <w:t xml:space="preserve"> principales</w:t>
      </w:r>
      <w:r w:rsidR="004B3372">
        <w:rPr>
          <w:rFonts w:ascii="Times New Roman" w:hAnsi="Times New Roman"/>
          <w:sz w:val="22"/>
          <w:szCs w:val="22"/>
          <w:lang w:val="es-ES"/>
        </w:rPr>
        <w:t xml:space="preserve"> variables que inciden en la estimación de ben</w:t>
      </w:r>
      <w:r w:rsidR="00F07E5B">
        <w:rPr>
          <w:rFonts w:ascii="Times New Roman" w:hAnsi="Times New Roman"/>
          <w:sz w:val="22"/>
          <w:szCs w:val="22"/>
          <w:lang w:val="es-ES"/>
        </w:rPr>
        <w:t>e</w:t>
      </w:r>
      <w:r w:rsidR="004B3372">
        <w:rPr>
          <w:rFonts w:ascii="Times New Roman" w:hAnsi="Times New Roman"/>
          <w:sz w:val="22"/>
          <w:szCs w:val="22"/>
          <w:lang w:val="es-ES"/>
        </w:rPr>
        <w:t>ficios, incluyendo</w:t>
      </w:r>
      <w:r w:rsidR="008C1ABC">
        <w:rPr>
          <w:rFonts w:ascii="Times New Roman" w:hAnsi="Times New Roman"/>
          <w:sz w:val="22"/>
          <w:szCs w:val="22"/>
          <w:lang w:val="es-ES"/>
        </w:rPr>
        <w:t>:</w:t>
      </w:r>
      <w:r w:rsidR="004C4266">
        <w:rPr>
          <w:rFonts w:ascii="Times New Roman" w:hAnsi="Times New Roman"/>
          <w:sz w:val="22"/>
          <w:szCs w:val="22"/>
          <w:lang w:val="es-ES"/>
        </w:rPr>
        <w:t xml:space="preserve"> </w:t>
      </w:r>
      <w:r w:rsidR="004B3372">
        <w:rPr>
          <w:rFonts w:ascii="Times New Roman" w:hAnsi="Times New Roman"/>
          <w:sz w:val="22"/>
          <w:szCs w:val="22"/>
          <w:lang w:val="es-ES"/>
        </w:rPr>
        <w:t xml:space="preserve">a) </w:t>
      </w:r>
      <w:r w:rsidR="00416632" w:rsidRPr="00C02BEC">
        <w:rPr>
          <w:rFonts w:ascii="Times New Roman" w:hAnsi="Times New Roman"/>
          <w:sz w:val="22"/>
          <w:szCs w:val="22"/>
          <w:lang w:val="es-AR"/>
        </w:rPr>
        <w:t>La probabilidad de ocurrencia de</w:t>
      </w:r>
      <w:r w:rsidR="00416632">
        <w:rPr>
          <w:rFonts w:ascii="Times New Roman" w:hAnsi="Times New Roman"/>
          <w:sz w:val="22"/>
          <w:szCs w:val="22"/>
          <w:lang w:val="es-AR"/>
        </w:rPr>
        <w:t xml:space="preserve"> un tsunami</w:t>
      </w:r>
      <w:r w:rsidR="004B3372">
        <w:rPr>
          <w:rFonts w:ascii="Times New Roman" w:hAnsi="Times New Roman"/>
          <w:sz w:val="22"/>
          <w:szCs w:val="22"/>
          <w:lang w:val="es-AR"/>
        </w:rPr>
        <w:t xml:space="preserve"> </w:t>
      </w:r>
      <w:r w:rsidR="00ED41C2">
        <w:rPr>
          <w:rFonts w:ascii="Times New Roman" w:hAnsi="Times New Roman"/>
          <w:sz w:val="22"/>
          <w:szCs w:val="22"/>
          <w:lang w:val="es-AR"/>
        </w:rPr>
        <w:t>y su magnitud máxima de impacto</w:t>
      </w:r>
      <w:r w:rsidR="00ED41C2">
        <w:rPr>
          <w:rStyle w:val="FootnoteReference"/>
          <w:rFonts w:ascii="Times New Roman" w:hAnsi="Times New Roman"/>
          <w:sz w:val="22"/>
          <w:szCs w:val="22"/>
          <w:lang w:val="es-AR"/>
        </w:rPr>
        <w:footnoteReference w:id="2"/>
      </w:r>
      <w:r w:rsidR="00ED41C2">
        <w:rPr>
          <w:rFonts w:ascii="Times New Roman" w:hAnsi="Times New Roman"/>
          <w:sz w:val="22"/>
          <w:szCs w:val="22"/>
          <w:lang w:val="es-AR"/>
        </w:rPr>
        <w:t xml:space="preserve">, b) </w:t>
      </w:r>
      <w:r w:rsidR="00416632" w:rsidRPr="00C02BEC">
        <w:rPr>
          <w:rFonts w:ascii="Times New Roman" w:hAnsi="Times New Roman"/>
          <w:sz w:val="22"/>
          <w:szCs w:val="22"/>
          <w:lang w:val="es-AR"/>
        </w:rPr>
        <w:t xml:space="preserve">La </w:t>
      </w:r>
      <w:r w:rsidR="00BB67BC">
        <w:rPr>
          <w:rFonts w:ascii="Times New Roman" w:hAnsi="Times New Roman"/>
          <w:sz w:val="22"/>
          <w:szCs w:val="22"/>
          <w:lang w:val="es-AR"/>
        </w:rPr>
        <w:t xml:space="preserve">población beneficiaria, </w:t>
      </w:r>
      <w:r w:rsidR="00391B8F">
        <w:rPr>
          <w:rFonts w:ascii="Times New Roman" w:hAnsi="Times New Roman"/>
          <w:sz w:val="22"/>
          <w:szCs w:val="22"/>
          <w:lang w:val="es-AR"/>
        </w:rPr>
        <w:t xml:space="preserve">frecuencia </w:t>
      </w:r>
      <w:r w:rsidR="00A055E2">
        <w:rPr>
          <w:rFonts w:ascii="Times New Roman" w:hAnsi="Times New Roman"/>
          <w:sz w:val="22"/>
          <w:szCs w:val="22"/>
          <w:lang w:val="es-AR"/>
        </w:rPr>
        <w:t xml:space="preserve"> y daños esperados </w:t>
      </w:r>
      <w:r w:rsidR="00391B8F">
        <w:rPr>
          <w:rFonts w:ascii="Times New Roman" w:hAnsi="Times New Roman"/>
          <w:sz w:val="22"/>
          <w:szCs w:val="22"/>
          <w:lang w:val="es-AR"/>
        </w:rPr>
        <w:t xml:space="preserve">de los eventos futuros de desbordamiento de ríos, c) El </w:t>
      </w:r>
      <w:r w:rsidR="00837476">
        <w:rPr>
          <w:rFonts w:ascii="Times New Roman" w:hAnsi="Times New Roman"/>
          <w:sz w:val="22"/>
          <w:szCs w:val="22"/>
          <w:lang w:val="es-AR"/>
        </w:rPr>
        <w:t xml:space="preserve">valor estadístico </w:t>
      </w:r>
      <w:r w:rsidR="00391B8F">
        <w:rPr>
          <w:rFonts w:ascii="Times New Roman" w:hAnsi="Times New Roman"/>
          <w:sz w:val="22"/>
          <w:szCs w:val="22"/>
          <w:lang w:val="es-AR"/>
        </w:rPr>
        <w:t xml:space="preserve">de la </w:t>
      </w:r>
      <w:r w:rsidR="00837476">
        <w:rPr>
          <w:rFonts w:ascii="Times New Roman" w:hAnsi="Times New Roman"/>
          <w:sz w:val="22"/>
          <w:szCs w:val="22"/>
          <w:lang w:val="es-AR"/>
        </w:rPr>
        <w:t xml:space="preserve">vida </w:t>
      </w:r>
      <w:r w:rsidR="00A055E2">
        <w:rPr>
          <w:rFonts w:ascii="Times New Roman" w:hAnsi="Times New Roman"/>
          <w:sz w:val="22"/>
          <w:szCs w:val="22"/>
          <w:lang w:val="es-AR"/>
        </w:rPr>
        <w:t>aplicable a l</w:t>
      </w:r>
      <w:r w:rsidR="00BB67BC">
        <w:rPr>
          <w:rFonts w:ascii="Times New Roman" w:hAnsi="Times New Roman"/>
          <w:sz w:val="22"/>
          <w:szCs w:val="22"/>
          <w:lang w:val="es-AR"/>
        </w:rPr>
        <w:t>os beneficiarios</w:t>
      </w:r>
      <w:r w:rsidR="00391B8F">
        <w:rPr>
          <w:rFonts w:ascii="Times New Roman" w:hAnsi="Times New Roman"/>
          <w:sz w:val="22"/>
          <w:szCs w:val="22"/>
          <w:lang w:val="es-AR"/>
        </w:rPr>
        <w:t xml:space="preserve">, en función de las prácticas habituales de </w:t>
      </w:r>
      <w:r w:rsidR="005907F8">
        <w:rPr>
          <w:rFonts w:ascii="Times New Roman" w:hAnsi="Times New Roman"/>
          <w:sz w:val="22"/>
          <w:szCs w:val="22"/>
          <w:lang w:val="es-AR"/>
        </w:rPr>
        <w:t>e</w:t>
      </w:r>
      <w:r w:rsidR="00391B8F">
        <w:rPr>
          <w:rFonts w:ascii="Times New Roman" w:hAnsi="Times New Roman"/>
          <w:sz w:val="22"/>
          <w:szCs w:val="22"/>
          <w:lang w:val="es-AR"/>
        </w:rPr>
        <w:t xml:space="preserve">stimación </w:t>
      </w:r>
      <w:r w:rsidR="005907F8">
        <w:rPr>
          <w:rFonts w:ascii="Times New Roman" w:hAnsi="Times New Roman"/>
          <w:sz w:val="22"/>
          <w:szCs w:val="22"/>
          <w:lang w:val="es-AR"/>
        </w:rPr>
        <w:t>utilizadas</w:t>
      </w:r>
      <w:r w:rsidR="00391B8F">
        <w:rPr>
          <w:rFonts w:ascii="Times New Roman" w:hAnsi="Times New Roman"/>
          <w:sz w:val="22"/>
          <w:szCs w:val="22"/>
          <w:lang w:val="es-AR"/>
        </w:rPr>
        <w:t xml:space="preserve"> internacionalmente</w:t>
      </w:r>
      <w:bookmarkStart w:id="3" w:name="_Ref465252699"/>
      <w:r w:rsidR="00391B8F">
        <w:rPr>
          <w:rStyle w:val="FootnoteReference"/>
          <w:rFonts w:ascii="Times New Roman" w:hAnsi="Times New Roman"/>
          <w:sz w:val="22"/>
          <w:szCs w:val="22"/>
          <w:lang w:val="es-AR"/>
        </w:rPr>
        <w:footnoteReference w:id="3"/>
      </w:r>
      <w:bookmarkEnd w:id="3"/>
      <w:r w:rsidR="00416632" w:rsidRPr="00C02BEC">
        <w:rPr>
          <w:rFonts w:ascii="Times New Roman" w:hAnsi="Times New Roman"/>
          <w:sz w:val="22"/>
          <w:szCs w:val="22"/>
          <w:lang w:val="es-AR"/>
        </w:rPr>
        <w:t>.</w:t>
      </w:r>
    </w:p>
    <w:p w:rsidR="00416632" w:rsidRPr="00C02BEC" w:rsidRDefault="00416632" w:rsidP="00416632">
      <w:pPr>
        <w:ind w:left="718"/>
        <w:jc w:val="both"/>
        <w:rPr>
          <w:rFonts w:ascii="Times New Roman" w:hAnsi="Times New Roman"/>
          <w:sz w:val="22"/>
          <w:szCs w:val="22"/>
          <w:lang w:val="es-AR"/>
        </w:rPr>
      </w:pPr>
    </w:p>
    <w:p w:rsidR="00416632" w:rsidRDefault="00BB67BC" w:rsidP="00622D14">
      <w:pPr>
        <w:jc w:val="both"/>
        <w:rPr>
          <w:rFonts w:ascii="Times New Roman" w:hAnsi="Times New Roman"/>
          <w:sz w:val="22"/>
          <w:szCs w:val="22"/>
          <w:lang w:val="es-AR"/>
        </w:rPr>
      </w:pPr>
      <w:r>
        <w:rPr>
          <w:rFonts w:ascii="Times New Roman" w:hAnsi="Times New Roman"/>
          <w:sz w:val="22"/>
          <w:szCs w:val="22"/>
          <w:lang w:val="es-AR"/>
        </w:rPr>
        <w:t>L</w:t>
      </w:r>
      <w:r w:rsidR="00416632" w:rsidRPr="00C02BEC">
        <w:rPr>
          <w:rFonts w:ascii="Times New Roman" w:hAnsi="Times New Roman"/>
          <w:sz w:val="22"/>
          <w:szCs w:val="22"/>
          <w:lang w:val="es-AR"/>
        </w:rPr>
        <w:t>as inversiones en equipamiento</w:t>
      </w:r>
      <w:r>
        <w:rPr>
          <w:rFonts w:ascii="Times New Roman" w:hAnsi="Times New Roman"/>
          <w:sz w:val="22"/>
          <w:szCs w:val="22"/>
          <w:lang w:val="es-AR"/>
        </w:rPr>
        <w:t xml:space="preserve"> se orientan al monitoreo (boyas, </w:t>
      </w:r>
      <w:r w:rsidR="00416632" w:rsidRPr="00C02BEC">
        <w:rPr>
          <w:rFonts w:ascii="Times New Roman" w:hAnsi="Times New Roman"/>
          <w:sz w:val="22"/>
          <w:szCs w:val="22"/>
          <w:lang w:val="es-AR"/>
        </w:rPr>
        <w:t xml:space="preserve"> mareógrafos</w:t>
      </w:r>
      <w:r>
        <w:rPr>
          <w:rFonts w:ascii="Times New Roman" w:hAnsi="Times New Roman"/>
          <w:sz w:val="22"/>
          <w:szCs w:val="22"/>
          <w:lang w:val="es-AR"/>
        </w:rPr>
        <w:t>, estaciones de monitoreo</w:t>
      </w:r>
      <w:r w:rsidR="00416632" w:rsidRPr="00C02BEC">
        <w:rPr>
          <w:rFonts w:ascii="Times New Roman" w:hAnsi="Times New Roman"/>
          <w:sz w:val="22"/>
          <w:szCs w:val="22"/>
          <w:lang w:val="es-AR"/>
        </w:rPr>
        <w:t xml:space="preserve">), </w:t>
      </w:r>
      <w:r>
        <w:rPr>
          <w:rFonts w:ascii="Times New Roman" w:hAnsi="Times New Roman"/>
          <w:sz w:val="22"/>
          <w:szCs w:val="22"/>
          <w:lang w:val="es-AR"/>
        </w:rPr>
        <w:t xml:space="preserve">comunicación </w:t>
      </w:r>
      <w:r w:rsidR="00D36B53">
        <w:rPr>
          <w:rFonts w:ascii="Times New Roman" w:hAnsi="Times New Roman"/>
          <w:sz w:val="22"/>
          <w:szCs w:val="22"/>
          <w:lang w:val="es-AR"/>
        </w:rPr>
        <w:t xml:space="preserve">y conectividad </w:t>
      </w:r>
      <w:r>
        <w:rPr>
          <w:rFonts w:ascii="Times New Roman" w:hAnsi="Times New Roman"/>
          <w:sz w:val="22"/>
          <w:szCs w:val="22"/>
          <w:lang w:val="es-AR"/>
        </w:rPr>
        <w:t>(sistemas informáticos</w:t>
      </w:r>
      <w:r w:rsidR="00D36B53">
        <w:rPr>
          <w:rFonts w:ascii="Times New Roman" w:hAnsi="Times New Roman"/>
          <w:sz w:val="22"/>
          <w:szCs w:val="22"/>
          <w:lang w:val="es-AR"/>
        </w:rPr>
        <w:t xml:space="preserve">), </w:t>
      </w:r>
      <w:r w:rsidR="00416632" w:rsidRPr="00C02BEC">
        <w:rPr>
          <w:rFonts w:ascii="Times New Roman" w:hAnsi="Times New Roman"/>
          <w:sz w:val="22"/>
          <w:szCs w:val="22"/>
          <w:lang w:val="es-AR"/>
        </w:rPr>
        <w:t>así como</w:t>
      </w:r>
      <w:r w:rsidR="00D36B53">
        <w:rPr>
          <w:rFonts w:ascii="Times New Roman" w:hAnsi="Times New Roman"/>
          <w:sz w:val="22"/>
          <w:szCs w:val="22"/>
          <w:lang w:val="es-AR"/>
        </w:rPr>
        <w:t xml:space="preserve"> difusión </w:t>
      </w:r>
      <w:r w:rsidR="00416632" w:rsidRPr="00C02BEC">
        <w:rPr>
          <w:rFonts w:ascii="Times New Roman" w:hAnsi="Times New Roman"/>
          <w:sz w:val="22"/>
          <w:szCs w:val="22"/>
          <w:lang w:val="es-AR"/>
        </w:rPr>
        <w:t xml:space="preserve"> (sirenas). Adicionalmente se</w:t>
      </w:r>
      <w:r w:rsidR="00391B8F">
        <w:rPr>
          <w:rFonts w:ascii="Times New Roman" w:hAnsi="Times New Roman"/>
          <w:sz w:val="22"/>
          <w:szCs w:val="22"/>
          <w:lang w:val="es-AR"/>
        </w:rPr>
        <w:t>rán ejecutadas</w:t>
      </w:r>
      <w:r w:rsidR="00416632" w:rsidRPr="00C02BEC">
        <w:rPr>
          <w:rFonts w:ascii="Times New Roman" w:hAnsi="Times New Roman"/>
          <w:sz w:val="22"/>
          <w:szCs w:val="22"/>
          <w:lang w:val="es-AR"/>
        </w:rPr>
        <w:t xml:space="preserve"> acciones de concientización, sensibilización y capacitación </w:t>
      </w:r>
      <w:r w:rsidR="00D36B53">
        <w:rPr>
          <w:rFonts w:ascii="Times New Roman" w:hAnsi="Times New Roman"/>
          <w:sz w:val="22"/>
          <w:szCs w:val="22"/>
          <w:lang w:val="es-AR"/>
        </w:rPr>
        <w:t>en</w:t>
      </w:r>
      <w:r w:rsidR="00416632" w:rsidRPr="00C02BEC">
        <w:rPr>
          <w:rFonts w:ascii="Times New Roman" w:hAnsi="Times New Roman"/>
          <w:sz w:val="22"/>
          <w:szCs w:val="22"/>
          <w:lang w:val="es-AR"/>
        </w:rPr>
        <w:t xml:space="preserve"> las </w:t>
      </w:r>
      <w:r w:rsidR="00B779F4">
        <w:rPr>
          <w:rFonts w:ascii="Times New Roman" w:hAnsi="Times New Roman"/>
          <w:sz w:val="22"/>
          <w:szCs w:val="22"/>
          <w:lang w:val="es-AR"/>
        </w:rPr>
        <w:t>c</w:t>
      </w:r>
      <w:r w:rsidR="00B779F4" w:rsidRPr="00C02BEC">
        <w:rPr>
          <w:rFonts w:ascii="Times New Roman" w:hAnsi="Times New Roman"/>
          <w:sz w:val="22"/>
          <w:szCs w:val="22"/>
          <w:lang w:val="es-AR"/>
        </w:rPr>
        <w:t xml:space="preserve">omunidades </w:t>
      </w:r>
      <w:r w:rsidR="00416632" w:rsidRPr="00C02BEC">
        <w:rPr>
          <w:rFonts w:ascii="Times New Roman" w:hAnsi="Times New Roman"/>
          <w:sz w:val="22"/>
          <w:szCs w:val="22"/>
          <w:lang w:val="es-AR"/>
        </w:rPr>
        <w:t>(incluyendo</w:t>
      </w:r>
      <w:r w:rsidR="00344722">
        <w:rPr>
          <w:rFonts w:ascii="Times New Roman" w:hAnsi="Times New Roman"/>
          <w:sz w:val="22"/>
          <w:szCs w:val="22"/>
          <w:lang w:val="es-AR"/>
        </w:rPr>
        <w:t xml:space="preserve"> ejecución de </w:t>
      </w:r>
      <w:r w:rsidR="00416632" w:rsidRPr="00C02BEC">
        <w:rPr>
          <w:rFonts w:ascii="Times New Roman" w:hAnsi="Times New Roman"/>
          <w:sz w:val="22"/>
          <w:szCs w:val="22"/>
          <w:lang w:val="es-AR"/>
        </w:rPr>
        <w:t xml:space="preserve"> simulacros y preparación de </w:t>
      </w:r>
      <w:r w:rsidR="00B779F4">
        <w:rPr>
          <w:rFonts w:ascii="Times New Roman" w:hAnsi="Times New Roman"/>
          <w:sz w:val="22"/>
          <w:szCs w:val="22"/>
          <w:lang w:val="es-AR"/>
        </w:rPr>
        <w:t>p</w:t>
      </w:r>
      <w:r w:rsidR="00B779F4" w:rsidRPr="00C02BEC">
        <w:rPr>
          <w:rFonts w:ascii="Times New Roman" w:hAnsi="Times New Roman"/>
          <w:sz w:val="22"/>
          <w:szCs w:val="22"/>
          <w:lang w:val="es-AR"/>
        </w:rPr>
        <w:t xml:space="preserve">lanes </w:t>
      </w:r>
      <w:r w:rsidR="00416632" w:rsidRPr="00C02BEC">
        <w:rPr>
          <w:rFonts w:ascii="Times New Roman" w:hAnsi="Times New Roman"/>
          <w:sz w:val="22"/>
          <w:szCs w:val="22"/>
          <w:lang w:val="es-AR"/>
        </w:rPr>
        <w:t xml:space="preserve">de </w:t>
      </w:r>
      <w:r w:rsidR="00B779F4">
        <w:rPr>
          <w:rFonts w:ascii="Times New Roman" w:hAnsi="Times New Roman"/>
          <w:sz w:val="22"/>
          <w:szCs w:val="22"/>
          <w:lang w:val="es-AR"/>
        </w:rPr>
        <w:t>c</w:t>
      </w:r>
      <w:r w:rsidR="00B779F4" w:rsidRPr="00C02BEC">
        <w:rPr>
          <w:rFonts w:ascii="Times New Roman" w:hAnsi="Times New Roman"/>
          <w:sz w:val="22"/>
          <w:szCs w:val="22"/>
          <w:lang w:val="es-AR"/>
        </w:rPr>
        <w:t>ontingencia</w:t>
      </w:r>
      <w:r w:rsidR="00416632" w:rsidRPr="00C02BEC">
        <w:rPr>
          <w:rFonts w:ascii="Times New Roman" w:hAnsi="Times New Roman"/>
          <w:sz w:val="22"/>
          <w:szCs w:val="22"/>
          <w:lang w:val="es-AR"/>
        </w:rPr>
        <w:t xml:space="preserve">).  </w:t>
      </w:r>
      <w:r w:rsidR="00A055E2">
        <w:rPr>
          <w:rFonts w:ascii="Times New Roman" w:hAnsi="Times New Roman"/>
          <w:sz w:val="22"/>
          <w:szCs w:val="22"/>
          <w:lang w:val="es-AR"/>
        </w:rPr>
        <w:t xml:space="preserve">El análisis contempla la estimación de los costos de operación y mantenimiento </w:t>
      </w:r>
      <w:r w:rsidR="00D36B53">
        <w:rPr>
          <w:rFonts w:ascii="Times New Roman" w:hAnsi="Times New Roman"/>
          <w:sz w:val="22"/>
          <w:szCs w:val="22"/>
          <w:lang w:val="es-AR"/>
        </w:rPr>
        <w:t xml:space="preserve">necesarios para </w:t>
      </w:r>
      <w:r w:rsidR="00A055E2">
        <w:rPr>
          <w:rFonts w:ascii="Times New Roman" w:hAnsi="Times New Roman"/>
          <w:sz w:val="22"/>
          <w:szCs w:val="22"/>
          <w:lang w:val="es-AR"/>
        </w:rPr>
        <w:t xml:space="preserve"> manten</w:t>
      </w:r>
      <w:r w:rsidR="00D36B53">
        <w:rPr>
          <w:rFonts w:ascii="Times New Roman" w:hAnsi="Times New Roman"/>
          <w:sz w:val="22"/>
          <w:szCs w:val="22"/>
          <w:lang w:val="es-AR"/>
        </w:rPr>
        <w:t>er</w:t>
      </w:r>
      <w:r w:rsidR="00A055E2">
        <w:rPr>
          <w:rFonts w:ascii="Times New Roman" w:hAnsi="Times New Roman"/>
          <w:sz w:val="22"/>
          <w:szCs w:val="22"/>
          <w:lang w:val="es-AR"/>
        </w:rPr>
        <w:t xml:space="preserve"> en adecuado funcionamiento el sistema</w:t>
      </w:r>
      <w:r w:rsidR="00D36B53">
        <w:rPr>
          <w:rFonts w:ascii="Times New Roman" w:hAnsi="Times New Roman"/>
          <w:sz w:val="22"/>
          <w:szCs w:val="22"/>
          <w:lang w:val="es-AR"/>
        </w:rPr>
        <w:t xml:space="preserve"> dentro de </w:t>
      </w:r>
      <w:r w:rsidR="00A055E2">
        <w:rPr>
          <w:rFonts w:ascii="Times New Roman" w:hAnsi="Times New Roman"/>
          <w:sz w:val="22"/>
          <w:szCs w:val="22"/>
          <w:lang w:val="es-AR"/>
        </w:rPr>
        <w:t>su vida útil estimada.</w:t>
      </w:r>
    </w:p>
    <w:p w:rsidR="00622D14" w:rsidRDefault="00622D14" w:rsidP="00622D14">
      <w:pPr>
        <w:jc w:val="both"/>
        <w:rPr>
          <w:rFonts w:ascii="Times New Roman" w:hAnsi="Times New Roman"/>
          <w:sz w:val="22"/>
          <w:szCs w:val="22"/>
          <w:lang w:val="es-AR"/>
        </w:rPr>
      </w:pPr>
    </w:p>
    <w:p w:rsidR="00416632" w:rsidRPr="005907F8" w:rsidRDefault="0007544D" w:rsidP="00416632">
      <w:pPr>
        <w:jc w:val="both"/>
        <w:rPr>
          <w:rFonts w:ascii="Times New Roman" w:hAnsi="Times New Roman"/>
          <w:sz w:val="22"/>
          <w:szCs w:val="22"/>
          <w:lang w:val="es-ES"/>
        </w:rPr>
      </w:pPr>
      <w:r>
        <w:rPr>
          <w:rFonts w:ascii="Times New Roman" w:hAnsi="Times New Roman"/>
          <w:sz w:val="22"/>
          <w:szCs w:val="22"/>
          <w:lang w:val="es-AR"/>
        </w:rPr>
        <w:t xml:space="preserve">Las alertas brindadas por el </w:t>
      </w:r>
      <w:r w:rsidR="00391B8F" w:rsidRPr="00391B8F">
        <w:rPr>
          <w:rFonts w:ascii="Times New Roman" w:hAnsi="Times New Roman"/>
          <w:sz w:val="22"/>
          <w:szCs w:val="22"/>
          <w:lang w:val="es-AR"/>
        </w:rPr>
        <w:t xml:space="preserve"> </w:t>
      </w:r>
      <w:r w:rsidR="00E50B6A">
        <w:rPr>
          <w:rFonts w:ascii="Times New Roman" w:hAnsi="Times New Roman" w:hint="eastAsia"/>
          <w:sz w:val="22"/>
          <w:szCs w:val="22"/>
          <w:lang w:val="es-ES_tradnl"/>
        </w:rPr>
        <w:t>P</w:t>
      </w:r>
      <w:r w:rsidR="00E50B6A">
        <w:rPr>
          <w:rFonts w:ascii="Times New Roman" w:hAnsi="Times New Roman" w:hint="eastAsia"/>
          <w:sz w:val="22"/>
          <w:szCs w:val="22"/>
          <w:lang w:val="es-ES_tradnl" w:eastAsia="ja-JP"/>
        </w:rPr>
        <w:t xml:space="preserve">rograma </w:t>
      </w:r>
      <w:r>
        <w:rPr>
          <w:rFonts w:ascii="Times New Roman" w:hAnsi="Times New Roman"/>
          <w:sz w:val="22"/>
          <w:szCs w:val="22"/>
          <w:lang w:val="es-AR"/>
        </w:rPr>
        <w:t>mejorado</w:t>
      </w:r>
      <w:r w:rsidR="00391B8F" w:rsidRPr="00391B8F">
        <w:rPr>
          <w:rFonts w:ascii="Times New Roman" w:hAnsi="Times New Roman"/>
          <w:sz w:val="22"/>
          <w:szCs w:val="22"/>
          <w:lang w:val="es-AR"/>
        </w:rPr>
        <w:t xml:space="preserve"> permitirá</w:t>
      </w:r>
      <w:r w:rsidR="003B62A5">
        <w:rPr>
          <w:rFonts w:ascii="Times New Roman" w:hAnsi="Times New Roman"/>
          <w:sz w:val="22"/>
          <w:szCs w:val="22"/>
          <w:lang w:val="es-AR"/>
        </w:rPr>
        <w:t>n</w:t>
      </w:r>
      <w:r w:rsidR="00391B8F" w:rsidRPr="00391B8F">
        <w:rPr>
          <w:rFonts w:ascii="Times New Roman" w:hAnsi="Times New Roman"/>
          <w:sz w:val="22"/>
          <w:szCs w:val="22"/>
          <w:lang w:val="es-AR"/>
        </w:rPr>
        <w:t xml:space="preserve"> atenuar la vulnerabilidad del área, lo</w:t>
      </w:r>
      <w:r w:rsidR="00391B8F">
        <w:rPr>
          <w:rFonts w:ascii="Times New Roman" w:hAnsi="Times New Roman"/>
          <w:sz w:val="22"/>
          <w:szCs w:val="22"/>
          <w:lang w:val="es-AR"/>
        </w:rPr>
        <w:t xml:space="preserve"> </w:t>
      </w:r>
      <w:r w:rsidR="00391B8F" w:rsidRPr="00391B8F">
        <w:rPr>
          <w:rFonts w:ascii="Times New Roman" w:hAnsi="Times New Roman"/>
          <w:sz w:val="22"/>
          <w:szCs w:val="22"/>
          <w:lang w:val="es-AR"/>
        </w:rPr>
        <w:t xml:space="preserve">que se manifiesta </w:t>
      </w:r>
      <w:r w:rsidR="00F42E61">
        <w:rPr>
          <w:rFonts w:ascii="Times New Roman" w:hAnsi="Times New Roman"/>
          <w:sz w:val="22"/>
          <w:szCs w:val="22"/>
          <w:lang w:val="es-AR"/>
        </w:rPr>
        <w:t xml:space="preserve">frente a la eventual ocurrencia de </w:t>
      </w:r>
      <w:r>
        <w:rPr>
          <w:rFonts w:ascii="Times New Roman" w:hAnsi="Times New Roman"/>
          <w:sz w:val="22"/>
          <w:szCs w:val="22"/>
          <w:lang w:val="es-AR"/>
        </w:rPr>
        <w:t xml:space="preserve">los desastres señalados, lo que se </w:t>
      </w:r>
      <w:r w:rsidR="00046EFF">
        <w:rPr>
          <w:rFonts w:ascii="Times New Roman" w:hAnsi="Times New Roman"/>
          <w:sz w:val="22"/>
          <w:szCs w:val="22"/>
          <w:lang w:val="es-AR"/>
        </w:rPr>
        <w:t>expresa</w:t>
      </w:r>
      <w:r>
        <w:rPr>
          <w:rFonts w:ascii="Times New Roman" w:hAnsi="Times New Roman"/>
          <w:sz w:val="22"/>
          <w:szCs w:val="22"/>
          <w:lang w:val="es-AR"/>
        </w:rPr>
        <w:t xml:space="preserve"> </w:t>
      </w:r>
      <w:r w:rsidR="00391B8F" w:rsidRPr="00391B8F">
        <w:rPr>
          <w:rFonts w:ascii="Times New Roman" w:hAnsi="Times New Roman"/>
          <w:sz w:val="22"/>
          <w:szCs w:val="22"/>
          <w:lang w:val="es-AR"/>
        </w:rPr>
        <w:t xml:space="preserve">por los siguientes </w:t>
      </w:r>
      <w:r>
        <w:rPr>
          <w:rFonts w:ascii="Times New Roman" w:hAnsi="Times New Roman"/>
          <w:sz w:val="22"/>
          <w:szCs w:val="22"/>
          <w:lang w:val="es-AR"/>
        </w:rPr>
        <w:t>beneficios</w:t>
      </w:r>
      <w:r w:rsidR="00391B8F" w:rsidRPr="00391B8F">
        <w:rPr>
          <w:rFonts w:ascii="Times New Roman" w:hAnsi="Times New Roman"/>
          <w:sz w:val="22"/>
          <w:szCs w:val="22"/>
          <w:lang w:val="es-AR"/>
        </w:rPr>
        <w:t xml:space="preserve">: (a) Reducción de muertes y daños personales de los habitantes </w:t>
      </w:r>
      <w:r w:rsidR="003B62A5">
        <w:rPr>
          <w:rFonts w:ascii="Times New Roman" w:hAnsi="Times New Roman"/>
          <w:sz w:val="22"/>
          <w:szCs w:val="22"/>
          <w:lang w:val="es-AR"/>
        </w:rPr>
        <w:t>de</w:t>
      </w:r>
      <w:r w:rsidR="00391B8F" w:rsidRPr="00391B8F">
        <w:rPr>
          <w:rFonts w:ascii="Times New Roman" w:hAnsi="Times New Roman"/>
          <w:sz w:val="22"/>
          <w:szCs w:val="22"/>
          <w:lang w:val="es-AR"/>
        </w:rPr>
        <w:t xml:space="preserve"> zonas de alta vulnerabilidad</w:t>
      </w:r>
      <w:r w:rsidR="00F42E61">
        <w:rPr>
          <w:rFonts w:ascii="Times New Roman" w:hAnsi="Times New Roman"/>
          <w:sz w:val="22"/>
          <w:szCs w:val="22"/>
          <w:lang w:val="es-AR"/>
        </w:rPr>
        <w:t xml:space="preserve"> y</w:t>
      </w:r>
      <w:r w:rsidR="00391B8F" w:rsidRPr="00391B8F">
        <w:rPr>
          <w:rFonts w:ascii="Times New Roman" w:hAnsi="Times New Roman"/>
          <w:sz w:val="22"/>
          <w:szCs w:val="22"/>
          <w:lang w:val="es-AR"/>
        </w:rPr>
        <w:t xml:space="preserve"> (b) Disminución de daños a los bienes públic</w:t>
      </w:r>
      <w:r>
        <w:rPr>
          <w:rFonts w:ascii="Times New Roman" w:hAnsi="Times New Roman"/>
          <w:sz w:val="22"/>
          <w:szCs w:val="22"/>
          <w:lang w:val="es-AR"/>
        </w:rPr>
        <w:t>os</w:t>
      </w:r>
      <w:r w:rsidR="00391B8F" w:rsidRPr="00391B8F">
        <w:rPr>
          <w:rFonts w:ascii="Times New Roman" w:hAnsi="Times New Roman"/>
          <w:sz w:val="22"/>
          <w:szCs w:val="22"/>
          <w:lang w:val="es-AR"/>
        </w:rPr>
        <w:t xml:space="preserve"> y privad</w:t>
      </w:r>
      <w:r>
        <w:rPr>
          <w:rFonts w:ascii="Times New Roman" w:hAnsi="Times New Roman"/>
          <w:sz w:val="22"/>
          <w:szCs w:val="22"/>
          <w:lang w:val="es-AR"/>
        </w:rPr>
        <w:t>os</w:t>
      </w:r>
      <w:r w:rsidR="00391B8F" w:rsidRPr="00391B8F">
        <w:rPr>
          <w:rFonts w:ascii="Times New Roman" w:hAnsi="Times New Roman"/>
          <w:sz w:val="22"/>
          <w:szCs w:val="22"/>
          <w:lang w:val="es-AR"/>
        </w:rPr>
        <w:t xml:space="preserve"> que pued</w:t>
      </w:r>
      <w:r>
        <w:rPr>
          <w:rFonts w:ascii="Times New Roman" w:hAnsi="Times New Roman"/>
          <w:sz w:val="22"/>
          <w:szCs w:val="22"/>
          <w:lang w:val="es-AR"/>
        </w:rPr>
        <w:t>a</w:t>
      </w:r>
      <w:r w:rsidR="00391B8F" w:rsidRPr="00391B8F">
        <w:rPr>
          <w:rFonts w:ascii="Times New Roman" w:hAnsi="Times New Roman"/>
          <w:sz w:val="22"/>
          <w:szCs w:val="22"/>
          <w:lang w:val="es-AR"/>
        </w:rPr>
        <w:t>n ser desplazados y/o protegidos</w:t>
      </w:r>
      <w:r w:rsidR="00F42E61">
        <w:rPr>
          <w:rFonts w:ascii="Times New Roman" w:hAnsi="Times New Roman"/>
          <w:sz w:val="22"/>
          <w:szCs w:val="22"/>
          <w:lang w:val="es-AR"/>
        </w:rPr>
        <w:t>.</w:t>
      </w:r>
      <w:r w:rsidR="00391B8F" w:rsidRPr="00391B8F">
        <w:rPr>
          <w:rFonts w:ascii="Times New Roman" w:hAnsi="Times New Roman"/>
          <w:sz w:val="22"/>
          <w:szCs w:val="22"/>
          <w:lang w:val="es-AR"/>
        </w:rPr>
        <w:t xml:space="preserve"> </w:t>
      </w:r>
      <w:r w:rsidR="00416632" w:rsidRPr="00733AEA">
        <w:rPr>
          <w:rFonts w:ascii="Times New Roman" w:hAnsi="Times New Roman"/>
          <w:sz w:val="22"/>
          <w:szCs w:val="22"/>
          <w:lang w:val="es-ES"/>
        </w:rPr>
        <w:t>A partir de l</w:t>
      </w:r>
      <w:r w:rsidR="00391B8F">
        <w:rPr>
          <w:rFonts w:ascii="Times New Roman" w:hAnsi="Times New Roman"/>
          <w:sz w:val="22"/>
          <w:szCs w:val="22"/>
          <w:lang w:val="es-ES"/>
        </w:rPr>
        <w:t xml:space="preserve">a </w:t>
      </w:r>
      <w:r w:rsidR="00BC6F29">
        <w:rPr>
          <w:rFonts w:ascii="Times New Roman" w:hAnsi="Times New Roman"/>
          <w:sz w:val="22"/>
          <w:szCs w:val="22"/>
          <w:lang w:val="es-ES"/>
        </w:rPr>
        <w:t>reducci</w:t>
      </w:r>
      <w:r>
        <w:rPr>
          <w:rFonts w:ascii="Times New Roman" w:hAnsi="Times New Roman"/>
          <w:sz w:val="22"/>
          <w:szCs w:val="22"/>
          <w:lang w:val="es-ES"/>
        </w:rPr>
        <w:t xml:space="preserve">ón de los impactos potenciales </w:t>
      </w:r>
      <w:r w:rsidR="00BC6F29">
        <w:rPr>
          <w:rFonts w:ascii="Times New Roman" w:hAnsi="Times New Roman"/>
          <w:sz w:val="22"/>
          <w:szCs w:val="22"/>
          <w:lang w:val="es-ES"/>
        </w:rPr>
        <w:t xml:space="preserve">el </w:t>
      </w:r>
      <w:r w:rsidR="00416632" w:rsidRPr="00733AEA">
        <w:rPr>
          <w:rFonts w:ascii="Times New Roman" w:hAnsi="Times New Roman"/>
          <w:sz w:val="22"/>
          <w:szCs w:val="22"/>
          <w:lang w:val="es-ES"/>
        </w:rPr>
        <w:t xml:space="preserve"> Programa muestra una TIR  </w:t>
      </w:r>
      <w:r w:rsidR="00D8413E" w:rsidRPr="00733AEA">
        <w:rPr>
          <w:rFonts w:ascii="Times New Roman" w:hAnsi="Times New Roman"/>
          <w:sz w:val="22"/>
          <w:szCs w:val="22"/>
          <w:lang w:val="es-ES"/>
        </w:rPr>
        <w:t xml:space="preserve">promedio de  </w:t>
      </w:r>
      <w:r w:rsidR="00BC6F29">
        <w:rPr>
          <w:rFonts w:ascii="Times New Roman" w:hAnsi="Times New Roman"/>
          <w:sz w:val="22"/>
          <w:szCs w:val="22"/>
          <w:lang w:val="es-ES"/>
        </w:rPr>
        <w:t>2</w:t>
      </w:r>
      <w:r w:rsidR="00E944D4">
        <w:rPr>
          <w:rFonts w:ascii="Times New Roman" w:hAnsi="Times New Roman"/>
          <w:sz w:val="22"/>
          <w:szCs w:val="22"/>
          <w:lang w:val="es-ES"/>
        </w:rPr>
        <w:t>7,1</w:t>
      </w:r>
      <w:r w:rsidR="00D8413E" w:rsidRPr="00733AEA">
        <w:rPr>
          <w:rFonts w:ascii="Times New Roman" w:hAnsi="Times New Roman"/>
          <w:sz w:val="22"/>
          <w:szCs w:val="22"/>
          <w:lang w:val="es-ES"/>
        </w:rPr>
        <w:t xml:space="preserve">%, para un horizonte de 20 años, con un  VAN de US$ </w:t>
      </w:r>
      <w:r w:rsidR="00BC6F29">
        <w:rPr>
          <w:rFonts w:ascii="Times New Roman" w:hAnsi="Times New Roman"/>
          <w:sz w:val="22"/>
          <w:szCs w:val="22"/>
          <w:lang w:val="es-ES"/>
        </w:rPr>
        <w:t>2</w:t>
      </w:r>
      <w:r w:rsidR="00E944D4">
        <w:rPr>
          <w:rFonts w:ascii="Times New Roman" w:hAnsi="Times New Roman"/>
          <w:sz w:val="22"/>
          <w:szCs w:val="22"/>
          <w:lang w:val="es-ES"/>
        </w:rPr>
        <w:t>0</w:t>
      </w:r>
      <w:r w:rsidR="00837476">
        <w:rPr>
          <w:rFonts w:ascii="Times New Roman" w:hAnsi="Times New Roman"/>
          <w:sz w:val="22"/>
          <w:szCs w:val="22"/>
          <w:lang w:val="es-ES"/>
        </w:rPr>
        <w:t>,</w:t>
      </w:r>
      <w:r w:rsidR="00E944D4">
        <w:rPr>
          <w:rFonts w:ascii="Times New Roman" w:hAnsi="Times New Roman"/>
          <w:sz w:val="22"/>
          <w:szCs w:val="22"/>
          <w:lang w:val="es-ES"/>
        </w:rPr>
        <w:t>7</w:t>
      </w:r>
      <w:r w:rsidR="00D8413E" w:rsidRPr="00733AEA">
        <w:rPr>
          <w:rFonts w:ascii="Times New Roman" w:hAnsi="Times New Roman"/>
          <w:sz w:val="22"/>
          <w:szCs w:val="22"/>
          <w:lang w:val="es-ES"/>
        </w:rPr>
        <w:t xml:space="preserve"> Millones (d=12%) y una rela</w:t>
      </w:r>
      <w:r w:rsidR="00BC6F29">
        <w:rPr>
          <w:rFonts w:ascii="Times New Roman" w:hAnsi="Times New Roman"/>
          <w:sz w:val="22"/>
          <w:szCs w:val="22"/>
          <w:lang w:val="es-ES"/>
        </w:rPr>
        <w:t xml:space="preserve">ción Beneficio/Costo de </w:t>
      </w:r>
      <w:r w:rsidR="00E944D4">
        <w:rPr>
          <w:rFonts w:ascii="Times New Roman" w:hAnsi="Times New Roman"/>
          <w:sz w:val="22"/>
          <w:szCs w:val="22"/>
          <w:lang w:val="es-ES"/>
        </w:rPr>
        <w:t>1</w:t>
      </w:r>
      <w:r w:rsidR="00837476">
        <w:rPr>
          <w:rFonts w:ascii="Times New Roman" w:hAnsi="Times New Roman"/>
          <w:sz w:val="22"/>
          <w:szCs w:val="22"/>
          <w:lang w:val="es-ES"/>
        </w:rPr>
        <w:t>,</w:t>
      </w:r>
      <w:r w:rsidR="00E944D4">
        <w:rPr>
          <w:rFonts w:ascii="Times New Roman" w:hAnsi="Times New Roman"/>
          <w:sz w:val="22"/>
          <w:szCs w:val="22"/>
          <w:lang w:val="es-ES"/>
        </w:rPr>
        <w:t>99</w:t>
      </w:r>
      <w:r w:rsidR="00416632" w:rsidRPr="00914DBE">
        <w:rPr>
          <w:rFonts w:ascii="Times New Roman" w:hAnsi="Times New Roman"/>
          <w:sz w:val="22"/>
          <w:szCs w:val="22"/>
          <w:lang w:val="es-ES"/>
        </w:rPr>
        <w:t xml:space="preserve">. </w:t>
      </w:r>
      <w:r w:rsidR="00B24085">
        <w:rPr>
          <w:rFonts w:ascii="Times New Roman" w:hAnsi="Times New Roman"/>
          <w:sz w:val="22"/>
          <w:szCs w:val="22"/>
          <w:lang w:val="es-ES"/>
        </w:rPr>
        <w:t xml:space="preserve"> </w:t>
      </w:r>
      <w:r>
        <w:rPr>
          <w:rFonts w:ascii="Times New Roman" w:hAnsi="Times New Roman"/>
          <w:sz w:val="22"/>
          <w:szCs w:val="22"/>
          <w:lang w:val="es-ES"/>
        </w:rPr>
        <w:t>L</w:t>
      </w:r>
      <w:r w:rsidRPr="00684270">
        <w:rPr>
          <w:rFonts w:ascii="Times New Roman" w:hAnsi="Times New Roman"/>
          <w:sz w:val="22"/>
          <w:szCs w:val="22"/>
          <w:lang w:val="es-ES"/>
        </w:rPr>
        <w:t xml:space="preserve">a </w:t>
      </w:r>
      <w:r>
        <w:rPr>
          <w:rFonts w:ascii="Times New Roman" w:hAnsi="Times New Roman"/>
          <w:sz w:val="22"/>
          <w:szCs w:val="22"/>
          <w:lang w:val="es-ES"/>
        </w:rPr>
        <w:t>existencia</w:t>
      </w:r>
      <w:r w:rsidRPr="00684270">
        <w:rPr>
          <w:rFonts w:ascii="Times New Roman" w:hAnsi="Times New Roman"/>
          <w:sz w:val="22"/>
          <w:szCs w:val="22"/>
          <w:lang w:val="es-ES"/>
        </w:rPr>
        <w:t xml:space="preserve"> de la</w:t>
      </w:r>
      <w:r>
        <w:rPr>
          <w:rFonts w:ascii="Times New Roman" w:hAnsi="Times New Roman"/>
          <w:sz w:val="22"/>
          <w:szCs w:val="22"/>
          <w:lang w:val="es-ES"/>
        </w:rPr>
        <w:t>s</w:t>
      </w:r>
      <w:r w:rsidRPr="00684270">
        <w:rPr>
          <w:rFonts w:ascii="Times New Roman" w:hAnsi="Times New Roman"/>
          <w:sz w:val="22"/>
          <w:szCs w:val="22"/>
          <w:lang w:val="es-ES"/>
        </w:rPr>
        <w:t xml:space="preserve"> amenaza</w:t>
      </w:r>
      <w:r>
        <w:rPr>
          <w:rFonts w:ascii="Times New Roman" w:hAnsi="Times New Roman"/>
          <w:sz w:val="22"/>
          <w:szCs w:val="22"/>
          <w:lang w:val="es-ES"/>
        </w:rPr>
        <w:t>s</w:t>
      </w:r>
      <w:r w:rsidRPr="00684270">
        <w:rPr>
          <w:rFonts w:ascii="Times New Roman" w:hAnsi="Times New Roman"/>
          <w:sz w:val="22"/>
          <w:szCs w:val="22"/>
          <w:lang w:val="es-ES"/>
        </w:rPr>
        <w:t xml:space="preserve"> constituye una restricción objetiva a las decisiones de inversión </w:t>
      </w:r>
      <w:r w:rsidRPr="005907F8">
        <w:rPr>
          <w:rFonts w:ascii="Times New Roman" w:hAnsi="Times New Roman"/>
          <w:sz w:val="22"/>
          <w:szCs w:val="22"/>
          <w:lang w:val="es-ES"/>
        </w:rPr>
        <w:t xml:space="preserve">privada, por </w:t>
      </w:r>
      <w:r>
        <w:rPr>
          <w:rFonts w:ascii="Times New Roman" w:hAnsi="Times New Roman"/>
          <w:sz w:val="22"/>
          <w:szCs w:val="22"/>
          <w:lang w:val="es-ES"/>
        </w:rPr>
        <w:t xml:space="preserve">lo que </w:t>
      </w:r>
      <w:r w:rsidRPr="005907F8">
        <w:rPr>
          <w:rFonts w:ascii="Times New Roman" w:hAnsi="Times New Roman"/>
          <w:sz w:val="22"/>
          <w:szCs w:val="22"/>
          <w:lang w:val="es-ES"/>
        </w:rPr>
        <w:t xml:space="preserve">mitigar sus efectos es una condición necesaria para el desarrollo a largo </w:t>
      </w:r>
      <w:r w:rsidRPr="005907F8">
        <w:rPr>
          <w:rFonts w:ascii="Times New Roman" w:hAnsi="Times New Roman"/>
          <w:sz w:val="22"/>
          <w:szCs w:val="22"/>
          <w:lang w:val="es-ES"/>
        </w:rPr>
        <w:lastRenderedPageBreak/>
        <w:t xml:space="preserve">plazo. </w:t>
      </w:r>
      <w:r w:rsidR="00EC38D0">
        <w:rPr>
          <w:rFonts w:ascii="Times New Roman" w:hAnsi="Times New Roman"/>
          <w:sz w:val="22"/>
          <w:szCs w:val="22"/>
          <w:lang w:val="es-ES"/>
        </w:rPr>
        <w:t>Sin embargo, l</w:t>
      </w:r>
      <w:r>
        <w:rPr>
          <w:rFonts w:ascii="Times New Roman" w:hAnsi="Times New Roman"/>
          <w:sz w:val="22"/>
          <w:szCs w:val="22"/>
          <w:lang w:val="es-ES"/>
        </w:rPr>
        <w:t>os cá</w:t>
      </w:r>
      <w:r w:rsidR="003B62A5">
        <w:rPr>
          <w:rFonts w:ascii="Times New Roman" w:hAnsi="Times New Roman"/>
          <w:sz w:val="22"/>
          <w:szCs w:val="22"/>
          <w:lang w:val="es-ES"/>
        </w:rPr>
        <w:t>l</w:t>
      </w:r>
      <w:r>
        <w:rPr>
          <w:rFonts w:ascii="Times New Roman" w:hAnsi="Times New Roman"/>
          <w:sz w:val="22"/>
          <w:szCs w:val="22"/>
          <w:lang w:val="es-ES"/>
        </w:rPr>
        <w:t>culos expuestos</w:t>
      </w:r>
      <w:r w:rsidR="00416632">
        <w:rPr>
          <w:rFonts w:ascii="Times New Roman" w:hAnsi="Times New Roman"/>
          <w:sz w:val="22"/>
          <w:szCs w:val="22"/>
          <w:lang w:val="es-ES"/>
        </w:rPr>
        <w:t xml:space="preserve"> no contempla</w:t>
      </w:r>
      <w:r>
        <w:rPr>
          <w:rFonts w:ascii="Times New Roman" w:hAnsi="Times New Roman"/>
          <w:sz w:val="22"/>
          <w:szCs w:val="22"/>
          <w:lang w:val="es-ES"/>
        </w:rPr>
        <w:t>n</w:t>
      </w:r>
      <w:r w:rsidR="00416632">
        <w:rPr>
          <w:rFonts w:ascii="Times New Roman" w:hAnsi="Times New Roman"/>
          <w:sz w:val="22"/>
          <w:szCs w:val="22"/>
          <w:lang w:val="es-ES"/>
        </w:rPr>
        <w:t xml:space="preserve"> </w:t>
      </w:r>
      <w:r w:rsidR="0007638B">
        <w:rPr>
          <w:rFonts w:ascii="Times New Roman" w:hAnsi="Times New Roman"/>
          <w:sz w:val="22"/>
          <w:szCs w:val="22"/>
          <w:lang w:val="es-ES"/>
        </w:rPr>
        <w:t xml:space="preserve">estos </w:t>
      </w:r>
      <w:r w:rsidR="00416632">
        <w:rPr>
          <w:rFonts w:ascii="Times New Roman" w:hAnsi="Times New Roman"/>
          <w:sz w:val="22"/>
          <w:szCs w:val="22"/>
          <w:lang w:val="es-ES"/>
        </w:rPr>
        <w:t xml:space="preserve">impactos </w:t>
      </w:r>
      <w:r w:rsidR="00416632" w:rsidRPr="00733AEA">
        <w:rPr>
          <w:rFonts w:ascii="Times New Roman" w:hAnsi="Times New Roman"/>
          <w:sz w:val="22"/>
          <w:szCs w:val="22"/>
          <w:lang w:val="es-ES"/>
        </w:rPr>
        <w:t>futuros en términos de</w:t>
      </w:r>
      <w:r>
        <w:rPr>
          <w:rFonts w:ascii="Times New Roman" w:hAnsi="Times New Roman"/>
          <w:sz w:val="22"/>
          <w:szCs w:val="22"/>
          <w:lang w:val="es-ES"/>
        </w:rPr>
        <w:t xml:space="preserve"> aporte al </w:t>
      </w:r>
      <w:r w:rsidR="00416632" w:rsidRPr="00733AEA">
        <w:rPr>
          <w:rFonts w:ascii="Times New Roman" w:hAnsi="Times New Roman"/>
          <w:sz w:val="22"/>
          <w:szCs w:val="22"/>
          <w:lang w:val="es-ES"/>
        </w:rPr>
        <w:t>desarrollo económico</w:t>
      </w:r>
      <w:r w:rsidR="00416632">
        <w:rPr>
          <w:rFonts w:ascii="Times New Roman" w:hAnsi="Times New Roman"/>
          <w:sz w:val="22"/>
          <w:szCs w:val="22"/>
          <w:lang w:val="es-ES"/>
        </w:rPr>
        <w:t xml:space="preserve"> </w:t>
      </w:r>
      <w:r w:rsidR="00914DBE">
        <w:rPr>
          <w:rFonts w:ascii="Times New Roman" w:hAnsi="Times New Roman"/>
          <w:sz w:val="22"/>
          <w:szCs w:val="22"/>
          <w:lang w:val="es-ES"/>
        </w:rPr>
        <w:t>(eludiendo l</w:t>
      </w:r>
      <w:r w:rsidR="00CE398B">
        <w:rPr>
          <w:rFonts w:ascii="Times New Roman" w:hAnsi="Times New Roman"/>
          <w:sz w:val="22"/>
          <w:szCs w:val="22"/>
          <w:lang w:val="es-ES"/>
        </w:rPr>
        <w:t>a</w:t>
      </w:r>
      <w:r w:rsidR="00914DBE">
        <w:rPr>
          <w:rFonts w:ascii="Times New Roman" w:hAnsi="Times New Roman"/>
          <w:sz w:val="22"/>
          <w:szCs w:val="22"/>
          <w:lang w:val="es-ES"/>
        </w:rPr>
        <w:t xml:space="preserve"> </w:t>
      </w:r>
      <w:r w:rsidR="00B779F4">
        <w:rPr>
          <w:rFonts w:ascii="Times New Roman" w:hAnsi="Times New Roman"/>
          <w:sz w:val="22"/>
          <w:szCs w:val="22"/>
          <w:lang w:val="es-ES"/>
        </w:rPr>
        <w:t xml:space="preserve">trampa </w:t>
      </w:r>
      <w:r w:rsidR="00914DBE">
        <w:rPr>
          <w:rFonts w:ascii="Times New Roman" w:hAnsi="Times New Roman"/>
          <w:sz w:val="22"/>
          <w:szCs w:val="22"/>
          <w:lang w:val="es-ES"/>
        </w:rPr>
        <w:t xml:space="preserve">de la </w:t>
      </w:r>
      <w:r w:rsidR="00B779F4">
        <w:rPr>
          <w:rFonts w:ascii="Times New Roman" w:hAnsi="Times New Roman"/>
          <w:sz w:val="22"/>
          <w:szCs w:val="22"/>
          <w:lang w:val="es-ES"/>
        </w:rPr>
        <w:t>pobreza</w:t>
      </w:r>
      <w:r w:rsidR="00CE398B" w:rsidRPr="00CE398B">
        <w:rPr>
          <w:rFonts w:ascii="Times New Roman" w:hAnsi="Times New Roman"/>
          <w:sz w:val="22"/>
          <w:szCs w:val="22"/>
          <w:vertAlign w:val="superscript"/>
          <w:lang w:val="es-AR"/>
        </w:rPr>
        <w:footnoteReference w:id="4"/>
      </w:r>
      <w:r w:rsidR="00914DBE">
        <w:rPr>
          <w:rFonts w:ascii="Times New Roman" w:hAnsi="Times New Roman"/>
          <w:sz w:val="22"/>
          <w:szCs w:val="22"/>
          <w:lang w:val="es-ES"/>
        </w:rPr>
        <w:t xml:space="preserve"> vinculada a desastres)</w:t>
      </w:r>
      <w:r w:rsidR="0007638B">
        <w:rPr>
          <w:rFonts w:ascii="Times New Roman" w:hAnsi="Times New Roman"/>
          <w:sz w:val="22"/>
          <w:szCs w:val="22"/>
          <w:lang w:val="es-ES"/>
        </w:rPr>
        <w:t xml:space="preserve"> dado que no hay evidencia suficiente para substanciar </w:t>
      </w:r>
      <w:r w:rsidR="00D64FA8">
        <w:rPr>
          <w:rFonts w:ascii="Times New Roman" w:hAnsi="Times New Roman"/>
          <w:sz w:val="22"/>
          <w:szCs w:val="22"/>
          <w:lang w:val="es-ES"/>
        </w:rPr>
        <w:t xml:space="preserve">rigurosamente </w:t>
      </w:r>
      <w:r w:rsidR="0007638B">
        <w:rPr>
          <w:rFonts w:ascii="Times New Roman" w:hAnsi="Times New Roman"/>
          <w:sz w:val="22"/>
          <w:szCs w:val="22"/>
          <w:lang w:val="es-ES"/>
        </w:rPr>
        <w:t>este supuesto, por lo que potencialmente los beneficios reales podrían ser mayores a los calculados en este análisis</w:t>
      </w:r>
      <w:r w:rsidR="00914DBE">
        <w:rPr>
          <w:rFonts w:ascii="Times New Roman" w:hAnsi="Times New Roman"/>
          <w:sz w:val="22"/>
          <w:szCs w:val="22"/>
          <w:lang w:val="es-ES"/>
        </w:rPr>
        <w:t>.</w:t>
      </w:r>
      <w:r w:rsidR="00684270">
        <w:rPr>
          <w:rFonts w:ascii="Times New Roman" w:hAnsi="Times New Roman"/>
          <w:sz w:val="22"/>
          <w:szCs w:val="22"/>
          <w:lang w:val="es-ES"/>
        </w:rPr>
        <w:t xml:space="preserve"> </w:t>
      </w:r>
      <w:r>
        <w:rPr>
          <w:rFonts w:ascii="Times New Roman" w:hAnsi="Times New Roman"/>
          <w:sz w:val="22"/>
          <w:szCs w:val="22"/>
          <w:lang w:val="es-ES"/>
        </w:rPr>
        <w:t xml:space="preserve"> </w:t>
      </w:r>
    </w:p>
    <w:p w:rsidR="00C70764" w:rsidRPr="005907F8" w:rsidRDefault="00C70764" w:rsidP="00F60E4F">
      <w:pPr>
        <w:jc w:val="both"/>
        <w:rPr>
          <w:rFonts w:ascii="Times New Roman" w:hAnsi="Times New Roman"/>
          <w:sz w:val="22"/>
          <w:szCs w:val="22"/>
          <w:lang w:val="es-ES"/>
        </w:rPr>
      </w:pPr>
    </w:p>
    <w:p w:rsidR="00751527" w:rsidRDefault="00F60E4F" w:rsidP="00F60E4F">
      <w:pPr>
        <w:jc w:val="both"/>
        <w:rPr>
          <w:rFonts w:ascii="Times New Roman" w:hAnsi="Times New Roman"/>
          <w:sz w:val="22"/>
          <w:szCs w:val="22"/>
          <w:lang w:val="es-ES"/>
        </w:rPr>
      </w:pPr>
      <w:r w:rsidRPr="005907F8">
        <w:rPr>
          <w:rFonts w:ascii="Times New Roman" w:hAnsi="Times New Roman"/>
          <w:sz w:val="22"/>
          <w:szCs w:val="22"/>
          <w:lang w:val="es-ES"/>
        </w:rPr>
        <w:t>El an</w:t>
      </w:r>
      <w:r w:rsidR="00416DE3">
        <w:rPr>
          <w:rFonts w:ascii="Times New Roman" w:hAnsi="Times New Roman"/>
          <w:sz w:val="22"/>
          <w:szCs w:val="22"/>
          <w:lang w:val="es-ES"/>
        </w:rPr>
        <w:t>álisis</w:t>
      </w:r>
      <w:r w:rsidR="00CE398B">
        <w:rPr>
          <w:rFonts w:ascii="Times New Roman" w:hAnsi="Times New Roman"/>
          <w:sz w:val="22"/>
          <w:szCs w:val="22"/>
          <w:lang w:val="es-ES"/>
        </w:rPr>
        <w:t xml:space="preserve"> </w:t>
      </w:r>
      <w:r w:rsidR="00046EFF">
        <w:rPr>
          <w:rFonts w:ascii="Times New Roman" w:hAnsi="Times New Roman"/>
          <w:sz w:val="22"/>
          <w:szCs w:val="22"/>
          <w:lang w:val="es-ES"/>
        </w:rPr>
        <w:t>presenta</w:t>
      </w:r>
      <w:r w:rsidR="00416DE3">
        <w:rPr>
          <w:rFonts w:ascii="Times New Roman" w:hAnsi="Times New Roman"/>
          <w:sz w:val="22"/>
          <w:szCs w:val="22"/>
          <w:lang w:val="es-ES"/>
        </w:rPr>
        <w:t xml:space="preserve"> </w:t>
      </w:r>
      <w:r w:rsidR="00B779F4">
        <w:rPr>
          <w:rFonts w:ascii="Times New Roman" w:hAnsi="Times New Roman"/>
          <w:sz w:val="22"/>
          <w:szCs w:val="22"/>
          <w:lang w:val="es-ES"/>
        </w:rPr>
        <w:t xml:space="preserve">escenarios </w:t>
      </w:r>
      <w:r w:rsidR="0058048A">
        <w:rPr>
          <w:rFonts w:ascii="Times New Roman" w:hAnsi="Times New Roman"/>
          <w:sz w:val="22"/>
          <w:szCs w:val="22"/>
          <w:lang w:val="es-ES"/>
        </w:rPr>
        <w:t>complementarios</w:t>
      </w:r>
      <w:r w:rsidR="00B779F4">
        <w:rPr>
          <w:rFonts w:ascii="Times New Roman" w:hAnsi="Times New Roman"/>
          <w:sz w:val="22"/>
          <w:szCs w:val="22"/>
          <w:lang w:val="es-ES"/>
        </w:rPr>
        <w:t xml:space="preserve"> </w:t>
      </w:r>
      <w:r w:rsidR="005907F8">
        <w:rPr>
          <w:rFonts w:ascii="Times New Roman" w:hAnsi="Times New Roman"/>
          <w:sz w:val="22"/>
          <w:szCs w:val="22"/>
          <w:lang w:val="es-ES"/>
        </w:rPr>
        <w:t xml:space="preserve">que </w:t>
      </w:r>
      <w:r w:rsidR="00CE398B">
        <w:rPr>
          <w:rFonts w:ascii="Times New Roman" w:hAnsi="Times New Roman"/>
          <w:sz w:val="22"/>
          <w:szCs w:val="22"/>
          <w:lang w:val="es-ES"/>
        </w:rPr>
        <w:t xml:space="preserve">resultan de </w:t>
      </w:r>
      <w:r w:rsidR="005907F8">
        <w:rPr>
          <w:rFonts w:ascii="Times New Roman" w:hAnsi="Times New Roman"/>
          <w:sz w:val="22"/>
          <w:szCs w:val="22"/>
          <w:lang w:val="es-ES"/>
        </w:rPr>
        <w:t>modifi</w:t>
      </w:r>
      <w:r w:rsidR="00416DE3">
        <w:rPr>
          <w:rFonts w:ascii="Times New Roman" w:hAnsi="Times New Roman"/>
          <w:sz w:val="22"/>
          <w:szCs w:val="22"/>
          <w:lang w:val="es-ES"/>
        </w:rPr>
        <w:t>ca</w:t>
      </w:r>
      <w:r w:rsidR="00CE398B">
        <w:rPr>
          <w:rFonts w:ascii="Times New Roman" w:hAnsi="Times New Roman"/>
          <w:sz w:val="22"/>
          <w:szCs w:val="22"/>
          <w:lang w:val="es-ES"/>
        </w:rPr>
        <w:t>r</w:t>
      </w:r>
      <w:r w:rsidR="005907F8">
        <w:rPr>
          <w:rFonts w:ascii="Times New Roman" w:hAnsi="Times New Roman"/>
          <w:sz w:val="22"/>
          <w:szCs w:val="22"/>
          <w:lang w:val="es-ES"/>
        </w:rPr>
        <w:t xml:space="preserve"> los siguientes parámetros</w:t>
      </w:r>
      <w:r w:rsidR="00416DE3">
        <w:rPr>
          <w:rFonts w:ascii="Times New Roman" w:hAnsi="Times New Roman"/>
          <w:sz w:val="22"/>
          <w:szCs w:val="22"/>
          <w:lang w:val="es-ES"/>
        </w:rPr>
        <w:t xml:space="preserve"> críticos</w:t>
      </w:r>
      <w:r w:rsidRPr="005907F8">
        <w:rPr>
          <w:rFonts w:ascii="Times New Roman" w:hAnsi="Times New Roman"/>
          <w:sz w:val="22"/>
          <w:szCs w:val="22"/>
          <w:lang w:val="es-ES"/>
        </w:rPr>
        <w:t>:</w:t>
      </w:r>
      <w:r w:rsidR="001A3AFE">
        <w:rPr>
          <w:rFonts w:ascii="Times New Roman" w:hAnsi="Times New Roman"/>
          <w:sz w:val="22"/>
          <w:szCs w:val="22"/>
          <w:lang w:val="es-ES"/>
        </w:rPr>
        <w:t xml:space="preserve"> </w:t>
      </w:r>
      <w:r w:rsidRPr="005907F8">
        <w:rPr>
          <w:rFonts w:ascii="Times New Roman" w:hAnsi="Times New Roman"/>
          <w:sz w:val="22"/>
          <w:szCs w:val="22"/>
          <w:lang w:val="es-ES"/>
        </w:rPr>
        <w:t xml:space="preserve">i) </w:t>
      </w:r>
      <w:r w:rsidR="005907F8" w:rsidRPr="005907F8">
        <w:rPr>
          <w:rFonts w:ascii="Times New Roman" w:hAnsi="Times New Roman"/>
          <w:sz w:val="22"/>
          <w:szCs w:val="22"/>
          <w:lang w:val="es-ES"/>
        </w:rPr>
        <w:t>tasa de descuento</w:t>
      </w:r>
      <w:r w:rsidR="005907F8">
        <w:rPr>
          <w:rFonts w:ascii="Times New Roman" w:hAnsi="Times New Roman"/>
          <w:sz w:val="22"/>
          <w:szCs w:val="22"/>
          <w:lang w:val="es-ES"/>
        </w:rPr>
        <w:t xml:space="preserve"> de los flujos futuros</w:t>
      </w:r>
      <w:r w:rsidR="005907F8" w:rsidRPr="005907F8">
        <w:rPr>
          <w:rStyle w:val="FootnoteReference"/>
          <w:rFonts w:ascii="Times New Roman" w:hAnsi="Times New Roman"/>
          <w:sz w:val="22"/>
          <w:szCs w:val="22"/>
          <w:lang w:val="es-ES"/>
        </w:rPr>
        <w:footnoteReference w:id="5"/>
      </w:r>
      <w:r w:rsidR="005907F8" w:rsidRPr="005907F8">
        <w:rPr>
          <w:rFonts w:ascii="Times New Roman" w:hAnsi="Times New Roman"/>
          <w:sz w:val="22"/>
          <w:szCs w:val="22"/>
          <w:lang w:val="es-ES"/>
        </w:rPr>
        <w:t>, y</w:t>
      </w:r>
      <w:r w:rsidR="00191529">
        <w:rPr>
          <w:rFonts w:ascii="Times New Roman" w:hAnsi="Times New Roman"/>
          <w:sz w:val="22"/>
          <w:szCs w:val="22"/>
          <w:lang w:val="es-ES"/>
        </w:rPr>
        <w:t xml:space="preserve"> </w:t>
      </w:r>
      <w:r w:rsidR="00751527">
        <w:rPr>
          <w:rFonts w:ascii="Times New Roman" w:hAnsi="Times New Roman"/>
          <w:sz w:val="22"/>
          <w:szCs w:val="22"/>
          <w:lang w:val="es-ES"/>
        </w:rPr>
        <w:t xml:space="preserve">ii) </w:t>
      </w:r>
      <w:r w:rsidR="005907F8">
        <w:rPr>
          <w:rFonts w:ascii="Times New Roman" w:hAnsi="Times New Roman"/>
          <w:sz w:val="22"/>
          <w:szCs w:val="22"/>
          <w:lang w:val="es-ES"/>
        </w:rPr>
        <w:t>probabilidad de ocurrencia de un tsunami</w:t>
      </w:r>
      <w:r w:rsidR="0058048A">
        <w:rPr>
          <w:rFonts w:ascii="Times New Roman" w:hAnsi="Times New Roman"/>
          <w:sz w:val="22"/>
          <w:szCs w:val="22"/>
          <w:lang w:val="es-ES"/>
        </w:rPr>
        <w:t xml:space="preserve"> y su impacto máximo potencial</w:t>
      </w:r>
      <w:r w:rsidR="00416DE3">
        <w:rPr>
          <w:rStyle w:val="FootnoteReference"/>
          <w:rFonts w:ascii="Times New Roman" w:hAnsi="Times New Roman"/>
          <w:sz w:val="22"/>
          <w:szCs w:val="22"/>
          <w:lang w:val="es-ES"/>
        </w:rPr>
        <w:footnoteReference w:id="6"/>
      </w:r>
      <w:r w:rsidR="005907F8">
        <w:rPr>
          <w:rFonts w:ascii="Times New Roman" w:hAnsi="Times New Roman"/>
          <w:sz w:val="22"/>
          <w:szCs w:val="22"/>
          <w:lang w:val="es-ES"/>
        </w:rPr>
        <w:t xml:space="preserve">. </w:t>
      </w:r>
      <w:r w:rsidR="00BB67BC">
        <w:rPr>
          <w:rFonts w:ascii="Times New Roman" w:hAnsi="Times New Roman"/>
          <w:sz w:val="22"/>
          <w:szCs w:val="22"/>
          <w:lang w:val="es-ES"/>
        </w:rPr>
        <w:t xml:space="preserve"> La Tabla</w:t>
      </w:r>
      <w:r w:rsidR="00416DE3">
        <w:rPr>
          <w:rFonts w:ascii="Times New Roman" w:hAnsi="Times New Roman"/>
          <w:sz w:val="22"/>
          <w:szCs w:val="22"/>
          <w:lang w:val="es-ES"/>
        </w:rPr>
        <w:t xml:space="preserve"> </w:t>
      </w:r>
      <w:r w:rsidR="00B779F4">
        <w:rPr>
          <w:rFonts w:ascii="Times New Roman" w:hAnsi="Times New Roman"/>
          <w:sz w:val="22"/>
          <w:szCs w:val="22"/>
          <w:lang w:val="es-ES"/>
        </w:rPr>
        <w:t xml:space="preserve">1 </w:t>
      </w:r>
      <w:r w:rsidR="00416DE3">
        <w:rPr>
          <w:rFonts w:ascii="Times New Roman" w:hAnsi="Times New Roman"/>
          <w:sz w:val="22"/>
          <w:szCs w:val="22"/>
          <w:lang w:val="es-ES"/>
        </w:rPr>
        <w:t xml:space="preserve">refleja </w:t>
      </w:r>
      <w:r w:rsidR="00817443">
        <w:rPr>
          <w:rFonts w:ascii="Times New Roman" w:hAnsi="Times New Roman"/>
          <w:sz w:val="22"/>
          <w:szCs w:val="22"/>
          <w:lang w:val="es-ES"/>
        </w:rPr>
        <w:t>significativa</w:t>
      </w:r>
      <w:r w:rsidR="00CE398B">
        <w:rPr>
          <w:rFonts w:ascii="Times New Roman" w:hAnsi="Times New Roman"/>
          <w:sz w:val="22"/>
          <w:szCs w:val="22"/>
          <w:lang w:val="es-ES"/>
        </w:rPr>
        <w:t>s</w:t>
      </w:r>
      <w:r w:rsidR="00817443">
        <w:rPr>
          <w:rFonts w:ascii="Times New Roman" w:hAnsi="Times New Roman"/>
          <w:sz w:val="22"/>
          <w:szCs w:val="22"/>
          <w:lang w:val="es-ES"/>
        </w:rPr>
        <w:t xml:space="preserve"> variaci</w:t>
      </w:r>
      <w:r w:rsidR="00CE398B">
        <w:rPr>
          <w:rFonts w:ascii="Times New Roman" w:hAnsi="Times New Roman"/>
          <w:sz w:val="22"/>
          <w:szCs w:val="22"/>
          <w:lang w:val="es-ES"/>
        </w:rPr>
        <w:t>ones</w:t>
      </w:r>
      <w:r w:rsidR="00817443">
        <w:rPr>
          <w:rFonts w:ascii="Times New Roman" w:hAnsi="Times New Roman"/>
          <w:sz w:val="22"/>
          <w:szCs w:val="22"/>
          <w:lang w:val="es-ES"/>
        </w:rPr>
        <w:t xml:space="preserve"> con respecto</w:t>
      </w:r>
      <w:r w:rsidR="00CE398B">
        <w:rPr>
          <w:rFonts w:ascii="Times New Roman" w:hAnsi="Times New Roman"/>
          <w:sz w:val="22"/>
          <w:szCs w:val="22"/>
          <w:lang w:val="es-ES"/>
        </w:rPr>
        <w:t xml:space="preserve"> a las hipótesis de base.  Como referencia, </w:t>
      </w:r>
      <w:r w:rsidR="00817443">
        <w:rPr>
          <w:rFonts w:ascii="Times New Roman" w:hAnsi="Times New Roman"/>
          <w:sz w:val="22"/>
          <w:szCs w:val="22"/>
          <w:lang w:val="es-ES"/>
        </w:rPr>
        <w:t xml:space="preserve">el </w:t>
      </w:r>
      <w:r w:rsidR="00B779F4">
        <w:rPr>
          <w:rFonts w:ascii="Times New Roman" w:hAnsi="Times New Roman"/>
          <w:sz w:val="22"/>
          <w:szCs w:val="22"/>
          <w:lang w:val="es-ES"/>
        </w:rPr>
        <w:t xml:space="preserve">ratio </w:t>
      </w:r>
      <w:r w:rsidR="00817443">
        <w:rPr>
          <w:rFonts w:ascii="Times New Roman" w:hAnsi="Times New Roman"/>
          <w:sz w:val="22"/>
          <w:szCs w:val="22"/>
          <w:lang w:val="es-ES"/>
        </w:rPr>
        <w:t xml:space="preserve">B/C de la intervención varía entre </w:t>
      </w:r>
      <w:r w:rsidR="000B5CD3">
        <w:rPr>
          <w:rFonts w:ascii="Times New Roman" w:hAnsi="Times New Roman"/>
          <w:sz w:val="22"/>
          <w:szCs w:val="22"/>
          <w:lang w:val="es-ES"/>
        </w:rPr>
        <w:t xml:space="preserve"> </w:t>
      </w:r>
      <w:r w:rsidR="00E944D4">
        <w:rPr>
          <w:rFonts w:ascii="Times New Roman" w:hAnsi="Times New Roman"/>
          <w:sz w:val="22"/>
          <w:szCs w:val="22"/>
          <w:lang w:val="es-ES"/>
        </w:rPr>
        <w:t>1</w:t>
      </w:r>
      <w:r w:rsidR="00837476">
        <w:rPr>
          <w:rFonts w:ascii="Times New Roman" w:hAnsi="Times New Roman"/>
          <w:sz w:val="22"/>
          <w:szCs w:val="22"/>
          <w:lang w:val="es-ES"/>
        </w:rPr>
        <w:t>,</w:t>
      </w:r>
      <w:r w:rsidR="00246E4C">
        <w:rPr>
          <w:rFonts w:ascii="Times New Roman" w:hAnsi="Times New Roman"/>
          <w:sz w:val="22"/>
          <w:szCs w:val="22"/>
          <w:lang w:val="es-ES"/>
        </w:rPr>
        <w:t>20</w:t>
      </w:r>
      <w:r w:rsidR="000B5CD3">
        <w:rPr>
          <w:rFonts w:ascii="Times New Roman" w:hAnsi="Times New Roman"/>
          <w:sz w:val="22"/>
          <w:szCs w:val="22"/>
          <w:lang w:val="es-ES"/>
        </w:rPr>
        <w:t xml:space="preserve"> </w:t>
      </w:r>
      <w:r w:rsidR="00E573DC">
        <w:rPr>
          <w:rFonts w:ascii="Times New Roman" w:hAnsi="Times New Roman"/>
          <w:sz w:val="22"/>
          <w:szCs w:val="22"/>
          <w:lang w:val="es-ES"/>
        </w:rPr>
        <w:t xml:space="preserve"> y </w:t>
      </w:r>
      <w:r w:rsidR="000B5CD3">
        <w:rPr>
          <w:rFonts w:ascii="Times New Roman" w:hAnsi="Times New Roman"/>
          <w:sz w:val="22"/>
          <w:szCs w:val="22"/>
          <w:lang w:val="es-ES"/>
        </w:rPr>
        <w:t xml:space="preserve"> </w:t>
      </w:r>
      <w:r w:rsidR="00246E4C">
        <w:rPr>
          <w:rFonts w:ascii="Times New Roman" w:hAnsi="Times New Roman"/>
          <w:sz w:val="22"/>
          <w:szCs w:val="22"/>
          <w:lang w:val="es-ES"/>
        </w:rPr>
        <w:t>2,47</w:t>
      </w:r>
      <w:r w:rsidR="00CE398B">
        <w:rPr>
          <w:rFonts w:ascii="Times New Roman" w:hAnsi="Times New Roman"/>
          <w:sz w:val="22"/>
          <w:szCs w:val="22"/>
          <w:lang w:val="es-ES"/>
        </w:rPr>
        <w:t>, expresa</w:t>
      </w:r>
      <w:r w:rsidR="00D36B53">
        <w:rPr>
          <w:rFonts w:ascii="Times New Roman" w:hAnsi="Times New Roman"/>
          <w:sz w:val="22"/>
          <w:szCs w:val="22"/>
          <w:lang w:val="es-ES"/>
        </w:rPr>
        <w:t>ndo</w:t>
      </w:r>
      <w:r w:rsidR="00CE398B">
        <w:rPr>
          <w:rFonts w:ascii="Times New Roman" w:hAnsi="Times New Roman"/>
          <w:sz w:val="22"/>
          <w:szCs w:val="22"/>
          <w:lang w:val="es-ES"/>
        </w:rPr>
        <w:t xml:space="preserve"> alta </w:t>
      </w:r>
      <w:r w:rsidR="00BB67BC">
        <w:rPr>
          <w:rFonts w:ascii="Times New Roman" w:hAnsi="Times New Roman"/>
          <w:sz w:val="22"/>
          <w:szCs w:val="22"/>
          <w:lang w:val="es-ES"/>
        </w:rPr>
        <w:t xml:space="preserve">respuesta </w:t>
      </w:r>
      <w:r w:rsidR="00D36B53">
        <w:rPr>
          <w:rFonts w:ascii="Times New Roman" w:hAnsi="Times New Roman"/>
          <w:sz w:val="22"/>
          <w:szCs w:val="22"/>
          <w:lang w:val="es-ES"/>
        </w:rPr>
        <w:t xml:space="preserve">de los indicadores </w:t>
      </w:r>
      <w:r w:rsidR="00BB67BC">
        <w:rPr>
          <w:rFonts w:ascii="Times New Roman" w:hAnsi="Times New Roman"/>
          <w:sz w:val="22"/>
          <w:szCs w:val="22"/>
          <w:lang w:val="es-ES"/>
        </w:rPr>
        <w:t>frente a</w:t>
      </w:r>
      <w:r w:rsidR="00246E4C">
        <w:rPr>
          <w:rFonts w:ascii="Times New Roman" w:hAnsi="Times New Roman"/>
          <w:sz w:val="22"/>
          <w:szCs w:val="22"/>
          <w:lang w:val="es-ES"/>
        </w:rPr>
        <w:t xml:space="preserve"> los</w:t>
      </w:r>
      <w:r w:rsidR="00BB67BC">
        <w:rPr>
          <w:rFonts w:ascii="Times New Roman" w:hAnsi="Times New Roman"/>
          <w:sz w:val="22"/>
          <w:szCs w:val="22"/>
          <w:lang w:val="es-ES"/>
        </w:rPr>
        <w:t xml:space="preserve"> supuestos</w:t>
      </w:r>
      <w:r w:rsidR="00246E4C">
        <w:rPr>
          <w:rFonts w:ascii="Times New Roman" w:hAnsi="Times New Roman"/>
          <w:sz w:val="22"/>
          <w:szCs w:val="22"/>
          <w:lang w:val="es-ES"/>
        </w:rPr>
        <w:t xml:space="preserve"> de referencia</w:t>
      </w:r>
      <w:r w:rsidR="00817443">
        <w:rPr>
          <w:rFonts w:ascii="Times New Roman" w:hAnsi="Times New Roman"/>
          <w:sz w:val="22"/>
          <w:szCs w:val="22"/>
          <w:lang w:val="es-ES"/>
        </w:rPr>
        <w:t>.</w:t>
      </w:r>
    </w:p>
    <w:p w:rsidR="0007638B" w:rsidRDefault="0007638B" w:rsidP="005907F8">
      <w:pPr>
        <w:pStyle w:val="ListParagraph"/>
        <w:ind w:left="432"/>
        <w:jc w:val="center"/>
        <w:rPr>
          <w:rFonts w:ascii="Times New Roman" w:hAnsi="Times New Roman"/>
          <w:b/>
          <w:lang w:val="es-AR"/>
        </w:rPr>
      </w:pPr>
    </w:p>
    <w:p w:rsidR="00B779F4" w:rsidRDefault="005907F8" w:rsidP="005907F8">
      <w:pPr>
        <w:pStyle w:val="ListParagraph"/>
        <w:ind w:left="432"/>
        <w:jc w:val="center"/>
        <w:rPr>
          <w:rFonts w:ascii="Times New Roman" w:hAnsi="Times New Roman"/>
          <w:lang w:val="es-AR"/>
        </w:rPr>
      </w:pPr>
      <w:r w:rsidRPr="008C1ABC">
        <w:rPr>
          <w:rFonts w:ascii="Times New Roman" w:hAnsi="Times New Roman"/>
          <w:b/>
          <w:lang w:val="es-AR"/>
        </w:rPr>
        <w:t xml:space="preserve">Tabla </w:t>
      </w:r>
      <w:r w:rsidR="00081A23" w:rsidRPr="008C1ABC">
        <w:rPr>
          <w:rFonts w:ascii="Times New Roman" w:hAnsi="Times New Roman"/>
          <w:b/>
        </w:rPr>
        <w:fldChar w:fldCharType="begin"/>
      </w:r>
      <w:r w:rsidRPr="008C1ABC">
        <w:rPr>
          <w:rFonts w:ascii="Times New Roman" w:hAnsi="Times New Roman"/>
          <w:b/>
          <w:lang w:val="es-AR"/>
        </w:rPr>
        <w:instrText xml:space="preserve"> SEQ Tabla \* ARABIC </w:instrText>
      </w:r>
      <w:r w:rsidR="00081A23" w:rsidRPr="008C1ABC">
        <w:rPr>
          <w:rFonts w:ascii="Times New Roman" w:hAnsi="Times New Roman"/>
          <w:b/>
        </w:rPr>
        <w:fldChar w:fldCharType="separate"/>
      </w:r>
      <w:r>
        <w:rPr>
          <w:rFonts w:ascii="Times New Roman" w:hAnsi="Times New Roman"/>
          <w:b/>
          <w:noProof/>
          <w:lang w:val="es-AR"/>
        </w:rPr>
        <w:t>1</w:t>
      </w:r>
      <w:r w:rsidR="00081A23" w:rsidRPr="008C1ABC">
        <w:rPr>
          <w:rFonts w:ascii="Times New Roman" w:hAnsi="Times New Roman"/>
          <w:b/>
        </w:rPr>
        <w:fldChar w:fldCharType="end"/>
      </w:r>
      <w:r w:rsidRPr="008C1ABC">
        <w:rPr>
          <w:rFonts w:ascii="Times New Roman" w:hAnsi="Times New Roman"/>
          <w:lang w:val="es-AR"/>
        </w:rPr>
        <w:t xml:space="preserve">. </w:t>
      </w:r>
      <w:r>
        <w:rPr>
          <w:rFonts w:ascii="Times New Roman" w:hAnsi="Times New Roman"/>
          <w:lang w:val="es-AR"/>
        </w:rPr>
        <w:t xml:space="preserve">Escenarios de </w:t>
      </w:r>
      <w:r w:rsidR="00B779F4">
        <w:rPr>
          <w:rFonts w:ascii="Times New Roman" w:hAnsi="Times New Roman"/>
          <w:lang w:val="es-AR"/>
        </w:rPr>
        <w:t xml:space="preserve">variación de la tasa de descuento </w:t>
      </w:r>
      <w:r>
        <w:rPr>
          <w:rFonts w:ascii="Times New Roman" w:hAnsi="Times New Roman"/>
          <w:lang w:val="es-AR"/>
        </w:rPr>
        <w:t xml:space="preserve">y </w:t>
      </w:r>
      <w:r w:rsidR="00B779F4">
        <w:rPr>
          <w:rFonts w:ascii="Times New Roman" w:hAnsi="Times New Roman"/>
          <w:lang w:val="es-AR"/>
        </w:rPr>
        <w:t xml:space="preserve">la probabilidad </w:t>
      </w:r>
      <w:r>
        <w:rPr>
          <w:rFonts w:ascii="Times New Roman" w:hAnsi="Times New Roman"/>
          <w:lang w:val="es-AR"/>
        </w:rPr>
        <w:t xml:space="preserve">de </w:t>
      </w:r>
      <w:r w:rsidR="00B779F4">
        <w:rPr>
          <w:rFonts w:ascii="Times New Roman" w:hAnsi="Times New Roman"/>
          <w:lang w:val="es-AR"/>
        </w:rPr>
        <w:t>o</w:t>
      </w:r>
      <w:r>
        <w:rPr>
          <w:rFonts w:ascii="Times New Roman" w:hAnsi="Times New Roman"/>
          <w:lang w:val="es-AR"/>
        </w:rPr>
        <w:t>currencia</w:t>
      </w:r>
    </w:p>
    <w:tbl>
      <w:tblPr>
        <w:tblW w:w="8183" w:type="dxa"/>
        <w:tblInd w:w="65" w:type="dxa"/>
        <w:tblCellMar>
          <w:left w:w="70" w:type="dxa"/>
          <w:right w:w="70" w:type="dxa"/>
        </w:tblCellMar>
        <w:tblLook w:val="04A0" w:firstRow="1" w:lastRow="0" w:firstColumn="1" w:lastColumn="0" w:noHBand="0" w:noVBand="1"/>
      </w:tblPr>
      <w:tblGrid>
        <w:gridCol w:w="4022"/>
        <w:gridCol w:w="1387"/>
        <w:gridCol w:w="1387"/>
        <w:gridCol w:w="1387"/>
      </w:tblGrid>
      <w:tr w:rsidR="00246E4C" w:rsidRPr="00246E4C" w:rsidTr="0007638B">
        <w:trPr>
          <w:trHeight w:val="573"/>
        </w:trPr>
        <w:tc>
          <w:tcPr>
            <w:tcW w:w="40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46E4C" w:rsidRPr="00246E4C" w:rsidRDefault="00246E4C" w:rsidP="0058048A">
            <w:pPr>
              <w:rPr>
                <w:rFonts w:ascii="Times New Roman" w:hAnsi="Times New Roman"/>
                <w:b/>
                <w:bCs/>
                <w:color w:val="000000"/>
                <w:sz w:val="22"/>
                <w:szCs w:val="22"/>
                <w:lang w:val="es-AR" w:eastAsia="es-AR"/>
              </w:rPr>
            </w:pPr>
            <w:r w:rsidRPr="00246E4C">
              <w:rPr>
                <w:rFonts w:ascii="Times New Roman" w:hAnsi="Times New Roman"/>
                <w:b/>
                <w:bCs/>
                <w:color w:val="000000"/>
                <w:sz w:val="22"/>
                <w:szCs w:val="22"/>
                <w:lang w:val="es-AR" w:eastAsia="es-AR"/>
              </w:rPr>
              <w:t xml:space="preserve">Escenarios </w:t>
            </w:r>
            <w:r w:rsidR="0058048A">
              <w:rPr>
                <w:rFonts w:ascii="Times New Roman" w:hAnsi="Times New Roman"/>
                <w:b/>
                <w:bCs/>
                <w:color w:val="000000"/>
                <w:sz w:val="22"/>
                <w:szCs w:val="22"/>
                <w:lang w:val="es-AR" w:eastAsia="es-AR"/>
              </w:rPr>
              <w:t>Complementarios</w:t>
            </w:r>
            <w:r>
              <w:rPr>
                <w:rFonts w:ascii="Times New Roman" w:hAnsi="Times New Roman"/>
                <w:b/>
                <w:bCs/>
                <w:color w:val="000000"/>
                <w:sz w:val="22"/>
                <w:szCs w:val="22"/>
                <w:lang w:val="es-AR" w:eastAsia="es-AR"/>
              </w:rPr>
              <w:t xml:space="preserve"> </w:t>
            </w:r>
            <w:r w:rsidRPr="00246E4C">
              <w:rPr>
                <w:rFonts w:ascii="Times New Roman" w:hAnsi="Times New Roman"/>
                <w:b/>
                <w:bCs/>
                <w:color w:val="000000"/>
                <w:sz w:val="22"/>
                <w:szCs w:val="22"/>
                <w:lang w:val="es-AR" w:eastAsia="es-AR"/>
              </w:rPr>
              <w:t>de Evaluación</w:t>
            </w:r>
          </w:p>
        </w:tc>
        <w:tc>
          <w:tcPr>
            <w:tcW w:w="1387" w:type="dxa"/>
            <w:tcBorders>
              <w:top w:val="single" w:sz="4" w:space="0" w:color="auto"/>
              <w:left w:val="nil"/>
              <w:bottom w:val="single" w:sz="4" w:space="0" w:color="auto"/>
              <w:right w:val="single" w:sz="4" w:space="0" w:color="auto"/>
            </w:tcBorders>
            <w:shd w:val="clear" w:color="000000" w:fill="FFFFFF"/>
            <w:noWrap/>
            <w:vAlign w:val="center"/>
            <w:hideMark/>
          </w:tcPr>
          <w:p w:rsidR="00246E4C" w:rsidRPr="00246E4C" w:rsidRDefault="00246E4C" w:rsidP="00246E4C">
            <w:pPr>
              <w:jc w:val="center"/>
              <w:rPr>
                <w:rFonts w:ascii="Times New Roman" w:hAnsi="Times New Roman"/>
                <w:b/>
                <w:bCs/>
                <w:color w:val="000000"/>
                <w:sz w:val="22"/>
                <w:szCs w:val="22"/>
                <w:lang w:val="es-AR" w:eastAsia="es-AR"/>
              </w:rPr>
            </w:pPr>
            <w:r w:rsidRPr="00246E4C">
              <w:rPr>
                <w:rFonts w:ascii="Times New Roman" w:hAnsi="Times New Roman"/>
                <w:b/>
                <w:bCs/>
                <w:color w:val="000000"/>
                <w:sz w:val="22"/>
                <w:szCs w:val="22"/>
                <w:lang w:val="es-AR" w:eastAsia="es-AR"/>
              </w:rPr>
              <w:t>TIR</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rsidR="00246E4C" w:rsidRPr="00246E4C" w:rsidRDefault="00246E4C" w:rsidP="00246E4C">
            <w:pPr>
              <w:jc w:val="center"/>
              <w:rPr>
                <w:rFonts w:ascii="Times New Roman" w:hAnsi="Times New Roman"/>
                <w:b/>
                <w:bCs/>
                <w:color w:val="000000"/>
                <w:sz w:val="22"/>
                <w:szCs w:val="22"/>
                <w:lang w:val="es-AR" w:eastAsia="es-AR"/>
              </w:rPr>
            </w:pPr>
            <w:r w:rsidRPr="00246E4C">
              <w:rPr>
                <w:rFonts w:ascii="Times New Roman" w:hAnsi="Times New Roman"/>
                <w:b/>
                <w:bCs/>
                <w:color w:val="000000"/>
                <w:sz w:val="22"/>
                <w:szCs w:val="22"/>
                <w:lang w:val="es-AR" w:eastAsia="es-AR"/>
              </w:rPr>
              <w:t xml:space="preserve">VAN </w:t>
            </w:r>
            <w:r w:rsidRPr="00246E4C">
              <w:rPr>
                <w:rFonts w:ascii="Times New Roman" w:hAnsi="Times New Roman"/>
                <w:b/>
                <w:bCs/>
                <w:color w:val="000000"/>
                <w:lang w:val="es-AR" w:eastAsia="es-AR"/>
              </w:rPr>
              <w:t>US$ Millones</w:t>
            </w:r>
          </w:p>
        </w:tc>
        <w:tc>
          <w:tcPr>
            <w:tcW w:w="1387" w:type="dxa"/>
            <w:tcBorders>
              <w:top w:val="single" w:sz="4" w:space="0" w:color="auto"/>
              <w:left w:val="nil"/>
              <w:bottom w:val="single" w:sz="4" w:space="0" w:color="auto"/>
              <w:right w:val="single" w:sz="4" w:space="0" w:color="auto"/>
            </w:tcBorders>
            <w:shd w:val="clear" w:color="000000" w:fill="FFFFFF"/>
            <w:noWrap/>
            <w:vAlign w:val="center"/>
            <w:hideMark/>
          </w:tcPr>
          <w:p w:rsidR="00246E4C" w:rsidRPr="00246E4C" w:rsidRDefault="00246E4C" w:rsidP="00246E4C">
            <w:pPr>
              <w:jc w:val="center"/>
              <w:rPr>
                <w:rFonts w:ascii="Times New Roman" w:hAnsi="Times New Roman"/>
                <w:b/>
                <w:bCs/>
                <w:color w:val="000000"/>
                <w:sz w:val="22"/>
                <w:szCs w:val="22"/>
                <w:lang w:val="es-AR" w:eastAsia="es-AR"/>
              </w:rPr>
            </w:pPr>
            <w:r w:rsidRPr="00246E4C">
              <w:rPr>
                <w:rFonts w:ascii="Times New Roman" w:hAnsi="Times New Roman"/>
                <w:b/>
                <w:bCs/>
                <w:color w:val="000000"/>
                <w:sz w:val="22"/>
                <w:szCs w:val="22"/>
                <w:lang w:val="es-AR" w:eastAsia="es-AR"/>
              </w:rPr>
              <w:t>Ratio B/C</w:t>
            </w:r>
          </w:p>
        </w:tc>
      </w:tr>
      <w:tr w:rsidR="00246E4C" w:rsidRPr="00246E4C" w:rsidTr="0007638B">
        <w:trPr>
          <w:trHeight w:val="573"/>
        </w:trPr>
        <w:tc>
          <w:tcPr>
            <w:tcW w:w="4022" w:type="dxa"/>
            <w:tcBorders>
              <w:top w:val="single" w:sz="4" w:space="0" w:color="auto"/>
              <w:left w:val="nil"/>
              <w:bottom w:val="single" w:sz="4" w:space="0" w:color="auto"/>
              <w:right w:val="nil"/>
            </w:tcBorders>
            <w:shd w:val="clear" w:color="000000" w:fill="FFFFFF"/>
            <w:vAlign w:val="center"/>
            <w:hideMark/>
          </w:tcPr>
          <w:p w:rsidR="00246E4C" w:rsidRPr="00246E4C" w:rsidRDefault="00246E4C" w:rsidP="00246E4C">
            <w:pPr>
              <w:jc w:val="center"/>
              <w:rPr>
                <w:rFonts w:ascii="Times New Roman" w:hAnsi="Times New Roman"/>
                <w:color w:val="000000"/>
                <w:sz w:val="22"/>
                <w:szCs w:val="22"/>
                <w:lang w:val="es-AR" w:eastAsia="es-AR"/>
              </w:rPr>
            </w:pPr>
            <w:r w:rsidRPr="00246E4C">
              <w:rPr>
                <w:rFonts w:ascii="Times New Roman" w:hAnsi="Times New Roman"/>
                <w:color w:val="000000"/>
                <w:sz w:val="22"/>
                <w:szCs w:val="22"/>
                <w:lang w:val="es-AR" w:eastAsia="es-AR"/>
              </w:rPr>
              <w:t xml:space="preserve">Caso Base                                        </w:t>
            </w:r>
            <w:r>
              <w:rPr>
                <w:rFonts w:ascii="Times New Roman" w:hAnsi="Times New Roman"/>
                <w:color w:val="000000"/>
                <w:sz w:val="22"/>
                <w:szCs w:val="22"/>
                <w:lang w:val="es-AR" w:eastAsia="es-AR"/>
              </w:rPr>
              <w:t xml:space="preserve">      </w:t>
            </w:r>
            <w:r w:rsidRPr="00246E4C">
              <w:rPr>
                <w:rFonts w:ascii="Times New Roman" w:hAnsi="Times New Roman"/>
                <w:color w:val="000000"/>
                <w:lang w:val="es-AR" w:eastAsia="es-AR"/>
              </w:rPr>
              <w:t xml:space="preserve"> (VeV US$  283.000 -d=12% -p: 0,002)</w:t>
            </w:r>
          </w:p>
        </w:tc>
        <w:tc>
          <w:tcPr>
            <w:tcW w:w="1387" w:type="dxa"/>
            <w:tcBorders>
              <w:top w:val="single" w:sz="4" w:space="0" w:color="auto"/>
              <w:left w:val="nil"/>
              <w:bottom w:val="single" w:sz="4" w:space="0" w:color="auto"/>
              <w:right w:val="nil"/>
            </w:tcBorders>
            <w:shd w:val="clear" w:color="000000" w:fill="FFFFFF"/>
            <w:noWrap/>
            <w:vAlign w:val="center"/>
            <w:hideMark/>
          </w:tcPr>
          <w:p w:rsidR="00246E4C" w:rsidRPr="00246E4C" w:rsidRDefault="00246E4C" w:rsidP="00F87F41">
            <w:pPr>
              <w:jc w:val="center"/>
              <w:rPr>
                <w:rFonts w:ascii="Times New Roman" w:hAnsi="Times New Roman"/>
                <w:color w:val="000000"/>
                <w:sz w:val="22"/>
                <w:szCs w:val="22"/>
                <w:lang w:val="es-AR" w:eastAsia="es-AR"/>
              </w:rPr>
            </w:pPr>
            <w:r w:rsidRPr="00246E4C">
              <w:rPr>
                <w:rFonts w:ascii="Times New Roman" w:hAnsi="Times New Roman"/>
                <w:color w:val="000000"/>
                <w:sz w:val="22"/>
                <w:szCs w:val="22"/>
                <w:lang w:val="es-AR" w:eastAsia="es-AR"/>
              </w:rPr>
              <w:t>2</w:t>
            </w:r>
            <w:r w:rsidR="00F87F41">
              <w:rPr>
                <w:rFonts w:ascii="Times New Roman" w:hAnsi="Times New Roman"/>
                <w:color w:val="000000"/>
                <w:sz w:val="22"/>
                <w:szCs w:val="22"/>
                <w:lang w:val="es-AR" w:eastAsia="es-AR"/>
              </w:rPr>
              <w:t>7</w:t>
            </w:r>
            <w:r w:rsidRPr="00246E4C">
              <w:rPr>
                <w:rFonts w:ascii="Times New Roman" w:hAnsi="Times New Roman"/>
                <w:color w:val="000000"/>
                <w:sz w:val="22"/>
                <w:szCs w:val="22"/>
                <w:lang w:val="es-AR" w:eastAsia="es-AR"/>
              </w:rPr>
              <w:t>%</w:t>
            </w:r>
          </w:p>
        </w:tc>
        <w:tc>
          <w:tcPr>
            <w:tcW w:w="1387" w:type="dxa"/>
            <w:tcBorders>
              <w:top w:val="single" w:sz="4" w:space="0" w:color="auto"/>
              <w:left w:val="nil"/>
              <w:bottom w:val="single" w:sz="4" w:space="0" w:color="auto"/>
              <w:right w:val="nil"/>
            </w:tcBorders>
            <w:shd w:val="clear" w:color="000000" w:fill="FFFFFF"/>
            <w:noWrap/>
            <w:vAlign w:val="center"/>
            <w:hideMark/>
          </w:tcPr>
          <w:p w:rsidR="00246E4C" w:rsidRPr="00246E4C" w:rsidRDefault="00246E4C" w:rsidP="00F87F41">
            <w:pPr>
              <w:jc w:val="center"/>
              <w:rPr>
                <w:rFonts w:ascii="Times New Roman" w:hAnsi="Times New Roman"/>
                <w:color w:val="000000"/>
                <w:sz w:val="22"/>
                <w:szCs w:val="22"/>
                <w:lang w:val="es-AR" w:eastAsia="es-AR"/>
              </w:rPr>
            </w:pPr>
            <w:r w:rsidRPr="00246E4C">
              <w:rPr>
                <w:rFonts w:ascii="Times New Roman" w:hAnsi="Times New Roman"/>
                <w:color w:val="000000"/>
                <w:sz w:val="22"/>
                <w:szCs w:val="22"/>
                <w:lang w:val="es-AR" w:eastAsia="es-AR"/>
              </w:rPr>
              <w:t>20,</w:t>
            </w:r>
            <w:r w:rsidR="00F87F41">
              <w:rPr>
                <w:rFonts w:ascii="Times New Roman" w:hAnsi="Times New Roman"/>
                <w:color w:val="000000"/>
                <w:sz w:val="22"/>
                <w:szCs w:val="22"/>
                <w:lang w:val="es-AR" w:eastAsia="es-AR"/>
              </w:rPr>
              <w:t>7</w:t>
            </w:r>
          </w:p>
        </w:tc>
        <w:tc>
          <w:tcPr>
            <w:tcW w:w="1387" w:type="dxa"/>
            <w:tcBorders>
              <w:top w:val="single" w:sz="4" w:space="0" w:color="auto"/>
              <w:left w:val="nil"/>
              <w:bottom w:val="single" w:sz="4" w:space="0" w:color="auto"/>
              <w:right w:val="nil"/>
            </w:tcBorders>
            <w:shd w:val="clear" w:color="000000" w:fill="FFFFFF"/>
            <w:noWrap/>
            <w:vAlign w:val="center"/>
            <w:hideMark/>
          </w:tcPr>
          <w:p w:rsidR="00246E4C" w:rsidRPr="00246E4C" w:rsidRDefault="00246E4C" w:rsidP="00246E4C">
            <w:pPr>
              <w:jc w:val="center"/>
              <w:rPr>
                <w:rFonts w:ascii="Times New Roman" w:hAnsi="Times New Roman"/>
                <w:color w:val="000000"/>
                <w:sz w:val="22"/>
                <w:szCs w:val="22"/>
                <w:lang w:val="es-AR" w:eastAsia="es-AR"/>
              </w:rPr>
            </w:pPr>
            <w:r w:rsidRPr="00246E4C">
              <w:rPr>
                <w:rFonts w:ascii="Times New Roman" w:hAnsi="Times New Roman"/>
                <w:color w:val="000000"/>
                <w:sz w:val="22"/>
                <w:szCs w:val="22"/>
                <w:lang w:val="es-AR" w:eastAsia="es-AR"/>
              </w:rPr>
              <w:t>1,99</w:t>
            </w:r>
          </w:p>
        </w:tc>
      </w:tr>
      <w:tr w:rsidR="00246E4C" w:rsidRPr="00246E4C" w:rsidTr="0007638B">
        <w:trPr>
          <w:trHeight w:val="604"/>
        </w:trPr>
        <w:tc>
          <w:tcPr>
            <w:tcW w:w="4022" w:type="dxa"/>
            <w:tcBorders>
              <w:top w:val="nil"/>
              <w:left w:val="nil"/>
              <w:bottom w:val="single" w:sz="4" w:space="0" w:color="auto"/>
              <w:right w:val="nil"/>
            </w:tcBorders>
            <w:shd w:val="clear" w:color="000000" w:fill="FFFFFF"/>
            <w:vAlign w:val="center"/>
            <w:hideMark/>
          </w:tcPr>
          <w:p w:rsidR="00246E4C" w:rsidRPr="00246E4C" w:rsidRDefault="00246E4C" w:rsidP="00246E4C">
            <w:pPr>
              <w:jc w:val="center"/>
              <w:rPr>
                <w:rFonts w:ascii="Times New Roman" w:hAnsi="Times New Roman"/>
                <w:color w:val="000000"/>
                <w:sz w:val="22"/>
                <w:szCs w:val="22"/>
                <w:lang w:val="es-AR" w:eastAsia="es-AR"/>
              </w:rPr>
            </w:pPr>
            <w:r w:rsidRPr="00246E4C">
              <w:rPr>
                <w:rFonts w:ascii="Times New Roman" w:hAnsi="Times New Roman"/>
                <w:color w:val="000000"/>
                <w:sz w:val="22"/>
                <w:szCs w:val="22"/>
                <w:lang w:val="es-AR" w:eastAsia="es-AR"/>
              </w:rPr>
              <w:t xml:space="preserve">Reducción Tasa Descuento                     </w:t>
            </w:r>
            <w:r w:rsidRPr="00246E4C">
              <w:rPr>
                <w:rFonts w:ascii="Times New Roman" w:hAnsi="Times New Roman"/>
                <w:color w:val="000000"/>
                <w:lang w:val="es-AR" w:eastAsia="es-AR"/>
              </w:rPr>
              <w:t xml:space="preserve">  (VeV US$  283.000 -d=7% -  p: 0,002)</w:t>
            </w:r>
          </w:p>
        </w:tc>
        <w:tc>
          <w:tcPr>
            <w:tcW w:w="1387" w:type="dxa"/>
            <w:tcBorders>
              <w:top w:val="nil"/>
              <w:left w:val="nil"/>
              <w:bottom w:val="single" w:sz="4" w:space="0" w:color="auto"/>
              <w:right w:val="nil"/>
            </w:tcBorders>
            <w:shd w:val="clear" w:color="000000" w:fill="FFFFFF"/>
            <w:noWrap/>
            <w:vAlign w:val="center"/>
            <w:hideMark/>
          </w:tcPr>
          <w:p w:rsidR="00246E4C" w:rsidRPr="00246E4C" w:rsidRDefault="00246E4C" w:rsidP="00F87F41">
            <w:pPr>
              <w:jc w:val="center"/>
              <w:rPr>
                <w:rFonts w:ascii="Times New Roman" w:hAnsi="Times New Roman"/>
                <w:color w:val="000000"/>
                <w:sz w:val="22"/>
                <w:szCs w:val="22"/>
                <w:lang w:val="es-AR" w:eastAsia="es-AR"/>
              </w:rPr>
            </w:pPr>
            <w:r w:rsidRPr="00246E4C">
              <w:rPr>
                <w:rFonts w:ascii="Times New Roman" w:hAnsi="Times New Roman"/>
                <w:color w:val="000000"/>
                <w:sz w:val="22"/>
                <w:szCs w:val="22"/>
                <w:lang w:val="es-AR" w:eastAsia="es-AR"/>
              </w:rPr>
              <w:t>2</w:t>
            </w:r>
            <w:r w:rsidR="00F87F41">
              <w:rPr>
                <w:rFonts w:ascii="Times New Roman" w:hAnsi="Times New Roman"/>
                <w:color w:val="000000"/>
                <w:sz w:val="22"/>
                <w:szCs w:val="22"/>
                <w:lang w:val="es-AR" w:eastAsia="es-AR"/>
              </w:rPr>
              <w:t>7</w:t>
            </w:r>
            <w:r w:rsidRPr="00246E4C">
              <w:rPr>
                <w:rFonts w:ascii="Times New Roman" w:hAnsi="Times New Roman"/>
                <w:color w:val="000000"/>
                <w:sz w:val="22"/>
                <w:szCs w:val="22"/>
                <w:lang w:val="es-AR" w:eastAsia="es-AR"/>
              </w:rPr>
              <w:t>%</w:t>
            </w:r>
          </w:p>
        </w:tc>
        <w:tc>
          <w:tcPr>
            <w:tcW w:w="1387" w:type="dxa"/>
            <w:tcBorders>
              <w:top w:val="nil"/>
              <w:left w:val="nil"/>
              <w:bottom w:val="single" w:sz="4" w:space="0" w:color="auto"/>
              <w:right w:val="nil"/>
            </w:tcBorders>
            <w:shd w:val="clear" w:color="000000" w:fill="FFFFFF"/>
            <w:noWrap/>
            <w:vAlign w:val="center"/>
            <w:hideMark/>
          </w:tcPr>
          <w:p w:rsidR="00246E4C" w:rsidRPr="00246E4C" w:rsidRDefault="00246E4C" w:rsidP="00246E4C">
            <w:pPr>
              <w:jc w:val="center"/>
              <w:rPr>
                <w:rFonts w:ascii="Times New Roman" w:hAnsi="Times New Roman"/>
                <w:color w:val="000000"/>
                <w:sz w:val="22"/>
                <w:szCs w:val="22"/>
                <w:lang w:val="es-AR" w:eastAsia="es-AR"/>
              </w:rPr>
            </w:pPr>
            <w:r w:rsidRPr="00246E4C">
              <w:rPr>
                <w:rFonts w:ascii="Times New Roman" w:hAnsi="Times New Roman"/>
                <w:color w:val="000000"/>
                <w:sz w:val="22"/>
                <w:szCs w:val="22"/>
                <w:lang w:val="es-AR" w:eastAsia="es-AR"/>
              </w:rPr>
              <w:t>39,3</w:t>
            </w:r>
          </w:p>
        </w:tc>
        <w:tc>
          <w:tcPr>
            <w:tcW w:w="1387" w:type="dxa"/>
            <w:tcBorders>
              <w:top w:val="nil"/>
              <w:left w:val="nil"/>
              <w:bottom w:val="single" w:sz="4" w:space="0" w:color="auto"/>
              <w:right w:val="nil"/>
            </w:tcBorders>
            <w:shd w:val="clear" w:color="000000" w:fill="FFFFFF"/>
            <w:noWrap/>
            <w:vAlign w:val="center"/>
            <w:hideMark/>
          </w:tcPr>
          <w:p w:rsidR="00246E4C" w:rsidRPr="00246E4C" w:rsidRDefault="00246E4C" w:rsidP="00246E4C">
            <w:pPr>
              <w:jc w:val="center"/>
              <w:rPr>
                <w:rFonts w:ascii="Times New Roman" w:hAnsi="Times New Roman"/>
                <w:color w:val="000000"/>
                <w:sz w:val="22"/>
                <w:szCs w:val="22"/>
                <w:lang w:val="es-AR" w:eastAsia="es-AR"/>
              </w:rPr>
            </w:pPr>
            <w:r w:rsidRPr="00246E4C">
              <w:rPr>
                <w:rFonts w:ascii="Times New Roman" w:hAnsi="Times New Roman"/>
                <w:color w:val="000000"/>
                <w:sz w:val="22"/>
                <w:szCs w:val="22"/>
                <w:lang w:val="es-AR" w:eastAsia="es-AR"/>
              </w:rPr>
              <w:t>2,47</w:t>
            </w:r>
          </w:p>
        </w:tc>
      </w:tr>
      <w:tr w:rsidR="00246E4C" w:rsidRPr="00246E4C" w:rsidTr="0007638B">
        <w:trPr>
          <w:trHeight w:val="604"/>
        </w:trPr>
        <w:tc>
          <w:tcPr>
            <w:tcW w:w="4022" w:type="dxa"/>
            <w:tcBorders>
              <w:top w:val="nil"/>
              <w:left w:val="nil"/>
              <w:bottom w:val="single" w:sz="4" w:space="0" w:color="auto"/>
              <w:right w:val="nil"/>
            </w:tcBorders>
            <w:shd w:val="clear" w:color="000000" w:fill="FFFFFF"/>
            <w:vAlign w:val="center"/>
            <w:hideMark/>
          </w:tcPr>
          <w:p w:rsidR="00246E4C" w:rsidRPr="00246E4C" w:rsidRDefault="00246E4C" w:rsidP="00246E4C">
            <w:pPr>
              <w:jc w:val="center"/>
              <w:rPr>
                <w:rFonts w:ascii="Times New Roman" w:hAnsi="Times New Roman"/>
                <w:color w:val="000000"/>
                <w:sz w:val="22"/>
                <w:szCs w:val="22"/>
                <w:lang w:val="es-AR" w:eastAsia="es-AR"/>
              </w:rPr>
            </w:pPr>
            <w:r w:rsidRPr="00246E4C">
              <w:rPr>
                <w:rFonts w:ascii="Times New Roman" w:hAnsi="Times New Roman"/>
                <w:color w:val="000000"/>
                <w:sz w:val="22"/>
                <w:szCs w:val="22"/>
                <w:lang w:val="es-AR" w:eastAsia="es-AR"/>
              </w:rPr>
              <w:t xml:space="preserve">Probabilidad de Ocurrencia                     </w:t>
            </w:r>
            <w:r w:rsidRPr="00246E4C">
              <w:rPr>
                <w:rFonts w:ascii="Times New Roman" w:hAnsi="Times New Roman"/>
                <w:color w:val="000000"/>
                <w:lang w:val="es-AR" w:eastAsia="es-AR"/>
              </w:rPr>
              <w:t xml:space="preserve">  (VeV US$  283.000 -d=12% -  p: 0,004)</w:t>
            </w:r>
          </w:p>
        </w:tc>
        <w:tc>
          <w:tcPr>
            <w:tcW w:w="1387" w:type="dxa"/>
            <w:tcBorders>
              <w:top w:val="nil"/>
              <w:left w:val="nil"/>
              <w:bottom w:val="single" w:sz="4" w:space="0" w:color="auto"/>
              <w:right w:val="nil"/>
            </w:tcBorders>
            <w:shd w:val="clear" w:color="000000" w:fill="FFFFFF"/>
            <w:noWrap/>
            <w:vAlign w:val="center"/>
            <w:hideMark/>
          </w:tcPr>
          <w:p w:rsidR="00246E4C" w:rsidRPr="00246E4C" w:rsidRDefault="00246E4C" w:rsidP="00246E4C">
            <w:pPr>
              <w:jc w:val="center"/>
              <w:rPr>
                <w:rFonts w:ascii="Times New Roman" w:hAnsi="Times New Roman"/>
                <w:color w:val="000000"/>
                <w:sz w:val="22"/>
                <w:szCs w:val="22"/>
                <w:lang w:val="es-AR" w:eastAsia="es-AR"/>
              </w:rPr>
            </w:pPr>
            <w:r w:rsidRPr="00246E4C">
              <w:rPr>
                <w:rFonts w:ascii="Times New Roman" w:hAnsi="Times New Roman"/>
                <w:color w:val="000000"/>
                <w:sz w:val="22"/>
                <w:szCs w:val="22"/>
                <w:lang w:val="es-AR" w:eastAsia="es-AR"/>
              </w:rPr>
              <w:t>16%</w:t>
            </w:r>
          </w:p>
        </w:tc>
        <w:tc>
          <w:tcPr>
            <w:tcW w:w="1387" w:type="dxa"/>
            <w:tcBorders>
              <w:top w:val="nil"/>
              <w:left w:val="nil"/>
              <w:bottom w:val="single" w:sz="4" w:space="0" w:color="auto"/>
              <w:right w:val="nil"/>
            </w:tcBorders>
            <w:shd w:val="clear" w:color="000000" w:fill="FFFFFF"/>
            <w:noWrap/>
            <w:vAlign w:val="center"/>
            <w:hideMark/>
          </w:tcPr>
          <w:p w:rsidR="00246E4C" w:rsidRPr="00246E4C" w:rsidRDefault="00246E4C" w:rsidP="00246E4C">
            <w:pPr>
              <w:jc w:val="center"/>
              <w:rPr>
                <w:rFonts w:ascii="Times New Roman" w:hAnsi="Times New Roman"/>
                <w:color w:val="000000"/>
                <w:sz w:val="22"/>
                <w:szCs w:val="22"/>
                <w:lang w:val="es-AR" w:eastAsia="es-AR"/>
              </w:rPr>
            </w:pPr>
            <w:r w:rsidRPr="00246E4C">
              <w:rPr>
                <w:rFonts w:ascii="Times New Roman" w:hAnsi="Times New Roman"/>
                <w:color w:val="000000"/>
                <w:sz w:val="22"/>
                <w:szCs w:val="22"/>
                <w:lang w:val="es-AR" w:eastAsia="es-AR"/>
              </w:rPr>
              <w:t>4,2</w:t>
            </w:r>
          </w:p>
        </w:tc>
        <w:tc>
          <w:tcPr>
            <w:tcW w:w="1387" w:type="dxa"/>
            <w:tcBorders>
              <w:top w:val="nil"/>
              <w:left w:val="nil"/>
              <w:bottom w:val="single" w:sz="4" w:space="0" w:color="auto"/>
              <w:right w:val="nil"/>
            </w:tcBorders>
            <w:shd w:val="clear" w:color="000000" w:fill="FFFFFF"/>
            <w:noWrap/>
            <w:vAlign w:val="center"/>
            <w:hideMark/>
          </w:tcPr>
          <w:p w:rsidR="00246E4C" w:rsidRPr="00246E4C" w:rsidRDefault="00246E4C" w:rsidP="00246E4C">
            <w:pPr>
              <w:jc w:val="center"/>
              <w:rPr>
                <w:rFonts w:ascii="Times New Roman" w:hAnsi="Times New Roman"/>
                <w:color w:val="000000"/>
                <w:sz w:val="22"/>
                <w:szCs w:val="22"/>
                <w:lang w:val="es-AR" w:eastAsia="es-AR"/>
              </w:rPr>
            </w:pPr>
            <w:r w:rsidRPr="00246E4C">
              <w:rPr>
                <w:rFonts w:ascii="Times New Roman" w:hAnsi="Times New Roman"/>
                <w:color w:val="000000"/>
                <w:sz w:val="22"/>
                <w:szCs w:val="22"/>
                <w:lang w:val="es-AR" w:eastAsia="es-AR"/>
              </w:rPr>
              <w:t>1,20</w:t>
            </w:r>
          </w:p>
        </w:tc>
      </w:tr>
      <w:tr w:rsidR="00246E4C" w:rsidRPr="00246E4C" w:rsidTr="00B34969">
        <w:trPr>
          <w:trHeight w:val="860"/>
        </w:trPr>
        <w:tc>
          <w:tcPr>
            <w:tcW w:w="4022" w:type="dxa"/>
            <w:tcBorders>
              <w:top w:val="nil"/>
              <w:left w:val="nil"/>
              <w:bottom w:val="single" w:sz="4" w:space="0" w:color="auto"/>
              <w:right w:val="nil"/>
            </w:tcBorders>
            <w:shd w:val="clear" w:color="000000" w:fill="FFFFFF"/>
            <w:vAlign w:val="center"/>
            <w:hideMark/>
          </w:tcPr>
          <w:p w:rsidR="00246E4C" w:rsidRPr="00246E4C" w:rsidRDefault="00246E4C" w:rsidP="00246E4C">
            <w:pPr>
              <w:jc w:val="center"/>
              <w:rPr>
                <w:rFonts w:ascii="Times New Roman" w:hAnsi="Times New Roman"/>
                <w:color w:val="000000"/>
                <w:sz w:val="22"/>
                <w:szCs w:val="22"/>
                <w:lang w:val="es-AR" w:eastAsia="es-AR"/>
              </w:rPr>
            </w:pPr>
            <w:r w:rsidRPr="00246E4C">
              <w:rPr>
                <w:rFonts w:ascii="Times New Roman" w:hAnsi="Times New Roman"/>
                <w:color w:val="000000"/>
                <w:sz w:val="22"/>
                <w:szCs w:val="22"/>
                <w:lang w:val="es-AR" w:eastAsia="es-AR"/>
              </w:rPr>
              <w:t xml:space="preserve">Probab.Ocurrencia + Tasa Descuento                  </w:t>
            </w:r>
            <w:r w:rsidRPr="00246E4C">
              <w:rPr>
                <w:rFonts w:ascii="Times New Roman" w:hAnsi="Times New Roman"/>
                <w:color w:val="000000"/>
                <w:lang w:val="es-AR" w:eastAsia="es-AR"/>
              </w:rPr>
              <w:t xml:space="preserve">  (VeV US$  283.000 -d=7% -  p: 0,004)</w:t>
            </w:r>
          </w:p>
        </w:tc>
        <w:tc>
          <w:tcPr>
            <w:tcW w:w="1387" w:type="dxa"/>
            <w:tcBorders>
              <w:top w:val="nil"/>
              <w:left w:val="nil"/>
              <w:bottom w:val="single" w:sz="4" w:space="0" w:color="auto"/>
              <w:right w:val="nil"/>
            </w:tcBorders>
            <w:shd w:val="clear" w:color="000000" w:fill="FFFFFF"/>
            <w:noWrap/>
            <w:vAlign w:val="center"/>
            <w:hideMark/>
          </w:tcPr>
          <w:p w:rsidR="00246E4C" w:rsidRPr="00246E4C" w:rsidRDefault="00246E4C" w:rsidP="00246E4C">
            <w:pPr>
              <w:jc w:val="center"/>
              <w:rPr>
                <w:rFonts w:ascii="Times New Roman" w:hAnsi="Times New Roman"/>
                <w:color w:val="000000"/>
                <w:sz w:val="22"/>
                <w:szCs w:val="22"/>
                <w:lang w:val="es-AR" w:eastAsia="es-AR"/>
              </w:rPr>
            </w:pPr>
            <w:r w:rsidRPr="00246E4C">
              <w:rPr>
                <w:rFonts w:ascii="Times New Roman" w:hAnsi="Times New Roman"/>
                <w:color w:val="000000"/>
                <w:sz w:val="22"/>
                <w:szCs w:val="22"/>
                <w:lang w:val="es-AR" w:eastAsia="es-AR"/>
              </w:rPr>
              <w:t>16%</w:t>
            </w:r>
          </w:p>
        </w:tc>
        <w:tc>
          <w:tcPr>
            <w:tcW w:w="1387" w:type="dxa"/>
            <w:tcBorders>
              <w:top w:val="nil"/>
              <w:left w:val="nil"/>
              <w:bottom w:val="single" w:sz="4" w:space="0" w:color="auto"/>
              <w:right w:val="nil"/>
            </w:tcBorders>
            <w:shd w:val="clear" w:color="000000" w:fill="FFFFFF"/>
            <w:noWrap/>
            <w:vAlign w:val="center"/>
            <w:hideMark/>
          </w:tcPr>
          <w:p w:rsidR="00246E4C" w:rsidRPr="00246E4C" w:rsidRDefault="00246E4C" w:rsidP="00246E4C">
            <w:pPr>
              <w:jc w:val="center"/>
              <w:rPr>
                <w:rFonts w:ascii="Times New Roman" w:hAnsi="Times New Roman"/>
                <w:color w:val="000000"/>
                <w:sz w:val="22"/>
                <w:szCs w:val="22"/>
                <w:lang w:val="es-AR" w:eastAsia="es-AR"/>
              </w:rPr>
            </w:pPr>
            <w:r w:rsidRPr="00246E4C">
              <w:rPr>
                <w:rFonts w:ascii="Times New Roman" w:hAnsi="Times New Roman"/>
                <w:color w:val="000000"/>
                <w:sz w:val="22"/>
                <w:szCs w:val="22"/>
                <w:lang w:val="es-AR" w:eastAsia="es-AR"/>
              </w:rPr>
              <w:t>13,1</w:t>
            </w:r>
          </w:p>
        </w:tc>
        <w:tc>
          <w:tcPr>
            <w:tcW w:w="1387" w:type="dxa"/>
            <w:tcBorders>
              <w:top w:val="nil"/>
              <w:left w:val="nil"/>
              <w:bottom w:val="single" w:sz="4" w:space="0" w:color="auto"/>
              <w:right w:val="nil"/>
            </w:tcBorders>
            <w:shd w:val="clear" w:color="000000" w:fill="FFFFFF"/>
            <w:noWrap/>
            <w:vAlign w:val="center"/>
            <w:hideMark/>
          </w:tcPr>
          <w:p w:rsidR="00246E4C" w:rsidRPr="00246E4C" w:rsidRDefault="00246E4C" w:rsidP="00246E4C">
            <w:pPr>
              <w:jc w:val="center"/>
              <w:rPr>
                <w:rFonts w:ascii="Times New Roman" w:hAnsi="Times New Roman"/>
                <w:color w:val="000000"/>
                <w:sz w:val="22"/>
                <w:szCs w:val="22"/>
                <w:lang w:val="es-AR" w:eastAsia="es-AR"/>
              </w:rPr>
            </w:pPr>
            <w:r w:rsidRPr="00246E4C">
              <w:rPr>
                <w:rFonts w:ascii="Times New Roman" w:hAnsi="Times New Roman"/>
                <w:color w:val="000000"/>
                <w:sz w:val="22"/>
                <w:szCs w:val="22"/>
                <w:lang w:val="es-AR" w:eastAsia="es-AR"/>
              </w:rPr>
              <w:t>1,49</w:t>
            </w:r>
          </w:p>
        </w:tc>
      </w:tr>
    </w:tbl>
    <w:p w:rsidR="00406CAE" w:rsidRPr="00455FC7" w:rsidRDefault="00406CAE" w:rsidP="00455FC7">
      <w:pPr>
        <w:pStyle w:val="ListParagraph"/>
        <w:ind w:left="432"/>
        <w:jc w:val="center"/>
        <w:rPr>
          <w:rFonts w:ascii="Times New Roman" w:hAnsi="Times New Roman"/>
          <w:lang w:val="es-AR"/>
        </w:rPr>
      </w:pPr>
    </w:p>
    <w:p w:rsidR="00246E4C" w:rsidRDefault="00246E4C" w:rsidP="005907F8">
      <w:pPr>
        <w:pStyle w:val="ListParagraph"/>
        <w:ind w:left="432"/>
        <w:jc w:val="center"/>
        <w:rPr>
          <w:rFonts w:ascii="Times New Roman" w:hAnsi="Times New Roman"/>
          <w:lang w:val="es-AR"/>
        </w:rPr>
      </w:pPr>
    </w:p>
    <w:p w:rsidR="00F60E4F" w:rsidRDefault="005729D2" w:rsidP="00F60E4F">
      <w:pPr>
        <w:jc w:val="both"/>
        <w:rPr>
          <w:rFonts w:ascii="Times New Roman" w:hAnsi="Times New Roman"/>
          <w:sz w:val="22"/>
          <w:szCs w:val="22"/>
          <w:lang w:val="es-ES"/>
        </w:rPr>
      </w:pPr>
      <w:r>
        <w:rPr>
          <w:rFonts w:ascii="Times New Roman" w:hAnsi="Times New Roman"/>
          <w:sz w:val="22"/>
          <w:szCs w:val="22"/>
          <w:lang w:val="es-ES"/>
        </w:rPr>
        <w:t xml:space="preserve">Asimismo, </w:t>
      </w:r>
      <w:r w:rsidR="00751527">
        <w:rPr>
          <w:rFonts w:ascii="Times New Roman" w:hAnsi="Times New Roman"/>
          <w:sz w:val="22"/>
          <w:szCs w:val="22"/>
          <w:lang w:val="es-ES"/>
        </w:rPr>
        <w:t xml:space="preserve">la Tabla </w:t>
      </w:r>
      <w:r w:rsidR="00B779F4">
        <w:rPr>
          <w:rFonts w:ascii="Times New Roman" w:hAnsi="Times New Roman"/>
          <w:sz w:val="22"/>
          <w:szCs w:val="22"/>
          <w:lang w:val="es-ES"/>
        </w:rPr>
        <w:t>2</w:t>
      </w:r>
      <w:r w:rsidR="00751527">
        <w:rPr>
          <w:rFonts w:ascii="Times New Roman" w:hAnsi="Times New Roman"/>
          <w:sz w:val="22"/>
          <w:szCs w:val="22"/>
          <w:lang w:val="es-ES"/>
        </w:rPr>
        <w:t xml:space="preserve"> resume </w:t>
      </w:r>
      <w:r w:rsidR="00BB67BC">
        <w:rPr>
          <w:rFonts w:ascii="Times New Roman" w:hAnsi="Times New Roman"/>
          <w:sz w:val="22"/>
          <w:szCs w:val="22"/>
          <w:lang w:val="es-ES"/>
        </w:rPr>
        <w:t xml:space="preserve">ejercicios de sensibilidad </w:t>
      </w:r>
      <w:r w:rsidR="00E944D4">
        <w:rPr>
          <w:rFonts w:ascii="Times New Roman" w:hAnsi="Times New Roman"/>
          <w:sz w:val="22"/>
          <w:szCs w:val="22"/>
          <w:lang w:val="es-ES"/>
        </w:rPr>
        <w:t xml:space="preserve"> </w:t>
      </w:r>
      <w:r w:rsidR="00BB67BC">
        <w:rPr>
          <w:rFonts w:ascii="Times New Roman" w:hAnsi="Times New Roman"/>
          <w:sz w:val="22"/>
          <w:szCs w:val="22"/>
          <w:lang w:val="es-ES"/>
        </w:rPr>
        <w:t>donde las variables inherentes a</w:t>
      </w:r>
      <w:r w:rsidR="00246E4C">
        <w:rPr>
          <w:rFonts w:ascii="Times New Roman" w:hAnsi="Times New Roman"/>
          <w:sz w:val="22"/>
          <w:szCs w:val="22"/>
          <w:lang w:val="es-ES"/>
        </w:rPr>
        <w:t xml:space="preserve"> la propia gestión de</w:t>
      </w:r>
      <w:r w:rsidR="00BB67BC">
        <w:rPr>
          <w:rFonts w:ascii="Times New Roman" w:hAnsi="Times New Roman"/>
          <w:sz w:val="22"/>
          <w:szCs w:val="22"/>
          <w:lang w:val="es-ES"/>
        </w:rPr>
        <w:t>l SAT</w:t>
      </w:r>
      <w:r w:rsidR="00751527">
        <w:rPr>
          <w:rFonts w:ascii="Times New Roman" w:hAnsi="Times New Roman"/>
          <w:sz w:val="22"/>
          <w:szCs w:val="22"/>
          <w:lang w:val="es-ES"/>
        </w:rPr>
        <w:t xml:space="preserve"> presentan comportamientos negativos con respecto a</w:t>
      </w:r>
      <w:r w:rsidR="00BB67BC">
        <w:rPr>
          <w:rFonts w:ascii="Times New Roman" w:hAnsi="Times New Roman"/>
          <w:sz w:val="22"/>
          <w:szCs w:val="22"/>
          <w:lang w:val="es-ES"/>
        </w:rPr>
        <w:t xml:space="preserve">l Caso </w:t>
      </w:r>
      <w:r w:rsidR="00751527">
        <w:rPr>
          <w:rFonts w:ascii="Times New Roman" w:hAnsi="Times New Roman"/>
          <w:sz w:val="22"/>
          <w:szCs w:val="22"/>
          <w:lang w:val="es-ES"/>
        </w:rPr>
        <w:t xml:space="preserve"> Base</w:t>
      </w:r>
      <w:r w:rsidR="00D36B53">
        <w:rPr>
          <w:rFonts w:ascii="Times New Roman" w:hAnsi="Times New Roman"/>
          <w:sz w:val="22"/>
          <w:szCs w:val="22"/>
          <w:lang w:val="es-ES"/>
        </w:rPr>
        <w:t>.</w:t>
      </w:r>
    </w:p>
    <w:p w:rsidR="00246E4C" w:rsidRDefault="00246E4C" w:rsidP="00F60E4F">
      <w:pPr>
        <w:jc w:val="both"/>
        <w:rPr>
          <w:rFonts w:ascii="Times New Roman" w:hAnsi="Times New Roman"/>
          <w:sz w:val="22"/>
          <w:szCs w:val="22"/>
          <w:lang w:val="es-ES"/>
        </w:rPr>
      </w:pPr>
    </w:p>
    <w:p w:rsidR="00751527" w:rsidRDefault="00751527" w:rsidP="00751527">
      <w:pPr>
        <w:pStyle w:val="ListParagraph"/>
        <w:ind w:left="432"/>
        <w:jc w:val="center"/>
        <w:rPr>
          <w:rFonts w:ascii="Times New Roman" w:hAnsi="Times New Roman"/>
          <w:lang w:val="es-AR"/>
        </w:rPr>
      </w:pPr>
      <w:r w:rsidRPr="008C1ABC">
        <w:rPr>
          <w:rFonts w:ascii="Times New Roman" w:hAnsi="Times New Roman"/>
          <w:b/>
          <w:lang w:val="es-AR"/>
        </w:rPr>
        <w:t xml:space="preserve">Tabla </w:t>
      </w:r>
      <w:r w:rsidR="00081A23" w:rsidRPr="008C1ABC">
        <w:rPr>
          <w:rFonts w:ascii="Times New Roman" w:hAnsi="Times New Roman"/>
          <w:b/>
        </w:rPr>
        <w:fldChar w:fldCharType="begin"/>
      </w:r>
      <w:r w:rsidRPr="008C1ABC">
        <w:rPr>
          <w:rFonts w:ascii="Times New Roman" w:hAnsi="Times New Roman"/>
          <w:b/>
          <w:lang w:val="es-AR"/>
        </w:rPr>
        <w:instrText xml:space="preserve"> SEQ Tabla \* ARABIC </w:instrText>
      </w:r>
      <w:r w:rsidR="00081A23" w:rsidRPr="008C1ABC">
        <w:rPr>
          <w:rFonts w:ascii="Times New Roman" w:hAnsi="Times New Roman"/>
          <w:b/>
        </w:rPr>
        <w:fldChar w:fldCharType="separate"/>
      </w:r>
      <w:r w:rsidR="00416DE3">
        <w:rPr>
          <w:rFonts w:ascii="Times New Roman" w:hAnsi="Times New Roman"/>
          <w:b/>
          <w:noProof/>
          <w:lang w:val="es-AR"/>
        </w:rPr>
        <w:t>2</w:t>
      </w:r>
      <w:r w:rsidR="00081A23" w:rsidRPr="008C1ABC">
        <w:rPr>
          <w:rFonts w:ascii="Times New Roman" w:hAnsi="Times New Roman"/>
          <w:b/>
        </w:rPr>
        <w:fldChar w:fldCharType="end"/>
      </w:r>
      <w:r w:rsidRPr="008C1ABC">
        <w:rPr>
          <w:rFonts w:ascii="Times New Roman" w:hAnsi="Times New Roman"/>
          <w:lang w:val="es-AR"/>
        </w:rPr>
        <w:t xml:space="preserve">. </w:t>
      </w:r>
      <w:r>
        <w:rPr>
          <w:rFonts w:ascii="Times New Roman" w:hAnsi="Times New Roman"/>
          <w:lang w:val="es-AR"/>
        </w:rPr>
        <w:t>Análisis de sensibilidad</w:t>
      </w:r>
      <w:r w:rsidR="000B5CD3">
        <w:rPr>
          <w:rFonts w:ascii="Times New Roman" w:hAnsi="Times New Roman"/>
          <w:lang w:val="es-AR"/>
        </w:rPr>
        <w:t xml:space="preserve"> – Menor eficiencia y mayores Costos</w:t>
      </w:r>
      <w:r w:rsidRPr="008C1ABC">
        <w:rPr>
          <w:rFonts w:ascii="Times New Roman" w:hAnsi="Times New Roman"/>
          <w:lang w:val="es-AR"/>
        </w:rPr>
        <w:t>.</w:t>
      </w:r>
    </w:p>
    <w:p w:rsidR="0007638B" w:rsidRPr="008C1ABC" w:rsidRDefault="0007638B" w:rsidP="00751527">
      <w:pPr>
        <w:pStyle w:val="ListParagraph"/>
        <w:ind w:left="432"/>
        <w:jc w:val="center"/>
        <w:rPr>
          <w:rFonts w:ascii="Times New Roman" w:hAnsi="Times New Roman"/>
          <w:lang w:val="es-AR"/>
        </w:rPr>
      </w:pPr>
    </w:p>
    <w:tbl>
      <w:tblPr>
        <w:tblW w:w="7935" w:type="dxa"/>
        <w:tblInd w:w="65" w:type="dxa"/>
        <w:tblCellMar>
          <w:left w:w="70" w:type="dxa"/>
          <w:right w:w="70" w:type="dxa"/>
        </w:tblCellMar>
        <w:tblLook w:val="04A0" w:firstRow="1" w:lastRow="0" w:firstColumn="1" w:lastColumn="0" w:noHBand="0" w:noVBand="1"/>
      </w:tblPr>
      <w:tblGrid>
        <w:gridCol w:w="3672"/>
        <w:gridCol w:w="1421"/>
        <w:gridCol w:w="1421"/>
        <w:gridCol w:w="1421"/>
      </w:tblGrid>
      <w:tr w:rsidR="00E944D4" w:rsidRPr="00F44D2B" w:rsidTr="001A3AFE">
        <w:trPr>
          <w:trHeight w:val="552"/>
        </w:trPr>
        <w:tc>
          <w:tcPr>
            <w:tcW w:w="36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44D4" w:rsidRPr="00F44D2B" w:rsidRDefault="00E944D4" w:rsidP="001A3AFE">
            <w:pPr>
              <w:rPr>
                <w:rFonts w:ascii="Times New Roman" w:hAnsi="Times New Roman"/>
                <w:b/>
                <w:bCs/>
                <w:color w:val="000000"/>
                <w:sz w:val="22"/>
                <w:szCs w:val="22"/>
                <w:lang w:val="es-AR" w:eastAsia="es-AR"/>
              </w:rPr>
            </w:pPr>
            <w:r w:rsidRPr="00F44D2B">
              <w:rPr>
                <w:rFonts w:ascii="Times New Roman" w:hAnsi="Times New Roman"/>
                <w:b/>
                <w:bCs/>
                <w:color w:val="000000"/>
                <w:sz w:val="22"/>
                <w:szCs w:val="22"/>
                <w:lang w:val="es-AR" w:eastAsia="es-AR"/>
              </w:rPr>
              <w:t xml:space="preserve">Sensibilidad </w:t>
            </w:r>
            <w:r w:rsidR="00246E4C">
              <w:rPr>
                <w:rFonts w:ascii="Times New Roman" w:hAnsi="Times New Roman"/>
                <w:b/>
                <w:bCs/>
                <w:color w:val="000000"/>
                <w:sz w:val="22"/>
                <w:szCs w:val="22"/>
                <w:lang w:val="es-AR" w:eastAsia="es-AR"/>
              </w:rPr>
              <w:t xml:space="preserve"> p 1:500</w:t>
            </w:r>
          </w:p>
        </w:tc>
        <w:tc>
          <w:tcPr>
            <w:tcW w:w="1421" w:type="dxa"/>
            <w:tcBorders>
              <w:top w:val="single" w:sz="4" w:space="0" w:color="auto"/>
              <w:left w:val="nil"/>
              <w:bottom w:val="single" w:sz="4" w:space="0" w:color="auto"/>
              <w:right w:val="single" w:sz="4" w:space="0" w:color="auto"/>
            </w:tcBorders>
            <w:shd w:val="clear" w:color="000000" w:fill="FFFFFF"/>
            <w:noWrap/>
            <w:vAlign w:val="center"/>
            <w:hideMark/>
          </w:tcPr>
          <w:p w:rsidR="00E944D4" w:rsidRPr="00F44D2B" w:rsidRDefault="00E944D4" w:rsidP="001A3AFE">
            <w:pPr>
              <w:jc w:val="center"/>
              <w:rPr>
                <w:rFonts w:ascii="Times New Roman" w:hAnsi="Times New Roman"/>
                <w:b/>
                <w:bCs/>
                <w:color w:val="000000"/>
                <w:sz w:val="22"/>
                <w:szCs w:val="22"/>
                <w:lang w:val="es-AR" w:eastAsia="es-AR"/>
              </w:rPr>
            </w:pPr>
            <w:r w:rsidRPr="00F44D2B">
              <w:rPr>
                <w:rFonts w:ascii="Times New Roman" w:hAnsi="Times New Roman"/>
                <w:b/>
                <w:bCs/>
                <w:color w:val="000000"/>
                <w:sz w:val="22"/>
                <w:szCs w:val="22"/>
                <w:lang w:val="es-AR" w:eastAsia="es-AR"/>
              </w:rPr>
              <w:t>TIR</w:t>
            </w:r>
          </w:p>
        </w:tc>
        <w:tc>
          <w:tcPr>
            <w:tcW w:w="1421" w:type="dxa"/>
            <w:tcBorders>
              <w:top w:val="single" w:sz="4" w:space="0" w:color="auto"/>
              <w:left w:val="nil"/>
              <w:bottom w:val="single" w:sz="4" w:space="0" w:color="auto"/>
              <w:right w:val="single" w:sz="4" w:space="0" w:color="auto"/>
            </w:tcBorders>
            <w:shd w:val="clear" w:color="000000" w:fill="FFFFFF"/>
            <w:vAlign w:val="center"/>
            <w:hideMark/>
          </w:tcPr>
          <w:p w:rsidR="00E944D4" w:rsidRPr="00F44D2B" w:rsidRDefault="00E944D4" w:rsidP="00B779F4">
            <w:pPr>
              <w:jc w:val="center"/>
              <w:rPr>
                <w:rFonts w:ascii="Times New Roman" w:hAnsi="Times New Roman"/>
                <w:b/>
                <w:bCs/>
                <w:color w:val="000000"/>
                <w:sz w:val="22"/>
                <w:szCs w:val="22"/>
                <w:lang w:val="es-AR" w:eastAsia="es-AR"/>
              </w:rPr>
            </w:pPr>
            <w:r w:rsidRPr="00F44D2B">
              <w:rPr>
                <w:rFonts w:ascii="Times New Roman" w:hAnsi="Times New Roman"/>
                <w:b/>
                <w:bCs/>
                <w:color w:val="000000"/>
                <w:sz w:val="22"/>
                <w:szCs w:val="22"/>
                <w:lang w:val="es-AR" w:eastAsia="es-AR"/>
              </w:rPr>
              <w:t xml:space="preserve">VAN </w:t>
            </w:r>
            <w:r w:rsidR="00B779F4">
              <w:rPr>
                <w:rFonts w:ascii="Times New Roman" w:hAnsi="Times New Roman"/>
                <w:b/>
                <w:bCs/>
                <w:color w:val="000000"/>
                <w:sz w:val="22"/>
                <w:szCs w:val="22"/>
                <w:lang w:val="es-AR" w:eastAsia="es-AR"/>
              </w:rPr>
              <w:t xml:space="preserve">en </w:t>
            </w:r>
            <w:r w:rsidRPr="00F44D2B">
              <w:rPr>
                <w:rFonts w:ascii="Times New Roman" w:hAnsi="Times New Roman"/>
                <w:b/>
                <w:bCs/>
                <w:color w:val="000000"/>
                <w:sz w:val="22"/>
                <w:szCs w:val="22"/>
                <w:lang w:val="es-AR" w:eastAsia="es-AR"/>
              </w:rPr>
              <w:t>US</w:t>
            </w:r>
            <w:r w:rsidR="00B779F4">
              <w:rPr>
                <w:rFonts w:ascii="Times New Roman" w:hAnsi="Times New Roman"/>
                <w:b/>
                <w:bCs/>
                <w:color w:val="000000"/>
                <w:sz w:val="22"/>
                <w:szCs w:val="22"/>
                <w:lang w:val="es-AR" w:eastAsia="es-AR"/>
              </w:rPr>
              <w:t>D</w:t>
            </w:r>
            <w:r w:rsidR="00B779F4" w:rsidRPr="00F44D2B">
              <w:rPr>
                <w:rFonts w:ascii="Times New Roman" w:hAnsi="Times New Roman"/>
                <w:b/>
                <w:bCs/>
                <w:color w:val="000000"/>
                <w:sz w:val="22"/>
                <w:szCs w:val="22"/>
                <w:lang w:val="es-AR" w:eastAsia="es-AR"/>
              </w:rPr>
              <w:t xml:space="preserve"> </w:t>
            </w:r>
            <w:r w:rsidR="00127AE3">
              <w:rPr>
                <w:rFonts w:ascii="Times New Roman" w:hAnsi="Times New Roman"/>
                <w:b/>
                <w:bCs/>
                <w:color w:val="000000"/>
                <w:sz w:val="22"/>
                <w:szCs w:val="22"/>
                <w:lang w:val="es-AR" w:eastAsia="es-AR"/>
              </w:rPr>
              <w:t>m</w:t>
            </w:r>
            <w:r w:rsidR="00127AE3" w:rsidRPr="00F44D2B">
              <w:rPr>
                <w:rFonts w:ascii="Times New Roman" w:hAnsi="Times New Roman"/>
                <w:b/>
                <w:bCs/>
                <w:color w:val="000000"/>
                <w:sz w:val="22"/>
                <w:szCs w:val="22"/>
                <w:lang w:val="es-AR" w:eastAsia="es-AR"/>
              </w:rPr>
              <w:t>illones</w:t>
            </w:r>
          </w:p>
        </w:tc>
        <w:tc>
          <w:tcPr>
            <w:tcW w:w="1421" w:type="dxa"/>
            <w:tcBorders>
              <w:top w:val="single" w:sz="4" w:space="0" w:color="auto"/>
              <w:left w:val="nil"/>
              <w:bottom w:val="single" w:sz="4" w:space="0" w:color="auto"/>
              <w:right w:val="single" w:sz="4" w:space="0" w:color="auto"/>
            </w:tcBorders>
            <w:shd w:val="clear" w:color="000000" w:fill="FFFFFF"/>
            <w:noWrap/>
            <w:vAlign w:val="center"/>
            <w:hideMark/>
          </w:tcPr>
          <w:p w:rsidR="00E944D4" w:rsidRPr="00F44D2B" w:rsidRDefault="00E944D4" w:rsidP="001A3AFE">
            <w:pPr>
              <w:jc w:val="center"/>
              <w:rPr>
                <w:rFonts w:ascii="Times New Roman" w:hAnsi="Times New Roman"/>
                <w:b/>
                <w:bCs/>
                <w:color w:val="000000"/>
                <w:sz w:val="22"/>
                <w:szCs w:val="22"/>
                <w:lang w:val="es-AR" w:eastAsia="es-AR"/>
              </w:rPr>
            </w:pPr>
            <w:r w:rsidRPr="00F44D2B">
              <w:rPr>
                <w:rFonts w:ascii="Times New Roman" w:hAnsi="Times New Roman"/>
                <w:b/>
                <w:bCs/>
                <w:color w:val="000000"/>
                <w:sz w:val="22"/>
                <w:szCs w:val="22"/>
                <w:lang w:val="es-AR" w:eastAsia="es-AR"/>
              </w:rPr>
              <w:t>Ratio B/C</w:t>
            </w:r>
          </w:p>
        </w:tc>
      </w:tr>
      <w:tr w:rsidR="00E944D4" w:rsidRPr="00F44D2B" w:rsidTr="001A3AFE">
        <w:trPr>
          <w:trHeight w:val="538"/>
        </w:trPr>
        <w:tc>
          <w:tcPr>
            <w:tcW w:w="3672" w:type="dxa"/>
            <w:tcBorders>
              <w:top w:val="single" w:sz="4" w:space="0" w:color="auto"/>
              <w:left w:val="nil"/>
              <w:bottom w:val="single" w:sz="4" w:space="0" w:color="auto"/>
              <w:right w:val="nil"/>
            </w:tcBorders>
            <w:shd w:val="clear" w:color="000000" w:fill="FFFFFF"/>
            <w:vAlign w:val="center"/>
            <w:hideMark/>
          </w:tcPr>
          <w:p w:rsidR="00E944D4" w:rsidRPr="00F44D2B" w:rsidRDefault="00E944D4" w:rsidP="00B779F4">
            <w:pPr>
              <w:jc w:val="center"/>
              <w:rPr>
                <w:rFonts w:ascii="Times New Roman" w:hAnsi="Times New Roman"/>
                <w:color w:val="000000"/>
                <w:sz w:val="22"/>
                <w:szCs w:val="22"/>
                <w:lang w:val="es-AR" w:eastAsia="es-AR"/>
              </w:rPr>
            </w:pPr>
            <w:r w:rsidRPr="00F44D2B">
              <w:rPr>
                <w:rFonts w:ascii="Times New Roman" w:hAnsi="Times New Roman"/>
                <w:color w:val="000000"/>
                <w:sz w:val="22"/>
                <w:szCs w:val="22"/>
                <w:lang w:val="es-AR" w:eastAsia="es-AR"/>
              </w:rPr>
              <w:t xml:space="preserve">Caso </w:t>
            </w:r>
            <w:r w:rsidR="00B779F4">
              <w:rPr>
                <w:rFonts w:ascii="Times New Roman" w:hAnsi="Times New Roman"/>
                <w:color w:val="000000"/>
                <w:sz w:val="22"/>
                <w:szCs w:val="22"/>
                <w:lang w:val="es-AR" w:eastAsia="es-AR"/>
              </w:rPr>
              <w:t>b</w:t>
            </w:r>
            <w:r w:rsidR="00B779F4" w:rsidRPr="00F44D2B">
              <w:rPr>
                <w:rFonts w:ascii="Times New Roman" w:hAnsi="Times New Roman"/>
                <w:color w:val="000000"/>
                <w:sz w:val="22"/>
                <w:szCs w:val="22"/>
                <w:lang w:val="es-AR" w:eastAsia="es-AR"/>
              </w:rPr>
              <w:t xml:space="preserve">ase                              </w:t>
            </w:r>
            <w:r w:rsidR="00B779F4">
              <w:rPr>
                <w:rFonts w:ascii="Times New Roman" w:hAnsi="Times New Roman"/>
                <w:color w:val="000000"/>
                <w:sz w:val="22"/>
                <w:szCs w:val="22"/>
                <w:lang w:val="es-AR" w:eastAsia="es-AR"/>
              </w:rPr>
              <w:t xml:space="preserve">       </w:t>
            </w:r>
            <w:r w:rsidR="00B779F4" w:rsidRPr="00F44D2B">
              <w:rPr>
                <w:rFonts w:ascii="Times New Roman" w:hAnsi="Times New Roman"/>
                <w:color w:val="000000"/>
                <w:lang w:val="es-AR" w:eastAsia="es-AR"/>
              </w:rPr>
              <w:t xml:space="preserve">  </w:t>
            </w:r>
            <w:r w:rsidRPr="00F44D2B">
              <w:rPr>
                <w:rFonts w:ascii="Times New Roman" w:hAnsi="Times New Roman"/>
                <w:color w:val="000000"/>
                <w:lang w:val="es-AR" w:eastAsia="es-AR"/>
              </w:rPr>
              <w:t>(Benef Vida 45% - Bienes: 30-40%)</w:t>
            </w:r>
          </w:p>
        </w:tc>
        <w:tc>
          <w:tcPr>
            <w:tcW w:w="1421" w:type="dxa"/>
            <w:tcBorders>
              <w:top w:val="single" w:sz="4" w:space="0" w:color="auto"/>
              <w:left w:val="nil"/>
              <w:bottom w:val="single" w:sz="4" w:space="0" w:color="auto"/>
              <w:right w:val="nil"/>
            </w:tcBorders>
            <w:shd w:val="clear" w:color="000000" w:fill="FFFFFF"/>
            <w:noWrap/>
            <w:vAlign w:val="center"/>
            <w:hideMark/>
          </w:tcPr>
          <w:p w:rsidR="00E944D4" w:rsidRPr="00F44D2B" w:rsidRDefault="00E944D4" w:rsidP="00F87F41">
            <w:pPr>
              <w:jc w:val="center"/>
              <w:rPr>
                <w:rFonts w:ascii="Times New Roman" w:hAnsi="Times New Roman"/>
                <w:color w:val="000000"/>
                <w:sz w:val="22"/>
                <w:szCs w:val="22"/>
                <w:lang w:val="es-AR" w:eastAsia="es-AR"/>
              </w:rPr>
            </w:pPr>
            <w:r w:rsidRPr="00F44D2B">
              <w:rPr>
                <w:rFonts w:ascii="Times New Roman" w:hAnsi="Times New Roman"/>
                <w:color w:val="000000"/>
                <w:sz w:val="22"/>
                <w:szCs w:val="22"/>
                <w:lang w:val="es-AR" w:eastAsia="es-AR"/>
              </w:rPr>
              <w:t>2</w:t>
            </w:r>
            <w:r w:rsidR="00F87F41">
              <w:rPr>
                <w:rFonts w:ascii="Times New Roman" w:hAnsi="Times New Roman"/>
                <w:color w:val="000000"/>
                <w:sz w:val="22"/>
                <w:szCs w:val="22"/>
                <w:lang w:val="es-AR" w:eastAsia="es-AR"/>
              </w:rPr>
              <w:t>7</w:t>
            </w:r>
            <w:r w:rsidRPr="00F44D2B">
              <w:rPr>
                <w:rFonts w:ascii="Times New Roman" w:hAnsi="Times New Roman"/>
                <w:color w:val="000000"/>
                <w:sz w:val="22"/>
                <w:szCs w:val="22"/>
                <w:lang w:val="es-AR" w:eastAsia="es-AR"/>
              </w:rPr>
              <w:t>%</w:t>
            </w:r>
          </w:p>
        </w:tc>
        <w:tc>
          <w:tcPr>
            <w:tcW w:w="1421" w:type="dxa"/>
            <w:tcBorders>
              <w:top w:val="single" w:sz="4" w:space="0" w:color="auto"/>
              <w:left w:val="nil"/>
              <w:bottom w:val="single" w:sz="4" w:space="0" w:color="auto"/>
              <w:right w:val="nil"/>
            </w:tcBorders>
            <w:shd w:val="clear" w:color="000000" w:fill="FFFFFF"/>
            <w:noWrap/>
            <w:vAlign w:val="center"/>
            <w:hideMark/>
          </w:tcPr>
          <w:p w:rsidR="00E944D4" w:rsidRPr="00F44D2B" w:rsidRDefault="00E944D4" w:rsidP="00F87F41">
            <w:pPr>
              <w:jc w:val="center"/>
              <w:rPr>
                <w:rFonts w:ascii="Times New Roman" w:hAnsi="Times New Roman"/>
                <w:color w:val="000000"/>
                <w:sz w:val="22"/>
                <w:szCs w:val="22"/>
                <w:lang w:val="es-AR" w:eastAsia="es-AR"/>
              </w:rPr>
            </w:pPr>
            <w:r w:rsidRPr="00F44D2B">
              <w:rPr>
                <w:rFonts w:ascii="Times New Roman" w:hAnsi="Times New Roman"/>
                <w:color w:val="000000"/>
                <w:sz w:val="22"/>
                <w:szCs w:val="22"/>
                <w:lang w:val="es-AR" w:eastAsia="es-AR"/>
              </w:rPr>
              <w:t>20,</w:t>
            </w:r>
            <w:r w:rsidR="00F87F41">
              <w:rPr>
                <w:rFonts w:ascii="Times New Roman" w:hAnsi="Times New Roman"/>
                <w:color w:val="000000"/>
                <w:sz w:val="22"/>
                <w:szCs w:val="22"/>
                <w:lang w:val="es-AR" w:eastAsia="es-AR"/>
              </w:rPr>
              <w:t>7</w:t>
            </w:r>
          </w:p>
        </w:tc>
        <w:tc>
          <w:tcPr>
            <w:tcW w:w="1421" w:type="dxa"/>
            <w:tcBorders>
              <w:top w:val="single" w:sz="4" w:space="0" w:color="auto"/>
              <w:left w:val="nil"/>
              <w:bottom w:val="single" w:sz="4" w:space="0" w:color="auto"/>
              <w:right w:val="nil"/>
            </w:tcBorders>
            <w:shd w:val="clear" w:color="000000" w:fill="FFFFFF"/>
            <w:noWrap/>
            <w:vAlign w:val="center"/>
            <w:hideMark/>
          </w:tcPr>
          <w:p w:rsidR="00E944D4" w:rsidRPr="00F44D2B" w:rsidRDefault="00E944D4" w:rsidP="001A3AFE">
            <w:pPr>
              <w:jc w:val="center"/>
              <w:rPr>
                <w:rFonts w:ascii="Times New Roman" w:hAnsi="Times New Roman"/>
                <w:color w:val="000000"/>
                <w:sz w:val="22"/>
                <w:szCs w:val="22"/>
                <w:lang w:val="es-AR" w:eastAsia="es-AR"/>
              </w:rPr>
            </w:pPr>
            <w:r w:rsidRPr="00F44D2B">
              <w:rPr>
                <w:rFonts w:ascii="Times New Roman" w:hAnsi="Times New Roman"/>
                <w:color w:val="000000"/>
                <w:sz w:val="22"/>
                <w:szCs w:val="22"/>
                <w:lang w:val="es-AR" w:eastAsia="es-AR"/>
              </w:rPr>
              <w:t>1,99</w:t>
            </w:r>
          </w:p>
        </w:tc>
      </w:tr>
      <w:tr w:rsidR="00E944D4" w:rsidRPr="00F44D2B" w:rsidTr="001A3AFE">
        <w:trPr>
          <w:trHeight w:val="538"/>
        </w:trPr>
        <w:tc>
          <w:tcPr>
            <w:tcW w:w="3672" w:type="dxa"/>
            <w:tcBorders>
              <w:top w:val="single" w:sz="4" w:space="0" w:color="auto"/>
              <w:left w:val="nil"/>
              <w:bottom w:val="single" w:sz="4" w:space="0" w:color="auto"/>
              <w:right w:val="nil"/>
            </w:tcBorders>
            <w:shd w:val="clear" w:color="000000" w:fill="FFFFFF"/>
            <w:vAlign w:val="center"/>
            <w:hideMark/>
          </w:tcPr>
          <w:p w:rsidR="00E944D4" w:rsidRPr="00F44D2B" w:rsidRDefault="00E944D4" w:rsidP="00B779F4">
            <w:pPr>
              <w:jc w:val="center"/>
              <w:rPr>
                <w:rFonts w:ascii="Times New Roman" w:hAnsi="Times New Roman"/>
                <w:color w:val="000000"/>
                <w:sz w:val="22"/>
                <w:szCs w:val="22"/>
                <w:lang w:val="es-AR" w:eastAsia="es-AR"/>
              </w:rPr>
            </w:pPr>
            <w:r w:rsidRPr="00F44D2B">
              <w:rPr>
                <w:rFonts w:ascii="Times New Roman" w:hAnsi="Times New Roman"/>
                <w:color w:val="000000"/>
                <w:sz w:val="22"/>
                <w:szCs w:val="22"/>
                <w:lang w:val="es-AR" w:eastAsia="es-AR"/>
              </w:rPr>
              <w:t xml:space="preserve">Reducción </w:t>
            </w:r>
            <w:r w:rsidR="00B779F4">
              <w:rPr>
                <w:rFonts w:ascii="Times New Roman" w:hAnsi="Times New Roman"/>
                <w:color w:val="000000"/>
                <w:sz w:val="22"/>
                <w:szCs w:val="22"/>
                <w:lang w:val="es-AR" w:eastAsia="es-AR"/>
              </w:rPr>
              <w:t>b</w:t>
            </w:r>
            <w:r w:rsidR="00B779F4" w:rsidRPr="00F44D2B">
              <w:rPr>
                <w:rFonts w:ascii="Times New Roman" w:hAnsi="Times New Roman"/>
                <w:color w:val="000000"/>
                <w:sz w:val="22"/>
                <w:szCs w:val="22"/>
                <w:lang w:val="es-AR" w:eastAsia="es-AR"/>
              </w:rPr>
              <w:t xml:space="preserve">eneficio </w:t>
            </w:r>
            <w:r w:rsidRPr="00F44D2B">
              <w:rPr>
                <w:rFonts w:ascii="Times New Roman" w:hAnsi="Times New Roman"/>
                <w:color w:val="000000"/>
                <w:sz w:val="22"/>
                <w:szCs w:val="22"/>
                <w:lang w:val="es-AR" w:eastAsia="es-AR"/>
              </w:rPr>
              <w:t xml:space="preserve">SAT                              </w:t>
            </w:r>
            <w:r w:rsidRPr="00F44D2B">
              <w:rPr>
                <w:rFonts w:ascii="Times New Roman" w:hAnsi="Times New Roman"/>
                <w:color w:val="000000"/>
                <w:lang w:val="es-AR" w:eastAsia="es-AR"/>
              </w:rPr>
              <w:t xml:space="preserve">  (Benef Vida 32% - Bienes: 18-24%)</w:t>
            </w:r>
          </w:p>
        </w:tc>
        <w:tc>
          <w:tcPr>
            <w:tcW w:w="1421" w:type="dxa"/>
            <w:tcBorders>
              <w:top w:val="single" w:sz="4" w:space="0" w:color="auto"/>
              <w:left w:val="nil"/>
              <w:bottom w:val="single" w:sz="4" w:space="0" w:color="auto"/>
              <w:right w:val="nil"/>
            </w:tcBorders>
            <w:shd w:val="clear" w:color="000000" w:fill="FFFFFF"/>
            <w:noWrap/>
            <w:vAlign w:val="center"/>
            <w:hideMark/>
          </w:tcPr>
          <w:p w:rsidR="00E944D4" w:rsidRPr="00F44D2B" w:rsidRDefault="00E944D4" w:rsidP="001A3AFE">
            <w:pPr>
              <w:jc w:val="center"/>
              <w:rPr>
                <w:rFonts w:ascii="Times New Roman" w:hAnsi="Times New Roman"/>
                <w:color w:val="000000"/>
                <w:sz w:val="22"/>
                <w:szCs w:val="22"/>
                <w:lang w:val="es-AR" w:eastAsia="es-AR"/>
              </w:rPr>
            </w:pPr>
            <w:r w:rsidRPr="00F44D2B">
              <w:rPr>
                <w:rFonts w:ascii="Times New Roman" w:hAnsi="Times New Roman"/>
                <w:color w:val="000000"/>
                <w:sz w:val="22"/>
                <w:szCs w:val="22"/>
                <w:lang w:val="es-AR" w:eastAsia="es-AR"/>
              </w:rPr>
              <w:t>20%</w:t>
            </w:r>
          </w:p>
        </w:tc>
        <w:tc>
          <w:tcPr>
            <w:tcW w:w="1421" w:type="dxa"/>
            <w:tcBorders>
              <w:top w:val="single" w:sz="4" w:space="0" w:color="auto"/>
              <w:left w:val="nil"/>
              <w:bottom w:val="single" w:sz="4" w:space="0" w:color="auto"/>
              <w:right w:val="nil"/>
            </w:tcBorders>
            <w:shd w:val="clear" w:color="000000" w:fill="FFFFFF"/>
            <w:noWrap/>
            <w:vAlign w:val="center"/>
            <w:hideMark/>
          </w:tcPr>
          <w:p w:rsidR="00E944D4" w:rsidRPr="00F44D2B" w:rsidRDefault="00E944D4" w:rsidP="001A3AFE">
            <w:pPr>
              <w:jc w:val="center"/>
              <w:rPr>
                <w:rFonts w:ascii="Times New Roman" w:hAnsi="Times New Roman"/>
                <w:color w:val="000000"/>
                <w:sz w:val="22"/>
                <w:szCs w:val="22"/>
                <w:lang w:val="es-AR" w:eastAsia="es-AR"/>
              </w:rPr>
            </w:pPr>
            <w:r w:rsidRPr="00F44D2B">
              <w:rPr>
                <w:rFonts w:ascii="Times New Roman" w:hAnsi="Times New Roman"/>
                <w:color w:val="000000"/>
                <w:sz w:val="22"/>
                <w:szCs w:val="22"/>
                <w:lang w:val="es-AR" w:eastAsia="es-AR"/>
              </w:rPr>
              <w:t>8,2</w:t>
            </w:r>
          </w:p>
        </w:tc>
        <w:tc>
          <w:tcPr>
            <w:tcW w:w="1421" w:type="dxa"/>
            <w:tcBorders>
              <w:top w:val="single" w:sz="4" w:space="0" w:color="auto"/>
              <w:left w:val="nil"/>
              <w:bottom w:val="single" w:sz="4" w:space="0" w:color="auto"/>
              <w:right w:val="nil"/>
            </w:tcBorders>
            <w:shd w:val="clear" w:color="000000" w:fill="FFFFFF"/>
            <w:noWrap/>
            <w:vAlign w:val="center"/>
            <w:hideMark/>
          </w:tcPr>
          <w:p w:rsidR="00E944D4" w:rsidRPr="00F44D2B" w:rsidRDefault="00E944D4" w:rsidP="001A3AFE">
            <w:pPr>
              <w:jc w:val="center"/>
              <w:rPr>
                <w:rFonts w:ascii="Times New Roman" w:hAnsi="Times New Roman"/>
                <w:color w:val="000000"/>
                <w:sz w:val="22"/>
                <w:szCs w:val="22"/>
                <w:lang w:val="es-AR" w:eastAsia="es-AR"/>
              </w:rPr>
            </w:pPr>
            <w:r w:rsidRPr="00F44D2B">
              <w:rPr>
                <w:rFonts w:ascii="Times New Roman" w:hAnsi="Times New Roman"/>
                <w:color w:val="000000"/>
                <w:sz w:val="22"/>
                <w:szCs w:val="22"/>
                <w:lang w:val="es-AR" w:eastAsia="es-AR"/>
              </w:rPr>
              <w:t>1,39</w:t>
            </w:r>
          </w:p>
        </w:tc>
      </w:tr>
      <w:tr w:rsidR="00E944D4" w:rsidRPr="00F44D2B" w:rsidTr="001A3AFE">
        <w:trPr>
          <w:trHeight w:val="538"/>
        </w:trPr>
        <w:tc>
          <w:tcPr>
            <w:tcW w:w="3672" w:type="dxa"/>
            <w:tcBorders>
              <w:top w:val="single" w:sz="4" w:space="0" w:color="auto"/>
              <w:left w:val="nil"/>
              <w:bottom w:val="single" w:sz="4" w:space="0" w:color="auto"/>
              <w:right w:val="nil"/>
            </w:tcBorders>
            <w:shd w:val="clear" w:color="000000" w:fill="FFFFFF"/>
            <w:vAlign w:val="center"/>
            <w:hideMark/>
          </w:tcPr>
          <w:p w:rsidR="00E944D4" w:rsidRPr="00F44D2B" w:rsidRDefault="00E944D4" w:rsidP="001A3AFE">
            <w:pPr>
              <w:jc w:val="center"/>
              <w:rPr>
                <w:rFonts w:ascii="Times New Roman" w:hAnsi="Times New Roman"/>
                <w:color w:val="000000"/>
                <w:sz w:val="22"/>
                <w:szCs w:val="22"/>
                <w:lang w:val="es-AR" w:eastAsia="es-AR"/>
              </w:rPr>
            </w:pPr>
            <w:r w:rsidRPr="00F44D2B">
              <w:rPr>
                <w:rFonts w:ascii="Times New Roman" w:hAnsi="Times New Roman"/>
                <w:color w:val="000000"/>
                <w:sz w:val="22"/>
                <w:szCs w:val="22"/>
                <w:lang w:val="es-AR" w:eastAsia="es-AR"/>
              </w:rPr>
              <w:lastRenderedPageBreak/>
              <w:t xml:space="preserve">Aumento </w:t>
            </w:r>
            <w:r w:rsidR="00B779F4">
              <w:rPr>
                <w:rFonts w:ascii="Times New Roman" w:hAnsi="Times New Roman"/>
                <w:color w:val="000000"/>
                <w:sz w:val="22"/>
                <w:szCs w:val="22"/>
                <w:lang w:val="es-AR" w:eastAsia="es-AR"/>
              </w:rPr>
              <w:t>de c</w:t>
            </w:r>
            <w:r w:rsidRPr="00F44D2B">
              <w:rPr>
                <w:rFonts w:ascii="Times New Roman" w:hAnsi="Times New Roman"/>
                <w:color w:val="000000"/>
                <w:sz w:val="22"/>
                <w:szCs w:val="22"/>
                <w:lang w:val="es-AR" w:eastAsia="es-AR"/>
              </w:rPr>
              <w:t xml:space="preserve">ostos 30%                              </w:t>
            </w:r>
            <w:r w:rsidRPr="00F44D2B">
              <w:rPr>
                <w:rFonts w:ascii="Times New Roman" w:hAnsi="Times New Roman"/>
                <w:color w:val="000000"/>
                <w:lang w:val="es-AR" w:eastAsia="es-AR"/>
              </w:rPr>
              <w:t xml:space="preserve">  (Benef Vida 45% - Bienes: 30-40%)</w:t>
            </w:r>
          </w:p>
        </w:tc>
        <w:tc>
          <w:tcPr>
            <w:tcW w:w="1421" w:type="dxa"/>
            <w:tcBorders>
              <w:top w:val="single" w:sz="4" w:space="0" w:color="auto"/>
              <w:left w:val="nil"/>
              <w:bottom w:val="single" w:sz="4" w:space="0" w:color="auto"/>
              <w:right w:val="nil"/>
            </w:tcBorders>
            <w:shd w:val="clear" w:color="000000" w:fill="FFFFFF"/>
            <w:noWrap/>
            <w:vAlign w:val="center"/>
            <w:hideMark/>
          </w:tcPr>
          <w:p w:rsidR="00E944D4" w:rsidRPr="00F44D2B" w:rsidRDefault="00E944D4" w:rsidP="001A3AFE">
            <w:pPr>
              <w:jc w:val="center"/>
              <w:rPr>
                <w:rFonts w:ascii="Times New Roman" w:hAnsi="Times New Roman"/>
                <w:color w:val="000000"/>
                <w:sz w:val="22"/>
                <w:szCs w:val="22"/>
                <w:lang w:val="es-AR" w:eastAsia="es-AR"/>
              </w:rPr>
            </w:pPr>
            <w:r w:rsidRPr="00F44D2B">
              <w:rPr>
                <w:rFonts w:ascii="Times New Roman" w:hAnsi="Times New Roman"/>
                <w:color w:val="000000"/>
                <w:sz w:val="22"/>
                <w:szCs w:val="22"/>
                <w:lang w:val="es-AR" w:eastAsia="es-AR"/>
              </w:rPr>
              <w:t>22%</w:t>
            </w:r>
          </w:p>
        </w:tc>
        <w:tc>
          <w:tcPr>
            <w:tcW w:w="1421" w:type="dxa"/>
            <w:tcBorders>
              <w:top w:val="single" w:sz="4" w:space="0" w:color="auto"/>
              <w:left w:val="nil"/>
              <w:bottom w:val="single" w:sz="4" w:space="0" w:color="auto"/>
              <w:right w:val="nil"/>
            </w:tcBorders>
            <w:shd w:val="clear" w:color="000000" w:fill="FFFFFF"/>
            <w:noWrap/>
            <w:vAlign w:val="center"/>
            <w:hideMark/>
          </w:tcPr>
          <w:p w:rsidR="00E944D4" w:rsidRPr="00F44D2B" w:rsidRDefault="00E944D4" w:rsidP="001A3AFE">
            <w:pPr>
              <w:jc w:val="center"/>
              <w:rPr>
                <w:rFonts w:ascii="Times New Roman" w:hAnsi="Times New Roman"/>
                <w:color w:val="000000"/>
                <w:sz w:val="22"/>
                <w:szCs w:val="22"/>
                <w:lang w:val="es-AR" w:eastAsia="es-AR"/>
              </w:rPr>
            </w:pPr>
            <w:r w:rsidRPr="00F44D2B">
              <w:rPr>
                <w:rFonts w:ascii="Times New Roman" w:hAnsi="Times New Roman"/>
                <w:color w:val="000000"/>
                <w:sz w:val="22"/>
                <w:szCs w:val="22"/>
                <w:lang w:val="es-AR" w:eastAsia="es-AR"/>
              </w:rPr>
              <w:t>14,3</w:t>
            </w:r>
          </w:p>
        </w:tc>
        <w:tc>
          <w:tcPr>
            <w:tcW w:w="1421" w:type="dxa"/>
            <w:tcBorders>
              <w:top w:val="single" w:sz="4" w:space="0" w:color="auto"/>
              <w:left w:val="nil"/>
              <w:bottom w:val="single" w:sz="4" w:space="0" w:color="auto"/>
              <w:right w:val="nil"/>
            </w:tcBorders>
            <w:shd w:val="clear" w:color="000000" w:fill="FFFFFF"/>
            <w:noWrap/>
            <w:vAlign w:val="center"/>
            <w:hideMark/>
          </w:tcPr>
          <w:p w:rsidR="00E944D4" w:rsidRPr="00F44D2B" w:rsidRDefault="00E944D4" w:rsidP="001A3AFE">
            <w:pPr>
              <w:jc w:val="center"/>
              <w:rPr>
                <w:rFonts w:ascii="Times New Roman" w:hAnsi="Times New Roman"/>
                <w:color w:val="000000"/>
                <w:sz w:val="22"/>
                <w:szCs w:val="22"/>
                <w:lang w:val="es-AR" w:eastAsia="es-AR"/>
              </w:rPr>
            </w:pPr>
            <w:r w:rsidRPr="00F44D2B">
              <w:rPr>
                <w:rFonts w:ascii="Times New Roman" w:hAnsi="Times New Roman"/>
                <w:color w:val="000000"/>
                <w:sz w:val="22"/>
                <w:szCs w:val="22"/>
                <w:lang w:val="es-AR" w:eastAsia="es-AR"/>
              </w:rPr>
              <w:t>1,54</w:t>
            </w:r>
          </w:p>
        </w:tc>
      </w:tr>
    </w:tbl>
    <w:p w:rsidR="000B5CD3" w:rsidRDefault="000B5CD3" w:rsidP="00D36B53">
      <w:pPr>
        <w:jc w:val="both"/>
        <w:rPr>
          <w:rFonts w:ascii="Times New Roman" w:hAnsi="Times New Roman"/>
          <w:sz w:val="22"/>
          <w:szCs w:val="22"/>
          <w:lang w:val="es-ES"/>
        </w:rPr>
      </w:pPr>
    </w:p>
    <w:p w:rsidR="00246E4C" w:rsidRDefault="00BB67BC" w:rsidP="00D36B53">
      <w:pPr>
        <w:jc w:val="both"/>
        <w:rPr>
          <w:rFonts w:ascii="Times New Roman" w:hAnsi="Times New Roman"/>
          <w:sz w:val="22"/>
          <w:szCs w:val="22"/>
          <w:lang w:val="es-ES"/>
        </w:rPr>
      </w:pPr>
      <w:r>
        <w:rPr>
          <w:rFonts w:ascii="Times New Roman" w:hAnsi="Times New Roman"/>
          <w:sz w:val="22"/>
          <w:szCs w:val="22"/>
          <w:lang w:val="es-ES"/>
        </w:rPr>
        <w:t>Se observa que frente a una menor</w:t>
      </w:r>
      <w:r w:rsidRPr="00F60E4F">
        <w:rPr>
          <w:rFonts w:ascii="Times New Roman" w:hAnsi="Times New Roman"/>
          <w:sz w:val="22"/>
          <w:szCs w:val="22"/>
          <w:lang w:val="es-ES"/>
        </w:rPr>
        <w:t xml:space="preserve"> </w:t>
      </w:r>
      <w:r>
        <w:rPr>
          <w:rFonts w:ascii="Times New Roman" w:hAnsi="Times New Roman"/>
          <w:sz w:val="22"/>
          <w:szCs w:val="22"/>
          <w:lang w:val="es-ES"/>
        </w:rPr>
        <w:t xml:space="preserve"> efectividad del SAT en términos del beneficio esperado en materia de m</w:t>
      </w:r>
      <w:r w:rsidR="00D36B53">
        <w:rPr>
          <w:rFonts w:ascii="Times New Roman" w:hAnsi="Times New Roman"/>
          <w:sz w:val="22"/>
          <w:szCs w:val="22"/>
          <w:lang w:val="es-ES"/>
        </w:rPr>
        <w:t>i</w:t>
      </w:r>
      <w:r>
        <w:rPr>
          <w:rFonts w:ascii="Times New Roman" w:hAnsi="Times New Roman"/>
          <w:sz w:val="22"/>
          <w:szCs w:val="22"/>
          <w:lang w:val="es-ES"/>
        </w:rPr>
        <w:t>tigación del desastre</w:t>
      </w:r>
      <w:r w:rsidR="00D36B53">
        <w:rPr>
          <w:rFonts w:ascii="Times New Roman" w:hAnsi="Times New Roman"/>
          <w:sz w:val="22"/>
          <w:szCs w:val="22"/>
          <w:lang w:val="es-ES"/>
        </w:rPr>
        <w:t xml:space="preserve"> (baja respuesta de las </w:t>
      </w:r>
      <w:r w:rsidR="00B779F4">
        <w:rPr>
          <w:rFonts w:ascii="Times New Roman" w:hAnsi="Times New Roman"/>
          <w:sz w:val="22"/>
          <w:szCs w:val="22"/>
          <w:lang w:val="es-ES"/>
        </w:rPr>
        <w:t xml:space="preserve">comunidades </w:t>
      </w:r>
      <w:r w:rsidR="00B24085">
        <w:rPr>
          <w:rFonts w:ascii="Times New Roman" w:hAnsi="Times New Roman"/>
          <w:sz w:val="22"/>
          <w:szCs w:val="22"/>
          <w:lang w:val="es-ES"/>
        </w:rPr>
        <w:t>al alerta</w:t>
      </w:r>
      <w:r w:rsidR="00D36B53">
        <w:rPr>
          <w:rFonts w:ascii="Times New Roman" w:hAnsi="Times New Roman"/>
          <w:sz w:val="22"/>
          <w:szCs w:val="22"/>
          <w:lang w:val="es-ES"/>
        </w:rPr>
        <w:t xml:space="preserve">) y en caso de </w:t>
      </w:r>
      <w:r>
        <w:rPr>
          <w:rFonts w:ascii="Times New Roman" w:hAnsi="Times New Roman"/>
          <w:sz w:val="22"/>
          <w:szCs w:val="22"/>
          <w:lang w:val="es-ES"/>
        </w:rPr>
        <w:t xml:space="preserve"> mayor</w:t>
      </w:r>
      <w:r w:rsidRPr="00F60E4F">
        <w:rPr>
          <w:rFonts w:ascii="Times New Roman" w:hAnsi="Times New Roman"/>
          <w:sz w:val="22"/>
          <w:szCs w:val="22"/>
          <w:lang w:val="es-ES"/>
        </w:rPr>
        <w:t xml:space="preserve"> </w:t>
      </w:r>
      <w:r>
        <w:rPr>
          <w:rFonts w:ascii="Times New Roman" w:hAnsi="Times New Roman"/>
          <w:sz w:val="22"/>
          <w:szCs w:val="22"/>
          <w:lang w:val="es-ES"/>
        </w:rPr>
        <w:t xml:space="preserve">incremento de </w:t>
      </w:r>
      <w:r w:rsidRPr="00F60E4F">
        <w:rPr>
          <w:rFonts w:ascii="Times New Roman" w:hAnsi="Times New Roman"/>
          <w:sz w:val="22"/>
          <w:szCs w:val="22"/>
          <w:lang w:val="es-ES"/>
        </w:rPr>
        <w:t>costos</w:t>
      </w:r>
      <w:r>
        <w:rPr>
          <w:rFonts w:ascii="Times New Roman" w:hAnsi="Times New Roman"/>
          <w:sz w:val="22"/>
          <w:szCs w:val="22"/>
          <w:lang w:val="es-ES"/>
        </w:rPr>
        <w:t xml:space="preserve"> de inversión y recurrentes</w:t>
      </w:r>
      <w:r w:rsidR="00D36B53">
        <w:rPr>
          <w:rFonts w:ascii="Times New Roman" w:hAnsi="Times New Roman"/>
          <w:sz w:val="22"/>
          <w:szCs w:val="22"/>
          <w:lang w:val="es-ES"/>
        </w:rPr>
        <w:t xml:space="preserve"> (cambios tecnológicos que conlleven  erogaciones superiores) los resultados mantienen niveles aceptables. </w:t>
      </w:r>
    </w:p>
    <w:p w:rsidR="00246E4C" w:rsidRDefault="00246E4C" w:rsidP="00D36B53">
      <w:pPr>
        <w:jc w:val="both"/>
        <w:rPr>
          <w:rFonts w:ascii="Times New Roman" w:hAnsi="Times New Roman"/>
          <w:sz w:val="22"/>
          <w:szCs w:val="22"/>
          <w:lang w:val="es-ES"/>
        </w:rPr>
      </w:pPr>
    </w:p>
    <w:p w:rsidR="00246E4C" w:rsidRDefault="00246E4C" w:rsidP="00D36B53">
      <w:pPr>
        <w:jc w:val="both"/>
        <w:rPr>
          <w:rFonts w:ascii="Times New Roman" w:hAnsi="Times New Roman"/>
          <w:sz w:val="22"/>
          <w:szCs w:val="22"/>
          <w:lang w:val="es-ES"/>
        </w:rPr>
      </w:pPr>
      <w:r>
        <w:rPr>
          <w:rFonts w:ascii="Times New Roman" w:hAnsi="Times New Roman"/>
          <w:sz w:val="22"/>
          <w:szCs w:val="22"/>
          <w:lang w:val="es-ES"/>
        </w:rPr>
        <w:t xml:space="preserve">Teniendo en cuenta el nivel de incertidumbre de las variables, se complementó el análisis de sensibilidad frente a los Escenarios </w:t>
      </w:r>
      <w:r w:rsidR="009705D1">
        <w:rPr>
          <w:rFonts w:ascii="Times New Roman" w:hAnsi="Times New Roman"/>
          <w:sz w:val="22"/>
          <w:szCs w:val="22"/>
          <w:lang w:val="es-ES"/>
        </w:rPr>
        <w:t>complementarios</w:t>
      </w:r>
      <w:r>
        <w:rPr>
          <w:rFonts w:ascii="Times New Roman" w:hAnsi="Times New Roman"/>
          <w:sz w:val="22"/>
          <w:szCs w:val="22"/>
          <w:lang w:val="es-ES"/>
        </w:rPr>
        <w:t xml:space="preserve"> expuestos en la Tabla 1. Los resultados se resumen en el siguiente cuadro.</w:t>
      </w:r>
    </w:p>
    <w:p w:rsidR="0007638B" w:rsidRDefault="0007638B" w:rsidP="00246E4C">
      <w:pPr>
        <w:pStyle w:val="ListParagraph"/>
        <w:ind w:left="432"/>
        <w:jc w:val="center"/>
        <w:rPr>
          <w:rFonts w:ascii="Times New Roman" w:hAnsi="Times New Roman"/>
          <w:b/>
          <w:lang w:val="es-AR"/>
        </w:rPr>
      </w:pPr>
    </w:p>
    <w:p w:rsidR="00246E4C" w:rsidRDefault="00246E4C" w:rsidP="00246E4C">
      <w:pPr>
        <w:pStyle w:val="ListParagraph"/>
        <w:ind w:left="432"/>
        <w:jc w:val="center"/>
        <w:rPr>
          <w:rFonts w:ascii="Times New Roman" w:hAnsi="Times New Roman"/>
          <w:lang w:val="es-AR"/>
        </w:rPr>
      </w:pPr>
      <w:r w:rsidRPr="008C1ABC">
        <w:rPr>
          <w:rFonts w:ascii="Times New Roman" w:hAnsi="Times New Roman"/>
          <w:b/>
          <w:lang w:val="es-AR"/>
        </w:rPr>
        <w:t xml:space="preserve">Tabla </w:t>
      </w:r>
      <w:r w:rsidR="00081A23" w:rsidRPr="008C1ABC">
        <w:rPr>
          <w:rFonts w:ascii="Times New Roman" w:hAnsi="Times New Roman"/>
          <w:b/>
        </w:rPr>
        <w:fldChar w:fldCharType="begin"/>
      </w:r>
      <w:r w:rsidRPr="008C1ABC">
        <w:rPr>
          <w:rFonts w:ascii="Times New Roman" w:hAnsi="Times New Roman"/>
          <w:b/>
          <w:lang w:val="es-AR"/>
        </w:rPr>
        <w:instrText xml:space="preserve"> SEQ Tabla \* ARABIC </w:instrText>
      </w:r>
      <w:r w:rsidR="00081A23" w:rsidRPr="008C1ABC">
        <w:rPr>
          <w:rFonts w:ascii="Times New Roman" w:hAnsi="Times New Roman"/>
          <w:b/>
        </w:rPr>
        <w:fldChar w:fldCharType="separate"/>
      </w:r>
      <w:r>
        <w:rPr>
          <w:rFonts w:ascii="Times New Roman" w:hAnsi="Times New Roman"/>
          <w:b/>
          <w:noProof/>
          <w:lang w:val="es-AR"/>
        </w:rPr>
        <w:t>3</w:t>
      </w:r>
      <w:r w:rsidR="00081A23" w:rsidRPr="008C1ABC">
        <w:rPr>
          <w:rFonts w:ascii="Times New Roman" w:hAnsi="Times New Roman"/>
          <w:b/>
        </w:rPr>
        <w:fldChar w:fldCharType="end"/>
      </w:r>
      <w:r w:rsidRPr="008C1ABC">
        <w:rPr>
          <w:rFonts w:ascii="Times New Roman" w:hAnsi="Times New Roman"/>
          <w:lang w:val="es-AR"/>
        </w:rPr>
        <w:t xml:space="preserve">. </w:t>
      </w:r>
      <w:r>
        <w:rPr>
          <w:rFonts w:ascii="Times New Roman" w:hAnsi="Times New Roman"/>
          <w:lang w:val="es-AR"/>
        </w:rPr>
        <w:t>Sensibilidad – Punto de equilibrio en escenarios</w:t>
      </w:r>
      <w:r w:rsidR="006B0BBA">
        <w:rPr>
          <w:rFonts w:ascii="Times New Roman" w:hAnsi="Times New Roman"/>
          <w:lang w:val="es-AR"/>
        </w:rPr>
        <w:t xml:space="preserve"> complementarios</w:t>
      </w:r>
      <w:r w:rsidRPr="008C1ABC">
        <w:rPr>
          <w:rFonts w:ascii="Times New Roman" w:hAnsi="Times New Roman"/>
          <w:lang w:val="es-AR"/>
        </w:rPr>
        <w:t>.</w:t>
      </w:r>
    </w:p>
    <w:p w:rsidR="0007638B" w:rsidRDefault="0007638B" w:rsidP="00246E4C">
      <w:pPr>
        <w:pStyle w:val="ListParagraph"/>
        <w:ind w:left="432"/>
        <w:jc w:val="center"/>
        <w:rPr>
          <w:rFonts w:ascii="Times New Roman" w:hAnsi="Times New Roman"/>
          <w:lang w:val="es-AR"/>
        </w:rPr>
      </w:pPr>
    </w:p>
    <w:tbl>
      <w:tblPr>
        <w:tblW w:w="7941" w:type="dxa"/>
        <w:tblInd w:w="65" w:type="dxa"/>
        <w:tblCellMar>
          <w:left w:w="70" w:type="dxa"/>
          <w:right w:w="70" w:type="dxa"/>
        </w:tblCellMar>
        <w:tblLook w:val="04A0" w:firstRow="1" w:lastRow="0" w:firstColumn="1" w:lastColumn="0" w:noHBand="0" w:noVBand="1"/>
      </w:tblPr>
      <w:tblGrid>
        <w:gridCol w:w="3903"/>
        <w:gridCol w:w="1346"/>
        <w:gridCol w:w="1346"/>
        <w:gridCol w:w="1346"/>
      </w:tblGrid>
      <w:tr w:rsidR="00246E4C" w:rsidRPr="00246E4C" w:rsidTr="00B34969">
        <w:trPr>
          <w:trHeight w:val="580"/>
        </w:trPr>
        <w:tc>
          <w:tcPr>
            <w:tcW w:w="3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46E4C" w:rsidRPr="00246E4C" w:rsidRDefault="00246E4C" w:rsidP="00246E4C">
            <w:pPr>
              <w:rPr>
                <w:rFonts w:ascii="Times New Roman" w:hAnsi="Times New Roman"/>
                <w:b/>
                <w:bCs/>
                <w:color w:val="000000"/>
                <w:sz w:val="22"/>
                <w:szCs w:val="22"/>
                <w:lang w:val="es-AR" w:eastAsia="es-AR"/>
              </w:rPr>
            </w:pPr>
            <w:r w:rsidRPr="00246E4C">
              <w:rPr>
                <w:rFonts w:ascii="Times New Roman" w:hAnsi="Times New Roman"/>
                <w:b/>
                <w:bCs/>
                <w:color w:val="000000"/>
                <w:sz w:val="22"/>
                <w:szCs w:val="22"/>
                <w:lang w:val="es-AR" w:eastAsia="es-AR"/>
              </w:rPr>
              <w:t xml:space="preserve">Sensibilidad  p 1:250  </w:t>
            </w:r>
          </w:p>
        </w:tc>
        <w:tc>
          <w:tcPr>
            <w:tcW w:w="1346" w:type="dxa"/>
            <w:tcBorders>
              <w:top w:val="single" w:sz="4" w:space="0" w:color="auto"/>
              <w:left w:val="nil"/>
              <w:bottom w:val="single" w:sz="4" w:space="0" w:color="auto"/>
              <w:right w:val="single" w:sz="4" w:space="0" w:color="auto"/>
            </w:tcBorders>
            <w:shd w:val="clear" w:color="000000" w:fill="FFFFFF"/>
            <w:noWrap/>
            <w:vAlign w:val="center"/>
            <w:hideMark/>
          </w:tcPr>
          <w:p w:rsidR="00246E4C" w:rsidRPr="00246E4C" w:rsidRDefault="00246E4C" w:rsidP="00246E4C">
            <w:pPr>
              <w:jc w:val="center"/>
              <w:rPr>
                <w:rFonts w:ascii="Times New Roman" w:hAnsi="Times New Roman"/>
                <w:b/>
                <w:bCs/>
                <w:color w:val="000000"/>
                <w:sz w:val="22"/>
                <w:szCs w:val="22"/>
                <w:lang w:val="es-AR" w:eastAsia="es-AR"/>
              </w:rPr>
            </w:pPr>
            <w:r w:rsidRPr="00246E4C">
              <w:rPr>
                <w:rFonts w:ascii="Times New Roman" w:hAnsi="Times New Roman"/>
                <w:b/>
                <w:bCs/>
                <w:color w:val="000000"/>
                <w:sz w:val="22"/>
                <w:szCs w:val="22"/>
                <w:lang w:val="es-AR" w:eastAsia="es-AR"/>
              </w:rPr>
              <w:t>TIR</w:t>
            </w:r>
          </w:p>
        </w:tc>
        <w:tc>
          <w:tcPr>
            <w:tcW w:w="1346" w:type="dxa"/>
            <w:tcBorders>
              <w:top w:val="single" w:sz="4" w:space="0" w:color="auto"/>
              <w:left w:val="nil"/>
              <w:bottom w:val="single" w:sz="4" w:space="0" w:color="auto"/>
              <w:right w:val="single" w:sz="4" w:space="0" w:color="auto"/>
            </w:tcBorders>
            <w:shd w:val="clear" w:color="000000" w:fill="FFFFFF"/>
            <w:vAlign w:val="center"/>
            <w:hideMark/>
          </w:tcPr>
          <w:p w:rsidR="00246E4C" w:rsidRPr="00246E4C" w:rsidRDefault="00246E4C" w:rsidP="00246E4C">
            <w:pPr>
              <w:jc w:val="center"/>
              <w:rPr>
                <w:rFonts w:ascii="Times New Roman" w:hAnsi="Times New Roman"/>
                <w:b/>
                <w:bCs/>
                <w:color w:val="000000"/>
                <w:sz w:val="22"/>
                <w:szCs w:val="22"/>
                <w:lang w:val="es-AR" w:eastAsia="es-AR"/>
              </w:rPr>
            </w:pPr>
            <w:r w:rsidRPr="00246E4C">
              <w:rPr>
                <w:rFonts w:ascii="Times New Roman" w:hAnsi="Times New Roman"/>
                <w:b/>
                <w:bCs/>
                <w:color w:val="000000"/>
                <w:sz w:val="22"/>
                <w:szCs w:val="22"/>
                <w:lang w:val="es-AR" w:eastAsia="es-AR"/>
              </w:rPr>
              <w:t>VAN US$ Millones</w:t>
            </w:r>
          </w:p>
        </w:tc>
        <w:tc>
          <w:tcPr>
            <w:tcW w:w="1346" w:type="dxa"/>
            <w:tcBorders>
              <w:top w:val="single" w:sz="4" w:space="0" w:color="auto"/>
              <w:left w:val="nil"/>
              <w:bottom w:val="single" w:sz="4" w:space="0" w:color="auto"/>
              <w:right w:val="single" w:sz="4" w:space="0" w:color="auto"/>
            </w:tcBorders>
            <w:shd w:val="clear" w:color="000000" w:fill="FFFFFF"/>
            <w:noWrap/>
            <w:vAlign w:val="center"/>
            <w:hideMark/>
          </w:tcPr>
          <w:p w:rsidR="00246E4C" w:rsidRPr="00246E4C" w:rsidRDefault="00246E4C" w:rsidP="00246E4C">
            <w:pPr>
              <w:jc w:val="center"/>
              <w:rPr>
                <w:rFonts w:ascii="Times New Roman" w:hAnsi="Times New Roman"/>
                <w:b/>
                <w:bCs/>
                <w:color w:val="000000"/>
                <w:sz w:val="22"/>
                <w:szCs w:val="22"/>
                <w:lang w:val="es-AR" w:eastAsia="es-AR"/>
              </w:rPr>
            </w:pPr>
            <w:r w:rsidRPr="00246E4C">
              <w:rPr>
                <w:rFonts w:ascii="Times New Roman" w:hAnsi="Times New Roman"/>
                <w:b/>
                <w:bCs/>
                <w:color w:val="000000"/>
                <w:sz w:val="22"/>
                <w:szCs w:val="22"/>
                <w:lang w:val="es-AR" w:eastAsia="es-AR"/>
              </w:rPr>
              <w:t>Ratio B/C</w:t>
            </w:r>
          </w:p>
        </w:tc>
      </w:tr>
      <w:tr w:rsidR="00246E4C" w:rsidRPr="00246E4C" w:rsidTr="00B34969">
        <w:trPr>
          <w:trHeight w:val="565"/>
        </w:trPr>
        <w:tc>
          <w:tcPr>
            <w:tcW w:w="3903" w:type="dxa"/>
            <w:tcBorders>
              <w:top w:val="single" w:sz="4" w:space="0" w:color="auto"/>
              <w:left w:val="single" w:sz="4" w:space="0" w:color="auto"/>
              <w:bottom w:val="single" w:sz="4" w:space="0" w:color="auto"/>
              <w:right w:val="nil"/>
            </w:tcBorders>
            <w:shd w:val="clear" w:color="000000" w:fill="FFFFFF"/>
            <w:vAlign w:val="center"/>
            <w:hideMark/>
          </w:tcPr>
          <w:p w:rsidR="00246E4C" w:rsidRPr="00246E4C" w:rsidRDefault="00246E4C" w:rsidP="009705D1">
            <w:pPr>
              <w:jc w:val="center"/>
              <w:rPr>
                <w:rFonts w:ascii="Times New Roman" w:hAnsi="Times New Roman"/>
                <w:color w:val="000000"/>
                <w:sz w:val="22"/>
                <w:szCs w:val="22"/>
                <w:lang w:val="es-AR" w:eastAsia="es-AR"/>
              </w:rPr>
            </w:pPr>
            <w:r w:rsidRPr="00246E4C">
              <w:rPr>
                <w:rFonts w:ascii="Times New Roman" w:hAnsi="Times New Roman"/>
                <w:color w:val="000000"/>
                <w:sz w:val="22"/>
                <w:szCs w:val="22"/>
                <w:lang w:val="es-AR" w:eastAsia="es-AR"/>
              </w:rPr>
              <w:t xml:space="preserve">Escenario </w:t>
            </w:r>
            <w:r w:rsidR="009705D1">
              <w:rPr>
                <w:rFonts w:ascii="Times New Roman" w:hAnsi="Times New Roman"/>
                <w:color w:val="000000"/>
                <w:sz w:val="22"/>
                <w:szCs w:val="22"/>
                <w:lang w:val="es-AR" w:eastAsia="es-AR"/>
              </w:rPr>
              <w:t>Cambio</w:t>
            </w:r>
            <w:r w:rsidRPr="00246E4C">
              <w:rPr>
                <w:rFonts w:ascii="Times New Roman" w:hAnsi="Times New Roman"/>
                <w:color w:val="000000"/>
                <w:sz w:val="22"/>
                <w:szCs w:val="22"/>
                <w:lang w:val="es-AR" w:eastAsia="es-AR"/>
              </w:rPr>
              <w:t xml:space="preserve"> Ocurrencia    d=12%                     </w:t>
            </w:r>
            <w:r w:rsidRPr="00246E4C">
              <w:rPr>
                <w:rFonts w:ascii="Times New Roman" w:hAnsi="Times New Roman"/>
                <w:color w:val="000000"/>
                <w:lang w:val="es-AR" w:eastAsia="es-AR"/>
              </w:rPr>
              <w:t xml:space="preserve">  (Benef Vida 45% - Bienes: 30-40%)</w:t>
            </w:r>
          </w:p>
        </w:tc>
        <w:tc>
          <w:tcPr>
            <w:tcW w:w="1346" w:type="dxa"/>
            <w:tcBorders>
              <w:top w:val="single" w:sz="4" w:space="0" w:color="auto"/>
              <w:left w:val="nil"/>
              <w:bottom w:val="single" w:sz="4" w:space="0" w:color="auto"/>
              <w:right w:val="nil"/>
            </w:tcBorders>
            <w:shd w:val="clear" w:color="000000" w:fill="FFFFFF"/>
            <w:noWrap/>
            <w:vAlign w:val="center"/>
            <w:hideMark/>
          </w:tcPr>
          <w:p w:rsidR="00246E4C" w:rsidRPr="00246E4C" w:rsidRDefault="00246E4C" w:rsidP="00246E4C">
            <w:pPr>
              <w:jc w:val="center"/>
              <w:rPr>
                <w:rFonts w:ascii="Times New Roman" w:hAnsi="Times New Roman"/>
                <w:color w:val="000000"/>
                <w:sz w:val="22"/>
                <w:szCs w:val="22"/>
                <w:lang w:val="es-AR" w:eastAsia="es-AR"/>
              </w:rPr>
            </w:pPr>
            <w:r w:rsidRPr="00246E4C">
              <w:rPr>
                <w:rFonts w:ascii="Times New Roman" w:hAnsi="Times New Roman"/>
                <w:color w:val="000000"/>
                <w:sz w:val="22"/>
                <w:szCs w:val="22"/>
                <w:lang w:val="es-AR" w:eastAsia="es-AR"/>
              </w:rPr>
              <w:t>16%</w:t>
            </w:r>
          </w:p>
        </w:tc>
        <w:tc>
          <w:tcPr>
            <w:tcW w:w="1346" w:type="dxa"/>
            <w:tcBorders>
              <w:top w:val="single" w:sz="4" w:space="0" w:color="auto"/>
              <w:left w:val="nil"/>
              <w:bottom w:val="single" w:sz="4" w:space="0" w:color="auto"/>
              <w:right w:val="nil"/>
            </w:tcBorders>
            <w:shd w:val="clear" w:color="000000" w:fill="FFFFFF"/>
            <w:noWrap/>
            <w:vAlign w:val="center"/>
            <w:hideMark/>
          </w:tcPr>
          <w:p w:rsidR="00246E4C" w:rsidRPr="00246E4C" w:rsidRDefault="00246E4C" w:rsidP="00246E4C">
            <w:pPr>
              <w:jc w:val="center"/>
              <w:rPr>
                <w:rFonts w:ascii="Times New Roman" w:hAnsi="Times New Roman"/>
                <w:color w:val="000000"/>
                <w:sz w:val="22"/>
                <w:szCs w:val="22"/>
                <w:lang w:val="es-AR" w:eastAsia="es-AR"/>
              </w:rPr>
            </w:pPr>
            <w:r w:rsidRPr="00246E4C">
              <w:rPr>
                <w:rFonts w:ascii="Times New Roman" w:hAnsi="Times New Roman"/>
                <w:color w:val="000000"/>
                <w:sz w:val="22"/>
                <w:szCs w:val="22"/>
                <w:lang w:val="es-AR" w:eastAsia="es-AR"/>
              </w:rPr>
              <w:t>4,2</w:t>
            </w:r>
          </w:p>
        </w:tc>
        <w:tc>
          <w:tcPr>
            <w:tcW w:w="1346" w:type="dxa"/>
            <w:tcBorders>
              <w:top w:val="single" w:sz="4" w:space="0" w:color="auto"/>
              <w:left w:val="nil"/>
              <w:bottom w:val="single" w:sz="4" w:space="0" w:color="auto"/>
              <w:right w:val="single" w:sz="4" w:space="0" w:color="auto"/>
            </w:tcBorders>
            <w:shd w:val="clear" w:color="000000" w:fill="FFFFFF"/>
            <w:noWrap/>
            <w:vAlign w:val="center"/>
            <w:hideMark/>
          </w:tcPr>
          <w:p w:rsidR="00246E4C" w:rsidRPr="00246E4C" w:rsidRDefault="00246E4C" w:rsidP="00246E4C">
            <w:pPr>
              <w:jc w:val="center"/>
              <w:rPr>
                <w:rFonts w:ascii="Times New Roman" w:hAnsi="Times New Roman"/>
                <w:color w:val="000000"/>
                <w:sz w:val="22"/>
                <w:szCs w:val="22"/>
                <w:lang w:val="es-AR" w:eastAsia="es-AR"/>
              </w:rPr>
            </w:pPr>
            <w:r w:rsidRPr="00246E4C">
              <w:rPr>
                <w:rFonts w:ascii="Times New Roman" w:hAnsi="Times New Roman"/>
                <w:color w:val="000000"/>
                <w:sz w:val="22"/>
                <w:szCs w:val="22"/>
                <w:lang w:val="es-AR" w:eastAsia="es-AR"/>
              </w:rPr>
              <w:t>1,20</w:t>
            </w:r>
          </w:p>
        </w:tc>
      </w:tr>
      <w:tr w:rsidR="00246E4C" w:rsidRPr="00A873ED" w:rsidTr="00B34969">
        <w:trPr>
          <w:trHeight w:val="519"/>
        </w:trPr>
        <w:tc>
          <w:tcPr>
            <w:tcW w:w="7940" w:type="dxa"/>
            <w:gridSpan w:val="4"/>
            <w:tcBorders>
              <w:top w:val="single" w:sz="4" w:space="0" w:color="auto"/>
              <w:left w:val="single" w:sz="4" w:space="0" w:color="auto"/>
              <w:bottom w:val="nil"/>
              <w:right w:val="single" w:sz="4" w:space="0" w:color="000000"/>
            </w:tcBorders>
            <w:shd w:val="clear" w:color="000000" w:fill="FFFFFF"/>
            <w:vAlign w:val="center"/>
            <w:hideMark/>
          </w:tcPr>
          <w:p w:rsidR="00246E4C" w:rsidRPr="00246E4C" w:rsidRDefault="00246E4C" w:rsidP="00B34969">
            <w:pPr>
              <w:rPr>
                <w:rFonts w:ascii="Times New Roman" w:hAnsi="Times New Roman"/>
                <w:color w:val="000000"/>
                <w:sz w:val="22"/>
                <w:szCs w:val="22"/>
                <w:lang w:val="es-AR" w:eastAsia="es-AR"/>
              </w:rPr>
            </w:pPr>
            <w:r w:rsidRPr="00246E4C">
              <w:rPr>
                <w:rFonts w:ascii="Times New Roman" w:hAnsi="Times New Roman"/>
                <w:color w:val="000000"/>
                <w:sz w:val="22"/>
                <w:szCs w:val="22"/>
                <w:lang w:val="es-AR" w:eastAsia="es-AR"/>
              </w:rPr>
              <w:t>Puntos de equilibrio (donde costo B/C =1 y VAN = 0):</w:t>
            </w:r>
          </w:p>
        </w:tc>
      </w:tr>
      <w:tr w:rsidR="00246E4C" w:rsidRPr="00246E4C" w:rsidTr="00B34969">
        <w:trPr>
          <w:trHeight w:val="565"/>
        </w:trPr>
        <w:tc>
          <w:tcPr>
            <w:tcW w:w="3903" w:type="dxa"/>
            <w:tcBorders>
              <w:top w:val="single" w:sz="4" w:space="0" w:color="auto"/>
              <w:left w:val="single" w:sz="4" w:space="0" w:color="auto"/>
              <w:bottom w:val="single" w:sz="4" w:space="0" w:color="auto"/>
              <w:right w:val="nil"/>
            </w:tcBorders>
            <w:shd w:val="clear" w:color="000000" w:fill="FFFFFF"/>
            <w:vAlign w:val="center"/>
            <w:hideMark/>
          </w:tcPr>
          <w:p w:rsidR="00246E4C" w:rsidRPr="00246E4C" w:rsidRDefault="00246E4C" w:rsidP="00246E4C">
            <w:pPr>
              <w:jc w:val="center"/>
              <w:rPr>
                <w:rFonts w:ascii="Times New Roman" w:hAnsi="Times New Roman"/>
                <w:color w:val="000000"/>
                <w:sz w:val="22"/>
                <w:szCs w:val="22"/>
                <w:lang w:val="es-AR" w:eastAsia="es-AR"/>
              </w:rPr>
            </w:pPr>
            <w:r w:rsidRPr="00246E4C">
              <w:rPr>
                <w:rFonts w:ascii="Times New Roman" w:hAnsi="Times New Roman"/>
                <w:color w:val="000000"/>
                <w:sz w:val="22"/>
                <w:szCs w:val="22"/>
                <w:lang w:val="es-AR" w:eastAsia="es-AR"/>
              </w:rPr>
              <w:t xml:space="preserve">Reducción Beneficio SAT                              </w:t>
            </w:r>
            <w:r w:rsidRPr="00246E4C">
              <w:rPr>
                <w:rFonts w:ascii="Times New Roman" w:hAnsi="Times New Roman"/>
                <w:color w:val="000000"/>
                <w:lang w:val="es-AR" w:eastAsia="es-AR"/>
              </w:rPr>
              <w:t xml:space="preserve">  </w:t>
            </w:r>
            <w:r>
              <w:rPr>
                <w:rFonts w:ascii="Times New Roman" w:hAnsi="Times New Roman"/>
                <w:color w:val="000000"/>
                <w:lang w:val="es-AR" w:eastAsia="es-AR"/>
              </w:rPr>
              <w:t>(Costo de Inversión y recurrentes sin cambio</w:t>
            </w:r>
            <w:r w:rsidRPr="00246E4C">
              <w:rPr>
                <w:rFonts w:ascii="Times New Roman" w:hAnsi="Times New Roman"/>
                <w:color w:val="000000"/>
                <w:lang w:val="es-AR" w:eastAsia="es-AR"/>
              </w:rPr>
              <w:t>)</w:t>
            </w:r>
          </w:p>
        </w:tc>
        <w:tc>
          <w:tcPr>
            <w:tcW w:w="4037"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246E4C" w:rsidRPr="00246E4C" w:rsidRDefault="00246E4C" w:rsidP="00246E4C">
            <w:pPr>
              <w:jc w:val="center"/>
              <w:rPr>
                <w:rFonts w:ascii="Times New Roman" w:hAnsi="Times New Roman"/>
                <w:color w:val="000000"/>
                <w:sz w:val="22"/>
                <w:szCs w:val="22"/>
                <w:lang w:val="es-AR" w:eastAsia="es-AR"/>
              </w:rPr>
            </w:pPr>
            <w:r w:rsidRPr="00246E4C">
              <w:rPr>
                <w:rFonts w:ascii="Times New Roman" w:hAnsi="Times New Roman"/>
                <w:color w:val="000000"/>
                <w:sz w:val="22"/>
                <w:szCs w:val="22"/>
                <w:lang w:val="es-AR" w:eastAsia="es-AR"/>
              </w:rPr>
              <w:t>Reducción máxima de beneficios 16.7%</w:t>
            </w:r>
          </w:p>
        </w:tc>
      </w:tr>
      <w:tr w:rsidR="00246E4C" w:rsidRPr="00A873ED" w:rsidTr="00B34969">
        <w:trPr>
          <w:trHeight w:val="565"/>
        </w:trPr>
        <w:tc>
          <w:tcPr>
            <w:tcW w:w="3903" w:type="dxa"/>
            <w:tcBorders>
              <w:top w:val="nil"/>
              <w:left w:val="single" w:sz="4" w:space="0" w:color="auto"/>
              <w:bottom w:val="single" w:sz="4" w:space="0" w:color="auto"/>
              <w:right w:val="nil"/>
            </w:tcBorders>
            <w:shd w:val="clear" w:color="000000" w:fill="FFFFFF"/>
            <w:vAlign w:val="center"/>
            <w:hideMark/>
          </w:tcPr>
          <w:p w:rsidR="00246E4C" w:rsidRDefault="00246E4C" w:rsidP="00246E4C">
            <w:pPr>
              <w:jc w:val="center"/>
              <w:rPr>
                <w:rFonts w:ascii="Times New Roman" w:hAnsi="Times New Roman"/>
                <w:color w:val="000000"/>
                <w:lang w:val="es-AR" w:eastAsia="es-AR"/>
              </w:rPr>
            </w:pPr>
            <w:r w:rsidRPr="00246E4C">
              <w:rPr>
                <w:rFonts w:ascii="Times New Roman" w:hAnsi="Times New Roman"/>
                <w:color w:val="000000"/>
                <w:sz w:val="22"/>
                <w:szCs w:val="22"/>
                <w:lang w:val="es-AR" w:eastAsia="es-AR"/>
              </w:rPr>
              <w:t xml:space="preserve">Aumento Costos                       </w:t>
            </w:r>
            <w:r w:rsidRPr="00246E4C">
              <w:rPr>
                <w:rFonts w:ascii="Times New Roman" w:hAnsi="Times New Roman"/>
                <w:color w:val="000000"/>
                <w:lang w:val="es-AR" w:eastAsia="es-AR"/>
              </w:rPr>
              <w:t xml:space="preserve">  </w:t>
            </w:r>
          </w:p>
          <w:p w:rsidR="00246E4C" w:rsidRPr="00246E4C" w:rsidRDefault="00246E4C" w:rsidP="00246E4C">
            <w:pPr>
              <w:jc w:val="center"/>
              <w:rPr>
                <w:rFonts w:ascii="Times New Roman" w:hAnsi="Times New Roman"/>
                <w:color w:val="000000"/>
                <w:sz w:val="22"/>
                <w:szCs w:val="22"/>
                <w:lang w:val="es-AR" w:eastAsia="es-AR"/>
              </w:rPr>
            </w:pPr>
            <w:r w:rsidRPr="00246E4C">
              <w:rPr>
                <w:rFonts w:ascii="Times New Roman" w:hAnsi="Times New Roman"/>
                <w:color w:val="000000"/>
                <w:lang w:val="es-AR" w:eastAsia="es-AR"/>
              </w:rPr>
              <w:t>(Benef Vida 45% - Bienes: 30-40%)</w:t>
            </w:r>
          </w:p>
        </w:tc>
        <w:tc>
          <w:tcPr>
            <w:tcW w:w="4037" w:type="dxa"/>
            <w:gridSpan w:val="3"/>
            <w:tcBorders>
              <w:top w:val="single" w:sz="4" w:space="0" w:color="auto"/>
              <w:left w:val="nil"/>
              <w:bottom w:val="single" w:sz="4" w:space="0" w:color="auto"/>
              <w:right w:val="single" w:sz="4" w:space="0" w:color="000000"/>
            </w:tcBorders>
            <w:shd w:val="clear" w:color="000000" w:fill="FFFFFF"/>
            <w:vAlign w:val="center"/>
            <w:hideMark/>
          </w:tcPr>
          <w:p w:rsidR="00246E4C" w:rsidRPr="00246E4C" w:rsidRDefault="00246E4C" w:rsidP="00246E4C">
            <w:pPr>
              <w:jc w:val="center"/>
              <w:rPr>
                <w:rFonts w:ascii="Times New Roman" w:hAnsi="Times New Roman"/>
                <w:color w:val="000000"/>
                <w:sz w:val="22"/>
                <w:szCs w:val="22"/>
                <w:lang w:val="es-AR" w:eastAsia="es-AR"/>
              </w:rPr>
            </w:pPr>
            <w:r w:rsidRPr="00246E4C">
              <w:rPr>
                <w:rFonts w:ascii="Times New Roman" w:hAnsi="Times New Roman"/>
                <w:color w:val="000000"/>
                <w:sz w:val="22"/>
                <w:szCs w:val="22"/>
                <w:lang w:val="es-AR" w:eastAsia="es-AR"/>
              </w:rPr>
              <w:t>Aumento máximo de costos inversión y recurrentes 20.1%</w:t>
            </w:r>
          </w:p>
        </w:tc>
      </w:tr>
      <w:tr w:rsidR="00246E4C" w:rsidRPr="00A873ED" w:rsidTr="00B34969">
        <w:trPr>
          <w:trHeight w:val="305"/>
        </w:trPr>
        <w:tc>
          <w:tcPr>
            <w:tcW w:w="3903" w:type="dxa"/>
            <w:tcBorders>
              <w:top w:val="nil"/>
              <w:left w:val="nil"/>
              <w:bottom w:val="single" w:sz="4" w:space="0" w:color="auto"/>
              <w:right w:val="nil"/>
            </w:tcBorders>
            <w:shd w:val="clear" w:color="000000" w:fill="FFFFFF"/>
            <w:vAlign w:val="center"/>
            <w:hideMark/>
          </w:tcPr>
          <w:p w:rsidR="00246E4C" w:rsidRPr="00246E4C" w:rsidRDefault="00246E4C" w:rsidP="00246E4C">
            <w:pPr>
              <w:jc w:val="center"/>
              <w:rPr>
                <w:rFonts w:ascii="Times New Roman" w:hAnsi="Times New Roman"/>
                <w:color w:val="000000"/>
                <w:sz w:val="22"/>
                <w:szCs w:val="22"/>
                <w:lang w:val="es-AR" w:eastAsia="es-AR"/>
              </w:rPr>
            </w:pPr>
            <w:r w:rsidRPr="00246E4C">
              <w:rPr>
                <w:rFonts w:ascii="Times New Roman" w:hAnsi="Times New Roman"/>
                <w:color w:val="000000"/>
                <w:sz w:val="22"/>
                <w:szCs w:val="22"/>
                <w:lang w:val="es-AR" w:eastAsia="es-AR"/>
              </w:rPr>
              <w:t> </w:t>
            </w:r>
          </w:p>
        </w:tc>
        <w:tc>
          <w:tcPr>
            <w:tcW w:w="1346" w:type="dxa"/>
            <w:tcBorders>
              <w:top w:val="nil"/>
              <w:left w:val="nil"/>
              <w:bottom w:val="single" w:sz="4" w:space="0" w:color="auto"/>
              <w:right w:val="nil"/>
            </w:tcBorders>
            <w:shd w:val="clear" w:color="000000" w:fill="FFFFFF"/>
            <w:noWrap/>
            <w:vAlign w:val="center"/>
            <w:hideMark/>
          </w:tcPr>
          <w:p w:rsidR="00246E4C" w:rsidRPr="00246E4C" w:rsidRDefault="00246E4C" w:rsidP="00246E4C">
            <w:pPr>
              <w:jc w:val="center"/>
              <w:rPr>
                <w:rFonts w:ascii="Times New Roman" w:hAnsi="Times New Roman"/>
                <w:color w:val="000000"/>
                <w:sz w:val="22"/>
                <w:szCs w:val="22"/>
                <w:lang w:val="es-AR" w:eastAsia="es-AR"/>
              </w:rPr>
            </w:pPr>
            <w:r w:rsidRPr="00246E4C">
              <w:rPr>
                <w:rFonts w:ascii="Times New Roman" w:hAnsi="Times New Roman"/>
                <w:color w:val="000000"/>
                <w:sz w:val="22"/>
                <w:szCs w:val="22"/>
                <w:lang w:val="es-AR" w:eastAsia="es-AR"/>
              </w:rPr>
              <w:t> </w:t>
            </w:r>
          </w:p>
        </w:tc>
        <w:tc>
          <w:tcPr>
            <w:tcW w:w="1346" w:type="dxa"/>
            <w:tcBorders>
              <w:top w:val="nil"/>
              <w:left w:val="nil"/>
              <w:bottom w:val="single" w:sz="4" w:space="0" w:color="auto"/>
              <w:right w:val="nil"/>
            </w:tcBorders>
            <w:shd w:val="clear" w:color="000000" w:fill="FFFFFF"/>
            <w:noWrap/>
            <w:vAlign w:val="center"/>
            <w:hideMark/>
          </w:tcPr>
          <w:p w:rsidR="00246E4C" w:rsidRPr="00246E4C" w:rsidRDefault="00246E4C" w:rsidP="00246E4C">
            <w:pPr>
              <w:jc w:val="center"/>
              <w:rPr>
                <w:rFonts w:ascii="Times New Roman" w:hAnsi="Times New Roman"/>
                <w:color w:val="000000"/>
                <w:sz w:val="22"/>
                <w:szCs w:val="22"/>
                <w:lang w:val="es-AR" w:eastAsia="es-AR"/>
              </w:rPr>
            </w:pPr>
            <w:r w:rsidRPr="00246E4C">
              <w:rPr>
                <w:rFonts w:ascii="Times New Roman" w:hAnsi="Times New Roman"/>
                <w:color w:val="000000"/>
                <w:sz w:val="22"/>
                <w:szCs w:val="22"/>
                <w:lang w:val="es-AR" w:eastAsia="es-AR"/>
              </w:rPr>
              <w:t> </w:t>
            </w:r>
          </w:p>
        </w:tc>
        <w:tc>
          <w:tcPr>
            <w:tcW w:w="1346" w:type="dxa"/>
            <w:tcBorders>
              <w:top w:val="nil"/>
              <w:left w:val="nil"/>
              <w:bottom w:val="single" w:sz="4" w:space="0" w:color="auto"/>
              <w:right w:val="nil"/>
            </w:tcBorders>
            <w:shd w:val="clear" w:color="000000" w:fill="FFFFFF"/>
            <w:noWrap/>
            <w:vAlign w:val="center"/>
            <w:hideMark/>
          </w:tcPr>
          <w:p w:rsidR="00246E4C" w:rsidRPr="00246E4C" w:rsidRDefault="00246E4C" w:rsidP="00246E4C">
            <w:pPr>
              <w:jc w:val="center"/>
              <w:rPr>
                <w:rFonts w:ascii="Times New Roman" w:hAnsi="Times New Roman"/>
                <w:color w:val="000000"/>
                <w:sz w:val="22"/>
                <w:szCs w:val="22"/>
                <w:lang w:val="es-AR" w:eastAsia="es-AR"/>
              </w:rPr>
            </w:pPr>
            <w:r w:rsidRPr="00246E4C">
              <w:rPr>
                <w:rFonts w:ascii="Times New Roman" w:hAnsi="Times New Roman"/>
                <w:color w:val="000000"/>
                <w:sz w:val="22"/>
                <w:szCs w:val="22"/>
                <w:lang w:val="es-AR" w:eastAsia="es-AR"/>
              </w:rPr>
              <w:t> </w:t>
            </w:r>
          </w:p>
        </w:tc>
      </w:tr>
      <w:tr w:rsidR="00246E4C" w:rsidRPr="00246E4C" w:rsidTr="00B34969">
        <w:trPr>
          <w:trHeight w:val="565"/>
        </w:trPr>
        <w:tc>
          <w:tcPr>
            <w:tcW w:w="3903" w:type="dxa"/>
            <w:tcBorders>
              <w:top w:val="nil"/>
              <w:left w:val="single" w:sz="4" w:space="0" w:color="auto"/>
              <w:bottom w:val="single" w:sz="4" w:space="0" w:color="auto"/>
              <w:right w:val="nil"/>
            </w:tcBorders>
            <w:shd w:val="clear" w:color="000000" w:fill="FFFFFF"/>
            <w:vAlign w:val="center"/>
            <w:hideMark/>
          </w:tcPr>
          <w:p w:rsidR="00246E4C" w:rsidRPr="00246E4C" w:rsidRDefault="00246E4C" w:rsidP="009705D1">
            <w:pPr>
              <w:jc w:val="center"/>
              <w:rPr>
                <w:rFonts w:ascii="Times New Roman" w:hAnsi="Times New Roman"/>
                <w:color w:val="000000"/>
                <w:sz w:val="22"/>
                <w:szCs w:val="22"/>
                <w:lang w:val="es-AR" w:eastAsia="es-AR"/>
              </w:rPr>
            </w:pPr>
            <w:r w:rsidRPr="00246E4C">
              <w:rPr>
                <w:rFonts w:ascii="Times New Roman" w:hAnsi="Times New Roman"/>
                <w:color w:val="000000"/>
                <w:sz w:val="22"/>
                <w:szCs w:val="22"/>
                <w:lang w:val="es-AR" w:eastAsia="es-AR"/>
              </w:rPr>
              <w:t xml:space="preserve">Escenario  </w:t>
            </w:r>
            <w:r w:rsidR="009705D1">
              <w:rPr>
                <w:rFonts w:ascii="Times New Roman" w:hAnsi="Times New Roman"/>
                <w:color w:val="000000"/>
                <w:sz w:val="22"/>
                <w:szCs w:val="22"/>
                <w:lang w:val="es-AR" w:eastAsia="es-AR"/>
              </w:rPr>
              <w:t xml:space="preserve">Cambio </w:t>
            </w:r>
            <w:r w:rsidRPr="00246E4C">
              <w:rPr>
                <w:rFonts w:ascii="Times New Roman" w:hAnsi="Times New Roman"/>
                <w:color w:val="000000"/>
                <w:sz w:val="22"/>
                <w:szCs w:val="22"/>
                <w:lang w:val="es-AR" w:eastAsia="es-AR"/>
              </w:rPr>
              <w:t xml:space="preserve">Ocurrencia    d=7%                     </w:t>
            </w:r>
            <w:r w:rsidRPr="00246E4C">
              <w:rPr>
                <w:rFonts w:ascii="Times New Roman" w:hAnsi="Times New Roman"/>
                <w:color w:val="000000"/>
                <w:lang w:val="es-AR" w:eastAsia="es-AR"/>
              </w:rPr>
              <w:t xml:space="preserve">  (Benef Vida 45% - Bienes: 30-40%)</w:t>
            </w:r>
          </w:p>
        </w:tc>
        <w:tc>
          <w:tcPr>
            <w:tcW w:w="1346" w:type="dxa"/>
            <w:tcBorders>
              <w:top w:val="nil"/>
              <w:left w:val="nil"/>
              <w:bottom w:val="single" w:sz="4" w:space="0" w:color="auto"/>
              <w:right w:val="nil"/>
            </w:tcBorders>
            <w:shd w:val="clear" w:color="000000" w:fill="FFFFFF"/>
            <w:noWrap/>
            <w:vAlign w:val="center"/>
            <w:hideMark/>
          </w:tcPr>
          <w:p w:rsidR="00246E4C" w:rsidRPr="00246E4C" w:rsidRDefault="00246E4C" w:rsidP="00246E4C">
            <w:pPr>
              <w:jc w:val="center"/>
              <w:rPr>
                <w:rFonts w:ascii="Times New Roman" w:hAnsi="Times New Roman"/>
                <w:color w:val="000000"/>
                <w:sz w:val="22"/>
                <w:szCs w:val="22"/>
                <w:lang w:val="es-AR" w:eastAsia="es-AR"/>
              </w:rPr>
            </w:pPr>
            <w:r w:rsidRPr="00246E4C">
              <w:rPr>
                <w:rFonts w:ascii="Times New Roman" w:hAnsi="Times New Roman"/>
                <w:color w:val="000000"/>
                <w:sz w:val="22"/>
                <w:szCs w:val="22"/>
                <w:lang w:val="es-AR" w:eastAsia="es-AR"/>
              </w:rPr>
              <w:t>16%</w:t>
            </w:r>
          </w:p>
        </w:tc>
        <w:tc>
          <w:tcPr>
            <w:tcW w:w="1346" w:type="dxa"/>
            <w:tcBorders>
              <w:top w:val="nil"/>
              <w:left w:val="nil"/>
              <w:bottom w:val="single" w:sz="4" w:space="0" w:color="auto"/>
              <w:right w:val="nil"/>
            </w:tcBorders>
            <w:shd w:val="clear" w:color="000000" w:fill="FFFFFF"/>
            <w:noWrap/>
            <w:vAlign w:val="center"/>
            <w:hideMark/>
          </w:tcPr>
          <w:p w:rsidR="00246E4C" w:rsidRPr="00246E4C" w:rsidRDefault="00246E4C" w:rsidP="00246E4C">
            <w:pPr>
              <w:jc w:val="center"/>
              <w:rPr>
                <w:rFonts w:ascii="Times New Roman" w:hAnsi="Times New Roman"/>
                <w:color w:val="000000"/>
                <w:sz w:val="22"/>
                <w:szCs w:val="22"/>
                <w:lang w:val="es-AR" w:eastAsia="es-AR"/>
              </w:rPr>
            </w:pPr>
            <w:r w:rsidRPr="00246E4C">
              <w:rPr>
                <w:rFonts w:ascii="Times New Roman" w:hAnsi="Times New Roman"/>
                <w:color w:val="000000"/>
                <w:sz w:val="22"/>
                <w:szCs w:val="22"/>
                <w:lang w:val="es-AR" w:eastAsia="es-AR"/>
              </w:rPr>
              <w:t>13,1</w:t>
            </w:r>
          </w:p>
        </w:tc>
        <w:tc>
          <w:tcPr>
            <w:tcW w:w="1346" w:type="dxa"/>
            <w:tcBorders>
              <w:top w:val="nil"/>
              <w:left w:val="nil"/>
              <w:bottom w:val="single" w:sz="4" w:space="0" w:color="auto"/>
              <w:right w:val="single" w:sz="4" w:space="0" w:color="auto"/>
            </w:tcBorders>
            <w:shd w:val="clear" w:color="000000" w:fill="FFFFFF"/>
            <w:noWrap/>
            <w:vAlign w:val="center"/>
            <w:hideMark/>
          </w:tcPr>
          <w:p w:rsidR="00246E4C" w:rsidRPr="00246E4C" w:rsidRDefault="00246E4C" w:rsidP="00246E4C">
            <w:pPr>
              <w:jc w:val="center"/>
              <w:rPr>
                <w:rFonts w:ascii="Times New Roman" w:hAnsi="Times New Roman"/>
                <w:color w:val="000000"/>
                <w:sz w:val="22"/>
                <w:szCs w:val="22"/>
                <w:lang w:val="es-AR" w:eastAsia="es-AR"/>
              </w:rPr>
            </w:pPr>
            <w:r w:rsidRPr="00246E4C">
              <w:rPr>
                <w:rFonts w:ascii="Times New Roman" w:hAnsi="Times New Roman"/>
                <w:color w:val="000000"/>
                <w:sz w:val="22"/>
                <w:szCs w:val="22"/>
                <w:lang w:val="es-AR" w:eastAsia="es-AR"/>
              </w:rPr>
              <w:t>1,49</w:t>
            </w:r>
          </w:p>
        </w:tc>
      </w:tr>
      <w:tr w:rsidR="00246E4C" w:rsidRPr="00A873ED" w:rsidTr="00B34969">
        <w:trPr>
          <w:trHeight w:val="595"/>
        </w:trPr>
        <w:tc>
          <w:tcPr>
            <w:tcW w:w="7940" w:type="dxa"/>
            <w:gridSpan w:val="4"/>
            <w:tcBorders>
              <w:top w:val="single" w:sz="4" w:space="0" w:color="auto"/>
              <w:left w:val="single" w:sz="4" w:space="0" w:color="auto"/>
              <w:bottom w:val="nil"/>
              <w:right w:val="single" w:sz="4" w:space="0" w:color="000000"/>
            </w:tcBorders>
            <w:shd w:val="clear" w:color="000000" w:fill="FFFFFF"/>
            <w:vAlign w:val="center"/>
            <w:hideMark/>
          </w:tcPr>
          <w:p w:rsidR="00246E4C" w:rsidRPr="00246E4C" w:rsidRDefault="00246E4C" w:rsidP="00B34969">
            <w:pPr>
              <w:rPr>
                <w:rFonts w:ascii="Times New Roman" w:hAnsi="Times New Roman"/>
                <w:color w:val="000000"/>
                <w:sz w:val="22"/>
                <w:szCs w:val="22"/>
                <w:lang w:val="es-AR" w:eastAsia="es-AR"/>
              </w:rPr>
            </w:pPr>
            <w:r w:rsidRPr="00246E4C">
              <w:rPr>
                <w:rFonts w:ascii="Times New Roman" w:hAnsi="Times New Roman"/>
                <w:color w:val="000000"/>
                <w:sz w:val="22"/>
                <w:szCs w:val="22"/>
                <w:lang w:val="es-AR" w:eastAsia="es-AR"/>
              </w:rPr>
              <w:t>Puntos de equilibrio (donde costo B/C =1 y VAN = 0):</w:t>
            </w:r>
          </w:p>
        </w:tc>
      </w:tr>
      <w:tr w:rsidR="00246E4C" w:rsidRPr="00246E4C" w:rsidTr="00B34969">
        <w:trPr>
          <w:trHeight w:val="565"/>
        </w:trPr>
        <w:tc>
          <w:tcPr>
            <w:tcW w:w="3903" w:type="dxa"/>
            <w:tcBorders>
              <w:top w:val="single" w:sz="4" w:space="0" w:color="auto"/>
              <w:left w:val="single" w:sz="4" w:space="0" w:color="auto"/>
              <w:bottom w:val="single" w:sz="4" w:space="0" w:color="auto"/>
              <w:right w:val="nil"/>
            </w:tcBorders>
            <w:shd w:val="clear" w:color="000000" w:fill="FFFFFF"/>
            <w:vAlign w:val="center"/>
            <w:hideMark/>
          </w:tcPr>
          <w:p w:rsidR="00246E4C" w:rsidRPr="00246E4C" w:rsidRDefault="00246E4C" w:rsidP="00246E4C">
            <w:pPr>
              <w:jc w:val="center"/>
              <w:rPr>
                <w:rFonts w:ascii="Times New Roman" w:hAnsi="Times New Roman"/>
                <w:color w:val="000000"/>
                <w:sz w:val="22"/>
                <w:szCs w:val="22"/>
                <w:lang w:val="es-AR" w:eastAsia="es-AR"/>
              </w:rPr>
            </w:pPr>
            <w:r w:rsidRPr="00246E4C">
              <w:rPr>
                <w:rFonts w:ascii="Times New Roman" w:hAnsi="Times New Roman"/>
                <w:color w:val="000000"/>
                <w:sz w:val="22"/>
                <w:szCs w:val="22"/>
                <w:lang w:val="es-AR" w:eastAsia="es-AR"/>
              </w:rPr>
              <w:t xml:space="preserve">Reducción Beneficio SAT                              </w:t>
            </w:r>
            <w:r w:rsidRPr="00246E4C">
              <w:rPr>
                <w:rFonts w:ascii="Times New Roman" w:hAnsi="Times New Roman"/>
                <w:color w:val="000000"/>
                <w:lang w:val="es-AR" w:eastAsia="es-AR"/>
              </w:rPr>
              <w:t xml:space="preserve">  (</w:t>
            </w:r>
            <w:r>
              <w:rPr>
                <w:rFonts w:ascii="Times New Roman" w:hAnsi="Times New Roman"/>
                <w:color w:val="000000"/>
                <w:lang w:val="es-AR" w:eastAsia="es-AR"/>
              </w:rPr>
              <w:t>Costo de Inversión y recurrentes sin cambio</w:t>
            </w:r>
            <w:r w:rsidR="00E2240D">
              <w:rPr>
                <w:rFonts w:ascii="Times New Roman" w:hAnsi="Times New Roman"/>
                <w:color w:val="000000"/>
                <w:lang w:val="es-AR" w:eastAsia="es-AR"/>
              </w:rPr>
              <w:t>)</w:t>
            </w:r>
          </w:p>
        </w:tc>
        <w:tc>
          <w:tcPr>
            <w:tcW w:w="4037"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246E4C" w:rsidRPr="00246E4C" w:rsidRDefault="00246E4C" w:rsidP="00246E4C">
            <w:pPr>
              <w:jc w:val="center"/>
              <w:rPr>
                <w:rFonts w:ascii="Times New Roman" w:hAnsi="Times New Roman"/>
                <w:color w:val="000000"/>
                <w:sz w:val="22"/>
                <w:szCs w:val="22"/>
                <w:lang w:val="es-AR" w:eastAsia="es-AR"/>
              </w:rPr>
            </w:pPr>
            <w:r w:rsidRPr="00246E4C">
              <w:rPr>
                <w:rFonts w:ascii="Times New Roman" w:hAnsi="Times New Roman"/>
                <w:color w:val="000000"/>
                <w:sz w:val="22"/>
                <w:szCs w:val="22"/>
                <w:lang w:val="es-AR" w:eastAsia="es-AR"/>
              </w:rPr>
              <w:t>Reducción máxima de beneficios 33.0%</w:t>
            </w:r>
          </w:p>
        </w:tc>
      </w:tr>
      <w:tr w:rsidR="00246E4C" w:rsidRPr="00A873ED" w:rsidTr="00B34969">
        <w:trPr>
          <w:trHeight w:val="565"/>
        </w:trPr>
        <w:tc>
          <w:tcPr>
            <w:tcW w:w="3903" w:type="dxa"/>
            <w:tcBorders>
              <w:top w:val="nil"/>
              <w:left w:val="single" w:sz="4" w:space="0" w:color="auto"/>
              <w:bottom w:val="single" w:sz="4" w:space="0" w:color="auto"/>
              <w:right w:val="nil"/>
            </w:tcBorders>
            <w:shd w:val="clear" w:color="000000" w:fill="FFFFFF"/>
            <w:vAlign w:val="center"/>
            <w:hideMark/>
          </w:tcPr>
          <w:p w:rsidR="00246E4C" w:rsidRPr="00246E4C" w:rsidRDefault="00246E4C" w:rsidP="00246E4C">
            <w:pPr>
              <w:jc w:val="center"/>
              <w:rPr>
                <w:rFonts w:ascii="Times New Roman" w:hAnsi="Times New Roman"/>
                <w:color w:val="000000"/>
                <w:sz w:val="22"/>
                <w:szCs w:val="22"/>
                <w:lang w:val="es-AR" w:eastAsia="es-AR"/>
              </w:rPr>
            </w:pPr>
            <w:r w:rsidRPr="00246E4C">
              <w:rPr>
                <w:rFonts w:ascii="Times New Roman" w:hAnsi="Times New Roman"/>
                <w:color w:val="000000"/>
                <w:sz w:val="22"/>
                <w:szCs w:val="22"/>
                <w:lang w:val="es-AR" w:eastAsia="es-AR"/>
              </w:rPr>
              <w:t xml:space="preserve">Aumento Costos                     </w:t>
            </w:r>
            <w:r>
              <w:rPr>
                <w:rFonts w:ascii="Times New Roman" w:hAnsi="Times New Roman"/>
                <w:color w:val="000000"/>
                <w:sz w:val="22"/>
                <w:szCs w:val="22"/>
                <w:lang w:val="es-AR" w:eastAsia="es-AR"/>
              </w:rPr>
              <w:t xml:space="preserve">       </w:t>
            </w:r>
            <w:r w:rsidRPr="00246E4C">
              <w:rPr>
                <w:rFonts w:ascii="Times New Roman" w:hAnsi="Times New Roman"/>
                <w:color w:val="000000"/>
                <w:sz w:val="22"/>
                <w:szCs w:val="22"/>
                <w:lang w:val="es-AR" w:eastAsia="es-AR"/>
              </w:rPr>
              <w:t xml:space="preserve">  </w:t>
            </w:r>
            <w:r w:rsidRPr="00246E4C">
              <w:rPr>
                <w:rFonts w:ascii="Times New Roman" w:hAnsi="Times New Roman"/>
                <w:color w:val="000000"/>
                <w:lang w:val="es-AR" w:eastAsia="es-AR"/>
              </w:rPr>
              <w:t xml:space="preserve">  (Benef Vida 45% - Bienes: 30-40%)</w:t>
            </w:r>
          </w:p>
        </w:tc>
        <w:tc>
          <w:tcPr>
            <w:tcW w:w="4037" w:type="dxa"/>
            <w:gridSpan w:val="3"/>
            <w:tcBorders>
              <w:top w:val="single" w:sz="4" w:space="0" w:color="auto"/>
              <w:left w:val="nil"/>
              <w:bottom w:val="single" w:sz="4" w:space="0" w:color="auto"/>
              <w:right w:val="single" w:sz="4" w:space="0" w:color="000000"/>
            </w:tcBorders>
            <w:shd w:val="clear" w:color="000000" w:fill="FFFFFF"/>
            <w:vAlign w:val="center"/>
            <w:hideMark/>
          </w:tcPr>
          <w:p w:rsidR="00246E4C" w:rsidRPr="00246E4C" w:rsidRDefault="00246E4C" w:rsidP="00246E4C">
            <w:pPr>
              <w:jc w:val="center"/>
              <w:rPr>
                <w:rFonts w:ascii="Times New Roman" w:hAnsi="Times New Roman"/>
                <w:color w:val="000000"/>
                <w:sz w:val="22"/>
                <w:szCs w:val="22"/>
                <w:lang w:val="es-AR" w:eastAsia="es-AR"/>
              </w:rPr>
            </w:pPr>
            <w:r w:rsidRPr="00246E4C">
              <w:rPr>
                <w:rFonts w:ascii="Times New Roman" w:hAnsi="Times New Roman"/>
                <w:color w:val="000000"/>
                <w:sz w:val="22"/>
                <w:szCs w:val="22"/>
                <w:lang w:val="es-AR" w:eastAsia="es-AR"/>
              </w:rPr>
              <w:t>Aumento máximo de costos inversión y recurrentes 49.0%</w:t>
            </w:r>
          </w:p>
        </w:tc>
      </w:tr>
    </w:tbl>
    <w:p w:rsidR="00246E4C" w:rsidRPr="008C1ABC" w:rsidRDefault="00246E4C" w:rsidP="00246E4C">
      <w:pPr>
        <w:pStyle w:val="ListParagraph"/>
        <w:ind w:left="432"/>
        <w:jc w:val="center"/>
        <w:rPr>
          <w:rFonts w:ascii="Times New Roman" w:hAnsi="Times New Roman"/>
          <w:lang w:val="es-AR"/>
        </w:rPr>
      </w:pPr>
    </w:p>
    <w:p w:rsidR="00D36B53" w:rsidRPr="00D36B53" w:rsidRDefault="00D36B53" w:rsidP="00D36B53">
      <w:pPr>
        <w:jc w:val="both"/>
        <w:rPr>
          <w:rFonts w:ascii="Times New Roman" w:hAnsi="Times New Roman"/>
          <w:sz w:val="22"/>
          <w:szCs w:val="22"/>
          <w:lang w:val="es-AR"/>
        </w:rPr>
      </w:pPr>
      <w:r w:rsidRPr="00D36B53">
        <w:rPr>
          <w:rFonts w:ascii="Times New Roman" w:hAnsi="Times New Roman"/>
          <w:sz w:val="22"/>
          <w:szCs w:val="22"/>
          <w:lang w:val="es-ES_tradnl"/>
        </w:rPr>
        <w:t xml:space="preserve">Se </w:t>
      </w:r>
      <w:r>
        <w:rPr>
          <w:rFonts w:ascii="Times New Roman" w:hAnsi="Times New Roman"/>
          <w:sz w:val="22"/>
          <w:szCs w:val="22"/>
          <w:lang w:val="es-ES_tradnl"/>
        </w:rPr>
        <w:t xml:space="preserve">concluye </w:t>
      </w:r>
      <w:r w:rsidRPr="00D36B53">
        <w:rPr>
          <w:rFonts w:ascii="Times New Roman" w:hAnsi="Times New Roman"/>
          <w:sz w:val="22"/>
          <w:szCs w:val="22"/>
          <w:lang w:val="es-ES_tradnl"/>
        </w:rPr>
        <w:t xml:space="preserve">que el </w:t>
      </w:r>
      <w:r w:rsidR="00B779F4">
        <w:rPr>
          <w:rFonts w:ascii="Times New Roman" w:hAnsi="Times New Roman"/>
          <w:sz w:val="22"/>
          <w:szCs w:val="22"/>
          <w:lang w:val="es-ES_tradnl"/>
        </w:rPr>
        <w:t>p</w:t>
      </w:r>
      <w:r w:rsidR="00B779F4" w:rsidRPr="00D36B53">
        <w:rPr>
          <w:rFonts w:ascii="Times New Roman" w:hAnsi="Times New Roman"/>
          <w:sz w:val="22"/>
          <w:szCs w:val="22"/>
          <w:lang w:val="es-ES_tradnl"/>
        </w:rPr>
        <w:t xml:space="preserve">rograma </w:t>
      </w:r>
      <w:r w:rsidRPr="00D36B53">
        <w:rPr>
          <w:rFonts w:ascii="Times New Roman" w:hAnsi="Times New Roman"/>
          <w:sz w:val="22"/>
          <w:szCs w:val="22"/>
          <w:lang w:val="es-ES_tradnl"/>
        </w:rPr>
        <w:t>muestra una solidez razonable ante condiciones desfavorables.</w:t>
      </w:r>
    </w:p>
    <w:p w:rsidR="00B73A0C" w:rsidRDefault="00B73A0C" w:rsidP="00312481">
      <w:pPr>
        <w:jc w:val="both"/>
        <w:rPr>
          <w:rFonts w:ascii="Times New Roman" w:hAnsi="Times New Roman"/>
          <w:sz w:val="22"/>
          <w:szCs w:val="22"/>
          <w:lang w:val="es-AR"/>
        </w:rPr>
      </w:pPr>
    </w:p>
    <w:p w:rsidR="00C9291D" w:rsidRDefault="00C9291D" w:rsidP="00C9291D">
      <w:pPr>
        <w:pStyle w:val="ListParagraph"/>
        <w:rPr>
          <w:rFonts w:ascii="Times New Roman" w:hAnsi="Times New Roman"/>
          <w:sz w:val="22"/>
          <w:lang w:val="es-ES_tradnl"/>
        </w:rPr>
      </w:pPr>
    </w:p>
    <w:p w:rsidR="006D79DC" w:rsidRDefault="00C93F2E" w:rsidP="0031378A">
      <w:pPr>
        <w:spacing w:line="100" w:lineRule="atLeast"/>
        <w:ind w:right="3876"/>
        <w:jc w:val="both"/>
        <w:rPr>
          <w:rStyle w:val="Heading1Char"/>
          <w:rFonts w:ascii="Times New Roman" w:hAnsi="Times New Roman"/>
        </w:rPr>
      </w:pPr>
      <w:r w:rsidRPr="005622B8">
        <w:rPr>
          <w:lang w:val="es-AR"/>
        </w:rPr>
        <w:br w:type="page"/>
      </w:r>
    </w:p>
    <w:p w:rsidR="00A575D0" w:rsidRPr="008C1ABC" w:rsidRDefault="00D210AB" w:rsidP="00C95815">
      <w:pPr>
        <w:pStyle w:val="Heading1"/>
        <w:numPr>
          <w:ilvl w:val="0"/>
          <w:numId w:val="7"/>
        </w:numPr>
        <w:jc w:val="left"/>
        <w:rPr>
          <w:i w:val="0"/>
        </w:rPr>
      </w:pPr>
      <w:bookmarkStart w:id="4" w:name="_Toc465929610"/>
      <w:bookmarkStart w:id="5" w:name="_Toc468199823"/>
      <w:r w:rsidRPr="008C1ABC">
        <w:rPr>
          <w:i w:val="0"/>
        </w:rPr>
        <w:lastRenderedPageBreak/>
        <w:t>PLANTEO METODOLÓGICO</w:t>
      </w:r>
      <w:bookmarkEnd w:id="4"/>
      <w:bookmarkEnd w:id="5"/>
      <w:r w:rsidR="00A575D0" w:rsidRPr="008C1ABC">
        <w:rPr>
          <w:i w:val="0"/>
        </w:rPr>
        <w:tab/>
      </w:r>
    </w:p>
    <w:p w:rsidR="00DC13FD" w:rsidRDefault="00DC13FD" w:rsidP="00DC13FD">
      <w:pPr>
        <w:pStyle w:val="Heading3"/>
        <w:rPr>
          <w:sz w:val="22"/>
          <w:szCs w:val="22"/>
          <w:lang w:val="es-ES_tradnl"/>
        </w:rPr>
      </w:pPr>
      <w:bookmarkStart w:id="6" w:name="_Toc430710614"/>
      <w:bookmarkStart w:id="7" w:name="_Toc430710669"/>
      <w:bookmarkStart w:id="8" w:name="_Toc430710716"/>
      <w:bookmarkStart w:id="9" w:name="_Toc430711435"/>
      <w:bookmarkStart w:id="10" w:name="_Toc431899214"/>
      <w:bookmarkStart w:id="11" w:name="_Toc431899352"/>
      <w:bookmarkStart w:id="12" w:name="_Toc432069749"/>
      <w:bookmarkStart w:id="13" w:name="_Toc432069799"/>
      <w:bookmarkStart w:id="14" w:name="_Toc432069865"/>
      <w:bookmarkStart w:id="15" w:name="_Toc432069961"/>
      <w:bookmarkStart w:id="16" w:name="_Toc432070005"/>
      <w:bookmarkStart w:id="17" w:name="_Toc433296702"/>
      <w:bookmarkStart w:id="18" w:name="_Toc433297035"/>
      <w:bookmarkStart w:id="19" w:name="_Toc433634316"/>
      <w:bookmarkStart w:id="20" w:name="_Toc434242655"/>
      <w:bookmarkStart w:id="21" w:name="_Toc434341860"/>
      <w:bookmarkStart w:id="22" w:name="_Toc434486122"/>
      <w:bookmarkStart w:id="23" w:name="_Toc434504839"/>
      <w:bookmarkStart w:id="24" w:name="_Toc434504900"/>
      <w:bookmarkStart w:id="25" w:name="_Toc434598925"/>
      <w:bookmarkStart w:id="26" w:name="_Toc434598986"/>
      <w:bookmarkStart w:id="27" w:name="_Toc434599163"/>
      <w:bookmarkStart w:id="28" w:name="_Toc434599216"/>
      <w:bookmarkStart w:id="29" w:name="_Toc434657460"/>
      <w:bookmarkStart w:id="30" w:name="_Toc434786270"/>
      <w:bookmarkStart w:id="31" w:name="_Toc434855883"/>
      <w:bookmarkStart w:id="32" w:name="_Toc434855936"/>
      <w:bookmarkStart w:id="33" w:name="_Toc435624437"/>
      <w:bookmarkStart w:id="34" w:name="_Toc435896186"/>
      <w:bookmarkStart w:id="35" w:name="_Toc436033799"/>
      <w:bookmarkStart w:id="36" w:name="_Toc438118884"/>
      <w:bookmarkStart w:id="37" w:name="_Toc438146134"/>
      <w:bookmarkStart w:id="38" w:name="_Toc438146215"/>
      <w:bookmarkStart w:id="39" w:name="_Toc438146266"/>
      <w:bookmarkStart w:id="40" w:name="_Toc453344350"/>
      <w:bookmarkStart w:id="41" w:name="_Toc453344517"/>
      <w:bookmarkStart w:id="42" w:name="_Toc453345754"/>
      <w:bookmarkStart w:id="43" w:name="_Toc453348982"/>
      <w:bookmarkStart w:id="44" w:name="_Toc453349445"/>
      <w:bookmarkStart w:id="45" w:name="_Toc453349754"/>
      <w:bookmarkStart w:id="46" w:name="_Toc453349977"/>
      <w:bookmarkStart w:id="47" w:name="_Toc453350440"/>
      <w:bookmarkStart w:id="48" w:name="_Toc453350543"/>
      <w:bookmarkStart w:id="49" w:name="_Toc453350594"/>
      <w:bookmarkStart w:id="50" w:name="_Toc457732933"/>
      <w:bookmarkStart w:id="51" w:name="_Toc457733114"/>
      <w:bookmarkStart w:id="52" w:name="_Toc457734699"/>
      <w:bookmarkStart w:id="53" w:name="_Toc457850765"/>
      <w:bookmarkStart w:id="54" w:name="_Toc457853337"/>
      <w:bookmarkStart w:id="55" w:name="_Toc457853601"/>
      <w:bookmarkStart w:id="56" w:name="_Toc457857889"/>
      <w:bookmarkStart w:id="57" w:name="_Toc457857976"/>
      <w:bookmarkStart w:id="58" w:name="_Toc457858017"/>
      <w:bookmarkStart w:id="59" w:name="_Toc458501955"/>
      <w:bookmarkStart w:id="60" w:name="_Toc459042852"/>
      <w:bookmarkStart w:id="61" w:name="_Toc459048809"/>
      <w:bookmarkStart w:id="62" w:name="_Toc459092638"/>
      <w:bookmarkStart w:id="63" w:name="_Toc460144814"/>
      <w:bookmarkStart w:id="64" w:name="_Toc460180724"/>
      <w:bookmarkStart w:id="65" w:name="_Toc460694023"/>
      <w:bookmarkStart w:id="66" w:name="_Toc460710214"/>
      <w:bookmarkStart w:id="67" w:name="_Toc460710251"/>
      <w:bookmarkStart w:id="68" w:name="_Toc460752128"/>
      <w:bookmarkStart w:id="69" w:name="_Toc460752793"/>
      <w:bookmarkStart w:id="70" w:name="_Toc460862793"/>
      <w:bookmarkStart w:id="71" w:name="_Toc462911095"/>
      <w:bookmarkStart w:id="72" w:name="_Toc462911135"/>
      <w:bookmarkStart w:id="73" w:name="_Toc462913698"/>
      <w:bookmarkStart w:id="74" w:name="_Toc462913761"/>
      <w:bookmarkStart w:id="75" w:name="_Toc462915903"/>
      <w:bookmarkStart w:id="76" w:name="_Toc463858601"/>
      <w:bookmarkStart w:id="77" w:name="_Toc464206829"/>
      <w:bookmarkStart w:id="78" w:name="_Toc464207011"/>
      <w:bookmarkStart w:id="79" w:name="_Toc465061184"/>
      <w:bookmarkStart w:id="80" w:name="_Toc465061284"/>
      <w:bookmarkStart w:id="81" w:name="_Toc465061379"/>
      <w:bookmarkStart w:id="82" w:name="_Toc465259982"/>
      <w:bookmarkStart w:id="83" w:name="_Toc465810469"/>
      <w:bookmarkStart w:id="84" w:name="_Toc465810525"/>
      <w:bookmarkStart w:id="85" w:name="_Toc465929611"/>
      <w:bookmarkStart w:id="86" w:name="_Toc465932329"/>
      <w:bookmarkStart w:id="87" w:name="_Toc467578527"/>
      <w:bookmarkStart w:id="88" w:name="_Toc467768407"/>
      <w:bookmarkStart w:id="89" w:name="_Toc467769101"/>
      <w:bookmarkStart w:id="90" w:name="_Toc467769211"/>
      <w:bookmarkStart w:id="91" w:name="_Toc465929612"/>
      <w:bookmarkStart w:id="92" w:name="_Toc468199824"/>
      <w:bookmarkStart w:id="93" w:name="_Toc296036110"/>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sz w:val="22"/>
          <w:szCs w:val="22"/>
          <w:lang w:val="es-ES_tradnl"/>
        </w:rPr>
        <w:t>Contexto de la intervención</w:t>
      </w:r>
      <w:bookmarkEnd w:id="91"/>
      <w:bookmarkEnd w:id="92"/>
    </w:p>
    <w:p w:rsidR="00DC13FD" w:rsidRPr="00DC13FD" w:rsidRDefault="00DC13FD" w:rsidP="00DC13FD">
      <w:pPr>
        <w:rPr>
          <w:lang w:val="es-ES_tradnl"/>
        </w:rPr>
      </w:pPr>
    </w:p>
    <w:p w:rsidR="00C32E55" w:rsidRPr="00D00F4D" w:rsidRDefault="00105E81" w:rsidP="00C95815">
      <w:pPr>
        <w:numPr>
          <w:ilvl w:val="1"/>
          <w:numId w:val="12"/>
        </w:numPr>
        <w:jc w:val="both"/>
        <w:rPr>
          <w:rFonts w:ascii="Times New Roman" w:hAnsi="Times New Roman"/>
          <w:bCs/>
          <w:sz w:val="22"/>
          <w:lang w:val="es-ES"/>
        </w:rPr>
      </w:pPr>
      <w:r w:rsidRPr="00D00F4D">
        <w:rPr>
          <w:rFonts w:ascii="Times New Roman" w:hAnsi="Times New Roman"/>
          <w:bCs/>
          <w:i/>
          <w:sz w:val="22"/>
          <w:lang w:val="es-ES"/>
        </w:rPr>
        <w:t xml:space="preserve">Exposición y </w:t>
      </w:r>
      <w:r w:rsidR="00DC13FD" w:rsidRPr="00D00F4D">
        <w:rPr>
          <w:rFonts w:ascii="Times New Roman" w:hAnsi="Times New Roman"/>
          <w:bCs/>
          <w:i/>
          <w:sz w:val="22"/>
          <w:lang w:val="es-ES"/>
        </w:rPr>
        <w:t>Vulnerabilidad</w:t>
      </w:r>
      <w:r w:rsidR="008C1ABC" w:rsidRPr="00D00F4D">
        <w:rPr>
          <w:rFonts w:ascii="Times New Roman" w:hAnsi="Times New Roman"/>
          <w:bCs/>
          <w:i/>
          <w:sz w:val="22"/>
          <w:lang w:val="es-ES"/>
        </w:rPr>
        <w:t>.</w:t>
      </w:r>
      <w:r w:rsidR="008C1ABC" w:rsidRPr="00D00F4D">
        <w:rPr>
          <w:rFonts w:ascii="Times New Roman" w:hAnsi="Times New Roman"/>
          <w:bCs/>
          <w:sz w:val="22"/>
          <w:lang w:val="es-ES"/>
        </w:rPr>
        <w:t xml:space="preserve"> </w:t>
      </w:r>
      <w:r w:rsidRPr="00D00F4D">
        <w:rPr>
          <w:rFonts w:ascii="Times New Roman" w:hAnsi="Times New Roman"/>
          <w:bCs/>
          <w:sz w:val="22"/>
          <w:lang w:val="es-ES"/>
        </w:rPr>
        <w:t>El nivel de riesgo por desastres de un país es determinado por su exposición a las amenazas naturales y su vulnerabilidad ante los efect</w:t>
      </w:r>
      <w:r w:rsidR="007E05F3">
        <w:rPr>
          <w:rFonts w:ascii="Times New Roman" w:hAnsi="Times New Roman"/>
          <w:bCs/>
          <w:sz w:val="22"/>
          <w:lang w:val="es-ES"/>
        </w:rPr>
        <w:t>os de la materialización de las mismas</w:t>
      </w:r>
      <w:r w:rsidR="00667D53">
        <w:rPr>
          <w:rStyle w:val="FootnoteReference"/>
          <w:rFonts w:ascii="Times New Roman" w:hAnsi="Times New Roman"/>
          <w:bCs/>
          <w:sz w:val="22"/>
          <w:lang w:val="es-ES"/>
        </w:rPr>
        <w:footnoteReference w:id="7"/>
      </w:r>
      <w:r w:rsidR="00046EFF">
        <w:rPr>
          <w:rFonts w:ascii="Times New Roman" w:hAnsi="Times New Roman"/>
          <w:bCs/>
          <w:sz w:val="22"/>
          <w:lang w:val="es-ES"/>
        </w:rPr>
        <w:t>.</w:t>
      </w:r>
      <w:r w:rsidRPr="00D00F4D">
        <w:rPr>
          <w:rFonts w:ascii="Times New Roman" w:hAnsi="Times New Roman"/>
          <w:bCs/>
          <w:sz w:val="22"/>
          <w:lang w:val="es-ES"/>
        </w:rPr>
        <w:t xml:space="preserve"> </w:t>
      </w:r>
      <w:r w:rsidR="00BE6D44" w:rsidRPr="00D00F4D">
        <w:rPr>
          <w:rFonts w:ascii="Times New Roman" w:hAnsi="Times New Roman"/>
          <w:bCs/>
          <w:sz w:val="22"/>
          <w:lang w:val="es-ES"/>
        </w:rPr>
        <w:t>Por su posición geográfica, el Ecuador es vulnerable ante amenazas no solamente de índole hidro-meteorológica</w:t>
      </w:r>
      <w:r w:rsidR="007E05F3">
        <w:rPr>
          <w:rFonts w:ascii="Times New Roman" w:hAnsi="Times New Roman"/>
          <w:bCs/>
          <w:sz w:val="22"/>
          <w:lang w:val="es-ES"/>
        </w:rPr>
        <w:t xml:space="preserve"> de ocurrencia frecuente</w:t>
      </w:r>
      <w:r w:rsidR="00BE6D44" w:rsidRPr="00D00F4D">
        <w:rPr>
          <w:rFonts w:ascii="Times New Roman" w:hAnsi="Times New Roman"/>
          <w:bCs/>
          <w:sz w:val="22"/>
          <w:lang w:val="es-ES"/>
        </w:rPr>
        <w:t xml:space="preserve">, sino </w:t>
      </w:r>
      <w:r w:rsidR="000C7ACC" w:rsidRPr="00D00F4D">
        <w:rPr>
          <w:rFonts w:ascii="Times New Roman" w:hAnsi="Times New Roman"/>
          <w:bCs/>
          <w:sz w:val="22"/>
          <w:lang w:val="es-ES"/>
        </w:rPr>
        <w:t xml:space="preserve">también </w:t>
      </w:r>
      <w:r w:rsidR="00B779F4">
        <w:rPr>
          <w:rFonts w:ascii="Times New Roman" w:hAnsi="Times New Roman"/>
          <w:bCs/>
          <w:sz w:val="22"/>
          <w:lang w:val="es-ES"/>
        </w:rPr>
        <w:t xml:space="preserve">de tipo </w:t>
      </w:r>
      <w:r w:rsidR="00BE6D44" w:rsidRPr="00D00F4D">
        <w:rPr>
          <w:rFonts w:ascii="Times New Roman" w:hAnsi="Times New Roman"/>
          <w:bCs/>
          <w:sz w:val="22"/>
          <w:lang w:val="es-ES"/>
        </w:rPr>
        <w:t>geológic</w:t>
      </w:r>
      <w:r w:rsidR="00B779F4">
        <w:rPr>
          <w:rFonts w:ascii="Times New Roman" w:hAnsi="Times New Roman"/>
          <w:bCs/>
          <w:sz w:val="22"/>
          <w:lang w:val="es-ES"/>
        </w:rPr>
        <w:t>o</w:t>
      </w:r>
      <w:r w:rsidR="00BE6D44" w:rsidRPr="00D00F4D">
        <w:rPr>
          <w:rFonts w:ascii="Times New Roman" w:hAnsi="Times New Roman"/>
          <w:bCs/>
          <w:sz w:val="22"/>
          <w:lang w:val="es-ES"/>
        </w:rPr>
        <w:t xml:space="preserve"> en la mayor parte de su territorio. </w:t>
      </w:r>
      <w:r w:rsidR="00563788" w:rsidRPr="00D00F4D">
        <w:rPr>
          <w:rFonts w:ascii="Times New Roman" w:hAnsi="Times New Roman"/>
          <w:bCs/>
          <w:sz w:val="22"/>
          <w:lang w:val="es-ES"/>
        </w:rPr>
        <w:t>Mientras e</w:t>
      </w:r>
      <w:r w:rsidR="00C32E55" w:rsidRPr="00D00F4D">
        <w:rPr>
          <w:rFonts w:ascii="Times New Roman" w:hAnsi="Times New Roman"/>
          <w:bCs/>
          <w:sz w:val="22"/>
          <w:lang w:val="es-ES"/>
        </w:rPr>
        <w:t>xisten registros de siete eventos tsunamigénicos entre 1906 y 2016</w:t>
      </w:r>
      <w:r w:rsidR="00563788" w:rsidRPr="00D00F4D">
        <w:rPr>
          <w:rFonts w:ascii="Times New Roman" w:hAnsi="Times New Roman"/>
          <w:bCs/>
          <w:sz w:val="22"/>
          <w:lang w:val="es-ES"/>
        </w:rPr>
        <w:t xml:space="preserve"> (se trata de un fenómeno asociado a la amenaza sísmica), </w:t>
      </w:r>
      <w:r w:rsidR="00C32E55" w:rsidRPr="00D00F4D">
        <w:rPr>
          <w:rFonts w:ascii="Times New Roman" w:hAnsi="Times New Roman"/>
          <w:bCs/>
          <w:sz w:val="22"/>
          <w:lang w:val="es-ES"/>
        </w:rPr>
        <w:t xml:space="preserve">la probabilidad de ocurrencia de un </w:t>
      </w:r>
      <w:r w:rsidR="00563788" w:rsidRPr="00D00F4D">
        <w:rPr>
          <w:rFonts w:ascii="Times New Roman" w:hAnsi="Times New Roman"/>
          <w:bCs/>
          <w:sz w:val="22"/>
          <w:lang w:val="es-ES"/>
        </w:rPr>
        <w:t xml:space="preserve">nuevo </w:t>
      </w:r>
      <w:r w:rsidR="00C32E55" w:rsidRPr="00D00F4D">
        <w:rPr>
          <w:rFonts w:ascii="Times New Roman" w:hAnsi="Times New Roman"/>
          <w:bCs/>
          <w:sz w:val="22"/>
          <w:lang w:val="es-ES"/>
        </w:rPr>
        <w:t>evento</w:t>
      </w:r>
      <w:r w:rsidR="00563788" w:rsidRPr="00D00F4D">
        <w:rPr>
          <w:rFonts w:ascii="Times New Roman" w:hAnsi="Times New Roman"/>
          <w:bCs/>
          <w:sz w:val="22"/>
          <w:lang w:val="es-ES"/>
        </w:rPr>
        <w:t xml:space="preserve"> de este tipo </w:t>
      </w:r>
      <w:r w:rsidR="00C32E55" w:rsidRPr="00D00F4D">
        <w:rPr>
          <w:rFonts w:ascii="Times New Roman" w:hAnsi="Times New Roman"/>
          <w:bCs/>
          <w:sz w:val="22"/>
          <w:lang w:val="es-ES"/>
        </w:rPr>
        <w:t>en la</w:t>
      </w:r>
      <w:r w:rsidR="00563788" w:rsidRPr="00D00F4D">
        <w:rPr>
          <w:rFonts w:ascii="Times New Roman" w:hAnsi="Times New Roman"/>
          <w:bCs/>
          <w:sz w:val="22"/>
          <w:lang w:val="es-ES"/>
        </w:rPr>
        <w:t xml:space="preserve"> </w:t>
      </w:r>
      <w:r w:rsidR="00C32E55" w:rsidRPr="00D00F4D">
        <w:rPr>
          <w:rFonts w:ascii="Times New Roman" w:hAnsi="Times New Roman"/>
          <w:bCs/>
          <w:sz w:val="22"/>
          <w:lang w:val="es-ES"/>
        </w:rPr>
        <w:t xml:space="preserve">costa ecuatoriana </w:t>
      </w:r>
      <w:r w:rsidR="00563788" w:rsidRPr="00D00F4D">
        <w:rPr>
          <w:rFonts w:ascii="Times New Roman" w:hAnsi="Times New Roman"/>
          <w:bCs/>
          <w:sz w:val="22"/>
          <w:lang w:val="es-ES"/>
        </w:rPr>
        <w:t>es considerada significat</w:t>
      </w:r>
      <w:r w:rsidR="007E05F3">
        <w:rPr>
          <w:rFonts w:ascii="Times New Roman" w:hAnsi="Times New Roman"/>
          <w:bCs/>
          <w:sz w:val="22"/>
          <w:lang w:val="es-ES"/>
        </w:rPr>
        <w:t>iva por el Gobierno de Ecuador</w:t>
      </w:r>
      <w:r w:rsidR="00563788" w:rsidRPr="00D00F4D">
        <w:rPr>
          <w:rFonts w:ascii="Times New Roman" w:hAnsi="Times New Roman"/>
          <w:bCs/>
          <w:sz w:val="22"/>
          <w:lang w:val="es-ES"/>
        </w:rPr>
        <w:t>.</w:t>
      </w:r>
      <w:r w:rsidR="00D00F4D" w:rsidRPr="00D00F4D">
        <w:rPr>
          <w:rFonts w:ascii="Times New Roman" w:hAnsi="Times New Roman"/>
          <w:bCs/>
          <w:sz w:val="22"/>
          <w:lang w:val="es-ES"/>
        </w:rPr>
        <w:t xml:space="preserve"> </w:t>
      </w:r>
      <w:r w:rsidR="00B779F4">
        <w:rPr>
          <w:rFonts w:ascii="Times New Roman" w:hAnsi="Times New Roman"/>
          <w:bCs/>
          <w:sz w:val="22"/>
          <w:lang w:val="es-ES"/>
        </w:rPr>
        <w:t>Aquellos s</w:t>
      </w:r>
      <w:r w:rsidR="00B779F4" w:rsidRPr="00D00F4D">
        <w:rPr>
          <w:rFonts w:ascii="Times New Roman" w:hAnsi="Times New Roman"/>
          <w:bCs/>
          <w:sz w:val="22"/>
          <w:lang w:val="es-ES"/>
        </w:rPr>
        <w:t xml:space="preserve">ismos </w:t>
      </w:r>
      <w:r w:rsidR="00D00F4D" w:rsidRPr="00D00F4D">
        <w:rPr>
          <w:rFonts w:ascii="Times New Roman" w:hAnsi="Times New Roman"/>
          <w:bCs/>
          <w:sz w:val="22"/>
          <w:lang w:val="es-ES"/>
        </w:rPr>
        <w:t>con magnitudes mayores a 6</w:t>
      </w:r>
      <w:r w:rsidR="00837476">
        <w:rPr>
          <w:rFonts w:ascii="Times New Roman" w:hAnsi="Times New Roman"/>
          <w:bCs/>
          <w:sz w:val="22"/>
          <w:lang w:val="es-ES"/>
        </w:rPr>
        <w:t>,</w:t>
      </w:r>
      <w:r w:rsidR="00D00F4D" w:rsidRPr="00D00F4D">
        <w:rPr>
          <w:rFonts w:ascii="Times New Roman" w:hAnsi="Times New Roman"/>
          <w:bCs/>
          <w:sz w:val="22"/>
          <w:lang w:val="es-ES"/>
        </w:rPr>
        <w:t>7, cuyos epicentros estén muy cerca de la línea de costa o en el lecho marino próximo al continente, son considerados tsunamigénicos</w:t>
      </w:r>
      <w:r w:rsidR="00D00F4D">
        <w:rPr>
          <w:rStyle w:val="FootnoteReference"/>
          <w:rFonts w:ascii="Times New Roman" w:hAnsi="Times New Roman"/>
          <w:bCs/>
          <w:sz w:val="22"/>
          <w:lang w:val="es-ES"/>
        </w:rPr>
        <w:footnoteReference w:id="8"/>
      </w:r>
      <w:r w:rsidR="00D00F4D">
        <w:rPr>
          <w:rFonts w:ascii="Times New Roman" w:hAnsi="Times New Roman"/>
          <w:bCs/>
          <w:sz w:val="22"/>
          <w:lang w:val="es-ES"/>
        </w:rPr>
        <w:t>.</w:t>
      </w:r>
    </w:p>
    <w:p w:rsidR="000C7ACC" w:rsidRDefault="00105E81" w:rsidP="00C95815">
      <w:pPr>
        <w:numPr>
          <w:ilvl w:val="1"/>
          <w:numId w:val="12"/>
        </w:numPr>
        <w:jc w:val="both"/>
        <w:rPr>
          <w:rFonts w:ascii="Times New Roman" w:hAnsi="Times New Roman"/>
          <w:bCs/>
          <w:sz w:val="22"/>
          <w:lang w:val="es-ES"/>
        </w:rPr>
      </w:pPr>
      <w:r w:rsidRPr="00105E81">
        <w:rPr>
          <w:rFonts w:ascii="Times New Roman" w:hAnsi="Times New Roman"/>
          <w:bCs/>
          <w:sz w:val="22"/>
          <w:lang w:val="es-ES"/>
        </w:rPr>
        <w:t>Además de los sismos</w:t>
      </w:r>
      <w:r w:rsidR="00E772ED">
        <w:rPr>
          <w:rFonts w:ascii="Times New Roman" w:hAnsi="Times New Roman"/>
          <w:bCs/>
          <w:sz w:val="22"/>
          <w:lang w:val="es-ES"/>
        </w:rPr>
        <w:t xml:space="preserve"> y los tsunamis asociados</w:t>
      </w:r>
      <w:r w:rsidR="007E05F3">
        <w:rPr>
          <w:rFonts w:ascii="Times New Roman" w:hAnsi="Times New Roman"/>
          <w:bCs/>
          <w:sz w:val="22"/>
          <w:lang w:val="es-ES"/>
        </w:rPr>
        <w:t xml:space="preserve">, </w:t>
      </w:r>
      <w:r w:rsidRPr="00105E81">
        <w:rPr>
          <w:rFonts w:ascii="Times New Roman" w:hAnsi="Times New Roman"/>
          <w:bCs/>
          <w:sz w:val="22"/>
          <w:lang w:val="es-ES"/>
        </w:rPr>
        <w:t xml:space="preserve"> los eventos hidrometeorológicos </w:t>
      </w:r>
      <w:r w:rsidR="007E05F3">
        <w:rPr>
          <w:rFonts w:ascii="Times New Roman" w:hAnsi="Times New Roman"/>
          <w:bCs/>
          <w:sz w:val="22"/>
          <w:lang w:val="es-ES"/>
        </w:rPr>
        <w:t>que derivan en el desbordamiento de los ríos s</w:t>
      </w:r>
      <w:r w:rsidRPr="00105E81">
        <w:rPr>
          <w:rFonts w:ascii="Times New Roman" w:hAnsi="Times New Roman"/>
          <w:bCs/>
          <w:sz w:val="22"/>
          <w:lang w:val="es-ES"/>
        </w:rPr>
        <w:t>on l</w:t>
      </w:r>
      <w:r w:rsidR="007E05F3">
        <w:rPr>
          <w:rFonts w:ascii="Times New Roman" w:hAnsi="Times New Roman"/>
          <w:bCs/>
          <w:sz w:val="22"/>
          <w:lang w:val="es-ES"/>
        </w:rPr>
        <w:t>o</w:t>
      </w:r>
      <w:r w:rsidRPr="00105E81">
        <w:rPr>
          <w:rFonts w:ascii="Times New Roman" w:hAnsi="Times New Roman"/>
          <w:bCs/>
          <w:sz w:val="22"/>
          <w:lang w:val="es-ES"/>
        </w:rPr>
        <w:t>s que provocan mayor afectación. La región de</w:t>
      </w:r>
      <w:r w:rsidR="007E05F3">
        <w:rPr>
          <w:rFonts w:ascii="Times New Roman" w:hAnsi="Times New Roman"/>
          <w:bCs/>
          <w:sz w:val="22"/>
          <w:lang w:val="es-ES"/>
        </w:rPr>
        <w:t xml:space="preserve"> la </w:t>
      </w:r>
      <w:r w:rsidR="00B779F4">
        <w:rPr>
          <w:rFonts w:ascii="Times New Roman" w:hAnsi="Times New Roman"/>
          <w:bCs/>
          <w:sz w:val="22"/>
          <w:lang w:val="es-ES"/>
        </w:rPr>
        <w:t xml:space="preserve">costa </w:t>
      </w:r>
      <w:r w:rsidRPr="00105E81">
        <w:rPr>
          <w:rFonts w:ascii="Times New Roman" w:hAnsi="Times New Roman"/>
          <w:bCs/>
          <w:sz w:val="22"/>
          <w:lang w:val="es-ES"/>
        </w:rPr>
        <w:t>ecuatorian</w:t>
      </w:r>
      <w:r w:rsidR="007E05F3">
        <w:rPr>
          <w:rFonts w:ascii="Times New Roman" w:hAnsi="Times New Roman"/>
          <w:bCs/>
          <w:sz w:val="22"/>
          <w:lang w:val="es-ES"/>
        </w:rPr>
        <w:t xml:space="preserve">a presenta </w:t>
      </w:r>
      <w:r w:rsidRPr="00105E81">
        <w:rPr>
          <w:rFonts w:ascii="Times New Roman" w:hAnsi="Times New Roman"/>
          <w:bCs/>
          <w:sz w:val="22"/>
          <w:lang w:val="es-ES"/>
        </w:rPr>
        <w:t>grandes planicies adyacentes a los</w:t>
      </w:r>
      <w:r w:rsidR="00667D53">
        <w:rPr>
          <w:rFonts w:ascii="Times New Roman" w:hAnsi="Times New Roman"/>
          <w:bCs/>
          <w:sz w:val="22"/>
          <w:lang w:val="es-ES"/>
        </w:rPr>
        <w:t xml:space="preserve"> </w:t>
      </w:r>
      <w:r w:rsidR="007E05F3">
        <w:rPr>
          <w:rFonts w:ascii="Times New Roman" w:hAnsi="Times New Roman"/>
          <w:bCs/>
          <w:sz w:val="22"/>
          <w:lang w:val="es-ES"/>
        </w:rPr>
        <w:t xml:space="preserve">cursos de agua </w:t>
      </w:r>
      <w:r w:rsidRPr="00105E81">
        <w:rPr>
          <w:rFonts w:ascii="Times New Roman" w:hAnsi="Times New Roman"/>
          <w:bCs/>
          <w:sz w:val="22"/>
          <w:lang w:val="es-ES"/>
        </w:rPr>
        <w:t xml:space="preserve">que se </w:t>
      </w:r>
      <w:r w:rsidR="00046EFF">
        <w:rPr>
          <w:rFonts w:ascii="Times New Roman" w:hAnsi="Times New Roman"/>
          <w:bCs/>
          <w:sz w:val="22"/>
          <w:lang w:val="es-ES"/>
        </w:rPr>
        <w:t>desbordan</w:t>
      </w:r>
      <w:r w:rsidR="007E05F3">
        <w:rPr>
          <w:rFonts w:ascii="Times New Roman" w:hAnsi="Times New Roman"/>
          <w:bCs/>
          <w:sz w:val="22"/>
          <w:lang w:val="es-ES"/>
        </w:rPr>
        <w:t xml:space="preserve"> a causa de las precipitaciones, situación agravada por la </w:t>
      </w:r>
      <w:r w:rsidRPr="00105E81">
        <w:rPr>
          <w:rFonts w:ascii="Times New Roman" w:hAnsi="Times New Roman"/>
          <w:bCs/>
          <w:sz w:val="22"/>
          <w:lang w:val="es-ES"/>
        </w:rPr>
        <w:t xml:space="preserve">acumulación de sedimentos y taponamiento de cauces, que disminuyen la capacidad de flujo </w:t>
      </w:r>
      <w:r w:rsidR="007E05F3">
        <w:rPr>
          <w:rFonts w:ascii="Times New Roman" w:hAnsi="Times New Roman"/>
          <w:bCs/>
          <w:sz w:val="22"/>
          <w:lang w:val="es-ES"/>
        </w:rPr>
        <w:t xml:space="preserve">natural </w:t>
      </w:r>
      <w:r w:rsidRPr="00105E81">
        <w:rPr>
          <w:rFonts w:ascii="Times New Roman" w:hAnsi="Times New Roman"/>
          <w:bCs/>
          <w:sz w:val="22"/>
          <w:lang w:val="es-ES"/>
        </w:rPr>
        <w:t>de las cuencas. En particular las provincias de El Oro, Guayas, Santa Elena, Manabí, Los Ríos y Esmeraldas</w:t>
      </w:r>
      <w:r w:rsidR="00E772ED">
        <w:rPr>
          <w:rFonts w:ascii="Times New Roman" w:hAnsi="Times New Roman"/>
          <w:bCs/>
          <w:sz w:val="22"/>
          <w:lang w:val="es-ES"/>
        </w:rPr>
        <w:t>, d</w:t>
      </w:r>
      <w:r w:rsidR="00E772ED" w:rsidRPr="00105E81">
        <w:rPr>
          <w:rFonts w:ascii="Times New Roman" w:hAnsi="Times New Roman"/>
          <w:bCs/>
          <w:sz w:val="22"/>
          <w:lang w:val="es-ES"/>
        </w:rPr>
        <w:t xml:space="preserve">ebido al asentamiento </w:t>
      </w:r>
      <w:r w:rsidR="007E05F3">
        <w:rPr>
          <w:rFonts w:ascii="Times New Roman" w:hAnsi="Times New Roman"/>
          <w:bCs/>
          <w:sz w:val="22"/>
          <w:lang w:val="es-ES"/>
        </w:rPr>
        <w:t>poblacional próximo a los</w:t>
      </w:r>
      <w:r w:rsidR="00E772ED" w:rsidRPr="00105E81">
        <w:rPr>
          <w:rFonts w:ascii="Times New Roman" w:hAnsi="Times New Roman"/>
          <w:bCs/>
          <w:sz w:val="22"/>
          <w:lang w:val="es-ES"/>
        </w:rPr>
        <w:t xml:space="preserve"> cauces</w:t>
      </w:r>
      <w:r w:rsidR="00B779F4">
        <w:rPr>
          <w:rFonts w:ascii="Times New Roman" w:hAnsi="Times New Roman"/>
          <w:bCs/>
          <w:sz w:val="22"/>
          <w:lang w:val="es-ES"/>
        </w:rPr>
        <w:t>,</w:t>
      </w:r>
      <w:r w:rsidR="00E772ED" w:rsidRPr="00105E81">
        <w:rPr>
          <w:rFonts w:ascii="Times New Roman" w:hAnsi="Times New Roman"/>
          <w:bCs/>
          <w:sz w:val="22"/>
          <w:lang w:val="es-ES"/>
        </w:rPr>
        <w:t xml:space="preserve"> </w:t>
      </w:r>
      <w:r w:rsidRPr="00105E81">
        <w:rPr>
          <w:rFonts w:ascii="Times New Roman" w:hAnsi="Times New Roman"/>
          <w:bCs/>
          <w:sz w:val="22"/>
          <w:lang w:val="es-ES"/>
        </w:rPr>
        <w:t>son las más expuestas y vulnerables</w:t>
      </w:r>
      <w:r>
        <w:rPr>
          <w:rStyle w:val="FootnoteReference"/>
          <w:rFonts w:ascii="Times New Roman" w:hAnsi="Times New Roman"/>
          <w:bCs/>
          <w:sz w:val="22"/>
          <w:lang w:val="es-ES"/>
        </w:rPr>
        <w:footnoteReference w:id="9"/>
      </w:r>
      <w:r w:rsidRPr="00105E81">
        <w:rPr>
          <w:rFonts w:ascii="Times New Roman" w:hAnsi="Times New Roman"/>
          <w:bCs/>
          <w:sz w:val="22"/>
          <w:lang w:val="es-ES"/>
        </w:rPr>
        <w:t>. Las inundaciones severas</w:t>
      </w:r>
      <w:r w:rsidR="00E772ED">
        <w:rPr>
          <w:rFonts w:ascii="Times New Roman" w:hAnsi="Times New Roman"/>
          <w:bCs/>
          <w:sz w:val="22"/>
          <w:lang w:val="es-ES"/>
        </w:rPr>
        <w:t xml:space="preserve"> pueden ser generadas </w:t>
      </w:r>
      <w:r w:rsidRPr="00105E81">
        <w:rPr>
          <w:rFonts w:ascii="Times New Roman" w:hAnsi="Times New Roman"/>
          <w:bCs/>
          <w:sz w:val="22"/>
          <w:lang w:val="es-ES"/>
        </w:rPr>
        <w:t xml:space="preserve">por episodios de intensa pluviosidad </w:t>
      </w:r>
      <w:r>
        <w:rPr>
          <w:rFonts w:ascii="Times New Roman" w:hAnsi="Times New Roman"/>
          <w:bCs/>
          <w:sz w:val="22"/>
          <w:lang w:val="es-ES"/>
        </w:rPr>
        <w:t>asociada al Fenómeno de El Niño</w:t>
      </w:r>
      <w:r>
        <w:rPr>
          <w:rStyle w:val="FootnoteReference"/>
          <w:rFonts w:ascii="Times New Roman" w:hAnsi="Times New Roman"/>
          <w:bCs/>
          <w:sz w:val="22"/>
          <w:lang w:val="es-ES"/>
        </w:rPr>
        <w:footnoteReference w:id="10"/>
      </w:r>
      <w:r w:rsidR="00E772ED">
        <w:rPr>
          <w:rFonts w:ascii="Times New Roman" w:hAnsi="Times New Roman"/>
          <w:bCs/>
          <w:sz w:val="22"/>
          <w:lang w:val="es-ES"/>
        </w:rPr>
        <w:t xml:space="preserve"> </w:t>
      </w:r>
      <w:r w:rsidR="00667D53">
        <w:rPr>
          <w:rFonts w:ascii="Times New Roman" w:hAnsi="Times New Roman"/>
          <w:bCs/>
          <w:sz w:val="22"/>
          <w:lang w:val="es-ES"/>
        </w:rPr>
        <w:t xml:space="preserve"> como </w:t>
      </w:r>
      <w:r w:rsidR="00667D53" w:rsidRPr="00105E81">
        <w:rPr>
          <w:rFonts w:ascii="Times New Roman" w:hAnsi="Times New Roman"/>
          <w:bCs/>
          <w:sz w:val="22"/>
          <w:lang w:val="es-ES"/>
        </w:rPr>
        <w:t>por precipitaciones esporádicas torrenciales</w:t>
      </w:r>
      <w:r w:rsidR="00667D53">
        <w:rPr>
          <w:rFonts w:ascii="Times New Roman" w:hAnsi="Times New Roman"/>
          <w:bCs/>
          <w:sz w:val="22"/>
          <w:lang w:val="es-ES"/>
        </w:rPr>
        <w:t xml:space="preserve"> u otros motivos (tsunamis)</w:t>
      </w:r>
      <w:r>
        <w:rPr>
          <w:rFonts w:ascii="Times New Roman" w:hAnsi="Times New Roman"/>
          <w:bCs/>
          <w:sz w:val="22"/>
          <w:lang w:val="es-ES"/>
        </w:rPr>
        <w:t>.</w:t>
      </w:r>
    </w:p>
    <w:p w:rsidR="008C1ABC" w:rsidRDefault="00BE6D44" w:rsidP="00C95815">
      <w:pPr>
        <w:numPr>
          <w:ilvl w:val="1"/>
          <w:numId w:val="12"/>
        </w:numPr>
        <w:jc w:val="both"/>
        <w:rPr>
          <w:rFonts w:ascii="Times New Roman" w:hAnsi="Times New Roman"/>
          <w:bCs/>
          <w:sz w:val="22"/>
          <w:lang w:val="es-ES"/>
        </w:rPr>
      </w:pPr>
      <w:r>
        <w:rPr>
          <w:rFonts w:ascii="Times New Roman" w:hAnsi="Times New Roman"/>
          <w:bCs/>
          <w:sz w:val="22"/>
          <w:lang w:val="es-ES"/>
        </w:rPr>
        <w:t>A</w:t>
      </w:r>
      <w:r w:rsidR="006F02F2" w:rsidRPr="00BE6D44">
        <w:rPr>
          <w:rFonts w:ascii="Times New Roman" w:hAnsi="Times New Roman"/>
          <w:bCs/>
          <w:sz w:val="22"/>
          <w:lang w:val="es-ES"/>
        </w:rPr>
        <w:t xml:space="preserve"> la alta exposición a diferentes tipos de amenazas (terremotos,</w:t>
      </w:r>
      <w:r w:rsidR="00E772ED">
        <w:rPr>
          <w:rFonts w:ascii="Times New Roman" w:hAnsi="Times New Roman"/>
          <w:bCs/>
          <w:sz w:val="22"/>
          <w:lang w:val="es-ES"/>
        </w:rPr>
        <w:t xml:space="preserve"> tsunamis, </w:t>
      </w:r>
      <w:r w:rsidR="006F02F2" w:rsidRPr="00BE6D44">
        <w:rPr>
          <w:rFonts w:ascii="Times New Roman" w:hAnsi="Times New Roman"/>
          <w:bCs/>
          <w:sz w:val="22"/>
          <w:lang w:val="es-ES"/>
        </w:rPr>
        <w:t xml:space="preserve"> inundaciones, sequías y erupciones volcánicas) </w:t>
      </w:r>
      <w:r>
        <w:rPr>
          <w:rFonts w:ascii="Times New Roman" w:hAnsi="Times New Roman"/>
          <w:bCs/>
          <w:sz w:val="22"/>
          <w:lang w:val="es-ES"/>
        </w:rPr>
        <w:t xml:space="preserve">se suman </w:t>
      </w:r>
      <w:r w:rsidR="006F02F2" w:rsidRPr="00BE6D44">
        <w:rPr>
          <w:rFonts w:ascii="Times New Roman" w:hAnsi="Times New Roman"/>
          <w:bCs/>
          <w:sz w:val="22"/>
          <w:lang w:val="es-ES"/>
        </w:rPr>
        <w:t xml:space="preserve"> las condiciones de vulnerabilidad socioeconómicas. El 47.6% de su territorio nacional y el 74.6% de su población total son vulnerables ante la exposición de dos o más amenazas naturales (Banco Mundial, 2005). Asimismo, el 72.2% de su PIB está en áreas expuestas al riesgo de desastres. Durante los últimos 20 años (1995-2015), el país ha tenido más de 2 millones de personas afectadas por desastres naturales (EM-DAT, 2016).</w:t>
      </w:r>
      <w:r w:rsidR="00771AFB" w:rsidRPr="00BE6D44">
        <w:rPr>
          <w:rFonts w:ascii="Times New Roman" w:hAnsi="Times New Roman"/>
          <w:bCs/>
          <w:sz w:val="22"/>
          <w:lang w:val="es-ES"/>
        </w:rPr>
        <w:t xml:space="preserve"> Del total de eventos que han causado emergencias o desastres entre 1970 y 2007, el 68% corresponde a eventos climáticos.</w:t>
      </w:r>
    </w:p>
    <w:p w:rsidR="00771AFB" w:rsidRDefault="006F02F2" w:rsidP="00C95815">
      <w:pPr>
        <w:numPr>
          <w:ilvl w:val="1"/>
          <w:numId w:val="12"/>
        </w:numPr>
        <w:jc w:val="both"/>
        <w:rPr>
          <w:rFonts w:ascii="Times New Roman" w:hAnsi="Times New Roman"/>
          <w:bCs/>
          <w:sz w:val="22"/>
          <w:lang w:val="es-ES"/>
        </w:rPr>
      </w:pPr>
      <w:r w:rsidRPr="006F02F2">
        <w:rPr>
          <w:rFonts w:ascii="Times New Roman" w:hAnsi="Times New Roman"/>
          <w:bCs/>
          <w:sz w:val="22"/>
          <w:lang w:val="es-ES"/>
        </w:rPr>
        <w:t xml:space="preserve">Los principales factores que </w:t>
      </w:r>
      <w:r w:rsidR="00BE6D44">
        <w:rPr>
          <w:rFonts w:ascii="Times New Roman" w:hAnsi="Times New Roman"/>
          <w:bCs/>
          <w:sz w:val="22"/>
          <w:lang w:val="es-ES"/>
        </w:rPr>
        <w:t xml:space="preserve">han contribuido a </w:t>
      </w:r>
      <w:r w:rsidRPr="006F02F2">
        <w:rPr>
          <w:rFonts w:ascii="Times New Roman" w:hAnsi="Times New Roman"/>
          <w:bCs/>
          <w:sz w:val="22"/>
          <w:lang w:val="es-ES"/>
        </w:rPr>
        <w:t xml:space="preserve">la vulnerabilidad incluyen: </w:t>
      </w:r>
      <w:r w:rsidR="00B779F4">
        <w:rPr>
          <w:rFonts w:ascii="Times New Roman" w:hAnsi="Times New Roman"/>
          <w:bCs/>
          <w:sz w:val="22"/>
          <w:lang w:val="es-ES"/>
        </w:rPr>
        <w:t xml:space="preserve">(i) </w:t>
      </w:r>
      <w:r w:rsidRPr="006F02F2">
        <w:rPr>
          <w:rFonts w:ascii="Times New Roman" w:hAnsi="Times New Roman"/>
          <w:bCs/>
          <w:sz w:val="22"/>
          <w:lang w:val="es-ES"/>
        </w:rPr>
        <w:t xml:space="preserve">falta de conocimiento para la prevención de emergencias; </w:t>
      </w:r>
      <w:r w:rsidR="00105E81">
        <w:rPr>
          <w:rFonts w:ascii="Times New Roman" w:hAnsi="Times New Roman"/>
          <w:bCs/>
          <w:sz w:val="22"/>
          <w:lang w:val="es-ES"/>
        </w:rPr>
        <w:t>viviendas</w:t>
      </w:r>
      <w:r w:rsidRPr="006F02F2">
        <w:rPr>
          <w:rFonts w:ascii="Times New Roman" w:hAnsi="Times New Roman"/>
          <w:bCs/>
          <w:sz w:val="22"/>
          <w:lang w:val="es-ES"/>
        </w:rPr>
        <w:t xml:space="preserve"> construidas sobre tierras inestables;</w:t>
      </w:r>
      <w:r w:rsidR="00B779F4">
        <w:rPr>
          <w:rFonts w:ascii="Times New Roman" w:hAnsi="Times New Roman"/>
          <w:bCs/>
          <w:sz w:val="22"/>
          <w:lang w:val="es-ES"/>
        </w:rPr>
        <w:t xml:space="preserve"> (ii)</w:t>
      </w:r>
      <w:r w:rsidRPr="006F02F2">
        <w:rPr>
          <w:rFonts w:ascii="Times New Roman" w:hAnsi="Times New Roman"/>
          <w:bCs/>
          <w:sz w:val="22"/>
          <w:lang w:val="es-ES"/>
        </w:rPr>
        <w:t xml:space="preserve"> inadecuada calidad de la infraestructura y de los materiales de construcción; </w:t>
      </w:r>
      <w:r w:rsidR="00B779F4">
        <w:rPr>
          <w:rFonts w:ascii="Times New Roman" w:hAnsi="Times New Roman"/>
          <w:bCs/>
          <w:sz w:val="22"/>
          <w:lang w:val="es-ES"/>
        </w:rPr>
        <w:t xml:space="preserve">(iii) </w:t>
      </w:r>
      <w:r w:rsidRPr="006F02F2">
        <w:rPr>
          <w:rFonts w:ascii="Times New Roman" w:hAnsi="Times New Roman"/>
          <w:bCs/>
          <w:sz w:val="22"/>
          <w:lang w:val="es-ES"/>
        </w:rPr>
        <w:t xml:space="preserve">eventos cada vez más intensos y </w:t>
      </w:r>
      <w:r w:rsidR="00B779F4">
        <w:rPr>
          <w:rFonts w:ascii="Times New Roman" w:hAnsi="Times New Roman"/>
          <w:bCs/>
          <w:sz w:val="22"/>
          <w:lang w:val="es-ES"/>
        </w:rPr>
        <w:t xml:space="preserve">(iv) </w:t>
      </w:r>
      <w:r w:rsidRPr="006F02F2">
        <w:rPr>
          <w:rFonts w:ascii="Times New Roman" w:hAnsi="Times New Roman"/>
          <w:bCs/>
          <w:sz w:val="22"/>
          <w:lang w:val="es-ES"/>
        </w:rPr>
        <w:t xml:space="preserve">falta de estrategias eficientes para reducir los riesgos. El rápido crecimiento demográfico y el aumento de la densidad poblacional hace que hayan más habitantes expuestos a las amenazas y </w:t>
      </w:r>
      <w:r w:rsidR="00512177">
        <w:rPr>
          <w:rFonts w:ascii="Times New Roman" w:hAnsi="Times New Roman"/>
          <w:bCs/>
          <w:sz w:val="22"/>
          <w:lang w:val="es-ES"/>
        </w:rPr>
        <w:t xml:space="preserve">los </w:t>
      </w:r>
      <w:r w:rsidRPr="006F02F2">
        <w:rPr>
          <w:rFonts w:ascii="Times New Roman" w:hAnsi="Times New Roman"/>
          <w:bCs/>
          <w:sz w:val="22"/>
          <w:lang w:val="es-ES"/>
        </w:rPr>
        <w:t xml:space="preserve">peligros antes mencionados. La falta de políticas eficientes, planificación, códigos y estándares de construcción adecuados y la deficiente aplicación de modelos de alertas </w:t>
      </w:r>
      <w:r w:rsidRPr="006F02F2">
        <w:rPr>
          <w:rFonts w:ascii="Times New Roman" w:hAnsi="Times New Roman"/>
          <w:bCs/>
          <w:sz w:val="22"/>
          <w:lang w:val="es-ES"/>
        </w:rPr>
        <w:lastRenderedPageBreak/>
        <w:t>tempranas hacen que aumenten los impactos negativos de cada evento. Ecuador depende</w:t>
      </w:r>
      <w:r w:rsidR="00B779F4">
        <w:rPr>
          <w:rFonts w:ascii="Times New Roman" w:hAnsi="Times New Roman"/>
          <w:bCs/>
          <w:sz w:val="22"/>
          <w:lang w:val="es-ES"/>
        </w:rPr>
        <w:t xml:space="preserve"> </w:t>
      </w:r>
      <w:r w:rsidR="00B779F4" w:rsidRPr="006F02F2">
        <w:rPr>
          <w:rFonts w:ascii="Times New Roman" w:hAnsi="Times New Roman"/>
          <w:bCs/>
          <w:sz w:val="22"/>
          <w:lang w:val="es-ES"/>
        </w:rPr>
        <w:t>cada vez más</w:t>
      </w:r>
      <w:r w:rsidRPr="006F02F2">
        <w:rPr>
          <w:rFonts w:ascii="Times New Roman" w:hAnsi="Times New Roman"/>
          <w:bCs/>
          <w:sz w:val="22"/>
          <w:lang w:val="es-ES"/>
        </w:rPr>
        <w:t xml:space="preserve"> de las capacidades externas de preparación y respuesta ante emergencias, para reducir el sufrimiento y las pérdidas humanas y económicas debido al incremento e intensidad de los eventos de la naturaleza.</w:t>
      </w:r>
    </w:p>
    <w:p w:rsidR="00BE6D44" w:rsidRDefault="00BE6D44" w:rsidP="00C95815">
      <w:pPr>
        <w:numPr>
          <w:ilvl w:val="1"/>
          <w:numId w:val="12"/>
        </w:numPr>
        <w:jc w:val="both"/>
        <w:rPr>
          <w:rFonts w:ascii="Times New Roman" w:hAnsi="Times New Roman"/>
          <w:bCs/>
          <w:sz w:val="22"/>
          <w:lang w:val="es-ES"/>
        </w:rPr>
      </w:pPr>
      <w:r w:rsidRPr="00BE6D44">
        <w:rPr>
          <w:rFonts w:ascii="Times New Roman" w:hAnsi="Times New Roman"/>
          <w:bCs/>
          <w:sz w:val="22"/>
          <w:lang w:val="es-ES"/>
        </w:rPr>
        <w:t xml:space="preserve">En los últimos años, </w:t>
      </w:r>
      <w:r w:rsidR="00512177">
        <w:rPr>
          <w:rFonts w:ascii="Times New Roman" w:hAnsi="Times New Roman"/>
          <w:bCs/>
          <w:sz w:val="22"/>
          <w:lang w:val="es-ES"/>
        </w:rPr>
        <w:t>el país</w:t>
      </w:r>
      <w:r w:rsidR="00411F33">
        <w:rPr>
          <w:rFonts w:ascii="Times New Roman" w:hAnsi="Times New Roman"/>
          <w:bCs/>
          <w:sz w:val="22"/>
          <w:lang w:val="es-ES"/>
        </w:rPr>
        <w:t xml:space="preserve"> </w:t>
      </w:r>
      <w:r w:rsidRPr="00BE6D44">
        <w:rPr>
          <w:rFonts w:ascii="Times New Roman" w:hAnsi="Times New Roman"/>
          <w:bCs/>
          <w:sz w:val="22"/>
          <w:lang w:val="es-ES"/>
        </w:rPr>
        <w:t xml:space="preserve"> ha realizado avances importantes en el marco de política de Gestión de Riesgos de Desastres</w:t>
      </w:r>
      <w:r>
        <w:rPr>
          <w:rStyle w:val="FootnoteReference"/>
          <w:rFonts w:ascii="Times New Roman" w:hAnsi="Times New Roman"/>
          <w:bCs/>
          <w:sz w:val="22"/>
          <w:lang w:val="es-ES"/>
        </w:rPr>
        <w:footnoteReference w:id="11"/>
      </w:r>
      <w:r w:rsidRPr="00BE6D44">
        <w:rPr>
          <w:rFonts w:ascii="Times New Roman" w:hAnsi="Times New Roman"/>
          <w:bCs/>
          <w:sz w:val="22"/>
          <w:lang w:val="es-ES"/>
        </w:rPr>
        <w:t xml:space="preserve">. </w:t>
      </w:r>
      <w:r>
        <w:rPr>
          <w:rFonts w:ascii="Times New Roman" w:hAnsi="Times New Roman"/>
          <w:bCs/>
          <w:sz w:val="22"/>
          <w:lang w:val="es-ES"/>
        </w:rPr>
        <w:t xml:space="preserve">En ese enfoque fueron creadas </w:t>
      </w:r>
      <w:r w:rsidRPr="00BE6D44">
        <w:rPr>
          <w:rFonts w:ascii="Times New Roman" w:hAnsi="Times New Roman"/>
          <w:bCs/>
          <w:sz w:val="22"/>
          <w:lang w:val="es-ES"/>
        </w:rPr>
        <w:t xml:space="preserve">la Secretaría de Gestión de Riesgos, SGR </w:t>
      </w:r>
      <w:r>
        <w:rPr>
          <w:rFonts w:ascii="Times New Roman" w:hAnsi="Times New Roman"/>
          <w:bCs/>
          <w:sz w:val="22"/>
          <w:lang w:val="es-ES"/>
        </w:rPr>
        <w:t xml:space="preserve">y </w:t>
      </w:r>
      <w:r w:rsidRPr="00BE6D44">
        <w:rPr>
          <w:rFonts w:ascii="Times New Roman" w:hAnsi="Times New Roman"/>
          <w:bCs/>
          <w:sz w:val="22"/>
          <w:lang w:val="es-ES"/>
        </w:rPr>
        <w:t xml:space="preserve">el Servicio Integrado de Seguridad </w:t>
      </w:r>
      <w:r w:rsidR="00B779F4" w:rsidRPr="00BE6D44">
        <w:rPr>
          <w:rFonts w:ascii="Times New Roman" w:hAnsi="Times New Roman"/>
          <w:bCs/>
          <w:sz w:val="22"/>
          <w:lang w:val="es-ES"/>
        </w:rPr>
        <w:t>ECU</w:t>
      </w:r>
      <w:r w:rsidR="00B779F4">
        <w:rPr>
          <w:rFonts w:ascii="Times New Roman" w:hAnsi="Times New Roman"/>
          <w:bCs/>
          <w:sz w:val="22"/>
          <w:lang w:val="es-ES"/>
        </w:rPr>
        <w:t>-</w:t>
      </w:r>
      <w:r w:rsidRPr="00BE6D44">
        <w:rPr>
          <w:rFonts w:ascii="Times New Roman" w:hAnsi="Times New Roman"/>
          <w:bCs/>
          <w:sz w:val="22"/>
          <w:lang w:val="es-ES"/>
        </w:rPr>
        <w:t>911con la finalidad de gestionar en todo el territorio ecuatoriano la atención de las situaciones de emergencia.</w:t>
      </w:r>
    </w:p>
    <w:p w:rsidR="00DC13FD" w:rsidRDefault="00DC13FD" w:rsidP="00DC13FD">
      <w:pPr>
        <w:ind w:left="718"/>
        <w:jc w:val="both"/>
        <w:rPr>
          <w:rFonts w:ascii="Times New Roman" w:hAnsi="Times New Roman"/>
          <w:bCs/>
          <w:sz w:val="22"/>
          <w:lang w:val="es-ES"/>
        </w:rPr>
      </w:pPr>
    </w:p>
    <w:p w:rsidR="00345339" w:rsidRDefault="00771AFB" w:rsidP="00C95815">
      <w:pPr>
        <w:numPr>
          <w:ilvl w:val="1"/>
          <w:numId w:val="12"/>
        </w:numPr>
        <w:ind w:left="720"/>
        <w:jc w:val="both"/>
        <w:rPr>
          <w:rFonts w:ascii="Times New Roman" w:hAnsi="Times New Roman"/>
          <w:bCs/>
          <w:sz w:val="22"/>
          <w:lang w:val="es-ES"/>
        </w:rPr>
      </w:pPr>
      <w:r w:rsidRPr="00345339">
        <w:rPr>
          <w:rFonts w:ascii="Times New Roman" w:hAnsi="Times New Roman"/>
          <w:bCs/>
          <w:i/>
          <w:sz w:val="22"/>
          <w:lang w:val="es-ES"/>
        </w:rPr>
        <w:t xml:space="preserve">Eventos </w:t>
      </w:r>
      <w:r w:rsidR="008D6878">
        <w:rPr>
          <w:rFonts w:ascii="Times New Roman" w:hAnsi="Times New Roman"/>
          <w:bCs/>
          <w:i/>
          <w:sz w:val="22"/>
          <w:lang w:val="es-ES"/>
        </w:rPr>
        <w:t xml:space="preserve">de desastre </w:t>
      </w:r>
      <w:r w:rsidRPr="00345339">
        <w:rPr>
          <w:rFonts w:ascii="Times New Roman" w:hAnsi="Times New Roman"/>
          <w:bCs/>
          <w:i/>
          <w:sz w:val="22"/>
          <w:lang w:val="es-ES"/>
        </w:rPr>
        <w:t>recientes</w:t>
      </w:r>
      <w:r w:rsidR="008D6878">
        <w:rPr>
          <w:rFonts w:ascii="Times New Roman" w:hAnsi="Times New Roman"/>
          <w:bCs/>
          <w:i/>
          <w:sz w:val="22"/>
          <w:lang w:val="es-ES"/>
        </w:rPr>
        <w:t xml:space="preserve"> en Ecuador</w:t>
      </w:r>
      <w:r w:rsidR="008C1ABC" w:rsidRPr="00345339">
        <w:rPr>
          <w:rFonts w:ascii="Times New Roman" w:hAnsi="Times New Roman"/>
          <w:bCs/>
          <w:i/>
          <w:sz w:val="22"/>
          <w:lang w:val="es-ES"/>
        </w:rPr>
        <w:t>.</w:t>
      </w:r>
      <w:r w:rsidR="008C1ABC" w:rsidRPr="00345339">
        <w:rPr>
          <w:rFonts w:ascii="Times New Roman" w:hAnsi="Times New Roman"/>
          <w:bCs/>
          <w:sz w:val="22"/>
          <w:lang w:val="es-ES"/>
        </w:rPr>
        <w:t xml:space="preserve"> </w:t>
      </w:r>
      <w:r w:rsidRPr="00345339">
        <w:rPr>
          <w:rFonts w:ascii="Times New Roman" w:eastAsia="Calibri" w:hAnsi="Times New Roman"/>
          <w:i/>
          <w:sz w:val="22"/>
          <w:szCs w:val="22"/>
          <w:lang w:val="es-ES_tradnl"/>
        </w:rPr>
        <w:t xml:space="preserve"> </w:t>
      </w:r>
      <w:r w:rsidRPr="00345339">
        <w:rPr>
          <w:rFonts w:ascii="Times New Roman" w:eastAsia="Calibri" w:hAnsi="Times New Roman"/>
          <w:sz w:val="22"/>
          <w:szCs w:val="22"/>
          <w:lang w:val="es-ES_tradnl"/>
        </w:rPr>
        <w:t xml:space="preserve">El 16 </w:t>
      </w:r>
      <w:r w:rsidR="00B779F4">
        <w:rPr>
          <w:rFonts w:ascii="Times New Roman" w:eastAsia="Calibri" w:hAnsi="Times New Roman"/>
          <w:sz w:val="22"/>
          <w:szCs w:val="22"/>
          <w:lang w:val="es-ES_tradnl"/>
        </w:rPr>
        <w:t>a</w:t>
      </w:r>
      <w:r w:rsidR="00B779F4" w:rsidRPr="00345339">
        <w:rPr>
          <w:rFonts w:ascii="Times New Roman" w:eastAsia="Calibri" w:hAnsi="Times New Roman"/>
          <w:sz w:val="22"/>
          <w:szCs w:val="22"/>
          <w:lang w:val="es-ES_tradnl"/>
        </w:rPr>
        <w:t xml:space="preserve">bril </w:t>
      </w:r>
      <w:r w:rsidRPr="00345339">
        <w:rPr>
          <w:rFonts w:ascii="Times New Roman" w:eastAsia="Calibri" w:hAnsi="Times New Roman"/>
          <w:sz w:val="22"/>
          <w:szCs w:val="22"/>
          <w:lang w:val="es-ES_tradnl"/>
        </w:rPr>
        <w:t xml:space="preserve">de 2016 un terremoto de magnitud </w:t>
      </w:r>
      <w:r w:rsidR="00B779F4">
        <w:rPr>
          <w:rFonts w:ascii="Times New Roman" w:eastAsia="Calibri" w:hAnsi="Times New Roman"/>
          <w:sz w:val="22"/>
          <w:szCs w:val="22"/>
          <w:lang w:val="es-ES_tradnl"/>
        </w:rPr>
        <w:t xml:space="preserve">de </w:t>
      </w:r>
      <w:r w:rsidRPr="00345339">
        <w:rPr>
          <w:rFonts w:ascii="Times New Roman" w:eastAsia="Calibri" w:hAnsi="Times New Roman"/>
          <w:sz w:val="22"/>
          <w:szCs w:val="22"/>
          <w:lang w:val="es-ES_tradnl"/>
        </w:rPr>
        <w:t>7</w:t>
      </w:r>
      <w:r w:rsidR="00B779F4">
        <w:rPr>
          <w:rFonts w:ascii="Times New Roman" w:eastAsia="Calibri" w:hAnsi="Times New Roman"/>
          <w:sz w:val="22"/>
          <w:szCs w:val="22"/>
          <w:lang w:val="es-ES_tradnl"/>
        </w:rPr>
        <w:t>,</w:t>
      </w:r>
      <w:r w:rsidRPr="00345339">
        <w:rPr>
          <w:rFonts w:ascii="Times New Roman" w:eastAsia="Calibri" w:hAnsi="Times New Roman"/>
          <w:sz w:val="22"/>
          <w:szCs w:val="22"/>
          <w:lang w:val="es-ES_tradnl"/>
        </w:rPr>
        <w:t>8</w:t>
      </w:r>
      <w:r w:rsidR="00B779F4">
        <w:rPr>
          <w:rFonts w:ascii="Times New Roman" w:eastAsia="Calibri" w:hAnsi="Times New Roman"/>
          <w:sz w:val="22"/>
          <w:szCs w:val="22"/>
          <w:lang w:val="es-ES_tradnl"/>
        </w:rPr>
        <w:t xml:space="preserve"> grados</w:t>
      </w:r>
      <w:r w:rsidRPr="00345339">
        <w:rPr>
          <w:rFonts w:ascii="Times New Roman" w:eastAsia="Calibri" w:hAnsi="Times New Roman"/>
          <w:sz w:val="22"/>
          <w:szCs w:val="22"/>
          <w:lang w:val="es-ES_tradnl"/>
        </w:rPr>
        <w:t xml:space="preserve"> golpeó la zona costera del Noroeste de Ecuador</w:t>
      </w:r>
      <w:r w:rsidR="00B779F4">
        <w:rPr>
          <w:rFonts w:ascii="Times New Roman" w:eastAsia="Calibri" w:hAnsi="Times New Roman"/>
          <w:sz w:val="22"/>
          <w:szCs w:val="22"/>
          <w:lang w:val="es-ES_tradnl"/>
        </w:rPr>
        <w:t>,</w:t>
      </w:r>
      <w:r w:rsidRPr="00345339">
        <w:rPr>
          <w:rFonts w:ascii="Times New Roman" w:eastAsia="Calibri" w:hAnsi="Times New Roman"/>
          <w:sz w:val="22"/>
          <w:szCs w:val="22"/>
          <w:lang w:val="es-ES_tradnl"/>
        </w:rPr>
        <w:t xml:space="preserve"> causando grandes daños y pérdida de vidas</w:t>
      </w:r>
      <w:r w:rsidR="000C7ACC" w:rsidRPr="00345339">
        <w:rPr>
          <w:rFonts w:ascii="Times New Roman" w:eastAsia="Calibri" w:hAnsi="Times New Roman"/>
          <w:sz w:val="22"/>
          <w:szCs w:val="22"/>
          <w:lang w:val="es-ES_tradnl"/>
        </w:rPr>
        <w:t xml:space="preserve"> (</w:t>
      </w:r>
      <w:r w:rsidR="000C7ACC" w:rsidRPr="00345339">
        <w:rPr>
          <w:rFonts w:ascii="Times New Roman" w:hAnsi="Times New Roman"/>
          <w:bCs/>
          <w:sz w:val="22"/>
          <w:lang w:val="es-ES"/>
        </w:rPr>
        <w:t>663 fallecidos y 4.859 heridos)</w:t>
      </w:r>
      <w:r w:rsidRPr="00345339">
        <w:rPr>
          <w:rFonts w:ascii="Times New Roman" w:eastAsia="Calibri" w:hAnsi="Times New Roman"/>
          <w:sz w:val="22"/>
          <w:szCs w:val="22"/>
          <w:lang w:val="es-ES_tradnl"/>
        </w:rPr>
        <w:t xml:space="preserve">.  Los mayores </w:t>
      </w:r>
      <w:r w:rsidR="000C7ACC" w:rsidRPr="00345339">
        <w:rPr>
          <w:rFonts w:ascii="Times New Roman" w:eastAsia="Calibri" w:hAnsi="Times New Roman"/>
          <w:sz w:val="22"/>
          <w:szCs w:val="22"/>
          <w:lang w:val="es-ES_tradnl"/>
        </w:rPr>
        <w:t>efectos</w:t>
      </w:r>
      <w:r w:rsidRPr="00345339">
        <w:rPr>
          <w:rFonts w:ascii="Times New Roman" w:eastAsia="Calibri" w:hAnsi="Times New Roman"/>
          <w:sz w:val="22"/>
          <w:szCs w:val="22"/>
          <w:lang w:val="es-ES_tradnl"/>
        </w:rPr>
        <w:t xml:space="preserve"> se concentraron en las provincias de Manabí y Esmeraldas</w:t>
      </w:r>
      <w:r w:rsidR="000C7ACC" w:rsidRPr="00345339">
        <w:rPr>
          <w:rFonts w:ascii="Times New Roman" w:eastAsia="Calibri" w:hAnsi="Times New Roman"/>
          <w:sz w:val="22"/>
          <w:szCs w:val="22"/>
          <w:lang w:val="es-ES_tradnl"/>
        </w:rPr>
        <w:t xml:space="preserve">, que constituyen </w:t>
      </w:r>
      <w:r w:rsidRPr="00345339">
        <w:rPr>
          <w:rFonts w:ascii="Times New Roman" w:eastAsia="Calibri" w:hAnsi="Times New Roman"/>
          <w:sz w:val="22"/>
          <w:szCs w:val="22"/>
          <w:lang w:val="es-ES_tradnl"/>
        </w:rPr>
        <w:t>zonas con elevados niveles de pobreza</w:t>
      </w:r>
      <w:r w:rsidRPr="00771AFB">
        <w:rPr>
          <w:rFonts w:ascii="Times New Roman" w:eastAsia="Calibri" w:hAnsi="Times New Roman"/>
          <w:sz w:val="22"/>
          <w:szCs w:val="22"/>
          <w:vertAlign w:val="superscript"/>
          <w:lang w:val="es-ES_tradnl"/>
        </w:rPr>
        <w:footnoteReference w:id="12"/>
      </w:r>
      <w:r w:rsidRPr="00345339">
        <w:rPr>
          <w:rFonts w:ascii="Times New Roman" w:eastAsia="Calibri" w:hAnsi="Times New Roman"/>
          <w:sz w:val="22"/>
          <w:szCs w:val="22"/>
          <w:lang w:val="es-ES_tradnl"/>
        </w:rPr>
        <w:t xml:space="preserve"> y debilidades de infraestructura</w:t>
      </w:r>
      <w:r w:rsidRPr="00771AFB">
        <w:rPr>
          <w:rFonts w:ascii="Times New Roman" w:eastAsia="Calibri" w:hAnsi="Times New Roman"/>
          <w:sz w:val="22"/>
          <w:szCs w:val="22"/>
          <w:vertAlign w:val="superscript"/>
          <w:lang w:val="es-ES_tradnl"/>
        </w:rPr>
        <w:footnoteReference w:id="13"/>
      </w:r>
      <w:r w:rsidRPr="00345339">
        <w:rPr>
          <w:rFonts w:ascii="Times New Roman" w:eastAsia="Calibri" w:hAnsi="Times New Roman"/>
          <w:sz w:val="22"/>
          <w:szCs w:val="22"/>
          <w:lang w:val="es-ES_tradnl"/>
        </w:rPr>
        <w:t>.</w:t>
      </w:r>
      <w:r w:rsidR="00EC1C06" w:rsidRPr="00345339">
        <w:rPr>
          <w:rFonts w:ascii="Times New Roman" w:eastAsia="Calibri" w:hAnsi="Times New Roman"/>
          <w:sz w:val="22"/>
          <w:szCs w:val="22"/>
          <w:lang w:val="es-AR"/>
        </w:rPr>
        <w:t xml:space="preserve"> </w:t>
      </w:r>
      <w:r w:rsidRPr="00345339">
        <w:rPr>
          <w:rFonts w:ascii="Times New Roman" w:hAnsi="Times New Roman"/>
          <w:bCs/>
          <w:sz w:val="22"/>
          <w:lang w:val="es-ES"/>
        </w:rPr>
        <w:t>A partir de estudios técnicos liderados por el Equipo Evaluador del Gobierno</w:t>
      </w:r>
      <w:r w:rsidR="000C7ACC" w:rsidRPr="00345339">
        <w:rPr>
          <w:rFonts w:ascii="Times New Roman" w:hAnsi="Times New Roman"/>
          <w:bCs/>
          <w:sz w:val="22"/>
          <w:lang w:val="es-ES"/>
        </w:rPr>
        <w:t xml:space="preserve"> de Ecuador</w:t>
      </w:r>
      <w:r w:rsidRPr="00345339">
        <w:rPr>
          <w:rFonts w:ascii="Times New Roman" w:hAnsi="Times New Roman"/>
          <w:bCs/>
          <w:sz w:val="22"/>
          <w:lang w:val="es-ES"/>
        </w:rPr>
        <w:t xml:space="preserve">, los costos </w:t>
      </w:r>
      <w:r w:rsidR="001E30E6" w:rsidRPr="001E30E6">
        <w:rPr>
          <w:rFonts w:ascii="Times New Roman" w:hAnsi="Times New Roman"/>
          <w:bCs/>
          <w:sz w:val="22"/>
          <w:lang w:val="es-ES"/>
        </w:rPr>
        <w:t xml:space="preserve">totales de la reconstrucción, incluyendo infraestructura pública y privada,  costos sociales, productivos y ambientales se </w:t>
      </w:r>
      <w:r w:rsidR="001E30E6">
        <w:rPr>
          <w:rFonts w:ascii="Times New Roman" w:hAnsi="Times New Roman"/>
          <w:bCs/>
          <w:sz w:val="22"/>
          <w:lang w:val="es-ES"/>
        </w:rPr>
        <w:t>estimaron</w:t>
      </w:r>
      <w:r w:rsidR="001E30E6" w:rsidRPr="001E30E6">
        <w:rPr>
          <w:rFonts w:ascii="Times New Roman" w:hAnsi="Times New Roman"/>
          <w:bCs/>
          <w:sz w:val="22"/>
          <w:lang w:val="es-ES"/>
        </w:rPr>
        <w:t xml:space="preserve"> en US$ 3.344 millones</w:t>
      </w:r>
      <w:r w:rsidRPr="00345339">
        <w:rPr>
          <w:rFonts w:ascii="Times New Roman" w:hAnsi="Times New Roman"/>
          <w:bCs/>
          <w:sz w:val="22"/>
          <w:lang w:val="es-ES"/>
        </w:rPr>
        <w:t>)</w:t>
      </w:r>
      <w:r w:rsidR="00F645ED">
        <w:rPr>
          <w:rFonts w:ascii="Times New Roman" w:hAnsi="Times New Roman"/>
          <w:bCs/>
          <w:sz w:val="22"/>
          <w:lang w:val="es-ES"/>
        </w:rPr>
        <w:t xml:space="preserve"> (SENPLADES, 2016)</w:t>
      </w:r>
      <w:r w:rsidRPr="00345339">
        <w:rPr>
          <w:rFonts w:ascii="Times New Roman" w:hAnsi="Times New Roman"/>
          <w:bCs/>
          <w:sz w:val="22"/>
          <w:lang w:val="es-ES"/>
        </w:rPr>
        <w:t>. Por su parte, las pérdidas económicas en las zonas afectadas se estimaron en 0</w:t>
      </w:r>
      <w:r w:rsidR="00F645ED">
        <w:rPr>
          <w:rFonts w:ascii="Times New Roman" w:hAnsi="Times New Roman"/>
          <w:bCs/>
          <w:sz w:val="22"/>
          <w:lang w:val="es-ES"/>
        </w:rPr>
        <w:t>,</w:t>
      </w:r>
      <w:r w:rsidRPr="00345339">
        <w:rPr>
          <w:rFonts w:ascii="Times New Roman" w:hAnsi="Times New Roman"/>
          <w:bCs/>
          <w:sz w:val="22"/>
          <w:lang w:val="es-ES"/>
        </w:rPr>
        <w:t>7% del PIB nacional, destacándose la reducción de 21.823 empleos (formales e informales) e impactos sensibles en algunos sectores económicos (</w:t>
      </w:r>
      <w:r w:rsidR="00345339" w:rsidRPr="00345339">
        <w:rPr>
          <w:rFonts w:ascii="Times New Roman" w:hAnsi="Times New Roman"/>
          <w:bCs/>
          <w:sz w:val="22"/>
          <w:lang w:val="es-ES"/>
        </w:rPr>
        <w:t>turismo, camaronero y otros</w:t>
      </w:r>
      <w:r w:rsidRPr="00345339">
        <w:rPr>
          <w:rFonts w:ascii="Times New Roman" w:hAnsi="Times New Roman"/>
          <w:bCs/>
          <w:sz w:val="22"/>
          <w:lang w:val="es-ES"/>
        </w:rPr>
        <w:t>).</w:t>
      </w:r>
      <w:r w:rsidR="000C7ACC" w:rsidRPr="00345339">
        <w:rPr>
          <w:rFonts w:ascii="Times New Roman" w:hAnsi="Times New Roman"/>
          <w:bCs/>
          <w:sz w:val="22"/>
          <w:lang w:val="es-ES"/>
        </w:rPr>
        <w:t xml:space="preserve">  </w:t>
      </w:r>
    </w:p>
    <w:p w:rsidR="000C7ACC" w:rsidRPr="00345339" w:rsidRDefault="000C7ACC" w:rsidP="00C95815">
      <w:pPr>
        <w:numPr>
          <w:ilvl w:val="1"/>
          <w:numId w:val="12"/>
        </w:numPr>
        <w:ind w:left="720"/>
        <w:jc w:val="both"/>
        <w:rPr>
          <w:rFonts w:ascii="Times New Roman" w:hAnsi="Times New Roman"/>
          <w:bCs/>
          <w:sz w:val="22"/>
          <w:lang w:val="es-ES"/>
        </w:rPr>
      </w:pPr>
      <w:r w:rsidRPr="00345339">
        <w:rPr>
          <w:rFonts w:ascii="Times New Roman" w:hAnsi="Times New Roman"/>
          <w:bCs/>
          <w:sz w:val="22"/>
          <w:lang w:val="es-ES"/>
        </w:rPr>
        <w:t>Las zonas de mayor afectación presenta</w:t>
      </w:r>
      <w:r w:rsidR="00667D53">
        <w:rPr>
          <w:rFonts w:ascii="Times New Roman" w:hAnsi="Times New Roman"/>
          <w:bCs/>
          <w:sz w:val="22"/>
          <w:lang w:val="es-ES"/>
        </w:rPr>
        <w:t>ba</w:t>
      </w:r>
      <w:r w:rsidRPr="00345339">
        <w:rPr>
          <w:rFonts w:ascii="Times New Roman" w:hAnsi="Times New Roman"/>
          <w:bCs/>
          <w:sz w:val="22"/>
          <w:lang w:val="es-ES"/>
        </w:rPr>
        <w:t xml:space="preserve">n gran vulnerabilidad social, incluyendo altos niveles de pobreza y ruralidad, mayores al promedio nacional. </w:t>
      </w:r>
      <w:r w:rsidR="001E30E6">
        <w:rPr>
          <w:rFonts w:ascii="Times New Roman" w:hAnsi="Times New Roman"/>
          <w:bCs/>
          <w:sz w:val="22"/>
          <w:lang w:val="es-ES"/>
        </w:rPr>
        <w:t>Como se expresó, ello se reflejaba</w:t>
      </w:r>
      <w:r w:rsidRPr="00345339">
        <w:rPr>
          <w:rFonts w:ascii="Times New Roman" w:hAnsi="Times New Roman"/>
          <w:bCs/>
          <w:sz w:val="22"/>
          <w:lang w:val="es-ES"/>
        </w:rPr>
        <w:t xml:space="preserve"> también en el déficit cualitativo de las viviendas, construidas mayoritariamente con techos que no son de hormigón,  con paredes primordialmente de madera (con acceso reducido a las redes púb</w:t>
      </w:r>
      <w:r w:rsidR="00667D53">
        <w:rPr>
          <w:rFonts w:ascii="Times New Roman" w:hAnsi="Times New Roman"/>
          <w:bCs/>
          <w:sz w:val="22"/>
          <w:lang w:val="es-ES"/>
        </w:rPr>
        <w:t>licas de agua y saneamiento).  La</w:t>
      </w:r>
      <w:r w:rsidRPr="00345339">
        <w:rPr>
          <w:rFonts w:ascii="Times New Roman" w:hAnsi="Times New Roman"/>
          <w:bCs/>
          <w:sz w:val="22"/>
          <w:lang w:val="es-ES"/>
        </w:rPr>
        <w:t xml:space="preserve"> zona </w:t>
      </w:r>
      <w:r w:rsidR="00667D53">
        <w:rPr>
          <w:rFonts w:ascii="Times New Roman" w:hAnsi="Times New Roman"/>
          <w:bCs/>
          <w:sz w:val="22"/>
          <w:lang w:val="es-ES"/>
        </w:rPr>
        <w:t xml:space="preserve">afectada </w:t>
      </w:r>
      <w:r w:rsidR="001E30E6">
        <w:rPr>
          <w:rFonts w:ascii="Times New Roman" w:hAnsi="Times New Roman"/>
          <w:bCs/>
          <w:sz w:val="22"/>
          <w:lang w:val="es-ES"/>
        </w:rPr>
        <w:t xml:space="preserve">incluye </w:t>
      </w:r>
      <w:r w:rsidRPr="00345339">
        <w:rPr>
          <w:rFonts w:ascii="Times New Roman" w:hAnsi="Times New Roman"/>
          <w:bCs/>
          <w:sz w:val="22"/>
          <w:lang w:val="es-ES"/>
        </w:rPr>
        <w:t xml:space="preserve">una alta proporción de personas laborando por cuenta propia, dedicándose a la comercialización de bienes diversos, así como trabajando en los sectores </w:t>
      </w:r>
      <w:r w:rsidR="001A3AFE" w:rsidRPr="00345339">
        <w:rPr>
          <w:rFonts w:ascii="Times New Roman" w:hAnsi="Times New Roman"/>
          <w:bCs/>
          <w:sz w:val="22"/>
          <w:lang w:val="es-ES"/>
        </w:rPr>
        <w:t>turismo</w:t>
      </w:r>
      <w:r w:rsidRPr="00345339">
        <w:rPr>
          <w:rFonts w:ascii="Times New Roman" w:hAnsi="Times New Roman"/>
          <w:bCs/>
          <w:sz w:val="22"/>
          <w:lang w:val="es-ES"/>
        </w:rPr>
        <w:t>, pesca y acuacultura, los cuales tuvieron afectaciones importantes.</w:t>
      </w:r>
      <w:r w:rsidR="00345339">
        <w:rPr>
          <w:rFonts w:ascii="Times New Roman" w:hAnsi="Times New Roman"/>
          <w:bCs/>
          <w:sz w:val="22"/>
          <w:lang w:val="es-ES"/>
        </w:rPr>
        <w:t xml:space="preserve">   Otros </w:t>
      </w:r>
      <w:r w:rsidR="00345339" w:rsidRPr="000C7ACC">
        <w:rPr>
          <w:rFonts w:ascii="Times New Roman" w:hAnsi="Times New Roman"/>
          <w:bCs/>
          <w:sz w:val="22"/>
          <w:lang w:val="es-ES"/>
        </w:rPr>
        <w:t>factores de vulnerabilidad</w:t>
      </w:r>
      <w:r w:rsidR="00345339">
        <w:rPr>
          <w:rFonts w:ascii="Times New Roman" w:hAnsi="Times New Roman"/>
          <w:bCs/>
          <w:sz w:val="22"/>
          <w:lang w:val="es-ES"/>
        </w:rPr>
        <w:t xml:space="preserve"> son</w:t>
      </w:r>
      <w:r w:rsidR="001E30E6">
        <w:rPr>
          <w:rFonts w:ascii="Times New Roman" w:hAnsi="Times New Roman"/>
          <w:bCs/>
          <w:sz w:val="22"/>
          <w:lang w:val="es-ES"/>
        </w:rPr>
        <w:t xml:space="preserve"> la</w:t>
      </w:r>
      <w:r w:rsidR="00345339">
        <w:rPr>
          <w:rFonts w:ascii="Times New Roman" w:hAnsi="Times New Roman"/>
          <w:bCs/>
          <w:sz w:val="22"/>
          <w:lang w:val="es-ES"/>
        </w:rPr>
        <w:t xml:space="preserve"> </w:t>
      </w:r>
      <w:r w:rsidR="00345339" w:rsidRPr="000C7ACC">
        <w:rPr>
          <w:rFonts w:ascii="Times New Roman" w:hAnsi="Times New Roman"/>
          <w:bCs/>
          <w:sz w:val="22"/>
          <w:lang w:val="es-ES"/>
        </w:rPr>
        <w:t xml:space="preserve">proliferación de edificaciones informales, sin mantenimiento y/o con estándares de construcción  inadecuados con respecto al tipo de suelo sobre </w:t>
      </w:r>
      <w:r w:rsidR="008826F8">
        <w:rPr>
          <w:rFonts w:ascii="Times New Roman" w:hAnsi="Times New Roman"/>
          <w:bCs/>
          <w:sz w:val="22"/>
          <w:lang w:val="es-ES"/>
        </w:rPr>
        <w:t xml:space="preserve"> </w:t>
      </w:r>
      <w:r w:rsidR="00345339" w:rsidRPr="000C7ACC">
        <w:rPr>
          <w:rFonts w:ascii="Times New Roman" w:hAnsi="Times New Roman"/>
          <w:bCs/>
          <w:sz w:val="22"/>
          <w:lang w:val="es-ES"/>
        </w:rPr>
        <w:t>el que se asientan.</w:t>
      </w:r>
    </w:p>
    <w:p w:rsidR="00667D53" w:rsidRPr="00667D53" w:rsidRDefault="00667D53" w:rsidP="00667D53">
      <w:pPr>
        <w:ind w:left="718"/>
        <w:jc w:val="both"/>
        <w:rPr>
          <w:rFonts w:ascii="Times New Roman" w:hAnsi="Times New Roman"/>
          <w:bCs/>
          <w:sz w:val="22"/>
          <w:szCs w:val="22"/>
          <w:lang w:val="es-ES"/>
        </w:rPr>
      </w:pPr>
    </w:p>
    <w:p w:rsidR="003E6D01" w:rsidRDefault="0080208C" w:rsidP="00C95815">
      <w:pPr>
        <w:numPr>
          <w:ilvl w:val="1"/>
          <w:numId w:val="12"/>
        </w:numPr>
        <w:jc w:val="both"/>
        <w:rPr>
          <w:rFonts w:ascii="Times New Roman" w:hAnsi="Times New Roman"/>
          <w:bCs/>
          <w:sz w:val="22"/>
          <w:szCs w:val="22"/>
          <w:lang w:val="es-ES"/>
        </w:rPr>
      </w:pPr>
      <w:r w:rsidRPr="001A3AFE">
        <w:rPr>
          <w:rFonts w:ascii="Times New Roman" w:hAnsi="Times New Roman"/>
          <w:i/>
          <w:sz w:val="22"/>
          <w:szCs w:val="22"/>
          <w:lang w:val="es-AR"/>
        </w:rPr>
        <w:t>S</w:t>
      </w:r>
      <w:r w:rsidR="00DC13FD" w:rsidRPr="001A3AFE">
        <w:rPr>
          <w:rFonts w:ascii="Times New Roman" w:hAnsi="Times New Roman"/>
          <w:i/>
          <w:sz w:val="22"/>
          <w:szCs w:val="22"/>
          <w:lang w:val="es-AR"/>
        </w:rPr>
        <w:t>istema de Alerta Temprana</w:t>
      </w:r>
      <w:r w:rsidR="008D6878" w:rsidRPr="001A3AFE">
        <w:rPr>
          <w:rFonts w:ascii="Times New Roman" w:hAnsi="Times New Roman"/>
          <w:i/>
          <w:sz w:val="22"/>
          <w:szCs w:val="22"/>
          <w:lang w:val="es-AR"/>
        </w:rPr>
        <w:t xml:space="preserve"> (</w:t>
      </w:r>
      <w:r w:rsidR="00DC13FD" w:rsidRPr="001A3AFE">
        <w:rPr>
          <w:rFonts w:ascii="Times New Roman" w:hAnsi="Times New Roman"/>
          <w:i/>
          <w:sz w:val="22"/>
          <w:szCs w:val="22"/>
          <w:lang w:val="es-AR"/>
        </w:rPr>
        <w:t>S</w:t>
      </w:r>
      <w:r w:rsidRPr="001A3AFE">
        <w:rPr>
          <w:rFonts w:ascii="Times New Roman" w:hAnsi="Times New Roman"/>
          <w:i/>
          <w:sz w:val="22"/>
          <w:szCs w:val="22"/>
          <w:lang w:val="es-AR"/>
        </w:rPr>
        <w:t>AT</w:t>
      </w:r>
      <w:r w:rsidR="008D6878" w:rsidRPr="001A3AFE">
        <w:rPr>
          <w:rFonts w:ascii="Times New Roman" w:hAnsi="Times New Roman"/>
          <w:i/>
          <w:sz w:val="22"/>
          <w:szCs w:val="22"/>
          <w:lang w:val="es-AR"/>
        </w:rPr>
        <w:t>)</w:t>
      </w:r>
      <w:r w:rsidRPr="001A3AFE">
        <w:rPr>
          <w:rFonts w:ascii="Times New Roman" w:hAnsi="Times New Roman"/>
          <w:sz w:val="22"/>
          <w:szCs w:val="22"/>
          <w:lang w:val="es-AR"/>
        </w:rPr>
        <w:t>. Uno de los temas prioritarios para mej</w:t>
      </w:r>
      <w:r w:rsidR="00F4683C" w:rsidRPr="001A3AFE">
        <w:rPr>
          <w:rFonts w:ascii="Times New Roman" w:hAnsi="Times New Roman"/>
          <w:sz w:val="22"/>
          <w:szCs w:val="22"/>
          <w:lang w:val="es-AR"/>
        </w:rPr>
        <w:t>orar el desempeño de gestión de</w:t>
      </w:r>
      <w:r w:rsidRPr="001A3AFE">
        <w:rPr>
          <w:rFonts w:ascii="Times New Roman" w:hAnsi="Times New Roman"/>
          <w:sz w:val="22"/>
          <w:szCs w:val="22"/>
          <w:lang w:val="es-AR"/>
        </w:rPr>
        <w:t xml:space="preserve"> riesgo de desastres </w:t>
      </w:r>
      <w:r w:rsidR="00F4683C" w:rsidRPr="001A3AFE">
        <w:rPr>
          <w:rFonts w:ascii="Times New Roman" w:hAnsi="Times New Roman"/>
          <w:sz w:val="22"/>
          <w:szCs w:val="22"/>
          <w:lang w:val="es-AR"/>
        </w:rPr>
        <w:t>en</w:t>
      </w:r>
      <w:r w:rsidR="00D00F4D" w:rsidRPr="001A3AFE">
        <w:rPr>
          <w:rFonts w:ascii="Times New Roman" w:hAnsi="Times New Roman"/>
          <w:sz w:val="22"/>
          <w:szCs w:val="22"/>
          <w:lang w:val="es-AR"/>
        </w:rPr>
        <w:t xml:space="preserve"> Ecuador</w:t>
      </w:r>
      <w:r w:rsidRPr="001A3AFE">
        <w:rPr>
          <w:rFonts w:ascii="Times New Roman" w:hAnsi="Times New Roman"/>
          <w:sz w:val="22"/>
          <w:szCs w:val="22"/>
          <w:lang w:val="es-AR"/>
        </w:rPr>
        <w:t xml:space="preserve"> es el </w:t>
      </w:r>
      <w:r w:rsidR="00D00F4D" w:rsidRPr="001A3AFE">
        <w:rPr>
          <w:rFonts w:ascii="Times New Roman" w:hAnsi="Times New Roman"/>
          <w:sz w:val="22"/>
          <w:szCs w:val="22"/>
          <w:lang w:val="es-AR"/>
        </w:rPr>
        <w:t xml:space="preserve">fortalecimiento </w:t>
      </w:r>
      <w:r w:rsidR="00D00F4D" w:rsidRPr="001A3AFE">
        <w:rPr>
          <w:rFonts w:ascii="Times New Roman" w:hAnsi="Times New Roman"/>
          <w:noProof/>
          <w:sz w:val="22"/>
          <w:szCs w:val="22"/>
          <w:lang w:val="es-AR"/>
        </w:rPr>
        <w:t xml:space="preserve">del </w:t>
      </w:r>
      <w:r w:rsidR="00345339" w:rsidRPr="001A3AFE">
        <w:rPr>
          <w:rFonts w:ascii="Times New Roman" w:hAnsi="Times New Roman"/>
          <w:sz w:val="22"/>
          <w:szCs w:val="22"/>
          <w:lang w:val="es-AR"/>
        </w:rPr>
        <w:t>S</w:t>
      </w:r>
      <w:r w:rsidRPr="001A3AFE">
        <w:rPr>
          <w:rFonts w:ascii="Times New Roman" w:hAnsi="Times New Roman"/>
          <w:sz w:val="22"/>
          <w:szCs w:val="22"/>
          <w:lang w:val="es-AR"/>
        </w:rPr>
        <w:t xml:space="preserve">istema </w:t>
      </w:r>
      <w:r w:rsidR="00D00F4D" w:rsidRPr="001A3AFE">
        <w:rPr>
          <w:rFonts w:ascii="Times New Roman" w:hAnsi="Times New Roman"/>
          <w:sz w:val="22"/>
          <w:szCs w:val="22"/>
          <w:lang w:val="es-AR"/>
        </w:rPr>
        <w:t>N</w:t>
      </w:r>
      <w:r w:rsidRPr="001A3AFE">
        <w:rPr>
          <w:rFonts w:ascii="Times New Roman" w:hAnsi="Times New Roman"/>
          <w:sz w:val="22"/>
          <w:szCs w:val="22"/>
          <w:lang w:val="es-AR"/>
        </w:rPr>
        <w:t xml:space="preserve">acional de </w:t>
      </w:r>
      <w:r w:rsidR="00D00F4D" w:rsidRPr="001A3AFE">
        <w:rPr>
          <w:rFonts w:ascii="Times New Roman" w:hAnsi="Times New Roman"/>
          <w:sz w:val="22"/>
          <w:szCs w:val="22"/>
          <w:lang w:val="es-AR"/>
        </w:rPr>
        <w:t>Alerta T</w:t>
      </w:r>
      <w:r w:rsidR="00F4683C" w:rsidRPr="001A3AFE">
        <w:rPr>
          <w:rFonts w:ascii="Times New Roman" w:hAnsi="Times New Roman"/>
          <w:sz w:val="22"/>
          <w:szCs w:val="22"/>
          <w:lang w:val="es-AR"/>
        </w:rPr>
        <w:t xml:space="preserve">emprana </w:t>
      </w:r>
      <w:r w:rsidRPr="001A3AFE">
        <w:rPr>
          <w:rFonts w:ascii="Times New Roman" w:hAnsi="Times New Roman"/>
          <w:sz w:val="22"/>
          <w:szCs w:val="22"/>
          <w:lang w:val="es-AR"/>
        </w:rPr>
        <w:t>frente a eventos de amenazas</w:t>
      </w:r>
      <w:r w:rsidRPr="001A3AFE">
        <w:rPr>
          <w:rFonts w:ascii="Times New Roman" w:hAnsi="Times New Roman"/>
          <w:sz w:val="22"/>
          <w:szCs w:val="22"/>
          <w:vertAlign w:val="superscript"/>
          <w:lang w:val="es-AR"/>
        </w:rPr>
        <w:footnoteReference w:id="14"/>
      </w:r>
      <w:r w:rsidR="00345339" w:rsidRPr="001A3AFE">
        <w:rPr>
          <w:rFonts w:ascii="Times New Roman" w:hAnsi="Times New Roman"/>
          <w:sz w:val="22"/>
          <w:szCs w:val="22"/>
          <w:lang w:val="es-AR"/>
        </w:rPr>
        <w:t xml:space="preserve">. </w:t>
      </w:r>
      <w:r w:rsidRPr="001A3AFE">
        <w:rPr>
          <w:rFonts w:ascii="Times New Roman" w:hAnsi="Times New Roman"/>
          <w:sz w:val="22"/>
          <w:szCs w:val="22"/>
          <w:lang w:val="es-AR"/>
        </w:rPr>
        <w:t xml:space="preserve">El </w:t>
      </w:r>
      <w:r w:rsidR="001E30E6" w:rsidRPr="001A3AFE">
        <w:rPr>
          <w:rFonts w:ascii="Times New Roman" w:hAnsi="Times New Roman"/>
          <w:sz w:val="22"/>
          <w:szCs w:val="22"/>
          <w:lang w:val="es-AR"/>
        </w:rPr>
        <w:t xml:space="preserve">diseño del </w:t>
      </w:r>
      <w:r w:rsidRPr="001A3AFE">
        <w:rPr>
          <w:rFonts w:ascii="Times New Roman" w:hAnsi="Times New Roman"/>
          <w:sz w:val="22"/>
          <w:szCs w:val="22"/>
          <w:lang w:val="es-AR"/>
        </w:rPr>
        <w:t xml:space="preserve">SAT consta de elementos que deben </w:t>
      </w:r>
      <w:r w:rsidR="008D6878" w:rsidRPr="001A3AFE">
        <w:rPr>
          <w:rFonts w:ascii="Times New Roman" w:hAnsi="Times New Roman"/>
          <w:sz w:val="22"/>
          <w:szCs w:val="22"/>
          <w:lang w:val="es-AR"/>
        </w:rPr>
        <w:t xml:space="preserve"> </w:t>
      </w:r>
      <w:r w:rsidRPr="001A3AFE">
        <w:rPr>
          <w:rFonts w:ascii="Times New Roman" w:hAnsi="Times New Roman"/>
          <w:sz w:val="22"/>
          <w:szCs w:val="22"/>
          <w:lang w:val="es-AR"/>
        </w:rPr>
        <w:t>trabajar de manera orgánica: (i) monitoreo y análisis de amenaza (utilizando información recopilada automáticamente de estaciones de observación</w:t>
      </w:r>
      <w:r w:rsidR="00F4683C" w:rsidRPr="001A3AFE">
        <w:rPr>
          <w:rFonts w:ascii="Times New Roman" w:hAnsi="Times New Roman"/>
          <w:sz w:val="22"/>
          <w:szCs w:val="22"/>
          <w:lang w:val="es-AR"/>
        </w:rPr>
        <w:t xml:space="preserve"> de eventos naturales), (ii) </w:t>
      </w:r>
      <w:r w:rsidRPr="001A3AFE">
        <w:rPr>
          <w:rFonts w:ascii="Times New Roman" w:hAnsi="Times New Roman"/>
          <w:sz w:val="22"/>
          <w:szCs w:val="22"/>
          <w:lang w:val="es-AR"/>
        </w:rPr>
        <w:t>toma de decisiones para alertar a ciudadanos ante eventos de amenazas y difusión de la misma información hacia ciudadanos mediante medios de comunicación y sirenas comunitarias; (iii) acción preparativa de los ciudadanos tras recibir la información de alerta</w:t>
      </w:r>
      <w:r w:rsidR="00F4683C" w:rsidRPr="001A3AFE">
        <w:rPr>
          <w:rFonts w:ascii="Times New Roman" w:hAnsi="Times New Roman"/>
          <w:sz w:val="22"/>
          <w:szCs w:val="22"/>
          <w:lang w:val="es-AR"/>
        </w:rPr>
        <w:t xml:space="preserve"> (por ejemplo de evacuación a centro</w:t>
      </w:r>
      <w:r w:rsidR="001E30E6" w:rsidRPr="001A3AFE">
        <w:rPr>
          <w:rFonts w:ascii="Times New Roman" w:hAnsi="Times New Roman"/>
          <w:sz w:val="22"/>
          <w:szCs w:val="22"/>
          <w:lang w:val="es-AR"/>
        </w:rPr>
        <w:t>s</w:t>
      </w:r>
      <w:r w:rsidR="00F4683C" w:rsidRPr="001A3AFE">
        <w:rPr>
          <w:rFonts w:ascii="Times New Roman" w:hAnsi="Times New Roman"/>
          <w:sz w:val="22"/>
          <w:szCs w:val="22"/>
          <w:lang w:val="es-AR"/>
        </w:rPr>
        <w:t xml:space="preserve"> de albergue o sitios seguros)</w:t>
      </w:r>
      <w:r w:rsidRPr="001A3AFE">
        <w:rPr>
          <w:rFonts w:ascii="Times New Roman" w:hAnsi="Times New Roman"/>
          <w:sz w:val="22"/>
          <w:szCs w:val="22"/>
          <w:lang w:val="es-AR"/>
        </w:rPr>
        <w:t>. S</w:t>
      </w:r>
      <w:r w:rsidR="00D00F4D" w:rsidRPr="001A3AFE">
        <w:rPr>
          <w:rFonts w:ascii="Times New Roman" w:hAnsi="Times New Roman"/>
          <w:sz w:val="22"/>
          <w:szCs w:val="22"/>
          <w:lang w:val="es-AR"/>
        </w:rPr>
        <w:t>e trata de</w:t>
      </w:r>
      <w:r w:rsidRPr="001A3AFE">
        <w:rPr>
          <w:rFonts w:ascii="Times New Roman" w:hAnsi="Times New Roman"/>
          <w:sz w:val="22"/>
          <w:szCs w:val="22"/>
          <w:lang w:val="es-AR"/>
        </w:rPr>
        <w:t xml:space="preserve"> un sistema para empoderar a los ciudadanos y comunidades expuestas a las amenazas con fines de actuar (evacuar</w:t>
      </w:r>
      <w:r w:rsidR="00D00F4D" w:rsidRPr="001A3AFE">
        <w:rPr>
          <w:rFonts w:ascii="Times New Roman" w:hAnsi="Times New Roman"/>
          <w:sz w:val="22"/>
          <w:szCs w:val="22"/>
          <w:lang w:val="es-AR"/>
        </w:rPr>
        <w:t xml:space="preserve"> u otras medidas</w:t>
      </w:r>
      <w:r w:rsidRPr="001A3AFE">
        <w:rPr>
          <w:rFonts w:ascii="Times New Roman" w:hAnsi="Times New Roman"/>
          <w:sz w:val="22"/>
          <w:szCs w:val="22"/>
          <w:lang w:val="es-AR"/>
        </w:rPr>
        <w:t xml:space="preserve">), en tiempo oportuno en caso de emergencia </w:t>
      </w:r>
      <w:r w:rsidR="00D00F4D" w:rsidRPr="001A3AFE">
        <w:rPr>
          <w:rFonts w:ascii="Times New Roman" w:hAnsi="Times New Roman"/>
          <w:sz w:val="22"/>
          <w:szCs w:val="22"/>
          <w:lang w:val="es-AR"/>
        </w:rPr>
        <w:t xml:space="preserve">con el </w:t>
      </w:r>
      <w:r w:rsidR="00D00F4D" w:rsidRPr="001A3AFE">
        <w:rPr>
          <w:rFonts w:ascii="Times New Roman" w:hAnsi="Times New Roman"/>
          <w:sz w:val="22"/>
          <w:szCs w:val="22"/>
          <w:lang w:val="es-AR"/>
        </w:rPr>
        <w:lastRenderedPageBreak/>
        <w:t>objetivo de</w:t>
      </w:r>
      <w:r w:rsidRPr="001A3AFE">
        <w:rPr>
          <w:rFonts w:ascii="Times New Roman" w:hAnsi="Times New Roman"/>
          <w:sz w:val="22"/>
          <w:szCs w:val="22"/>
          <w:lang w:val="es-AR"/>
        </w:rPr>
        <w:t xml:space="preserve"> reducir la pérdida de vidas</w:t>
      </w:r>
      <w:r w:rsidR="00D00F4D" w:rsidRPr="001A3AFE">
        <w:rPr>
          <w:rFonts w:ascii="Times New Roman" w:hAnsi="Times New Roman"/>
          <w:sz w:val="22"/>
          <w:szCs w:val="22"/>
          <w:lang w:val="es-AR"/>
        </w:rPr>
        <w:t>, daños a las personas o</w:t>
      </w:r>
      <w:r w:rsidRPr="001A3AFE">
        <w:rPr>
          <w:rFonts w:ascii="Times New Roman" w:hAnsi="Times New Roman"/>
          <w:sz w:val="22"/>
          <w:szCs w:val="22"/>
          <w:lang w:val="es-AR"/>
        </w:rPr>
        <w:t xml:space="preserve"> a la propiedad</w:t>
      </w:r>
      <w:r w:rsidR="00D00F4D" w:rsidRPr="001A3AFE">
        <w:rPr>
          <w:rFonts w:ascii="Times New Roman" w:hAnsi="Times New Roman"/>
          <w:sz w:val="22"/>
          <w:szCs w:val="22"/>
          <w:lang w:val="es-AR"/>
        </w:rPr>
        <w:t xml:space="preserve">, así como </w:t>
      </w:r>
      <w:r w:rsidR="008D6878" w:rsidRPr="001A3AFE">
        <w:rPr>
          <w:rFonts w:ascii="Times New Roman" w:hAnsi="Times New Roman"/>
          <w:sz w:val="22"/>
          <w:szCs w:val="22"/>
          <w:lang w:val="es-AR"/>
        </w:rPr>
        <w:t xml:space="preserve">mitigar en lo posible </w:t>
      </w:r>
      <w:r w:rsidR="00D00F4D" w:rsidRPr="001A3AFE">
        <w:rPr>
          <w:rFonts w:ascii="Times New Roman" w:hAnsi="Times New Roman"/>
          <w:sz w:val="22"/>
          <w:szCs w:val="22"/>
          <w:lang w:val="es-AR"/>
        </w:rPr>
        <w:t xml:space="preserve">afectaciones a la infraestructura </w:t>
      </w:r>
      <w:r w:rsidR="008D6878" w:rsidRPr="001A3AFE">
        <w:rPr>
          <w:rFonts w:ascii="Times New Roman" w:hAnsi="Times New Roman"/>
          <w:sz w:val="22"/>
          <w:szCs w:val="22"/>
          <w:lang w:val="es-AR"/>
        </w:rPr>
        <w:t>y el medio ambiente</w:t>
      </w:r>
      <w:r w:rsidRPr="00837476">
        <w:rPr>
          <w:rFonts w:ascii="Times New Roman" w:hAnsi="Times New Roman"/>
          <w:sz w:val="22"/>
          <w:szCs w:val="22"/>
          <w:lang w:val="es-ES_tradnl"/>
        </w:rPr>
        <w:t xml:space="preserve">. </w:t>
      </w:r>
      <w:r w:rsidR="008D6878" w:rsidRPr="00837476">
        <w:rPr>
          <w:rFonts w:ascii="Times New Roman" w:hAnsi="Times New Roman"/>
          <w:sz w:val="22"/>
          <w:szCs w:val="22"/>
          <w:lang w:val="es-ES_tradnl"/>
        </w:rPr>
        <w:t xml:space="preserve"> </w:t>
      </w:r>
    </w:p>
    <w:p w:rsidR="0080208C" w:rsidRPr="001A3AFE" w:rsidRDefault="0080208C" w:rsidP="00C95815">
      <w:pPr>
        <w:numPr>
          <w:ilvl w:val="1"/>
          <w:numId w:val="12"/>
        </w:numPr>
        <w:jc w:val="both"/>
        <w:rPr>
          <w:rFonts w:ascii="Times New Roman" w:hAnsi="Times New Roman"/>
          <w:bCs/>
          <w:sz w:val="22"/>
          <w:szCs w:val="22"/>
          <w:lang w:val="es-AR"/>
        </w:rPr>
      </w:pPr>
      <w:r w:rsidRPr="001A3AFE">
        <w:rPr>
          <w:rFonts w:ascii="Times New Roman" w:hAnsi="Times New Roman"/>
          <w:sz w:val="22"/>
          <w:szCs w:val="22"/>
          <w:lang w:val="es-AR"/>
        </w:rPr>
        <w:t xml:space="preserve">Durante los últimos años </w:t>
      </w:r>
      <w:r w:rsidR="001E30E6" w:rsidRPr="001A3AFE">
        <w:rPr>
          <w:rFonts w:ascii="Times New Roman" w:hAnsi="Times New Roman"/>
          <w:sz w:val="22"/>
          <w:szCs w:val="22"/>
          <w:lang w:val="es-AR"/>
        </w:rPr>
        <w:t>se ha expandido la instalación de</w:t>
      </w:r>
      <w:r w:rsidRPr="001A3AFE">
        <w:rPr>
          <w:rFonts w:ascii="Times New Roman" w:hAnsi="Times New Roman"/>
          <w:sz w:val="22"/>
          <w:szCs w:val="22"/>
          <w:lang w:val="es-AR"/>
        </w:rPr>
        <w:t xml:space="preserve"> SAT</w:t>
      </w:r>
      <w:r w:rsidR="008D6878" w:rsidRPr="001A3AFE">
        <w:rPr>
          <w:rFonts w:ascii="Times New Roman" w:hAnsi="Times New Roman"/>
          <w:sz w:val="22"/>
          <w:szCs w:val="22"/>
          <w:lang w:val="es-AR"/>
        </w:rPr>
        <w:t>s</w:t>
      </w:r>
      <w:r w:rsidRPr="001A3AFE">
        <w:rPr>
          <w:rFonts w:ascii="Times New Roman" w:hAnsi="Times New Roman"/>
          <w:sz w:val="22"/>
          <w:szCs w:val="22"/>
          <w:lang w:val="es-AR"/>
        </w:rPr>
        <w:t xml:space="preserve"> </w:t>
      </w:r>
      <w:r w:rsidR="001E30E6" w:rsidRPr="001A3AFE">
        <w:rPr>
          <w:rFonts w:ascii="Times New Roman" w:hAnsi="Times New Roman"/>
          <w:sz w:val="22"/>
          <w:szCs w:val="22"/>
          <w:lang w:val="es-AR"/>
        </w:rPr>
        <w:t>en varios países</w:t>
      </w:r>
      <w:r w:rsidRPr="001A3AFE">
        <w:rPr>
          <w:rFonts w:ascii="Times New Roman" w:hAnsi="Times New Roman"/>
          <w:sz w:val="22"/>
          <w:szCs w:val="22"/>
          <w:lang w:val="es-AR"/>
        </w:rPr>
        <w:t xml:space="preserve"> para reducir la vulnerabilidad de las poblaciones expuestas </w:t>
      </w:r>
      <w:r w:rsidR="006C212F" w:rsidRPr="001A3AFE">
        <w:rPr>
          <w:rFonts w:ascii="Times New Roman" w:hAnsi="Times New Roman"/>
          <w:sz w:val="22"/>
          <w:szCs w:val="22"/>
          <w:lang w:val="es-AR"/>
        </w:rPr>
        <w:t xml:space="preserve">a </w:t>
      </w:r>
      <w:r w:rsidRPr="001A3AFE">
        <w:rPr>
          <w:rFonts w:ascii="Times New Roman" w:hAnsi="Times New Roman"/>
          <w:sz w:val="22"/>
          <w:szCs w:val="22"/>
          <w:lang w:val="es-AR"/>
        </w:rPr>
        <w:t xml:space="preserve">amenazas (UNISDR, 2010). </w:t>
      </w:r>
      <w:r w:rsidR="00D00F4D" w:rsidRPr="001A3AFE">
        <w:rPr>
          <w:rFonts w:ascii="Times New Roman" w:hAnsi="Times New Roman"/>
          <w:sz w:val="22"/>
          <w:szCs w:val="22"/>
          <w:lang w:val="es-AR"/>
        </w:rPr>
        <w:t xml:space="preserve"> Del apropiado funcionamiento y mantenimiento de</w:t>
      </w:r>
      <w:r w:rsidR="008D6878" w:rsidRPr="001A3AFE">
        <w:rPr>
          <w:rFonts w:ascii="Times New Roman" w:hAnsi="Times New Roman"/>
          <w:sz w:val="22"/>
          <w:szCs w:val="22"/>
          <w:lang w:val="es-AR"/>
        </w:rPr>
        <w:t xml:space="preserve"> estos sistemas </w:t>
      </w:r>
      <w:r w:rsidR="00D00F4D" w:rsidRPr="001A3AFE">
        <w:rPr>
          <w:rFonts w:ascii="Times New Roman" w:hAnsi="Times New Roman"/>
          <w:sz w:val="22"/>
          <w:szCs w:val="22"/>
          <w:lang w:val="es-AR"/>
        </w:rPr>
        <w:t xml:space="preserve"> se genera</w:t>
      </w:r>
      <w:r w:rsidR="008D6878" w:rsidRPr="001A3AFE">
        <w:rPr>
          <w:rFonts w:ascii="Times New Roman" w:hAnsi="Times New Roman"/>
          <w:sz w:val="22"/>
          <w:szCs w:val="22"/>
          <w:lang w:val="es-AR"/>
        </w:rPr>
        <w:t>n</w:t>
      </w:r>
      <w:r w:rsidR="00D00F4D" w:rsidRPr="001A3AFE">
        <w:rPr>
          <w:rFonts w:ascii="Times New Roman" w:hAnsi="Times New Roman"/>
          <w:sz w:val="22"/>
          <w:szCs w:val="22"/>
          <w:lang w:val="es-AR"/>
        </w:rPr>
        <w:t xml:space="preserve"> </w:t>
      </w:r>
      <w:r w:rsidR="00040491" w:rsidRPr="001A3AFE">
        <w:rPr>
          <w:rFonts w:ascii="Times New Roman" w:hAnsi="Times New Roman"/>
          <w:sz w:val="22"/>
          <w:szCs w:val="22"/>
          <w:lang w:val="es-AR"/>
        </w:rPr>
        <w:t xml:space="preserve"> beneficios</w:t>
      </w:r>
      <w:r w:rsidRPr="001A3AFE">
        <w:rPr>
          <w:rFonts w:ascii="Times New Roman" w:hAnsi="Times New Roman"/>
          <w:sz w:val="22"/>
          <w:szCs w:val="22"/>
          <w:lang w:val="es-AR"/>
        </w:rPr>
        <w:t xml:space="preserve"> </w:t>
      </w:r>
      <w:r w:rsidR="00D00F4D" w:rsidRPr="001A3AFE">
        <w:rPr>
          <w:rFonts w:ascii="Times New Roman" w:hAnsi="Times New Roman"/>
          <w:sz w:val="22"/>
          <w:szCs w:val="22"/>
          <w:lang w:val="es-AR"/>
        </w:rPr>
        <w:t>en las poblaciones objetivo, entre las que se destacan</w:t>
      </w:r>
      <w:r w:rsidRPr="001A3AFE">
        <w:rPr>
          <w:rFonts w:ascii="Times New Roman" w:hAnsi="Times New Roman"/>
          <w:sz w:val="22"/>
          <w:szCs w:val="22"/>
          <w:lang w:val="es-AR"/>
        </w:rPr>
        <w:t>: (i) reducir el número de persona</w:t>
      </w:r>
      <w:r w:rsidR="001E30E6" w:rsidRPr="001A3AFE">
        <w:rPr>
          <w:rFonts w:ascii="Times New Roman" w:hAnsi="Times New Roman"/>
          <w:sz w:val="22"/>
          <w:szCs w:val="22"/>
          <w:lang w:val="es-AR"/>
        </w:rPr>
        <w:t>s</w:t>
      </w:r>
      <w:r w:rsidRPr="001A3AFE">
        <w:rPr>
          <w:rFonts w:ascii="Times New Roman" w:hAnsi="Times New Roman"/>
          <w:sz w:val="22"/>
          <w:szCs w:val="22"/>
          <w:lang w:val="es-AR"/>
        </w:rPr>
        <w:t xml:space="preserve"> afectadas; (ii) beneficiar específicamente a grupos más vulnerables (niños y niñas, adultos mayores, indígenas y discapacitados, quienes en general </w:t>
      </w:r>
      <w:r w:rsidR="0011729D" w:rsidRPr="001A3AFE">
        <w:rPr>
          <w:rFonts w:ascii="Times New Roman" w:hAnsi="Times New Roman"/>
          <w:sz w:val="22"/>
          <w:szCs w:val="22"/>
          <w:lang w:val="es-AR"/>
        </w:rPr>
        <w:t>enfrentan más dificultades para</w:t>
      </w:r>
      <w:r w:rsidRPr="001A3AFE">
        <w:rPr>
          <w:rFonts w:ascii="Times New Roman" w:hAnsi="Times New Roman"/>
          <w:sz w:val="22"/>
          <w:szCs w:val="22"/>
          <w:lang w:val="es-AR"/>
        </w:rPr>
        <w:t xml:space="preserve"> la información en situación de emergencia permitiéndoles una evacuación oportuna; y (iii) bajo costo de instalación y mantenimiento comparado con otras medidas </w:t>
      </w:r>
      <w:r w:rsidR="007244B1">
        <w:rPr>
          <w:rFonts w:ascii="Times New Roman" w:hAnsi="Times New Roman"/>
          <w:sz w:val="22"/>
          <w:szCs w:val="22"/>
          <w:lang w:val="es-AR"/>
        </w:rPr>
        <w:t>(</w:t>
      </w:r>
      <w:r w:rsidRPr="001A3AFE">
        <w:rPr>
          <w:rFonts w:ascii="Times New Roman" w:hAnsi="Times New Roman"/>
          <w:sz w:val="22"/>
          <w:szCs w:val="22"/>
          <w:lang w:val="es-AR"/>
        </w:rPr>
        <w:t xml:space="preserve">por ejemplo obras </w:t>
      </w:r>
      <w:r w:rsidR="0011729D" w:rsidRPr="001A3AFE">
        <w:rPr>
          <w:rFonts w:ascii="Times New Roman" w:hAnsi="Times New Roman"/>
          <w:sz w:val="22"/>
          <w:szCs w:val="22"/>
          <w:lang w:val="es-AR"/>
        </w:rPr>
        <w:t>de infraestructura destinadas a protección civil</w:t>
      </w:r>
      <w:r w:rsidR="0011729D" w:rsidRPr="001A3AFE">
        <w:rPr>
          <w:rStyle w:val="FootnoteReference"/>
          <w:rFonts w:ascii="Times New Roman" w:hAnsi="Times New Roman"/>
          <w:sz w:val="22"/>
          <w:szCs w:val="22"/>
          <w:lang w:val="es-AR"/>
        </w:rPr>
        <w:footnoteReference w:id="15"/>
      </w:r>
      <w:r w:rsidR="004112FE">
        <w:rPr>
          <w:rFonts w:ascii="Times New Roman" w:hAnsi="Times New Roman"/>
          <w:sz w:val="22"/>
          <w:szCs w:val="22"/>
          <w:lang w:val="es-AR"/>
        </w:rPr>
        <w:t>)</w:t>
      </w:r>
      <w:r w:rsidR="0011729D" w:rsidRPr="001A3AFE">
        <w:rPr>
          <w:rFonts w:ascii="Times New Roman" w:hAnsi="Times New Roman"/>
          <w:sz w:val="22"/>
          <w:szCs w:val="22"/>
          <w:lang w:val="es-AR"/>
        </w:rPr>
        <w:t xml:space="preserve">. </w:t>
      </w:r>
    </w:p>
    <w:p w:rsidR="008D6878" w:rsidRPr="003E6D01" w:rsidRDefault="008D6878" w:rsidP="00C95815">
      <w:pPr>
        <w:numPr>
          <w:ilvl w:val="1"/>
          <w:numId w:val="12"/>
        </w:numPr>
        <w:jc w:val="both"/>
        <w:rPr>
          <w:rFonts w:ascii="Times New Roman" w:hAnsi="Times New Roman"/>
          <w:bCs/>
          <w:sz w:val="22"/>
          <w:szCs w:val="22"/>
          <w:lang w:val="es-ES"/>
        </w:rPr>
      </w:pPr>
      <w:r w:rsidRPr="001A3AFE">
        <w:rPr>
          <w:rFonts w:ascii="Times New Roman" w:hAnsi="Times New Roman"/>
          <w:sz w:val="22"/>
          <w:szCs w:val="22"/>
          <w:lang w:val="es-AR"/>
        </w:rPr>
        <w:t>El funcionamiento del S</w:t>
      </w:r>
      <w:r w:rsidR="00F4683C" w:rsidRPr="001A3AFE">
        <w:rPr>
          <w:rFonts w:ascii="Times New Roman" w:hAnsi="Times New Roman"/>
          <w:sz w:val="22"/>
          <w:szCs w:val="22"/>
          <w:lang w:val="es-AR"/>
        </w:rPr>
        <w:t>AT</w:t>
      </w:r>
      <w:r w:rsidRPr="001A3AFE">
        <w:rPr>
          <w:rFonts w:ascii="Times New Roman" w:hAnsi="Times New Roman"/>
          <w:sz w:val="22"/>
          <w:szCs w:val="22"/>
          <w:lang w:val="es-AR"/>
        </w:rPr>
        <w:t xml:space="preserve"> ecuatoriano frente al </w:t>
      </w:r>
      <w:r w:rsidR="00F645ED">
        <w:rPr>
          <w:rFonts w:ascii="Times New Roman" w:hAnsi="Times New Roman"/>
          <w:sz w:val="22"/>
          <w:szCs w:val="22"/>
          <w:lang w:val="es-AR"/>
        </w:rPr>
        <w:t>sismo de abril de 2016</w:t>
      </w:r>
      <w:r w:rsidRPr="001A3AFE">
        <w:rPr>
          <w:rFonts w:ascii="Times New Roman" w:hAnsi="Times New Roman"/>
          <w:sz w:val="22"/>
          <w:szCs w:val="22"/>
          <w:lang w:val="es-AR"/>
        </w:rPr>
        <w:t xml:space="preserve"> no satisfizo sus objetivos operacionales</w:t>
      </w:r>
      <w:r w:rsidRPr="001A3AFE">
        <w:rPr>
          <w:rFonts w:ascii="Times New Roman" w:hAnsi="Times New Roman"/>
          <w:sz w:val="22"/>
          <w:szCs w:val="22"/>
          <w:vertAlign w:val="superscript"/>
          <w:lang w:val="es-AR"/>
        </w:rPr>
        <w:footnoteReference w:id="16"/>
      </w:r>
      <w:r w:rsidRPr="001A3AFE">
        <w:rPr>
          <w:rFonts w:ascii="Times New Roman" w:hAnsi="Times New Roman"/>
          <w:sz w:val="22"/>
          <w:szCs w:val="22"/>
          <w:lang w:val="es-AR"/>
        </w:rPr>
        <w:t>, ya que el GdE reportó que muchos ciudadanos no habían recibido la información inmediata del sismo (por ejemplo, su epicentro y magnitud) ni el alerta de posible amenaza adicional por tsunamis</w:t>
      </w:r>
      <w:r w:rsidRPr="00837476">
        <w:rPr>
          <w:rFonts w:ascii="Times New Roman" w:hAnsi="Times New Roman"/>
          <w:sz w:val="22"/>
          <w:szCs w:val="22"/>
          <w:lang w:val="es-ES_tradnl"/>
        </w:rPr>
        <w:t>.</w:t>
      </w:r>
    </w:p>
    <w:p w:rsidR="00D86098" w:rsidRDefault="00DC13FD" w:rsidP="00DC13FD">
      <w:pPr>
        <w:pStyle w:val="Heading3"/>
        <w:rPr>
          <w:bCs w:val="0"/>
          <w:sz w:val="22"/>
          <w:lang w:val="es-ES"/>
        </w:rPr>
      </w:pPr>
      <w:bookmarkStart w:id="94" w:name="_Toc465929613"/>
      <w:bookmarkStart w:id="95" w:name="_Toc468199825"/>
      <w:r>
        <w:rPr>
          <w:lang w:val="es-ES_tradnl"/>
        </w:rPr>
        <w:t>Enfoque</w:t>
      </w:r>
      <w:r w:rsidRPr="00DC13FD">
        <w:rPr>
          <w:lang w:val="es-ES_tradnl"/>
        </w:rPr>
        <w:t>.</w:t>
      </w:r>
      <w:bookmarkEnd w:id="94"/>
      <w:bookmarkEnd w:id="95"/>
    </w:p>
    <w:p w:rsidR="00D86098" w:rsidRDefault="0031039A" w:rsidP="00C95815">
      <w:pPr>
        <w:numPr>
          <w:ilvl w:val="1"/>
          <w:numId w:val="12"/>
        </w:numPr>
        <w:jc w:val="both"/>
        <w:rPr>
          <w:rFonts w:ascii="Times New Roman" w:hAnsi="Times New Roman"/>
          <w:bCs/>
          <w:sz w:val="22"/>
          <w:lang w:val="es-ES"/>
        </w:rPr>
      </w:pPr>
      <w:r>
        <w:rPr>
          <w:rFonts w:ascii="Times New Roman" w:hAnsi="Times New Roman"/>
          <w:bCs/>
          <w:sz w:val="22"/>
          <w:lang w:val="es-ES"/>
        </w:rPr>
        <w:t>Existen una secuencia de</w:t>
      </w:r>
      <w:r w:rsidRPr="0031039A">
        <w:rPr>
          <w:rFonts w:ascii="Times New Roman" w:hAnsi="Times New Roman"/>
          <w:bCs/>
          <w:sz w:val="22"/>
          <w:lang w:val="es-ES"/>
        </w:rPr>
        <w:t xml:space="preserve"> elementos básicos </w:t>
      </w:r>
      <w:r>
        <w:rPr>
          <w:rFonts w:ascii="Times New Roman" w:hAnsi="Times New Roman"/>
          <w:bCs/>
          <w:sz w:val="22"/>
          <w:lang w:val="es-ES"/>
        </w:rPr>
        <w:t xml:space="preserve">que se </w:t>
      </w:r>
      <w:r w:rsidR="00DF266D">
        <w:rPr>
          <w:rFonts w:ascii="Times New Roman" w:hAnsi="Times New Roman"/>
          <w:bCs/>
          <w:sz w:val="22"/>
          <w:lang w:val="es-ES"/>
        </w:rPr>
        <w:t>enlazan</w:t>
      </w:r>
      <w:r>
        <w:rPr>
          <w:rFonts w:ascii="Times New Roman" w:hAnsi="Times New Roman"/>
          <w:bCs/>
          <w:sz w:val="22"/>
          <w:lang w:val="es-ES"/>
        </w:rPr>
        <w:t xml:space="preserve"> </w:t>
      </w:r>
      <w:r w:rsidRPr="0031039A">
        <w:rPr>
          <w:rFonts w:ascii="Times New Roman" w:hAnsi="Times New Roman"/>
          <w:bCs/>
          <w:sz w:val="22"/>
          <w:lang w:val="es-ES"/>
        </w:rPr>
        <w:t xml:space="preserve">para </w:t>
      </w:r>
      <w:r>
        <w:rPr>
          <w:rFonts w:ascii="Times New Roman" w:hAnsi="Times New Roman"/>
          <w:bCs/>
          <w:sz w:val="22"/>
          <w:lang w:val="es-ES"/>
        </w:rPr>
        <w:t xml:space="preserve">la </w:t>
      </w:r>
      <w:r w:rsidRPr="0031039A">
        <w:rPr>
          <w:rFonts w:ascii="Times New Roman" w:hAnsi="Times New Roman"/>
          <w:bCs/>
          <w:sz w:val="22"/>
          <w:lang w:val="es-ES"/>
        </w:rPr>
        <w:t xml:space="preserve">evaluación del </w:t>
      </w:r>
      <w:r w:rsidR="00DD2DC1">
        <w:rPr>
          <w:rFonts w:ascii="Times New Roman" w:hAnsi="Times New Roman"/>
          <w:bCs/>
          <w:sz w:val="22"/>
          <w:lang w:val="es-ES"/>
        </w:rPr>
        <w:t xml:space="preserve">riesgo de </w:t>
      </w:r>
      <w:r>
        <w:rPr>
          <w:rFonts w:ascii="Times New Roman" w:hAnsi="Times New Roman"/>
          <w:bCs/>
          <w:sz w:val="22"/>
          <w:lang w:val="es-ES"/>
        </w:rPr>
        <w:t xml:space="preserve">desastre: </w:t>
      </w:r>
      <w:r w:rsidR="00DD2DC1">
        <w:rPr>
          <w:rFonts w:ascii="Times New Roman" w:hAnsi="Times New Roman"/>
          <w:bCs/>
          <w:sz w:val="22"/>
          <w:lang w:val="es-ES"/>
        </w:rPr>
        <w:t>la tipología y las características de la amenaza</w:t>
      </w:r>
      <w:r w:rsidR="00DF266D">
        <w:rPr>
          <w:rFonts w:ascii="Times New Roman" w:hAnsi="Times New Roman"/>
          <w:bCs/>
          <w:sz w:val="22"/>
          <w:lang w:val="es-ES"/>
        </w:rPr>
        <w:t>/</w:t>
      </w:r>
      <w:r w:rsidR="00DD2DC1">
        <w:rPr>
          <w:rFonts w:ascii="Times New Roman" w:hAnsi="Times New Roman"/>
          <w:bCs/>
          <w:sz w:val="22"/>
          <w:lang w:val="es-ES"/>
        </w:rPr>
        <w:t>peligro</w:t>
      </w:r>
      <w:r w:rsidRPr="0031039A">
        <w:rPr>
          <w:rFonts w:ascii="Times New Roman" w:hAnsi="Times New Roman"/>
          <w:bCs/>
          <w:sz w:val="22"/>
          <w:lang w:val="es-ES"/>
        </w:rPr>
        <w:t xml:space="preserve">, </w:t>
      </w:r>
      <w:r w:rsidR="00DD2DC1">
        <w:rPr>
          <w:rFonts w:ascii="Times New Roman" w:hAnsi="Times New Roman"/>
          <w:bCs/>
          <w:sz w:val="22"/>
          <w:lang w:val="es-ES"/>
        </w:rPr>
        <w:t xml:space="preserve"> los elementos expuestos al mismo (es decir </w:t>
      </w:r>
      <w:r w:rsidRPr="0031039A">
        <w:rPr>
          <w:rFonts w:ascii="Times New Roman" w:hAnsi="Times New Roman"/>
          <w:bCs/>
          <w:sz w:val="22"/>
          <w:lang w:val="es-ES"/>
        </w:rPr>
        <w:t>el inventario</w:t>
      </w:r>
      <w:r>
        <w:rPr>
          <w:rFonts w:ascii="Times New Roman" w:hAnsi="Times New Roman"/>
          <w:bCs/>
          <w:sz w:val="22"/>
          <w:lang w:val="es-ES"/>
        </w:rPr>
        <w:t xml:space="preserve"> afectado </w:t>
      </w:r>
      <w:r w:rsidR="00DD2DC1">
        <w:rPr>
          <w:rFonts w:ascii="Times New Roman" w:hAnsi="Times New Roman"/>
          <w:bCs/>
          <w:sz w:val="22"/>
          <w:lang w:val="es-ES"/>
        </w:rPr>
        <w:t xml:space="preserve">medido en </w:t>
      </w:r>
      <w:r>
        <w:rPr>
          <w:rFonts w:ascii="Times New Roman" w:hAnsi="Times New Roman"/>
          <w:bCs/>
          <w:sz w:val="22"/>
          <w:lang w:val="es-ES"/>
        </w:rPr>
        <w:t>personas y bienes)</w:t>
      </w:r>
      <w:r w:rsidR="008E6ACC">
        <w:rPr>
          <w:rFonts w:ascii="Times New Roman" w:hAnsi="Times New Roman"/>
          <w:bCs/>
          <w:sz w:val="22"/>
          <w:lang w:val="es-ES"/>
        </w:rPr>
        <w:t xml:space="preserve"> y</w:t>
      </w:r>
      <w:r w:rsidRPr="0031039A">
        <w:rPr>
          <w:rFonts w:ascii="Times New Roman" w:hAnsi="Times New Roman"/>
          <w:bCs/>
          <w:sz w:val="22"/>
          <w:lang w:val="es-ES"/>
        </w:rPr>
        <w:t xml:space="preserve"> la vulnerabilidad </w:t>
      </w:r>
      <w:r>
        <w:rPr>
          <w:rFonts w:ascii="Times New Roman" w:hAnsi="Times New Roman"/>
          <w:bCs/>
          <w:sz w:val="22"/>
          <w:lang w:val="es-ES"/>
        </w:rPr>
        <w:t>de ese inventario a las características de</w:t>
      </w:r>
      <w:r w:rsidR="00DD2DC1">
        <w:rPr>
          <w:rFonts w:ascii="Times New Roman" w:hAnsi="Times New Roman"/>
          <w:bCs/>
          <w:sz w:val="22"/>
          <w:lang w:val="es-ES"/>
        </w:rPr>
        <w:t xml:space="preserve"> </w:t>
      </w:r>
      <w:r>
        <w:rPr>
          <w:rFonts w:ascii="Times New Roman" w:hAnsi="Times New Roman"/>
          <w:bCs/>
          <w:sz w:val="22"/>
          <w:lang w:val="es-ES"/>
        </w:rPr>
        <w:t>l</w:t>
      </w:r>
      <w:r w:rsidR="00DD2DC1">
        <w:rPr>
          <w:rFonts w:ascii="Times New Roman" w:hAnsi="Times New Roman"/>
          <w:bCs/>
          <w:sz w:val="22"/>
          <w:lang w:val="es-ES"/>
        </w:rPr>
        <w:t>a amenaza</w:t>
      </w:r>
      <w:r>
        <w:rPr>
          <w:rFonts w:ascii="Times New Roman" w:hAnsi="Times New Roman"/>
          <w:bCs/>
          <w:sz w:val="22"/>
          <w:lang w:val="es-ES"/>
        </w:rPr>
        <w:t xml:space="preserve"> enfrentad</w:t>
      </w:r>
      <w:r w:rsidR="00DD2DC1">
        <w:rPr>
          <w:rFonts w:ascii="Times New Roman" w:hAnsi="Times New Roman"/>
          <w:bCs/>
          <w:sz w:val="22"/>
          <w:lang w:val="es-ES"/>
        </w:rPr>
        <w:t>a</w:t>
      </w:r>
      <w:r w:rsidR="00DF266D">
        <w:rPr>
          <w:rFonts w:ascii="Times New Roman" w:hAnsi="Times New Roman"/>
          <w:bCs/>
          <w:sz w:val="22"/>
          <w:lang w:val="es-ES"/>
        </w:rPr>
        <w:t>.</w:t>
      </w:r>
      <w:r w:rsidRPr="0031039A">
        <w:rPr>
          <w:rFonts w:ascii="Times New Roman" w:hAnsi="Times New Roman"/>
          <w:bCs/>
          <w:sz w:val="22"/>
          <w:lang w:val="es-ES"/>
        </w:rPr>
        <w:t xml:space="preserve"> E</w:t>
      </w:r>
      <w:r w:rsidR="00DD2DC1">
        <w:rPr>
          <w:rFonts w:ascii="Times New Roman" w:hAnsi="Times New Roman"/>
          <w:bCs/>
          <w:sz w:val="22"/>
          <w:lang w:val="es-ES"/>
        </w:rPr>
        <w:t xml:space="preserve">l primer elemento se centra en aspectos específicos </w:t>
      </w:r>
      <w:r w:rsidRPr="0031039A">
        <w:rPr>
          <w:rFonts w:ascii="Times New Roman" w:hAnsi="Times New Roman"/>
          <w:bCs/>
          <w:sz w:val="22"/>
          <w:lang w:val="es-ES"/>
        </w:rPr>
        <w:t>de</w:t>
      </w:r>
      <w:r>
        <w:rPr>
          <w:rFonts w:ascii="Times New Roman" w:hAnsi="Times New Roman"/>
          <w:bCs/>
          <w:sz w:val="22"/>
          <w:lang w:val="es-ES"/>
        </w:rPr>
        <w:t>l evento</w:t>
      </w:r>
      <w:r w:rsidR="00DD2DC1">
        <w:rPr>
          <w:rFonts w:ascii="Times New Roman" w:hAnsi="Times New Roman"/>
          <w:bCs/>
          <w:sz w:val="22"/>
          <w:lang w:val="es-ES"/>
        </w:rPr>
        <w:t>. Por ejemplo, los peligros ligados a un</w:t>
      </w:r>
      <w:r w:rsidRPr="0031039A">
        <w:rPr>
          <w:rFonts w:ascii="Times New Roman" w:hAnsi="Times New Roman"/>
          <w:bCs/>
          <w:sz w:val="22"/>
          <w:lang w:val="es-ES"/>
        </w:rPr>
        <w:t xml:space="preserve"> terremoto se caracteriza</w:t>
      </w:r>
      <w:r w:rsidR="00DD2DC1">
        <w:rPr>
          <w:rFonts w:ascii="Times New Roman" w:hAnsi="Times New Roman"/>
          <w:bCs/>
          <w:sz w:val="22"/>
          <w:lang w:val="es-ES"/>
        </w:rPr>
        <w:t>n</w:t>
      </w:r>
      <w:r w:rsidRPr="0031039A">
        <w:rPr>
          <w:rFonts w:ascii="Times New Roman" w:hAnsi="Times New Roman"/>
          <w:bCs/>
          <w:sz w:val="22"/>
          <w:lang w:val="es-ES"/>
        </w:rPr>
        <w:t xml:space="preserve"> por su ubicación</w:t>
      </w:r>
      <w:r w:rsidR="00DD2DC1">
        <w:rPr>
          <w:rFonts w:ascii="Times New Roman" w:hAnsi="Times New Roman"/>
          <w:bCs/>
          <w:sz w:val="22"/>
          <w:lang w:val="es-ES"/>
        </w:rPr>
        <w:t xml:space="preserve">, epicentro y </w:t>
      </w:r>
      <w:r w:rsidR="008E6ACC">
        <w:rPr>
          <w:rFonts w:ascii="Times New Roman" w:hAnsi="Times New Roman"/>
          <w:bCs/>
          <w:sz w:val="22"/>
          <w:lang w:val="es-ES"/>
        </w:rPr>
        <w:t xml:space="preserve">magnitud, junto a </w:t>
      </w:r>
      <w:r w:rsidRPr="0031039A">
        <w:rPr>
          <w:rFonts w:ascii="Times New Roman" w:hAnsi="Times New Roman"/>
          <w:bCs/>
          <w:sz w:val="22"/>
          <w:lang w:val="es-ES"/>
        </w:rPr>
        <w:t xml:space="preserve">otros parámetros </w:t>
      </w:r>
      <w:r w:rsidR="00411F33">
        <w:rPr>
          <w:rFonts w:ascii="Times New Roman" w:hAnsi="Times New Roman"/>
          <w:bCs/>
          <w:sz w:val="22"/>
          <w:lang w:val="es-ES"/>
        </w:rPr>
        <w:t xml:space="preserve">técnicos </w:t>
      </w:r>
      <w:r w:rsidRPr="0031039A">
        <w:rPr>
          <w:rFonts w:ascii="Times New Roman" w:hAnsi="Times New Roman"/>
          <w:bCs/>
          <w:sz w:val="22"/>
          <w:lang w:val="es-ES"/>
        </w:rPr>
        <w:t xml:space="preserve">importantes. </w:t>
      </w:r>
      <w:r w:rsidR="00DF266D">
        <w:rPr>
          <w:rFonts w:ascii="Times New Roman" w:hAnsi="Times New Roman"/>
          <w:bCs/>
          <w:sz w:val="22"/>
          <w:lang w:val="es-ES"/>
        </w:rPr>
        <w:t xml:space="preserve">A su vez, </w:t>
      </w:r>
      <w:r w:rsidR="00411F33">
        <w:rPr>
          <w:rFonts w:ascii="Times New Roman" w:hAnsi="Times New Roman"/>
          <w:bCs/>
          <w:sz w:val="22"/>
          <w:lang w:val="es-ES"/>
        </w:rPr>
        <w:t>u</w:t>
      </w:r>
      <w:r w:rsidRPr="0031039A">
        <w:rPr>
          <w:rFonts w:ascii="Times New Roman" w:hAnsi="Times New Roman"/>
          <w:bCs/>
          <w:sz w:val="22"/>
          <w:lang w:val="es-ES"/>
        </w:rPr>
        <w:t xml:space="preserve">n </w:t>
      </w:r>
      <w:r w:rsidR="00F645ED">
        <w:rPr>
          <w:rFonts w:ascii="Times New Roman" w:hAnsi="Times New Roman"/>
          <w:bCs/>
          <w:sz w:val="22"/>
          <w:lang w:val="es-ES"/>
        </w:rPr>
        <w:t xml:space="preserve">tsunami </w:t>
      </w:r>
      <w:r w:rsidRPr="0031039A">
        <w:rPr>
          <w:rFonts w:ascii="Times New Roman" w:hAnsi="Times New Roman"/>
          <w:bCs/>
          <w:sz w:val="22"/>
          <w:lang w:val="es-ES"/>
        </w:rPr>
        <w:t xml:space="preserve">se distingue por su </w:t>
      </w:r>
      <w:r>
        <w:rPr>
          <w:rFonts w:ascii="Times New Roman" w:hAnsi="Times New Roman"/>
          <w:bCs/>
          <w:sz w:val="22"/>
          <w:lang w:val="es-ES"/>
        </w:rPr>
        <w:t xml:space="preserve">caudal, altura, </w:t>
      </w:r>
      <w:r w:rsidRPr="0031039A">
        <w:rPr>
          <w:rFonts w:ascii="Times New Roman" w:hAnsi="Times New Roman"/>
          <w:bCs/>
          <w:sz w:val="22"/>
          <w:lang w:val="es-ES"/>
        </w:rPr>
        <w:t>trayectoria y velocidad proyectada. E</w:t>
      </w:r>
      <w:r>
        <w:rPr>
          <w:rFonts w:ascii="Times New Roman" w:hAnsi="Times New Roman"/>
          <w:bCs/>
          <w:sz w:val="22"/>
          <w:lang w:val="es-ES"/>
        </w:rPr>
        <w:t>st</w:t>
      </w:r>
      <w:r w:rsidR="00DD2DC1">
        <w:rPr>
          <w:rFonts w:ascii="Times New Roman" w:hAnsi="Times New Roman"/>
          <w:bCs/>
          <w:sz w:val="22"/>
          <w:lang w:val="es-ES"/>
        </w:rPr>
        <w:t>os eventos presentan distintos niveles de</w:t>
      </w:r>
      <w:r>
        <w:rPr>
          <w:rFonts w:ascii="Times New Roman" w:hAnsi="Times New Roman"/>
          <w:bCs/>
          <w:sz w:val="22"/>
          <w:lang w:val="es-ES"/>
        </w:rPr>
        <w:t xml:space="preserve"> </w:t>
      </w:r>
      <w:r w:rsidRPr="0031039A">
        <w:rPr>
          <w:rFonts w:ascii="Times New Roman" w:hAnsi="Times New Roman"/>
          <w:bCs/>
          <w:sz w:val="22"/>
          <w:lang w:val="es-ES"/>
        </w:rPr>
        <w:t>riesgo</w:t>
      </w:r>
      <w:r>
        <w:rPr>
          <w:rFonts w:ascii="Times New Roman" w:hAnsi="Times New Roman"/>
          <w:bCs/>
          <w:sz w:val="22"/>
          <w:lang w:val="es-ES"/>
        </w:rPr>
        <w:t xml:space="preserve"> </w:t>
      </w:r>
      <w:r w:rsidR="00DD2DC1">
        <w:rPr>
          <w:rFonts w:ascii="Times New Roman" w:hAnsi="Times New Roman"/>
          <w:bCs/>
          <w:sz w:val="22"/>
          <w:lang w:val="es-ES"/>
        </w:rPr>
        <w:t>conforme a sus características</w:t>
      </w:r>
      <w:r w:rsidR="00DF266D">
        <w:rPr>
          <w:rFonts w:ascii="Times New Roman" w:hAnsi="Times New Roman"/>
          <w:bCs/>
          <w:sz w:val="22"/>
          <w:lang w:val="es-ES"/>
        </w:rPr>
        <w:t>,</w:t>
      </w:r>
      <w:r w:rsidR="00DD2DC1">
        <w:rPr>
          <w:rFonts w:ascii="Times New Roman" w:hAnsi="Times New Roman"/>
          <w:bCs/>
          <w:sz w:val="22"/>
          <w:lang w:val="es-ES"/>
        </w:rPr>
        <w:t xml:space="preserve"> lo que </w:t>
      </w:r>
      <w:r w:rsidR="00DF266D">
        <w:rPr>
          <w:rFonts w:ascii="Times New Roman" w:hAnsi="Times New Roman"/>
          <w:bCs/>
          <w:sz w:val="22"/>
          <w:lang w:val="es-ES"/>
        </w:rPr>
        <w:t>suele establec</w:t>
      </w:r>
      <w:r w:rsidR="00411F33">
        <w:rPr>
          <w:rFonts w:ascii="Times New Roman" w:hAnsi="Times New Roman"/>
          <w:bCs/>
          <w:sz w:val="22"/>
          <w:lang w:val="es-ES"/>
        </w:rPr>
        <w:t xml:space="preserve">erse </w:t>
      </w:r>
      <w:r w:rsidRPr="0031039A">
        <w:rPr>
          <w:rFonts w:ascii="Times New Roman" w:hAnsi="Times New Roman"/>
          <w:bCs/>
          <w:sz w:val="22"/>
          <w:lang w:val="es-ES"/>
        </w:rPr>
        <w:t xml:space="preserve">útilmente </w:t>
      </w:r>
      <w:r w:rsidR="00DD2DC1">
        <w:rPr>
          <w:rFonts w:ascii="Times New Roman" w:hAnsi="Times New Roman"/>
          <w:bCs/>
          <w:sz w:val="22"/>
          <w:lang w:val="es-ES"/>
        </w:rPr>
        <w:t xml:space="preserve">por vía de </w:t>
      </w:r>
      <w:r w:rsidRPr="0031039A">
        <w:rPr>
          <w:rFonts w:ascii="Times New Roman" w:hAnsi="Times New Roman"/>
          <w:bCs/>
          <w:sz w:val="22"/>
          <w:lang w:val="es-ES"/>
        </w:rPr>
        <w:t>una serie de escenarios posibles</w:t>
      </w:r>
      <w:r>
        <w:rPr>
          <w:rStyle w:val="FootnoteReference"/>
          <w:rFonts w:ascii="Times New Roman" w:hAnsi="Times New Roman"/>
          <w:bCs/>
          <w:sz w:val="22"/>
          <w:lang w:val="es-ES"/>
        </w:rPr>
        <w:footnoteReference w:id="17"/>
      </w:r>
      <w:r w:rsidRPr="0031039A">
        <w:rPr>
          <w:rFonts w:ascii="Times New Roman" w:hAnsi="Times New Roman"/>
          <w:bCs/>
          <w:sz w:val="22"/>
          <w:lang w:val="es-ES"/>
        </w:rPr>
        <w:t xml:space="preserve">. </w:t>
      </w:r>
    </w:p>
    <w:p w:rsidR="0007638B" w:rsidRDefault="0007638B" w:rsidP="000C05C6">
      <w:pPr>
        <w:jc w:val="center"/>
        <w:rPr>
          <w:rFonts w:ascii="Times New Roman" w:hAnsi="Times New Roman"/>
          <w:b/>
          <w:lang w:val="es-ES"/>
        </w:rPr>
      </w:pPr>
    </w:p>
    <w:p w:rsidR="00E9608F" w:rsidRPr="00DD2DC1" w:rsidRDefault="000C05C6" w:rsidP="000C05C6">
      <w:pPr>
        <w:jc w:val="center"/>
        <w:rPr>
          <w:rFonts w:ascii="Times New Roman" w:hAnsi="Times New Roman"/>
          <w:lang w:val="es-ES"/>
        </w:rPr>
      </w:pPr>
      <w:r w:rsidRPr="00DD2DC1">
        <w:rPr>
          <w:rFonts w:ascii="Times New Roman" w:hAnsi="Times New Roman"/>
          <w:b/>
          <w:lang w:val="es-ES"/>
        </w:rPr>
        <w:t xml:space="preserve">Figura </w:t>
      </w:r>
      <w:r w:rsidR="00081A23" w:rsidRPr="00DD2DC1">
        <w:rPr>
          <w:rFonts w:ascii="Times New Roman" w:hAnsi="Times New Roman"/>
          <w:b/>
          <w:lang w:val="es-ES"/>
        </w:rPr>
        <w:fldChar w:fldCharType="begin"/>
      </w:r>
      <w:r w:rsidRPr="00DD2DC1">
        <w:rPr>
          <w:rFonts w:ascii="Times New Roman" w:hAnsi="Times New Roman"/>
          <w:b/>
          <w:lang w:val="es-ES"/>
        </w:rPr>
        <w:instrText xml:space="preserve"> SEQ Figura \* ARABIC </w:instrText>
      </w:r>
      <w:r w:rsidR="00081A23" w:rsidRPr="00DD2DC1">
        <w:rPr>
          <w:rFonts w:ascii="Times New Roman" w:hAnsi="Times New Roman"/>
          <w:b/>
          <w:lang w:val="es-ES"/>
        </w:rPr>
        <w:fldChar w:fldCharType="separate"/>
      </w:r>
      <w:r w:rsidR="00E9608F" w:rsidRPr="00DD2DC1">
        <w:rPr>
          <w:rFonts w:ascii="Times New Roman" w:hAnsi="Times New Roman"/>
          <w:b/>
          <w:noProof/>
          <w:lang w:val="es-ES"/>
        </w:rPr>
        <w:t>1</w:t>
      </w:r>
      <w:r w:rsidR="00081A23" w:rsidRPr="00DD2DC1">
        <w:rPr>
          <w:rFonts w:ascii="Times New Roman" w:hAnsi="Times New Roman"/>
          <w:b/>
          <w:lang w:val="es-ES"/>
        </w:rPr>
        <w:fldChar w:fldCharType="end"/>
      </w:r>
      <w:r w:rsidRPr="00DD2DC1">
        <w:rPr>
          <w:rFonts w:ascii="Times New Roman" w:hAnsi="Times New Roman"/>
          <w:b/>
          <w:lang w:val="es-ES"/>
        </w:rPr>
        <w:t>.</w:t>
      </w:r>
      <w:r w:rsidRPr="00DD2DC1">
        <w:rPr>
          <w:rFonts w:ascii="Times New Roman" w:hAnsi="Times New Roman"/>
          <w:lang w:val="es-ES"/>
        </w:rPr>
        <w:t xml:space="preserve"> </w:t>
      </w:r>
      <w:r w:rsidR="00490D03" w:rsidRPr="00DD2DC1">
        <w:rPr>
          <w:rFonts w:ascii="Times New Roman" w:hAnsi="Times New Roman"/>
          <w:lang w:val="es-ES"/>
        </w:rPr>
        <w:t>Elemento</w:t>
      </w:r>
      <w:r w:rsidR="0015301D" w:rsidRPr="00DD2DC1">
        <w:rPr>
          <w:rFonts w:ascii="Times New Roman" w:hAnsi="Times New Roman"/>
          <w:lang w:val="es-ES"/>
        </w:rPr>
        <w:t>s</w:t>
      </w:r>
      <w:r w:rsidR="00DD2DC1">
        <w:rPr>
          <w:rFonts w:ascii="Times New Roman" w:hAnsi="Times New Roman"/>
          <w:lang w:val="es-ES"/>
        </w:rPr>
        <w:t xml:space="preserve"> del modelo de evaluación del </w:t>
      </w:r>
      <w:r w:rsidR="00490D03" w:rsidRPr="00DD2DC1">
        <w:rPr>
          <w:rFonts w:ascii="Times New Roman" w:hAnsi="Times New Roman"/>
          <w:lang w:val="es-ES"/>
        </w:rPr>
        <w:t>riesgo</w:t>
      </w:r>
      <w:r w:rsidR="00DD2DC1">
        <w:rPr>
          <w:rFonts w:ascii="Times New Roman" w:hAnsi="Times New Roman"/>
          <w:lang w:val="es-ES"/>
        </w:rPr>
        <w:t xml:space="preserve"> de desastre</w:t>
      </w:r>
    </w:p>
    <w:p w:rsidR="0031039A" w:rsidRDefault="00DD2DC1" w:rsidP="00DD2DC1">
      <w:pPr>
        <w:jc w:val="center"/>
        <w:rPr>
          <w:rFonts w:ascii="Times New Roman" w:hAnsi="Times New Roman"/>
          <w:sz w:val="22"/>
          <w:szCs w:val="22"/>
          <w:lang w:val="es-ES"/>
        </w:rPr>
      </w:pPr>
      <w:r w:rsidRPr="00DD2DC1">
        <w:rPr>
          <w:noProof/>
        </w:rPr>
        <w:lastRenderedPageBreak/>
        <w:drawing>
          <wp:inline distT="0" distB="0" distL="0" distR="0" wp14:anchorId="7A5387FD" wp14:editId="7194DC89">
            <wp:extent cx="3972310" cy="3016685"/>
            <wp:effectExtent l="19050" t="0" r="914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973664" cy="3017713"/>
                    </a:xfrm>
                    <a:prstGeom prst="rect">
                      <a:avLst/>
                    </a:prstGeom>
                    <a:noFill/>
                    <a:ln w="9525">
                      <a:noFill/>
                      <a:miter lim="800000"/>
                      <a:headEnd/>
                      <a:tailEnd/>
                    </a:ln>
                  </pic:spPr>
                </pic:pic>
              </a:graphicData>
            </a:graphic>
          </wp:inline>
        </w:drawing>
      </w:r>
    </w:p>
    <w:p w:rsidR="00490D03" w:rsidRPr="00490D03" w:rsidRDefault="0015301D" w:rsidP="000C05C6">
      <w:pPr>
        <w:jc w:val="center"/>
        <w:rPr>
          <w:rFonts w:ascii="Times New Roman" w:hAnsi="Times New Roman"/>
          <w:i/>
          <w:lang w:val="es-ES"/>
        </w:rPr>
      </w:pPr>
      <w:r>
        <w:rPr>
          <w:rFonts w:ascii="Times New Roman" w:hAnsi="Times New Roman"/>
          <w:i/>
          <w:lang w:val="es-ES"/>
        </w:rPr>
        <w:t xml:space="preserve">        </w:t>
      </w:r>
      <w:r w:rsidR="00490D03" w:rsidRPr="00490D03">
        <w:rPr>
          <w:rFonts w:ascii="Times New Roman" w:hAnsi="Times New Roman"/>
          <w:i/>
          <w:lang w:val="es-ES"/>
        </w:rPr>
        <w:t xml:space="preserve">Fuente: Elaboración Propia en base a </w:t>
      </w:r>
      <w:r w:rsidR="00903F40" w:rsidRPr="00490D03">
        <w:rPr>
          <w:rFonts w:ascii="Times New Roman" w:hAnsi="Times New Roman"/>
          <w:i/>
          <w:lang w:val="es-ES"/>
        </w:rPr>
        <w:t>Copenhage</w:t>
      </w:r>
      <w:r w:rsidR="00490D03" w:rsidRPr="00490D03">
        <w:rPr>
          <w:rFonts w:ascii="Times New Roman" w:hAnsi="Times New Roman"/>
          <w:i/>
          <w:lang w:val="es-ES"/>
        </w:rPr>
        <w:t xml:space="preserve"> Con</w:t>
      </w:r>
      <w:r w:rsidR="00490D03">
        <w:rPr>
          <w:rFonts w:ascii="Times New Roman" w:hAnsi="Times New Roman"/>
          <w:i/>
          <w:lang w:val="es-ES"/>
        </w:rPr>
        <w:t>s</w:t>
      </w:r>
      <w:r w:rsidR="00490D03" w:rsidRPr="00490D03">
        <w:rPr>
          <w:rFonts w:ascii="Times New Roman" w:hAnsi="Times New Roman"/>
          <w:i/>
          <w:lang w:val="es-ES"/>
        </w:rPr>
        <w:t>ensus</w:t>
      </w:r>
      <w:r w:rsidR="00490D03">
        <w:rPr>
          <w:rFonts w:ascii="Times New Roman" w:hAnsi="Times New Roman"/>
          <w:i/>
          <w:lang w:val="es-ES"/>
        </w:rPr>
        <w:t>. 2012. Natural Disasters.</w:t>
      </w:r>
    </w:p>
    <w:p w:rsidR="00D86098" w:rsidRPr="008C24F2" w:rsidRDefault="00D86098" w:rsidP="000C05C6">
      <w:pPr>
        <w:jc w:val="center"/>
        <w:rPr>
          <w:rFonts w:ascii="Times New Roman" w:hAnsi="Times New Roman"/>
          <w:sz w:val="22"/>
          <w:szCs w:val="22"/>
          <w:lang w:val="es-AR"/>
        </w:rPr>
      </w:pPr>
    </w:p>
    <w:p w:rsidR="00060C88" w:rsidRPr="00060C88" w:rsidRDefault="00490D03" w:rsidP="00C95815">
      <w:pPr>
        <w:numPr>
          <w:ilvl w:val="1"/>
          <w:numId w:val="12"/>
        </w:numPr>
        <w:jc w:val="both"/>
        <w:rPr>
          <w:rFonts w:ascii="Times New Roman" w:hAnsi="Times New Roman"/>
          <w:sz w:val="22"/>
          <w:szCs w:val="22"/>
          <w:lang w:val="es-ES_tradnl"/>
        </w:rPr>
      </w:pPr>
      <w:r w:rsidRPr="00060C88">
        <w:rPr>
          <w:rFonts w:ascii="Times New Roman" w:hAnsi="Times New Roman"/>
          <w:bCs/>
          <w:sz w:val="22"/>
          <w:lang w:val="es-ES"/>
        </w:rPr>
        <w:t>El segundo aspecto consiste en identifica</w:t>
      </w:r>
      <w:r w:rsidR="00411F33">
        <w:rPr>
          <w:rFonts w:ascii="Times New Roman" w:hAnsi="Times New Roman"/>
          <w:bCs/>
          <w:sz w:val="22"/>
          <w:lang w:val="es-ES"/>
        </w:rPr>
        <w:t>r</w:t>
      </w:r>
      <w:r w:rsidRPr="00060C88">
        <w:rPr>
          <w:rFonts w:ascii="Times New Roman" w:hAnsi="Times New Roman"/>
          <w:bCs/>
          <w:sz w:val="22"/>
          <w:lang w:val="es-ES"/>
        </w:rPr>
        <w:t xml:space="preserve"> el inventario afectado, incluyendo en éste los seres humanos, los bienes y el medio ambiente físico en riesgo. Para car</w:t>
      </w:r>
      <w:r w:rsidR="00060C88" w:rsidRPr="00060C88">
        <w:rPr>
          <w:rFonts w:ascii="Times New Roman" w:hAnsi="Times New Roman"/>
          <w:bCs/>
          <w:sz w:val="22"/>
          <w:lang w:val="es-ES"/>
        </w:rPr>
        <w:t>a</w:t>
      </w:r>
      <w:r w:rsidRPr="00060C88">
        <w:rPr>
          <w:rFonts w:ascii="Times New Roman" w:hAnsi="Times New Roman"/>
          <w:bCs/>
          <w:sz w:val="22"/>
          <w:lang w:val="es-ES"/>
        </w:rPr>
        <w:t xml:space="preserve">cterizar este aspecto se </w:t>
      </w:r>
      <w:r w:rsidR="00411F33">
        <w:rPr>
          <w:rFonts w:ascii="Times New Roman" w:hAnsi="Times New Roman"/>
          <w:bCs/>
          <w:sz w:val="22"/>
          <w:lang w:val="es-ES"/>
        </w:rPr>
        <w:t>busca</w:t>
      </w:r>
      <w:r w:rsidRPr="00060C88">
        <w:rPr>
          <w:rFonts w:ascii="Times New Roman" w:hAnsi="Times New Roman"/>
          <w:bCs/>
          <w:sz w:val="22"/>
          <w:lang w:val="es-ES"/>
        </w:rPr>
        <w:t xml:space="preserve"> conocer en detalle su ubicación</w:t>
      </w:r>
      <w:r w:rsidR="005B7168">
        <w:rPr>
          <w:rFonts w:ascii="Times New Roman" w:hAnsi="Times New Roman"/>
          <w:bCs/>
          <w:sz w:val="22"/>
          <w:lang w:val="es-ES"/>
        </w:rPr>
        <w:t xml:space="preserve"> geográfica particular</w:t>
      </w:r>
      <w:r w:rsidRPr="00060C88">
        <w:rPr>
          <w:rFonts w:ascii="Times New Roman" w:hAnsi="Times New Roman"/>
          <w:bCs/>
          <w:sz w:val="22"/>
          <w:lang w:val="es-ES"/>
        </w:rPr>
        <w:t xml:space="preserve">, </w:t>
      </w:r>
      <w:r w:rsidR="005B7168">
        <w:rPr>
          <w:rFonts w:ascii="Times New Roman" w:hAnsi="Times New Roman"/>
          <w:bCs/>
          <w:sz w:val="22"/>
          <w:lang w:val="es-ES"/>
        </w:rPr>
        <w:t xml:space="preserve">el </w:t>
      </w:r>
      <w:r w:rsidR="00DD2DC1">
        <w:rPr>
          <w:rFonts w:ascii="Times New Roman" w:hAnsi="Times New Roman"/>
          <w:bCs/>
          <w:sz w:val="22"/>
          <w:lang w:val="es-ES"/>
        </w:rPr>
        <w:t>número de personas expuestas</w:t>
      </w:r>
      <w:r w:rsidR="005B7168">
        <w:rPr>
          <w:rFonts w:ascii="Times New Roman" w:hAnsi="Times New Roman"/>
          <w:bCs/>
          <w:sz w:val="22"/>
          <w:lang w:val="es-ES"/>
        </w:rPr>
        <w:t xml:space="preserve"> o en condición de ser afectada por la amenaza</w:t>
      </w:r>
      <w:r w:rsidR="00DD2DC1">
        <w:rPr>
          <w:rFonts w:ascii="Times New Roman" w:hAnsi="Times New Roman"/>
          <w:bCs/>
          <w:sz w:val="22"/>
          <w:lang w:val="es-ES"/>
        </w:rPr>
        <w:t xml:space="preserve">, </w:t>
      </w:r>
      <w:r w:rsidR="005B7168">
        <w:rPr>
          <w:rFonts w:ascii="Times New Roman" w:hAnsi="Times New Roman"/>
          <w:bCs/>
          <w:sz w:val="22"/>
          <w:lang w:val="es-ES"/>
        </w:rPr>
        <w:t xml:space="preserve">la </w:t>
      </w:r>
      <w:r w:rsidRPr="00060C88">
        <w:rPr>
          <w:rFonts w:ascii="Times New Roman" w:hAnsi="Times New Roman"/>
          <w:bCs/>
          <w:sz w:val="22"/>
          <w:lang w:val="es-ES"/>
        </w:rPr>
        <w:t xml:space="preserve">magnitud </w:t>
      </w:r>
      <w:r w:rsidR="006B2E89">
        <w:rPr>
          <w:rFonts w:ascii="Times New Roman" w:hAnsi="Times New Roman"/>
          <w:bCs/>
          <w:sz w:val="22"/>
          <w:lang w:val="es-ES"/>
        </w:rPr>
        <w:t xml:space="preserve">de las actividades económicas </w:t>
      </w:r>
      <w:r w:rsidR="00DD2DC1">
        <w:rPr>
          <w:rFonts w:ascii="Times New Roman" w:hAnsi="Times New Roman"/>
          <w:bCs/>
          <w:sz w:val="22"/>
          <w:lang w:val="es-ES"/>
        </w:rPr>
        <w:t xml:space="preserve">de la </w:t>
      </w:r>
      <w:r w:rsidR="006B2E89">
        <w:rPr>
          <w:rFonts w:ascii="Times New Roman" w:hAnsi="Times New Roman"/>
          <w:bCs/>
          <w:sz w:val="22"/>
          <w:lang w:val="es-ES"/>
        </w:rPr>
        <w:t>región</w:t>
      </w:r>
      <w:r w:rsidR="00DD2DC1">
        <w:rPr>
          <w:rFonts w:ascii="Times New Roman" w:hAnsi="Times New Roman"/>
          <w:bCs/>
          <w:sz w:val="22"/>
          <w:lang w:val="es-ES"/>
        </w:rPr>
        <w:t>,</w:t>
      </w:r>
      <w:r w:rsidRPr="00060C88">
        <w:rPr>
          <w:rFonts w:ascii="Times New Roman" w:hAnsi="Times New Roman"/>
          <w:bCs/>
          <w:sz w:val="22"/>
          <w:lang w:val="es-ES"/>
        </w:rPr>
        <w:t xml:space="preserve"> dimensiones</w:t>
      </w:r>
      <w:r w:rsidR="005B7168">
        <w:rPr>
          <w:rFonts w:ascii="Times New Roman" w:hAnsi="Times New Roman"/>
          <w:bCs/>
          <w:sz w:val="22"/>
          <w:lang w:val="es-ES"/>
        </w:rPr>
        <w:t xml:space="preserve">, </w:t>
      </w:r>
      <w:r w:rsidRPr="00060C88">
        <w:rPr>
          <w:rFonts w:ascii="Times New Roman" w:hAnsi="Times New Roman"/>
          <w:bCs/>
          <w:sz w:val="22"/>
          <w:lang w:val="es-ES"/>
        </w:rPr>
        <w:t xml:space="preserve">calidad </w:t>
      </w:r>
      <w:r w:rsidR="005B7168">
        <w:rPr>
          <w:rFonts w:ascii="Times New Roman" w:hAnsi="Times New Roman"/>
          <w:bCs/>
          <w:sz w:val="22"/>
          <w:lang w:val="es-ES"/>
        </w:rPr>
        <w:t>y</w:t>
      </w:r>
      <w:r w:rsidRPr="00060C88">
        <w:rPr>
          <w:rFonts w:ascii="Times New Roman" w:hAnsi="Times New Roman"/>
          <w:bCs/>
          <w:sz w:val="22"/>
          <w:lang w:val="es-ES"/>
        </w:rPr>
        <w:t xml:space="preserve"> tipología de la infr</w:t>
      </w:r>
      <w:r w:rsidR="00DD2DC1">
        <w:rPr>
          <w:rFonts w:ascii="Times New Roman" w:hAnsi="Times New Roman"/>
          <w:bCs/>
          <w:sz w:val="22"/>
          <w:lang w:val="es-ES"/>
        </w:rPr>
        <w:t>a</w:t>
      </w:r>
      <w:r w:rsidRPr="00060C88">
        <w:rPr>
          <w:rFonts w:ascii="Times New Roman" w:hAnsi="Times New Roman"/>
          <w:bCs/>
          <w:sz w:val="22"/>
          <w:lang w:val="es-ES"/>
        </w:rPr>
        <w:t>estructura</w:t>
      </w:r>
      <w:r w:rsidR="00E9608F" w:rsidRPr="00060C88">
        <w:rPr>
          <w:rFonts w:ascii="Times New Roman" w:hAnsi="Times New Roman"/>
          <w:bCs/>
          <w:sz w:val="22"/>
          <w:lang w:val="es-ES"/>
        </w:rPr>
        <w:t xml:space="preserve">. Analizados en conjunto, los </w:t>
      </w:r>
      <w:r w:rsidR="006B2E89">
        <w:rPr>
          <w:rFonts w:ascii="Times New Roman" w:hAnsi="Times New Roman"/>
          <w:bCs/>
          <w:sz w:val="22"/>
          <w:lang w:val="es-ES"/>
        </w:rPr>
        <w:t>aspectos</w:t>
      </w:r>
      <w:r w:rsidR="00E9608F" w:rsidRPr="00060C88">
        <w:rPr>
          <w:rFonts w:ascii="Times New Roman" w:hAnsi="Times New Roman"/>
          <w:bCs/>
          <w:sz w:val="22"/>
          <w:lang w:val="es-ES"/>
        </w:rPr>
        <w:t xml:space="preserve"> ligado</w:t>
      </w:r>
      <w:r w:rsidR="006B2E89">
        <w:rPr>
          <w:rFonts w:ascii="Times New Roman" w:hAnsi="Times New Roman"/>
          <w:bCs/>
          <w:sz w:val="22"/>
          <w:lang w:val="es-ES"/>
        </w:rPr>
        <w:t>s a la amenaza con los elementos expuestos</w:t>
      </w:r>
      <w:r w:rsidRPr="00060C88">
        <w:rPr>
          <w:rFonts w:ascii="Times New Roman" w:hAnsi="Times New Roman"/>
          <w:bCs/>
          <w:sz w:val="22"/>
          <w:lang w:val="es-ES"/>
        </w:rPr>
        <w:t xml:space="preserve"> permiten </w:t>
      </w:r>
      <w:r w:rsidR="00060C88" w:rsidRPr="00060C88">
        <w:rPr>
          <w:rFonts w:ascii="Times New Roman" w:hAnsi="Times New Roman"/>
          <w:bCs/>
          <w:sz w:val="22"/>
          <w:lang w:val="es-ES"/>
        </w:rPr>
        <w:t xml:space="preserve">incorporar la perspectiva de vulnerabilidad </w:t>
      </w:r>
      <w:r w:rsidR="006B2E89">
        <w:rPr>
          <w:rFonts w:ascii="Times New Roman" w:hAnsi="Times New Roman"/>
          <w:bCs/>
          <w:sz w:val="22"/>
          <w:lang w:val="es-ES"/>
        </w:rPr>
        <w:t>frente al potencial desastre. A partir de e</w:t>
      </w:r>
      <w:r w:rsidR="005B7168">
        <w:rPr>
          <w:rFonts w:ascii="Times New Roman" w:hAnsi="Times New Roman"/>
          <w:bCs/>
          <w:sz w:val="22"/>
          <w:lang w:val="es-ES"/>
        </w:rPr>
        <w:t>l</w:t>
      </w:r>
      <w:r w:rsidR="006B2E89">
        <w:rPr>
          <w:rFonts w:ascii="Times New Roman" w:hAnsi="Times New Roman"/>
          <w:bCs/>
          <w:sz w:val="22"/>
          <w:lang w:val="es-ES"/>
        </w:rPr>
        <w:t xml:space="preserve">lo se pueden establecer supuestos </w:t>
      </w:r>
      <w:r w:rsidR="005B7168">
        <w:rPr>
          <w:rFonts w:ascii="Times New Roman" w:hAnsi="Times New Roman"/>
          <w:bCs/>
          <w:sz w:val="22"/>
          <w:lang w:val="es-ES"/>
        </w:rPr>
        <w:t xml:space="preserve">fundados </w:t>
      </w:r>
      <w:r w:rsidR="006B2E89">
        <w:rPr>
          <w:rFonts w:ascii="Times New Roman" w:hAnsi="Times New Roman"/>
          <w:bCs/>
          <w:sz w:val="22"/>
          <w:lang w:val="es-ES"/>
        </w:rPr>
        <w:t>para</w:t>
      </w:r>
      <w:r w:rsidR="00060C88">
        <w:rPr>
          <w:rFonts w:ascii="Times New Roman" w:hAnsi="Times New Roman"/>
          <w:bCs/>
          <w:sz w:val="22"/>
          <w:lang w:val="es-ES"/>
        </w:rPr>
        <w:t xml:space="preserve"> determinar </w:t>
      </w:r>
      <w:r w:rsidRPr="00060C88">
        <w:rPr>
          <w:rFonts w:ascii="Times New Roman" w:hAnsi="Times New Roman"/>
          <w:bCs/>
          <w:sz w:val="22"/>
          <w:lang w:val="es-ES"/>
        </w:rPr>
        <w:t xml:space="preserve"> la </w:t>
      </w:r>
      <w:r w:rsidR="006B2E89">
        <w:rPr>
          <w:rFonts w:ascii="Times New Roman" w:hAnsi="Times New Roman"/>
          <w:bCs/>
          <w:sz w:val="22"/>
          <w:lang w:val="es-ES"/>
        </w:rPr>
        <w:t xml:space="preserve">eventual </w:t>
      </w:r>
      <w:r w:rsidRPr="00060C88">
        <w:rPr>
          <w:rFonts w:ascii="Times New Roman" w:hAnsi="Times New Roman"/>
          <w:bCs/>
          <w:sz w:val="22"/>
          <w:lang w:val="es-ES"/>
        </w:rPr>
        <w:t xml:space="preserve">pérdida de vidas humanas y </w:t>
      </w:r>
      <w:r w:rsidR="00060C88">
        <w:rPr>
          <w:rFonts w:ascii="Times New Roman" w:hAnsi="Times New Roman"/>
          <w:bCs/>
          <w:sz w:val="22"/>
          <w:lang w:val="es-ES"/>
        </w:rPr>
        <w:t>biene</w:t>
      </w:r>
      <w:r w:rsidRPr="00060C88">
        <w:rPr>
          <w:rFonts w:ascii="Times New Roman" w:hAnsi="Times New Roman"/>
          <w:bCs/>
          <w:sz w:val="22"/>
          <w:lang w:val="es-ES"/>
        </w:rPr>
        <w:t>s</w:t>
      </w:r>
      <w:r w:rsidR="006B2E89">
        <w:rPr>
          <w:rFonts w:ascii="Times New Roman" w:hAnsi="Times New Roman"/>
          <w:bCs/>
          <w:sz w:val="22"/>
          <w:lang w:val="es-ES"/>
        </w:rPr>
        <w:t xml:space="preserve"> en caso de ocurrencia del desastre (y asignarle una valoración económica</w:t>
      </w:r>
      <w:r w:rsidR="005B7168">
        <w:rPr>
          <w:rFonts w:ascii="Times New Roman" w:hAnsi="Times New Roman"/>
          <w:bCs/>
          <w:sz w:val="22"/>
          <w:lang w:val="es-ES"/>
        </w:rPr>
        <w:t>)</w:t>
      </w:r>
      <w:r w:rsidR="006B2E89">
        <w:rPr>
          <w:rFonts w:ascii="Times New Roman" w:hAnsi="Times New Roman"/>
          <w:bCs/>
          <w:sz w:val="22"/>
          <w:lang w:val="es-ES"/>
        </w:rPr>
        <w:t>.</w:t>
      </w:r>
      <w:r w:rsidR="00060C88">
        <w:rPr>
          <w:rFonts w:ascii="Times New Roman" w:hAnsi="Times New Roman"/>
          <w:bCs/>
          <w:sz w:val="22"/>
          <w:lang w:val="es-ES"/>
        </w:rPr>
        <w:t xml:space="preserve"> </w:t>
      </w:r>
      <w:r w:rsidR="00060C88" w:rsidRPr="00060C88">
        <w:rPr>
          <w:rFonts w:ascii="Times New Roman" w:hAnsi="Times New Roman"/>
          <w:bCs/>
          <w:sz w:val="22"/>
          <w:lang w:val="es-ES"/>
        </w:rPr>
        <w:t xml:space="preserve">  </w:t>
      </w:r>
    </w:p>
    <w:p w:rsidR="00060C88" w:rsidRPr="00060C88" w:rsidRDefault="00060C88" w:rsidP="00060C88">
      <w:pPr>
        <w:ind w:left="718"/>
        <w:jc w:val="both"/>
        <w:rPr>
          <w:rFonts w:ascii="Times New Roman" w:hAnsi="Times New Roman"/>
          <w:sz w:val="22"/>
          <w:szCs w:val="22"/>
          <w:lang w:val="es-ES_tradnl"/>
        </w:rPr>
      </w:pPr>
    </w:p>
    <w:p w:rsidR="00DC13FD" w:rsidRPr="001A3AFE" w:rsidRDefault="0054238C" w:rsidP="00C95815">
      <w:pPr>
        <w:numPr>
          <w:ilvl w:val="1"/>
          <w:numId w:val="12"/>
        </w:numPr>
        <w:jc w:val="both"/>
        <w:rPr>
          <w:rFonts w:ascii="Times New Roman" w:hAnsi="Times New Roman"/>
          <w:sz w:val="22"/>
          <w:szCs w:val="22"/>
          <w:lang w:val="es-AR"/>
        </w:rPr>
      </w:pPr>
      <w:r w:rsidRPr="001A3AFE">
        <w:rPr>
          <w:rFonts w:ascii="Times New Roman" w:hAnsi="Times New Roman"/>
          <w:sz w:val="22"/>
          <w:szCs w:val="22"/>
          <w:lang w:val="es-AR"/>
        </w:rPr>
        <w:t xml:space="preserve">La medida básica para evaluar </w:t>
      </w:r>
      <w:r w:rsidR="009B783D" w:rsidRPr="001A3AFE">
        <w:rPr>
          <w:rFonts w:ascii="Times New Roman" w:hAnsi="Times New Roman"/>
          <w:sz w:val="22"/>
          <w:szCs w:val="22"/>
          <w:lang w:val="es-AR"/>
        </w:rPr>
        <w:t xml:space="preserve">cambios en </w:t>
      </w:r>
      <w:r w:rsidRPr="001A3AFE">
        <w:rPr>
          <w:rFonts w:ascii="Times New Roman" w:hAnsi="Times New Roman"/>
          <w:sz w:val="22"/>
          <w:szCs w:val="22"/>
          <w:lang w:val="es-AR"/>
        </w:rPr>
        <w:t xml:space="preserve">la exposición catastrófica de un inventario es </w:t>
      </w:r>
      <w:r w:rsidR="005B7168" w:rsidRPr="001A3AFE">
        <w:rPr>
          <w:rFonts w:ascii="Times New Roman" w:hAnsi="Times New Roman"/>
          <w:sz w:val="22"/>
          <w:szCs w:val="22"/>
          <w:lang w:val="es-AR"/>
        </w:rPr>
        <w:t>definida en la literatur</w:t>
      </w:r>
      <w:r w:rsidR="00F4683C" w:rsidRPr="001A3AFE">
        <w:rPr>
          <w:rFonts w:ascii="Times New Roman" w:hAnsi="Times New Roman"/>
          <w:sz w:val="22"/>
          <w:szCs w:val="22"/>
          <w:lang w:val="es-AR"/>
        </w:rPr>
        <w:t>a</w:t>
      </w:r>
      <w:r w:rsidR="005B7168" w:rsidRPr="001A3AFE">
        <w:rPr>
          <w:rFonts w:ascii="Times New Roman" w:hAnsi="Times New Roman"/>
          <w:sz w:val="22"/>
          <w:szCs w:val="22"/>
          <w:lang w:val="es-AR"/>
        </w:rPr>
        <w:t xml:space="preserve"> </w:t>
      </w:r>
      <w:r w:rsidR="009B783D" w:rsidRPr="001A3AFE">
        <w:rPr>
          <w:rFonts w:ascii="Times New Roman" w:hAnsi="Times New Roman"/>
          <w:sz w:val="22"/>
          <w:szCs w:val="22"/>
          <w:lang w:val="es-AR"/>
        </w:rPr>
        <w:t xml:space="preserve">especializada </w:t>
      </w:r>
      <w:r w:rsidR="005B7168" w:rsidRPr="001A3AFE">
        <w:rPr>
          <w:rFonts w:ascii="Times New Roman" w:hAnsi="Times New Roman"/>
          <w:sz w:val="22"/>
          <w:szCs w:val="22"/>
          <w:lang w:val="es-AR"/>
        </w:rPr>
        <w:t xml:space="preserve">como </w:t>
      </w:r>
      <w:r w:rsidRPr="001A3AFE">
        <w:rPr>
          <w:rFonts w:ascii="Times New Roman" w:hAnsi="Times New Roman"/>
          <w:sz w:val="22"/>
          <w:szCs w:val="22"/>
          <w:lang w:val="es-AR"/>
        </w:rPr>
        <w:t>la curva de probabilidad de excedencia</w:t>
      </w:r>
      <w:r w:rsidRPr="001A3AFE">
        <w:rPr>
          <w:rStyle w:val="FootnoteReference"/>
          <w:rFonts w:ascii="Times New Roman" w:hAnsi="Times New Roman"/>
          <w:bCs/>
          <w:sz w:val="22"/>
          <w:lang w:val="es-AR"/>
        </w:rPr>
        <w:footnoteReference w:id="18"/>
      </w:r>
      <w:r w:rsidRPr="001A3AFE">
        <w:rPr>
          <w:rFonts w:ascii="Times New Roman" w:hAnsi="Times New Roman"/>
          <w:sz w:val="22"/>
          <w:szCs w:val="22"/>
          <w:lang w:val="es-AR"/>
        </w:rPr>
        <w:t xml:space="preserve"> (EP). </w:t>
      </w:r>
      <w:r w:rsidR="00F645ED">
        <w:rPr>
          <w:rFonts w:ascii="Times New Roman" w:hAnsi="Times New Roman"/>
          <w:sz w:val="22"/>
          <w:szCs w:val="22"/>
          <w:lang w:val="es-AR"/>
        </w:rPr>
        <w:t>Ésta e</w:t>
      </w:r>
      <w:r w:rsidR="00F645ED" w:rsidRPr="001A3AFE">
        <w:rPr>
          <w:rFonts w:ascii="Times New Roman" w:hAnsi="Times New Roman"/>
          <w:sz w:val="22"/>
          <w:szCs w:val="22"/>
          <w:lang w:val="es-AR"/>
        </w:rPr>
        <w:t xml:space="preserve">s </w:t>
      </w:r>
      <w:r w:rsidRPr="001A3AFE">
        <w:rPr>
          <w:rFonts w:ascii="Times New Roman" w:hAnsi="Times New Roman"/>
          <w:sz w:val="22"/>
          <w:szCs w:val="22"/>
          <w:lang w:val="es-AR"/>
        </w:rPr>
        <w:t xml:space="preserve">básicamente </w:t>
      </w:r>
      <w:r w:rsidR="005B7168" w:rsidRPr="001A3AFE">
        <w:rPr>
          <w:rFonts w:ascii="Times New Roman" w:hAnsi="Times New Roman"/>
          <w:sz w:val="22"/>
          <w:szCs w:val="22"/>
          <w:lang w:val="es-AR"/>
        </w:rPr>
        <w:t>un</w:t>
      </w:r>
      <w:r w:rsidRPr="001A3AFE">
        <w:rPr>
          <w:rFonts w:ascii="Times New Roman" w:hAnsi="Times New Roman"/>
          <w:sz w:val="22"/>
          <w:szCs w:val="22"/>
          <w:lang w:val="es-AR"/>
        </w:rPr>
        <w:t xml:space="preserve">a herramienta matemática </w:t>
      </w:r>
      <w:r w:rsidR="005B7168" w:rsidRPr="001A3AFE">
        <w:rPr>
          <w:rFonts w:ascii="Times New Roman" w:hAnsi="Times New Roman"/>
          <w:sz w:val="22"/>
          <w:szCs w:val="22"/>
          <w:lang w:val="es-AR"/>
        </w:rPr>
        <w:t xml:space="preserve">que considera </w:t>
      </w:r>
      <w:r w:rsidRPr="001A3AFE">
        <w:rPr>
          <w:rFonts w:ascii="Times New Roman" w:hAnsi="Times New Roman"/>
          <w:sz w:val="22"/>
          <w:szCs w:val="22"/>
          <w:lang w:val="es-AR"/>
        </w:rPr>
        <w:t>un lugar</w:t>
      </w:r>
      <w:r w:rsidR="005B7168" w:rsidRPr="001A3AFE">
        <w:rPr>
          <w:rFonts w:ascii="Times New Roman" w:hAnsi="Times New Roman"/>
          <w:sz w:val="22"/>
          <w:szCs w:val="22"/>
          <w:lang w:val="es-AR"/>
        </w:rPr>
        <w:t xml:space="preserve"> geográfico definido,</w:t>
      </w:r>
      <w:r w:rsidRPr="001A3AFE">
        <w:rPr>
          <w:rFonts w:ascii="Times New Roman" w:hAnsi="Times New Roman"/>
          <w:sz w:val="22"/>
          <w:szCs w:val="22"/>
          <w:lang w:val="es-AR"/>
        </w:rPr>
        <w:t xml:space="preserve"> </w:t>
      </w:r>
      <w:r w:rsidR="00FA11B2" w:rsidRPr="001A3AFE">
        <w:rPr>
          <w:rFonts w:ascii="Times New Roman" w:hAnsi="Times New Roman"/>
          <w:sz w:val="22"/>
          <w:szCs w:val="22"/>
          <w:lang w:val="es-AR"/>
        </w:rPr>
        <w:t xml:space="preserve">un </w:t>
      </w:r>
      <w:r w:rsidRPr="001A3AFE">
        <w:rPr>
          <w:rFonts w:ascii="Times New Roman" w:hAnsi="Times New Roman"/>
          <w:sz w:val="22"/>
          <w:szCs w:val="22"/>
          <w:lang w:val="es-AR"/>
        </w:rPr>
        <w:t>in</w:t>
      </w:r>
      <w:r w:rsidR="00FA11B2" w:rsidRPr="001A3AFE">
        <w:rPr>
          <w:rFonts w:ascii="Times New Roman" w:hAnsi="Times New Roman"/>
          <w:sz w:val="22"/>
          <w:szCs w:val="22"/>
          <w:lang w:val="es-AR"/>
        </w:rPr>
        <w:t>ventario</w:t>
      </w:r>
      <w:r w:rsidRPr="001A3AFE">
        <w:rPr>
          <w:rFonts w:ascii="Times New Roman" w:hAnsi="Times New Roman"/>
          <w:sz w:val="22"/>
          <w:szCs w:val="22"/>
          <w:lang w:val="es-AR"/>
        </w:rPr>
        <w:t xml:space="preserve"> </w:t>
      </w:r>
      <w:r w:rsidR="00D570FB" w:rsidRPr="001A3AFE">
        <w:rPr>
          <w:rFonts w:ascii="Times New Roman" w:hAnsi="Times New Roman"/>
          <w:sz w:val="22"/>
          <w:szCs w:val="22"/>
          <w:lang w:val="es-AR"/>
        </w:rPr>
        <w:t xml:space="preserve">expuesto </w:t>
      </w:r>
      <w:r w:rsidR="005B7168" w:rsidRPr="001A3AFE">
        <w:rPr>
          <w:rFonts w:ascii="Times New Roman" w:hAnsi="Times New Roman"/>
          <w:sz w:val="22"/>
          <w:szCs w:val="22"/>
          <w:lang w:val="es-AR"/>
        </w:rPr>
        <w:t>identificado, una amenaza estudiada</w:t>
      </w:r>
      <w:r w:rsidR="00FA11B2" w:rsidRPr="001A3AFE">
        <w:rPr>
          <w:rFonts w:ascii="Times New Roman" w:hAnsi="Times New Roman"/>
          <w:sz w:val="22"/>
          <w:szCs w:val="22"/>
          <w:lang w:val="es-AR"/>
        </w:rPr>
        <w:t xml:space="preserve"> y una determinada condición de vulnerabilidad </w:t>
      </w:r>
      <w:r w:rsidR="005B7168" w:rsidRPr="001A3AFE">
        <w:rPr>
          <w:rFonts w:ascii="Times New Roman" w:hAnsi="Times New Roman"/>
          <w:sz w:val="22"/>
          <w:szCs w:val="22"/>
          <w:lang w:val="es-AR"/>
        </w:rPr>
        <w:t xml:space="preserve">frente a los eventos posibles (así como </w:t>
      </w:r>
      <w:r w:rsidRPr="001A3AFE">
        <w:rPr>
          <w:rFonts w:ascii="Times New Roman" w:hAnsi="Times New Roman"/>
          <w:sz w:val="22"/>
          <w:szCs w:val="22"/>
          <w:lang w:val="es-AR"/>
        </w:rPr>
        <w:t xml:space="preserve">la probabilidad asociada con </w:t>
      </w:r>
      <w:r w:rsidR="009B783D" w:rsidRPr="001A3AFE">
        <w:rPr>
          <w:rFonts w:ascii="Times New Roman" w:hAnsi="Times New Roman"/>
          <w:sz w:val="22"/>
          <w:szCs w:val="22"/>
          <w:lang w:val="es-AR"/>
        </w:rPr>
        <w:t xml:space="preserve">cada uno de </w:t>
      </w:r>
      <w:r w:rsidRPr="001A3AFE">
        <w:rPr>
          <w:rFonts w:ascii="Times New Roman" w:hAnsi="Times New Roman"/>
          <w:sz w:val="22"/>
          <w:szCs w:val="22"/>
          <w:lang w:val="es-AR"/>
        </w:rPr>
        <w:t>ellos</w:t>
      </w:r>
      <w:r w:rsidR="005B7168" w:rsidRPr="001A3AFE">
        <w:rPr>
          <w:rFonts w:ascii="Times New Roman" w:hAnsi="Times New Roman"/>
          <w:sz w:val="22"/>
          <w:szCs w:val="22"/>
          <w:lang w:val="es-AR"/>
        </w:rPr>
        <w:t>)</w:t>
      </w:r>
      <w:r w:rsidRPr="001A3AFE">
        <w:rPr>
          <w:rFonts w:ascii="Times New Roman" w:hAnsi="Times New Roman"/>
          <w:sz w:val="22"/>
          <w:szCs w:val="22"/>
          <w:lang w:val="es-AR"/>
        </w:rPr>
        <w:t xml:space="preserve">. Más precisamente, </w:t>
      </w:r>
      <w:r w:rsidR="00D570FB" w:rsidRPr="001A3AFE">
        <w:rPr>
          <w:rFonts w:ascii="Times New Roman" w:hAnsi="Times New Roman"/>
          <w:sz w:val="22"/>
          <w:szCs w:val="22"/>
          <w:lang w:val="es-AR"/>
        </w:rPr>
        <w:t xml:space="preserve">el análisis </w:t>
      </w:r>
      <w:r w:rsidR="001A3AFE" w:rsidRPr="001A3AFE">
        <w:rPr>
          <w:rFonts w:ascii="Times New Roman" w:hAnsi="Times New Roman"/>
          <w:sz w:val="22"/>
          <w:szCs w:val="22"/>
          <w:lang w:val="es-AR"/>
        </w:rPr>
        <w:t>requiere</w:t>
      </w:r>
      <w:r w:rsidR="009B783D" w:rsidRPr="001A3AFE">
        <w:rPr>
          <w:rFonts w:ascii="Times New Roman" w:hAnsi="Times New Roman"/>
          <w:sz w:val="22"/>
          <w:szCs w:val="22"/>
          <w:lang w:val="es-AR"/>
        </w:rPr>
        <w:t xml:space="preserve"> establecer </w:t>
      </w:r>
      <w:r w:rsidRPr="001A3AFE">
        <w:rPr>
          <w:rFonts w:ascii="Times New Roman" w:hAnsi="Times New Roman"/>
          <w:sz w:val="22"/>
          <w:szCs w:val="22"/>
          <w:lang w:val="es-AR"/>
        </w:rPr>
        <w:t xml:space="preserve">la probabilidad de que </w:t>
      </w:r>
      <w:r w:rsidR="005B7168" w:rsidRPr="001A3AFE">
        <w:rPr>
          <w:rFonts w:ascii="Times New Roman" w:hAnsi="Times New Roman"/>
          <w:sz w:val="22"/>
          <w:szCs w:val="22"/>
          <w:lang w:val="es-AR"/>
        </w:rPr>
        <w:t xml:space="preserve">se pierda </w:t>
      </w:r>
      <w:r w:rsidR="006306AA" w:rsidRPr="001A3AFE">
        <w:rPr>
          <w:rFonts w:ascii="Times New Roman" w:hAnsi="Times New Roman"/>
          <w:sz w:val="22"/>
          <w:szCs w:val="22"/>
          <w:lang w:val="es-AR"/>
        </w:rPr>
        <w:t xml:space="preserve">frente a un evento determinado </w:t>
      </w:r>
      <w:r w:rsidR="005B7168" w:rsidRPr="001A3AFE">
        <w:rPr>
          <w:rFonts w:ascii="Times New Roman" w:hAnsi="Times New Roman"/>
          <w:sz w:val="22"/>
          <w:szCs w:val="22"/>
          <w:lang w:val="es-AR"/>
        </w:rPr>
        <w:t>un valor de</w:t>
      </w:r>
      <w:r w:rsidR="00F4683C" w:rsidRPr="001A3AFE">
        <w:rPr>
          <w:rFonts w:ascii="Times New Roman" w:hAnsi="Times New Roman"/>
          <w:sz w:val="22"/>
          <w:szCs w:val="22"/>
          <w:lang w:val="es-AR"/>
        </w:rPr>
        <w:t xml:space="preserve"> </w:t>
      </w:r>
      <w:r w:rsidRPr="001A3AFE">
        <w:rPr>
          <w:rFonts w:ascii="Times New Roman" w:hAnsi="Times New Roman"/>
          <w:i/>
          <w:sz w:val="22"/>
          <w:szCs w:val="22"/>
          <w:lang w:val="es-AR"/>
        </w:rPr>
        <w:t>X</w:t>
      </w:r>
      <w:r w:rsidRPr="001A3AFE">
        <w:rPr>
          <w:rFonts w:ascii="Times New Roman" w:hAnsi="Times New Roman"/>
          <w:sz w:val="22"/>
          <w:szCs w:val="22"/>
          <w:lang w:val="es-AR"/>
        </w:rPr>
        <w:t xml:space="preserve"> </w:t>
      </w:r>
      <w:r w:rsidR="00F4683C" w:rsidRPr="001A3AFE">
        <w:rPr>
          <w:rFonts w:ascii="Times New Roman" w:hAnsi="Times New Roman"/>
          <w:sz w:val="22"/>
          <w:szCs w:val="22"/>
          <w:lang w:val="es-AR"/>
        </w:rPr>
        <w:t xml:space="preserve">dólares </w:t>
      </w:r>
      <w:r w:rsidRPr="001A3AFE">
        <w:rPr>
          <w:rFonts w:ascii="Times New Roman" w:hAnsi="Times New Roman"/>
          <w:sz w:val="22"/>
          <w:szCs w:val="22"/>
          <w:lang w:val="es-AR"/>
        </w:rPr>
        <w:t xml:space="preserve">(o </w:t>
      </w:r>
      <w:r w:rsidR="00FA11B2" w:rsidRPr="001A3AFE">
        <w:rPr>
          <w:rFonts w:ascii="Times New Roman" w:hAnsi="Times New Roman"/>
          <w:i/>
          <w:sz w:val="22"/>
          <w:szCs w:val="22"/>
          <w:lang w:val="es-AR"/>
        </w:rPr>
        <w:t>N</w:t>
      </w:r>
      <w:r w:rsidRPr="001A3AFE">
        <w:rPr>
          <w:rFonts w:ascii="Times New Roman" w:hAnsi="Times New Roman"/>
          <w:sz w:val="22"/>
          <w:szCs w:val="22"/>
          <w:lang w:val="es-AR"/>
        </w:rPr>
        <w:t xml:space="preserve"> vidas</w:t>
      </w:r>
      <w:r w:rsidR="00FA11B2" w:rsidRPr="001A3AFE">
        <w:rPr>
          <w:rFonts w:ascii="Times New Roman" w:hAnsi="Times New Roman"/>
          <w:sz w:val="22"/>
          <w:szCs w:val="22"/>
          <w:lang w:val="es-AR"/>
        </w:rPr>
        <w:t xml:space="preserve">, </w:t>
      </w:r>
      <w:r w:rsidR="009B783D" w:rsidRPr="001A3AFE">
        <w:rPr>
          <w:rFonts w:ascii="Times New Roman" w:hAnsi="Times New Roman"/>
          <w:sz w:val="22"/>
          <w:szCs w:val="22"/>
          <w:lang w:val="es-AR"/>
        </w:rPr>
        <w:t xml:space="preserve">o ambos combinados, </w:t>
      </w:r>
      <w:r w:rsidR="00FA11B2" w:rsidRPr="001A3AFE">
        <w:rPr>
          <w:rFonts w:ascii="Times New Roman" w:hAnsi="Times New Roman"/>
          <w:sz w:val="22"/>
          <w:szCs w:val="22"/>
          <w:lang w:val="es-AR"/>
        </w:rPr>
        <w:t>según la métrica priorizada</w:t>
      </w:r>
      <w:r w:rsidRPr="001A3AFE">
        <w:rPr>
          <w:rFonts w:ascii="Times New Roman" w:hAnsi="Times New Roman"/>
          <w:sz w:val="22"/>
          <w:szCs w:val="22"/>
          <w:lang w:val="es-AR"/>
        </w:rPr>
        <w:t>)</w:t>
      </w:r>
      <w:r w:rsidR="00D570FB" w:rsidRPr="001A3AFE">
        <w:rPr>
          <w:rFonts w:ascii="Times New Roman" w:hAnsi="Times New Roman"/>
          <w:sz w:val="22"/>
          <w:szCs w:val="22"/>
          <w:lang w:val="es-AR"/>
        </w:rPr>
        <w:t xml:space="preserve">. Las pérdidas esperadas (medidas por vía de un </w:t>
      </w:r>
      <w:r w:rsidR="00F645ED">
        <w:rPr>
          <w:rFonts w:ascii="Times New Roman" w:hAnsi="Times New Roman"/>
          <w:sz w:val="22"/>
          <w:szCs w:val="22"/>
          <w:lang w:val="es-AR"/>
        </w:rPr>
        <w:t>p</w:t>
      </w:r>
      <w:r w:rsidR="00F645ED" w:rsidRPr="001A3AFE">
        <w:rPr>
          <w:rFonts w:ascii="Times New Roman" w:hAnsi="Times New Roman"/>
          <w:sz w:val="22"/>
          <w:szCs w:val="22"/>
          <w:lang w:val="es-AR"/>
        </w:rPr>
        <w:t xml:space="preserve">romedio </w:t>
      </w:r>
      <w:r w:rsidR="00F645ED">
        <w:rPr>
          <w:rFonts w:ascii="Times New Roman" w:hAnsi="Times New Roman"/>
          <w:sz w:val="22"/>
          <w:szCs w:val="22"/>
          <w:lang w:val="es-AR"/>
        </w:rPr>
        <w:t>a</w:t>
      </w:r>
      <w:r w:rsidR="00F645ED" w:rsidRPr="001A3AFE">
        <w:rPr>
          <w:rFonts w:ascii="Times New Roman" w:hAnsi="Times New Roman"/>
          <w:sz w:val="22"/>
          <w:szCs w:val="22"/>
          <w:lang w:val="es-AR"/>
        </w:rPr>
        <w:t xml:space="preserve">nual </w:t>
      </w:r>
      <w:r w:rsidR="00FA11B2" w:rsidRPr="001A3AFE">
        <w:rPr>
          <w:rFonts w:ascii="Times New Roman" w:hAnsi="Times New Roman"/>
          <w:sz w:val="22"/>
          <w:szCs w:val="22"/>
          <w:lang w:val="es-AR"/>
        </w:rPr>
        <w:t xml:space="preserve">de </w:t>
      </w:r>
      <w:r w:rsidR="00F645ED">
        <w:rPr>
          <w:rFonts w:ascii="Times New Roman" w:hAnsi="Times New Roman"/>
          <w:sz w:val="22"/>
          <w:szCs w:val="22"/>
          <w:lang w:val="es-AR"/>
        </w:rPr>
        <w:t>p</w:t>
      </w:r>
      <w:r w:rsidR="00F645ED" w:rsidRPr="001A3AFE">
        <w:rPr>
          <w:rFonts w:ascii="Times New Roman" w:hAnsi="Times New Roman"/>
          <w:sz w:val="22"/>
          <w:szCs w:val="22"/>
          <w:lang w:val="es-AR"/>
        </w:rPr>
        <w:t xml:space="preserve">érdidas </w:t>
      </w:r>
      <w:r w:rsidR="009B783D" w:rsidRPr="001A3AFE">
        <w:rPr>
          <w:rFonts w:ascii="Times New Roman" w:hAnsi="Times New Roman"/>
          <w:sz w:val="22"/>
          <w:szCs w:val="22"/>
          <w:lang w:val="es-AR"/>
        </w:rPr>
        <w:t>sin intervención</w:t>
      </w:r>
      <w:r w:rsidR="00D570FB" w:rsidRPr="001A3AFE">
        <w:rPr>
          <w:rFonts w:ascii="Times New Roman" w:hAnsi="Times New Roman"/>
          <w:sz w:val="22"/>
          <w:szCs w:val="22"/>
          <w:lang w:val="es-AR"/>
        </w:rPr>
        <w:t xml:space="preserve">) </w:t>
      </w:r>
      <w:r w:rsidR="00FA11B2" w:rsidRPr="001A3AFE">
        <w:rPr>
          <w:rFonts w:ascii="Times New Roman" w:hAnsi="Times New Roman"/>
          <w:sz w:val="22"/>
          <w:szCs w:val="22"/>
          <w:lang w:val="es-AR"/>
        </w:rPr>
        <w:t>se coteja</w:t>
      </w:r>
      <w:r w:rsidR="009B783D" w:rsidRPr="001A3AFE">
        <w:rPr>
          <w:rFonts w:ascii="Times New Roman" w:hAnsi="Times New Roman"/>
          <w:sz w:val="22"/>
          <w:szCs w:val="22"/>
          <w:lang w:val="es-AR"/>
        </w:rPr>
        <w:t>n</w:t>
      </w:r>
      <w:r w:rsidR="00FA11B2" w:rsidRPr="001A3AFE">
        <w:rPr>
          <w:rFonts w:ascii="Times New Roman" w:hAnsi="Times New Roman"/>
          <w:sz w:val="22"/>
          <w:szCs w:val="22"/>
          <w:lang w:val="es-AR"/>
        </w:rPr>
        <w:t xml:space="preserve"> </w:t>
      </w:r>
      <w:r w:rsidR="006306AA" w:rsidRPr="001A3AFE">
        <w:rPr>
          <w:rFonts w:ascii="Times New Roman" w:hAnsi="Times New Roman"/>
          <w:sz w:val="22"/>
          <w:szCs w:val="22"/>
          <w:lang w:val="es-AR"/>
        </w:rPr>
        <w:t xml:space="preserve">contra </w:t>
      </w:r>
      <w:r w:rsidR="00FA11B2" w:rsidRPr="001A3AFE">
        <w:rPr>
          <w:rFonts w:ascii="Times New Roman" w:hAnsi="Times New Roman"/>
          <w:sz w:val="22"/>
          <w:szCs w:val="22"/>
          <w:lang w:val="es-AR"/>
        </w:rPr>
        <w:t xml:space="preserve">las medidas </w:t>
      </w:r>
      <w:r w:rsidR="00D570FB" w:rsidRPr="001A3AFE">
        <w:rPr>
          <w:rFonts w:ascii="Times New Roman" w:hAnsi="Times New Roman"/>
          <w:sz w:val="22"/>
          <w:szCs w:val="22"/>
          <w:lang w:val="es-AR"/>
        </w:rPr>
        <w:t xml:space="preserve">planificadas </w:t>
      </w:r>
      <w:r w:rsidR="00FA11B2" w:rsidRPr="001A3AFE">
        <w:rPr>
          <w:rFonts w:ascii="Times New Roman" w:hAnsi="Times New Roman"/>
          <w:sz w:val="22"/>
          <w:szCs w:val="22"/>
          <w:lang w:val="es-AR"/>
        </w:rPr>
        <w:t xml:space="preserve">de </w:t>
      </w:r>
      <w:r w:rsidR="004112FE">
        <w:rPr>
          <w:rFonts w:ascii="Times New Roman" w:hAnsi="Times New Roman"/>
          <w:sz w:val="22"/>
          <w:szCs w:val="22"/>
          <w:lang w:val="es-AR"/>
        </w:rPr>
        <w:t>R</w:t>
      </w:r>
      <w:r w:rsidR="00F645ED" w:rsidRPr="001A3AFE">
        <w:rPr>
          <w:rFonts w:ascii="Times New Roman" w:hAnsi="Times New Roman"/>
          <w:sz w:val="22"/>
          <w:szCs w:val="22"/>
          <w:lang w:val="es-AR"/>
        </w:rPr>
        <w:t xml:space="preserve">educción </w:t>
      </w:r>
      <w:r w:rsidR="00FA11B2" w:rsidRPr="001A3AFE">
        <w:rPr>
          <w:rFonts w:ascii="Times New Roman" w:hAnsi="Times New Roman"/>
          <w:sz w:val="22"/>
          <w:szCs w:val="22"/>
          <w:lang w:val="es-AR"/>
        </w:rPr>
        <w:t xml:space="preserve">del </w:t>
      </w:r>
      <w:r w:rsidR="004112FE">
        <w:rPr>
          <w:rFonts w:ascii="Times New Roman" w:hAnsi="Times New Roman"/>
          <w:sz w:val="22"/>
          <w:szCs w:val="22"/>
          <w:lang w:val="es-AR"/>
        </w:rPr>
        <w:t>R</w:t>
      </w:r>
      <w:r w:rsidR="00F645ED" w:rsidRPr="001A3AFE">
        <w:rPr>
          <w:rFonts w:ascii="Times New Roman" w:hAnsi="Times New Roman"/>
          <w:sz w:val="22"/>
          <w:szCs w:val="22"/>
          <w:lang w:val="es-AR"/>
        </w:rPr>
        <w:t xml:space="preserve">iesgo </w:t>
      </w:r>
      <w:r w:rsidR="00FA11B2" w:rsidRPr="001A3AFE">
        <w:rPr>
          <w:rFonts w:ascii="Times New Roman" w:hAnsi="Times New Roman"/>
          <w:sz w:val="22"/>
          <w:szCs w:val="22"/>
          <w:lang w:val="es-AR"/>
        </w:rPr>
        <w:t xml:space="preserve">de </w:t>
      </w:r>
      <w:r w:rsidR="00F645ED">
        <w:rPr>
          <w:rFonts w:ascii="Times New Roman" w:hAnsi="Times New Roman"/>
          <w:sz w:val="22"/>
          <w:szCs w:val="22"/>
          <w:lang w:val="es-AR"/>
        </w:rPr>
        <w:t>D</w:t>
      </w:r>
      <w:r w:rsidR="00F645ED" w:rsidRPr="001A3AFE">
        <w:rPr>
          <w:rFonts w:ascii="Times New Roman" w:hAnsi="Times New Roman"/>
          <w:sz w:val="22"/>
          <w:szCs w:val="22"/>
          <w:lang w:val="es-AR"/>
        </w:rPr>
        <w:t xml:space="preserve">esastres </w:t>
      </w:r>
      <w:r w:rsidRPr="001A3AFE">
        <w:rPr>
          <w:rFonts w:ascii="Times New Roman" w:hAnsi="Times New Roman"/>
          <w:sz w:val="22"/>
          <w:szCs w:val="22"/>
          <w:lang w:val="es-AR"/>
        </w:rPr>
        <w:t xml:space="preserve">(RRD) </w:t>
      </w:r>
      <w:r w:rsidR="00FA11B2" w:rsidRPr="001A3AFE">
        <w:rPr>
          <w:rFonts w:ascii="Times New Roman" w:hAnsi="Times New Roman"/>
          <w:sz w:val="22"/>
          <w:szCs w:val="22"/>
          <w:lang w:val="es-AR"/>
        </w:rPr>
        <w:t>que</w:t>
      </w:r>
      <w:r w:rsidRPr="001A3AFE">
        <w:rPr>
          <w:rFonts w:ascii="Times New Roman" w:hAnsi="Times New Roman"/>
          <w:sz w:val="22"/>
          <w:szCs w:val="22"/>
          <w:lang w:val="es-AR"/>
        </w:rPr>
        <w:t xml:space="preserve"> </w:t>
      </w:r>
      <w:r w:rsidR="00D570FB" w:rsidRPr="001A3AFE">
        <w:rPr>
          <w:rFonts w:ascii="Times New Roman" w:hAnsi="Times New Roman"/>
          <w:sz w:val="22"/>
          <w:szCs w:val="22"/>
          <w:lang w:val="es-AR"/>
        </w:rPr>
        <w:t>permit</w:t>
      </w:r>
      <w:r w:rsidR="009B783D" w:rsidRPr="001A3AFE">
        <w:rPr>
          <w:rFonts w:ascii="Times New Roman" w:hAnsi="Times New Roman"/>
          <w:sz w:val="22"/>
          <w:szCs w:val="22"/>
          <w:lang w:val="es-AR"/>
        </w:rPr>
        <w:t>irían</w:t>
      </w:r>
      <w:r w:rsidR="00D570FB" w:rsidRPr="001A3AFE">
        <w:rPr>
          <w:rFonts w:ascii="Times New Roman" w:hAnsi="Times New Roman"/>
          <w:sz w:val="22"/>
          <w:szCs w:val="22"/>
          <w:lang w:val="es-AR"/>
        </w:rPr>
        <w:t xml:space="preserve"> </w:t>
      </w:r>
      <w:r w:rsidRPr="001A3AFE">
        <w:rPr>
          <w:rFonts w:ascii="Times New Roman" w:hAnsi="Times New Roman"/>
          <w:sz w:val="22"/>
          <w:szCs w:val="22"/>
          <w:lang w:val="es-AR"/>
        </w:rPr>
        <w:t>disminu</w:t>
      </w:r>
      <w:r w:rsidR="00D570FB" w:rsidRPr="001A3AFE">
        <w:rPr>
          <w:rFonts w:ascii="Times New Roman" w:hAnsi="Times New Roman"/>
          <w:sz w:val="22"/>
          <w:szCs w:val="22"/>
          <w:lang w:val="es-AR"/>
        </w:rPr>
        <w:t xml:space="preserve">ir </w:t>
      </w:r>
      <w:r w:rsidRPr="001A3AFE">
        <w:rPr>
          <w:rFonts w:ascii="Times New Roman" w:hAnsi="Times New Roman"/>
          <w:sz w:val="22"/>
          <w:szCs w:val="22"/>
          <w:lang w:val="es-AR"/>
        </w:rPr>
        <w:t xml:space="preserve">la </w:t>
      </w:r>
      <w:r w:rsidR="00FA11B2" w:rsidRPr="001A3AFE">
        <w:rPr>
          <w:rFonts w:ascii="Times New Roman" w:hAnsi="Times New Roman"/>
          <w:sz w:val="22"/>
          <w:szCs w:val="22"/>
          <w:lang w:val="es-AR"/>
        </w:rPr>
        <w:t xml:space="preserve">condición de </w:t>
      </w:r>
      <w:r w:rsidRPr="001A3AFE">
        <w:rPr>
          <w:rFonts w:ascii="Times New Roman" w:hAnsi="Times New Roman"/>
          <w:sz w:val="22"/>
          <w:szCs w:val="22"/>
          <w:lang w:val="es-AR"/>
        </w:rPr>
        <w:t xml:space="preserve">vulnerabilidad </w:t>
      </w:r>
      <w:r w:rsidR="006306AA" w:rsidRPr="001A3AFE">
        <w:rPr>
          <w:rFonts w:ascii="Times New Roman" w:hAnsi="Times New Roman"/>
          <w:sz w:val="22"/>
          <w:szCs w:val="22"/>
          <w:lang w:val="es-AR"/>
        </w:rPr>
        <w:t>de personas y bienes</w:t>
      </w:r>
      <w:r w:rsidR="00D570FB" w:rsidRPr="001A3AFE">
        <w:rPr>
          <w:rFonts w:ascii="Times New Roman" w:hAnsi="Times New Roman"/>
          <w:sz w:val="22"/>
          <w:szCs w:val="22"/>
          <w:lang w:val="es-AR"/>
        </w:rPr>
        <w:t xml:space="preserve"> (</w:t>
      </w:r>
      <w:r w:rsidR="00FA11B2" w:rsidRPr="001A3AFE">
        <w:rPr>
          <w:rFonts w:ascii="Times New Roman" w:hAnsi="Times New Roman"/>
          <w:sz w:val="22"/>
          <w:szCs w:val="22"/>
          <w:lang w:val="es-AR"/>
        </w:rPr>
        <w:t xml:space="preserve">y </w:t>
      </w:r>
      <w:r w:rsidRPr="001A3AFE">
        <w:rPr>
          <w:rFonts w:ascii="Times New Roman" w:hAnsi="Times New Roman"/>
          <w:sz w:val="22"/>
          <w:szCs w:val="22"/>
          <w:lang w:val="es-AR"/>
        </w:rPr>
        <w:t xml:space="preserve">por lo tanto </w:t>
      </w:r>
      <w:r w:rsidR="009B783D" w:rsidRPr="001A3AFE">
        <w:rPr>
          <w:rFonts w:ascii="Times New Roman" w:hAnsi="Times New Roman"/>
          <w:sz w:val="22"/>
          <w:szCs w:val="22"/>
          <w:lang w:val="es-AR"/>
        </w:rPr>
        <w:t xml:space="preserve">minimizan </w:t>
      </w:r>
      <w:r w:rsidRPr="001A3AFE">
        <w:rPr>
          <w:rFonts w:ascii="Times New Roman" w:hAnsi="Times New Roman"/>
          <w:sz w:val="22"/>
          <w:szCs w:val="22"/>
          <w:lang w:val="es-AR"/>
        </w:rPr>
        <w:t>la pérdida esperada</w:t>
      </w:r>
      <w:r w:rsidR="00D570FB" w:rsidRPr="001A3AFE">
        <w:rPr>
          <w:rFonts w:ascii="Times New Roman" w:hAnsi="Times New Roman"/>
          <w:sz w:val="22"/>
          <w:szCs w:val="22"/>
          <w:lang w:val="es-AR"/>
        </w:rPr>
        <w:t>)</w:t>
      </w:r>
      <w:r w:rsidRPr="001A3AFE">
        <w:rPr>
          <w:rFonts w:ascii="Times New Roman" w:hAnsi="Times New Roman"/>
          <w:sz w:val="22"/>
          <w:szCs w:val="22"/>
          <w:lang w:val="es-AR"/>
        </w:rPr>
        <w:t xml:space="preserve">. Los beneficios se cuantifican </w:t>
      </w:r>
      <w:r w:rsidR="009B783D" w:rsidRPr="001A3AFE">
        <w:rPr>
          <w:rFonts w:ascii="Times New Roman" w:hAnsi="Times New Roman"/>
          <w:sz w:val="22"/>
          <w:szCs w:val="22"/>
          <w:lang w:val="es-AR"/>
        </w:rPr>
        <w:t xml:space="preserve">entonces </w:t>
      </w:r>
      <w:r w:rsidRPr="001A3AFE">
        <w:rPr>
          <w:rFonts w:ascii="Times New Roman" w:hAnsi="Times New Roman"/>
          <w:sz w:val="22"/>
          <w:szCs w:val="22"/>
          <w:lang w:val="es-AR"/>
        </w:rPr>
        <w:t xml:space="preserve">mediante la </w:t>
      </w:r>
      <w:r w:rsidR="00FA11B2" w:rsidRPr="001A3AFE">
        <w:rPr>
          <w:rFonts w:ascii="Times New Roman" w:hAnsi="Times New Roman"/>
          <w:sz w:val="22"/>
          <w:szCs w:val="22"/>
          <w:lang w:val="es-AR"/>
        </w:rPr>
        <w:t xml:space="preserve">comparación de ambos </w:t>
      </w:r>
      <w:r w:rsidR="00D570FB" w:rsidRPr="001A3AFE">
        <w:rPr>
          <w:rFonts w:ascii="Times New Roman" w:hAnsi="Times New Roman"/>
          <w:sz w:val="22"/>
          <w:szCs w:val="22"/>
          <w:lang w:val="es-AR"/>
        </w:rPr>
        <w:t>escenarios hipotéticos</w:t>
      </w:r>
      <w:r w:rsidR="00FA11B2" w:rsidRPr="001A3AFE">
        <w:rPr>
          <w:rFonts w:ascii="Times New Roman" w:hAnsi="Times New Roman"/>
          <w:sz w:val="22"/>
          <w:szCs w:val="22"/>
          <w:lang w:val="es-AR"/>
        </w:rPr>
        <w:t xml:space="preserve"> </w:t>
      </w:r>
      <w:r w:rsidRPr="001A3AFE">
        <w:rPr>
          <w:rFonts w:ascii="Times New Roman" w:hAnsi="Times New Roman"/>
          <w:sz w:val="22"/>
          <w:szCs w:val="22"/>
          <w:lang w:val="es-AR"/>
        </w:rPr>
        <w:t>aplica</w:t>
      </w:r>
      <w:r w:rsidR="00FA11B2" w:rsidRPr="001A3AFE">
        <w:rPr>
          <w:rFonts w:ascii="Times New Roman" w:hAnsi="Times New Roman"/>
          <w:sz w:val="22"/>
          <w:szCs w:val="22"/>
          <w:lang w:val="es-AR"/>
        </w:rPr>
        <w:t>dos</w:t>
      </w:r>
      <w:r w:rsidR="00D570FB" w:rsidRPr="001A3AFE">
        <w:rPr>
          <w:rFonts w:ascii="Times New Roman" w:hAnsi="Times New Roman"/>
          <w:sz w:val="22"/>
          <w:szCs w:val="22"/>
          <w:lang w:val="es-AR"/>
        </w:rPr>
        <w:t xml:space="preserve"> (</w:t>
      </w:r>
      <w:r w:rsidR="009B783D" w:rsidRPr="001A3AFE">
        <w:rPr>
          <w:rFonts w:ascii="Times New Roman" w:hAnsi="Times New Roman"/>
          <w:sz w:val="22"/>
          <w:szCs w:val="22"/>
          <w:lang w:val="es-AR"/>
        </w:rPr>
        <w:t xml:space="preserve">pérdidas esperadas </w:t>
      </w:r>
      <w:r w:rsidR="00D570FB" w:rsidRPr="001A3AFE">
        <w:rPr>
          <w:rFonts w:ascii="Times New Roman" w:hAnsi="Times New Roman"/>
          <w:sz w:val="22"/>
          <w:szCs w:val="22"/>
          <w:lang w:val="es-AR"/>
        </w:rPr>
        <w:t>con y sin medidas de RDD)</w:t>
      </w:r>
      <w:r w:rsidRPr="001A3AFE">
        <w:rPr>
          <w:rFonts w:ascii="Times New Roman" w:hAnsi="Times New Roman"/>
          <w:sz w:val="22"/>
          <w:szCs w:val="22"/>
          <w:lang w:val="es-AR"/>
        </w:rPr>
        <w:t xml:space="preserve"> y actualizados </w:t>
      </w:r>
      <w:r w:rsidR="006306AA" w:rsidRPr="001A3AFE">
        <w:rPr>
          <w:rFonts w:ascii="Times New Roman" w:hAnsi="Times New Roman"/>
          <w:sz w:val="22"/>
          <w:szCs w:val="22"/>
          <w:lang w:val="es-AR"/>
        </w:rPr>
        <w:t xml:space="preserve">en </w:t>
      </w:r>
      <w:r w:rsidRPr="001A3AFE">
        <w:rPr>
          <w:rFonts w:ascii="Times New Roman" w:hAnsi="Times New Roman"/>
          <w:sz w:val="22"/>
          <w:szCs w:val="22"/>
          <w:lang w:val="es-AR"/>
        </w:rPr>
        <w:t>el horizonte temporal relevante (10</w:t>
      </w:r>
      <w:r w:rsidR="00FA11B2" w:rsidRPr="001A3AFE">
        <w:rPr>
          <w:rFonts w:ascii="Times New Roman" w:hAnsi="Times New Roman"/>
          <w:sz w:val="22"/>
          <w:szCs w:val="22"/>
          <w:lang w:val="es-AR"/>
        </w:rPr>
        <w:t xml:space="preserve"> </w:t>
      </w:r>
      <w:r w:rsidR="00F645ED">
        <w:rPr>
          <w:rFonts w:ascii="Times New Roman" w:hAnsi="Times New Roman"/>
          <w:sz w:val="22"/>
          <w:szCs w:val="22"/>
          <w:lang w:val="es-AR"/>
        </w:rPr>
        <w:t>o</w:t>
      </w:r>
      <w:r w:rsidR="00F645ED" w:rsidRPr="001A3AFE">
        <w:rPr>
          <w:rFonts w:ascii="Times New Roman" w:hAnsi="Times New Roman"/>
          <w:sz w:val="22"/>
          <w:szCs w:val="22"/>
          <w:lang w:val="es-AR"/>
        </w:rPr>
        <w:t xml:space="preserve"> </w:t>
      </w:r>
      <w:r w:rsidRPr="001A3AFE">
        <w:rPr>
          <w:rFonts w:ascii="Times New Roman" w:hAnsi="Times New Roman"/>
          <w:sz w:val="22"/>
          <w:szCs w:val="22"/>
          <w:lang w:val="es-AR"/>
        </w:rPr>
        <w:t>20 años</w:t>
      </w:r>
      <w:r w:rsidR="00FA11B2" w:rsidRPr="001A3AFE">
        <w:rPr>
          <w:rFonts w:ascii="Times New Roman" w:hAnsi="Times New Roman"/>
          <w:sz w:val="22"/>
          <w:szCs w:val="22"/>
          <w:lang w:val="es-AR"/>
        </w:rPr>
        <w:t>, conforme a la estrategia de intervención</w:t>
      </w:r>
      <w:r w:rsidRPr="001A3AFE">
        <w:rPr>
          <w:rFonts w:ascii="Times New Roman" w:hAnsi="Times New Roman"/>
          <w:sz w:val="22"/>
          <w:szCs w:val="22"/>
          <w:lang w:val="es-AR"/>
        </w:rPr>
        <w:t xml:space="preserve">). </w:t>
      </w:r>
      <w:r w:rsidR="00FA11B2" w:rsidRPr="001A3AFE">
        <w:rPr>
          <w:rFonts w:ascii="Times New Roman" w:hAnsi="Times New Roman"/>
          <w:sz w:val="22"/>
          <w:szCs w:val="22"/>
          <w:lang w:val="es-AR"/>
        </w:rPr>
        <w:t>Al incorporar al análisis l</w:t>
      </w:r>
      <w:r w:rsidRPr="001A3AFE">
        <w:rPr>
          <w:rFonts w:ascii="Times New Roman" w:hAnsi="Times New Roman"/>
          <w:sz w:val="22"/>
          <w:szCs w:val="22"/>
          <w:lang w:val="es-AR"/>
        </w:rPr>
        <w:t xml:space="preserve">as estimaciones de costos </w:t>
      </w:r>
      <w:r w:rsidR="00FA11B2" w:rsidRPr="001A3AFE">
        <w:rPr>
          <w:rFonts w:ascii="Times New Roman" w:hAnsi="Times New Roman"/>
          <w:sz w:val="22"/>
          <w:szCs w:val="22"/>
          <w:lang w:val="es-AR"/>
        </w:rPr>
        <w:t xml:space="preserve">que representan las </w:t>
      </w:r>
      <w:r w:rsidRPr="001A3AFE">
        <w:rPr>
          <w:rFonts w:ascii="Times New Roman" w:hAnsi="Times New Roman"/>
          <w:sz w:val="22"/>
          <w:szCs w:val="22"/>
          <w:lang w:val="es-AR"/>
        </w:rPr>
        <w:t>medida</w:t>
      </w:r>
      <w:r w:rsidR="00D570FB" w:rsidRPr="001A3AFE">
        <w:rPr>
          <w:rFonts w:ascii="Times New Roman" w:hAnsi="Times New Roman"/>
          <w:sz w:val="22"/>
          <w:szCs w:val="22"/>
          <w:lang w:val="es-AR"/>
        </w:rPr>
        <w:t>s</w:t>
      </w:r>
      <w:r w:rsidRPr="001A3AFE">
        <w:rPr>
          <w:rFonts w:ascii="Times New Roman" w:hAnsi="Times New Roman"/>
          <w:sz w:val="22"/>
          <w:szCs w:val="22"/>
          <w:lang w:val="es-AR"/>
        </w:rPr>
        <w:t xml:space="preserve"> de </w:t>
      </w:r>
      <w:r w:rsidRPr="001A3AFE">
        <w:rPr>
          <w:rFonts w:ascii="Times New Roman" w:hAnsi="Times New Roman"/>
          <w:sz w:val="22"/>
          <w:szCs w:val="22"/>
          <w:lang w:val="es-AR"/>
        </w:rPr>
        <w:lastRenderedPageBreak/>
        <w:t>RRD</w:t>
      </w:r>
      <w:r w:rsidR="00D570FB" w:rsidRPr="001A3AFE">
        <w:rPr>
          <w:rFonts w:ascii="Times New Roman" w:hAnsi="Times New Roman"/>
          <w:sz w:val="22"/>
          <w:szCs w:val="22"/>
          <w:lang w:val="es-AR"/>
        </w:rPr>
        <w:t xml:space="preserve"> (</w:t>
      </w:r>
      <w:r w:rsidR="006306AA" w:rsidRPr="001A3AFE">
        <w:rPr>
          <w:rFonts w:ascii="Times New Roman" w:hAnsi="Times New Roman"/>
          <w:sz w:val="22"/>
          <w:szCs w:val="22"/>
          <w:lang w:val="es-AR"/>
        </w:rPr>
        <w:t xml:space="preserve">que </w:t>
      </w:r>
      <w:r w:rsidR="00D570FB" w:rsidRPr="001A3AFE">
        <w:rPr>
          <w:rFonts w:ascii="Times New Roman" w:hAnsi="Times New Roman"/>
          <w:sz w:val="22"/>
          <w:szCs w:val="22"/>
          <w:lang w:val="es-AR"/>
        </w:rPr>
        <w:t>se derivan de</w:t>
      </w:r>
      <w:r w:rsidRPr="001A3AFE">
        <w:rPr>
          <w:rFonts w:ascii="Times New Roman" w:hAnsi="Times New Roman"/>
          <w:sz w:val="22"/>
          <w:szCs w:val="22"/>
          <w:lang w:val="es-AR"/>
        </w:rPr>
        <w:t xml:space="preserve"> </w:t>
      </w:r>
      <w:r w:rsidR="00D570FB" w:rsidRPr="001A3AFE">
        <w:rPr>
          <w:rFonts w:ascii="Times New Roman" w:hAnsi="Times New Roman"/>
          <w:sz w:val="22"/>
          <w:szCs w:val="22"/>
          <w:lang w:val="es-AR"/>
        </w:rPr>
        <w:t>f</w:t>
      </w:r>
      <w:r w:rsidR="006306AA" w:rsidRPr="001A3AFE">
        <w:rPr>
          <w:rFonts w:ascii="Times New Roman" w:hAnsi="Times New Roman"/>
          <w:sz w:val="22"/>
          <w:szCs w:val="22"/>
          <w:lang w:val="es-AR"/>
        </w:rPr>
        <w:t xml:space="preserve">uentes técnicas y </w:t>
      </w:r>
      <w:r w:rsidR="001A3AFE" w:rsidRPr="001A3AFE">
        <w:rPr>
          <w:rFonts w:ascii="Times New Roman" w:hAnsi="Times New Roman"/>
          <w:sz w:val="22"/>
          <w:szCs w:val="22"/>
          <w:lang w:val="es-AR"/>
        </w:rPr>
        <w:t>científicas</w:t>
      </w:r>
      <w:r w:rsidR="006306AA" w:rsidRPr="001A3AFE">
        <w:rPr>
          <w:rFonts w:ascii="Times New Roman" w:hAnsi="Times New Roman"/>
          <w:sz w:val="22"/>
          <w:szCs w:val="22"/>
          <w:lang w:val="es-AR"/>
        </w:rPr>
        <w:t xml:space="preserve"> especializadas</w:t>
      </w:r>
      <w:r w:rsidR="00D570FB" w:rsidRPr="001A3AFE">
        <w:rPr>
          <w:rFonts w:ascii="Times New Roman" w:hAnsi="Times New Roman"/>
          <w:sz w:val="22"/>
          <w:szCs w:val="22"/>
          <w:lang w:val="es-AR"/>
        </w:rPr>
        <w:t>)</w:t>
      </w:r>
      <w:r w:rsidR="009B402A" w:rsidRPr="001A3AFE">
        <w:rPr>
          <w:rFonts w:ascii="Times New Roman" w:hAnsi="Times New Roman"/>
          <w:sz w:val="22"/>
          <w:szCs w:val="22"/>
          <w:lang w:val="es-AR"/>
        </w:rPr>
        <w:t xml:space="preserve">, </w:t>
      </w:r>
      <w:r w:rsidR="006306AA" w:rsidRPr="001A3AFE">
        <w:rPr>
          <w:rFonts w:ascii="Times New Roman" w:hAnsi="Times New Roman"/>
          <w:sz w:val="22"/>
          <w:szCs w:val="22"/>
          <w:lang w:val="es-AR"/>
        </w:rPr>
        <w:t xml:space="preserve">se calcula una relación </w:t>
      </w:r>
      <w:r w:rsidR="00F645ED">
        <w:rPr>
          <w:rFonts w:ascii="Times New Roman" w:hAnsi="Times New Roman"/>
          <w:sz w:val="22"/>
          <w:szCs w:val="22"/>
          <w:lang w:val="es-AR"/>
        </w:rPr>
        <w:t>b</w:t>
      </w:r>
      <w:r w:rsidR="00F645ED" w:rsidRPr="001A3AFE">
        <w:rPr>
          <w:rFonts w:ascii="Times New Roman" w:hAnsi="Times New Roman"/>
          <w:sz w:val="22"/>
          <w:szCs w:val="22"/>
          <w:lang w:val="es-AR"/>
        </w:rPr>
        <w:t>eneficio</w:t>
      </w:r>
      <w:r w:rsidR="009B783D" w:rsidRPr="001A3AFE">
        <w:rPr>
          <w:rFonts w:ascii="Times New Roman" w:hAnsi="Times New Roman"/>
          <w:sz w:val="22"/>
          <w:szCs w:val="22"/>
          <w:lang w:val="es-AR"/>
        </w:rPr>
        <w:t>-</w:t>
      </w:r>
      <w:r w:rsidR="00D61924">
        <w:rPr>
          <w:rFonts w:ascii="Times New Roman" w:hAnsi="Times New Roman"/>
          <w:sz w:val="22"/>
          <w:szCs w:val="22"/>
          <w:lang w:val="es-AR"/>
        </w:rPr>
        <w:t>c</w:t>
      </w:r>
      <w:r w:rsidR="00F645ED" w:rsidRPr="001A3AFE">
        <w:rPr>
          <w:rFonts w:ascii="Times New Roman" w:hAnsi="Times New Roman"/>
          <w:sz w:val="22"/>
          <w:szCs w:val="22"/>
          <w:lang w:val="es-AR"/>
        </w:rPr>
        <w:t xml:space="preserve">osto </w:t>
      </w:r>
      <w:r w:rsidRPr="001A3AFE">
        <w:rPr>
          <w:rFonts w:ascii="Times New Roman" w:hAnsi="Times New Roman"/>
          <w:sz w:val="22"/>
          <w:szCs w:val="22"/>
          <w:lang w:val="es-AR"/>
        </w:rPr>
        <w:t>(r</w:t>
      </w:r>
      <w:r w:rsidR="00D570FB" w:rsidRPr="001A3AFE">
        <w:rPr>
          <w:rFonts w:ascii="Times New Roman" w:hAnsi="Times New Roman"/>
          <w:sz w:val="22"/>
          <w:szCs w:val="22"/>
          <w:lang w:val="es-AR"/>
        </w:rPr>
        <w:t>atio</w:t>
      </w:r>
      <w:r w:rsidRPr="001A3AFE">
        <w:rPr>
          <w:rFonts w:ascii="Times New Roman" w:hAnsi="Times New Roman"/>
          <w:sz w:val="22"/>
          <w:szCs w:val="22"/>
          <w:lang w:val="es-AR"/>
        </w:rPr>
        <w:t xml:space="preserve"> B/C)</w:t>
      </w:r>
      <w:r w:rsidR="009B402A" w:rsidRPr="001A3AFE">
        <w:rPr>
          <w:rFonts w:ascii="Times New Roman" w:hAnsi="Times New Roman"/>
          <w:sz w:val="22"/>
          <w:szCs w:val="22"/>
          <w:lang w:val="es-AR"/>
        </w:rPr>
        <w:t xml:space="preserve"> empleada c</w:t>
      </w:r>
      <w:r w:rsidR="006306AA" w:rsidRPr="001A3AFE">
        <w:rPr>
          <w:rFonts w:ascii="Times New Roman" w:hAnsi="Times New Roman"/>
          <w:sz w:val="22"/>
          <w:szCs w:val="22"/>
          <w:lang w:val="es-AR"/>
        </w:rPr>
        <w:t>ó</w:t>
      </w:r>
      <w:r w:rsidR="009B402A" w:rsidRPr="001A3AFE">
        <w:rPr>
          <w:rFonts w:ascii="Times New Roman" w:hAnsi="Times New Roman"/>
          <w:sz w:val="22"/>
          <w:szCs w:val="22"/>
          <w:lang w:val="es-AR"/>
        </w:rPr>
        <w:t xml:space="preserve">mo </w:t>
      </w:r>
      <w:r w:rsidR="009B783D" w:rsidRPr="001A3AFE">
        <w:rPr>
          <w:rFonts w:ascii="Times New Roman" w:hAnsi="Times New Roman"/>
          <w:sz w:val="22"/>
          <w:szCs w:val="22"/>
          <w:lang w:val="es-AR"/>
        </w:rPr>
        <w:t xml:space="preserve">la </w:t>
      </w:r>
      <w:r w:rsidR="009B402A" w:rsidRPr="001A3AFE">
        <w:rPr>
          <w:rFonts w:ascii="Times New Roman" w:hAnsi="Times New Roman"/>
          <w:sz w:val="22"/>
          <w:szCs w:val="22"/>
          <w:lang w:val="es-AR"/>
        </w:rPr>
        <w:t xml:space="preserve">herramienta </w:t>
      </w:r>
      <w:r w:rsidR="009B783D" w:rsidRPr="001A3AFE">
        <w:rPr>
          <w:rFonts w:ascii="Times New Roman" w:hAnsi="Times New Roman"/>
          <w:sz w:val="22"/>
          <w:szCs w:val="22"/>
          <w:lang w:val="es-AR"/>
        </w:rPr>
        <w:t xml:space="preserve">más </w:t>
      </w:r>
      <w:r w:rsidR="006306AA" w:rsidRPr="001A3AFE">
        <w:rPr>
          <w:rFonts w:ascii="Times New Roman" w:hAnsi="Times New Roman"/>
          <w:sz w:val="22"/>
          <w:szCs w:val="22"/>
          <w:lang w:val="es-AR"/>
        </w:rPr>
        <w:t xml:space="preserve">habitual </w:t>
      </w:r>
      <w:r w:rsidR="009B402A" w:rsidRPr="001A3AFE">
        <w:rPr>
          <w:rFonts w:ascii="Times New Roman" w:hAnsi="Times New Roman"/>
          <w:sz w:val="22"/>
          <w:szCs w:val="22"/>
          <w:lang w:val="es-AR"/>
        </w:rPr>
        <w:t>de comparación.</w:t>
      </w:r>
    </w:p>
    <w:p w:rsidR="00D570FB" w:rsidRPr="00A73039" w:rsidRDefault="00D570FB" w:rsidP="00D570FB">
      <w:pPr>
        <w:ind w:left="718"/>
        <w:jc w:val="both"/>
        <w:rPr>
          <w:rFonts w:ascii="Times New Roman" w:hAnsi="Times New Roman"/>
          <w:sz w:val="22"/>
          <w:szCs w:val="22"/>
          <w:lang w:val="es-ES_tradnl"/>
        </w:rPr>
      </w:pPr>
    </w:p>
    <w:p w:rsidR="00A73039" w:rsidRPr="001A3AFE" w:rsidRDefault="009B402A" w:rsidP="00C95815">
      <w:pPr>
        <w:numPr>
          <w:ilvl w:val="1"/>
          <w:numId w:val="12"/>
        </w:numPr>
        <w:jc w:val="both"/>
        <w:rPr>
          <w:rFonts w:ascii="Times New Roman" w:hAnsi="Times New Roman"/>
          <w:sz w:val="22"/>
          <w:szCs w:val="22"/>
          <w:lang w:val="es-ES"/>
        </w:rPr>
      </w:pPr>
      <w:r w:rsidRPr="001A3AFE">
        <w:rPr>
          <w:rFonts w:ascii="Times New Roman" w:hAnsi="Times New Roman"/>
          <w:sz w:val="22"/>
          <w:szCs w:val="22"/>
          <w:lang w:val="es-ES"/>
        </w:rPr>
        <w:t>El enfoque</w:t>
      </w:r>
      <w:r w:rsidR="006306AA" w:rsidRPr="001A3AFE">
        <w:rPr>
          <w:rFonts w:ascii="Times New Roman" w:hAnsi="Times New Roman"/>
          <w:sz w:val="22"/>
          <w:szCs w:val="22"/>
          <w:lang w:val="es-ES"/>
        </w:rPr>
        <w:t xml:space="preserve"> </w:t>
      </w:r>
      <w:r w:rsidR="00F645ED">
        <w:rPr>
          <w:rFonts w:ascii="Times New Roman" w:hAnsi="Times New Roman"/>
          <w:sz w:val="22"/>
          <w:szCs w:val="22"/>
          <w:lang w:val="es-ES"/>
        </w:rPr>
        <w:t>b</w:t>
      </w:r>
      <w:r w:rsidRPr="001A3AFE">
        <w:rPr>
          <w:rFonts w:ascii="Times New Roman" w:hAnsi="Times New Roman"/>
          <w:sz w:val="22"/>
          <w:szCs w:val="22"/>
          <w:lang w:val="es-ES"/>
        </w:rPr>
        <w:t>eneficio</w:t>
      </w:r>
      <w:r w:rsidR="006306AA" w:rsidRPr="001A3AFE">
        <w:rPr>
          <w:rFonts w:ascii="Times New Roman" w:hAnsi="Times New Roman"/>
          <w:sz w:val="22"/>
          <w:szCs w:val="22"/>
          <w:lang w:val="es-ES"/>
        </w:rPr>
        <w:t>-</w:t>
      </w:r>
      <w:r w:rsidR="00F645ED">
        <w:rPr>
          <w:rFonts w:ascii="Times New Roman" w:hAnsi="Times New Roman"/>
          <w:sz w:val="22"/>
          <w:szCs w:val="22"/>
          <w:lang w:val="es-ES"/>
        </w:rPr>
        <w:t>c</w:t>
      </w:r>
      <w:r w:rsidR="006306AA" w:rsidRPr="001A3AFE">
        <w:rPr>
          <w:rFonts w:ascii="Times New Roman" w:hAnsi="Times New Roman"/>
          <w:sz w:val="22"/>
          <w:szCs w:val="22"/>
          <w:lang w:val="es-ES"/>
        </w:rPr>
        <w:t>osto</w:t>
      </w:r>
      <w:r w:rsidRPr="001A3AFE">
        <w:rPr>
          <w:rFonts w:ascii="Times New Roman" w:hAnsi="Times New Roman"/>
          <w:sz w:val="22"/>
          <w:szCs w:val="22"/>
          <w:lang w:val="es-ES"/>
        </w:rPr>
        <w:t xml:space="preserve"> de proyectos que salvan vidas en riesgo en general utiliza</w:t>
      </w:r>
      <w:r w:rsidR="006306AA" w:rsidRPr="001A3AFE">
        <w:rPr>
          <w:rFonts w:ascii="Times New Roman" w:hAnsi="Times New Roman"/>
          <w:sz w:val="22"/>
          <w:szCs w:val="22"/>
          <w:lang w:val="es-ES"/>
        </w:rPr>
        <w:t xml:space="preserve">n </w:t>
      </w:r>
      <w:r w:rsidR="008E0C13" w:rsidRPr="001A3AFE">
        <w:rPr>
          <w:rFonts w:ascii="Times New Roman" w:hAnsi="Times New Roman"/>
          <w:sz w:val="22"/>
          <w:szCs w:val="22"/>
          <w:lang w:val="es-ES"/>
        </w:rPr>
        <w:t>de</w:t>
      </w:r>
      <w:r w:rsidR="006306AA" w:rsidRPr="001A3AFE">
        <w:rPr>
          <w:rFonts w:ascii="Times New Roman" w:hAnsi="Times New Roman"/>
          <w:sz w:val="22"/>
          <w:szCs w:val="22"/>
          <w:lang w:val="es-ES"/>
        </w:rPr>
        <w:t xml:space="preserve"> referencia el </w:t>
      </w:r>
      <w:r w:rsidR="00F645ED">
        <w:rPr>
          <w:rFonts w:ascii="Times New Roman" w:hAnsi="Times New Roman"/>
          <w:sz w:val="22"/>
          <w:szCs w:val="22"/>
          <w:lang w:val="es-ES"/>
        </w:rPr>
        <w:t>v</w:t>
      </w:r>
      <w:r w:rsidRPr="001A3AFE">
        <w:rPr>
          <w:rFonts w:ascii="Times New Roman" w:hAnsi="Times New Roman"/>
          <w:sz w:val="22"/>
          <w:szCs w:val="22"/>
          <w:lang w:val="es-ES"/>
        </w:rPr>
        <w:t>alor estadístic</w:t>
      </w:r>
      <w:r w:rsidR="008E0C13" w:rsidRPr="001A3AFE">
        <w:rPr>
          <w:rFonts w:ascii="Times New Roman" w:hAnsi="Times New Roman"/>
          <w:sz w:val="22"/>
          <w:szCs w:val="22"/>
          <w:lang w:val="es-ES"/>
        </w:rPr>
        <w:t>o</w:t>
      </w:r>
      <w:r w:rsidR="006306AA" w:rsidRPr="001A3AFE">
        <w:rPr>
          <w:rFonts w:ascii="Times New Roman" w:hAnsi="Times New Roman"/>
          <w:sz w:val="22"/>
          <w:szCs w:val="22"/>
          <w:lang w:val="es-ES"/>
        </w:rPr>
        <w:t xml:space="preserve"> de la </w:t>
      </w:r>
      <w:r w:rsidR="00F645ED">
        <w:rPr>
          <w:rFonts w:ascii="Times New Roman" w:hAnsi="Times New Roman"/>
          <w:sz w:val="22"/>
          <w:szCs w:val="22"/>
          <w:lang w:val="es-ES"/>
        </w:rPr>
        <w:t>v</w:t>
      </w:r>
      <w:r w:rsidR="006306AA" w:rsidRPr="001A3AFE">
        <w:rPr>
          <w:rFonts w:ascii="Times New Roman" w:hAnsi="Times New Roman"/>
          <w:sz w:val="22"/>
          <w:szCs w:val="22"/>
          <w:lang w:val="es-ES"/>
        </w:rPr>
        <w:t>ida</w:t>
      </w:r>
      <w:r w:rsidRPr="001A3AFE">
        <w:rPr>
          <w:rFonts w:ascii="Times New Roman" w:hAnsi="Times New Roman"/>
          <w:sz w:val="22"/>
          <w:szCs w:val="22"/>
          <w:lang w:val="es-ES"/>
        </w:rPr>
        <w:t xml:space="preserve"> (</w:t>
      </w:r>
      <w:r w:rsidR="00D570FB" w:rsidRPr="001A3AFE">
        <w:rPr>
          <w:rFonts w:ascii="Times New Roman" w:hAnsi="Times New Roman"/>
          <w:i/>
          <w:sz w:val="22"/>
          <w:szCs w:val="22"/>
          <w:lang w:val="es-ES"/>
        </w:rPr>
        <w:t xml:space="preserve">VeV o </w:t>
      </w:r>
      <w:r w:rsidR="00F645ED">
        <w:rPr>
          <w:rFonts w:ascii="Times New Roman" w:hAnsi="Times New Roman"/>
          <w:i/>
          <w:sz w:val="22"/>
          <w:szCs w:val="22"/>
          <w:lang w:val="es-ES"/>
        </w:rPr>
        <w:t>statistical value of life</w:t>
      </w:r>
      <w:r w:rsidR="00D570FB" w:rsidRPr="001A3AFE">
        <w:rPr>
          <w:rFonts w:ascii="Times New Roman" w:hAnsi="Times New Roman"/>
          <w:i/>
          <w:sz w:val="22"/>
          <w:szCs w:val="22"/>
          <w:lang w:val="es-ES"/>
        </w:rPr>
        <w:t xml:space="preserve"> </w:t>
      </w:r>
      <w:r w:rsidR="00BE23B4" w:rsidRPr="00BE23B4">
        <w:rPr>
          <w:rFonts w:ascii="Times New Roman" w:hAnsi="Times New Roman"/>
          <w:sz w:val="22"/>
          <w:szCs w:val="22"/>
          <w:lang w:val="es-ES"/>
        </w:rPr>
        <w:t>en inglés</w:t>
      </w:r>
      <w:r w:rsidRPr="001A3AFE">
        <w:rPr>
          <w:rFonts w:ascii="Times New Roman" w:hAnsi="Times New Roman"/>
          <w:sz w:val="22"/>
          <w:szCs w:val="22"/>
          <w:lang w:val="es-ES"/>
        </w:rPr>
        <w:t xml:space="preserve">) para </w:t>
      </w:r>
      <w:r w:rsidR="006306AA" w:rsidRPr="001A3AFE">
        <w:rPr>
          <w:rFonts w:ascii="Times New Roman" w:hAnsi="Times New Roman"/>
          <w:sz w:val="22"/>
          <w:szCs w:val="22"/>
          <w:lang w:val="es-ES"/>
        </w:rPr>
        <w:t xml:space="preserve">las </w:t>
      </w:r>
      <w:r w:rsidRPr="001A3AFE">
        <w:rPr>
          <w:rFonts w:ascii="Times New Roman" w:hAnsi="Times New Roman"/>
          <w:sz w:val="22"/>
          <w:szCs w:val="22"/>
          <w:lang w:val="es-ES"/>
        </w:rPr>
        <w:t>estima</w:t>
      </w:r>
      <w:r w:rsidR="006306AA" w:rsidRPr="001A3AFE">
        <w:rPr>
          <w:rFonts w:ascii="Times New Roman" w:hAnsi="Times New Roman"/>
          <w:sz w:val="22"/>
          <w:szCs w:val="22"/>
          <w:lang w:val="es-ES"/>
        </w:rPr>
        <w:t>ciones</w:t>
      </w:r>
      <w:r w:rsidRPr="001A3AFE">
        <w:rPr>
          <w:rFonts w:ascii="Times New Roman" w:hAnsi="Times New Roman"/>
          <w:sz w:val="22"/>
          <w:szCs w:val="22"/>
          <w:lang w:val="es-ES"/>
        </w:rPr>
        <w:t xml:space="preserve">. El intento </w:t>
      </w:r>
      <w:r w:rsidR="008E0C13" w:rsidRPr="001A3AFE">
        <w:rPr>
          <w:rFonts w:ascii="Times New Roman" w:hAnsi="Times New Roman"/>
          <w:sz w:val="22"/>
          <w:szCs w:val="22"/>
          <w:lang w:val="es-ES"/>
        </w:rPr>
        <w:t xml:space="preserve">es </w:t>
      </w:r>
      <w:r w:rsidRPr="001A3AFE">
        <w:rPr>
          <w:rFonts w:ascii="Times New Roman" w:hAnsi="Times New Roman"/>
          <w:sz w:val="22"/>
          <w:szCs w:val="22"/>
          <w:lang w:val="es-ES"/>
        </w:rPr>
        <w:t xml:space="preserve">asociar un valor monetario para llevar a cabo el análisis </w:t>
      </w:r>
      <w:r w:rsidR="006C212F" w:rsidRPr="001A3AFE">
        <w:rPr>
          <w:rFonts w:ascii="Times New Roman" w:hAnsi="Times New Roman"/>
          <w:sz w:val="22"/>
          <w:szCs w:val="22"/>
          <w:lang w:val="es-ES"/>
        </w:rPr>
        <w:t>económico</w:t>
      </w:r>
      <w:r w:rsidRPr="001A3AFE">
        <w:rPr>
          <w:rFonts w:ascii="Times New Roman" w:hAnsi="Times New Roman"/>
          <w:sz w:val="22"/>
          <w:szCs w:val="22"/>
          <w:lang w:val="es-ES"/>
        </w:rPr>
        <w:t xml:space="preserve"> cuantificado</w:t>
      </w:r>
      <w:r w:rsidR="00D570FB" w:rsidRPr="001A3AFE">
        <w:rPr>
          <w:rFonts w:ascii="Times New Roman" w:hAnsi="Times New Roman"/>
          <w:sz w:val="22"/>
          <w:szCs w:val="22"/>
          <w:lang w:val="es-ES"/>
        </w:rPr>
        <w:t xml:space="preserve"> que posibilite comparar opciones de intervención</w:t>
      </w:r>
      <w:r w:rsidRPr="001A3AFE">
        <w:rPr>
          <w:rFonts w:ascii="Times New Roman" w:hAnsi="Times New Roman"/>
          <w:sz w:val="22"/>
          <w:szCs w:val="22"/>
          <w:lang w:val="es-ES"/>
        </w:rPr>
        <w:t xml:space="preserve">. Si </w:t>
      </w:r>
      <w:r w:rsidR="008E0C13" w:rsidRPr="001A3AFE">
        <w:rPr>
          <w:rFonts w:ascii="Times New Roman" w:hAnsi="Times New Roman"/>
          <w:sz w:val="22"/>
          <w:szCs w:val="22"/>
          <w:lang w:val="es-ES"/>
        </w:rPr>
        <w:t>el</w:t>
      </w:r>
      <w:r w:rsidRPr="001A3AFE">
        <w:rPr>
          <w:rFonts w:ascii="Times New Roman" w:hAnsi="Times New Roman"/>
          <w:sz w:val="22"/>
          <w:szCs w:val="22"/>
          <w:lang w:val="es-ES"/>
        </w:rPr>
        <w:t xml:space="preserve"> proyecto reduce la probabilidad de que un individuo muera, puede considerarse que el mismo permitirá evitar (ahorrar) un número de vidas estadísticas igual a la reducción en el riesgo de muerte de </w:t>
      </w:r>
      <w:r w:rsidR="00EA7553" w:rsidRPr="001A3AFE">
        <w:rPr>
          <w:rFonts w:ascii="Times New Roman" w:hAnsi="Times New Roman"/>
          <w:sz w:val="22"/>
          <w:szCs w:val="22"/>
          <w:lang w:val="es-ES"/>
        </w:rPr>
        <w:t>toda</w:t>
      </w:r>
      <w:r w:rsidRPr="001A3AFE">
        <w:rPr>
          <w:rFonts w:ascii="Times New Roman" w:hAnsi="Times New Roman"/>
          <w:sz w:val="22"/>
          <w:szCs w:val="22"/>
          <w:lang w:val="es-ES"/>
        </w:rPr>
        <w:t xml:space="preserve"> </w:t>
      </w:r>
      <w:r w:rsidR="004112FE">
        <w:rPr>
          <w:rFonts w:ascii="Times New Roman" w:hAnsi="Times New Roman"/>
          <w:sz w:val="22"/>
          <w:szCs w:val="22"/>
          <w:lang w:val="es-ES"/>
        </w:rPr>
        <w:t xml:space="preserve">la </w:t>
      </w:r>
      <w:r w:rsidRPr="001A3AFE">
        <w:rPr>
          <w:rFonts w:ascii="Times New Roman" w:hAnsi="Times New Roman"/>
          <w:sz w:val="22"/>
          <w:szCs w:val="22"/>
          <w:lang w:val="es-ES"/>
        </w:rPr>
        <w:t xml:space="preserve">población expuesta. </w:t>
      </w:r>
      <w:r w:rsidR="00F645ED">
        <w:rPr>
          <w:rFonts w:ascii="Times New Roman" w:hAnsi="Times New Roman"/>
          <w:sz w:val="22"/>
          <w:szCs w:val="22"/>
          <w:lang w:val="es-ES"/>
        </w:rPr>
        <w:t>Como tradicionalmente se aplica en la literatura,</w:t>
      </w:r>
      <w:r w:rsidR="00EA7553" w:rsidRPr="001A3AFE">
        <w:rPr>
          <w:rFonts w:ascii="Times New Roman" w:hAnsi="Times New Roman"/>
          <w:sz w:val="22"/>
          <w:szCs w:val="22"/>
          <w:lang w:val="es-ES"/>
        </w:rPr>
        <w:t xml:space="preserve"> se </w:t>
      </w:r>
      <w:r w:rsidR="00F645ED">
        <w:rPr>
          <w:rFonts w:ascii="Times New Roman" w:hAnsi="Times New Roman"/>
          <w:sz w:val="22"/>
          <w:szCs w:val="22"/>
          <w:lang w:val="es-ES"/>
        </w:rPr>
        <w:t>considera</w:t>
      </w:r>
      <w:r w:rsidR="00F645ED" w:rsidRPr="001A3AFE">
        <w:rPr>
          <w:rFonts w:ascii="Times New Roman" w:hAnsi="Times New Roman"/>
          <w:sz w:val="22"/>
          <w:szCs w:val="22"/>
          <w:lang w:val="es-ES"/>
        </w:rPr>
        <w:t xml:space="preserve"> </w:t>
      </w:r>
      <w:r w:rsidR="00EA7553" w:rsidRPr="001A3AFE">
        <w:rPr>
          <w:rFonts w:ascii="Times New Roman" w:hAnsi="Times New Roman"/>
          <w:sz w:val="22"/>
          <w:szCs w:val="22"/>
          <w:lang w:val="es-ES"/>
        </w:rPr>
        <w:t>un</w:t>
      </w:r>
      <w:r w:rsidR="00D96B48" w:rsidRPr="001A3AFE">
        <w:rPr>
          <w:rFonts w:ascii="Times New Roman" w:hAnsi="Times New Roman"/>
          <w:sz w:val="22"/>
          <w:szCs w:val="22"/>
          <w:lang w:val="es-ES"/>
        </w:rPr>
        <w:t xml:space="preserve"> rango </w:t>
      </w:r>
      <w:r w:rsidRPr="001A3AFE">
        <w:rPr>
          <w:rFonts w:ascii="Times New Roman" w:hAnsi="Times New Roman"/>
          <w:sz w:val="22"/>
          <w:szCs w:val="22"/>
          <w:lang w:val="es-ES"/>
        </w:rPr>
        <w:t>de estimaciones</w:t>
      </w:r>
      <w:r w:rsidR="00EA7553" w:rsidRPr="001A3AFE">
        <w:rPr>
          <w:rStyle w:val="FootnoteReference"/>
          <w:rFonts w:ascii="Times New Roman" w:hAnsi="Times New Roman"/>
          <w:sz w:val="22"/>
          <w:szCs w:val="22"/>
          <w:lang w:val="es-ES"/>
        </w:rPr>
        <w:footnoteReference w:id="19"/>
      </w:r>
      <w:r w:rsidRPr="001A3AFE">
        <w:rPr>
          <w:rFonts w:ascii="Times New Roman" w:hAnsi="Times New Roman"/>
          <w:sz w:val="22"/>
          <w:szCs w:val="22"/>
          <w:lang w:val="es-ES"/>
        </w:rPr>
        <w:t xml:space="preserve"> del </w:t>
      </w:r>
      <w:r w:rsidR="008E0C13" w:rsidRPr="001A3AFE">
        <w:rPr>
          <w:rFonts w:ascii="Times New Roman" w:hAnsi="Times New Roman"/>
          <w:sz w:val="22"/>
          <w:szCs w:val="22"/>
          <w:lang w:val="es-ES"/>
        </w:rPr>
        <w:t>V</w:t>
      </w:r>
      <w:r w:rsidR="00D570FB" w:rsidRPr="001A3AFE">
        <w:rPr>
          <w:rFonts w:ascii="Times New Roman" w:hAnsi="Times New Roman"/>
          <w:sz w:val="22"/>
          <w:szCs w:val="22"/>
          <w:lang w:val="es-ES"/>
        </w:rPr>
        <w:t>eV</w:t>
      </w:r>
      <w:r w:rsidR="00A73039" w:rsidRPr="001A3AFE">
        <w:rPr>
          <w:lang w:val="es-ES"/>
        </w:rPr>
        <w:t xml:space="preserve">. </w:t>
      </w:r>
    </w:p>
    <w:p w:rsidR="000E5919" w:rsidRPr="006C212F" w:rsidRDefault="00EA7553" w:rsidP="00C95815">
      <w:pPr>
        <w:numPr>
          <w:ilvl w:val="1"/>
          <w:numId w:val="12"/>
        </w:numPr>
        <w:jc w:val="both"/>
        <w:rPr>
          <w:rFonts w:ascii="Times New Roman" w:hAnsi="Times New Roman"/>
          <w:sz w:val="22"/>
          <w:szCs w:val="22"/>
          <w:lang w:val="es-ES"/>
        </w:rPr>
      </w:pPr>
      <w:r w:rsidRPr="006C212F">
        <w:rPr>
          <w:rFonts w:ascii="Times New Roman" w:hAnsi="Times New Roman"/>
          <w:sz w:val="22"/>
          <w:szCs w:val="22"/>
          <w:lang w:val="es-ES"/>
        </w:rPr>
        <w:t xml:space="preserve">Otras tendencias </w:t>
      </w:r>
      <w:r w:rsidR="00D96B48" w:rsidRPr="006C212F">
        <w:rPr>
          <w:rFonts w:ascii="Times New Roman" w:hAnsi="Times New Roman"/>
          <w:sz w:val="22"/>
          <w:szCs w:val="22"/>
          <w:lang w:val="es-ES"/>
        </w:rPr>
        <w:t>observadas en</w:t>
      </w:r>
      <w:r w:rsidRPr="006C212F">
        <w:rPr>
          <w:rFonts w:ascii="Times New Roman" w:hAnsi="Times New Roman"/>
          <w:sz w:val="22"/>
          <w:szCs w:val="22"/>
          <w:lang w:val="es-ES"/>
        </w:rPr>
        <w:t xml:space="preserve"> estudios recientes</w:t>
      </w:r>
      <w:r w:rsidR="000E5919" w:rsidRPr="006C212F">
        <w:rPr>
          <w:rStyle w:val="FootnoteReference"/>
          <w:rFonts w:ascii="Times New Roman" w:hAnsi="Times New Roman"/>
          <w:sz w:val="22"/>
          <w:szCs w:val="22"/>
          <w:lang w:val="es-ES"/>
        </w:rPr>
        <w:footnoteReference w:id="20"/>
      </w:r>
      <w:r w:rsidR="000E5919" w:rsidRPr="006C212F">
        <w:rPr>
          <w:rFonts w:ascii="Times New Roman" w:hAnsi="Times New Roman"/>
          <w:sz w:val="22"/>
          <w:szCs w:val="22"/>
          <w:lang w:val="es-ES"/>
        </w:rPr>
        <w:t xml:space="preserve"> sugieren que los incrementos en </w:t>
      </w:r>
      <w:r w:rsidRPr="006C212F">
        <w:rPr>
          <w:rFonts w:ascii="Times New Roman" w:hAnsi="Times New Roman"/>
          <w:sz w:val="22"/>
          <w:szCs w:val="22"/>
          <w:lang w:val="es-ES"/>
        </w:rPr>
        <w:t>la magnitud de las pérdidas proyectadas por</w:t>
      </w:r>
      <w:r w:rsidR="000E5919" w:rsidRPr="006C212F">
        <w:rPr>
          <w:rFonts w:ascii="Times New Roman" w:hAnsi="Times New Roman"/>
          <w:sz w:val="22"/>
          <w:szCs w:val="22"/>
          <w:lang w:val="es-ES"/>
        </w:rPr>
        <w:t xml:space="preserve"> desastres meteorológicos se ven impulsados principalmente por aumentos en la</w:t>
      </w:r>
      <w:r w:rsidR="001D3EF0" w:rsidRPr="006C212F">
        <w:rPr>
          <w:rFonts w:ascii="Times New Roman" w:hAnsi="Times New Roman"/>
          <w:sz w:val="22"/>
          <w:szCs w:val="22"/>
          <w:lang w:val="es-ES"/>
        </w:rPr>
        <w:t xml:space="preserve"> dimensión económica de las zonas expuestas</w:t>
      </w:r>
      <w:r w:rsidR="000E5919" w:rsidRPr="006C212F">
        <w:rPr>
          <w:rFonts w:ascii="Times New Roman" w:hAnsi="Times New Roman"/>
          <w:sz w:val="22"/>
          <w:szCs w:val="22"/>
          <w:lang w:val="es-ES"/>
        </w:rPr>
        <w:t xml:space="preserve">. </w:t>
      </w:r>
      <w:r w:rsidRPr="006C212F">
        <w:rPr>
          <w:rFonts w:ascii="Times New Roman" w:hAnsi="Times New Roman"/>
          <w:sz w:val="22"/>
          <w:szCs w:val="22"/>
          <w:lang w:val="es-ES"/>
        </w:rPr>
        <w:t xml:space="preserve"> </w:t>
      </w:r>
      <w:r w:rsidR="000E5919" w:rsidRPr="006C212F">
        <w:rPr>
          <w:rFonts w:ascii="Times New Roman" w:hAnsi="Times New Roman"/>
          <w:sz w:val="22"/>
          <w:szCs w:val="22"/>
          <w:lang w:val="es-ES"/>
        </w:rPr>
        <w:t xml:space="preserve">La implicación general es que, aunque el desarrollo económico </w:t>
      </w:r>
      <w:r w:rsidRPr="006C212F">
        <w:rPr>
          <w:rFonts w:ascii="Times New Roman" w:hAnsi="Times New Roman"/>
          <w:sz w:val="22"/>
          <w:szCs w:val="22"/>
          <w:lang w:val="es-ES"/>
        </w:rPr>
        <w:t xml:space="preserve">tiende a </w:t>
      </w:r>
      <w:r w:rsidR="000E5919" w:rsidRPr="006C212F">
        <w:rPr>
          <w:rFonts w:ascii="Times New Roman" w:hAnsi="Times New Roman"/>
          <w:sz w:val="22"/>
          <w:szCs w:val="22"/>
          <w:lang w:val="es-ES"/>
        </w:rPr>
        <w:t>reducir la vulnerabilidad</w:t>
      </w:r>
      <w:r w:rsidR="001D3EF0" w:rsidRPr="006C212F">
        <w:rPr>
          <w:rFonts w:ascii="Times New Roman" w:hAnsi="Times New Roman"/>
          <w:sz w:val="22"/>
          <w:szCs w:val="22"/>
          <w:lang w:val="es-ES"/>
        </w:rPr>
        <w:t xml:space="preserve"> individual</w:t>
      </w:r>
      <w:r w:rsidR="000E5919" w:rsidRPr="006C212F">
        <w:rPr>
          <w:rFonts w:ascii="Times New Roman" w:hAnsi="Times New Roman"/>
          <w:sz w:val="22"/>
          <w:szCs w:val="22"/>
          <w:lang w:val="es-ES"/>
        </w:rPr>
        <w:t xml:space="preserve">, </w:t>
      </w:r>
      <w:r w:rsidR="001D3EF0" w:rsidRPr="006C212F">
        <w:rPr>
          <w:rFonts w:ascii="Times New Roman" w:hAnsi="Times New Roman"/>
          <w:sz w:val="22"/>
          <w:szCs w:val="22"/>
          <w:lang w:val="es-ES"/>
        </w:rPr>
        <w:t xml:space="preserve">es </w:t>
      </w:r>
      <w:r w:rsidR="000E5919" w:rsidRPr="006C212F">
        <w:rPr>
          <w:rFonts w:ascii="Times New Roman" w:hAnsi="Times New Roman"/>
          <w:sz w:val="22"/>
          <w:szCs w:val="22"/>
          <w:lang w:val="es-ES"/>
        </w:rPr>
        <w:t xml:space="preserve">a la vez </w:t>
      </w:r>
      <w:r w:rsidRPr="006C212F">
        <w:rPr>
          <w:rFonts w:ascii="Times New Roman" w:hAnsi="Times New Roman"/>
          <w:sz w:val="22"/>
          <w:szCs w:val="22"/>
          <w:lang w:val="es-ES"/>
        </w:rPr>
        <w:t xml:space="preserve">un </w:t>
      </w:r>
      <w:r w:rsidR="001D3EF0" w:rsidRPr="006C212F">
        <w:rPr>
          <w:rFonts w:ascii="Times New Roman" w:hAnsi="Times New Roman"/>
          <w:sz w:val="22"/>
          <w:szCs w:val="22"/>
          <w:lang w:val="es-ES"/>
        </w:rPr>
        <w:t>elemento</w:t>
      </w:r>
      <w:r w:rsidR="000E5919" w:rsidRPr="006C212F">
        <w:rPr>
          <w:rFonts w:ascii="Times New Roman" w:hAnsi="Times New Roman"/>
          <w:sz w:val="22"/>
          <w:szCs w:val="22"/>
          <w:lang w:val="es-ES"/>
        </w:rPr>
        <w:t xml:space="preserve"> que impulsa mayor exposición </w:t>
      </w:r>
      <w:r w:rsidR="00D366BE" w:rsidRPr="006C212F">
        <w:rPr>
          <w:rFonts w:ascii="Times New Roman" w:hAnsi="Times New Roman"/>
          <w:sz w:val="22"/>
          <w:szCs w:val="22"/>
          <w:lang w:val="es-ES"/>
        </w:rPr>
        <w:t xml:space="preserve">acumulada </w:t>
      </w:r>
      <w:r w:rsidR="000E5919" w:rsidRPr="006C212F">
        <w:rPr>
          <w:rFonts w:ascii="Times New Roman" w:hAnsi="Times New Roman"/>
          <w:sz w:val="22"/>
          <w:szCs w:val="22"/>
          <w:lang w:val="es-ES"/>
        </w:rPr>
        <w:t>de personas y activos económicos en áreas proclives a amenazas relacionadas con la meteorología, en particular en zonas urbanas y costeras. El riesgo de pérdidas económicas parece est</w:t>
      </w:r>
      <w:r w:rsidR="001D3EF0" w:rsidRPr="006C212F">
        <w:rPr>
          <w:rFonts w:ascii="Times New Roman" w:hAnsi="Times New Roman"/>
          <w:sz w:val="22"/>
          <w:szCs w:val="22"/>
          <w:lang w:val="es-ES"/>
        </w:rPr>
        <w:t>ar</w:t>
      </w:r>
      <w:r w:rsidR="000E5919" w:rsidRPr="006C212F">
        <w:rPr>
          <w:rFonts w:ascii="Times New Roman" w:hAnsi="Times New Roman"/>
          <w:sz w:val="22"/>
          <w:szCs w:val="22"/>
          <w:lang w:val="es-ES"/>
        </w:rPr>
        <w:t xml:space="preserve"> aumentando más rápidamente que el riesgo de mortalidad, lo cual es reflejo de</w:t>
      </w:r>
      <w:r w:rsidR="00D366BE" w:rsidRPr="006C212F">
        <w:rPr>
          <w:rFonts w:ascii="Times New Roman" w:hAnsi="Times New Roman"/>
          <w:sz w:val="22"/>
          <w:szCs w:val="22"/>
          <w:lang w:val="es-ES"/>
        </w:rPr>
        <w:t xml:space="preserve"> un</w:t>
      </w:r>
      <w:r w:rsidR="000E5919" w:rsidRPr="006C212F">
        <w:rPr>
          <w:rFonts w:ascii="Times New Roman" w:hAnsi="Times New Roman"/>
          <w:sz w:val="22"/>
          <w:szCs w:val="22"/>
          <w:lang w:val="es-ES"/>
        </w:rPr>
        <w:t xml:space="preserve"> aumento más rápido en la exposición del PIB </w:t>
      </w:r>
      <w:r w:rsidR="00D366BE" w:rsidRPr="006C212F">
        <w:rPr>
          <w:rFonts w:ascii="Times New Roman" w:hAnsi="Times New Roman"/>
          <w:sz w:val="22"/>
          <w:szCs w:val="22"/>
          <w:lang w:val="es-ES"/>
        </w:rPr>
        <w:t xml:space="preserve">(medido en </w:t>
      </w:r>
      <w:r w:rsidR="007561B9">
        <w:rPr>
          <w:rFonts w:ascii="Times New Roman" w:hAnsi="Times New Roman"/>
          <w:sz w:val="22"/>
          <w:szCs w:val="22"/>
          <w:lang w:val="es-ES"/>
        </w:rPr>
        <w:t>dólares estadounidenses</w:t>
      </w:r>
      <w:r w:rsidR="00D366BE" w:rsidRPr="006C212F">
        <w:rPr>
          <w:rFonts w:ascii="Times New Roman" w:hAnsi="Times New Roman"/>
          <w:sz w:val="22"/>
          <w:szCs w:val="22"/>
          <w:lang w:val="es-ES"/>
        </w:rPr>
        <w:t xml:space="preserve">) </w:t>
      </w:r>
      <w:r w:rsidR="000E5919" w:rsidRPr="006C212F">
        <w:rPr>
          <w:rFonts w:ascii="Times New Roman" w:hAnsi="Times New Roman"/>
          <w:sz w:val="22"/>
          <w:szCs w:val="22"/>
          <w:lang w:val="es-ES"/>
        </w:rPr>
        <w:t>que en la exposición de la población</w:t>
      </w:r>
      <w:r w:rsidR="00D366BE" w:rsidRPr="006C212F">
        <w:rPr>
          <w:rFonts w:ascii="Times New Roman" w:hAnsi="Times New Roman"/>
          <w:sz w:val="22"/>
          <w:szCs w:val="22"/>
          <w:lang w:val="es-ES"/>
        </w:rPr>
        <w:t xml:space="preserve"> (medida en habitantes)</w:t>
      </w:r>
      <w:r w:rsidR="000E5919" w:rsidRPr="006C212F">
        <w:rPr>
          <w:rFonts w:ascii="Times New Roman" w:hAnsi="Times New Roman"/>
          <w:sz w:val="22"/>
          <w:szCs w:val="22"/>
          <w:lang w:val="es-ES"/>
        </w:rPr>
        <w:t>.</w:t>
      </w:r>
    </w:p>
    <w:p w:rsidR="00DC13FD" w:rsidRPr="00DC13FD" w:rsidRDefault="0085433C" w:rsidP="00DC13FD">
      <w:pPr>
        <w:ind w:left="718"/>
        <w:jc w:val="both"/>
        <w:rPr>
          <w:rFonts w:ascii="Times New Roman" w:hAnsi="Times New Roman"/>
          <w:sz w:val="22"/>
          <w:szCs w:val="22"/>
          <w:lang w:val="es-ES_tradnl"/>
        </w:rPr>
      </w:pPr>
      <w:r>
        <w:rPr>
          <w:rFonts w:ascii="Times New Roman" w:hAnsi="Times New Roman"/>
          <w:sz w:val="22"/>
          <w:szCs w:val="22"/>
          <w:lang w:val="es-ES_tradnl"/>
        </w:rPr>
        <w:t xml:space="preserve"> </w:t>
      </w:r>
    </w:p>
    <w:p w:rsidR="00D15EEC" w:rsidRDefault="00D15EEC" w:rsidP="00D15EEC">
      <w:pPr>
        <w:pStyle w:val="Heading3"/>
        <w:rPr>
          <w:rFonts w:cs="Times New Roman"/>
          <w:i w:val="0"/>
          <w:sz w:val="22"/>
          <w:szCs w:val="22"/>
          <w:lang w:val="es-ES_tradnl"/>
        </w:rPr>
      </w:pPr>
      <w:bookmarkStart w:id="96" w:name="_Toc465929614"/>
      <w:bookmarkStart w:id="97" w:name="_Toc468199826"/>
      <w:r>
        <w:rPr>
          <w:lang w:val="es-ES_tradnl"/>
        </w:rPr>
        <w:t>Situación Sin Proyecto vs. Con Proyecto</w:t>
      </w:r>
      <w:bookmarkEnd w:id="93"/>
      <w:bookmarkEnd w:id="96"/>
      <w:bookmarkEnd w:id="97"/>
      <w:r w:rsidRPr="00E0042E">
        <w:rPr>
          <w:rFonts w:cs="Times New Roman"/>
          <w:i w:val="0"/>
          <w:sz w:val="22"/>
          <w:szCs w:val="22"/>
          <w:lang w:val="es-ES_tradnl"/>
        </w:rPr>
        <w:t xml:space="preserve"> </w:t>
      </w:r>
    </w:p>
    <w:p w:rsidR="00D15EEC" w:rsidRPr="00B24F4B" w:rsidRDefault="00D15EEC" w:rsidP="00D15EEC">
      <w:pPr>
        <w:tabs>
          <w:tab w:val="num" w:pos="958"/>
        </w:tabs>
        <w:ind w:left="142"/>
        <w:jc w:val="both"/>
        <w:rPr>
          <w:rFonts w:ascii="Times New Roman" w:hAnsi="Times New Roman"/>
          <w:bCs/>
          <w:sz w:val="22"/>
          <w:lang w:val="es-AR"/>
        </w:rPr>
      </w:pPr>
    </w:p>
    <w:p w:rsidR="009C73C5" w:rsidRDefault="001D3EF0" w:rsidP="00C95815">
      <w:pPr>
        <w:numPr>
          <w:ilvl w:val="1"/>
          <w:numId w:val="12"/>
        </w:numPr>
        <w:jc w:val="both"/>
        <w:rPr>
          <w:rFonts w:ascii="Times New Roman" w:hAnsi="Times New Roman"/>
          <w:bCs/>
          <w:sz w:val="22"/>
          <w:lang w:val="es-AR"/>
        </w:rPr>
      </w:pPr>
      <w:r w:rsidRPr="00A01BB2">
        <w:rPr>
          <w:rFonts w:ascii="Times New Roman" w:hAnsi="Times New Roman"/>
          <w:bCs/>
          <w:i/>
          <w:sz w:val="22"/>
          <w:lang w:val="es-AR"/>
        </w:rPr>
        <w:t>Concepto.</w:t>
      </w:r>
      <w:r>
        <w:rPr>
          <w:rFonts w:ascii="Times New Roman" w:hAnsi="Times New Roman"/>
          <w:bCs/>
          <w:sz w:val="22"/>
          <w:lang w:val="es-AR"/>
        </w:rPr>
        <w:t xml:space="preserve"> </w:t>
      </w:r>
      <w:r w:rsidR="008077EE" w:rsidRPr="008077EE">
        <w:rPr>
          <w:rFonts w:ascii="Times New Roman" w:hAnsi="Times New Roman"/>
          <w:bCs/>
          <w:sz w:val="22"/>
          <w:lang w:val="es-AR"/>
        </w:rPr>
        <w:t xml:space="preserve">El presente análisis sustenta el retorno económico de las inversiones </w:t>
      </w:r>
      <w:r w:rsidR="00F22820">
        <w:rPr>
          <w:rFonts w:ascii="Times New Roman" w:hAnsi="Times New Roman"/>
          <w:bCs/>
          <w:sz w:val="22"/>
          <w:lang w:val="es-AR"/>
        </w:rPr>
        <w:t xml:space="preserve">previstas </w:t>
      </w:r>
      <w:r w:rsidR="008077EE" w:rsidRPr="008077EE">
        <w:rPr>
          <w:rFonts w:ascii="Times New Roman" w:hAnsi="Times New Roman"/>
          <w:bCs/>
          <w:sz w:val="22"/>
          <w:lang w:val="es-AR"/>
        </w:rPr>
        <w:t>en</w:t>
      </w:r>
      <w:r w:rsidR="009C73C5">
        <w:rPr>
          <w:rFonts w:ascii="Times New Roman" w:hAnsi="Times New Roman"/>
          <w:bCs/>
          <w:sz w:val="22"/>
          <w:lang w:val="es-AR"/>
        </w:rPr>
        <w:t xml:space="preserve"> el</w:t>
      </w:r>
      <w:r w:rsidR="008077EE" w:rsidRPr="008077EE">
        <w:rPr>
          <w:rFonts w:ascii="Times New Roman" w:hAnsi="Times New Roman"/>
          <w:bCs/>
          <w:sz w:val="22"/>
          <w:lang w:val="es-AR"/>
        </w:rPr>
        <w:t xml:space="preserve"> </w:t>
      </w:r>
      <w:r w:rsidR="003C6A31">
        <w:rPr>
          <w:rFonts w:ascii="Times New Roman" w:hAnsi="Times New Roman" w:hint="eastAsia"/>
          <w:bCs/>
          <w:sz w:val="22"/>
          <w:lang w:val="es-AR" w:eastAsia="ja-JP"/>
        </w:rPr>
        <w:t>Programa</w:t>
      </w:r>
      <w:r w:rsidR="009C73C5">
        <w:rPr>
          <w:rFonts w:ascii="Times New Roman" w:hAnsi="Times New Roman"/>
          <w:bCs/>
          <w:sz w:val="22"/>
          <w:lang w:val="es-AR"/>
        </w:rPr>
        <w:t xml:space="preserve"> </w:t>
      </w:r>
      <w:r w:rsidR="008077EE" w:rsidRPr="008077EE">
        <w:rPr>
          <w:rFonts w:ascii="Times New Roman" w:hAnsi="Times New Roman"/>
          <w:bCs/>
          <w:sz w:val="22"/>
          <w:lang w:val="es-AR"/>
        </w:rPr>
        <w:t xml:space="preserve">a partir de dos escenarios futuros alternativos. </w:t>
      </w:r>
      <w:r>
        <w:rPr>
          <w:rFonts w:ascii="Times New Roman" w:hAnsi="Times New Roman"/>
          <w:bCs/>
          <w:sz w:val="22"/>
          <w:lang w:val="es-AR"/>
        </w:rPr>
        <w:t>Ello</w:t>
      </w:r>
      <w:r w:rsidR="009C73C5">
        <w:rPr>
          <w:rFonts w:ascii="Times New Roman" w:hAnsi="Times New Roman"/>
          <w:bCs/>
          <w:sz w:val="22"/>
          <w:lang w:val="es-AR"/>
        </w:rPr>
        <w:t xml:space="preserve"> implica</w:t>
      </w:r>
      <w:r w:rsidR="008077EE" w:rsidRPr="008077EE">
        <w:rPr>
          <w:rFonts w:ascii="Times New Roman" w:hAnsi="Times New Roman"/>
          <w:bCs/>
          <w:sz w:val="22"/>
          <w:lang w:val="es-AR"/>
        </w:rPr>
        <w:t xml:space="preserve"> una estimación cuantitativa de los beneficios esperados netos de costos, basándose  en la comparación entre la</w:t>
      </w:r>
      <w:r w:rsidR="00F22820">
        <w:rPr>
          <w:rFonts w:ascii="Times New Roman" w:hAnsi="Times New Roman"/>
          <w:bCs/>
          <w:sz w:val="22"/>
          <w:lang w:val="es-AR"/>
        </w:rPr>
        <w:t>s</w:t>
      </w:r>
      <w:r w:rsidR="008077EE" w:rsidRPr="008077EE">
        <w:rPr>
          <w:rFonts w:ascii="Times New Roman" w:hAnsi="Times New Roman"/>
          <w:bCs/>
          <w:sz w:val="22"/>
          <w:lang w:val="es-AR"/>
        </w:rPr>
        <w:t xml:space="preserve"> expresi</w:t>
      </w:r>
      <w:r w:rsidR="00F22820">
        <w:rPr>
          <w:rFonts w:ascii="Times New Roman" w:hAnsi="Times New Roman"/>
          <w:bCs/>
          <w:sz w:val="22"/>
          <w:lang w:val="es-AR"/>
        </w:rPr>
        <w:t>ones</w:t>
      </w:r>
      <w:r w:rsidR="008077EE" w:rsidRPr="008077EE">
        <w:rPr>
          <w:rFonts w:ascii="Times New Roman" w:hAnsi="Times New Roman"/>
          <w:bCs/>
          <w:sz w:val="22"/>
          <w:lang w:val="es-AR"/>
        </w:rPr>
        <w:t xml:space="preserve"> simulada</w:t>
      </w:r>
      <w:r w:rsidR="00F22820">
        <w:rPr>
          <w:rFonts w:ascii="Times New Roman" w:hAnsi="Times New Roman"/>
          <w:bCs/>
          <w:sz w:val="22"/>
          <w:lang w:val="es-AR"/>
        </w:rPr>
        <w:t>s</w:t>
      </w:r>
      <w:r w:rsidR="008077EE" w:rsidRPr="008077EE">
        <w:rPr>
          <w:rFonts w:ascii="Times New Roman" w:hAnsi="Times New Roman"/>
          <w:bCs/>
          <w:sz w:val="22"/>
          <w:lang w:val="es-AR"/>
        </w:rPr>
        <w:t xml:space="preserve"> de la situación </w:t>
      </w:r>
      <w:r w:rsidR="00BE23B4" w:rsidRPr="00BE23B4">
        <w:rPr>
          <w:rFonts w:ascii="Times New Roman" w:hAnsi="Times New Roman"/>
          <w:bCs/>
          <w:i/>
          <w:sz w:val="22"/>
          <w:lang w:val="es-AR"/>
        </w:rPr>
        <w:t>Sin Proyecto</w:t>
      </w:r>
      <w:r w:rsidR="008077EE" w:rsidRPr="008077EE">
        <w:rPr>
          <w:rFonts w:ascii="Times New Roman" w:hAnsi="Times New Roman"/>
          <w:bCs/>
          <w:sz w:val="22"/>
          <w:lang w:val="es-AR"/>
        </w:rPr>
        <w:t xml:space="preserve"> (sin intervención) </w:t>
      </w:r>
      <w:r w:rsidR="00F22820">
        <w:rPr>
          <w:rFonts w:ascii="Times New Roman" w:hAnsi="Times New Roman"/>
          <w:bCs/>
          <w:sz w:val="22"/>
          <w:lang w:val="es-AR"/>
        </w:rPr>
        <w:t>frente a</w:t>
      </w:r>
      <w:r w:rsidR="008077EE" w:rsidRPr="008077EE">
        <w:rPr>
          <w:rFonts w:ascii="Times New Roman" w:hAnsi="Times New Roman"/>
          <w:bCs/>
          <w:sz w:val="22"/>
          <w:lang w:val="es-AR"/>
        </w:rPr>
        <w:t xml:space="preserve"> la situación </w:t>
      </w:r>
      <w:r w:rsidR="00BE23B4" w:rsidRPr="00BE23B4">
        <w:rPr>
          <w:rFonts w:ascii="Times New Roman" w:hAnsi="Times New Roman"/>
          <w:bCs/>
          <w:i/>
          <w:sz w:val="22"/>
          <w:lang w:val="es-AR"/>
        </w:rPr>
        <w:t>Con Proyecto</w:t>
      </w:r>
      <w:r w:rsidR="008077EE" w:rsidRPr="008077EE">
        <w:rPr>
          <w:rFonts w:ascii="Times New Roman" w:hAnsi="Times New Roman"/>
          <w:bCs/>
          <w:sz w:val="22"/>
          <w:lang w:val="es-AR"/>
        </w:rPr>
        <w:t xml:space="preserve"> (resultados esperados a partir de las acciones previstas).  </w:t>
      </w:r>
    </w:p>
    <w:p w:rsidR="009C73C5" w:rsidRDefault="009C73C5" w:rsidP="00C95815">
      <w:pPr>
        <w:numPr>
          <w:ilvl w:val="1"/>
          <w:numId w:val="12"/>
        </w:numPr>
        <w:jc w:val="both"/>
        <w:rPr>
          <w:rFonts w:ascii="Times New Roman" w:hAnsi="Times New Roman"/>
          <w:bCs/>
          <w:sz w:val="22"/>
          <w:lang w:val="es-AR"/>
        </w:rPr>
      </w:pPr>
      <w:r>
        <w:rPr>
          <w:rFonts w:ascii="Times New Roman" w:hAnsi="Times New Roman"/>
          <w:bCs/>
          <w:sz w:val="22"/>
          <w:lang w:val="es-AR"/>
        </w:rPr>
        <w:t xml:space="preserve">De mantenerse las debilidades existentes, </w:t>
      </w:r>
      <w:r w:rsidRPr="009C73C5">
        <w:rPr>
          <w:rFonts w:ascii="Times New Roman" w:hAnsi="Times New Roman"/>
          <w:bCs/>
          <w:sz w:val="22"/>
          <w:lang w:val="es-AR"/>
        </w:rPr>
        <w:t>el</w:t>
      </w:r>
      <w:r>
        <w:rPr>
          <w:rFonts w:ascii="Times New Roman" w:hAnsi="Times New Roman"/>
          <w:bCs/>
          <w:sz w:val="22"/>
          <w:lang w:val="es-AR"/>
        </w:rPr>
        <w:t xml:space="preserve"> aviso de</w:t>
      </w:r>
      <w:r w:rsidRPr="009C73C5">
        <w:rPr>
          <w:rFonts w:ascii="Times New Roman" w:hAnsi="Times New Roman"/>
          <w:bCs/>
          <w:sz w:val="22"/>
          <w:lang w:val="es-AR"/>
        </w:rPr>
        <w:t xml:space="preserve"> alerta</w:t>
      </w:r>
      <w:r w:rsidR="007C246A">
        <w:rPr>
          <w:rFonts w:ascii="Times New Roman" w:hAnsi="Times New Roman"/>
          <w:bCs/>
          <w:sz w:val="22"/>
          <w:lang w:val="es-AR"/>
        </w:rPr>
        <w:t xml:space="preserve"> que podría emitir el Sistema</w:t>
      </w:r>
      <w:r w:rsidRPr="009C73C5">
        <w:rPr>
          <w:rFonts w:ascii="Times New Roman" w:hAnsi="Times New Roman"/>
          <w:bCs/>
          <w:sz w:val="22"/>
          <w:lang w:val="es-AR"/>
        </w:rPr>
        <w:t xml:space="preserve"> no llegaría ser difundido a tiempo</w:t>
      </w:r>
      <w:r>
        <w:rPr>
          <w:rFonts w:ascii="Times New Roman" w:hAnsi="Times New Roman"/>
          <w:bCs/>
          <w:sz w:val="22"/>
          <w:lang w:val="es-AR"/>
        </w:rPr>
        <w:t xml:space="preserve"> o no alcanzaría a todas las poblaciones afectadas</w:t>
      </w:r>
      <w:r w:rsidRPr="009C73C5">
        <w:rPr>
          <w:rFonts w:ascii="Times New Roman" w:hAnsi="Times New Roman"/>
          <w:bCs/>
          <w:sz w:val="22"/>
          <w:lang w:val="es-AR"/>
        </w:rPr>
        <w:t xml:space="preserve">, generando </w:t>
      </w:r>
      <w:r w:rsidR="00D366BE">
        <w:rPr>
          <w:rFonts w:ascii="Times New Roman" w:hAnsi="Times New Roman"/>
          <w:bCs/>
          <w:sz w:val="22"/>
          <w:lang w:val="es-AR"/>
        </w:rPr>
        <w:t xml:space="preserve">amplias </w:t>
      </w:r>
      <w:r w:rsidRPr="009C73C5">
        <w:rPr>
          <w:rFonts w:ascii="Times New Roman" w:hAnsi="Times New Roman"/>
          <w:bCs/>
          <w:sz w:val="22"/>
          <w:lang w:val="es-AR"/>
        </w:rPr>
        <w:t xml:space="preserve">pérdidas de vidas, heridas o lesiones personales, daños a bienes y  ambiente y merma de </w:t>
      </w:r>
      <w:r w:rsidR="00D366BE">
        <w:rPr>
          <w:rFonts w:ascii="Times New Roman" w:hAnsi="Times New Roman"/>
          <w:bCs/>
          <w:sz w:val="22"/>
          <w:lang w:val="es-AR"/>
        </w:rPr>
        <w:t xml:space="preserve">las </w:t>
      </w:r>
      <w:r w:rsidRPr="009C73C5">
        <w:rPr>
          <w:rFonts w:ascii="Times New Roman" w:hAnsi="Times New Roman"/>
          <w:bCs/>
          <w:sz w:val="22"/>
          <w:lang w:val="es-AR"/>
        </w:rPr>
        <w:t>capacidades futuras</w:t>
      </w:r>
      <w:r w:rsidR="00D366BE">
        <w:rPr>
          <w:rFonts w:ascii="Times New Roman" w:hAnsi="Times New Roman"/>
          <w:bCs/>
          <w:sz w:val="22"/>
          <w:lang w:val="es-AR"/>
        </w:rPr>
        <w:t xml:space="preserve"> de </w:t>
      </w:r>
      <w:r w:rsidR="006C212F">
        <w:rPr>
          <w:rFonts w:ascii="Times New Roman" w:hAnsi="Times New Roman"/>
          <w:bCs/>
          <w:sz w:val="22"/>
          <w:lang w:val="es-AR"/>
        </w:rPr>
        <w:t>generación</w:t>
      </w:r>
      <w:r w:rsidR="00D366BE">
        <w:rPr>
          <w:rFonts w:ascii="Times New Roman" w:hAnsi="Times New Roman"/>
          <w:bCs/>
          <w:sz w:val="22"/>
          <w:lang w:val="es-AR"/>
        </w:rPr>
        <w:t xml:space="preserve"> de riqueza</w:t>
      </w:r>
      <w:r w:rsidRPr="009C73C5">
        <w:rPr>
          <w:rFonts w:ascii="Times New Roman" w:hAnsi="Times New Roman"/>
          <w:bCs/>
          <w:sz w:val="22"/>
          <w:lang w:val="es-AR"/>
        </w:rPr>
        <w:t>.</w:t>
      </w:r>
      <w:r>
        <w:rPr>
          <w:rFonts w:ascii="Times New Roman" w:hAnsi="Times New Roman"/>
          <w:bCs/>
          <w:sz w:val="22"/>
          <w:lang w:val="es-AR"/>
        </w:rPr>
        <w:t xml:space="preserve"> </w:t>
      </w:r>
      <w:r w:rsidRPr="009C73C5">
        <w:rPr>
          <w:rFonts w:ascii="Times New Roman" w:hAnsi="Times New Roman"/>
          <w:bCs/>
          <w:sz w:val="22"/>
          <w:lang w:val="es-AR"/>
        </w:rPr>
        <w:t xml:space="preserve">El planteo del </w:t>
      </w:r>
      <w:r w:rsidR="007C246A">
        <w:rPr>
          <w:rFonts w:ascii="Times New Roman" w:hAnsi="Times New Roman"/>
          <w:bCs/>
          <w:sz w:val="22"/>
          <w:lang w:val="es-AR"/>
        </w:rPr>
        <w:t xml:space="preserve">presente </w:t>
      </w:r>
      <w:r w:rsidRPr="009C73C5">
        <w:rPr>
          <w:rFonts w:ascii="Times New Roman" w:hAnsi="Times New Roman"/>
          <w:bCs/>
          <w:sz w:val="22"/>
          <w:lang w:val="es-AR"/>
        </w:rPr>
        <w:t xml:space="preserve">análisis </w:t>
      </w:r>
      <w:r>
        <w:rPr>
          <w:rFonts w:ascii="Times New Roman" w:hAnsi="Times New Roman"/>
          <w:bCs/>
          <w:sz w:val="22"/>
          <w:lang w:val="es-AR"/>
        </w:rPr>
        <w:t xml:space="preserve"> es que </w:t>
      </w:r>
      <w:r w:rsidRPr="009C73C5">
        <w:rPr>
          <w:rFonts w:ascii="Times New Roman" w:hAnsi="Times New Roman"/>
          <w:bCs/>
          <w:sz w:val="22"/>
          <w:lang w:val="es-AR"/>
        </w:rPr>
        <w:t xml:space="preserve">a partir del funcionamiento pleno </w:t>
      </w:r>
      <w:r w:rsidR="007C246A">
        <w:rPr>
          <w:rFonts w:ascii="Times New Roman" w:hAnsi="Times New Roman"/>
          <w:bCs/>
          <w:sz w:val="22"/>
          <w:lang w:val="es-AR"/>
        </w:rPr>
        <w:t xml:space="preserve">y mejorado </w:t>
      </w:r>
      <w:r w:rsidRPr="009C73C5">
        <w:rPr>
          <w:rFonts w:ascii="Times New Roman" w:hAnsi="Times New Roman"/>
          <w:bCs/>
          <w:sz w:val="22"/>
          <w:lang w:val="es-AR"/>
        </w:rPr>
        <w:t xml:space="preserve">del SAT el impacto </w:t>
      </w:r>
      <w:r>
        <w:rPr>
          <w:rFonts w:ascii="Times New Roman" w:hAnsi="Times New Roman"/>
          <w:bCs/>
          <w:sz w:val="22"/>
          <w:lang w:val="es-AR"/>
        </w:rPr>
        <w:t xml:space="preserve">negativo </w:t>
      </w:r>
      <w:r w:rsidRPr="009C73C5">
        <w:rPr>
          <w:rFonts w:ascii="Times New Roman" w:hAnsi="Times New Roman"/>
          <w:bCs/>
          <w:sz w:val="22"/>
          <w:lang w:val="es-AR"/>
        </w:rPr>
        <w:t xml:space="preserve">de una </w:t>
      </w:r>
      <w:r>
        <w:rPr>
          <w:rFonts w:ascii="Times New Roman" w:hAnsi="Times New Roman"/>
          <w:bCs/>
          <w:sz w:val="22"/>
          <w:lang w:val="es-AR"/>
        </w:rPr>
        <w:t xml:space="preserve">eventual </w:t>
      </w:r>
      <w:r w:rsidRPr="009C73C5">
        <w:rPr>
          <w:rFonts w:ascii="Times New Roman" w:hAnsi="Times New Roman"/>
          <w:bCs/>
          <w:sz w:val="22"/>
          <w:lang w:val="es-AR"/>
        </w:rPr>
        <w:t>emergencia ser</w:t>
      </w:r>
      <w:r>
        <w:rPr>
          <w:rFonts w:ascii="Times New Roman" w:hAnsi="Times New Roman"/>
          <w:bCs/>
          <w:sz w:val="22"/>
          <w:lang w:val="es-AR"/>
        </w:rPr>
        <w:t>ía significativamente reducido.</w:t>
      </w:r>
    </w:p>
    <w:p w:rsidR="00A74162" w:rsidRPr="009C73C5" w:rsidRDefault="00A74162" w:rsidP="00A74162">
      <w:pPr>
        <w:ind w:left="718"/>
        <w:jc w:val="both"/>
        <w:rPr>
          <w:rFonts w:ascii="Times New Roman" w:hAnsi="Times New Roman"/>
          <w:bCs/>
          <w:sz w:val="22"/>
          <w:lang w:val="es-AR"/>
        </w:rPr>
      </w:pPr>
    </w:p>
    <w:p w:rsidR="007C246A" w:rsidRDefault="00433416" w:rsidP="00C95815">
      <w:pPr>
        <w:numPr>
          <w:ilvl w:val="1"/>
          <w:numId w:val="12"/>
        </w:numPr>
        <w:jc w:val="both"/>
        <w:rPr>
          <w:rFonts w:ascii="Times New Roman" w:hAnsi="Times New Roman"/>
          <w:bCs/>
          <w:sz w:val="22"/>
          <w:lang w:val="es-AR"/>
        </w:rPr>
      </w:pPr>
      <w:r>
        <w:rPr>
          <w:rFonts w:ascii="Times New Roman" w:hAnsi="Times New Roman"/>
          <w:bCs/>
          <w:i/>
          <w:sz w:val="22"/>
          <w:lang w:val="es-AR"/>
        </w:rPr>
        <w:t>Estimaciones de riesgos ligados</w:t>
      </w:r>
      <w:r w:rsidR="001D3EF0" w:rsidRPr="00A01BB2">
        <w:rPr>
          <w:rFonts w:ascii="Times New Roman" w:hAnsi="Times New Roman"/>
          <w:bCs/>
          <w:i/>
          <w:sz w:val="22"/>
          <w:lang w:val="es-AR"/>
        </w:rPr>
        <w:t xml:space="preserve"> al evento</w:t>
      </w:r>
      <w:r w:rsidR="001D3EF0">
        <w:rPr>
          <w:rFonts w:ascii="Times New Roman" w:hAnsi="Times New Roman"/>
          <w:bCs/>
          <w:sz w:val="22"/>
          <w:lang w:val="es-AR"/>
        </w:rPr>
        <w:t xml:space="preserve">. </w:t>
      </w:r>
      <w:r w:rsidR="007C246A">
        <w:rPr>
          <w:rFonts w:ascii="Times New Roman" w:hAnsi="Times New Roman"/>
          <w:bCs/>
          <w:sz w:val="22"/>
          <w:lang w:val="es-AR"/>
        </w:rPr>
        <w:t>En esa perspectiva, es necesario establecer una caracterización de carácter científico y técnico sobre dos aspectos propios de los desastres que el sistema atenderá</w:t>
      </w:r>
      <w:r w:rsidR="001D3EF0">
        <w:rPr>
          <w:rFonts w:ascii="Times New Roman" w:hAnsi="Times New Roman"/>
          <w:bCs/>
          <w:sz w:val="22"/>
          <w:lang w:val="es-AR"/>
        </w:rPr>
        <w:t xml:space="preserve"> a los fines de disminuir el riesgo de sus potenciales </w:t>
      </w:r>
      <w:r w:rsidR="001D3EF0">
        <w:rPr>
          <w:rFonts w:ascii="Times New Roman" w:hAnsi="Times New Roman"/>
          <w:bCs/>
          <w:sz w:val="22"/>
          <w:lang w:val="es-AR"/>
        </w:rPr>
        <w:lastRenderedPageBreak/>
        <w:t>impactos</w:t>
      </w:r>
      <w:r w:rsidR="007C246A">
        <w:rPr>
          <w:rFonts w:ascii="Times New Roman" w:hAnsi="Times New Roman"/>
          <w:bCs/>
          <w:sz w:val="22"/>
          <w:lang w:val="es-AR"/>
        </w:rPr>
        <w:t xml:space="preserve">: i) </w:t>
      </w:r>
      <w:r w:rsidR="00D366BE">
        <w:rPr>
          <w:rFonts w:ascii="Times New Roman" w:hAnsi="Times New Roman"/>
          <w:bCs/>
          <w:sz w:val="22"/>
          <w:lang w:val="es-AR"/>
        </w:rPr>
        <w:t>s</w:t>
      </w:r>
      <w:r w:rsidR="007C246A">
        <w:rPr>
          <w:rFonts w:ascii="Times New Roman" w:hAnsi="Times New Roman"/>
          <w:bCs/>
          <w:sz w:val="22"/>
          <w:lang w:val="es-AR"/>
        </w:rPr>
        <w:t xml:space="preserve">u </w:t>
      </w:r>
      <w:r w:rsidR="00A01BB2">
        <w:rPr>
          <w:rFonts w:ascii="Times New Roman" w:hAnsi="Times New Roman"/>
          <w:bCs/>
          <w:sz w:val="22"/>
          <w:lang w:val="es-AR"/>
        </w:rPr>
        <w:t>p</w:t>
      </w:r>
      <w:r w:rsidR="007C246A">
        <w:rPr>
          <w:rFonts w:ascii="Times New Roman" w:hAnsi="Times New Roman"/>
          <w:bCs/>
          <w:sz w:val="22"/>
          <w:lang w:val="es-AR"/>
        </w:rPr>
        <w:t>roba</w:t>
      </w:r>
      <w:r w:rsidR="00A01BB2">
        <w:rPr>
          <w:rFonts w:ascii="Times New Roman" w:hAnsi="Times New Roman"/>
          <w:bCs/>
          <w:sz w:val="22"/>
          <w:lang w:val="es-AR"/>
        </w:rPr>
        <w:t xml:space="preserve">bilidad de ocurrencia y ii) las características </w:t>
      </w:r>
      <w:r w:rsidR="007C246A">
        <w:rPr>
          <w:rFonts w:ascii="Times New Roman" w:hAnsi="Times New Roman"/>
          <w:bCs/>
          <w:sz w:val="22"/>
          <w:lang w:val="es-AR"/>
        </w:rPr>
        <w:t xml:space="preserve">en que </w:t>
      </w:r>
      <w:r w:rsidR="00A01BB2">
        <w:rPr>
          <w:rFonts w:ascii="Times New Roman" w:hAnsi="Times New Roman"/>
          <w:bCs/>
          <w:sz w:val="22"/>
          <w:lang w:val="es-AR"/>
        </w:rPr>
        <w:t>el peligro podría</w:t>
      </w:r>
      <w:r w:rsidR="007C246A">
        <w:rPr>
          <w:rFonts w:ascii="Times New Roman" w:hAnsi="Times New Roman"/>
          <w:bCs/>
          <w:sz w:val="22"/>
          <w:lang w:val="es-AR"/>
        </w:rPr>
        <w:t xml:space="preserve"> presenta</w:t>
      </w:r>
      <w:r w:rsidR="001D3EF0">
        <w:rPr>
          <w:rFonts w:ascii="Times New Roman" w:hAnsi="Times New Roman"/>
          <w:bCs/>
          <w:sz w:val="22"/>
          <w:lang w:val="es-AR"/>
        </w:rPr>
        <w:t>r</w:t>
      </w:r>
      <w:r w:rsidR="00A01BB2">
        <w:rPr>
          <w:rFonts w:ascii="Times New Roman" w:hAnsi="Times New Roman"/>
          <w:bCs/>
          <w:sz w:val="22"/>
          <w:lang w:val="es-AR"/>
        </w:rPr>
        <w:t>se</w:t>
      </w:r>
      <w:r w:rsidR="001D3EF0">
        <w:rPr>
          <w:rFonts w:ascii="Times New Roman" w:hAnsi="Times New Roman"/>
          <w:bCs/>
          <w:sz w:val="22"/>
          <w:lang w:val="es-AR"/>
        </w:rPr>
        <w:t xml:space="preserve">, </w:t>
      </w:r>
      <w:r w:rsidR="00A01BB2">
        <w:rPr>
          <w:rFonts w:ascii="Times New Roman" w:hAnsi="Times New Roman"/>
          <w:bCs/>
          <w:sz w:val="22"/>
          <w:lang w:val="es-AR"/>
        </w:rPr>
        <w:t>en términos de la dimensión de las áreas que podrán sufrir un evento mayor o destructivo (y otros factores complementarios)</w:t>
      </w:r>
      <w:r w:rsidR="00D366BE">
        <w:rPr>
          <w:rFonts w:ascii="Times New Roman" w:hAnsi="Times New Roman"/>
          <w:bCs/>
          <w:sz w:val="22"/>
          <w:lang w:val="es-AR"/>
        </w:rPr>
        <w:t xml:space="preserve"> en función de</w:t>
      </w:r>
      <w:r w:rsidR="00A01BB2">
        <w:rPr>
          <w:rFonts w:ascii="Times New Roman" w:hAnsi="Times New Roman"/>
          <w:bCs/>
          <w:sz w:val="22"/>
          <w:lang w:val="es-AR"/>
        </w:rPr>
        <w:t xml:space="preserve"> su probabilidad asociada</w:t>
      </w:r>
      <w:r w:rsidR="007C246A">
        <w:rPr>
          <w:rFonts w:ascii="Times New Roman" w:hAnsi="Times New Roman"/>
          <w:bCs/>
          <w:sz w:val="22"/>
          <w:lang w:val="es-AR"/>
        </w:rPr>
        <w:t xml:space="preserve">. Ambos elementos son </w:t>
      </w:r>
      <w:r w:rsidR="001D3EF0">
        <w:rPr>
          <w:rFonts w:ascii="Times New Roman" w:hAnsi="Times New Roman"/>
          <w:bCs/>
          <w:sz w:val="22"/>
          <w:lang w:val="es-AR"/>
        </w:rPr>
        <w:t xml:space="preserve">en principio </w:t>
      </w:r>
      <w:r w:rsidR="007C246A">
        <w:rPr>
          <w:rFonts w:ascii="Times New Roman" w:hAnsi="Times New Roman"/>
          <w:bCs/>
          <w:sz w:val="22"/>
          <w:lang w:val="es-AR"/>
        </w:rPr>
        <w:t>externos a la intervención, es decir que depende</w:t>
      </w:r>
      <w:r w:rsidR="00FE22C5">
        <w:rPr>
          <w:rFonts w:ascii="Times New Roman" w:hAnsi="Times New Roman"/>
          <w:bCs/>
          <w:sz w:val="22"/>
          <w:lang w:val="es-AR"/>
        </w:rPr>
        <w:t>n</w:t>
      </w:r>
      <w:r w:rsidR="007C246A">
        <w:rPr>
          <w:rFonts w:ascii="Times New Roman" w:hAnsi="Times New Roman"/>
          <w:bCs/>
          <w:sz w:val="22"/>
          <w:lang w:val="es-AR"/>
        </w:rPr>
        <w:t xml:space="preserve"> de aspectos sísmicos, hidrológicos, climatológicos</w:t>
      </w:r>
      <w:r w:rsidR="007C246A">
        <w:rPr>
          <w:rStyle w:val="FootnoteReference"/>
          <w:rFonts w:ascii="Times New Roman" w:hAnsi="Times New Roman"/>
          <w:bCs/>
          <w:sz w:val="22"/>
          <w:lang w:val="es-AR"/>
        </w:rPr>
        <w:footnoteReference w:id="21"/>
      </w:r>
      <w:r w:rsidR="00FE22C5">
        <w:rPr>
          <w:rFonts w:ascii="Times New Roman" w:hAnsi="Times New Roman"/>
          <w:bCs/>
          <w:sz w:val="22"/>
          <w:lang w:val="es-AR"/>
        </w:rPr>
        <w:t xml:space="preserve"> y </w:t>
      </w:r>
      <w:r w:rsidR="007C246A">
        <w:rPr>
          <w:rFonts w:ascii="Times New Roman" w:hAnsi="Times New Roman"/>
          <w:bCs/>
          <w:sz w:val="22"/>
          <w:lang w:val="es-AR"/>
        </w:rPr>
        <w:t xml:space="preserve">presentan comportamientos de compleja predictibilidad. Si bien se trata de factores que actúan de forma idéntica sobre los escenarios futuros </w:t>
      </w:r>
      <w:r w:rsidR="00A01BB2">
        <w:rPr>
          <w:rFonts w:ascii="Times New Roman" w:hAnsi="Times New Roman"/>
          <w:bCs/>
          <w:sz w:val="22"/>
          <w:lang w:val="es-AR"/>
        </w:rPr>
        <w:t>alternativos de este estudio (</w:t>
      </w:r>
      <w:r w:rsidR="00BE23B4" w:rsidRPr="00BE23B4">
        <w:rPr>
          <w:rFonts w:ascii="Times New Roman" w:hAnsi="Times New Roman"/>
          <w:bCs/>
          <w:i/>
          <w:sz w:val="22"/>
          <w:lang w:val="es-AR"/>
        </w:rPr>
        <w:t>Sin Proyecto</w:t>
      </w:r>
      <w:r w:rsidR="007C246A">
        <w:rPr>
          <w:rFonts w:ascii="Times New Roman" w:hAnsi="Times New Roman"/>
          <w:bCs/>
          <w:sz w:val="22"/>
          <w:lang w:val="es-AR"/>
        </w:rPr>
        <w:t xml:space="preserve"> y </w:t>
      </w:r>
      <w:r w:rsidR="00BE23B4" w:rsidRPr="00BE23B4">
        <w:rPr>
          <w:rFonts w:ascii="Times New Roman" w:hAnsi="Times New Roman"/>
          <w:bCs/>
          <w:i/>
          <w:sz w:val="22"/>
          <w:lang w:val="es-AR"/>
        </w:rPr>
        <w:t>Con Proyecto</w:t>
      </w:r>
      <w:r w:rsidR="00A01BB2">
        <w:rPr>
          <w:rFonts w:ascii="Times New Roman" w:hAnsi="Times New Roman"/>
          <w:bCs/>
          <w:sz w:val="22"/>
          <w:lang w:val="es-AR"/>
        </w:rPr>
        <w:t>)</w:t>
      </w:r>
      <w:r w:rsidR="007C246A">
        <w:rPr>
          <w:rFonts w:ascii="Times New Roman" w:hAnsi="Times New Roman"/>
          <w:bCs/>
          <w:sz w:val="22"/>
          <w:lang w:val="es-AR"/>
        </w:rPr>
        <w:t xml:space="preserve">, su valoración incide de forma sustantiva sobre los resultados finales que arrojen los indicadores de </w:t>
      </w:r>
      <w:r w:rsidR="007561B9">
        <w:rPr>
          <w:rFonts w:ascii="Times New Roman" w:hAnsi="Times New Roman"/>
          <w:bCs/>
          <w:sz w:val="22"/>
          <w:lang w:val="es-AR"/>
        </w:rPr>
        <w:t>beneficio</w:t>
      </w:r>
      <w:r w:rsidR="00A01BB2">
        <w:rPr>
          <w:rFonts w:ascii="Times New Roman" w:hAnsi="Times New Roman"/>
          <w:bCs/>
          <w:sz w:val="22"/>
          <w:lang w:val="es-AR"/>
        </w:rPr>
        <w:t>-</w:t>
      </w:r>
      <w:r w:rsidR="007561B9">
        <w:rPr>
          <w:rFonts w:ascii="Times New Roman" w:hAnsi="Times New Roman"/>
          <w:bCs/>
          <w:sz w:val="22"/>
          <w:lang w:val="es-AR"/>
        </w:rPr>
        <w:t>c</w:t>
      </w:r>
      <w:r w:rsidR="00A01BB2">
        <w:rPr>
          <w:rFonts w:ascii="Times New Roman" w:hAnsi="Times New Roman"/>
          <w:bCs/>
          <w:sz w:val="22"/>
          <w:lang w:val="es-AR"/>
        </w:rPr>
        <w:t>osto</w:t>
      </w:r>
      <w:r w:rsidR="007C246A">
        <w:rPr>
          <w:rStyle w:val="FootnoteReference"/>
          <w:rFonts w:ascii="Times New Roman" w:hAnsi="Times New Roman"/>
          <w:bCs/>
          <w:sz w:val="22"/>
          <w:lang w:val="es-AR"/>
        </w:rPr>
        <w:footnoteReference w:id="22"/>
      </w:r>
      <w:r w:rsidR="007C246A">
        <w:rPr>
          <w:rFonts w:ascii="Times New Roman" w:hAnsi="Times New Roman"/>
          <w:bCs/>
          <w:sz w:val="22"/>
          <w:lang w:val="es-AR"/>
        </w:rPr>
        <w:t>.</w:t>
      </w:r>
      <w:r w:rsidR="00FE22C5">
        <w:rPr>
          <w:rFonts w:ascii="Times New Roman" w:hAnsi="Times New Roman"/>
          <w:bCs/>
          <w:sz w:val="22"/>
          <w:lang w:val="es-AR"/>
        </w:rPr>
        <w:t xml:space="preserve"> Al incorporar el concepto </w:t>
      </w:r>
      <w:r w:rsidR="007561B9">
        <w:rPr>
          <w:rFonts w:ascii="Times New Roman" w:hAnsi="Times New Roman"/>
          <w:bCs/>
          <w:sz w:val="22"/>
          <w:lang w:val="es-AR"/>
        </w:rPr>
        <w:t>de v</w:t>
      </w:r>
      <w:r w:rsidR="00FE22C5">
        <w:rPr>
          <w:rFonts w:ascii="Times New Roman" w:hAnsi="Times New Roman"/>
          <w:bCs/>
          <w:sz w:val="22"/>
          <w:lang w:val="es-AR"/>
        </w:rPr>
        <w:t>ulnerabilidad, ambos escenarios se diferencian claramente, permitiendo la intervención mejorar las condiciones en que la población objetivo podrá preservar su vida</w:t>
      </w:r>
      <w:r w:rsidR="00D366BE">
        <w:rPr>
          <w:rFonts w:ascii="Times New Roman" w:hAnsi="Times New Roman"/>
          <w:bCs/>
          <w:sz w:val="22"/>
          <w:lang w:val="es-AR"/>
        </w:rPr>
        <w:t>, integridad física</w:t>
      </w:r>
      <w:r w:rsidR="00FE22C5">
        <w:rPr>
          <w:rFonts w:ascii="Times New Roman" w:hAnsi="Times New Roman"/>
          <w:bCs/>
          <w:sz w:val="22"/>
          <w:lang w:val="es-AR"/>
        </w:rPr>
        <w:t xml:space="preserve"> y activos. </w:t>
      </w:r>
    </w:p>
    <w:p w:rsidR="009C73C5" w:rsidRPr="00433416" w:rsidRDefault="009C73C5" w:rsidP="00C95815">
      <w:pPr>
        <w:numPr>
          <w:ilvl w:val="1"/>
          <w:numId w:val="12"/>
        </w:numPr>
        <w:jc w:val="both"/>
        <w:rPr>
          <w:rFonts w:ascii="Times New Roman" w:hAnsi="Times New Roman"/>
          <w:bCs/>
          <w:sz w:val="22"/>
          <w:lang w:val="es-AR"/>
        </w:rPr>
      </w:pPr>
      <w:r w:rsidRPr="00433416">
        <w:rPr>
          <w:rFonts w:ascii="Times New Roman" w:hAnsi="Times New Roman"/>
          <w:bCs/>
          <w:sz w:val="22"/>
          <w:lang w:val="es-AR"/>
        </w:rPr>
        <w:t>A los fines de establecer una probabilidad futura estimada de ocurrencia de</w:t>
      </w:r>
      <w:r w:rsidR="00D366BE">
        <w:rPr>
          <w:rFonts w:ascii="Times New Roman" w:hAnsi="Times New Roman"/>
          <w:bCs/>
          <w:sz w:val="22"/>
          <w:lang w:val="es-AR"/>
        </w:rPr>
        <w:t xml:space="preserve"> los eventos </w:t>
      </w:r>
      <w:r w:rsidRPr="00433416">
        <w:rPr>
          <w:rFonts w:ascii="Times New Roman" w:hAnsi="Times New Roman"/>
          <w:bCs/>
          <w:sz w:val="22"/>
          <w:lang w:val="es-AR"/>
        </w:rPr>
        <w:t xml:space="preserve">o </w:t>
      </w:r>
      <w:r w:rsidR="006C212F">
        <w:rPr>
          <w:rFonts w:ascii="Times New Roman" w:hAnsi="Times New Roman"/>
          <w:bCs/>
          <w:sz w:val="22"/>
          <w:lang w:val="es-AR"/>
        </w:rPr>
        <w:t>amenazas</w:t>
      </w:r>
      <w:r w:rsidR="00D366BE">
        <w:rPr>
          <w:rFonts w:ascii="Times New Roman" w:hAnsi="Times New Roman"/>
          <w:bCs/>
          <w:sz w:val="22"/>
          <w:lang w:val="es-AR"/>
        </w:rPr>
        <w:t xml:space="preserve"> d</w:t>
      </w:r>
      <w:r w:rsidR="00AE08BC" w:rsidRPr="00433416">
        <w:rPr>
          <w:rFonts w:ascii="Times New Roman" w:hAnsi="Times New Roman"/>
          <w:bCs/>
          <w:sz w:val="22"/>
          <w:lang w:val="es-AR"/>
        </w:rPr>
        <w:t xml:space="preserve">e interés </w:t>
      </w:r>
      <w:r w:rsidR="00D366BE">
        <w:rPr>
          <w:rFonts w:ascii="Times New Roman" w:hAnsi="Times New Roman"/>
          <w:bCs/>
          <w:sz w:val="22"/>
          <w:lang w:val="es-AR"/>
        </w:rPr>
        <w:t xml:space="preserve">para </w:t>
      </w:r>
      <w:r w:rsidR="00AE08BC" w:rsidRPr="00433416">
        <w:rPr>
          <w:rFonts w:ascii="Times New Roman" w:hAnsi="Times New Roman"/>
          <w:bCs/>
          <w:sz w:val="22"/>
          <w:lang w:val="es-AR"/>
        </w:rPr>
        <w:t xml:space="preserve">el Programa </w:t>
      </w:r>
      <w:r w:rsidRPr="00433416">
        <w:rPr>
          <w:rFonts w:ascii="Times New Roman" w:hAnsi="Times New Roman"/>
          <w:bCs/>
          <w:sz w:val="22"/>
          <w:lang w:val="es-AR"/>
        </w:rPr>
        <w:t>(</w:t>
      </w:r>
      <w:r w:rsidR="007561B9">
        <w:rPr>
          <w:rFonts w:ascii="Times New Roman" w:hAnsi="Times New Roman"/>
          <w:bCs/>
          <w:sz w:val="22"/>
          <w:lang w:val="es-AR"/>
        </w:rPr>
        <w:t>t</w:t>
      </w:r>
      <w:r w:rsidR="007561B9" w:rsidRPr="00433416">
        <w:rPr>
          <w:rFonts w:ascii="Times New Roman" w:hAnsi="Times New Roman"/>
          <w:bCs/>
          <w:sz w:val="22"/>
          <w:lang w:val="es-AR"/>
        </w:rPr>
        <w:t xml:space="preserve">sunamis </w:t>
      </w:r>
      <w:r w:rsidRPr="00433416">
        <w:rPr>
          <w:rFonts w:ascii="Times New Roman" w:hAnsi="Times New Roman"/>
          <w:bCs/>
          <w:sz w:val="22"/>
          <w:lang w:val="es-AR"/>
        </w:rPr>
        <w:t xml:space="preserve">o </w:t>
      </w:r>
      <w:r w:rsidR="007561B9">
        <w:rPr>
          <w:rFonts w:ascii="Times New Roman" w:hAnsi="Times New Roman"/>
          <w:bCs/>
          <w:sz w:val="22"/>
          <w:lang w:val="es-AR"/>
        </w:rPr>
        <w:t>d</w:t>
      </w:r>
      <w:r w:rsidR="007561B9" w:rsidRPr="00433416">
        <w:rPr>
          <w:rFonts w:ascii="Times New Roman" w:hAnsi="Times New Roman"/>
          <w:bCs/>
          <w:sz w:val="22"/>
          <w:lang w:val="es-AR"/>
        </w:rPr>
        <w:t>esbord</w:t>
      </w:r>
      <w:r w:rsidR="007561B9">
        <w:rPr>
          <w:rFonts w:ascii="Times New Roman" w:hAnsi="Times New Roman"/>
          <w:bCs/>
          <w:sz w:val="22"/>
          <w:lang w:val="es-AR"/>
        </w:rPr>
        <w:t>amiento</w:t>
      </w:r>
      <w:r w:rsidR="007561B9" w:rsidRPr="00433416">
        <w:rPr>
          <w:rFonts w:ascii="Times New Roman" w:hAnsi="Times New Roman"/>
          <w:bCs/>
          <w:sz w:val="22"/>
          <w:lang w:val="es-AR"/>
        </w:rPr>
        <w:t xml:space="preserve"> </w:t>
      </w:r>
      <w:r w:rsidRPr="00433416">
        <w:rPr>
          <w:rFonts w:ascii="Times New Roman" w:hAnsi="Times New Roman"/>
          <w:bCs/>
          <w:sz w:val="22"/>
          <w:lang w:val="es-AR"/>
        </w:rPr>
        <w:t>de r</w:t>
      </w:r>
      <w:r w:rsidR="00D366BE">
        <w:rPr>
          <w:rFonts w:ascii="Times New Roman" w:hAnsi="Times New Roman"/>
          <w:bCs/>
          <w:sz w:val="22"/>
          <w:lang w:val="es-AR"/>
        </w:rPr>
        <w:t>íos</w:t>
      </w:r>
      <w:r w:rsidRPr="00433416">
        <w:rPr>
          <w:rFonts w:ascii="Times New Roman" w:hAnsi="Times New Roman"/>
          <w:bCs/>
          <w:sz w:val="22"/>
          <w:lang w:val="es-AR"/>
        </w:rPr>
        <w:t>)</w:t>
      </w:r>
      <w:r w:rsidR="007561B9">
        <w:rPr>
          <w:rFonts w:ascii="Times New Roman" w:hAnsi="Times New Roman"/>
          <w:bCs/>
          <w:sz w:val="22"/>
          <w:lang w:val="es-AR"/>
        </w:rPr>
        <w:t>,</w:t>
      </w:r>
      <w:r w:rsidRPr="00433416">
        <w:rPr>
          <w:rFonts w:ascii="Times New Roman" w:hAnsi="Times New Roman"/>
          <w:bCs/>
          <w:sz w:val="22"/>
          <w:lang w:val="es-AR"/>
        </w:rPr>
        <w:t xml:space="preserve"> </w:t>
      </w:r>
      <w:r w:rsidR="00AE08BC" w:rsidRPr="00433416">
        <w:rPr>
          <w:rFonts w:ascii="Times New Roman" w:hAnsi="Times New Roman"/>
          <w:bCs/>
          <w:sz w:val="22"/>
          <w:lang w:val="es-AR"/>
        </w:rPr>
        <w:t>se toman como fundamento técnico las e</w:t>
      </w:r>
      <w:r w:rsidRPr="00433416">
        <w:rPr>
          <w:rFonts w:ascii="Times New Roman" w:hAnsi="Times New Roman"/>
          <w:bCs/>
          <w:sz w:val="22"/>
          <w:lang w:val="es-AR"/>
        </w:rPr>
        <w:t>stimaciones de la  S</w:t>
      </w:r>
      <w:r w:rsidR="00AE08BC" w:rsidRPr="00433416">
        <w:rPr>
          <w:rFonts w:ascii="Times New Roman" w:hAnsi="Times New Roman"/>
          <w:bCs/>
          <w:sz w:val="22"/>
          <w:lang w:val="es-AR"/>
        </w:rPr>
        <w:t>GR</w:t>
      </w:r>
      <w:r w:rsidRPr="00433416">
        <w:rPr>
          <w:rFonts w:ascii="Times New Roman" w:hAnsi="Times New Roman"/>
          <w:bCs/>
          <w:sz w:val="22"/>
          <w:lang w:val="es-AR"/>
        </w:rPr>
        <w:t xml:space="preserve"> a partir del  </w:t>
      </w:r>
      <w:r w:rsidR="00433416" w:rsidRPr="00433416">
        <w:rPr>
          <w:rFonts w:ascii="Times New Roman" w:hAnsi="Times New Roman"/>
          <w:bCs/>
          <w:sz w:val="22"/>
          <w:lang w:val="es-AR"/>
        </w:rPr>
        <w:t>r</w:t>
      </w:r>
      <w:r w:rsidRPr="00433416">
        <w:rPr>
          <w:rFonts w:ascii="Times New Roman" w:hAnsi="Times New Roman"/>
          <w:bCs/>
          <w:sz w:val="22"/>
          <w:lang w:val="es-AR"/>
        </w:rPr>
        <w:t>egistro de eventos adversos y previsiones</w:t>
      </w:r>
      <w:r w:rsidR="00F23AE0">
        <w:rPr>
          <w:rFonts w:ascii="Times New Roman" w:hAnsi="Times New Roman"/>
          <w:bCs/>
          <w:sz w:val="22"/>
          <w:lang w:val="es-AR"/>
        </w:rPr>
        <w:t xml:space="preserve">, </w:t>
      </w:r>
      <w:r w:rsidR="00AE08BC" w:rsidRPr="00433416">
        <w:rPr>
          <w:rFonts w:ascii="Times New Roman" w:hAnsi="Times New Roman"/>
          <w:bCs/>
          <w:sz w:val="22"/>
          <w:lang w:val="es-AR"/>
        </w:rPr>
        <w:t>los</w:t>
      </w:r>
      <w:r w:rsidRPr="00433416">
        <w:rPr>
          <w:rFonts w:ascii="Times New Roman" w:hAnsi="Times New Roman"/>
          <w:bCs/>
          <w:sz w:val="22"/>
          <w:lang w:val="es-AR"/>
        </w:rPr>
        <w:t xml:space="preserve"> </w:t>
      </w:r>
      <w:r w:rsidR="007561B9">
        <w:rPr>
          <w:rFonts w:ascii="Times New Roman" w:hAnsi="Times New Roman"/>
          <w:bCs/>
          <w:sz w:val="22"/>
          <w:lang w:val="es-AR"/>
        </w:rPr>
        <w:t>e</w:t>
      </w:r>
      <w:r w:rsidRPr="00433416">
        <w:rPr>
          <w:rFonts w:ascii="Times New Roman" w:hAnsi="Times New Roman"/>
          <w:bCs/>
          <w:sz w:val="22"/>
          <w:lang w:val="es-AR"/>
        </w:rPr>
        <w:t>scenarios de riesgo elaborados por la Dirección de Monitoreo</w:t>
      </w:r>
      <w:r w:rsidR="00F23AE0">
        <w:rPr>
          <w:rFonts w:ascii="Times New Roman" w:hAnsi="Times New Roman"/>
          <w:bCs/>
          <w:sz w:val="22"/>
          <w:lang w:val="es-AR"/>
        </w:rPr>
        <w:t xml:space="preserve"> y los estudios del Instituto Geofísico de la </w:t>
      </w:r>
      <w:r w:rsidR="007561B9">
        <w:rPr>
          <w:rFonts w:ascii="Times New Roman" w:hAnsi="Times New Roman"/>
          <w:bCs/>
          <w:sz w:val="22"/>
          <w:lang w:val="es-AR"/>
        </w:rPr>
        <w:t xml:space="preserve">Escuela </w:t>
      </w:r>
      <w:r w:rsidR="00F23AE0">
        <w:rPr>
          <w:rFonts w:ascii="Times New Roman" w:hAnsi="Times New Roman"/>
          <w:bCs/>
          <w:sz w:val="22"/>
          <w:lang w:val="es-AR"/>
        </w:rPr>
        <w:t>Politécnica Nacional (IG-EPN)</w:t>
      </w:r>
      <w:r w:rsidRPr="00433416">
        <w:rPr>
          <w:rFonts w:ascii="Times New Roman" w:hAnsi="Times New Roman"/>
          <w:bCs/>
          <w:sz w:val="22"/>
          <w:lang w:val="es-AR"/>
        </w:rPr>
        <w:t>.</w:t>
      </w:r>
      <w:r w:rsidR="00AE08BC" w:rsidRPr="00433416">
        <w:rPr>
          <w:rFonts w:ascii="Times New Roman" w:hAnsi="Times New Roman"/>
          <w:bCs/>
          <w:sz w:val="22"/>
          <w:lang w:val="es-AR"/>
        </w:rPr>
        <w:t xml:space="preserve"> El basamento técnico </w:t>
      </w:r>
      <w:r w:rsidRPr="00433416">
        <w:rPr>
          <w:rFonts w:ascii="Times New Roman" w:hAnsi="Times New Roman"/>
          <w:bCs/>
          <w:sz w:val="22"/>
          <w:lang w:val="es-AR"/>
        </w:rPr>
        <w:t>particular sobre desbordamiento de r</w:t>
      </w:r>
      <w:r w:rsidR="00D366BE">
        <w:rPr>
          <w:rFonts w:ascii="Times New Roman" w:hAnsi="Times New Roman"/>
          <w:bCs/>
          <w:sz w:val="22"/>
          <w:lang w:val="es-AR"/>
        </w:rPr>
        <w:t>íos</w:t>
      </w:r>
      <w:r w:rsidR="00AE08BC" w:rsidRPr="00433416">
        <w:rPr>
          <w:rFonts w:ascii="Times New Roman" w:hAnsi="Times New Roman"/>
          <w:bCs/>
          <w:sz w:val="22"/>
          <w:lang w:val="es-AR"/>
        </w:rPr>
        <w:t xml:space="preserve"> surgen de </w:t>
      </w:r>
      <w:r w:rsidRPr="00433416">
        <w:rPr>
          <w:rFonts w:ascii="Times New Roman" w:hAnsi="Times New Roman"/>
          <w:bCs/>
          <w:sz w:val="22"/>
          <w:lang w:val="es-AR"/>
        </w:rPr>
        <w:t xml:space="preserve">datos de históricos </w:t>
      </w:r>
      <w:r w:rsidR="00D366BE">
        <w:rPr>
          <w:rFonts w:ascii="Times New Roman" w:hAnsi="Times New Roman"/>
          <w:bCs/>
          <w:sz w:val="22"/>
          <w:lang w:val="es-AR"/>
        </w:rPr>
        <w:t>que reflejan</w:t>
      </w:r>
      <w:r w:rsidR="00F23AE0">
        <w:rPr>
          <w:rFonts w:ascii="Times New Roman" w:hAnsi="Times New Roman"/>
          <w:bCs/>
          <w:sz w:val="22"/>
          <w:lang w:val="es-AR"/>
        </w:rPr>
        <w:t xml:space="preserve"> </w:t>
      </w:r>
      <w:r w:rsidR="00D366BE">
        <w:rPr>
          <w:rFonts w:ascii="Times New Roman" w:hAnsi="Times New Roman"/>
          <w:bCs/>
          <w:sz w:val="22"/>
          <w:lang w:val="es-AR"/>
        </w:rPr>
        <w:t xml:space="preserve"> impactos de eventos históricos en las Provincias donde se planifica la intervención, los cuales se estima serán reducidos parcialmente a partir de la intervención</w:t>
      </w:r>
      <w:r w:rsidRPr="00433416">
        <w:rPr>
          <w:rFonts w:ascii="Times New Roman" w:hAnsi="Times New Roman"/>
          <w:bCs/>
          <w:sz w:val="22"/>
          <w:lang w:val="es-AR"/>
        </w:rPr>
        <w:t>.</w:t>
      </w:r>
    </w:p>
    <w:p w:rsidR="00A74162" w:rsidRPr="009C73C5" w:rsidRDefault="00A74162" w:rsidP="00A74162">
      <w:pPr>
        <w:ind w:left="718"/>
        <w:jc w:val="both"/>
        <w:rPr>
          <w:rFonts w:ascii="Times New Roman" w:hAnsi="Times New Roman"/>
          <w:bCs/>
          <w:sz w:val="22"/>
          <w:lang w:val="es-AR"/>
        </w:rPr>
      </w:pPr>
    </w:p>
    <w:p w:rsidR="00A74162" w:rsidRDefault="00A74162" w:rsidP="00C95815">
      <w:pPr>
        <w:numPr>
          <w:ilvl w:val="1"/>
          <w:numId w:val="12"/>
        </w:numPr>
        <w:jc w:val="both"/>
        <w:rPr>
          <w:rFonts w:ascii="Times New Roman" w:hAnsi="Times New Roman"/>
          <w:bCs/>
          <w:sz w:val="22"/>
          <w:lang w:val="es-AR"/>
        </w:rPr>
      </w:pPr>
      <w:r w:rsidRPr="00433416">
        <w:rPr>
          <w:rFonts w:ascii="Times New Roman" w:hAnsi="Times New Roman"/>
          <w:bCs/>
          <w:i/>
          <w:sz w:val="22"/>
          <w:lang w:val="es-AR"/>
        </w:rPr>
        <w:t>Beneficios esperados</w:t>
      </w:r>
      <w:r>
        <w:rPr>
          <w:rFonts w:ascii="Times New Roman" w:hAnsi="Times New Roman"/>
          <w:bCs/>
          <w:sz w:val="22"/>
          <w:lang w:val="es-AR"/>
        </w:rPr>
        <w:t xml:space="preserve">. </w:t>
      </w:r>
      <w:r w:rsidR="00433416">
        <w:rPr>
          <w:rFonts w:ascii="Times New Roman" w:hAnsi="Times New Roman"/>
          <w:bCs/>
          <w:sz w:val="22"/>
          <w:lang w:val="es-AR"/>
        </w:rPr>
        <w:t>Se estima que e</w:t>
      </w:r>
      <w:r w:rsidRPr="00A74162">
        <w:rPr>
          <w:rFonts w:ascii="Times New Roman" w:hAnsi="Times New Roman"/>
          <w:bCs/>
          <w:sz w:val="22"/>
          <w:lang w:val="es-AR"/>
        </w:rPr>
        <w:t xml:space="preserve">l funcionamiento </w:t>
      </w:r>
      <w:r w:rsidR="00433416">
        <w:rPr>
          <w:rFonts w:ascii="Times New Roman" w:hAnsi="Times New Roman"/>
          <w:bCs/>
          <w:sz w:val="22"/>
          <w:lang w:val="es-AR"/>
        </w:rPr>
        <w:t xml:space="preserve">mejorado </w:t>
      </w:r>
      <w:r w:rsidRPr="00A74162">
        <w:rPr>
          <w:rFonts w:ascii="Times New Roman" w:hAnsi="Times New Roman"/>
          <w:bCs/>
          <w:sz w:val="22"/>
          <w:lang w:val="es-AR"/>
        </w:rPr>
        <w:t xml:space="preserve">del </w:t>
      </w:r>
      <w:r w:rsidR="00E50B6A">
        <w:rPr>
          <w:rFonts w:ascii="Times New Roman" w:hAnsi="Times New Roman" w:hint="eastAsia"/>
          <w:sz w:val="22"/>
          <w:szCs w:val="22"/>
          <w:lang w:val="es-ES_tradnl"/>
        </w:rPr>
        <w:t>P</w:t>
      </w:r>
      <w:r w:rsidR="00E50B6A">
        <w:rPr>
          <w:rFonts w:ascii="Times New Roman" w:hAnsi="Times New Roman" w:hint="eastAsia"/>
          <w:sz w:val="22"/>
          <w:szCs w:val="22"/>
          <w:lang w:val="es-ES_tradnl" w:eastAsia="ja-JP"/>
        </w:rPr>
        <w:t xml:space="preserve">rograma </w:t>
      </w:r>
      <w:r w:rsidRPr="00A74162">
        <w:rPr>
          <w:rFonts w:ascii="Times New Roman" w:hAnsi="Times New Roman"/>
          <w:bCs/>
          <w:sz w:val="22"/>
          <w:lang w:val="es-AR"/>
        </w:rPr>
        <w:t>permitirá disminuir la vulnerabilidad del área</w:t>
      </w:r>
      <w:r w:rsidR="00433416">
        <w:rPr>
          <w:rFonts w:ascii="Times New Roman" w:hAnsi="Times New Roman"/>
          <w:bCs/>
          <w:sz w:val="22"/>
          <w:lang w:val="es-AR"/>
        </w:rPr>
        <w:t xml:space="preserve"> y sus habitantes</w:t>
      </w:r>
      <w:r w:rsidRPr="00A74162">
        <w:rPr>
          <w:rFonts w:ascii="Times New Roman" w:hAnsi="Times New Roman"/>
          <w:bCs/>
          <w:sz w:val="22"/>
          <w:lang w:val="es-AR"/>
        </w:rPr>
        <w:t>, que se manifiesta por los siguientes conceptos: (</w:t>
      </w:r>
      <w:r w:rsidR="007561B9">
        <w:rPr>
          <w:rFonts w:ascii="Times New Roman" w:hAnsi="Times New Roman"/>
          <w:bCs/>
          <w:sz w:val="22"/>
          <w:lang w:val="es-AR"/>
        </w:rPr>
        <w:t>i</w:t>
      </w:r>
      <w:r w:rsidRPr="00A74162">
        <w:rPr>
          <w:rFonts w:ascii="Times New Roman" w:hAnsi="Times New Roman"/>
          <w:bCs/>
          <w:sz w:val="22"/>
          <w:lang w:val="es-AR"/>
        </w:rPr>
        <w:t xml:space="preserve">) Reducción de muertes y daños personales de los habitantes de las regiones que viven en </w:t>
      </w:r>
      <w:r w:rsidR="00D366BE">
        <w:rPr>
          <w:rFonts w:ascii="Times New Roman" w:hAnsi="Times New Roman"/>
          <w:bCs/>
          <w:sz w:val="22"/>
          <w:lang w:val="es-AR"/>
        </w:rPr>
        <w:t xml:space="preserve">las </w:t>
      </w:r>
      <w:r w:rsidRPr="00A74162">
        <w:rPr>
          <w:rFonts w:ascii="Times New Roman" w:hAnsi="Times New Roman"/>
          <w:bCs/>
          <w:sz w:val="22"/>
          <w:lang w:val="es-AR"/>
        </w:rPr>
        <w:t>zonas de alta vulnerabilidad; (</w:t>
      </w:r>
      <w:r w:rsidR="007561B9">
        <w:rPr>
          <w:rFonts w:ascii="Times New Roman" w:hAnsi="Times New Roman"/>
          <w:bCs/>
          <w:sz w:val="22"/>
          <w:lang w:val="es-AR"/>
        </w:rPr>
        <w:t>ii</w:t>
      </w:r>
      <w:r w:rsidRPr="00A74162">
        <w:rPr>
          <w:rFonts w:ascii="Times New Roman" w:hAnsi="Times New Roman"/>
          <w:bCs/>
          <w:sz w:val="22"/>
          <w:lang w:val="es-AR"/>
        </w:rPr>
        <w:t xml:space="preserve">) </w:t>
      </w:r>
      <w:r w:rsidR="007561B9">
        <w:rPr>
          <w:rFonts w:ascii="Times New Roman" w:hAnsi="Times New Roman"/>
          <w:bCs/>
          <w:sz w:val="22"/>
          <w:lang w:val="es-AR"/>
        </w:rPr>
        <w:t>d</w:t>
      </w:r>
      <w:r w:rsidRPr="00A74162">
        <w:rPr>
          <w:rFonts w:ascii="Times New Roman" w:hAnsi="Times New Roman"/>
          <w:bCs/>
          <w:sz w:val="22"/>
          <w:lang w:val="es-AR"/>
        </w:rPr>
        <w:t xml:space="preserve">isminución de </w:t>
      </w:r>
      <w:r w:rsidR="00F23AE0">
        <w:rPr>
          <w:rFonts w:ascii="Times New Roman" w:hAnsi="Times New Roman"/>
          <w:bCs/>
          <w:sz w:val="22"/>
          <w:lang w:val="es-AR"/>
        </w:rPr>
        <w:t xml:space="preserve">pérdida de bienes </w:t>
      </w:r>
      <w:r w:rsidRPr="00A74162">
        <w:rPr>
          <w:rFonts w:ascii="Times New Roman" w:hAnsi="Times New Roman"/>
          <w:bCs/>
          <w:sz w:val="22"/>
          <w:lang w:val="es-AR"/>
        </w:rPr>
        <w:t>públic</w:t>
      </w:r>
      <w:r w:rsidR="00F23AE0">
        <w:rPr>
          <w:rFonts w:ascii="Times New Roman" w:hAnsi="Times New Roman"/>
          <w:bCs/>
          <w:sz w:val="22"/>
          <w:lang w:val="es-AR"/>
        </w:rPr>
        <w:t>os</w:t>
      </w:r>
      <w:r w:rsidRPr="00A74162">
        <w:rPr>
          <w:rFonts w:ascii="Times New Roman" w:hAnsi="Times New Roman"/>
          <w:bCs/>
          <w:sz w:val="22"/>
          <w:lang w:val="es-AR"/>
        </w:rPr>
        <w:t xml:space="preserve"> y privad</w:t>
      </w:r>
      <w:r w:rsidR="00F23AE0">
        <w:rPr>
          <w:rFonts w:ascii="Times New Roman" w:hAnsi="Times New Roman"/>
          <w:bCs/>
          <w:sz w:val="22"/>
          <w:lang w:val="es-AR"/>
        </w:rPr>
        <w:t>os</w:t>
      </w:r>
      <w:r w:rsidR="00F23AE0">
        <w:rPr>
          <w:rStyle w:val="FootnoteReference"/>
          <w:rFonts w:ascii="Times New Roman" w:hAnsi="Times New Roman"/>
          <w:bCs/>
          <w:sz w:val="22"/>
          <w:lang w:val="es-AR"/>
        </w:rPr>
        <w:footnoteReference w:id="23"/>
      </w:r>
      <w:r w:rsidRPr="00A74162">
        <w:rPr>
          <w:rFonts w:ascii="Times New Roman" w:hAnsi="Times New Roman"/>
          <w:bCs/>
          <w:sz w:val="22"/>
          <w:lang w:val="es-AR"/>
        </w:rPr>
        <w:t xml:space="preserve">; </w:t>
      </w:r>
      <w:r w:rsidR="007561B9">
        <w:rPr>
          <w:rFonts w:ascii="Times New Roman" w:hAnsi="Times New Roman"/>
          <w:bCs/>
          <w:sz w:val="22"/>
          <w:lang w:val="es-AR"/>
        </w:rPr>
        <w:t>y (iii</w:t>
      </w:r>
      <w:r w:rsidRPr="00A74162">
        <w:rPr>
          <w:rFonts w:ascii="Times New Roman" w:hAnsi="Times New Roman"/>
          <w:bCs/>
          <w:sz w:val="22"/>
          <w:lang w:val="es-AR"/>
        </w:rPr>
        <w:t xml:space="preserve">) </w:t>
      </w:r>
      <w:r w:rsidR="007561B9">
        <w:rPr>
          <w:rFonts w:ascii="Times New Roman" w:hAnsi="Times New Roman"/>
          <w:bCs/>
          <w:sz w:val="22"/>
          <w:lang w:val="es-AR"/>
        </w:rPr>
        <w:t>c</w:t>
      </w:r>
      <w:r w:rsidRPr="00A74162">
        <w:rPr>
          <w:rFonts w:ascii="Times New Roman" w:hAnsi="Times New Roman"/>
          <w:bCs/>
          <w:sz w:val="22"/>
          <w:lang w:val="es-AR"/>
        </w:rPr>
        <w:t>onsolidación de condiciones estructurales que alientan el desarrollo socio-económico.  Mientras que los conceptos (</w:t>
      </w:r>
      <w:r w:rsidR="007561B9">
        <w:rPr>
          <w:rFonts w:ascii="Times New Roman" w:hAnsi="Times New Roman"/>
          <w:bCs/>
          <w:sz w:val="22"/>
          <w:lang w:val="es-AR"/>
        </w:rPr>
        <w:t>i</w:t>
      </w:r>
      <w:r w:rsidRPr="00A74162">
        <w:rPr>
          <w:rFonts w:ascii="Times New Roman" w:hAnsi="Times New Roman"/>
          <w:bCs/>
          <w:sz w:val="22"/>
          <w:lang w:val="es-AR"/>
        </w:rPr>
        <w:t>) y (</w:t>
      </w:r>
      <w:r w:rsidR="007561B9">
        <w:rPr>
          <w:rFonts w:ascii="Times New Roman" w:hAnsi="Times New Roman"/>
          <w:bCs/>
          <w:sz w:val="22"/>
          <w:lang w:val="es-AR"/>
        </w:rPr>
        <w:t>ii</w:t>
      </w:r>
      <w:r w:rsidRPr="00A74162">
        <w:rPr>
          <w:rFonts w:ascii="Times New Roman" w:hAnsi="Times New Roman"/>
          <w:bCs/>
          <w:sz w:val="22"/>
          <w:lang w:val="es-AR"/>
        </w:rPr>
        <w:t xml:space="preserve">) se presentan como resultado directo </w:t>
      </w:r>
      <w:r w:rsidR="0007638B">
        <w:rPr>
          <w:rFonts w:ascii="Times New Roman" w:hAnsi="Times New Roman"/>
          <w:bCs/>
          <w:sz w:val="22"/>
          <w:lang w:val="es-AR"/>
        </w:rPr>
        <w:t xml:space="preserve">de </w:t>
      </w:r>
      <w:r w:rsidRPr="00A74162">
        <w:rPr>
          <w:rFonts w:ascii="Times New Roman" w:hAnsi="Times New Roman"/>
          <w:bCs/>
          <w:sz w:val="22"/>
          <w:lang w:val="es-AR"/>
        </w:rPr>
        <w:t>la intervención, el concepto (</w:t>
      </w:r>
      <w:r w:rsidR="007561B9">
        <w:rPr>
          <w:rFonts w:ascii="Times New Roman" w:hAnsi="Times New Roman"/>
          <w:bCs/>
          <w:sz w:val="22"/>
          <w:lang w:val="es-AR"/>
        </w:rPr>
        <w:t>iii</w:t>
      </w:r>
      <w:r w:rsidRPr="00A74162">
        <w:rPr>
          <w:rFonts w:ascii="Times New Roman" w:hAnsi="Times New Roman"/>
          <w:bCs/>
          <w:sz w:val="22"/>
          <w:lang w:val="es-AR"/>
        </w:rPr>
        <w:t>) resulta una contribución a largo plazo, que requerirá la presencia de otros elementos para traducirse en impactos efectivos.</w:t>
      </w:r>
      <w:r>
        <w:rPr>
          <w:rFonts w:ascii="Times New Roman" w:hAnsi="Times New Roman"/>
          <w:bCs/>
          <w:sz w:val="22"/>
          <w:lang w:val="es-AR"/>
        </w:rPr>
        <w:t xml:space="preserve"> </w:t>
      </w:r>
      <w:r w:rsidR="00B40C4C">
        <w:rPr>
          <w:rFonts w:ascii="Times New Roman" w:hAnsi="Times New Roman"/>
          <w:bCs/>
          <w:sz w:val="22"/>
          <w:lang w:val="es-AR"/>
        </w:rPr>
        <w:t>A</w:t>
      </w:r>
      <w:r w:rsidRPr="00A74162">
        <w:rPr>
          <w:rFonts w:ascii="Times New Roman" w:hAnsi="Times New Roman"/>
          <w:bCs/>
          <w:sz w:val="22"/>
          <w:lang w:val="es-AR"/>
        </w:rPr>
        <w:t xml:space="preserve"> partir de los fundamentos que resultan de literatura especializada o estudios profesionales y técnicos, serán valorizados los </w:t>
      </w:r>
      <w:r>
        <w:rPr>
          <w:rFonts w:ascii="Times New Roman" w:hAnsi="Times New Roman"/>
          <w:bCs/>
          <w:sz w:val="22"/>
          <w:lang w:val="es-AR"/>
        </w:rPr>
        <w:t xml:space="preserve">beneficios </w:t>
      </w:r>
      <w:r w:rsidRPr="00A74162">
        <w:rPr>
          <w:rFonts w:ascii="Times New Roman" w:hAnsi="Times New Roman"/>
          <w:bCs/>
          <w:sz w:val="22"/>
          <w:lang w:val="es-AR"/>
        </w:rPr>
        <w:t xml:space="preserve">económicos </w:t>
      </w:r>
      <w:r>
        <w:rPr>
          <w:rFonts w:ascii="Times New Roman" w:hAnsi="Times New Roman"/>
          <w:bCs/>
          <w:sz w:val="22"/>
          <w:lang w:val="es-AR"/>
        </w:rPr>
        <w:t>proyectados</w:t>
      </w:r>
      <w:r w:rsidR="00B40C4C">
        <w:rPr>
          <w:rFonts w:ascii="Times New Roman" w:hAnsi="Times New Roman"/>
          <w:bCs/>
          <w:sz w:val="22"/>
          <w:lang w:val="es-AR"/>
        </w:rPr>
        <w:t xml:space="preserve"> de los criterios (i) y (ii)</w:t>
      </w:r>
      <w:r w:rsidRPr="00A74162">
        <w:rPr>
          <w:rFonts w:ascii="Times New Roman" w:hAnsi="Times New Roman"/>
          <w:bCs/>
          <w:sz w:val="22"/>
          <w:lang w:val="es-AR"/>
        </w:rPr>
        <w:t xml:space="preserve">.  </w:t>
      </w:r>
    </w:p>
    <w:p w:rsidR="00A74162" w:rsidRDefault="00A74162" w:rsidP="00A74162">
      <w:pPr>
        <w:ind w:left="718"/>
        <w:jc w:val="both"/>
        <w:rPr>
          <w:rFonts w:ascii="Times New Roman" w:hAnsi="Times New Roman"/>
          <w:bCs/>
          <w:sz w:val="22"/>
          <w:lang w:val="es-AR"/>
        </w:rPr>
      </w:pPr>
    </w:p>
    <w:p w:rsidR="00A74162" w:rsidRPr="00FE22C5" w:rsidRDefault="00A74162" w:rsidP="00C95815">
      <w:pPr>
        <w:pStyle w:val="ListParagraph"/>
        <w:numPr>
          <w:ilvl w:val="1"/>
          <w:numId w:val="12"/>
        </w:numPr>
        <w:jc w:val="both"/>
        <w:rPr>
          <w:rFonts w:ascii="Times New Roman" w:hAnsi="Times New Roman"/>
          <w:bCs/>
          <w:sz w:val="22"/>
          <w:lang w:val="es-AR"/>
        </w:rPr>
      </w:pPr>
      <w:r w:rsidRPr="00F23AE0">
        <w:rPr>
          <w:rFonts w:ascii="Times New Roman" w:hAnsi="Times New Roman"/>
          <w:bCs/>
          <w:i/>
          <w:sz w:val="22"/>
          <w:lang w:val="es-AR"/>
        </w:rPr>
        <w:t>Costos incrementales.</w:t>
      </w:r>
      <w:r w:rsidRPr="00A74162">
        <w:rPr>
          <w:rFonts w:ascii="Times New Roman" w:hAnsi="Times New Roman"/>
          <w:bCs/>
          <w:sz w:val="22"/>
          <w:lang w:val="es-AR"/>
        </w:rPr>
        <w:t xml:space="preserve"> </w:t>
      </w:r>
      <w:r w:rsidR="00F23AE0">
        <w:rPr>
          <w:rFonts w:ascii="Times New Roman" w:hAnsi="Times New Roman"/>
          <w:bCs/>
          <w:sz w:val="22"/>
          <w:lang w:val="es-AR"/>
        </w:rPr>
        <w:t xml:space="preserve">Los costos computables se </w:t>
      </w:r>
      <w:r w:rsidR="006C212F">
        <w:rPr>
          <w:rFonts w:ascii="Times New Roman" w:hAnsi="Times New Roman"/>
          <w:bCs/>
          <w:sz w:val="22"/>
          <w:lang w:val="es-AR"/>
        </w:rPr>
        <w:t>componen</w:t>
      </w:r>
      <w:r w:rsidR="00F23AE0">
        <w:rPr>
          <w:rFonts w:ascii="Times New Roman" w:hAnsi="Times New Roman"/>
          <w:bCs/>
          <w:sz w:val="22"/>
          <w:lang w:val="es-AR"/>
        </w:rPr>
        <w:t xml:space="preserve"> de las </w:t>
      </w:r>
      <w:r w:rsidR="007561B9">
        <w:rPr>
          <w:rFonts w:ascii="Times New Roman" w:hAnsi="Times New Roman"/>
          <w:bCs/>
          <w:sz w:val="22"/>
          <w:lang w:val="es-AR"/>
        </w:rPr>
        <w:t xml:space="preserve">inversiones </w:t>
      </w:r>
      <w:r w:rsidR="003C2E16">
        <w:rPr>
          <w:rFonts w:ascii="Times New Roman" w:hAnsi="Times New Roman"/>
          <w:bCs/>
          <w:sz w:val="22"/>
          <w:lang w:val="es-AR"/>
        </w:rPr>
        <w:t xml:space="preserve">iniciales </w:t>
      </w:r>
      <w:r>
        <w:rPr>
          <w:rFonts w:ascii="Times New Roman" w:hAnsi="Times New Roman"/>
          <w:bCs/>
          <w:sz w:val="22"/>
          <w:lang w:val="es-AR"/>
        </w:rPr>
        <w:t xml:space="preserve">y </w:t>
      </w:r>
      <w:r w:rsidR="00F23AE0">
        <w:rPr>
          <w:rFonts w:ascii="Times New Roman" w:hAnsi="Times New Roman"/>
          <w:bCs/>
          <w:sz w:val="22"/>
          <w:lang w:val="es-AR"/>
        </w:rPr>
        <w:t xml:space="preserve">los </w:t>
      </w:r>
      <w:r w:rsidR="007561B9">
        <w:rPr>
          <w:rFonts w:ascii="Times New Roman" w:hAnsi="Times New Roman"/>
          <w:bCs/>
          <w:sz w:val="22"/>
          <w:lang w:val="es-AR"/>
        </w:rPr>
        <w:t xml:space="preserve">costos de operación </w:t>
      </w:r>
      <w:r>
        <w:rPr>
          <w:rFonts w:ascii="Times New Roman" w:hAnsi="Times New Roman"/>
          <w:bCs/>
          <w:sz w:val="22"/>
          <w:lang w:val="es-AR"/>
        </w:rPr>
        <w:t xml:space="preserve">y </w:t>
      </w:r>
      <w:r w:rsidR="007561B9">
        <w:rPr>
          <w:rFonts w:ascii="Times New Roman" w:hAnsi="Times New Roman"/>
          <w:bCs/>
          <w:sz w:val="22"/>
          <w:lang w:val="es-AR"/>
        </w:rPr>
        <w:t>mantenimiento</w:t>
      </w:r>
      <w:r w:rsidR="00B40C4C">
        <w:rPr>
          <w:rFonts w:ascii="Times New Roman" w:hAnsi="Times New Roman"/>
          <w:bCs/>
          <w:sz w:val="22"/>
          <w:lang w:val="es-AR"/>
        </w:rPr>
        <w:t xml:space="preserve"> futuros</w:t>
      </w:r>
      <w:r>
        <w:rPr>
          <w:rFonts w:ascii="Times New Roman" w:hAnsi="Times New Roman"/>
          <w:bCs/>
          <w:sz w:val="22"/>
          <w:lang w:val="es-AR"/>
        </w:rPr>
        <w:t xml:space="preserve">. </w:t>
      </w:r>
      <w:r w:rsidR="00433416" w:rsidRPr="008077EE">
        <w:rPr>
          <w:rFonts w:ascii="Times New Roman" w:hAnsi="Times New Roman"/>
          <w:bCs/>
          <w:sz w:val="22"/>
          <w:lang w:val="es-AR"/>
        </w:rPr>
        <w:t xml:space="preserve">Los  componentes que integran el </w:t>
      </w:r>
      <w:r w:rsidR="007561B9">
        <w:rPr>
          <w:rFonts w:ascii="Times New Roman" w:hAnsi="Times New Roman"/>
          <w:bCs/>
          <w:sz w:val="22"/>
          <w:lang w:val="es-AR"/>
        </w:rPr>
        <w:t>p</w:t>
      </w:r>
      <w:r w:rsidR="007561B9" w:rsidRPr="008077EE">
        <w:rPr>
          <w:rFonts w:ascii="Times New Roman" w:hAnsi="Times New Roman"/>
          <w:bCs/>
          <w:sz w:val="22"/>
          <w:lang w:val="es-AR"/>
        </w:rPr>
        <w:t xml:space="preserve">rograma </w:t>
      </w:r>
      <w:r w:rsidR="00433416">
        <w:rPr>
          <w:rFonts w:ascii="Times New Roman" w:hAnsi="Times New Roman"/>
          <w:bCs/>
          <w:sz w:val="22"/>
          <w:lang w:val="es-AR"/>
        </w:rPr>
        <w:t>están</w:t>
      </w:r>
      <w:r w:rsidR="00433416" w:rsidRPr="008077EE">
        <w:rPr>
          <w:rFonts w:ascii="Times New Roman" w:hAnsi="Times New Roman"/>
          <w:bCs/>
          <w:sz w:val="22"/>
          <w:lang w:val="es-AR"/>
        </w:rPr>
        <w:t xml:space="preserve"> orientados en forma directa a </w:t>
      </w:r>
      <w:r w:rsidR="00433416">
        <w:rPr>
          <w:rFonts w:ascii="Times New Roman" w:hAnsi="Times New Roman"/>
          <w:bCs/>
          <w:sz w:val="22"/>
          <w:lang w:val="es-AR"/>
        </w:rPr>
        <w:t xml:space="preserve">resolver </w:t>
      </w:r>
      <w:r w:rsidR="00433416" w:rsidRPr="008077EE">
        <w:rPr>
          <w:rFonts w:ascii="Times New Roman" w:hAnsi="Times New Roman"/>
          <w:bCs/>
          <w:sz w:val="22"/>
          <w:lang w:val="es-AR"/>
        </w:rPr>
        <w:t xml:space="preserve">los </w:t>
      </w:r>
      <w:r w:rsidR="00433416">
        <w:rPr>
          <w:rFonts w:ascii="Times New Roman" w:hAnsi="Times New Roman"/>
          <w:bCs/>
          <w:sz w:val="22"/>
          <w:lang w:val="es-AR"/>
        </w:rPr>
        <w:t>aspectos</w:t>
      </w:r>
      <w:r w:rsidR="00433416" w:rsidRPr="008077EE">
        <w:rPr>
          <w:rFonts w:ascii="Times New Roman" w:hAnsi="Times New Roman"/>
          <w:bCs/>
          <w:sz w:val="22"/>
          <w:lang w:val="es-AR"/>
        </w:rPr>
        <w:t xml:space="preserve"> antes señalados</w:t>
      </w:r>
      <w:r w:rsidR="00433416">
        <w:rPr>
          <w:rFonts w:ascii="Times New Roman" w:hAnsi="Times New Roman"/>
          <w:bCs/>
          <w:sz w:val="22"/>
          <w:lang w:val="es-AR"/>
        </w:rPr>
        <w:t xml:space="preserve"> de modo congruente y conjunto</w:t>
      </w:r>
      <w:r w:rsidR="00433416" w:rsidRPr="008077EE">
        <w:rPr>
          <w:rFonts w:ascii="Times New Roman" w:hAnsi="Times New Roman"/>
          <w:bCs/>
          <w:sz w:val="22"/>
          <w:lang w:val="es-AR"/>
        </w:rPr>
        <w:t xml:space="preserve"> son los siguientes: (</w:t>
      </w:r>
      <w:r w:rsidR="007561B9">
        <w:rPr>
          <w:rFonts w:ascii="Times New Roman" w:hAnsi="Times New Roman"/>
          <w:bCs/>
          <w:sz w:val="22"/>
          <w:lang w:val="es-AR"/>
        </w:rPr>
        <w:t>i</w:t>
      </w:r>
      <w:r w:rsidR="00433416" w:rsidRPr="008077EE">
        <w:rPr>
          <w:rFonts w:ascii="Times New Roman" w:hAnsi="Times New Roman"/>
          <w:bCs/>
          <w:sz w:val="22"/>
          <w:lang w:val="es-AR"/>
        </w:rPr>
        <w:t xml:space="preserve">) </w:t>
      </w:r>
      <w:r w:rsidR="00433416">
        <w:rPr>
          <w:rFonts w:ascii="Times New Roman" w:hAnsi="Times New Roman"/>
          <w:bCs/>
          <w:sz w:val="22"/>
          <w:lang w:val="es-AR"/>
        </w:rPr>
        <w:t>Fortalecimiento de</w:t>
      </w:r>
      <w:r w:rsidR="00F23AE0">
        <w:rPr>
          <w:rFonts w:ascii="Times New Roman" w:hAnsi="Times New Roman"/>
          <w:bCs/>
          <w:sz w:val="22"/>
          <w:lang w:val="es-AR"/>
        </w:rPr>
        <w:t xml:space="preserve"> su capacidad de monitoreo y pronóstico</w:t>
      </w:r>
      <w:r w:rsidR="007561B9">
        <w:rPr>
          <w:rFonts w:ascii="Times New Roman" w:hAnsi="Times New Roman"/>
          <w:bCs/>
          <w:sz w:val="22"/>
          <w:lang w:val="es-AR"/>
        </w:rPr>
        <w:t xml:space="preserve"> y</w:t>
      </w:r>
      <w:r w:rsidR="00433416" w:rsidRPr="008077EE">
        <w:rPr>
          <w:rFonts w:ascii="Times New Roman" w:hAnsi="Times New Roman"/>
          <w:bCs/>
          <w:sz w:val="22"/>
          <w:lang w:val="es-AR"/>
        </w:rPr>
        <w:t xml:space="preserve"> (</w:t>
      </w:r>
      <w:r w:rsidR="007561B9">
        <w:rPr>
          <w:rFonts w:ascii="Times New Roman" w:hAnsi="Times New Roman"/>
          <w:bCs/>
          <w:sz w:val="22"/>
          <w:lang w:val="es-AR"/>
        </w:rPr>
        <w:t>ii</w:t>
      </w:r>
      <w:r w:rsidR="00433416" w:rsidRPr="008077EE">
        <w:rPr>
          <w:rFonts w:ascii="Times New Roman" w:hAnsi="Times New Roman"/>
          <w:bCs/>
          <w:sz w:val="22"/>
          <w:lang w:val="es-AR"/>
        </w:rPr>
        <w:t xml:space="preserve">) </w:t>
      </w:r>
      <w:r w:rsidR="00433416">
        <w:rPr>
          <w:rFonts w:ascii="Times New Roman" w:hAnsi="Times New Roman"/>
          <w:bCs/>
          <w:sz w:val="22"/>
          <w:lang w:val="es-AR"/>
        </w:rPr>
        <w:t>Fortalecimiento de</w:t>
      </w:r>
      <w:r w:rsidR="00904854">
        <w:rPr>
          <w:rFonts w:ascii="Times New Roman" w:hAnsi="Times New Roman"/>
          <w:bCs/>
          <w:sz w:val="22"/>
          <w:lang w:val="es-AR"/>
        </w:rPr>
        <w:t>l sistema de emisión de alertas y de las capacidades de reacción de las comunidades afectadas</w:t>
      </w:r>
      <w:r w:rsidR="00433416">
        <w:rPr>
          <w:rFonts w:ascii="Times New Roman" w:hAnsi="Times New Roman"/>
          <w:bCs/>
          <w:sz w:val="22"/>
          <w:lang w:val="es-AR"/>
        </w:rPr>
        <w:t>.</w:t>
      </w:r>
      <w:r w:rsidR="00904854">
        <w:rPr>
          <w:rFonts w:ascii="Times New Roman" w:hAnsi="Times New Roman"/>
          <w:bCs/>
          <w:sz w:val="22"/>
          <w:lang w:val="es-AR"/>
        </w:rPr>
        <w:t xml:space="preserve"> </w:t>
      </w:r>
      <w:r w:rsidR="003C2E16">
        <w:rPr>
          <w:rFonts w:ascii="Times New Roman" w:hAnsi="Times New Roman"/>
          <w:bCs/>
          <w:sz w:val="22"/>
          <w:lang w:val="es-AR"/>
        </w:rPr>
        <w:t xml:space="preserve">Los </w:t>
      </w:r>
      <w:r w:rsidR="007561B9">
        <w:rPr>
          <w:rFonts w:ascii="Times New Roman" w:hAnsi="Times New Roman"/>
          <w:bCs/>
          <w:sz w:val="22"/>
          <w:lang w:val="es-AR"/>
        </w:rPr>
        <w:t>c</w:t>
      </w:r>
      <w:r w:rsidR="003C2E16">
        <w:rPr>
          <w:rFonts w:ascii="Times New Roman" w:hAnsi="Times New Roman"/>
          <w:bCs/>
          <w:sz w:val="22"/>
          <w:lang w:val="es-AR"/>
        </w:rPr>
        <w:t xml:space="preserve">ostos de </w:t>
      </w:r>
      <w:r w:rsidR="007561B9">
        <w:rPr>
          <w:rFonts w:ascii="Times New Roman" w:hAnsi="Times New Roman"/>
          <w:bCs/>
          <w:sz w:val="22"/>
          <w:lang w:val="es-AR"/>
        </w:rPr>
        <w:t>o</w:t>
      </w:r>
      <w:r w:rsidR="003C2E16">
        <w:rPr>
          <w:rFonts w:ascii="Times New Roman" w:hAnsi="Times New Roman"/>
          <w:bCs/>
          <w:sz w:val="22"/>
          <w:lang w:val="es-AR"/>
        </w:rPr>
        <w:t xml:space="preserve">peración y </w:t>
      </w:r>
      <w:r w:rsidR="007561B9">
        <w:rPr>
          <w:rFonts w:ascii="Times New Roman" w:hAnsi="Times New Roman"/>
          <w:bCs/>
          <w:sz w:val="22"/>
          <w:lang w:val="es-AR"/>
        </w:rPr>
        <w:t>m</w:t>
      </w:r>
      <w:r w:rsidR="003C2E16">
        <w:rPr>
          <w:rFonts w:ascii="Times New Roman" w:hAnsi="Times New Roman"/>
          <w:bCs/>
          <w:sz w:val="22"/>
          <w:lang w:val="es-AR"/>
        </w:rPr>
        <w:t xml:space="preserve">antenimiento </w:t>
      </w:r>
      <w:r w:rsidR="00904854">
        <w:rPr>
          <w:rFonts w:ascii="Times New Roman" w:hAnsi="Times New Roman"/>
          <w:bCs/>
          <w:sz w:val="22"/>
          <w:lang w:val="es-AR"/>
        </w:rPr>
        <w:t xml:space="preserve">previstos son los </w:t>
      </w:r>
      <w:r w:rsidR="003C2E16">
        <w:rPr>
          <w:rFonts w:ascii="Times New Roman" w:hAnsi="Times New Roman"/>
          <w:bCs/>
          <w:sz w:val="22"/>
          <w:lang w:val="es-AR"/>
        </w:rPr>
        <w:t>necesarios para sostener el apropiado funcionamiento del Sistema en el período de vida planteado.</w:t>
      </w:r>
    </w:p>
    <w:p w:rsidR="00A74162" w:rsidRDefault="00A74162" w:rsidP="00A74162">
      <w:pPr>
        <w:pStyle w:val="ListParagraph"/>
        <w:rPr>
          <w:rFonts w:ascii="Times New Roman" w:hAnsi="Times New Roman"/>
          <w:bCs/>
          <w:sz w:val="22"/>
          <w:lang w:val="es-AR"/>
        </w:rPr>
      </w:pPr>
    </w:p>
    <w:p w:rsidR="008077EE" w:rsidRPr="008077EE" w:rsidRDefault="00904854" w:rsidP="00C95815">
      <w:pPr>
        <w:numPr>
          <w:ilvl w:val="1"/>
          <w:numId w:val="12"/>
        </w:numPr>
        <w:jc w:val="both"/>
        <w:rPr>
          <w:rFonts w:ascii="Times New Roman" w:hAnsi="Times New Roman"/>
          <w:bCs/>
          <w:sz w:val="22"/>
          <w:lang w:val="es-AR"/>
        </w:rPr>
      </w:pPr>
      <w:r>
        <w:rPr>
          <w:rFonts w:ascii="Times New Roman" w:hAnsi="Times New Roman"/>
          <w:bCs/>
          <w:sz w:val="22"/>
          <w:lang w:val="es-AR"/>
        </w:rPr>
        <w:t>U</w:t>
      </w:r>
      <w:r w:rsidR="008077EE" w:rsidRPr="008077EE">
        <w:rPr>
          <w:rFonts w:ascii="Times New Roman" w:hAnsi="Times New Roman"/>
          <w:bCs/>
          <w:sz w:val="22"/>
          <w:lang w:val="es-AR"/>
        </w:rPr>
        <w:t>no de los aspectos críticos de la evaluación es establecer correctamente condiciones  de causalidad. En términos prácticos, determinar una razonable correspondencia entre las acciones  planteadas y los efectos esperados en la población objetivo</w:t>
      </w:r>
      <w:r>
        <w:rPr>
          <w:rFonts w:ascii="Times New Roman" w:hAnsi="Times New Roman"/>
          <w:bCs/>
          <w:sz w:val="22"/>
          <w:lang w:val="es-AR"/>
        </w:rPr>
        <w:t>. En este caso particular debido a su naturaleza, existe una alta</w:t>
      </w:r>
      <w:r w:rsidR="00A74162">
        <w:rPr>
          <w:rFonts w:ascii="Times New Roman" w:hAnsi="Times New Roman"/>
          <w:bCs/>
          <w:sz w:val="22"/>
          <w:lang w:val="es-AR"/>
        </w:rPr>
        <w:t xml:space="preserve"> incertidumbre vinculada a</w:t>
      </w:r>
      <w:r>
        <w:rPr>
          <w:rFonts w:ascii="Times New Roman" w:hAnsi="Times New Roman"/>
          <w:bCs/>
          <w:sz w:val="22"/>
          <w:lang w:val="es-AR"/>
        </w:rPr>
        <w:t xml:space="preserve"> la </w:t>
      </w:r>
      <w:r>
        <w:rPr>
          <w:rFonts w:ascii="Times New Roman" w:hAnsi="Times New Roman"/>
          <w:bCs/>
          <w:sz w:val="22"/>
          <w:lang w:val="es-AR"/>
        </w:rPr>
        <w:lastRenderedPageBreak/>
        <w:t xml:space="preserve">probabilidad de ocurrencia de los </w:t>
      </w:r>
      <w:r w:rsidR="00A74162">
        <w:rPr>
          <w:rFonts w:ascii="Times New Roman" w:hAnsi="Times New Roman"/>
          <w:bCs/>
          <w:sz w:val="22"/>
          <w:lang w:val="es-AR"/>
        </w:rPr>
        <w:t xml:space="preserve"> desastre</w:t>
      </w:r>
      <w:r>
        <w:rPr>
          <w:rFonts w:ascii="Times New Roman" w:hAnsi="Times New Roman"/>
          <w:bCs/>
          <w:sz w:val="22"/>
          <w:lang w:val="es-AR"/>
        </w:rPr>
        <w:t>s</w:t>
      </w:r>
      <w:r w:rsidR="008077EE" w:rsidRPr="008077EE">
        <w:rPr>
          <w:rFonts w:ascii="Times New Roman" w:hAnsi="Times New Roman"/>
          <w:bCs/>
          <w:sz w:val="22"/>
          <w:lang w:val="es-AR"/>
        </w:rPr>
        <w:t>. Asimismo, es fundamental</w:t>
      </w:r>
      <w:r>
        <w:rPr>
          <w:rFonts w:ascii="Times New Roman" w:hAnsi="Times New Roman"/>
          <w:bCs/>
          <w:sz w:val="22"/>
          <w:lang w:val="es-AR"/>
        </w:rPr>
        <w:t xml:space="preserve"> </w:t>
      </w:r>
      <w:r w:rsidR="008077EE" w:rsidRPr="008077EE">
        <w:rPr>
          <w:rFonts w:ascii="Times New Roman" w:hAnsi="Times New Roman"/>
          <w:bCs/>
          <w:sz w:val="22"/>
          <w:lang w:val="es-AR"/>
        </w:rPr>
        <w:t>separa</w:t>
      </w:r>
      <w:r>
        <w:rPr>
          <w:rFonts w:ascii="Times New Roman" w:hAnsi="Times New Roman"/>
          <w:bCs/>
          <w:sz w:val="22"/>
          <w:lang w:val="es-AR"/>
        </w:rPr>
        <w:t xml:space="preserve">r, en caso de que se identifiquen, </w:t>
      </w:r>
      <w:r w:rsidR="008077EE" w:rsidRPr="008077EE">
        <w:rPr>
          <w:rFonts w:ascii="Times New Roman" w:hAnsi="Times New Roman"/>
          <w:bCs/>
          <w:sz w:val="22"/>
          <w:lang w:val="es-AR"/>
        </w:rPr>
        <w:t xml:space="preserve"> beneficios que podrían corresponder a otras instituciones</w:t>
      </w:r>
      <w:r>
        <w:rPr>
          <w:rFonts w:ascii="Times New Roman" w:hAnsi="Times New Roman"/>
          <w:bCs/>
          <w:sz w:val="22"/>
          <w:lang w:val="es-AR"/>
        </w:rPr>
        <w:t xml:space="preserve"> (o </w:t>
      </w:r>
      <w:r w:rsidR="007561B9">
        <w:rPr>
          <w:rFonts w:ascii="Times New Roman" w:hAnsi="Times New Roman"/>
          <w:bCs/>
          <w:sz w:val="22"/>
          <w:lang w:val="es-AR"/>
        </w:rPr>
        <w:t>p</w:t>
      </w:r>
      <w:r>
        <w:rPr>
          <w:rFonts w:ascii="Times New Roman" w:hAnsi="Times New Roman"/>
          <w:bCs/>
          <w:sz w:val="22"/>
          <w:lang w:val="es-AR"/>
        </w:rPr>
        <w:t>rogramas)</w:t>
      </w:r>
      <w:r w:rsidR="008077EE" w:rsidRPr="008077EE">
        <w:rPr>
          <w:rFonts w:ascii="Times New Roman" w:hAnsi="Times New Roman"/>
          <w:bCs/>
          <w:sz w:val="22"/>
          <w:lang w:val="es-AR"/>
        </w:rPr>
        <w:t xml:space="preserve"> que </w:t>
      </w:r>
      <w:r w:rsidR="006533EC">
        <w:rPr>
          <w:rFonts w:ascii="Times New Roman" w:hAnsi="Times New Roman"/>
          <w:bCs/>
          <w:sz w:val="22"/>
          <w:lang w:val="es-AR"/>
        </w:rPr>
        <w:t xml:space="preserve">podrían </w:t>
      </w:r>
      <w:r w:rsidR="008077EE" w:rsidRPr="008077EE">
        <w:rPr>
          <w:rFonts w:ascii="Times New Roman" w:hAnsi="Times New Roman"/>
          <w:bCs/>
          <w:sz w:val="22"/>
          <w:lang w:val="es-AR"/>
        </w:rPr>
        <w:t>actuar sobre</w:t>
      </w:r>
      <w:r w:rsidR="00A74162">
        <w:rPr>
          <w:rFonts w:ascii="Times New Roman" w:hAnsi="Times New Roman"/>
          <w:bCs/>
          <w:sz w:val="22"/>
          <w:lang w:val="es-AR"/>
        </w:rPr>
        <w:t xml:space="preserve"> el </w:t>
      </w:r>
      <w:r w:rsidR="003C6A31">
        <w:rPr>
          <w:rFonts w:ascii="Times New Roman" w:hAnsi="Times New Roman" w:hint="eastAsia"/>
          <w:bCs/>
          <w:sz w:val="22"/>
          <w:lang w:val="es-AR" w:eastAsia="ja-JP"/>
        </w:rPr>
        <w:t xml:space="preserve">Programa </w:t>
      </w:r>
      <w:r w:rsidR="008077EE" w:rsidRPr="008077EE">
        <w:rPr>
          <w:rFonts w:ascii="Times New Roman" w:hAnsi="Times New Roman"/>
          <w:bCs/>
          <w:sz w:val="22"/>
          <w:lang w:val="es-AR"/>
        </w:rPr>
        <w:t xml:space="preserve">en forma contemporánea. El objetivo es evitar que se atribuyan a una determinada intervención beneficios que correspondan y resulten del esfuerzo de un conjunto de instituciones y/o </w:t>
      </w:r>
      <w:r w:rsidR="007561B9">
        <w:rPr>
          <w:rFonts w:ascii="Times New Roman" w:hAnsi="Times New Roman"/>
          <w:bCs/>
          <w:sz w:val="22"/>
          <w:lang w:val="es-AR"/>
        </w:rPr>
        <w:t>p</w:t>
      </w:r>
      <w:r w:rsidR="007561B9" w:rsidRPr="008077EE">
        <w:rPr>
          <w:rFonts w:ascii="Times New Roman" w:hAnsi="Times New Roman"/>
          <w:bCs/>
          <w:sz w:val="22"/>
          <w:lang w:val="es-AR"/>
        </w:rPr>
        <w:t>rogramas</w:t>
      </w:r>
      <w:r w:rsidR="008077EE" w:rsidRPr="008077EE">
        <w:rPr>
          <w:rFonts w:ascii="Times New Roman" w:hAnsi="Times New Roman"/>
          <w:bCs/>
          <w:sz w:val="22"/>
          <w:lang w:val="es-AR"/>
        </w:rPr>
        <w:t xml:space="preserve">. </w:t>
      </w:r>
    </w:p>
    <w:p w:rsidR="00840B90" w:rsidRPr="00840B90" w:rsidRDefault="00C40F11" w:rsidP="00840B90">
      <w:pPr>
        <w:pStyle w:val="Heading3"/>
        <w:rPr>
          <w:lang w:val="es-ES_tradnl"/>
        </w:rPr>
      </w:pPr>
      <w:bookmarkStart w:id="98" w:name="_Toc465929615"/>
      <w:bookmarkStart w:id="99" w:name="_Toc468199827"/>
      <w:r w:rsidRPr="00840B90">
        <w:rPr>
          <w:lang w:val="es-ES_tradnl"/>
        </w:rPr>
        <w:t xml:space="preserve">Criterios de cuantificación de </w:t>
      </w:r>
      <w:r w:rsidR="007561B9">
        <w:rPr>
          <w:lang w:val="es-ES_tradnl"/>
        </w:rPr>
        <w:t>c</w:t>
      </w:r>
      <w:r w:rsidR="007561B9" w:rsidRPr="00840B90">
        <w:rPr>
          <w:lang w:val="es-ES_tradnl"/>
        </w:rPr>
        <w:t xml:space="preserve">ostos </w:t>
      </w:r>
      <w:r w:rsidR="008077EE" w:rsidRPr="00840B90">
        <w:rPr>
          <w:lang w:val="es-ES_tradnl"/>
        </w:rPr>
        <w:t xml:space="preserve">y </w:t>
      </w:r>
      <w:r w:rsidR="007561B9">
        <w:rPr>
          <w:lang w:val="es-ES_tradnl"/>
        </w:rPr>
        <w:t>b</w:t>
      </w:r>
      <w:r w:rsidR="007561B9" w:rsidRPr="00840B90">
        <w:rPr>
          <w:lang w:val="es-ES_tradnl"/>
        </w:rPr>
        <w:t>eneficios</w:t>
      </w:r>
      <w:bookmarkEnd w:id="98"/>
      <w:bookmarkEnd w:id="99"/>
      <w:r w:rsidR="008077EE" w:rsidRPr="00840B90">
        <w:rPr>
          <w:lang w:val="es-ES_tradnl"/>
        </w:rPr>
        <w:t xml:space="preserve"> </w:t>
      </w:r>
    </w:p>
    <w:p w:rsidR="00840B90" w:rsidRDefault="00840B90" w:rsidP="00840B90">
      <w:pPr>
        <w:pStyle w:val="ListParagraph"/>
        <w:rPr>
          <w:rFonts w:ascii="Times New Roman" w:hAnsi="Times New Roman"/>
          <w:bCs/>
          <w:sz w:val="22"/>
          <w:lang w:val="es-AR"/>
        </w:rPr>
      </w:pPr>
    </w:p>
    <w:p w:rsidR="008077EE" w:rsidRPr="00C0304C" w:rsidRDefault="008077EE" w:rsidP="00C95815">
      <w:pPr>
        <w:numPr>
          <w:ilvl w:val="1"/>
          <w:numId w:val="12"/>
        </w:numPr>
        <w:jc w:val="both"/>
        <w:rPr>
          <w:rFonts w:ascii="Times New Roman" w:hAnsi="Times New Roman"/>
          <w:bCs/>
          <w:sz w:val="22"/>
          <w:lang w:val="es-AR"/>
        </w:rPr>
      </w:pPr>
      <w:r w:rsidRPr="00C0304C">
        <w:rPr>
          <w:rFonts w:ascii="Times New Roman" w:hAnsi="Times New Roman"/>
          <w:bCs/>
          <w:sz w:val="22"/>
          <w:lang w:val="es-AR"/>
        </w:rPr>
        <w:t xml:space="preserve">Para realizar la evaluación del </w:t>
      </w:r>
      <w:r w:rsidR="007561B9">
        <w:rPr>
          <w:rFonts w:ascii="Times New Roman" w:hAnsi="Times New Roman"/>
          <w:bCs/>
          <w:sz w:val="22"/>
          <w:lang w:val="es-AR"/>
        </w:rPr>
        <w:t>p</w:t>
      </w:r>
      <w:r w:rsidR="007561B9" w:rsidRPr="00C0304C">
        <w:rPr>
          <w:rFonts w:ascii="Times New Roman" w:hAnsi="Times New Roman"/>
          <w:bCs/>
          <w:sz w:val="22"/>
          <w:lang w:val="es-AR"/>
        </w:rPr>
        <w:t xml:space="preserve">rograma </w:t>
      </w:r>
      <w:r w:rsidRPr="00C0304C">
        <w:rPr>
          <w:rFonts w:ascii="Times New Roman" w:hAnsi="Times New Roman"/>
          <w:bCs/>
          <w:sz w:val="22"/>
          <w:lang w:val="es-AR"/>
        </w:rPr>
        <w:t>cada concepto de beneficio estimado y costo  previsto es valorizado</w:t>
      </w:r>
      <w:r w:rsidR="00C0304C">
        <w:rPr>
          <w:rFonts w:ascii="Times New Roman" w:hAnsi="Times New Roman"/>
          <w:bCs/>
          <w:sz w:val="22"/>
          <w:lang w:val="es-AR"/>
        </w:rPr>
        <w:t xml:space="preserve"> en un eje de tiempo</w:t>
      </w:r>
      <w:r w:rsidRPr="00C0304C">
        <w:rPr>
          <w:rFonts w:ascii="Times New Roman" w:hAnsi="Times New Roman"/>
          <w:bCs/>
          <w:sz w:val="22"/>
          <w:lang w:val="es-AR"/>
        </w:rPr>
        <w:t xml:space="preserve">, a partir de lo cual se formula un </w:t>
      </w:r>
      <w:r w:rsidR="007561B9">
        <w:rPr>
          <w:rFonts w:ascii="Times New Roman" w:hAnsi="Times New Roman"/>
          <w:bCs/>
          <w:sz w:val="22"/>
          <w:lang w:val="es-AR"/>
        </w:rPr>
        <w:t>f</w:t>
      </w:r>
      <w:r w:rsidR="007561B9" w:rsidRPr="00C0304C">
        <w:rPr>
          <w:rFonts w:ascii="Times New Roman" w:hAnsi="Times New Roman"/>
          <w:bCs/>
          <w:sz w:val="22"/>
          <w:lang w:val="es-AR"/>
        </w:rPr>
        <w:t xml:space="preserve">lujo </w:t>
      </w:r>
      <w:r w:rsidRPr="00C0304C">
        <w:rPr>
          <w:rFonts w:ascii="Times New Roman" w:hAnsi="Times New Roman"/>
          <w:bCs/>
          <w:sz w:val="22"/>
          <w:lang w:val="es-AR"/>
        </w:rPr>
        <w:t xml:space="preserve">de </w:t>
      </w:r>
      <w:r w:rsidR="007561B9">
        <w:rPr>
          <w:rFonts w:ascii="Times New Roman" w:hAnsi="Times New Roman"/>
          <w:bCs/>
          <w:sz w:val="22"/>
          <w:lang w:val="es-AR"/>
        </w:rPr>
        <w:t>f</w:t>
      </w:r>
      <w:r w:rsidRPr="00C0304C">
        <w:rPr>
          <w:rFonts w:ascii="Times New Roman" w:hAnsi="Times New Roman"/>
          <w:bCs/>
          <w:sz w:val="22"/>
          <w:lang w:val="es-AR"/>
        </w:rPr>
        <w:t>ondos para los 20 años</w:t>
      </w:r>
      <w:r w:rsidR="00A74162" w:rsidRPr="00C0304C">
        <w:rPr>
          <w:rFonts w:ascii="Times New Roman" w:hAnsi="Times New Roman"/>
          <w:bCs/>
          <w:sz w:val="22"/>
          <w:lang w:val="es-AR"/>
        </w:rPr>
        <w:t xml:space="preserve"> (plazo estimado de vida útil del </w:t>
      </w:r>
      <w:r w:rsidR="003C6A31">
        <w:rPr>
          <w:rFonts w:ascii="Times New Roman" w:hAnsi="Times New Roman" w:hint="eastAsia"/>
          <w:bCs/>
          <w:sz w:val="22"/>
          <w:lang w:val="es-AR" w:eastAsia="ja-JP"/>
        </w:rPr>
        <w:t xml:space="preserve"> Programa</w:t>
      </w:r>
      <w:r w:rsidR="00A74162" w:rsidRPr="00C0304C">
        <w:rPr>
          <w:rFonts w:ascii="Times New Roman" w:hAnsi="Times New Roman"/>
          <w:bCs/>
          <w:sz w:val="22"/>
          <w:lang w:val="es-AR"/>
        </w:rPr>
        <w:t>)</w:t>
      </w:r>
      <w:r w:rsidR="0096383D" w:rsidRPr="00C0304C">
        <w:rPr>
          <w:rFonts w:ascii="Times New Roman" w:hAnsi="Times New Roman"/>
          <w:bCs/>
          <w:sz w:val="22"/>
          <w:lang w:val="es-AR"/>
        </w:rPr>
        <w:t>.</w:t>
      </w:r>
      <w:r w:rsidRPr="00C0304C">
        <w:rPr>
          <w:rFonts w:ascii="Times New Roman" w:hAnsi="Times New Roman"/>
          <w:bCs/>
          <w:sz w:val="22"/>
          <w:lang w:val="es-AR"/>
        </w:rPr>
        <w:t xml:space="preserve"> </w:t>
      </w:r>
      <w:r w:rsidR="0096383D" w:rsidRPr="00C0304C">
        <w:rPr>
          <w:rFonts w:ascii="Times New Roman" w:hAnsi="Times New Roman"/>
          <w:bCs/>
          <w:sz w:val="22"/>
          <w:lang w:val="es-AR"/>
        </w:rPr>
        <w:t>L</w:t>
      </w:r>
      <w:r w:rsidRPr="00C0304C">
        <w:rPr>
          <w:rFonts w:ascii="Times New Roman" w:hAnsi="Times New Roman"/>
          <w:bCs/>
          <w:sz w:val="22"/>
          <w:lang w:val="es-AR"/>
        </w:rPr>
        <w:t>a secuencia de análisis fina</w:t>
      </w:r>
      <w:r w:rsidR="00A74162" w:rsidRPr="00C0304C">
        <w:rPr>
          <w:rFonts w:ascii="Times New Roman" w:hAnsi="Times New Roman"/>
          <w:bCs/>
          <w:sz w:val="22"/>
          <w:lang w:val="es-AR"/>
        </w:rPr>
        <w:t>liza en la determinación de</w:t>
      </w:r>
      <w:r w:rsidR="00904854">
        <w:rPr>
          <w:rFonts w:ascii="Times New Roman" w:hAnsi="Times New Roman"/>
          <w:bCs/>
          <w:sz w:val="22"/>
          <w:lang w:val="es-AR"/>
        </w:rPr>
        <w:t xml:space="preserve">l </w:t>
      </w:r>
      <w:r w:rsidR="007561B9">
        <w:rPr>
          <w:rFonts w:ascii="Times New Roman" w:hAnsi="Times New Roman"/>
          <w:bCs/>
          <w:sz w:val="22"/>
          <w:lang w:val="es-AR"/>
        </w:rPr>
        <w:t>r</w:t>
      </w:r>
      <w:r w:rsidR="00904854">
        <w:rPr>
          <w:rFonts w:ascii="Times New Roman" w:hAnsi="Times New Roman"/>
          <w:bCs/>
          <w:sz w:val="22"/>
          <w:lang w:val="es-AR"/>
        </w:rPr>
        <w:t xml:space="preserve">atio </w:t>
      </w:r>
      <w:r w:rsidR="007561B9">
        <w:rPr>
          <w:rFonts w:ascii="Times New Roman" w:hAnsi="Times New Roman"/>
          <w:bCs/>
          <w:sz w:val="22"/>
          <w:lang w:val="es-AR"/>
        </w:rPr>
        <w:t>B/C</w:t>
      </w:r>
      <w:r w:rsidR="00904854">
        <w:rPr>
          <w:rFonts w:ascii="Times New Roman" w:hAnsi="Times New Roman"/>
          <w:bCs/>
          <w:sz w:val="22"/>
          <w:lang w:val="es-AR"/>
        </w:rPr>
        <w:t xml:space="preserve">, </w:t>
      </w:r>
      <w:r w:rsidR="00A74162" w:rsidRPr="00C0304C">
        <w:rPr>
          <w:rFonts w:ascii="Times New Roman" w:hAnsi="Times New Roman"/>
          <w:bCs/>
          <w:sz w:val="22"/>
          <w:lang w:val="es-AR"/>
        </w:rPr>
        <w:t xml:space="preserve"> la </w:t>
      </w:r>
      <w:r w:rsidR="007561B9">
        <w:rPr>
          <w:rFonts w:ascii="Times New Roman" w:hAnsi="Times New Roman"/>
          <w:bCs/>
          <w:sz w:val="22"/>
          <w:lang w:val="es-AR"/>
        </w:rPr>
        <w:t>t</w:t>
      </w:r>
      <w:r w:rsidRPr="00C0304C">
        <w:rPr>
          <w:rFonts w:ascii="Times New Roman" w:hAnsi="Times New Roman"/>
          <w:bCs/>
          <w:sz w:val="22"/>
          <w:lang w:val="es-AR"/>
        </w:rPr>
        <w:t xml:space="preserve">asa </w:t>
      </w:r>
      <w:r w:rsidR="007561B9">
        <w:rPr>
          <w:rFonts w:ascii="Times New Roman" w:hAnsi="Times New Roman"/>
          <w:bCs/>
          <w:sz w:val="22"/>
          <w:lang w:val="es-AR"/>
        </w:rPr>
        <w:t xml:space="preserve">interna </w:t>
      </w:r>
      <w:r w:rsidRPr="00C0304C">
        <w:rPr>
          <w:rFonts w:ascii="Times New Roman" w:hAnsi="Times New Roman"/>
          <w:bCs/>
          <w:sz w:val="22"/>
          <w:lang w:val="es-AR"/>
        </w:rPr>
        <w:t xml:space="preserve">de </w:t>
      </w:r>
      <w:r w:rsidR="007561B9">
        <w:rPr>
          <w:rFonts w:ascii="Times New Roman" w:hAnsi="Times New Roman"/>
          <w:bCs/>
          <w:sz w:val="22"/>
          <w:lang w:val="es-AR"/>
        </w:rPr>
        <w:t>r</w:t>
      </w:r>
      <w:r w:rsidRPr="00C0304C">
        <w:rPr>
          <w:rFonts w:ascii="Times New Roman" w:hAnsi="Times New Roman"/>
          <w:bCs/>
          <w:sz w:val="22"/>
          <w:lang w:val="es-AR"/>
        </w:rPr>
        <w:t xml:space="preserve">etorno del  </w:t>
      </w:r>
      <w:r w:rsidR="007561B9">
        <w:rPr>
          <w:rFonts w:ascii="Times New Roman" w:hAnsi="Times New Roman"/>
          <w:bCs/>
          <w:sz w:val="22"/>
          <w:lang w:val="es-AR"/>
        </w:rPr>
        <w:t>p</w:t>
      </w:r>
      <w:r w:rsidRPr="00C0304C">
        <w:rPr>
          <w:rFonts w:ascii="Times New Roman" w:hAnsi="Times New Roman"/>
          <w:bCs/>
          <w:sz w:val="22"/>
          <w:lang w:val="es-AR"/>
        </w:rPr>
        <w:t xml:space="preserve">rograma </w:t>
      </w:r>
      <w:r w:rsidR="0096383D" w:rsidRPr="00C0304C">
        <w:rPr>
          <w:rFonts w:ascii="Times New Roman" w:hAnsi="Times New Roman"/>
          <w:bCs/>
          <w:sz w:val="22"/>
          <w:lang w:val="es-AR"/>
        </w:rPr>
        <w:t>(TIR)</w:t>
      </w:r>
      <w:r w:rsidR="00C0304C">
        <w:rPr>
          <w:rFonts w:ascii="Times New Roman" w:hAnsi="Times New Roman"/>
          <w:bCs/>
          <w:sz w:val="22"/>
          <w:lang w:val="es-AR"/>
        </w:rPr>
        <w:t xml:space="preserve"> y el </w:t>
      </w:r>
      <w:r w:rsidR="007561B9">
        <w:rPr>
          <w:rFonts w:ascii="Times New Roman" w:hAnsi="Times New Roman"/>
          <w:bCs/>
          <w:sz w:val="22"/>
          <w:lang w:val="es-AR"/>
        </w:rPr>
        <w:t>v</w:t>
      </w:r>
      <w:r w:rsidR="00C0304C">
        <w:rPr>
          <w:rFonts w:ascii="Times New Roman" w:hAnsi="Times New Roman"/>
          <w:bCs/>
          <w:sz w:val="22"/>
          <w:lang w:val="es-AR"/>
        </w:rPr>
        <w:t xml:space="preserve">alor </w:t>
      </w:r>
      <w:r w:rsidR="007561B9">
        <w:rPr>
          <w:rFonts w:ascii="Times New Roman" w:hAnsi="Times New Roman"/>
          <w:bCs/>
          <w:sz w:val="22"/>
          <w:lang w:val="es-AR"/>
        </w:rPr>
        <w:t>a</w:t>
      </w:r>
      <w:r w:rsidR="00C0304C">
        <w:rPr>
          <w:rFonts w:ascii="Times New Roman" w:hAnsi="Times New Roman"/>
          <w:bCs/>
          <w:sz w:val="22"/>
          <w:lang w:val="es-AR"/>
        </w:rPr>
        <w:t xml:space="preserve">ctual </w:t>
      </w:r>
      <w:r w:rsidR="007561B9">
        <w:rPr>
          <w:rFonts w:ascii="Times New Roman" w:hAnsi="Times New Roman"/>
          <w:bCs/>
          <w:sz w:val="22"/>
          <w:lang w:val="es-AR"/>
        </w:rPr>
        <w:t>n</w:t>
      </w:r>
      <w:r w:rsidR="00C0304C">
        <w:rPr>
          <w:rFonts w:ascii="Times New Roman" w:hAnsi="Times New Roman"/>
          <w:bCs/>
          <w:sz w:val="22"/>
          <w:lang w:val="es-AR"/>
        </w:rPr>
        <w:t>eto (VAN)</w:t>
      </w:r>
      <w:r w:rsidR="00904854">
        <w:rPr>
          <w:rFonts w:ascii="Times New Roman" w:hAnsi="Times New Roman"/>
          <w:bCs/>
          <w:sz w:val="22"/>
          <w:lang w:val="es-AR"/>
        </w:rPr>
        <w:t xml:space="preserve"> </w:t>
      </w:r>
      <w:r w:rsidRPr="00C0304C">
        <w:rPr>
          <w:rFonts w:ascii="Times New Roman" w:hAnsi="Times New Roman"/>
          <w:bCs/>
          <w:sz w:val="22"/>
          <w:lang w:val="es-AR"/>
        </w:rPr>
        <w:t xml:space="preserve">a partir de la sumatoria de los </w:t>
      </w:r>
      <w:r w:rsidR="00C0304C">
        <w:rPr>
          <w:rFonts w:ascii="Times New Roman" w:hAnsi="Times New Roman"/>
          <w:bCs/>
          <w:sz w:val="22"/>
          <w:lang w:val="es-AR"/>
        </w:rPr>
        <w:t>flujos positivos y negativos</w:t>
      </w:r>
      <w:r w:rsidRPr="00C0304C">
        <w:rPr>
          <w:rFonts w:ascii="Times New Roman" w:hAnsi="Times New Roman"/>
          <w:bCs/>
          <w:sz w:val="22"/>
          <w:lang w:val="es-AR"/>
        </w:rPr>
        <w:t xml:space="preserve"> esperados de la intervenci</w:t>
      </w:r>
      <w:r w:rsidR="00A74162" w:rsidRPr="00C0304C">
        <w:rPr>
          <w:rFonts w:ascii="Times New Roman" w:hAnsi="Times New Roman"/>
          <w:bCs/>
          <w:sz w:val="22"/>
          <w:lang w:val="es-AR"/>
        </w:rPr>
        <w:t>ón</w:t>
      </w:r>
      <w:r w:rsidRPr="00C0304C">
        <w:rPr>
          <w:rFonts w:ascii="Times New Roman" w:hAnsi="Times New Roman"/>
          <w:bCs/>
          <w:sz w:val="22"/>
          <w:lang w:val="es-AR"/>
        </w:rPr>
        <w:t xml:space="preserve"> prevista. </w:t>
      </w:r>
      <w:r w:rsidR="009F5FD8" w:rsidRPr="00C0304C">
        <w:rPr>
          <w:rFonts w:ascii="Times New Roman" w:hAnsi="Times New Roman"/>
          <w:bCs/>
          <w:sz w:val="22"/>
          <w:lang w:val="es-AR"/>
        </w:rPr>
        <w:t xml:space="preserve">Se entiende que la intervención tiene sentido como un conjunto y que las diferentes acciones presupuestadas sientan las bases para enfrentar </w:t>
      </w:r>
      <w:r w:rsidR="00904854">
        <w:rPr>
          <w:rFonts w:ascii="Times New Roman" w:hAnsi="Times New Roman"/>
          <w:bCs/>
          <w:sz w:val="22"/>
          <w:lang w:val="es-AR"/>
        </w:rPr>
        <w:t>los retos</w:t>
      </w:r>
      <w:r w:rsidR="009F5FD8" w:rsidRPr="00C0304C">
        <w:rPr>
          <w:rFonts w:ascii="Times New Roman" w:hAnsi="Times New Roman"/>
          <w:bCs/>
          <w:sz w:val="22"/>
          <w:lang w:val="es-AR"/>
        </w:rPr>
        <w:t xml:space="preserve"> </w:t>
      </w:r>
      <w:r w:rsidR="00C0304C" w:rsidRPr="00C0304C">
        <w:rPr>
          <w:rFonts w:ascii="Times New Roman" w:hAnsi="Times New Roman"/>
          <w:bCs/>
          <w:sz w:val="22"/>
          <w:lang w:val="es-AR"/>
        </w:rPr>
        <w:t>reduciendo los riesgos</w:t>
      </w:r>
      <w:r w:rsidR="009F5FD8" w:rsidRPr="00C0304C">
        <w:rPr>
          <w:rFonts w:ascii="Times New Roman" w:hAnsi="Times New Roman"/>
          <w:bCs/>
          <w:sz w:val="22"/>
          <w:lang w:val="es-AR"/>
        </w:rPr>
        <w:t xml:space="preserve"> futuros, </w:t>
      </w:r>
      <w:r w:rsidR="00C0304C" w:rsidRPr="00C0304C">
        <w:rPr>
          <w:rFonts w:ascii="Times New Roman" w:hAnsi="Times New Roman"/>
          <w:bCs/>
          <w:sz w:val="22"/>
          <w:lang w:val="es-AR"/>
        </w:rPr>
        <w:t>traduciéndose en beneficios que podrían</w:t>
      </w:r>
      <w:r w:rsidR="00C0304C">
        <w:rPr>
          <w:rFonts w:ascii="Times New Roman" w:hAnsi="Times New Roman"/>
          <w:bCs/>
          <w:sz w:val="22"/>
          <w:lang w:val="es-AR"/>
        </w:rPr>
        <w:t xml:space="preserve"> </w:t>
      </w:r>
      <w:r w:rsidR="009F5FD8" w:rsidRPr="00C0304C">
        <w:rPr>
          <w:rFonts w:ascii="Times New Roman" w:hAnsi="Times New Roman"/>
          <w:bCs/>
          <w:sz w:val="22"/>
          <w:lang w:val="es-AR"/>
        </w:rPr>
        <w:t xml:space="preserve">ocurrir aún fuera del alcance de medición del presente </w:t>
      </w:r>
      <w:r w:rsidR="007561B9">
        <w:rPr>
          <w:rFonts w:ascii="Times New Roman" w:hAnsi="Times New Roman"/>
          <w:bCs/>
          <w:sz w:val="22"/>
          <w:lang w:val="es-AR"/>
        </w:rPr>
        <w:t>p</w:t>
      </w:r>
      <w:r w:rsidR="009F5FD8" w:rsidRPr="00C0304C">
        <w:rPr>
          <w:rFonts w:ascii="Times New Roman" w:hAnsi="Times New Roman"/>
          <w:bCs/>
          <w:sz w:val="22"/>
          <w:lang w:val="es-AR"/>
        </w:rPr>
        <w:t xml:space="preserve">rograma.   </w:t>
      </w:r>
    </w:p>
    <w:p w:rsidR="009F5FD8" w:rsidRPr="00752C5A" w:rsidRDefault="00752C5A" w:rsidP="00C95815">
      <w:pPr>
        <w:numPr>
          <w:ilvl w:val="1"/>
          <w:numId w:val="12"/>
        </w:numPr>
        <w:jc w:val="both"/>
        <w:rPr>
          <w:rFonts w:ascii="Times New Roman" w:hAnsi="Times New Roman"/>
          <w:bCs/>
          <w:sz w:val="22"/>
          <w:lang w:val="es-AR"/>
        </w:rPr>
      </w:pPr>
      <w:r w:rsidRPr="00752C5A">
        <w:rPr>
          <w:rFonts w:ascii="Times New Roman" w:hAnsi="Times New Roman"/>
          <w:bCs/>
          <w:sz w:val="22"/>
          <w:lang w:val="es-AR"/>
        </w:rPr>
        <w:t>Entendiendo que facilitan el proceso decisorio posterior, los beneficios ligados a la reducción de vidas humanas se presentan de modo desagregado con los efectos sobre activos físicos.</w:t>
      </w:r>
      <w:r>
        <w:rPr>
          <w:rFonts w:ascii="Times New Roman" w:hAnsi="Times New Roman"/>
          <w:bCs/>
          <w:sz w:val="22"/>
          <w:lang w:val="es-AR"/>
        </w:rPr>
        <w:t xml:space="preserve"> Asimismo, d</w:t>
      </w:r>
      <w:r w:rsidR="009F5FD8" w:rsidRPr="00752C5A">
        <w:rPr>
          <w:rFonts w:ascii="Times New Roman" w:hAnsi="Times New Roman"/>
          <w:bCs/>
          <w:sz w:val="22"/>
          <w:lang w:val="es-AR"/>
        </w:rPr>
        <w:t xml:space="preserve">ada la característica de </w:t>
      </w:r>
      <w:r>
        <w:rPr>
          <w:rFonts w:ascii="Times New Roman" w:hAnsi="Times New Roman"/>
          <w:bCs/>
          <w:sz w:val="22"/>
          <w:lang w:val="es-AR"/>
        </w:rPr>
        <w:t xml:space="preserve">alta </w:t>
      </w:r>
      <w:r w:rsidR="009F5FD8" w:rsidRPr="00752C5A">
        <w:rPr>
          <w:rFonts w:ascii="Times New Roman" w:hAnsi="Times New Roman"/>
          <w:bCs/>
          <w:sz w:val="22"/>
          <w:lang w:val="es-AR"/>
        </w:rPr>
        <w:t>incertidumbre ligada a</w:t>
      </w:r>
      <w:r w:rsidR="00904854">
        <w:rPr>
          <w:rFonts w:ascii="Times New Roman" w:hAnsi="Times New Roman"/>
          <w:bCs/>
          <w:sz w:val="22"/>
          <w:lang w:val="es-AR"/>
        </w:rPr>
        <w:t xml:space="preserve"> los</w:t>
      </w:r>
      <w:r w:rsidR="009F5FD8" w:rsidRPr="00752C5A">
        <w:rPr>
          <w:rFonts w:ascii="Times New Roman" w:hAnsi="Times New Roman"/>
          <w:bCs/>
          <w:sz w:val="22"/>
          <w:lang w:val="es-AR"/>
        </w:rPr>
        <w:t xml:space="preserve"> desastre</w:t>
      </w:r>
      <w:r w:rsidR="00904854">
        <w:rPr>
          <w:rFonts w:ascii="Times New Roman" w:hAnsi="Times New Roman"/>
          <w:bCs/>
          <w:sz w:val="22"/>
          <w:lang w:val="es-AR"/>
        </w:rPr>
        <w:t>s</w:t>
      </w:r>
      <w:r w:rsidR="009F5FD8" w:rsidRPr="00752C5A">
        <w:rPr>
          <w:rFonts w:ascii="Times New Roman" w:hAnsi="Times New Roman"/>
          <w:bCs/>
          <w:sz w:val="22"/>
          <w:lang w:val="es-AR"/>
        </w:rPr>
        <w:t xml:space="preserve"> se establecen distintos rangos de valoración a las </w:t>
      </w:r>
      <w:r w:rsidR="007561B9">
        <w:rPr>
          <w:rFonts w:ascii="Times New Roman" w:hAnsi="Times New Roman"/>
          <w:bCs/>
          <w:sz w:val="22"/>
          <w:lang w:val="es-AR"/>
        </w:rPr>
        <w:t>h</w:t>
      </w:r>
      <w:r w:rsidR="009F5FD8" w:rsidRPr="00752C5A">
        <w:rPr>
          <w:rFonts w:ascii="Times New Roman" w:hAnsi="Times New Roman"/>
          <w:bCs/>
          <w:sz w:val="22"/>
          <w:lang w:val="es-AR"/>
        </w:rPr>
        <w:t xml:space="preserve">ipótesis de </w:t>
      </w:r>
      <w:r w:rsidR="007561B9">
        <w:rPr>
          <w:rFonts w:ascii="Times New Roman" w:hAnsi="Times New Roman"/>
          <w:bCs/>
          <w:sz w:val="22"/>
          <w:lang w:val="es-AR"/>
        </w:rPr>
        <w:t>o</w:t>
      </w:r>
      <w:r w:rsidR="009F5FD8" w:rsidRPr="00752C5A">
        <w:rPr>
          <w:rFonts w:ascii="Times New Roman" w:hAnsi="Times New Roman"/>
          <w:bCs/>
          <w:sz w:val="22"/>
          <w:lang w:val="es-AR"/>
        </w:rPr>
        <w:t xml:space="preserve">currencia </w:t>
      </w:r>
      <w:r>
        <w:rPr>
          <w:rFonts w:ascii="Times New Roman" w:hAnsi="Times New Roman"/>
          <w:bCs/>
          <w:sz w:val="22"/>
          <w:lang w:val="es-AR"/>
        </w:rPr>
        <w:t xml:space="preserve">y </w:t>
      </w:r>
      <w:r w:rsidR="007561B9">
        <w:rPr>
          <w:rFonts w:ascii="Times New Roman" w:hAnsi="Times New Roman"/>
          <w:bCs/>
          <w:sz w:val="22"/>
          <w:lang w:val="es-AR"/>
        </w:rPr>
        <w:t>m</w:t>
      </w:r>
      <w:r w:rsidR="00904854">
        <w:rPr>
          <w:rFonts w:ascii="Times New Roman" w:hAnsi="Times New Roman"/>
          <w:bCs/>
          <w:sz w:val="22"/>
          <w:lang w:val="es-AR"/>
        </w:rPr>
        <w:t>agnitud efectiva esperada</w:t>
      </w:r>
      <w:r>
        <w:rPr>
          <w:rFonts w:ascii="Times New Roman" w:hAnsi="Times New Roman"/>
          <w:bCs/>
          <w:sz w:val="22"/>
          <w:lang w:val="es-AR"/>
        </w:rPr>
        <w:t xml:space="preserve"> de la amenaza</w:t>
      </w:r>
      <w:r w:rsidR="009F5FD8" w:rsidRPr="00752C5A">
        <w:rPr>
          <w:rFonts w:ascii="Times New Roman" w:hAnsi="Times New Roman"/>
          <w:bCs/>
          <w:sz w:val="22"/>
          <w:lang w:val="es-AR"/>
        </w:rPr>
        <w:t xml:space="preserve">, así como a </w:t>
      </w:r>
      <w:r w:rsidR="00B40C4C">
        <w:rPr>
          <w:rFonts w:ascii="Times New Roman" w:hAnsi="Times New Roman"/>
          <w:bCs/>
          <w:sz w:val="22"/>
          <w:lang w:val="es-AR"/>
        </w:rPr>
        <w:t>otros</w:t>
      </w:r>
      <w:r w:rsidR="009F5FD8" w:rsidRPr="00752C5A">
        <w:rPr>
          <w:rFonts w:ascii="Times New Roman" w:hAnsi="Times New Roman"/>
          <w:bCs/>
          <w:sz w:val="22"/>
          <w:lang w:val="es-AR"/>
        </w:rPr>
        <w:t xml:space="preserve"> </w:t>
      </w:r>
      <w:r w:rsidR="007561B9">
        <w:rPr>
          <w:rFonts w:ascii="Times New Roman" w:hAnsi="Times New Roman"/>
          <w:bCs/>
          <w:sz w:val="22"/>
          <w:lang w:val="es-AR"/>
        </w:rPr>
        <w:t>s</w:t>
      </w:r>
      <w:r w:rsidR="009F5FD8" w:rsidRPr="00752C5A">
        <w:rPr>
          <w:rFonts w:ascii="Times New Roman" w:hAnsi="Times New Roman"/>
          <w:bCs/>
          <w:sz w:val="22"/>
          <w:lang w:val="es-AR"/>
        </w:rPr>
        <w:t xml:space="preserve">upuestos críticos de </w:t>
      </w:r>
      <w:r w:rsidR="00D327A3" w:rsidRPr="00752C5A">
        <w:rPr>
          <w:rFonts w:ascii="Times New Roman" w:hAnsi="Times New Roman"/>
          <w:bCs/>
          <w:sz w:val="22"/>
          <w:lang w:val="es-AR"/>
        </w:rPr>
        <w:t xml:space="preserve"> </w:t>
      </w:r>
      <w:r w:rsidR="007561B9">
        <w:rPr>
          <w:rFonts w:ascii="Times New Roman" w:hAnsi="Times New Roman"/>
          <w:bCs/>
          <w:sz w:val="22"/>
          <w:lang w:val="es-AR"/>
        </w:rPr>
        <w:t>v</w:t>
      </w:r>
      <w:r w:rsidR="009F5FD8" w:rsidRPr="00752C5A">
        <w:rPr>
          <w:rFonts w:ascii="Times New Roman" w:hAnsi="Times New Roman"/>
          <w:bCs/>
          <w:sz w:val="22"/>
          <w:lang w:val="es-AR"/>
        </w:rPr>
        <w:t xml:space="preserve">aloración. De ello resulta un </w:t>
      </w:r>
      <w:r w:rsidR="00904854">
        <w:rPr>
          <w:rFonts w:ascii="Times New Roman" w:hAnsi="Times New Roman"/>
          <w:bCs/>
          <w:sz w:val="22"/>
          <w:lang w:val="es-AR"/>
        </w:rPr>
        <w:t>e</w:t>
      </w:r>
      <w:r w:rsidR="009F5FD8" w:rsidRPr="00752C5A">
        <w:rPr>
          <w:rFonts w:ascii="Times New Roman" w:hAnsi="Times New Roman"/>
          <w:bCs/>
          <w:sz w:val="22"/>
          <w:lang w:val="es-AR"/>
        </w:rPr>
        <w:t>scenario</w:t>
      </w:r>
      <w:r w:rsidR="00904854">
        <w:rPr>
          <w:rFonts w:ascii="Times New Roman" w:hAnsi="Times New Roman"/>
          <w:bCs/>
          <w:sz w:val="22"/>
          <w:lang w:val="es-AR"/>
        </w:rPr>
        <w:t xml:space="preserve"> básico</w:t>
      </w:r>
      <w:r w:rsidR="009F5FD8" w:rsidRPr="00752C5A">
        <w:rPr>
          <w:rFonts w:ascii="Times New Roman" w:hAnsi="Times New Roman"/>
          <w:bCs/>
          <w:sz w:val="22"/>
          <w:lang w:val="es-AR"/>
        </w:rPr>
        <w:t xml:space="preserve"> </w:t>
      </w:r>
      <w:r w:rsidR="00904854">
        <w:rPr>
          <w:rFonts w:ascii="Times New Roman" w:hAnsi="Times New Roman"/>
          <w:bCs/>
          <w:sz w:val="22"/>
          <w:lang w:val="es-AR"/>
        </w:rPr>
        <w:t xml:space="preserve">o </w:t>
      </w:r>
      <w:r w:rsidR="007561B9">
        <w:rPr>
          <w:rFonts w:ascii="Times New Roman" w:hAnsi="Times New Roman"/>
          <w:bCs/>
          <w:sz w:val="22"/>
          <w:lang w:val="es-AR"/>
        </w:rPr>
        <w:t>c</w:t>
      </w:r>
      <w:r w:rsidR="00904854">
        <w:rPr>
          <w:rFonts w:ascii="Times New Roman" w:hAnsi="Times New Roman"/>
          <w:bCs/>
          <w:sz w:val="22"/>
          <w:lang w:val="es-AR"/>
        </w:rPr>
        <w:t xml:space="preserve">aso </w:t>
      </w:r>
      <w:r w:rsidR="007561B9">
        <w:rPr>
          <w:rFonts w:ascii="Times New Roman" w:hAnsi="Times New Roman"/>
          <w:bCs/>
          <w:sz w:val="22"/>
          <w:lang w:val="es-AR"/>
        </w:rPr>
        <w:t>b</w:t>
      </w:r>
      <w:r w:rsidR="009F5FD8" w:rsidRPr="00752C5A">
        <w:rPr>
          <w:rFonts w:ascii="Times New Roman" w:hAnsi="Times New Roman"/>
          <w:bCs/>
          <w:sz w:val="22"/>
          <w:lang w:val="es-AR"/>
        </w:rPr>
        <w:t>ase, que será luego sometido a una sensibilización para establecer su fortaleza ante condiciones que podrían comportarse fuera del marco planteado.</w:t>
      </w:r>
      <w:r w:rsidR="00893F43">
        <w:rPr>
          <w:rFonts w:ascii="Times New Roman" w:hAnsi="Times New Roman"/>
          <w:bCs/>
          <w:sz w:val="22"/>
          <w:lang w:val="es-AR"/>
        </w:rPr>
        <w:t xml:space="preserve"> Para determinar los</w:t>
      </w:r>
      <w:r w:rsidR="00893F43" w:rsidRPr="003D4993">
        <w:rPr>
          <w:rFonts w:ascii="Times New Roman" w:hAnsi="Times New Roman"/>
          <w:bCs/>
          <w:sz w:val="22"/>
          <w:lang w:val="es-AR"/>
        </w:rPr>
        <w:t xml:space="preserve"> indicadores</w:t>
      </w:r>
      <w:r w:rsidR="00893F43">
        <w:rPr>
          <w:rFonts w:ascii="Times New Roman" w:hAnsi="Times New Roman"/>
          <w:bCs/>
          <w:sz w:val="22"/>
          <w:lang w:val="es-AR"/>
        </w:rPr>
        <w:t xml:space="preserve"> de retorno </w:t>
      </w:r>
      <w:r w:rsidR="00893F43" w:rsidRPr="003D4993">
        <w:rPr>
          <w:rFonts w:ascii="Times New Roman" w:hAnsi="Times New Roman"/>
          <w:bCs/>
          <w:sz w:val="22"/>
          <w:lang w:val="es-AR"/>
        </w:rPr>
        <w:t xml:space="preserve"> (</w:t>
      </w:r>
      <w:r w:rsidR="00893F43">
        <w:rPr>
          <w:rFonts w:ascii="Times New Roman" w:hAnsi="Times New Roman"/>
          <w:bCs/>
          <w:sz w:val="22"/>
          <w:lang w:val="es-AR"/>
        </w:rPr>
        <w:t>B/C –</w:t>
      </w:r>
      <w:r w:rsidR="007561B9">
        <w:rPr>
          <w:rFonts w:ascii="Times New Roman" w:hAnsi="Times New Roman"/>
          <w:bCs/>
          <w:sz w:val="22"/>
          <w:lang w:val="es-AR"/>
        </w:rPr>
        <w:t>–</w:t>
      </w:r>
      <w:r w:rsidR="00893F43" w:rsidRPr="003D4993">
        <w:rPr>
          <w:rFonts w:ascii="Times New Roman" w:hAnsi="Times New Roman"/>
          <w:bCs/>
          <w:sz w:val="22"/>
          <w:lang w:val="es-AR"/>
        </w:rPr>
        <w:t>TIR</w:t>
      </w:r>
      <w:r w:rsidR="007561B9">
        <w:rPr>
          <w:rFonts w:ascii="Times New Roman" w:hAnsi="Times New Roman"/>
          <w:bCs/>
          <w:sz w:val="22"/>
          <w:lang w:val="es-AR"/>
        </w:rPr>
        <w:t xml:space="preserve"> – VAN</w:t>
      </w:r>
      <w:r w:rsidR="00893F43" w:rsidRPr="003D4993">
        <w:rPr>
          <w:rFonts w:ascii="Times New Roman" w:hAnsi="Times New Roman"/>
          <w:bCs/>
          <w:sz w:val="22"/>
          <w:lang w:val="es-AR"/>
        </w:rPr>
        <w:t xml:space="preserve">), </w:t>
      </w:r>
      <w:r w:rsidR="00893F43">
        <w:rPr>
          <w:rFonts w:ascii="Times New Roman" w:hAnsi="Times New Roman"/>
          <w:bCs/>
          <w:sz w:val="22"/>
          <w:lang w:val="es-AR"/>
        </w:rPr>
        <w:t xml:space="preserve">se adicionan </w:t>
      </w:r>
      <w:r w:rsidR="00893F43" w:rsidRPr="003D4993">
        <w:rPr>
          <w:rFonts w:ascii="Times New Roman" w:hAnsi="Times New Roman"/>
          <w:bCs/>
          <w:sz w:val="22"/>
          <w:lang w:val="es-AR"/>
        </w:rPr>
        <w:t xml:space="preserve">los beneficios </w:t>
      </w:r>
      <w:r w:rsidR="00893F43">
        <w:rPr>
          <w:rFonts w:ascii="Times New Roman" w:hAnsi="Times New Roman"/>
          <w:bCs/>
          <w:sz w:val="22"/>
          <w:lang w:val="es-AR"/>
        </w:rPr>
        <w:t>específicos proyectados  en el</w:t>
      </w:r>
      <w:r w:rsidR="00893F43" w:rsidRPr="003D4993">
        <w:rPr>
          <w:rFonts w:ascii="Times New Roman" w:hAnsi="Times New Roman"/>
          <w:bCs/>
          <w:sz w:val="22"/>
          <w:lang w:val="es-AR"/>
        </w:rPr>
        <w:t xml:space="preserve"> eje de tiempo</w:t>
      </w:r>
      <w:r w:rsidR="00893F43">
        <w:rPr>
          <w:rFonts w:ascii="Times New Roman" w:hAnsi="Times New Roman"/>
          <w:bCs/>
          <w:sz w:val="22"/>
          <w:lang w:val="es-AR"/>
        </w:rPr>
        <w:t xml:space="preserve"> a partir de Flujo de fondos establecido en los párrafos previos.</w:t>
      </w:r>
      <w:r w:rsidR="00893F43" w:rsidRPr="003D4993">
        <w:rPr>
          <w:rFonts w:ascii="Times New Roman" w:hAnsi="Times New Roman"/>
          <w:bCs/>
          <w:sz w:val="22"/>
          <w:lang w:val="es-AR"/>
        </w:rPr>
        <w:t xml:space="preserve"> </w:t>
      </w:r>
    </w:p>
    <w:p w:rsidR="00904854" w:rsidRPr="001A3AFE" w:rsidRDefault="00904854" w:rsidP="00C95815">
      <w:pPr>
        <w:numPr>
          <w:ilvl w:val="1"/>
          <w:numId w:val="12"/>
        </w:numPr>
        <w:jc w:val="both"/>
        <w:rPr>
          <w:rFonts w:ascii="Times New Roman" w:hAnsi="Times New Roman"/>
          <w:bCs/>
          <w:sz w:val="22"/>
          <w:lang w:val="es-AR"/>
        </w:rPr>
      </w:pPr>
      <w:r w:rsidRPr="001A3AFE">
        <w:rPr>
          <w:rFonts w:ascii="Times New Roman" w:hAnsi="Times New Roman"/>
          <w:bCs/>
          <w:sz w:val="22"/>
          <w:lang w:val="es-AR"/>
        </w:rPr>
        <w:t xml:space="preserve">Considerando </w:t>
      </w:r>
      <w:r w:rsidR="00B40C4C">
        <w:rPr>
          <w:rFonts w:ascii="Times New Roman" w:hAnsi="Times New Roman"/>
          <w:bCs/>
          <w:sz w:val="22"/>
          <w:lang w:val="es-AR"/>
        </w:rPr>
        <w:t>la existencia de</w:t>
      </w:r>
      <w:r w:rsidR="007561B9" w:rsidRPr="001A3AFE">
        <w:rPr>
          <w:rFonts w:ascii="Times New Roman" w:hAnsi="Times New Roman"/>
          <w:bCs/>
          <w:sz w:val="22"/>
          <w:lang w:val="es-AR"/>
        </w:rPr>
        <w:t xml:space="preserve"> </w:t>
      </w:r>
      <w:r w:rsidR="00382FC4" w:rsidRPr="001A3AFE">
        <w:rPr>
          <w:rFonts w:ascii="Times New Roman" w:hAnsi="Times New Roman"/>
          <w:bCs/>
          <w:sz w:val="22"/>
          <w:lang w:val="es-AR"/>
        </w:rPr>
        <w:t xml:space="preserve">parámetros de referencia </w:t>
      </w:r>
      <w:r w:rsidR="00B40C4C">
        <w:rPr>
          <w:rFonts w:ascii="Times New Roman" w:hAnsi="Times New Roman"/>
          <w:bCs/>
          <w:sz w:val="22"/>
          <w:lang w:val="es-AR"/>
        </w:rPr>
        <w:t xml:space="preserve">que </w:t>
      </w:r>
      <w:r w:rsidR="00382FC4" w:rsidRPr="001A3AFE">
        <w:rPr>
          <w:rFonts w:ascii="Times New Roman" w:hAnsi="Times New Roman"/>
          <w:bCs/>
          <w:sz w:val="22"/>
          <w:lang w:val="es-AR"/>
        </w:rPr>
        <w:t xml:space="preserve">inciden de forma significativa en los resultados esperados, se plantean escenarios complementarios de valoración en base a: </w:t>
      </w:r>
      <w:r w:rsidR="007561B9">
        <w:rPr>
          <w:rFonts w:ascii="Times New Roman" w:hAnsi="Times New Roman"/>
          <w:bCs/>
          <w:sz w:val="22"/>
          <w:lang w:val="es-AR"/>
        </w:rPr>
        <w:t>(</w:t>
      </w:r>
      <w:r w:rsidR="00382FC4" w:rsidRPr="001A3AFE">
        <w:rPr>
          <w:rFonts w:ascii="Times New Roman" w:hAnsi="Times New Roman"/>
          <w:bCs/>
          <w:sz w:val="22"/>
          <w:lang w:val="es-AR"/>
        </w:rPr>
        <w:t xml:space="preserve">i) </w:t>
      </w:r>
      <w:r w:rsidRPr="001A3AFE">
        <w:rPr>
          <w:rFonts w:ascii="Times New Roman" w:hAnsi="Times New Roman"/>
          <w:bCs/>
          <w:sz w:val="22"/>
          <w:lang w:val="es-AR"/>
        </w:rPr>
        <w:t>la tasa de descuento</w:t>
      </w:r>
      <w:r w:rsidR="00382FC4" w:rsidRPr="001A3AFE">
        <w:rPr>
          <w:rFonts w:ascii="Times New Roman" w:hAnsi="Times New Roman"/>
          <w:bCs/>
          <w:sz w:val="22"/>
          <w:lang w:val="es-AR"/>
        </w:rPr>
        <w:t xml:space="preserve"> (se plantea como </w:t>
      </w:r>
      <w:r w:rsidR="006C212F" w:rsidRPr="001A3AFE">
        <w:rPr>
          <w:rFonts w:ascii="Times New Roman" w:hAnsi="Times New Roman"/>
          <w:bCs/>
          <w:sz w:val="22"/>
          <w:lang w:val="es-AR"/>
        </w:rPr>
        <w:t>alternativa</w:t>
      </w:r>
      <w:r w:rsidR="00382FC4" w:rsidRPr="001A3AFE">
        <w:rPr>
          <w:rFonts w:ascii="Times New Roman" w:hAnsi="Times New Roman"/>
          <w:bCs/>
          <w:sz w:val="22"/>
          <w:lang w:val="es-AR"/>
        </w:rPr>
        <w:t xml:space="preserve"> una d=  7% para contraponer al d= 12% que refleja el nivel generalmente utilizado en evaluaciones de los </w:t>
      </w:r>
      <w:r w:rsidR="00094CB7">
        <w:rPr>
          <w:rFonts w:ascii="Times New Roman" w:hAnsi="Times New Roman"/>
          <w:bCs/>
          <w:sz w:val="22"/>
          <w:lang w:val="es-AR"/>
        </w:rPr>
        <w:t>organismos multilaterales</w:t>
      </w:r>
      <w:r w:rsidR="00382FC4" w:rsidRPr="001A3AFE">
        <w:rPr>
          <w:rFonts w:ascii="Times New Roman" w:hAnsi="Times New Roman"/>
          <w:bCs/>
          <w:sz w:val="22"/>
          <w:lang w:val="es-AR"/>
        </w:rPr>
        <w:t xml:space="preserve">) y </w:t>
      </w:r>
      <w:r w:rsidR="00094CB7">
        <w:rPr>
          <w:rFonts w:ascii="Times New Roman" w:hAnsi="Times New Roman"/>
          <w:bCs/>
          <w:sz w:val="22"/>
          <w:lang w:val="es-AR"/>
        </w:rPr>
        <w:t>(</w:t>
      </w:r>
      <w:r w:rsidR="00382FC4" w:rsidRPr="001A3AFE">
        <w:rPr>
          <w:rFonts w:ascii="Times New Roman" w:hAnsi="Times New Roman"/>
          <w:bCs/>
          <w:sz w:val="22"/>
          <w:lang w:val="es-AR"/>
        </w:rPr>
        <w:t xml:space="preserve">ii) distintas probabilidades de </w:t>
      </w:r>
      <w:r w:rsidR="0054317F" w:rsidRPr="001A3AFE">
        <w:rPr>
          <w:rFonts w:ascii="Times New Roman" w:hAnsi="Times New Roman"/>
          <w:bCs/>
          <w:sz w:val="22"/>
          <w:lang w:val="es-AR"/>
        </w:rPr>
        <w:t xml:space="preserve">ocurrencia </w:t>
      </w:r>
      <w:r w:rsidR="00094CB7">
        <w:rPr>
          <w:rFonts w:ascii="Times New Roman" w:hAnsi="Times New Roman"/>
          <w:bCs/>
          <w:sz w:val="22"/>
          <w:lang w:val="es-AR"/>
        </w:rPr>
        <w:t xml:space="preserve">de </w:t>
      </w:r>
      <w:r w:rsidR="00382FC4" w:rsidRPr="001A3AFE">
        <w:rPr>
          <w:rFonts w:ascii="Times New Roman" w:hAnsi="Times New Roman"/>
          <w:bCs/>
          <w:sz w:val="22"/>
          <w:lang w:val="es-AR"/>
        </w:rPr>
        <w:t xml:space="preserve">tsunamis </w:t>
      </w:r>
      <w:r w:rsidR="00B40C4C">
        <w:rPr>
          <w:rFonts w:ascii="Times New Roman" w:hAnsi="Times New Roman"/>
          <w:bCs/>
          <w:sz w:val="22"/>
          <w:lang w:val="es-AR"/>
        </w:rPr>
        <w:t xml:space="preserve">y su magnitud asociada </w:t>
      </w:r>
      <w:r w:rsidR="00382FC4" w:rsidRPr="001A3AFE">
        <w:rPr>
          <w:rFonts w:ascii="Times New Roman" w:hAnsi="Times New Roman"/>
          <w:bCs/>
          <w:sz w:val="22"/>
          <w:lang w:val="es-AR"/>
        </w:rPr>
        <w:t>(desastre de alto impacto y baja frecuencia)</w:t>
      </w:r>
      <w:r w:rsidR="00094CB7">
        <w:rPr>
          <w:rFonts w:ascii="Times New Roman" w:hAnsi="Times New Roman"/>
          <w:bCs/>
          <w:sz w:val="22"/>
          <w:lang w:val="es-AR"/>
        </w:rPr>
        <w:t>,</w:t>
      </w:r>
      <w:r w:rsidR="0054317F" w:rsidRPr="001A3AFE">
        <w:rPr>
          <w:rFonts w:ascii="Times New Roman" w:hAnsi="Times New Roman"/>
          <w:bCs/>
          <w:sz w:val="22"/>
          <w:lang w:val="es-AR"/>
        </w:rPr>
        <w:t xml:space="preserve"> el evento de mayor relevancia dentro de las acciones de esta iniciativa</w:t>
      </w:r>
      <w:r w:rsidR="00382FC4" w:rsidRPr="001A3AFE">
        <w:rPr>
          <w:rFonts w:ascii="Times New Roman" w:hAnsi="Times New Roman"/>
          <w:bCs/>
          <w:sz w:val="22"/>
          <w:lang w:val="es-AR"/>
        </w:rPr>
        <w:t xml:space="preserve">. </w:t>
      </w:r>
    </w:p>
    <w:p w:rsidR="00893F43" w:rsidRPr="00B40C4C" w:rsidRDefault="008077EE" w:rsidP="00893F43">
      <w:pPr>
        <w:numPr>
          <w:ilvl w:val="1"/>
          <w:numId w:val="12"/>
        </w:numPr>
        <w:jc w:val="both"/>
        <w:rPr>
          <w:rFonts w:ascii="Times New Roman" w:hAnsi="Times New Roman"/>
          <w:bCs/>
          <w:sz w:val="22"/>
          <w:lang w:val="es-AR"/>
        </w:rPr>
      </w:pPr>
      <w:r w:rsidRPr="001A3AFE">
        <w:rPr>
          <w:rFonts w:ascii="Times New Roman" w:hAnsi="Times New Roman"/>
          <w:bCs/>
          <w:sz w:val="22"/>
          <w:lang w:val="es-AR"/>
        </w:rPr>
        <w:t>Desde otra visión más amplia</w:t>
      </w:r>
      <w:r w:rsidR="009F5FD8" w:rsidRPr="001A3AFE">
        <w:rPr>
          <w:rFonts w:ascii="Times New Roman" w:hAnsi="Times New Roman"/>
          <w:bCs/>
          <w:sz w:val="22"/>
          <w:lang w:val="es-AR"/>
        </w:rPr>
        <w:t xml:space="preserve"> </w:t>
      </w:r>
      <w:r w:rsidR="0054317F" w:rsidRPr="001A3AFE">
        <w:rPr>
          <w:rFonts w:ascii="Times New Roman" w:hAnsi="Times New Roman"/>
          <w:bCs/>
          <w:sz w:val="22"/>
          <w:lang w:val="es-AR"/>
        </w:rPr>
        <w:t>es conveniente</w:t>
      </w:r>
      <w:r w:rsidR="00893F43" w:rsidRPr="001A3AFE">
        <w:rPr>
          <w:rFonts w:ascii="Times New Roman" w:hAnsi="Times New Roman"/>
          <w:bCs/>
          <w:sz w:val="22"/>
          <w:lang w:val="es-AR"/>
        </w:rPr>
        <w:t xml:space="preserve"> considerar</w:t>
      </w:r>
      <w:r w:rsidRPr="001A3AFE">
        <w:rPr>
          <w:rFonts w:ascii="Times New Roman" w:hAnsi="Times New Roman"/>
          <w:bCs/>
          <w:sz w:val="22"/>
          <w:lang w:val="es-AR"/>
        </w:rPr>
        <w:t xml:space="preserve"> </w:t>
      </w:r>
      <w:r w:rsidR="00D327A3" w:rsidRPr="001A3AFE">
        <w:rPr>
          <w:rFonts w:ascii="Times New Roman" w:hAnsi="Times New Roman"/>
          <w:bCs/>
          <w:sz w:val="22"/>
          <w:lang w:val="es-AR"/>
        </w:rPr>
        <w:t xml:space="preserve">no solo </w:t>
      </w:r>
      <w:r w:rsidR="00893F43" w:rsidRPr="001A3AFE">
        <w:rPr>
          <w:rFonts w:ascii="Times New Roman" w:hAnsi="Times New Roman"/>
          <w:bCs/>
          <w:sz w:val="22"/>
          <w:lang w:val="es-AR"/>
        </w:rPr>
        <w:t>los</w:t>
      </w:r>
      <w:r w:rsidR="0036665C" w:rsidRPr="001A3AFE">
        <w:rPr>
          <w:rFonts w:ascii="Times New Roman" w:hAnsi="Times New Roman"/>
          <w:bCs/>
          <w:sz w:val="22"/>
          <w:lang w:val="es-AR"/>
        </w:rPr>
        <w:t xml:space="preserve"> </w:t>
      </w:r>
      <w:r w:rsidR="003D4993" w:rsidRPr="001A3AFE">
        <w:rPr>
          <w:rFonts w:ascii="Times New Roman" w:hAnsi="Times New Roman"/>
          <w:bCs/>
          <w:sz w:val="22"/>
          <w:lang w:val="es-AR"/>
        </w:rPr>
        <w:t xml:space="preserve">efectos directos </w:t>
      </w:r>
      <w:r w:rsidR="0054317F" w:rsidRPr="001A3AFE">
        <w:rPr>
          <w:rFonts w:ascii="Times New Roman" w:hAnsi="Times New Roman"/>
          <w:bCs/>
          <w:sz w:val="22"/>
          <w:lang w:val="es-AR"/>
        </w:rPr>
        <w:t>en materia de daños</w:t>
      </w:r>
      <w:r w:rsidR="00D327A3" w:rsidRPr="001A3AFE">
        <w:rPr>
          <w:rFonts w:ascii="Times New Roman" w:hAnsi="Times New Roman"/>
          <w:bCs/>
          <w:sz w:val="22"/>
          <w:lang w:val="es-AR"/>
        </w:rPr>
        <w:t xml:space="preserve"> sino </w:t>
      </w:r>
      <w:r w:rsidR="003D4993" w:rsidRPr="001A3AFE">
        <w:rPr>
          <w:rFonts w:ascii="Times New Roman" w:hAnsi="Times New Roman"/>
          <w:bCs/>
          <w:sz w:val="22"/>
          <w:lang w:val="es-AR"/>
        </w:rPr>
        <w:t xml:space="preserve">también </w:t>
      </w:r>
      <w:r w:rsidR="009F5FD8" w:rsidRPr="001A3AFE">
        <w:rPr>
          <w:rFonts w:ascii="Times New Roman" w:hAnsi="Times New Roman"/>
          <w:bCs/>
          <w:sz w:val="22"/>
          <w:lang w:val="es-AR"/>
        </w:rPr>
        <w:t xml:space="preserve">el aporte </w:t>
      </w:r>
      <w:r w:rsidR="00893F43" w:rsidRPr="001A3AFE">
        <w:rPr>
          <w:rFonts w:ascii="Times New Roman" w:hAnsi="Times New Roman"/>
          <w:bCs/>
          <w:sz w:val="22"/>
          <w:lang w:val="es-AR"/>
        </w:rPr>
        <w:t>d</w:t>
      </w:r>
      <w:r w:rsidR="009F5FD8" w:rsidRPr="001A3AFE">
        <w:rPr>
          <w:rFonts w:ascii="Times New Roman" w:hAnsi="Times New Roman"/>
          <w:bCs/>
          <w:sz w:val="22"/>
          <w:lang w:val="es-AR"/>
        </w:rPr>
        <w:t>el</w:t>
      </w:r>
      <w:r w:rsidR="00D327A3" w:rsidRPr="001A3AFE">
        <w:rPr>
          <w:rFonts w:ascii="Times New Roman" w:hAnsi="Times New Roman"/>
          <w:bCs/>
          <w:sz w:val="22"/>
          <w:lang w:val="es-AR"/>
        </w:rPr>
        <w:t xml:space="preserve"> Programa</w:t>
      </w:r>
      <w:r w:rsidR="00752C5A" w:rsidRPr="001A3AFE">
        <w:rPr>
          <w:rFonts w:ascii="Times New Roman" w:hAnsi="Times New Roman"/>
          <w:bCs/>
          <w:sz w:val="22"/>
          <w:lang w:val="es-AR"/>
        </w:rPr>
        <w:t xml:space="preserve"> </w:t>
      </w:r>
      <w:r w:rsidR="00D327A3" w:rsidRPr="001A3AFE">
        <w:rPr>
          <w:rFonts w:ascii="Times New Roman" w:hAnsi="Times New Roman"/>
          <w:bCs/>
          <w:sz w:val="22"/>
          <w:lang w:val="es-AR"/>
        </w:rPr>
        <w:t>contribu</w:t>
      </w:r>
      <w:r w:rsidR="009F5FD8" w:rsidRPr="001A3AFE">
        <w:rPr>
          <w:rFonts w:ascii="Times New Roman" w:hAnsi="Times New Roman"/>
          <w:bCs/>
          <w:sz w:val="22"/>
          <w:lang w:val="es-AR"/>
        </w:rPr>
        <w:t>yendo a crear condiciones para promover el desarrollo económico</w:t>
      </w:r>
      <w:r w:rsidR="00C0304C" w:rsidRPr="001A3AFE">
        <w:rPr>
          <w:rFonts w:ascii="Times New Roman" w:hAnsi="Times New Roman"/>
          <w:bCs/>
          <w:sz w:val="22"/>
          <w:lang w:val="es-AR"/>
        </w:rPr>
        <w:t xml:space="preserve"> a largo plazo </w:t>
      </w:r>
      <w:r w:rsidR="00D327A3" w:rsidRPr="001A3AFE">
        <w:rPr>
          <w:rFonts w:ascii="Times New Roman" w:hAnsi="Times New Roman"/>
          <w:bCs/>
          <w:sz w:val="22"/>
          <w:lang w:val="es-AR"/>
        </w:rPr>
        <w:t>(</w:t>
      </w:r>
      <w:r w:rsidR="00893F43" w:rsidRPr="001A3AFE">
        <w:rPr>
          <w:rFonts w:ascii="Times New Roman" w:hAnsi="Times New Roman"/>
          <w:bCs/>
          <w:sz w:val="22"/>
          <w:lang w:val="es-AR"/>
        </w:rPr>
        <w:t xml:space="preserve">el </w:t>
      </w:r>
      <w:r w:rsidR="00C0304C" w:rsidRPr="001A3AFE">
        <w:rPr>
          <w:rFonts w:ascii="Times New Roman" w:hAnsi="Times New Roman"/>
          <w:bCs/>
          <w:sz w:val="22"/>
          <w:lang w:val="es-AR"/>
        </w:rPr>
        <w:t xml:space="preserve">monitoreo y control de impactos por ocurrencia de </w:t>
      </w:r>
      <w:r w:rsidR="00094CB7">
        <w:rPr>
          <w:rFonts w:ascii="Times New Roman" w:hAnsi="Times New Roman"/>
          <w:bCs/>
          <w:sz w:val="22"/>
          <w:lang w:val="es-AR"/>
        </w:rPr>
        <w:t>t</w:t>
      </w:r>
      <w:r w:rsidR="00C0304C" w:rsidRPr="001A3AFE">
        <w:rPr>
          <w:rFonts w:ascii="Times New Roman" w:hAnsi="Times New Roman"/>
          <w:bCs/>
          <w:sz w:val="22"/>
          <w:lang w:val="es-AR"/>
        </w:rPr>
        <w:t xml:space="preserve">sunamis </w:t>
      </w:r>
      <w:r w:rsidR="0054317F" w:rsidRPr="001A3AFE">
        <w:rPr>
          <w:rFonts w:ascii="Times New Roman" w:hAnsi="Times New Roman"/>
          <w:bCs/>
          <w:sz w:val="22"/>
          <w:lang w:val="es-AR"/>
        </w:rPr>
        <w:t xml:space="preserve">o </w:t>
      </w:r>
      <w:r w:rsidR="00094CB7">
        <w:rPr>
          <w:rFonts w:ascii="Times New Roman" w:hAnsi="Times New Roman"/>
          <w:bCs/>
          <w:sz w:val="22"/>
          <w:lang w:val="es-AR"/>
        </w:rPr>
        <w:t>d</w:t>
      </w:r>
      <w:r w:rsidR="0054317F" w:rsidRPr="001A3AFE">
        <w:rPr>
          <w:rFonts w:ascii="Times New Roman" w:hAnsi="Times New Roman"/>
          <w:bCs/>
          <w:sz w:val="22"/>
          <w:lang w:val="es-AR"/>
        </w:rPr>
        <w:t xml:space="preserve">esbordamiento de ríos </w:t>
      </w:r>
      <w:r w:rsidR="00C0304C" w:rsidRPr="001A3AFE">
        <w:rPr>
          <w:rFonts w:ascii="Times New Roman" w:hAnsi="Times New Roman"/>
          <w:bCs/>
          <w:sz w:val="22"/>
          <w:lang w:val="es-AR"/>
        </w:rPr>
        <w:t>reduce la aversión al riesgo facilitando la captación de inversiones</w:t>
      </w:r>
      <w:r w:rsidR="00752C5A" w:rsidRPr="001A3AFE">
        <w:rPr>
          <w:rFonts w:ascii="Times New Roman" w:hAnsi="Times New Roman"/>
          <w:bCs/>
          <w:sz w:val="22"/>
          <w:lang w:val="es-AR"/>
        </w:rPr>
        <w:t xml:space="preserve"> en las áreas expuestas</w:t>
      </w:r>
      <w:r w:rsidR="00D327A3" w:rsidRPr="001A3AFE">
        <w:rPr>
          <w:rFonts w:ascii="Times New Roman" w:hAnsi="Times New Roman"/>
          <w:bCs/>
          <w:sz w:val="22"/>
          <w:lang w:val="es-AR"/>
        </w:rPr>
        <w:t>)</w:t>
      </w:r>
      <w:r w:rsidR="00AC5B8A" w:rsidRPr="001A3AFE">
        <w:rPr>
          <w:rFonts w:ascii="Times New Roman" w:hAnsi="Times New Roman"/>
          <w:bCs/>
          <w:sz w:val="22"/>
          <w:lang w:val="es-AR"/>
        </w:rPr>
        <w:t xml:space="preserve">. </w:t>
      </w:r>
      <w:r w:rsidR="0054317F" w:rsidRPr="001A3AFE">
        <w:rPr>
          <w:rFonts w:ascii="Times New Roman" w:hAnsi="Times New Roman"/>
          <w:bCs/>
          <w:sz w:val="22"/>
          <w:lang w:val="es-AR"/>
        </w:rPr>
        <w:t>Esta</w:t>
      </w:r>
      <w:r w:rsidR="00C0304C" w:rsidRPr="001A3AFE">
        <w:rPr>
          <w:rFonts w:ascii="Times New Roman" w:hAnsi="Times New Roman"/>
          <w:bCs/>
          <w:sz w:val="22"/>
          <w:lang w:val="es-AR"/>
        </w:rPr>
        <w:t xml:space="preserve"> expansión económica requ</w:t>
      </w:r>
      <w:r w:rsidR="00893F43" w:rsidRPr="001A3AFE">
        <w:rPr>
          <w:rFonts w:ascii="Times New Roman" w:hAnsi="Times New Roman"/>
          <w:bCs/>
          <w:sz w:val="22"/>
          <w:lang w:val="es-AR"/>
        </w:rPr>
        <w:t>erirá de</w:t>
      </w:r>
      <w:r w:rsidR="00C0304C" w:rsidRPr="001A3AFE">
        <w:rPr>
          <w:rFonts w:ascii="Times New Roman" w:hAnsi="Times New Roman"/>
          <w:bCs/>
          <w:sz w:val="22"/>
          <w:lang w:val="es-AR"/>
        </w:rPr>
        <w:t xml:space="preserve"> otros factores concurrentes (aspectos macroeconómicos, políticas de impulso, vocación </w:t>
      </w:r>
      <w:r w:rsidR="00FE22C5" w:rsidRPr="001A3AFE">
        <w:rPr>
          <w:rFonts w:ascii="Times New Roman" w:hAnsi="Times New Roman"/>
          <w:bCs/>
          <w:sz w:val="22"/>
          <w:lang w:val="es-AR"/>
        </w:rPr>
        <w:t xml:space="preserve">del </w:t>
      </w:r>
      <w:r w:rsidR="00C0304C" w:rsidRPr="001A3AFE">
        <w:rPr>
          <w:rFonts w:ascii="Times New Roman" w:hAnsi="Times New Roman"/>
          <w:bCs/>
          <w:sz w:val="22"/>
          <w:lang w:val="es-AR"/>
        </w:rPr>
        <w:t xml:space="preserve">sector privado), </w:t>
      </w:r>
      <w:r w:rsidR="00AC5B8A" w:rsidRPr="001A3AFE">
        <w:rPr>
          <w:rFonts w:ascii="Times New Roman" w:hAnsi="Times New Roman"/>
          <w:bCs/>
          <w:sz w:val="22"/>
          <w:lang w:val="es-AR"/>
        </w:rPr>
        <w:t xml:space="preserve"> </w:t>
      </w:r>
      <w:r w:rsidR="0054317F" w:rsidRPr="001A3AFE">
        <w:rPr>
          <w:rFonts w:ascii="Times New Roman" w:hAnsi="Times New Roman"/>
          <w:bCs/>
          <w:sz w:val="22"/>
          <w:lang w:val="es-AR"/>
        </w:rPr>
        <w:t xml:space="preserve">para que </w:t>
      </w:r>
      <w:r w:rsidR="00FE22C5" w:rsidRPr="001A3AFE">
        <w:rPr>
          <w:rFonts w:ascii="Times New Roman" w:hAnsi="Times New Roman"/>
          <w:bCs/>
          <w:sz w:val="22"/>
          <w:lang w:val="es-AR"/>
        </w:rPr>
        <w:t xml:space="preserve">los beneficios </w:t>
      </w:r>
      <w:r w:rsidR="00893F43" w:rsidRPr="001A3AFE">
        <w:rPr>
          <w:rFonts w:ascii="Times New Roman" w:hAnsi="Times New Roman"/>
          <w:bCs/>
          <w:sz w:val="22"/>
          <w:lang w:val="es-AR"/>
        </w:rPr>
        <w:t xml:space="preserve">se traduzcan </w:t>
      </w:r>
      <w:r w:rsidR="009E0C92" w:rsidRPr="001A3AFE">
        <w:rPr>
          <w:rFonts w:ascii="Times New Roman" w:hAnsi="Times New Roman"/>
          <w:bCs/>
          <w:sz w:val="22"/>
          <w:lang w:val="es-AR"/>
        </w:rPr>
        <w:t xml:space="preserve">en el largo plazo </w:t>
      </w:r>
      <w:r w:rsidR="00893F43" w:rsidRPr="001A3AFE">
        <w:rPr>
          <w:rFonts w:ascii="Times New Roman" w:hAnsi="Times New Roman"/>
          <w:bCs/>
          <w:sz w:val="22"/>
          <w:lang w:val="es-AR"/>
        </w:rPr>
        <w:t>en una situación consolidada</w:t>
      </w:r>
      <w:r w:rsidR="00D327A3" w:rsidRPr="001A3AFE">
        <w:rPr>
          <w:rFonts w:ascii="Times New Roman" w:hAnsi="Times New Roman"/>
          <w:bCs/>
          <w:sz w:val="22"/>
          <w:lang w:val="es-AR"/>
        </w:rPr>
        <w:t xml:space="preserve">. </w:t>
      </w:r>
      <w:r w:rsidR="00893F43" w:rsidRPr="001A3AFE">
        <w:rPr>
          <w:rFonts w:ascii="Times New Roman" w:hAnsi="Times New Roman"/>
          <w:bCs/>
          <w:sz w:val="22"/>
          <w:lang w:val="es-AR"/>
        </w:rPr>
        <w:t xml:space="preserve">Estos aspectos serán </w:t>
      </w:r>
      <w:r w:rsidR="006C212F" w:rsidRPr="001A3AFE">
        <w:rPr>
          <w:rFonts w:ascii="Times New Roman" w:hAnsi="Times New Roman"/>
          <w:bCs/>
          <w:sz w:val="22"/>
          <w:lang w:val="es-AR"/>
        </w:rPr>
        <w:t>presentados</w:t>
      </w:r>
      <w:r w:rsidR="00893F43" w:rsidRPr="001A3AFE">
        <w:rPr>
          <w:rFonts w:ascii="Times New Roman" w:hAnsi="Times New Roman"/>
          <w:bCs/>
          <w:sz w:val="22"/>
          <w:lang w:val="es-AR"/>
        </w:rPr>
        <w:t xml:space="preserve"> con una mirada reflexiva</w:t>
      </w:r>
      <w:r w:rsidR="00B40C4C">
        <w:rPr>
          <w:rFonts w:ascii="Times New Roman" w:hAnsi="Times New Roman"/>
          <w:bCs/>
          <w:sz w:val="22"/>
          <w:lang w:val="es-AR"/>
        </w:rPr>
        <w:t xml:space="preserve"> de ponderación cualitativa, </w:t>
      </w:r>
      <w:r w:rsidR="00893F43" w:rsidRPr="001A3AFE">
        <w:rPr>
          <w:rFonts w:ascii="Times New Roman" w:hAnsi="Times New Roman"/>
          <w:bCs/>
          <w:sz w:val="22"/>
          <w:lang w:val="es-AR"/>
        </w:rPr>
        <w:t xml:space="preserve"> </w:t>
      </w:r>
      <w:r w:rsidR="00B40C4C">
        <w:rPr>
          <w:rFonts w:ascii="Times New Roman" w:hAnsi="Times New Roman"/>
          <w:bCs/>
          <w:sz w:val="22"/>
          <w:lang w:val="es-AR"/>
        </w:rPr>
        <w:t>sin incorporar los mismos en los cómputos finales de TIR, VAN y ratio B/C.</w:t>
      </w:r>
    </w:p>
    <w:p w:rsidR="008077EE" w:rsidRPr="00B40C4C" w:rsidRDefault="008077EE" w:rsidP="00C95815">
      <w:pPr>
        <w:numPr>
          <w:ilvl w:val="1"/>
          <w:numId w:val="12"/>
        </w:numPr>
        <w:jc w:val="both"/>
        <w:rPr>
          <w:rFonts w:ascii="Times New Roman" w:hAnsi="Times New Roman"/>
          <w:bCs/>
          <w:sz w:val="22"/>
          <w:lang w:val="es-AR"/>
        </w:rPr>
      </w:pPr>
      <w:r w:rsidRPr="00B40C4C">
        <w:rPr>
          <w:rFonts w:ascii="Times New Roman" w:hAnsi="Times New Roman"/>
          <w:bCs/>
          <w:i/>
          <w:sz w:val="22"/>
          <w:lang w:val="es-AR"/>
        </w:rPr>
        <w:t>Indicadores</w:t>
      </w:r>
      <w:r w:rsidRPr="00B40C4C">
        <w:rPr>
          <w:rFonts w:ascii="Times New Roman" w:hAnsi="Times New Roman"/>
          <w:bCs/>
          <w:sz w:val="22"/>
          <w:lang w:val="es-AR"/>
        </w:rPr>
        <w:t>. El análisis costo-beneficio se realiza mediante</w:t>
      </w:r>
      <w:r w:rsidR="008F2054" w:rsidRPr="00B40C4C">
        <w:rPr>
          <w:rFonts w:ascii="Times New Roman" w:hAnsi="Times New Roman"/>
          <w:bCs/>
          <w:sz w:val="22"/>
          <w:lang w:val="es-AR"/>
        </w:rPr>
        <w:t xml:space="preserve"> </w:t>
      </w:r>
      <w:r w:rsidR="00FE22C5" w:rsidRPr="00B40C4C">
        <w:rPr>
          <w:rFonts w:ascii="Times New Roman" w:hAnsi="Times New Roman"/>
          <w:bCs/>
          <w:sz w:val="22"/>
          <w:lang w:val="es-AR"/>
        </w:rPr>
        <w:t>tres</w:t>
      </w:r>
      <w:r w:rsidRPr="00B40C4C">
        <w:rPr>
          <w:rFonts w:ascii="Times New Roman" w:hAnsi="Times New Roman"/>
          <w:bCs/>
          <w:sz w:val="22"/>
          <w:lang w:val="es-AR"/>
        </w:rPr>
        <w:t xml:space="preserve"> indicadores: </w:t>
      </w:r>
      <w:r w:rsidR="006E4A87" w:rsidRPr="00B40C4C">
        <w:rPr>
          <w:rFonts w:ascii="Times New Roman" w:hAnsi="Times New Roman"/>
          <w:bCs/>
          <w:sz w:val="22"/>
          <w:lang w:val="es-AR"/>
        </w:rPr>
        <w:t xml:space="preserve">el </w:t>
      </w:r>
      <w:r w:rsidR="00094CB7" w:rsidRPr="00B40C4C">
        <w:rPr>
          <w:rFonts w:ascii="Times New Roman" w:hAnsi="Times New Roman"/>
          <w:bCs/>
          <w:sz w:val="22"/>
          <w:lang w:val="es-AR"/>
        </w:rPr>
        <w:t xml:space="preserve">ratio </w:t>
      </w:r>
      <w:r w:rsidR="006E4A87" w:rsidRPr="00B40C4C">
        <w:rPr>
          <w:rFonts w:ascii="Times New Roman" w:hAnsi="Times New Roman"/>
          <w:bCs/>
          <w:sz w:val="22"/>
          <w:lang w:val="es-AR"/>
        </w:rPr>
        <w:t xml:space="preserve">B/C, </w:t>
      </w:r>
      <w:r w:rsidRPr="00B40C4C">
        <w:rPr>
          <w:rFonts w:ascii="Times New Roman" w:hAnsi="Times New Roman"/>
          <w:bCs/>
          <w:sz w:val="22"/>
          <w:lang w:val="es-AR"/>
        </w:rPr>
        <w:t>la tasa interna de retorno (TIR) y el valor actual neto (VAN). A continuación, se presentan las fórmulas  utilizadas para el cálculo de cada uno de estos indicadores de rentabilidad.</w:t>
      </w:r>
    </w:p>
    <w:p w:rsidR="006E4A87" w:rsidRPr="00B40C4C" w:rsidRDefault="006E4A87" w:rsidP="00C95815">
      <w:pPr>
        <w:pStyle w:val="ListParagraph"/>
        <w:numPr>
          <w:ilvl w:val="0"/>
          <w:numId w:val="13"/>
        </w:numPr>
        <w:jc w:val="both"/>
        <w:rPr>
          <w:rFonts w:ascii="Times New Roman" w:hAnsi="Times New Roman"/>
          <w:bCs/>
          <w:sz w:val="22"/>
          <w:lang w:val="es-AR"/>
        </w:rPr>
      </w:pPr>
      <w:r w:rsidRPr="00B40C4C">
        <w:rPr>
          <w:rFonts w:ascii="Times New Roman" w:hAnsi="Times New Roman"/>
          <w:bCs/>
          <w:sz w:val="22"/>
          <w:lang w:val="es-AR"/>
        </w:rPr>
        <w:t>Ratio B/C: La Relación Beneficio/Costo  se calcula dividiendo los  Beneficios Económicos (B) por el Costo de inversión, operación y mantenimiento (C), ambos actualizados a una misma tasa de descuento (Caso base d=12%).</w:t>
      </w:r>
    </w:p>
    <w:p w:rsidR="008077EE" w:rsidRPr="006E4A87" w:rsidRDefault="008077EE" w:rsidP="00C95815">
      <w:pPr>
        <w:pStyle w:val="ListParagraph"/>
        <w:numPr>
          <w:ilvl w:val="0"/>
          <w:numId w:val="13"/>
        </w:numPr>
        <w:jc w:val="both"/>
        <w:rPr>
          <w:rFonts w:ascii="Times New Roman" w:hAnsi="Times New Roman"/>
          <w:bCs/>
          <w:sz w:val="22"/>
          <w:lang w:val="es-AR"/>
        </w:rPr>
      </w:pPr>
      <w:r w:rsidRPr="00B40C4C">
        <w:rPr>
          <w:rFonts w:ascii="Times New Roman" w:hAnsi="Times New Roman"/>
          <w:bCs/>
          <w:sz w:val="22"/>
          <w:lang w:val="es-AR"/>
        </w:rPr>
        <w:lastRenderedPageBreak/>
        <w:t xml:space="preserve">Tasa Interna de Retorno (TIR): Es aquella tasa que, aplicada a determinado flujo neto de beneficios (Beneficio </w:t>
      </w:r>
      <w:r w:rsidR="0096383D" w:rsidRPr="00B40C4C">
        <w:rPr>
          <w:rFonts w:ascii="Times New Roman" w:hAnsi="Times New Roman"/>
          <w:bCs/>
          <w:sz w:val="22"/>
          <w:lang w:val="es-AR"/>
        </w:rPr>
        <w:t xml:space="preserve">neto de </w:t>
      </w:r>
      <w:r w:rsidRPr="00B40C4C">
        <w:rPr>
          <w:rFonts w:ascii="Times New Roman" w:hAnsi="Times New Roman"/>
          <w:bCs/>
          <w:sz w:val="22"/>
          <w:lang w:val="es-AR"/>
        </w:rPr>
        <w:t>Costo</w:t>
      </w:r>
      <w:r w:rsidR="00FE22C5" w:rsidRPr="00B40C4C">
        <w:rPr>
          <w:rFonts w:ascii="Times New Roman" w:hAnsi="Times New Roman"/>
          <w:bCs/>
          <w:sz w:val="22"/>
          <w:lang w:val="es-AR"/>
        </w:rPr>
        <w:t xml:space="preserve"> de inversión, operación y mantenimiento</w:t>
      </w:r>
      <w:r w:rsidRPr="00B40C4C">
        <w:rPr>
          <w:rFonts w:ascii="Times New Roman" w:hAnsi="Times New Roman"/>
          <w:bCs/>
          <w:sz w:val="22"/>
          <w:lang w:val="es-AR"/>
        </w:rPr>
        <w:t xml:space="preserve">, </w:t>
      </w:r>
      <w:r w:rsidR="0096383D" w:rsidRPr="00B40C4C">
        <w:rPr>
          <w:rFonts w:ascii="Times New Roman" w:hAnsi="Times New Roman"/>
          <w:bCs/>
          <w:sz w:val="22"/>
          <w:lang w:val="es-AR"/>
        </w:rPr>
        <w:t>ambos incrementales</w:t>
      </w:r>
      <w:r w:rsidRPr="00B40C4C">
        <w:rPr>
          <w:rFonts w:ascii="Times New Roman" w:hAnsi="Times New Roman"/>
          <w:bCs/>
          <w:sz w:val="22"/>
          <w:lang w:val="es-AR"/>
        </w:rPr>
        <w:t xml:space="preserve">),  vuelve igual </w:t>
      </w:r>
      <w:r w:rsidRPr="006E4A87">
        <w:rPr>
          <w:rFonts w:ascii="Times New Roman" w:hAnsi="Times New Roman"/>
          <w:bCs/>
          <w:sz w:val="22"/>
          <w:lang w:val="es-AR"/>
        </w:rPr>
        <w:t xml:space="preserve">a cero su valor actual neto. </w:t>
      </w:r>
    </w:p>
    <w:p w:rsidR="008077EE" w:rsidRPr="006E4A87" w:rsidRDefault="008077EE" w:rsidP="00C95815">
      <w:pPr>
        <w:pStyle w:val="ListParagraph"/>
        <w:numPr>
          <w:ilvl w:val="0"/>
          <w:numId w:val="13"/>
        </w:numPr>
        <w:jc w:val="both"/>
        <w:rPr>
          <w:rFonts w:ascii="Times New Roman" w:hAnsi="Times New Roman"/>
          <w:bCs/>
          <w:sz w:val="22"/>
          <w:lang w:val="es-AR"/>
        </w:rPr>
      </w:pPr>
      <w:r w:rsidRPr="006E4A87">
        <w:rPr>
          <w:rFonts w:ascii="Times New Roman" w:hAnsi="Times New Roman"/>
          <w:bCs/>
          <w:sz w:val="22"/>
          <w:lang w:val="es-AR"/>
        </w:rPr>
        <w:t xml:space="preserve">Valor Actual Neto (VAN): El Valor </w:t>
      </w:r>
      <w:r w:rsidR="00094CB7">
        <w:rPr>
          <w:rFonts w:ascii="Times New Roman" w:hAnsi="Times New Roman"/>
          <w:bCs/>
          <w:sz w:val="22"/>
          <w:lang w:val="es-AR"/>
        </w:rPr>
        <w:t>a</w:t>
      </w:r>
      <w:r w:rsidR="00094CB7" w:rsidRPr="006E4A87">
        <w:rPr>
          <w:rFonts w:ascii="Times New Roman" w:hAnsi="Times New Roman"/>
          <w:bCs/>
          <w:sz w:val="22"/>
          <w:lang w:val="es-AR"/>
        </w:rPr>
        <w:t xml:space="preserve">ctual </w:t>
      </w:r>
      <w:r w:rsidR="00094CB7">
        <w:rPr>
          <w:rFonts w:ascii="Times New Roman" w:hAnsi="Times New Roman"/>
          <w:bCs/>
          <w:sz w:val="22"/>
          <w:lang w:val="es-AR"/>
        </w:rPr>
        <w:t>n</w:t>
      </w:r>
      <w:r w:rsidR="00094CB7" w:rsidRPr="006E4A87">
        <w:rPr>
          <w:rFonts w:ascii="Times New Roman" w:hAnsi="Times New Roman"/>
          <w:bCs/>
          <w:sz w:val="22"/>
          <w:lang w:val="es-AR"/>
        </w:rPr>
        <w:t xml:space="preserve">eto </w:t>
      </w:r>
      <w:r w:rsidRPr="006E4A87">
        <w:rPr>
          <w:rFonts w:ascii="Times New Roman" w:hAnsi="Times New Roman"/>
          <w:bCs/>
          <w:sz w:val="22"/>
          <w:lang w:val="es-AR"/>
        </w:rPr>
        <w:t xml:space="preserve">se define como el beneficio económico generado (B) menos el costo del mismo (C), ambos actualizados a la tasa de descuento del 12% </w:t>
      </w:r>
      <w:r w:rsidR="0036665C" w:rsidRPr="006E4A87">
        <w:rPr>
          <w:rFonts w:ascii="Times New Roman" w:hAnsi="Times New Roman"/>
          <w:bCs/>
          <w:sz w:val="22"/>
          <w:lang w:val="es-AR"/>
        </w:rPr>
        <w:t xml:space="preserve">usualmente empleada para proyectos financiados por </w:t>
      </w:r>
      <w:r w:rsidR="00094CB7">
        <w:rPr>
          <w:rFonts w:ascii="Times New Roman" w:hAnsi="Times New Roman"/>
          <w:bCs/>
          <w:sz w:val="22"/>
          <w:lang w:val="es-AR"/>
        </w:rPr>
        <w:t>o</w:t>
      </w:r>
      <w:r w:rsidR="00094CB7" w:rsidRPr="006E4A87">
        <w:rPr>
          <w:rFonts w:ascii="Times New Roman" w:hAnsi="Times New Roman"/>
          <w:bCs/>
          <w:sz w:val="22"/>
          <w:lang w:val="es-AR"/>
        </w:rPr>
        <w:t xml:space="preserve">rganismos </w:t>
      </w:r>
      <w:r w:rsidR="00094CB7">
        <w:rPr>
          <w:rFonts w:ascii="Times New Roman" w:hAnsi="Times New Roman"/>
          <w:bCs/>
          <w:sz w:val="22"/>
          <w:lang w:val="es-AR"/>
        </w:rPr>
        <w:t>m</w:t>
      </w:r>
      <w:r w:rsidR="00094CB7" w:rsidRPr="006E4A87">
        <w:rPr>
          <w:rFonts w:ascii="Times New Roman" w:hAnsi="Times New Roman"/>
          <w:bCs/>
          <w:sz w:val="22"/>
          <w:lang w:val="es-AR"/>
        </w:rPr>
        <w:t>ultilaterales</w:t>
      </w:r>
      <w:r w:rsidR="0036665C" w:rsidRPr="006E4A87">
        <w:rPr>
          <w:rFonts w:ascii="Times New Roman" w:hAnsi="Times New Roman"/>
          <w:bCs/>
          <w:sz w:val="22"/>
          <w:lang w:val="es-AR"/>
        </w:rPr>
        <w:t>.</w:t>
      </w:r>
    </w:p>
    <w:p w:rsidR="0093078E" w:rsidRDefault="00EB7792" w:rsidP="0093078E">
      <w:pPr>
        <w:pStyle w:val="Heading3"/>
        <w:rPr>
          <w:lang w:val="es-ES_tradnl"/>
        </w:rPr>
      </w:pPr>
      <w:bookmarkStart w:id="100" w:name="_Toc465929616"/>
      <w:bookmarkStart w:id="101" w:name="_Toc468199828"/>
      <w:r>
        <w:rPr>
          <w:lang w:val="es-ES_tradnl"/>
        </w:rPr>
        <w:t xml:space="preserve">Antecedentes </w:t>
      </w:r>
      <w:r w:rsidR="0093078E">
        <w:rPr>
          <w:lang w:val="es-ES_tradnl"/>
        </w:rPr>
        <w:t xml:space="preserve"> en intervenciones </w:t>
      </w:r>
      <w:r w:rsidR="009A30C1">
        <w:rPr>
          <w:lang w:val="es-ES_tradnl"/>
        </w:rPr>
        <w:t>similares.</w:t>
      </w:r>
      <w:bookmarkEnd w:id="100"/>
      <w:bookmarkEnd w:id="101"/>
    </w:p>
    <w:p w:rsidR="0093078E" w:rsidRPr="0093078E" w:rsidRDefault="0093078E" w:rsidP="0093078E">
      <w:pPr>
        <w:autoSpaceDE w:val="0"/>
        <w:autoSpaceDN w:val="0"/>
        <w:adjustRightInd w:val="0"/>
        <w:jc w:val="both"/>
        <w:rPr>
          <w:rFonts w:ascii="Times New Roman" w:hAnsi="Times New Roman"/>
          <w:sz w:val="22"/>
          <w:szCs w:val="22"/>
          <w:lang w:val="es-AR" w:eastAsia="es-AR"/>
        </w:rPr>
      </w:pPr>
    </w:p>
    <w:p w:rsidR="00216DD9" w:rsidRPr="00F53934" w:rsidRDefault="0093078E" w:rsidP="00C95815">
      <w:pPr>
        <w:numPr>
          <w:ilvl w:val="1"/>
          <w:numId w:val="12"/>
        </w:numPr>
        <w:jc w:val="both"/>
        <w:rPr>
          <w:rFonts w:ascii="Times New Roman" w:hAnsi="Times New Roman"/>
          <w:bCs/>
          <w:sz w:val="22"/>
          <w:szCs w:val="22"/>
          <w:lang w:val="es-ES_tradnl" w:eastAsia="es-AR"/>
        </w:rPr>
      </w:pPr>
      <w:r w:rsidRPr="00216DD9">
        <w:rPr>
          <w:rFonts w:ascii="Times New Roman" w:hAnsi="Times New Roman"/>
          <w:bCs/>
          <w:iCs/>
          <w:sz w:val="22"/>
          <w:lang w:val="es-PE"/>
        </w:rPr>
        <w:t xml:space="preserve">A efectos de brindar una referencia sobre los beneficios en este tipo de intervenciones se ha revisado </w:t>
      </w:r>
      <w:r w:rsidR="00F53934">
        <w:rPr>
          <w:rFonts w:ascii="Times New Roman" w:hAnsi="Times New Roman"/>
          <w:bCs/>
          <w:iCs/>
          <w:sz w:val="22"/>
          <w:lang w:val="es-PE"/>
        </w:rPr>
        <w:t>la literatura sobre el</w:t>
      </w:r>
      <w:r w:rsidR="00216DD9">
        <w:rPr>
          <w:rFonts w:ascii="Times New Roman" w:hAnsi="Times New Roman"/>
          <w:bCs/>
          <w:iCs/>
          <w:sz w:val="22"/>
          <w:lang w:val="es-PE"/>
        </w:rPr>
        <w:t xml:space="preserve"> enfoque </w:t>
      </w:r>
      <w:r w:rsidR="00094CB7">
        <w:rPr>
          <w:rFonts w:ascii="Times New Roman" w:hAnsi="Times New Roman"/>
          <w:bCs/>
          <w:iCs/>
          <w:sz w:val="22"/>
          <w:lang w:val="es-PE"/>
        </w:rPr>
        <w:t>c</w:t>
      </w:r>
      <w:r w:rsidR="00216DD9">
        <w:rPr>
          <w:rFonts w:ascii="Times New Roman" w:hAnsi="Times New Roman"/>
          <w:bCs/>
          <w:iCs/>
          <w:sz w:val="22"/>
          <w:lang w:val="es-PE"/>
        </w:rPr>
        <w:t>osto</w:t>
      </w:r>
      <w:r w:rsidR="00094CB7">
        <w:rPr>
          <w:rFonts w:ascii="Times New Roman" w:hAnsi="Times New Roman"/>
          <w:bCs/>
          <w:iCs/>
          <w:sz w:val="22"/>
          <w:lang w:val="es-PE"/>
        </w:rPr>
        <w:t>-b</w:t>
      </w:r>
      <w:r w:rsidR="00216DD9">
        <w:rPr>
          <w:rFonts w:ascii="Times New Roman" w:hAnsi="Times New Roman"/>
          <w:bCs/>
          <w:iCs/>
          <w:sz w:val="22"/>
          <w:lang w:val="es-PE"/>
        </w:rPr>
        <w:t>eneficio</w:t>
      </w:r>
      <w:r w:rsidR="00F53934">
        <w:rPr>
          <w:rFonts w:ascii="Times New Roman" w:hAnsi="Times New Roman"/>
          <w:bCs/>
          <w:iCs/>
          <w:sz w:val="22"/>
          <w:lang w:val="es-PE"/>
        </w:rPr>
        <w:t xml:space="preserve"> </w:t>
      </w:r>
      <w:r w:rsidR="00B40C4C">
        <w:rPr>
          <w:rFonts w:ascii="Times New Roman" w:hAnsi="Times New Roman"/>
          <w:bCs/>
          <w:iCs/>
          <w:sz w:val="22"/>
          <w:lang w:val="es-PE"/>
        </w:rPr>
        <w:t xml:space="preserve">aplicado </w:t>
      </w:r>
      <w:r w:rsidR="00F53934">
        <w:rPr>
          <w:rFonts w:ascii="Times New Roman" w:hAnsi="Times New Roman"/>
          <w:bCs/>
          <w:iCs/>
          <w:sz w:val="22"/>
          <w:lang w:val="es-PE"/>
        </w:rPr>
        <w:t>en est</w:t>
      </w:r>
      <w:r w:rsidR="00B40C4C">
        <w:rPr>
          <w:rFonts w:ascii="Times New Roman" w:hAnsi="Times New Roman"/>
          <w:bCs/>
          <w:iCs/>
          <w:sz w:val="22"/>
          <w:lang w:val="es-PE"/>
        </w:rPr>
        <w:t>os análisis</w:t>
      </w:r>
      <w:r w:rsidR="00216DD9">
        <w:rPr>
          <w:rStyle w:val="FootnoteReference"/>
          <w:rFonts w:ascii="Times New Roman" w:hAnsi="Times New Roman"/>
          <w:bCs/>
          <w:iCs/>
          <w:sz w:val="22"/>
          <w:lang w:val="es-PE"/>
        </w:rPr>
        <w:footnoteReference w:id="24"/>
      </w:r>
      <w:r w:rsidR="00514485" w:rsidRPr="00216DD9">
        <w:rPr>
          <w:rFonts w:ascii="Times New Roman" w:hAnsi="Times New Roman"/>
          <w:bCs/>
          <w:iCs/>
          <w:sz w:val="22"/>
          <w:lang w:val="es-PE"/>
        </w:rPr>
        <w:t>.</w:t>
      </w:r>
      <w:r w:rsidRPr="00216DD9">
        <w:rPr>
          <w:rFonts w:ascii="Times New Roman" w:hAnsi="Times New Roman"/>
          <w:bCs/>
          <w:iCs/>
          <w:sz w:val="22"/>
          <w:lang w:val="es-PE"/>
        </w:rPr>
        <w:t xml:space="preserve"> </w:t>
      </w:r>
      <w:r w:rsidR="006E4A87">
        <w:rPr>
          <w:rFonts w:ascii="Times New Roman" w:hAnsi="Times New Roman"/>
          <w:bCs/>
          <w:iCs/>
          <w:sz w:val="22"/>
          <w:lang w:val="es-PE"/>
        </w:rPr>
        <w:t xml:space="preserve">Por una parte </w:t>
      </w:r>
      <w:r w:rsidR="009E0C92">
        <w:rPr>
          <w:rFonts w:ascii="Times New Roman" w:hAnsi="Times New Roman"/>
          <w:bCs/>
          <w:iCs/>
          <w:sz w:val="22"/>
          <w:lang w:val="es-PE"/>
        </w:rPr>
        <w:t xml:space="preserve">es conocido que </w:t>
      </w:r>
      <w:r w:rsidR="006E4A87">
        <w:rPr>
          <w:rFonts w:ascii="Times New Roman" w:hAnsi="Times New Roman"/>
          <w:bCs/>
          <w:iCs/>
          <w:sz w:val="22"/>
          <w:lang w:val="es-PE"/>
        </w:rPr>
        <w:t>l</w:t>
      </w:r>
      <w:r w:rsidR="00FE22C5" w:rsidRPr="00FE22C5">
        <w:rPr>
          <w:rFonts w:ascii="Times New Roman" w:hAnsi="Times New Roman"/>
          <w:bCs/>
          <w:iCs/>
          <w:sz w:val="22"/>
          <w:lang w:val="es-PE"/>
        </w:rPr>
        <w:t xml:space="preserve">as medidas necesarias para prepararse mejor para las crisis </w:t>
      </w:r>
      <w:r w:rsidR="00FE22C5">
        <w:rPr>
          <w:rFonts w:ascii="Times New Roman" w:hAnsi="Times New Roman"/>
          <w:bCs/>
          <w:iCs/>
          <w:sz w:val="22"/>
          <w:lang w:val="es-PE"/>
        </w:rPr>
        <w:t>implica</w:t>
      </w:r>
      <w:r w:rsidR="009E0C92">
        <w:rPr>
          <w:rFonts w:ascii="Times New Roman" w:hAnsi="Times New Roman"/>
          <w:bCs/>
          <w:iCs/>
          <w:sz w:val="22"/>
          <w:lang w:val="es-PE"/>
        </w:rPr>
        <w:t>n</w:t>
      </w:r>
      <w:r w:rsidR="00FE22C5">
        <w:rPr>
          <w:rFonts w:ascii="Times New Roman" w:hAnsi="Times New Roman"/>
          <w:bCs/>
          <w:iCs/>
          <w:sz w:val="22"/>
          <w:lang w:val="es-PE"/>
        </w:rPr>
        <w:t xml:space="preserve"> un costo cierto o efectivo</w:t>
      </w:r>
      <w:r w:rsidR="00FE22C5" w:rsidRPr="00FE22C5">
        <w:rPr>
          <w:rFonts w:ascii="Times New Roman" w:hAnsi="Times New Roman"/>
          <w:bCs/>
          <w:iCs/>
          <w:sz w:val="22"/>
          <w:lang w:val="es-PE"/>
        </w:rPr>
        <w:t xml:space="preserve">, mientras que los beneficios son </w:t>
      </w:r>
      <w:r w:rsidR="009E0C92">
        <w:rPr>
          <w:rFonts w:ascii="Times New Roman" w:hAnsi="Times New Roman"/>
          <w:bCs/>
          <w:iCs/>
          <w:sz w:val="22"/>
          <w:lang w:val="es-PE"/>
        </w:rPr>
        <w:t>mayormente</w:t>
      </w:r>
      <w:r w:rsidR="00FE22C5" w:rsidRPr="00FE22C5">
        <w:rPr>
          <w:rFonts w:ascii="Times New Roman" w:hAnsi="Times New Roman"/>
          <w:bCs/>
          <w:iCs/>
          <w:sz w:val="22"/>
          <w:lang w:val="es-PE"/>
        </w:rPr>
        <w:t xml:space="preserve"> inciertos. </w:t>
      </w:r>
      <w:r w:rsidR="006E4A87">
        <w:rPr>
          <w:rFonts w:ascii="Times New Roman" w:hAnsi="Times New Roman"/>
          <w:bCs/>
          <w:iCs/>
          <w:sz w:val="22"/>
          <w:lang w:val="es-PE"/>
        </w:rPr>
        <w:t xml:space="preserve">El análisis </w:t>
      </w:r>
      <w:r w:rsidR="00094CB7">
        <w:rPr>
          <w:rFonts w:ascii="Times New Roman" w:hAnsi="Times New Roman"/>
          <w:bCs/>
          <w:iCs/>
          <w:sz w:val="22"/>
          <w:lang w:val="es-PE"/>
        </w:rPr>
        <w:t>c</w:t>
      </w:r>
      <w:r w:rsidR="00FE22C5" w:rsidRPr="00FE22C5">
        <w:rPr>
          <w:rFonts w:ascii="Times New Roman" w:hAnsi="Times New Roman"/>
          <w:bCs/>
          <w:iCs/>
          <w:sz w:val="22"/>
          <w:lang w:val="es-PE"/>
        </w:rPr>
        <w:t xml:space="preserve">osto-beneficio proporciona un medio para tratar de </w:t>
      </w:r>
      <w:r w:rsidR="00F53934">
        <w:rPr>
          <w:rFonts w:ascii="Times New Roman" w:hAnsi="Times New Roman"/>
          <w:bCs/>
          <w:iCs/>
          <w:sz w:val="22"/>
          <w:lang w:val="es-PE"/>
        </w:rPr>
        <w:t>resolver esa limitación</w:t>
      </w:r>
      <w:r w:rsidR="00FE22C5" w:rsidRPr="00FE22C5">
        <w:rPr>
          <w:rFonts w:ascii="Times New Roman" w:hAnsi="Times New Roman"/>
          <w:bCs/>
          <w:iCs/>
          <w:sz w:val="22"/>
          <w:lang w:val="es-PE"/>
        </w:rPr>
        <w:t xml:space="preserve">. </w:t>
      </w:r>
      <w:r w:rsidR="00F53934">
        <w:rPr>
          <w:rFonts w:ascii="Times New Roman" w:hAnsi="Times New Roman"/>
          <w:bCs/>
          <w:iCs/>
          <w:sz w:val="22"/>
          <w:lang w:val="es-PE"/>
        </w:rPr>
        <w:t>Que</w:t>
      </w:r>
      <w:r w:rsidR="00F53934" w:rsidRPr="00F53934">
        <w:rPr>
          <w:rFonts w:ascii="Times New Roman" w:hAnsi="Times New Roman"/>
          <w:bCs/>
          <w:iCs/>
          <w:sz w:val="22"/>
          <w:lang w:val="es-PE"/>
        </w:rPr>
        <w:t xml:space="preserve"> una intervención se consider</w:t>
      </w:r>
      <w:r w:rsidR="00F53934">
        <w:rPr>
          <w:rFonts w:ascii="Times New Roman" w:hAnsi="Times New Roman"/>
          <w:bCs/>
          <w:iCs/>
          <w:sz w:val="22"/>
          <w:lang w:val="es-PE"/>
        </w:rPr>
        <w:t xml:space="preserve">e conveniente </w:t>
      </w:r>
      <w:r w:rsidR="00F53934" w:rsidRPr="00F53934">
        <w:rPr>
          <w:rFonts w:ascii="Times New Roman" w:hAnsi="Times New Roman"/>
          <w:bCs/>
          <w:iCs/>
          <w:sz w:val="22"/>
          <w:lang w:val="es-PE"/>
        </w:rPr>
        <w:t>depende</w:t>
      </w:r>
      <w:r w:rsidR="006E4A87">
        <w:rPr>
          <w:rFonts w:ascii="Times New Roman" w:hAnsi="Times New Roman"/>
          <w:bCs/>
          <w:iCs/>
          <w:sz w:val="22"/>
          <w:lang w:val="es-PE"/>
        </w:rPr>
        <w:t>rá</w:t>
      </w:r>
      <w:r w:rsidR="00F53934" w:rsidRPr="00F53934">
        <w:rPr>
          <w:rFonts w:ascii="Times New Roman" w:hAnsi="Times New Roman"/>
          <w:bCs/>
          <w:iCs/>
          <w:sz w:val="22"/>
          <w:lang w:val="es-PE"/>
        </w:rPr>
        <w:t xml:space="preserve"> de varios otros factores</w:t>
      </w:r>
      <w:r w:rsidR="00F53934">
        <w:rPr>
          <w:rFonts w:ascii="Times New Roman" w:hAnsi="Times New Roman"/>
          <w:bCs/>
          <w:iCs/>
          <w:sz w:val="22"/>
          <w:lang w:val="es-PE"/>
        </w:rPr>
        <w:t>, entre ellos</w:t>
      </w:r>
      <w:r w:rsidR="009E0C92">
        <w:rPr>
          <w:rFonts w:ascii="Times New Roman" w:hAnsi="Times New Roman"/>
          <w:bCs/>
          <w:iCs/>
          <w:sz w:val="22"/>
          <w:lang w:val="es-PE"/>
        </w:rPr>
        <w:t xml:space="preserve"> uno de alta importancia:</w:t>
      </w:r>
      <w:r w:rsidR="00F53934">
        <w:rPr>
          <w:rFonts w:ascii="Times New Roman" w:hAnsi="Times New Roman"/>
          <w:bCs/>
          <w:iCs/>
          <w:sz w:val="22"/>
          <w:lang w:val="es-PE"/>
        </w:rPr>
        <w:t xml:space="preserve"> </w:t>
      </w:r>
      <w:r w:rsidR="00F53934" w:rsidRPr="00F53934">
        <w:rPr>
          <w:rFonts w:ascii="Times New Roman" w:hAnsi="Times New Roman"/>
          <w:bCs/>
          <w:iCs/>
          <w:sz w:val="22"/>
          <w:lang w:val="es-PE"/>
        </w:rPr>
        <w:t xml:space="preserve">la probabilidad de </w:t>
      </w:r>
      <w:r w:rsidR="00F53934">
        <w:rPr>
          <w:rFonts w:ascii="Times New Roman" w:hAnsi="Times New Roman"/>
          <w:bCs/>
          <w:iCs/>
          <w:sz w:val="22"/>
          <w:lang w:val="es-PE"/>
        </w:rPr>
        <w:t xml:space="preserve">que el desastre </w:t>
      </w:r>
      <w:r w:rsidR="00F53934" w:rsidRPr="00F53934">
        <w:rPr>
          <w:rFonts w:ascii="Times New Roman" w:hAnsi="Times New Roman"/>
          <w:bCs/>
          <w:iCs/>
          <w:sz w:val="22"/>
          <w:lang w:val="es-PE"/>
        </w:rPr>
        <w:t xml:space="preserve">se produzca. Intuitivamente, </w:t>
      </w:r>
      <w:r w:rsidR="00F53934">
        <w:rPr>
          <w:rFonts w:ascii="Times New Roman" w:hAnsi="Times New Roman"/>
          <w:bCs/>
          <w:iCs/>
          <w:sz w:val="22"/>
          <w:lang w:val="es-PE"/>
        </w:rPr>
        <w:t>cuando los eventos son m</w:t>
      </w:r>
      <w:r w:rsidR="006E4A87">
        <w:rPr>
          <w:rFonts w:ascii="Times New Roman" w:hAnsi="Times New Roman"/>
          <w:bCs/>
          <w:iCs/>
          <w:sz w:val="22"/>
          <w:lang w:val="es-PE"/>
        </w:rPr>
        <w:t>á</w:t>
      </w:r>
      <w:r w:rsidR="00F53934">
        <w:rPr>
          <w:rFonts w:ascii="Times New Roman" w:hAnsi="Times New Roman"/>
          <w:bCs/>
          <w:iCs/>
          <w:sz w:val="22"/>
          <w:lang w:val="es-PE"/>
        </w:rPr>
        <w:t xml:space="preserve">s </w:t>
      </w:r>
      <w:r w:rsidR="00F53934" w:rsidRPr="00F53934">
        <w:rPr>
          <w:rFonts w:ascii="Times New Roman" w:hAnsi="Times New Roman"/>
          <w:bCs/>
          <w:iCs/>
          <w:sz w:val="22"/>
          <w:lang w:val="es-PE"/>
        </w:rPr>
        <w:t>probable</w:t>
      </w:r>
      <w:r w:rsidR="00F53934">
        <w:rPr>
          <w:rFonts w:ascii="Times New Roman" w:hAnsi="Times New Roman"/>
          <w:bCs/>
          <w:iCs/>
          <w:sz w:val="22"/>
          <w:lang w:val="es-PE"/>
        </w:rPr>
        <w:t>s</w:t>
      </w:r>
      <w:r w:rsidR="00F53934" w:rsidRPr="00F53934">
        <w:rPr>
          <w:rFonts w:ascii="Times New Roman" w:hAnsi="Times New Roman"/>
          <w:bCs/>
          <w:iCs/>
          <w:sz w:val="22"/>
          <w:lang w:val="es-PE"/>
        </w:rPr>
        <w:t xml:space="preserve"> </w:t>
      </w:r>
      <w:r w:rsidR="009E0C92">
        <w:rPr>
          <w:rFonts w:ascii="Times New Roman" w:hAnsi="Times New Roman"/>
          <w:bCs/>
          <w:iCs/>
          <w:sz w:val="22"/>
          <w:lang w:val="es-PE"/>
        </w:rPr>
        <w:t xml:space="preserve">de ocurrir,  más valiosas se consideran </w:t>
      </w:r>
      <w:r w:rsidR="00F53934" w:rsidRPr="00F53934">
        <w:rPr>
          <w:rFonts w:ascii="Times New Roman" w:hAnsi="Times New Roman"/>
          <w:bCs/>
          <w:iCs/>
          <w:sz w:val="22"/>
          <w:lang w:val="es-PE"/>
        </w:rPr>
        <w:t>la</w:t>
      </w:r>
      <w:r w:rsidR="009E0C92">
        <w:rPr>
          <w:rFonts w:ascii="Times New Roman" w:hAnsi="Times New Roman"/>
          <w:bCs/>
          <w:iCs/>
          <w:sz w:val="22"/>
          <w:lang w:val="es-PE"/>
        </w:rPr>
        <w:t>s</w:t>
      </w:r>
      <w:r w:rsidR="00F53934">
        <w:rPr>
          <w:rFonts w:ascii="Times New Roman" w:hAnsi="Times New Roman"/>
          <w:bCs/>
          <w:iCs/>
          <w:sz w:val="22"/>
          <w:lang w:val="es-PE"/>
        </w:rPr>
        <w:t xml:space="preserve"> medidas de reducción </w:t>
      </w:r>
      <w:r w:rsidR="009E0C92">
        <w:rPr>
          <w:rFonts w:ascii="Times New Roman" w:hAnsi="Times New Roman"/>
          <w:bCs/>
          <w:iCs/>
          <w:sz w:val="22"/>
          <w:lang w:val="es-PE"/>
        </w:rPr>
        <w:t>de riesgo</w:t>
      </w:r>
      <w:r w:rsidR="00F53934">
        <w:rPr>
          <w:rFonts w:ascii="Times New Roman" w:hAnsi="Times New Roman"/>
          <w:bCs/>
          <w:iCs/>
          <w:sz w:val="22"/>
          <w:lang w:val="es-PE"/>
        </w:rPr>
        <w:t>. Por el contrario, eventos</w:t>
      </w:r>
      <w:r w:rsidR="00F53934" w:rsidRPr="00F53934">
        <w:rPr>
          <w:rFonts w:ascii="Times New Roman" w:hAnsi="Times New Roman"/>
          <w:bCs/>
          <w:iCs/>
          <w:sz w:val="22"/>
          <w:lang w:val="es-PE"/>
        </w:rPr>
        <w:t xml:space="preserve"> de alto impacto </w:t>
      </w:r>
      <w:r w:rsidR="006E4A87">
        <w:rPr>
          <w:rFonts w:ascii="Times New Roman" w:hAnsi="Times New Roman"/>
          <w:bCs/>
          <w:iCs/>
          <w:sz w:val="22"/>
          <w:lang w:val="es-PE"/>
        </w:rPr>
        <w:t xml:space="preserve">pero </w:t>
      </w:r>
      <w:r w:rsidR="00F53934" w:rsidRPr="00F53934">
        <w:rPr>
          <w:rFonts w:ascii="Times New Roman" w:hAnsi="Times New Roman"/>
          <w:bCs/>
          <w:iCs/>
          <w:sz w:val="22"/>
          <w:lang w:val="es-PE"/>
        </w:rPr>
        <w:t>de baja probabilidad son potencialmente l</w:t>
      </w:r>
      <w:r w:rsidR="006E4A87">
        <w:rPr>
          <w:rFonts w:ascii="Times New Roman" w:hAnsi="Times New Roman"/>
          <w:bCs/>
          <w:iCs/>
          <w:sz w:val="22"/>
          <w:lang w:val="es-PE"/>
        </w:rPr>
        <w:t>o</w:t>
      </w:r>
      <w:r w:rsidR="00F53934" w:rsidRPr="00F53934">
        <w:rPr>
          <w:rFonts w:ascii="Times New Roman" w:hAnsi="Times New Roman"/>
          <w:bCs/>
          <w:iCs/>
          <w:sz w:val="22"/>
          <w:lang w:val="es-PE"/>
        </w:rPr>
        <w:t xml:space="preserve">s más difíciles de evaluar. </w:t>
      </w:r>
      <w:r w:rsidR="00F53934">
        <w:rPr>
          <w:rFonts w:ascii="Times New Roman" w:hAnsi="Times New Roman"/>
          <w:bCs/>
          <w:iCs/>
          <w:sz w:val="22"/>
          <w:lang w:val="es-PE"/>
        </w:rPr>
        <w:t>Asimismo, p</w:t>
      </w:r>
      <w:r w:rsidR="00F53934" w:rsidRPr="00F53934">
        <w:rPr>
          <w:rFonts w:ascii="Times New Roman" w:hAnsi="Times New Roman"/>
          <w:bCs/>
          <w:iCs/>
          <w:sz w:val="22"/>
          <w:lang w:val="es-PE"/>
        </w:rPr>
        <w:t>ara las políticas que tienen efectos generacionales</w:t>
      </w:r>
      <w:r w:rsidR="009E0C92">
        <w:rPr>
          <w:rFonts w:ascii="Times New Roman" w:hAnsi="Times New Roman"/>
          <w:bCs/>
          <w:iCs/>
          <w:sz w:val="22"/>
          <w:lang w:val="es-PE"/>
        </w:rPr>
        <w:t xml:space="preserve"> y la probabilidad trasciende varias generaciones</w:t>
      </w:r>
      <w:r w:rsidR="00F53934" w:rsidRPr="00F53934">
        <w:rPr>
          <w:rFonts w:ascii="Times New Roman" w:hAnsi="Times New Roman"/>
          <w:bCs/>
          <w:iCs/>
          <w:sz w:val="22"/>
          <w:lang w:val="es-PE"/>
        </w:rPr>
        <w:t xml:space="preserve">, también hay un debate sobre el valor </w:t>
      </w:r>
      <w:r w:rsidR="003A66DB">
        <w:rPr>
          <w:rFonts w:ascii="Times New Roman" w:hAnsi="Times New Roman"/>
          <w:bCs/>
          <w:iCs/>
          <w:sz w:val="22"/>
          <w:lang w:val="es-PE"/>
        </w:rPr>
        <w:t xml:space="preserve">apropiado </w:t>
      </w:r>
      <w:r w:rsidR="00F53934" w:rsidRPr="00F53934">
        <w:rPr>
          <w:rFonts w:ascii="Times New Roman" w:hAnsi="Times New Roman"/>
          <w:bCs/>
          <w:iCs/>
          <w:sz w:val="22"/>
          <w:lang w:val="es-PE"/>
        </w:rPr>
        <w:t>de la tasa de descuento</w:t>
      </w:r>
      <w:r w:rsidR="003A66DB">
        <w:rPr>
          <w:rFonts w:ascii="Times New Roman" w:hAnsi="Times New Roman"/>
          <w:bCs/>
          <w:iCs/>
          <w:sz w:val="22"/>
          <w:lang w:val="es-PE"/>
        </w:rPr>
        <w:t xml:space="preserve"> a aplicar</w:t>
      </w:r>
      <w:r w:rsidR="00F53934">
        <w:rPr>
          <w:rStyle w:val="FootnoteReference"/>
          <w:rFonts w:ascii="Times New Roman" w:hAnsi="Times New Roman"/>
          <w:bCs/>
          <w:iCs/>
          <w:sz w:val="22"/>
          <w:lang w:val="es-PE"/>
        </w:rPr>
        <w:footnoteReference w:id="25"/>
      </w:r>
      <w:r w:rsidR="000131F0" w:rsidRPr="00F53934">
        <w:rPr>
          <w:rFonts w:ascii="Times New Roman" w:hAnsi="Times New Roman"/>
          <w:bCs/>
          <w:sz w:val="22"/>
          <w:szCs w:val="22"/>
          <w:lang w:val="es-ES_tradnl" w:eastAsia="es-AR"/>
        </w:rPr>
        <w:t>.</w:t>
      </w:r>
    </w:p>
    <w:p w:rsidR="006A44D5" w:rsidRDefault="009C7439" w:rsidP="00C95815">
      <w:pPr>
        <w:pStyle w:val="ListParagraph"/>
        <w:numPr>
          <w:ilvl w:val="1"/>
          <w:numId w:val="12"/>
        </w:numPr>
        <w:jc w:val="both"/>
        <w:rPr>
          <w:rFonts w:ascii="Times New Roman" w:hAnsi="Times New Roman"/>
          <w:bCs/>
          <w:sz w:val="22"/>
          <w:szCs w:val="22"/>
          <w:lang w:val="es-ES_tradnl" w:eastAsia="es-AR"/>
        </w:rPr>
      </w:pPr>
      <w:r>
        <w:rPr>
          <w:rFonts w:ascii="Times New Roman" w:hAnsi="Times New Roman"/>
          <w:bCs/>
          <w:sz w:val="22"/>
          <w:szCs w:val="22"/>
          <w:lang w:val="es-ES_tradnl" w:eastAsia="es-AR"/>
        </w:rPr>
        <w:t xml:space="preserve">La </w:t>
      </w:r>
      <w:r w:rsidR="00094CB7">
        <w:rPr>
          <w:rFonts w:ascii="Times New Roman" w:hAnsi="Times New Roman"/>
          <w:bCs/>
          <w:sz w:val="22"/>
          <w:szCs w:val="22"/>
          <w:lang w:val="es-ES_tradnl" w:eastAsia="es-AR"/>
        </w:rPr>
        <w:t xml:space="preserve">Tabla </w:t>
      </w:r>
      <w:r w:rsidR="000C2E55">
        <w:rPr>
          <w:rFonts w:ascii="Times New Roman" w:hAnsi="Times New Roman"/>
          <w:bCs/>
          <w:sz w:val="22"/>
          <w:szCs w:val="22"/>
          <w:lang w:val="es-ES_tradnl" w:eastAsia="es-AR"/>
        </w:rPr>
        <w:t>4</w:t>
      </w:r>
      <w:r w:rsidR="006E4A87">
        <w:rPr>
          <w:rFonts w:ascii="Times New Roman" w:hAnsi="Times New Roman"/>
          <w:bCs/>
          <w:sz w:val="22"/>
          <w:szCs w:val="22"/>
          <w:lang w:val="es-ES_tradnl" w:eastAsia="es-AR"/>
        </w:rPr>
        <w:t xml:space="preserve"> </w:t>
      </w:r>
      <w:r w:rsidRPr="009C7439">
        <w:rPr>
          <w:rFonts w:ascii="Times New Roman" w:hAnsi="Times New Roman"/>
          <w:bCs/>
          <w:sz w:val="22"/>
          <w:szCs w:val="22"/>
          <w:lang w:val="es-ES_tradnl" w:eastAsia="es-AR"/>
        </w:rPr>
        <w:t>presenta un resumen estadí</w:t>
      </w:r>
      <w:r w:rsidR="009E0C92">
        <w:rPr>
          <w:rFonts w:ascii="Times New Roman" w:hAnsi="Times New Roman"/>
          <w:bCs/>
          <w:sz w:val="22"/>
          <w:szCs w:val="22"/>
          <w:lang w:val="es-ES_tradnl" w:eastAsia="es-AR"/>
        </w:rPr>
        <w:t xml:space="preserve">stico detallado de la relación </w:t>
      </w:r>
      <w:r w:rsidR="00094CB7">
        <w:rPr>
          <w:rFonts w:ascii="Times New Roman" w:hAnsi="Times New Roman"/>
          <w:bCs/>
          <w:sz w:val="22"/>
          <w:szCs w:val="22"/>
          <w:lang w:val="es-ES_tradnl" w:eastAsia="es-AR"/>
        </w:rPr>
        <w:t>beneficio</w:t>
      </w:r>
      <w:r w:rsidR="00C21200">
        <w:rPr>
          <w:rFonts w:ascii="Times New Roman" w:hAnsi="Times New Roman"/>
          <w:bCs/>
          <w:sz w:val="22"/>
          <w:szCs w:val="22"/>
          <w:lang w:val="es-ES_tradnl" w:eastAsia="es-AR"/>
        </w:rPr>
        <w:t>-</w:t>
      </w:r>
      <w:r w:rsidR="00094CB7">
        <w:rPr>
          <w:rFonts w:ascii="Times New Roman" w:hAnsi="Times New Roman"/>
          <w:bCs/>
          <w:sz w:val="22"/>
          <w:szCs w:val="22"/>
          <w:lang w:val="es-ES_tradnl" w:eastAsia="es-AR"/>
        </w:rPr>
        <w:t>c</w:t>
      </w:r>
      <w:r w:rsidR="00C21200">
        <w:rPr>
          <w:rFonts w:ascii="Times New Roman" w:hAnsi="Times New Roman"/>
          <w:bCs/>
          <w:sz w:val="22"/>
          <w:szCs w:val="22"/>
          <w:lang w:val="es-ES_tradnl" w:eastAsia="es-AR"/>
        </w:rPr>
        <w:t xml:space="preserve">osto </w:t>
      </w:r>
      <w:r w:rsidRPr="009C7439">
        <w:rPr>
          <w:rFonts w:ascii="Times New Roman" w:hAnsi="Times New Roman"/>
          <w:bCs/>
          <w:sz w:val="22"/>
          <w:szCs w:val="22"/>
          <w:lang w:val="es-ES_tradnl" w:eastAsia="es-AR"/>
        </w:rPr>
        <w:t xml:space="preserve">en una serie de estudios en </w:t>
      </w:r>
      <w:r w:rsidR="00C21200">
        <w:rPr>
          <w:rFonts w:ascii="Times New Roman" w:hAnsi="Times New Roman"/>
          <w:bCs/>
          <w:sz w:val="22"/>
          <w:szCs w:val="22"/>
          <w:lang w:val="es-ES_tradnl" w:eastAsia="es-AR"/>
        </w:rPr>
        <w:t xml:space="preserve">distintas </w:t>
      </w:r>
      <w:r w:rsidR="001A3AFE" w:rsidRPr="009C7439">
        <w:rPr>
          <w:rFonts w:ascii="Times New Roman" w:hAnsi="Times New Roman"/>
          <w:bCs/>
          <w:sz w:val="22"/>
          <w:szCs w:val="22"/>
          <w:lang w:val="es-ES_tradnl" w:eastAsia="es-AR"/>
        </w:rPr>
        <w:t>categoría</w:t>
      </w:r>
      <w:r w:rsidR="001A3AFE">
        <w:rPr>
          <w:rFonts w:ascii="Times New Roman" w:hAnsi="Times New Roman"/>
          <w:bCs/>
          <w:sz w:val="22"/>
          <w:szCs w:val="22"/>
          <w:lang w:val="es-ES_tradnl" w:eastAsia="es-AR"/>
        </w:rPr>
        <w:t xml:space="preserve"> de</w:t>
      </w:r>
      <w:r w:rsidR="00C21200">
        <w:rPr>
          <w:rFonts w:ascii="Times New Roman" w:hAnsi="Times New Roman"/>
          <w:bCs/>
          <w:sz w:val="22"/>
          <w:szCs w:val="22"/>
          <w:lang w:val="es-ES_tradnl" w:eastAsia="es-AR"/>
        </w:rPr>
        <w:t xml:space="preserve"> estrategias de manejo de desastres</w:t>
      </w:r>
      <w:r w:rsidRPr="009C7439">
        <w:rPr>
          <w:rFonts w:ascii="Times New Roman" w:hAnsi="Times New Roman"/>
          <w:bCs/>
          <w:sz w:val="22"/>
          <w:szCs w:val="22"/>
          <w:lang w:val="es-ES_tradnl" w:eastAsia="es-AR"/>
        </w:rPr>
        <w:t xml:space="preserve">. El mínimo y el máximo, así como la media de todos los estudios se proporcionan para cada </w:t>
      </w:r>
      <w:r w:rsidR="00C21200">
        <w:rPr>
          <w:rFonts w:ascii="Times New Roman" w:hAnsi="Times New Roman"/>
          <w:bCs/>
          <w:sz w:val="22"/>
          <w:szCs w:val="22"/>
          <w:lang w:val="es-ES_tradnl" w:eastAsia="es-AR"/>
        </w:rPr>
        <w:t>tipología</w:t>
      </w:r>
      <w:r w:rsidRPr="009C7439">
        <w:rPr>
          <w:rFonts w:ascii="Times New Roman" w:hAnsi="Times New Roman"/>
          <w:bCs/>
          <w:sz w:val="22"/>
          <w:szCs w:val="22"/>
          <w:lang w:val="es-ES_tradnl" w:eastAsia="es-AR"/>
        </w:rPr>
        <w:t>. Existe una</w:t>
      </w:r>
      <w:r>
        <w:rPr>
          <w:rFonts w:ascii="Times New Roman" w:hAnsi="Times New Roman"/>
          <w:bCs/>
          <w:sz w:val="22"/>
          <w:szCs w:val="22"/>
          <w:lang w:val="es-ES_tradnl" w:eastAsia="es-AR"/>
        </w:rPr>
        <w:t xml:space="preserve"> c</w:t>
      </w:r>
      <w:r w:rsidRPr="009C7439">
        <w:rPr>
          <w:rFonts w:ascii="Times New Roman" w:hAnsi="Times New Roman"/>
          <w:bCs/>
          <w:sz w:val="22"/>
          <w:szCs w:val="22"/>
          <w:lang w:val="es-ES_tradnl" w:eastAsia="es-AR"/>
        </w:rPr>
        <w:t xml:space="preserve">onsiderable heterogeneidad en los estudios </w:t>
      </w:r>
      <w:r w:rsidR="006E4A87">
        <w:rPr>
          <w:rFonts w:ascii="Times New Roman" w:hAnsi="Times New Roman"/>
          <w:bCs/>
          <w:sz w:val="22"/>
          <w:szCs w:val="22"/>
          <w:lang w:val="es-ES_tradnl" w:eastAsia="es-AR"/>
        </w:rPr>
        <w:t>presentados</w:t>
      </w:r>
      <w:r w:rsidRPr="009C7439">
        <w:rPr>
          <w:rFonts w:ascii="Times New Roman" w:hAnsi="Times New Roman"/>
          <w:bCs/>
          <w:sz w:val="22"/>
          <w:szCs w:val="22"/>
          <w:lang w:val="es-ES_tradnl" w:eastAsia="es-AR"/>
        </w:rPr>
        <w:t xml:space="preserve">: algunos se centran sólo en una determinada intervención en un área geográfica específica, otros consideran una intervención hipotética en un número de diferentes países, y algunos </w:t>
      </w:r>
      <w:r w:rsidR="006E4A87">
        <w:rPr>
          <w:rFonts w:ascii="Times New Roman" w:hAnsi="Times New Roman"/>
          <w:bCs/>
          <w:sz w:val="22"/>
          <w:szCs w:val="22"/>
          <w:lang w:val="es-ES_tradnl" w:eastAsia="es-AR"/>
        </w:rPr>
        <w:t>establecen</w:t>
      </w:r>
      <w:r w:rsidRPr="009C7439">
        <w:rPr>
          <w:rFonts w:ascii="Times New Roman" w:hAnsi="Times New Roman"/>
          <w:bCs/>
          <w:sz w:val="22"/>
          <w:szCs w:val="22"/>
          <w:lang w:val="es-ES_tradnl" w:eastAsia="es-AR"/>
        </w:rPr>
        <w:t xml:space="preserve"> generaliza</w:t>
      </w:r>
      <w:r w:rsidR="006E4A87">
        <w:rPr>
          <w:rFonts w:ascii="Times New Roman" w:hAnsi="Times New Roman"/>
          <w:bCs/>
          <w:sz w:val="22"/>
          <w:szCs w:val="22"/>
          <w:lang w:val="es-ES_tradnl" w:eastAsia="es-AR"/>
        </w:rPr>
        <w:t>ciones a nivel global</w:t>
      </w:r>
      <w:r w:rsidRPr="009C7439">
        <w:rPr>
          <w:rFonts w:ascii="Times New Roman" w:hAnsi="Times New Roman"/>
          <w:bCs/>
          <w:sz w:val="22"/>
          <w:szCs w:val="22"/>
          <w:lang w:val="es-ES_tradnl" w:eastAsia="es-AR"/>
        </w:rPr>
        <w:t xml:space="preserve">. </w:t>
      </w:r>
      <w:r w:rsidR="001A3AFE" w:rsidRPr="009C7439">
        <w:rPr>
          <w:rFonts w:ascii="Times New Roman" w:hAnsi="Times New Roman"/>
          <w:bCs/>
          <w:sz w:val="22"/>
          <w:szCs w:val="22"/>
          <w:lang w:val="es-ES_tradnl" w:eastAsia="es-AR"/>
        </w:rPr>
        <w:t>A</w:t>
      </w:r>
      <w:r w:rsidR="001A3AFE">
        <w:rPr>
          <w:rFonts w:ascii="Times New Roman" w:hAnsi="Times New Roman"/>
          <w:bCs/>
          <w:sz w:val="22"/>
          <w:szCs w:val="22"/>
          <w:lang w:val="es-ES_tradnl" w:eastAsia="es-AR"/>
        </w:rPr>
        <w:t>un</w:t>
      </w:r>
      <w:r w:rsidR="006E4A87">
        <w:rPr>
          <w:rFonts w:ascii="Times New Roman" w:hAnsi="Times New Roman"/>
          <w:bCs/>
          <w:sz w:val="22"/>
          <w:szCs w:val="22"/>
          <w:lang w:val="es-ES_tradnl" w:eastAsia="es-AR"/>
        </w:rPr>
        <w:t xml:space="preserve"> considerando esas restricciones</w:t>
      </w:r>
      <w:r w:rsidRPr="009C7439">
        <w:rPr>
          <w:rFonts w:ascii="Times New Roman" w:hAnsi="Times New Roman"/>
          <w:bCs/>
          <w:sz w:val="22"/>
          <w:szCs w:val="22"/>
          <w:lang w:val="es-ES_tradnl" w:eastAsia="es-AR"/>
        </w:rPr>
        <w:t xml:space="preserve">, los valores mínimos y máximos dan una idea de la </w:t>
      </w:r>
      <w:r w:rsidR="00C21200">
        <w:rPr>
          <w:rFonts w:ascii="Times New Roman" w:hAnsi="Times New Roman"/>
          <w:bCs/>
          <w:sz w:val="22"/>
          <w:szCs w:val="22"/>
          <w:lang w:val="es-ES_tradnl" w:eastAsia="es-AR"/>
        </w:rPr>
        <w:t xml:space="preserve">importancia </w:t>
      </w:r>
      <w:r>
        <w:rPr>
          <w:rFonts w:ascii="Times New Roman" w:hAnsi="Times New Roman"/>
          <w:bCs/>
          <w:sz w:val="22"/>
          <w:szCs w:val="22"/>
          <w:lang w:val="es-ES_tradnl" w:eastAsia="es-AR"/>
        </w:rPr>
        <w:t xml:space="preserve">de las </w:t>
      </w:r>
      <w:r w:rsidR="00C21200">
        <w:rPr>
          <w:rFonts w:ascii="Times New Roman" w:hAnsi="Times New Roman"/>
          <w:bCs/>
          <w:sz w:val="22"/>
          <w:szCs w:val="22"/>
          <w:lang w:val="es-ES_tradnl" w:eastAsia="es-AR"/>
        </w:rPr>
        <w:t>intervenciones</w:t>
      </w:r>
      <w:r>
        <w:rPr>
          <w:rFonts w:ascii="Times New Roman" w:hAnsi="Times New Roman"/>
          <w:bCs/>
          <w:sz w:val="22"/>
          <w:szCs w:val="22"/>
          <w:lang w:val="es-ES_tradnl" w:eastAsia="es-AR"/>
        </w:rPr>
        <w:t>.</w:t>
      </w:r>
      <w:r w:rsidR="00C21200">
        <w:rPr>
          <w:rFonts w:ascii="Times New Roman" w:hAnsi="Times New Roman"/>
          <w:bCs/>
          <w:sz w:val="22"/>
          <w:szCs w:val="22"/>
          <w:lang w:val="es-ES_tradnl" w:eastAsia="es-AR"/>
        </w:rPr>
        <w:t xml:space="preserve"> Se destaca una alta dispersión en los resultados  de SAT</w:t>
      </w:r>
      <w:r w:rsidR="00C21200">
        <w:rPr>
          <w:rStyle w:val="FootnoteReference"/>
          <w:rFonts w:ascii="Times New Roman" w:hAnsi="Times New Roman"/>
          <w:bCs/>
          <w:sz w:val="22"/>
          <w:szCs w:val="22"/>
          <w:lang w:val="es-ES_tradnl" w:eastAsia="es-AR"/>
        </w:rPr>
        <w:footnoteReference w:id="26"/>
      </w:r>
      <w:r w:rsidR="00C21200">
        <w:rPr>
          <w:rFonts w:ascii="Times New Roman" w:hAnsi="Times New Roman"/>
          <w:bCs/>
          <w:sz w:val="22"/>
          <w:szCs w:val="22"/>
          <w:lang w:val="es-ES_tradnl" w:eastAsia="es-AR"/>
        </w:rPr>
        <w:t xml:space="preserve"> pero predomina la conclusión de su utilidad.</w:t>
      </w:r>
    </w:p>
    <w:p w:rsidR="008077EE" w:rsidRPr="00C02571" w:rsidRDefault="008077EE" w:rsidP="008077EE">
      <w:pPr>
        <w:jc w:val="both"/>
        <w:rPr>
          <w:rFonts w:ascii="Times New Roman" w:hAnsi="Times New Roman"/>
          <w:bCs/>
          <w:sz w:val="22"/>
          <w:szCs w:val="22"/>
          <w:lang w:val="es-ES_tradnl" w:eastAsia="es-AR"/>
        </w:rPr>
      </w:pPr>
    </w:p>
    <w:p w:rsidR="006A44D5" w:rsidRDefault="000C2E55" w:rsidP="00344722">
      <w:pPr>
        <w:pStyle w:val="ListParagraph"/>
        <w:ind w:left="1152" w:firstLine="288"/>
        <w:rPr>
          <w:rFonts w:ascii="Times New Roman" w:hAnsi="Times New Roman"/>
          <w:lang w:val="es-AR"/>
        </w:rPr>
      </w:pPr>
      <w:bookmarkStart w:id="102" w:name="_Toc432069294"/>
      <w:r w:rsidRPr="008C1ABC">
        <w:rPr>
          <w:rFonts w:ascii="Times New Roman" w:hAnsi="Times New Roman"/>
          <w:b/>
          <w:lang w:val="es-AR"/>
        </w:rPr>
        <w:t xml:space="preserve">Tabla </w:t>
      </w:r>
      <w:r w:rsidR="00081A23" w:rsidRPr="008C1ABC">
        <w:rPr>
          <w:rFonts w:ascii="Times New Roman" w:hAnsi="Times New Roman"/>
          <w:b/>
        </w:rPr>
        <w:fldChar w:fldCharType="begin"/>
      </w:r>
      <w:r w:rsidRPr="008C1ABC">
        <w:rPr>
          <w:rFonts w:ascii="Times New Roman" w:hAnsi="Times New Roman"/>
          <w:b/>
          <w:lang w:val="es-AR"/>
        </w:rPr>
        <w:instrText xml:space="preserve"> SEQ Tabla \* ARABIC </w:instrText>
      </w:r>
      <w:r w:rsidR="00081A23" w:rsidRPr="008C1ABC">
        <w:rPr>
          <w:rFonts w:ascii="Times New Roman" w:hAnsi="Times New Roman"/>
          <w:b/>
        </w:rPr>
        <w:fldChar w:fldCharType="separate"/>
      </w:r>
      <w:r>
        <w:rPr>
          <w:rFonts w:ascii="Times New Roman" w:hAnsi="Times New Roman"/>
          <w:b/>
          <w:noProof/>
          <w:lang w:val="es-AR"/>
        </w:rPr>
        <w:t>4</w:t>
      </w:r>
      <w:r w:rsidR="00081A23" w:rsidRPr="008C1ABC">
        <w:rPr>
          <w:rFonts w:ascii="Times New Roman" w:hAnsi="Times New Roman"/>
          <w:b/>
        </w:rPr>
        <w:fldChar w:fldCharType="end"/>
      </w:r>
      <w:r w:rsidR="00684270">
        <w:rPr>
          <w:rFonts w:ascii="Times New Roman" w:hAnsi="Times New Roman"/>
          <w:lang w:val="es-AR"/>
        </w:rPr>
        <w:t>. Ratio Beneficio/Costo en intervenciones de manejo de desastres</w:t>
      </w:r>
      <w:r w:rsidR="006A44D5" w:rsidRPr="008C1ABC">
        <w:rPr>
          <w:rFonts w:ascii="Times New Roman" w:hAnsi="Times New Roman"/>
          <w:lang w:val="es-AR"/>
        </w:rPr>
        <w:t>.</w:t>
      </w:r>
    </w:p>
    <w:p w:rsidR="000D2D85" w:rsidRDefault="000D2D85" w:rsidP="00344722">
      <w:pPr>
        <w:pStyle w:val="ListParagraph"/>
        <w:ind w:left="1152" w:firstLine="288"/>
        <w:rPr>
          <w:rFonts w:ascii="Times New Roman" w:hAnsi="Times New Roman"/>
          <w:lang w:val="es-AR"/>
        </w:rPr>
      </w:pPr>
    </w:p>
    <w:tbl>
      <w:tblPr>
        <w:tblW w:w="6760" w:type="dxa"/>
        <w:jc w:val="center"/>
        <w:tblInd w:w="55" w:type="dxa"/>
        <w:tblCellMar>
          <w:left w:w="70" w:type="dxa"/>
          <w:right w:w="70" w:type="dxa"/>
        </w:tblCellMar>
        <w:tblLook w:val="04A0" w:firstRow="1" w:lastRow="0" w:firstColumn="1" w:lastColumn="0" w:noHBand="0" w:noVBand="1"/>
      </w:tblPr>
      <w:tblGrid>
        <w:gridCol w:w="3700"/>
        <w:gridCol w:w="987"/>
        <w:gridCol w:w="1050"/>
        <w:gridCol w:w="1023"/>
      </w:tblGrid>
      <w:tr w:rsidR="00344722" w:rsidRPr="00344722" w:rsidTr="00344722">
        <w:trPr>
          <w:trHeight w:val="300"/>
          <w:jc w:val="center"/>
        </w:trPr>
        <w:tc>
          <w:tcPr>
            <w:tcW w:w="37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44722" w:rsidRPr="00344722" w:rsidRDefault="00344722" w:rsidP="00344722">
            <w:pPr>
              <w:jc w:val="center"/>
              <w:rPr>
                <w:rFonts w:ascii="Times New Roman" w:hAnsi="Times New Roman"/>
                <w:b/>
                <w:bCs/>
                <w:color w:val="000000"/>
                <w:lang w:val="es-AR" w:eastAsia="es-AR"/>
              </w:rPr>
            </w:pPr>
            <w:r w:rsidRPr="00344722">
              <w:rPr>
                <w:rFonts w:ascii="Times New Roman" w:hAnsi="Times New Roman"/>
                <w:b/>
                <w:bCs/>
                <w:color w:val="000000"/>
                <w:lang w:val="es-AR" w:eastAsia="es-AR"/>
              </w:rPr>
              <w:t>Intervenciones de manejo de riesgo</w:t>
            </w:r>
          </w:p>
        </w:tc>
        <w:tc>
          <w:tcPr>
            <w:tcW w:w="3060"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344722" w:rsidRPr="00344722" w:rsidRDefault="00344722" w:rsidP="00344722">
            <w:pPr>
              <w:jc w:val="center"/>
              <w:rPr>
                <w:rFonts w:ascii="Times New Roman" w:hAnsi="Times New Roman"/>
                <w:b/>
                <w:bCs/>
                <w:color w:val="000000"/>
                <w:lang w:val="es-AR" w:eastAsia="es-AR"/>
              </w:rPr>
            </w:pPr>
            <w:r w:rsidRPr="00344722">
              <w:rPr>
                <w:rFonts w:ascii="Times New Roman" w:hAnsi="Times New Roman"/>
                <w:b/>
                <w:bCs/>
                <w:color w:val="000000"/>
                <w:lang w:val="es-AR" w:eastAsia="es-AR"/>
              </w:rPr>
              <w:t xml:space="preserve"> Ratio B/C </w:t>
            </w:r>
          </w:p>
        </w:tc>
      </w:tr>
      <w:tr w:rsidR="00344722" w:rsidRPr="00344722" w:rsidTr="00344722">
        <w:trPr>
          <w:trHeight w:val="300"/>
          <w:jc w:val="center"/>
        </w:trPr>
        <w:tc>
          <w:tcPr>
            <w:tcW w:w="3700" w:type="dxa"/>
            <w:vMerge/>
            <w:tcBorders>
              <w:top w:val="single" w:sz="4" w:space="0" w:color="auto"/>
              <w:left w:val="single" w:sz="4" w:space="0" w:color="auto"/>
              <w:bottom w:val="single" w:sz="4" w:space="0" w:color="000000"/>
              <w:right w:val="single" w:sz="4" w:space="0" w:color="auto"/>
            </w:tcBorders>
            <w:vAlign w:val="center"/>
            <w:hideMark/>
          </w:tcPr>
          <w:p w:rsidR="00344722" w:rsidRPr="00344722" w:rsidRDefault="00344722" w:rsidP="00344722">
            <w:pPr>
              <w:rPr>
                <w:rFonts w:ascii="Times New Roman" w:hAnsi="Times New Roman"/>
                <w:b/>
                <w:bCs/>
                <w:color w:val="000000"/>
                <w:lang w:val="es-AR" w:eastAsia="es-AR"/>
              </w:rPr>
            </w:pPr>
          </w:p>
        </w:tc>
        <w:tc>
          <w:tcPr>
            <w:tcW w:w="9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44722" w:rsidRPr="00344722" w:rsidRDefault="00344722" w:rsidP="00344722">
            <w:pPr>
              <w:jc w:val="center"/>
              <w:rPr>
                <w:rFonts w:ascii="Times New Roman" w:hAnsi="Times New Roman"/>
                <w:color w:val="000000"/>
                <w:lang w:val="es-AR" w:eastAsia="es-AR"/>
              </w:rPr>
            </w:pPr>
            <w:r w:rsidRPr="00344722">
              <w:rPr>
                <w:rFonts w:ascii="Times New Roman" w:hAnsi="Times New Roman"/>
                <w:color w:val="000000"/>
                <w:lang w:val="es-AR" w:eastAsia="es-AR"/>
              </w:rPr>
              <w:t>Mínimo</w:t>
            </w:r>
          </w:p>
        </w:tc>
        <w:tc>
          <w:tcPr>
            <w:tcW w:w="1050" w:type="dxa"/>
            <w:tcBorders>
              <w:top w:val="single" w:sz="4" w:space="0" w:color="auto"/>
              <w:left w:val="nil"/>
              <w:bottom w:val="single" w:sz="4" w:space="0" w:color="auto"/>
              <w:right w:val="single" w:sz="4" w:space="0" w:color="auto"/>
            </w:tcBorders>
            <w:shd w:val="clear" w:color="000000" w:fill="FFFFFF"/>
            <w:noWrap/>
            <w:vAlign w:val="bottom"/>
            <w:hideMark/>
          </w:tcPr>
          <w:p w:rsidR="00344722" w:rsidRPr="00344722" w:rsidRDefault="00344722" w:rsidP="00344722">
            <w:pPr>
              <w:jc w:val="center"/>
              <w:rPr>
                <w:rFonts w:ascii="Times New Roman" w:hAnsi="Times New Roman"/>
                <w:color w:val="000000"/>
                <w:lang w:val="es-AR" w:eastAsia="es-AR"/>
              </w:rPr>
            </w:pPr>
            <w:r w:rsidRPr="00344722">
              <w:rPr>
                <w:rFonts w:ascii="Times New Roman" w:hAnsi="Times New Roman"/>
                <w:color w:val="000000"/>
                <w:lang w:val="es-AR" w:eastAsia="es-AR"/>
              </w:rPr>
              <w:t>Máximo</w:t>
            </w:r>
          </w:p>
        </w:tc>
        <w:tc>
          <w:tcPr>
            <w:tcW w:w="1023" w:type="dxa"/>
            <w:tcBorders>
              <w:top w:val="single" w:sz="4" w:space="0" w:color="auto"/>
              <w:left w:val="nil"/>
              <w:bottom w:val="single" w:sz="4" w:space="0" w:color="auto"/>
              <w:right w:val="single" w:sz="4" w:space="0" w:color="auto"/>
            </w:tcBorders>
            <w:shd w:val="clear" w:color="000000" w:fill="FFFFFF"/>
            <w:noWrap/>
            <w:vAlign w:val="bottom"/>
            <w:hideMark/>
          </w:tcPr>
          <w:p w:rsidR="00344722" w:rsidRPr="00344722" w:rsidRDefault="00344722" w:rsidP="00344722">
            <w:pPr>
              <w:jc w:val="center"/>
              <w:rPr>
                <w:rFonts w:ascii="Times New Roman" w:hAnsi="Times New Roman"/>
                <w:color w:val="000000"/>
                <w:lang w:val="es-AR" w:eastAsia="es-AR"/>
              </w:rPr>
            </w:pPr>
            <w:r w:rsidRPr="00344722">
              <w:rPr>
                <w:rFonts w:ascii="Times New Roman" w:hAnsi="Times New Roman"/>
                <w:color w:val="000000"/>
                <w:lang w:val="es-AR" w:eastAsia="es-AR"/>
              </w:rPr>
              <w:t>Promedio</w:t>
            </w:r>
          </w:p>
        </w:tc>
      </w:tr>
      <w:tr w:rsidR="00344722" w:rsidRPr="00344722" w:rsidTr="00344722">
        <w:trPr>
          <w:trHeight w:val="300"/>
          <w:jc w:val="center"/>
        </w:trPr>
        <w:tc>
          <w:tcPr>
            <w:tcW w:w="3700" w:type="dxa"/>
            <w:tcBorders>
              <w:top w:val="nil"/>
              <w:left w:val="nil"/>
              <w:bottom w:val="nil"/>
              <w:right w:val="nil"/>
            </w:tcBorders>
            <w:shd w:val="clear" w:color="000000" w:fill="FFFFFF"/>
            <w:noWrap/>
            <w:vAlign w:val="bottom"/>
            <w:hideMark/>
          </w:tcPr>
          <w:p w:rsidR="00344722" w:rsidRPr="00344722" w:rsidRDefault="00344722" w:rsidP="00344722">
            <w:pPr>
              <w:rPr>
                <w:rFonts w:ascii="Times New Roman" w:hAnsi="Times New Roman"/>
                <w:color w:val="000000"/>
                <w:lang w:val="es-AR" w:eastAsia="es-AR"/>
              </w:rPr>
            </w:pPr>
            <w:r w:rsidRPr="00344722">
              <w:rPr>
                <w:rFonts w:ascii="Times New Roman" w:hAnsi="Times New Roman"/>
                <w:color w:val="000000"/>
                <w:lang w:val="es-AR" w:eastAsia="es-AR"/>
              </w:rPr>
              <w:t>Sistemas Alerta Temprana</w:t>
            </w:r>
          </w:p>
        </w:tc>
        <w:tc>
          <w:tcPr>
            <w:tcW w:w="987" w:type="dxa"/>
            <w:tcBorders>
              <w:top w:val="nil"/>
              <w:left w:val="nil"/>
              <w:bottom w:val="nil"/>
              <w:right w:val="nil"/>
            </w:tcBorders>
            <w:shd w:val="clear" w:color="000000" w:fill="FFFFFF"/>
            <w:noWrap/>
            <w:vAlign w:val="bottom"/>
            <w:hideMark/>
          </w:tcPr>
          <w:p w:rsidR="00344722" w:rsidRPr="00344722" w:rsidRDefault="00344722" w:rsidP="00344722">
            <w:pPr>
              <w:rPr>
                <w:rFonts w:ascii="Times New Roman" w:hAnsi="Times New Roman"/>
                <w:color w:val="000000"/>
                <w:lang w:val="es-AR" w:eastAsia="es-AR"/>
              </w:rPr>
            </w:pPr>
            <w:r w:rsidRPr="00344722">
              <w:rPr>
                <w:rFonts w:ascii="Times New Roman" w:hAnsi="Times New Roman"/>
                <w:color w:val="000000"/>
                <w:lang w:val="es-AR" w:eastAsia="es-AR"/>
              </w:rPr>
              <w:t xml:space="preserve">          0,9 </w:t>
            </w:r>
          </w:p>
        </w:tc>
        <w:tc>
          <w:tcPr>
            <w:tcW w:w="1050" w:type="dxa"/>
            <w:tcBorders>
              <w:top w:val="nil"/>
              <w:left w:val="nil"/>
              <w:bottom w:val="nil"/>
              <w:right w:val="nil"/>
            </w:tcBorders>
            <w:shd w:val="clear" w:color="000000" w:fill="FFFFFF"/>
            <w:noWrap/>
            <w:vAlign w:val="bottom"/>
            <w:hideMark/>
          </w:tcPr>
          <w:p w:rsidR="00344722" w:rsidRPr="00344722" w:rsidRDefault="00344722" w:rsidP="00344722">
            <w:pPr>
              <w:rPr>
                <w:rFonts w:ascii="Times New Roman" w:hAnsi="Times New Roman"/>
                <w:color w:val="000000"/>
                <w:lang w:val="es-AR" w:eastAsia="es-AR"/>
              </w:rPr>
            </w:pPr>
            <w:r w:rsidRPr="00344722">
              <w:rPr>
                <w:rFonts w:ascii="Times New Roman" w:hAnsi="Times New Roman"/>
                <w:color w:val="000000"/>
                <w:lang w:val="es-AR" w:eastAsia="es-AR"/>
              </w:rPr>
              <w:t xml:space="preserve">        57,0 </w:t>
            </w:r>
          </w:p>
        </w:tc>
        <w:tc>
          <w:tcPr>
            <w:tcW w:w="1023" w:type="dxa"/>
            <w:tcBorders>
              <w:top w:val="nil"/>
              <w:left w:val="nil"/>
              <w:bottom w:val="nil"/>
              <w:right w:val="nil"/>
            </w:tcBorders>
            <w:shd w:val="clear" w:color="000000" w:fill="FFFFFF"/>
            <w:noWrap/>
            <w:vAlign w:val="bottom"/>
            <w:hideMark/>
          </w:tcPr>
          <w:p w:rsidR="00344722" w:rsidRPr="00344722" w:rsidRDefault="00344722" w:rsidP="00344722">
            <w:pPr>
              <w:rPr>
                <w:rFonts w:ascii="Times New Roman" w:hAnsi="Times New Roman"/>
                <w:color w:val="000000"/>
                <w:lang w:val="es-AR" w:eastAsia="es-AR"/>
              </w:rPr>
            </w:pPr>
            <w:r w:rsidRPr="00344722">
              <w:rPr>
                <w:rFonts w:ascii="Times New Roman" w:hAnsi="Times New Roman"/>
                <w:color w:val="000000"/>
                <w:lang w:val="es-AR" w:eastAsia="es-AR"/>
              </w:rPr>
              <w:t xml:space="preserve">        15,7 </w:t>
            </w:r>
          </w:p>
        </w:tc>
      </w:tr>
      <w:tr w:rsidR="00344722" w:rsidRPr="00344722" w:rsidTr="00344722">
        <w:trPr>
          <w:trHeight w:val="300"/>
          <w:jc w:val="center"/>
        </w:trPr>
        <w:tc>
          <w:tcPr>
            <w:tcW w:w="4687" w:type="dxa"/>
            <w:gridSpan w:val="2"/>
            <w:tcBorders>
              <w:top w:val="nil"/>
              <w:left w:val="nil"/>
              <w:bottom w:val="nil"/>
              <w:right w:val="nil"/>
            </w:tcBorders>
            <w:shd w:val="clear" w:color="000000" w:fill="FFFFFF"/>
            <w:noWrap/>
            <w:vAlign w:val="bottom"/>
            <w:hideMark/>
          </w:tcPr>
          <w:p w:rsidR="00344722" w:rsidRPr="00344722" w:rsidRDefault="00344722" w:rsidP="00344722">
            <w:pPr>
              <w:rPr>
                <w:rFonts w:ascii="Times New Roman" w:hAnsi="Times New Roman"/>
                <w:color w:val="000000"/>
                <w:lang w:val="es-AR" w:eastAsia="es-AR"/>
              </w:rPr>
            </w:pPr>
            <w:r w:rsidRPr="00344722">
              <w:rPr>
                <w:rFonts w:ascii="Times New Roman" w:hAnsi="Times New Roman"/>
                <w:color w:val="000000"/>
                <w:lang w:val="es-AR" w:eastAsia="es-AR"/>
              </w:rPr>
              <w:t>Medidas estructurales/(infraestructura en:</w:t>
            </w:r>
          </w:p>
        </w:tc>
        <w:tc>
          <w:tcPr>
            <w:tcW w:w="1050" w:type="dxa"/>
            <w:tcBorders>
              <w:top w:val="nil"/>
              <w:left w:val="nil"/>
              <w:bottom w:val="nil"/>
              <w:right w:val="nil"/>
            </w:tcBorders>
            <w:shd w:val="clear" w:color="000000" w:fill="FFFFFF"/>
            <w:noWrap/>
            <w:vAlign w:val="bottom"/>
            <w:hideMark/>
          </w:tcPr>
          <w:p w:rsidR="00344722" w:rsidRPr="00344722" w:rsidRDefault="00344722" w:rsidP="00344722">
            <w:pPr>
              <w:rPr>
                <w:rFonts w:ascii="Times New Roman" w:hAnsi="Times New Roman"/>
                <w:color w:val="000000"/>
                <w:lang w:val="es-AR" w:eastAsia="es-AR"/>
              </w:rPr>
            </w:pPr>
            <w:r w:rsidRPr="00344722">
              <w:rPr>
                <w:rFonts w:ascii="Times New Roman" w:hAnsi="Times New Roman"/>
                <w:color w:val="000000"/>
                <w:lang w:val="es-AR" w:eastAsia="es-AR"/>
              </w:rPr>
              <w:t> </w:t>
            </w:r>
          </w:p>
        </w:tc>
        <w:tc>
          <w:tcPr>
            <w:tcW w:w="1023" w:type="dxa"/>
            <w:tcBorders>
              <w:top w:val="nil"/>
              <w:left w:val="nil"/>
              <w:bottom w:val="nil"/>
              <w:right w:val="nil"/>
            </w:tcBorders>
            <w:shd w:val="clear" w:color="000000" w:fill="FFFFFF"/>
            <w:noWrap/>
            <w:vAlign w:val="bottom"/>
            <w:hideMark/>
          </w:tcPr>
          <w:p w:rsidR="00344722" w:rsidRPr="00344722" w:rsidRDefault="00344722" w:rsidP="00344722">
            <w:pPr>
              <w:rPr>
                <w:rFonts w:ascii="Times New Roman" w:hAnsi="Times New Roman"/>
                <w:color w:val="000000"/>
                <w:lang w:val="es-AR" w:eastAsia="es-AR"/>
              </w:rPr>
            </w:pPr>
            <w:r w:rsidRPr="00344722">
              <w:rPr>
                <w:rFonts w:ascii="Times New Roman" w:hAnsi="Times New Roman"/>
                <w:color w:val="000000"/>
                <w:lang w:val="es-AR" w:eastAsia="es-AR"/>
              </w:rPr>
              <w:t> </w:t>
            </w:r>
          </w:p>
        </w:tc>
      </w:tr>
      <w:tr w:rsidR="00344722" w:rsidRPr="00344722" w:rsidTr="00344722">
        <w:trPr>
          <w:trHeight w:val="300"/>
          <w:jc w:val="center"/>
        </w:trPr>
        <w:tc>
          <w:tcPr>
            <w:tcW w:w="3700" w:type="dxa"/>
            <w:tcBorders>
              <w:top w:val="nil"/>
              <w:left w:val="nil"/>
              <w:bottom w:val="nil"/>
              <w:right w:val="nil"/>
            </w:tcBorders>
            <w:shd w:val="clear" w:color="000000" w:fill="FFFFFF"/>
            <w:noWrap/>
            <w:vAlign w:val="bottom"/>
            <w:hideMark/>
          </w:tcPr>
          <w:p w:rsidR="00344722" w:rsidRPr="00344722" w:rsidRDefault="00344722" w:rsidP="00397B50">
            <w:pPr>
              <w:ind w:firstLineChars="200" w:firstLine="400"/>
              <w:rPr>
                <w:rFonts w:ascii="Times New Roman" w:hAnsi="Times New Roman"/>
                <w:color w:val="000000"/>
                <w:lang w:val="es-AR" w:eastAsia="es-AR"/>
              </w:rPr>
            </w:pPr>
            <w:r w:rsidRPr="00344722">
              <w:rPr>
                <w:rFonts w:ascii="Times New Roman" w:hAnsi="Times New Roman"/>
                <w:color w:val="000000"/>
                <w:lang w:val="es-AR" w:eastAsia="es-AR"/>
              </w:rPr>
              <w:t>Terremotos</w:t>
            </w:r>
          </w:p>
        </w:tc>
        <w:tc>
          <w:tcPr>
            <w:tcW w:w="987" w:type="dxa"/>
            <w:tcBorders>
              <w:top w:val="nil"/>
              <w:left w:val="nil"/>
              <w:bottom w:val="nil"/>
              <w:right w:val="nil"/>
            </w:tcBorders>
            <w:shd w:val="clear" w:color="000000" w:fill="FFFFFF"/>
            <w:noWrap/>
            <w:vAlign w:val="bottom"/>
            <w:hideMark/>
          </w:tcPr>
          <w:p w:rsidR="00344722" w:rsidRPr="00344722" w:rsidRDefault="00344722" w:rsidP="00344722">
            <w:pPr>
              <w:rPr>
                <w:rFonts w:ascii="Times New Roman" w:hAnsi="Times New Roman"/>
                <w:color w:val="000000"/>
                <w:lang w:val="es-AR" w:eastAsia="es-AR"/>
              </w:rPr>
            </w:pPr>
            <w:r w:rsidRPr="00344722">
              <w:rPr>
                <w:rFonts w:ascii="Times New Roman" w:hAnsi="Times New Roman"/>
                <w:color w:val="000000"/>
                <w:lang w:val="es-AR" w:eastAsia="es-AR"/>
              </w:rPr>
              <w:t xml:space="preserve">          0,1 </w:t>
            </w:r>
          </w:p>
        </w:tc>
        <w:tc>
          <w:tcPr>
            <w:tcW w:w="1050" w:type="dxa"/>
            <w:tcBorders>
              <w:top w:val="nil"/>
              <w:left w:val="nil"/>
              <w:bottom w:val="nil"/>
              <w:right w:val="nil"/>
            </w:tcBorders>
            <w:shd w:val="clear" w:color="000000" w:fill="FFFFFF"/>
            <w:noWrap/>
            <w:vAlign w:val="bottom"/>
            <w:hideMark/>
          </w:tcPr>
          <w:p w:rsidR="00344722" w:rsidRPr="00344722" w:rsidRDefault="00344722" w:rsidP="00344722">
            <w:pPr>
              <w:rPr>
                <w:rFonts w:ascii="Times New Roman" w:hAnsi="Times New Roman"/>
                <w:color w:val="000000"/>
                <w:lang w:val="es-AR" w:eastAsia="es-AR"/>
              </w:rPr>
            </w:pPr>
            <w:r w:rsidRPr="00344722">
              <w:rPr>
                <w:rFonts w:ascii="Times New Roman" w:hAnsi="Times New Roman"/>
                <w:color w:val="000000"/>
                <w:lang w:val="es-AR" w:eastAsia="es-AR"/>
              </w:rPr>
              <w:t xml:space="preserve">          6,5 </w:t>
            </w:r>
          </w:p>
        </w:tc>
        <w:tc>
          <w:tcPr>
            <w:tcW w:w="1023" w:type="dxa"/>
            <w:tcBorders>
              <w:top w:val="nil"/>
              <w:left w:val="nil"/>
              <w:bottom w:val="nil"/>
              <w:right w:val="nil"/>
            </w:tcBorders>
            <w:shd w:val="clear" w:color="000000" w:fill="FFFFFF"/>
            <w:noWrap/>
            <w:vAlign w:val="bottom"/>
            <w:hideMark/>
          </w:tcPr>
          <w:p w:rsidR="00344722" w:rsidRPr="00344722" w:rsidRDefault="00344722" w:rsidP="00344722">
            <w:pPr>
              <w:rPr>
                <w:rFonts w:ascii="Times New Roman" w:hAnsi="Times New Roman"/>
                <w:color w:val="000000"/>
                <w:lang w:val="es-AR" w:eastAsia="es-AR"/>
              </w:rPr>
            </w:pPr>
            <w:r w:rsidRPr="00344722">
              <w:rPr>
                <w:rFonts w:ascii="Times New Roman" w:hAnsi="Times New Roman"/>
                <w:color w:val="000000"/>
                <w:lang w:val="es-AR" w:eastAsia="es-AR"/>
              </w:rPr>
              <w:t xml:space="preserve">          3,1 </w:t>
            </w:r>
          </w:p>
        </w:tc>
      </w:tr>
      <w:tr w:rsidR="00344722" w:rsidRPr="00344722" w:rsidTr="00344722">
        <w:trPr>
          <w:trHeight w:val="300"/>
          <w:jc w:val="center"/>
        </w:trPr>
        <w:tc>
          <w:tcPr>
            <w:tcW w:w="3700" w:type="dxa"/>
            <w:tcBorders>
              <w:top w:val="nil"/>
              <w:left w:val="nil"/>
              <w:bottom w:val="nil"/>
              <w:right w:val="nil"/>
            </w:tcBorders>
            <w:shd w:val="clear" w:color="000000" w:fill="FFFFFF"/>
            <w:noWrap/>
            <w:vAlign w:val="bottom"/>
            <w:hideMark/>
          </w:tcPr>
          <w:p w:rsidR="00344722" w:rsidRPr="00344722" w:rsidRDefault="00344722" w:rsidP="00397B50">
            <w:pPr>
              <w:ind w:firstLineChars="200" w:firstLine="400"/>
              <w:rPr>
                <w:rFonts w:ascii="Times New Roman" w:hAnsi="Times New Roman"/>
                <w:color w:val="000000"/>
                <w:lang w:val="es-AR" w:eastAsia="es-AR"/>
              </w:rPr>
            </w:pPr>
            <w:r w:rsidRPr="00344722">
              <w:rPr>
                <w:rFonts w:ascii="Times New Roman" w:hAnsi="Times New Roman"/>
                <w:color w:val="000000"/>
                <w:lang w:val="es-AR" w:eastAsia="es-AR"/>
              </w:rPr>
              <w:t>Inundaciones</w:t>
            </w:r>
          </w:p>
        </w:tc>
        <w:tc>
          <w:tcPr>
            <w:tcW w:w="987" w:type="dxa"/>
            <w:tcBorders>
              <w:top w:val="nil"/>
              <w:left w:val="nil"/>
              <w:bottom w:val="nil"/>
              <w:right w:val="nil"/>
            </w:tcBorders>
            <w:shd w:val="clear" w:color="000000" w:fill="FFFFFF"/>
            <w:noWrap/>
            <w:vAlign w:val="bottom"/>
            <w:hideMark/>
          </w:tcPr>
          <w:p w:rsidR="00344722" w:rsidRPr="00344722" w:rsidRDefault="00344722" w:rsidP="00344722">
            <w:pPr>
              <w:rPr>
                <w:rFonts w:ascii="Times New Roman" w:hAnsi="Times New Roman"/>
                <w:color w:val="000000"/>
                <w:lang w:val="es-AR" w:eastAsia="es-AR"/>
              </w:rPr>
            </w:pPr>
            <w:r w:rsidRPr="00344722">
              <w:rPr>
                <w:rFonts w:ascii="Times New Roman" w:hAnsi="Times New Roman"/>
                <w:color w:val="000000"/>
                <w:lang w:val="es-AR" w:eastAsia="es-AR"/>
              </w:rPr>
              <w:t xml:space="preserve">          0,1 </w:t>
            </w:r>
          </w:p>
        </w:tc>
        <w:tc>
          <w:tcPr>
            <w:tcW w:w="1050" w:type="dxa"/>
            <w:tcBorders>
              <w:top w:val="nil"/>
              <w:left w:val="nil"/>
              <w:bottom w:val="nil"/>
              <w:right w:val="nil"/>
            </w:tcBorders>
            <w:shd w:val="clear" w:color="000000" w:fill="FFFFFF"/>
            <w:noWrap/>
            <w:vAlign w:val="bottom"/>
            <w:hideMark/>
          </w:tcPr>
          <w:p w:rsidR="00344722" w:rsidRPr="00344722" w:rsidRDefault="00344722" w:rsidP="00344722">
            <w:pPr>
              <w:rPr>
                <w:rFonts w:ascii="Times New Roman" w:hAnsi="Times New Roman"/>
                <w:color w:val="000000"/>
                <w:lang w:val="es-AR" w:eastAsia="es-AR"/>
              </w:rPr>
            </w:pPr>
            <w:r w:rsidRPr="00344722">
              <w:rPr>
                <w:rFonts w:ascii="Times New Roman" w:hAnsi="Times New Roman"/>
                <w:color w:val="000000"/>
                <w:lang w:val="es-AR" w:eastAsia="es-AR"/>
              </w:rPr>
              <w:t xml:space="preserve">        60,1 </w:t>
            </w:r>
          </w:p>
        </w:tc>
        <w:tc>
          <w:tcPr>
            <w:tcW w:w="1023" w:type="dxa"/>
            <w:tcBorders>
              <w:top w:val="nil"/>
              <w:left w:val="nil"/>
              <w:bottom w:val="nil"/>
              <w:right w:val="nil"/>
            </w:tcBorders>
            <w:shd w:val="clear" w:color="000000" w:fill="FFFFFF"/>
            <w:noWrap/>
            <w:vAlign w:val="bottom"/>
            <w:hideMark/>
          </w:tcPr>
          <w:p w:rsidR="00344722" w:rsidRPr="00344722" w:rsidRDefault="00344722" w:rsidP="00344722">
            <w:pPr>
              <w:rPr>
                <w:rFonts w:ascii="Times New Roman" w:hAnsi="Times New Roman"/>
                <w:color w:val="000000"/>
                <w:lang w:val="es-AR" w:eastAsia="es-AR"/>
              </w:rPr>
            </w:pPr>
            <w:r w:rsidRPr="00344722">
              <w:rPr>
                <w:rFonts w:ascii="Times New Roman" w:hAnsi="Times New Roman"/>
                <w:color w:val="000000"/>
                <w:lang w:val="es-AR" w:eastAsia="es-AR"/>
              </w:rPr>
              <w:t xml:space="preserve">        11,1 </w:t>
            </w:r>
          </w:p>
        </w:tc>
      </w:tr>
      <w:tr w:rsidR="00344722" w:rsidRPr="00344722" w:rsidTr="00344722">
        <w:trPr>
          <w:trHeight w:val="300"/>
          <w:jc w:val="center"/>
        </w:trPr>
        <w:tc>
          <w:tcPr>
            <w:tcW w:w="3700" w:type="dxa"/>
            <w:tcBorders>
              <w:top w:val="nil"/>
              <w:left w:val="nil"/>
              <w:bottom w:val="nil"/>
              <w:right w:val="nil"/>
            </w:tcBorders>
            <w:shd w:val="clear" w:color="000000" w:fill="FFFFFF"/>
            <w:noWrap/>
            <w:vAlign w:val="bottom"/>
            <w:hideMark/>
          </w:tcPr>
          <w:p w:rsidR="00344722" w:rsidRPr="00344722" w:rsidRDefault="00344722" w:rsidP="00397B50">
            <w:pPr>
              <w:ind w:firstLineChars="200" w:firstLine="400"/>
              <w:rPr>
                <w:rFonts w:ascii="Times New Roman" w:hAnsi="Times New Roman"/>
                <w:color w:val="000000"/>
                <w:lang w:val="es-AR" w:eastAsia="es-AR"/>
              </w:rPr>
            </w:pPr>
            <w:r w:rsidRPr="00344722">
              <w:rPr>
                <w:rFonts w:ascii="Times New Roman" w:hAnsi="Times New Roman"/>
                <w:color w:val="000000"/>
                <w:lang w:val="es-AR" w:eastAsia="es-AR"/>
              </w:rPr>
              <w:lastRenderedPageBreak/>
              <w:t>Tormentas tropicales</w:t>
            </w:r>
          </w:p>
        </w:tc>
        <w:tc>
          <w:tcPr>
            <w:tcW w:w="987" w:type="dxa"/>
            <w:tcBorders>
              <w:top w:val="nil"/>
              <w:left w:val="nil"/>
              <w:bottom w:val="nil"/>
              <w:right w:val="nil"/>
            </w:tcBorders>
            <w:shd w:val="clear" w:color="000000" w:fill="FFFFFF"/>
            <w:noWrap/>
            <w:vAlign w:val="bottom"/>
            <w:hideMark/>
          </w:tcPr>
          <w:p w:rsidR="00344722" w:rsidRPr="00344722" w:rsidRDefault="00344722" w:rsidP="00344722">
            <w:pPr>
              <w:rPr>
                <w:rFonts w:ascii="Times New Roman" w:hAnsi="Times New Roman"/>
                <w:color w:val="000000"/>
                <w:lang w:val="es-AR" w:eastAsia="es-AR"/>
              </w:rPr>
            </w:pPr>
            <w:r w:rsidRPr="00344722">
              <w:rPr>
                <w:rFonts w:ascii="Times New Roman" w:hAnsi="Times New Roman"/>
                <w:color w:val="000000"/>
                <w:lang w:val="es-AR" w:eastAsia="es-AR"/>
              </w:rPr>
              <w:t xml:space="preserve">          1,5 </w:t>
            </w:r>
          </w:p>
        </w:tc>
        <w:tc>
          <w:tcPr>
            <w:tcW w:w="1050" w:type="dxa"/>
            <w:tcBorders>
              <w:top w:val="nil"/>
              <w:left w:val="nil"/>
              <w:bottom w:val="nil"/>
              <w:right w:val="nil"/>
            </w:tcBorders>
            <w:shd w:val="clear" w:color="000000" w:fill="FFFFFF"/>
            <w:noWrap/>
            <w:vAlign w:val="bottom"/>
            <w:hideMark/>
          </w:tcPr>
          <w:p w:rsidR="00344722" w:rsidRPr="00344722" w:rsidRDefault="00344722" w:rsidP="00344722">
            <w:pPr>
              <w:rPr>
                <w:rFonts w:ascii="Times New Roman" w:hAnsi="Times New Roman"/>
                <w:color w:val="000000"/>
                <w:lang w:val="es-AR" w:eastAsia="es-AR"/>
              </w:rPr>
            </w:pPr>
            <w:r w:rsidRPr="00344722">
              <w:rPr>
                <w:rFonts w:ascii="Times New Roman" w:hAnsi="Times New Roman"/>
                <w:color w:val="000000"/>
                <w:lang w:val="es-AR" w:eastAsia="es-AR"/>
              </w:rPr>
              <w:t xml:space="preserve">        18,6 </w:t>
            </w:r>
          </w:p>
        </w:tc>
        <w:tc>
          <w:tcPr>
            <w:tcW w:w="1023" w:type="dxa"/>
            <w:tcBorders>
              <w:top w:val="nil"/>
              <w:left w:val="nil"/>
              <w:bottom w:val="nil"/>
              <w:right w:val="nil"/>
            </w:tcBorders>
            <w:shd w:val="clear" w:color="000000" w:fill="FFFFFF"/>
            <w:noWrap/>
            <w:vAlign w:val="bottom"/>
            <w:hideMark/>
          </w:tcPr>
          <w:p w:rsidR="00344722" w:rsidRPr="00344722" w:rsidRDefault="00344722" w:rsidP="00344722">
            <w:pPr>
              <w:rPr>
                <w:rFonts w:ascii="Times New Roman" w:hAnsi="Times New Roman"/>
                <w:color w:val="000000"/>
                <w:lang w:val="es-AR" w:eastAsia="es-AR"/>
              </w:rPr>
            </w:pPr>
            <w:r w:rsidRPr="00344722">
              <w:rPr>
                <w:rFonts w:ascii="Times New Roman" w:hAnsi="Times New Roman"/>
                <w:color w:val="000000"/>
                <w:lang w:val="es-AR" w:eastAsia="es-AR"/>
              </w:rPr>
              <w:t xml:space="preserve">          5,5 </w:t>
            </w:r>
          </w:p>
        </w:tc>
      </w:tr>
      <w:tr w:rsidR="00344722" w:rsidRPr="00344722" w:rsidTr="00344722">
        <w:trPr>
          <w:trHeight w:val="300"/>
          <w:jc w:val="center"/>
        </w:trPr>
        <w:tc>
          <w:tcPr>
            <w:tcW w:w="3700" w:type="dxa"/>
            <w:tcBorders>
              <w:top w:val="nil"/>
              <w:left w:val="nil"/>
              <w:bottom w:val="nil"/>
              <w:right w:val="nil"/>
            </w:tcBorders>
            <w:shd w:val="clear" w:color="000000" w:fill="FFFFFF"/>
            <w:noWrap/>
            <w:vAlign w:val="bottom"/>
            <w:hideMark/>
          </w:tcPr>
          <w:p w:rsidR="00344722" w:rsidRPr="00344722" w:rsidRDefault="00344722" w:rsidP="00344722">
            <w:pPr>
              <w:rPr>
                <w:rFonts w:ascii="Times New Roman" w:hAnsi="Times New Roman"/>
                <w:color w:val="000000"/>
                <w:lang w:val="es-AR" w:eastAsia="es-AR"/>
              </w:rPr>
            </w:pPr>
            <w:r w:rsidRPr="00344722">
              <w:rPr>
                <w:rFonts w:ascii="Times New Roman" w:hAnsi="Times New Roman"/>
                <w:color w:val="000000"/>
                <w:lang w:val="es-AR" w:eastAsia="es-AR"/>
              </w:rPr>
              <w:t xml:space="preserve">Mejora sistemas de agua y </w:t>
            </w:r>
            <w:r w:rsidR="001A3AFE" w:rsidRPr="00344722">
              <w:rPr>
                <w:rFonts w:ascii="Times New Roman" w:hAnsi="Times New Roman"/>
                <w:color w:val="000000"/>
                <w:lang w:val="es-AR" w:eastAsia="es-AR"/>
              </w:rPr>
              <w:t>desagüe</w:t>
            </w:r>
          </w:p>
        </w:tc>
        <w:tc>
          <w:tcPr>
            <w:tcW w:w="987" w:type="dxa"/>
            <w:tcBorders>
              <w:top w:val="nil"/>
              <w:left w:val="nil"/>
              <w:bottom w:val="nil"/>
              <w:right w:val="nil"/>
            </w:tcBorders>
            <w:shd w:val="clear" w:color="000000" w:fill="FFFFFF"/>
            <w:noWrap/>
            <w:vAlign w:val="bottom"/>
            <w:hideMark/>
          </w:tcPr>
          <w:p w:rsidR="00344722" w:rsidRPr="00344722" w:rsidRDefault="00344722" w:rsidP="00344722">
            <w:pPr>
              <w:rPr>
                <w:rFonts w:ascii="Times New Roman" w:hAnsi="Times New Roman"/>
                <w:color w:val="000000"/>
                <w:lang w:val="es-AR" w:eastAsia="es-AR"/>
              </w:rPr>
            </w:pPr>
            <w:r w:rsidRPr="00344722">
              <w:rPr>
                <w:rFonts w:ascii="Times New Roman" w:hAnsi="Times New Roman"/>
                <w:color w:val="000000"/>
                <w:lang w:val="es-AR" w:eastAsia="es-AR"/>
              </w:rPr>
              <w:t xml:space="preserve">          1,3 </w:t>
            </w:r>
          </w:p>
        </w:tc>
        <w:tc>
          <w:tcPr>
            <w:tcW w:w="1050" w:type="dxa"/>
            <w:tcBorders>
              <w:top w:val="nil"/>
              <w:left w:val="nil"/>
              <w:bottom w:val="nil"/>
              <w:right w:val="nil"/>
            </w:tcBorders>
            <w:shd w:val="clear" w:color="000000" w:fill="FFFFFF"/>
            <w:noWrap/>
            <w:vAlign w:val="bottom"/>
            <w:hideMark/>
          </w:tcPr>
          <w:p w:rsidR="00344722" w:rsidRPr="00344722" w:rsidRDefault="00344722" w:rsidP="00344722">
            <w:pPr>
              <w:rPr>
                <w:rFonts w:ascii="Times New Roman" w:hAnsi="Times New Roman"/>
                <w:color w:val="000000"/>
                <w:lang w:val="es-AR" w:eastAsia="es-AR"/>
              </w:rPr>
            </w:pPr>
            <w:r w:rsidRPr="00344722">
              <w:rPr>
                <w:rFonts w:ascii="Times New Roman" w:hAnsi="Times New Roman"/>
                <w:color w:val="000000"/>
                <w:lang w:val="es-AR" w:eastAsia="es-AR"/>
              </w:rPr>
              <w:t xml:space="preserve">        61,5 </w:t>
            </w:r>
          </w:p>
        </w:tc>
        <w:tc>
          <w:tcPr>
            <w:tcW w:w="1023" w:type="dxa"/>
            <w:tcBorders>
              <w:top w:val="nil"/>
              <w:left w:val="nil"/>
              <w:bottom w:val="nil"/>
              <w:right w:val="nil"/>
            </w:tcBorders>
            <w:shd w:val="clear" w:color="000000" w:fill="FFFFFF"/>
            <w:noWrap/>
            <w:vAlign w:val="bottom"/>
            <w:hideMark/>
          </w:tcPr>
          <w:p w:rsidR="00344722" w:rsidRPr="00344722" w:rsidRDefault="00344722" w:rsidP="00344722">
            <w:pPr>
              <w:rPr>
                <w:rFonts w:ascii="Times New Roman" w:hAnsi="Times New Roman"/>
                <w:color w:val="000000"/>
                <w:lang w:val="es-AR" w:eastAsia="es-AR"/>
              </w:rPr>
            </w:pPr>
            <w:r w:rsidRPr="00344722">
              <w:rPr>
                <w:rFonts w:ascii="Times New Roman" w:hAnsi="Times New Roman"/>
                <w:color w:val="000000"/>
                <w:lang w:val="es-AR" w:eastAsia="es-AR"/>
              </w:rPr>
              <w:t xml:space="preserve">        12,1 </w:t>
            </w:r>
          </w:p>
        </w:tc>
      </w:tr>
      <w:tr w:rsidR="00344722" w:rsidRPr="00344722" w:rsidTr="00344722">
        <w:trPr>
          <w:trHeight w:val="300"/>
          <w:jc w:val="center"/>
        </w:trPr>
        <w:tc>
          <w:tcPr>
            <w:tcW w:w="3700" w:type="dxa"/>
            <w:tcBorders>
              <w:top w:val="nil"/>
              <w:left w:val="nil"/>
              <w:bottom w:val="nil"/>
              <w:right w:val="nil"/>
            </w:tcBorders>
            <w:shd w:val="clear" w:color="000000" w:fill="FFFFFF"/>
            <w:noWrap/>
            <w:vAlign w:val="bottom"/>
            <w:hideMark/>
          </w:tcPr>
          <w:p w:rsidR="00344722" w:rsidRPr="00344722" w:rsidRDefault="00344722" w:rsidP="00344722">
            <w:pPr>
              <w:rPr>
                <w:rFonts w:ascii="Times New Roman" w:hAnsi="Times New Roman"/>
                <w:color w:val="000000"/>
                <w:lang w:val="es-AR" w:eastAsia="es-AR"/>
              </w:rPr>
            </w:pPr>
            <w:r w:rsidRPr="00344722">
              <w:rPr>
                <w:rFonts w:ascii="Times New Roman" w:hAnsi="Times New Roman"/>
                <w:color w:val="000000"/>
                <w:lang w:val="es-AR" w:eastAsia="es-AR"/>
              </w:rPr>
              <w:t>Vacunación</w:t>
            </w:r>
          </w:p>
        </w:tc>
        <w:tc>
          <w:tcPr>
            <w:tcW w:w="987" w:type="dxa"/>
            <w:tcBorders>
              <w:top w:val="nil"/>
              <w:left w:val="nil"/>
              <w:bottom w:val="nil"/>
              <w:right w:val="nil"/>
            </w:tcBorders>
            <w:shd w:val="clear" w:color="000000" w:fill="FFFFFF"/>
            <w:noWrap/>
            <w:vAlign w:val="bottom"/>
            <w:hideMark/>
          </w:tcPr>
          <w:p w:rsidR="00344722" w:rsidRPr="00344722" w:rsidRDefault="00344722" w:rsidP="00344722">
            <w:pPr>
              <w:rPr>
                <w:rFonts w:ascii="Times New Roman" w:hAnsi="Times New Roman"/>
                <w:color w:val="000000"/>
                <w:lang w:val="es-AR" w:eastAsia="es-AR"/>
              </w:rPr>
            </w:pPr>
            <w:r w:rsidRPr="00344722">
              <w:rPr>
                <w:rFonts w:ascii="Times New Roman" w:hAnsi="Times New Roman"/>
                <w:color w:val="000000"/>
                <w:lang w:val="es-AR" w:eastAsia="es-AR"/>
              </w:rPr>
              <w:t xml:space="preserve">          0,1 </w:t>
            </w:r>
          </w:p>
        </w:tc>
        <w:tc>
          <w:tcPr>
            <w:tcW w:w="1050" w:type="dxa"/>
            <w:tcBorders>
              <w:top w:val="nil"/>
              <w:left w:val="nil"/>
              <w:bottom w:val="nil"/>
              <w:right w:val="nil"/>
            </w:tcBorders>
            <w:shd w:val="clear" w:color="000000" w:fill="FFFFFF"/>
            <w:noWrap/>
            <w:vAlign w:val="bottom"/>
            <w:hideMark/>
          </w:tcPr>
          <w:p w:rsidR="00344722" w:rsidRPr="00344722" w:rsidRDefault="00344722" w:rsidP="00344722">
            <w:pPr>
              <w:rPr>
                <w:rFonts w:ascii="Times New Roman" w:hAnsi="Times New Roman"/>
                <w:color w:val="000000"/>
                <w:lang w:val="es-AR" w:eastAsia="es-AR"/>
              </w:rPr>
            </w:pPr>
            <w:r w:rsidRPr="00344722">
              <w:rPr>
                <w:rFonts w:ascii="Times New Roman" w:hAnsi="Times New Roman"/>
                <w:color w:val="000000"/>
                <w:lang w:val="es-AR" w:eastAsia="es-AR"/>
              </w:rPr>
              <w:t xml:space="preserve">          7,7 </w:t>
            </w:r>
          </w:p>
        </w:tc>
        <w:tc>
          <w:tcPr>
            <w:tcW w:w="1023" w:type="dxa"/>
            <w:tcBorders>
              <w:top w:val="nil"/>
              <w:left w:val="nil"/>
              <w:bottom w:val="nil"/>
              <w:right w:val="nil"/>
            </w:tcBorders>
            <w:shd w:val="clear" w:color="000000" w:fill="FFFFFF"/>
            <w:noWrap/>
            <w:vAlign w:val="bottom"/>
            <w:hideMark/>
          </w:tcPr>
          <w:p w:rsidR="00344722" w:rsidRPr="00344722" w:rsidRDefault="00344722" w:rsidP="00344722">
            <w:pPr>
              <w:rPr>
                <w:rFonts w:ascii="Times New Roman" w:hAnsi="Times New Roman"/>
                <w:color w:val="000000"/>
                <w:lang w:val="es-AR" w:eastAsia="es-AR"/>
              </w:rPr>
            </w:pPr>
            <w:r w:rsidRPr="00344722">
              <w:rPr>
                <w:rFonts w:ascii="Times New Roman" w:hAnsi="Times New Roman"/>
                <w:color w:val="000000"/>
                <w:lang w:val="es-AR" w:eastAsia="es-AR"/>
              </w:rPr>
              <w:t xml:space="preserve">          2,5 </w:t>
            </w:r>
          </w:p>
        </w:tc>
      </w:tr>
      <w:tr w:rsidR="00344722" w:rsidRPr="00344722" w:rsidTr="00344722">
        <w:trPr>
          <w:trHeight w:val="300"/>
          <w:jc w:val="center"/>
        </w:trPr>
        <w:tc>
          <w:tcPr>
            <w:tcW w:w="3700" w:type="dxa"/>
            <w:tcBorders>
              <w:top w:val="nil"/>
              <w:left w:val="nil"/>
              <w:bottom w:val="nil"/>
              <w:right w:val="nil"/>
            </w:tcBorders>
            <w:shd w:val="clear" w:color="000000" w:fill="FFFFFF"/>
            <w:noWrap/>
            <w:vAlign w:val="bottom"/>
            <w:hideMark/>
          </w:tcPr>
          <w:p w:rsidR="00344722" w:rsidRPr="00344722" w:rsidRDefault="00344722" w:rsidP="00344722">
            <w:pPr>
              <w:rPr>
                <w:rFonts w:ascii="Times New Roman" w:hAnsi="Times New Roman"/>
                <w:color w:val="000000"/>
                <w:lang w:val="es-AR" w:eastAsia="es-AR"/>
              </w:rPr>
            </w:pPr>
            <w:r w:rsidRPr="00344722">
              <w:rPr>
                <w:rFonts w:ascii="Times New Roman" w:hAnsi="Times New Roman"/>
                <w:color w:val="000000"/>
                <w:lang w:val="es-AR" w:eastAsia="es-AR"/>
              </w:rPr>
              <w:t>Sistemas nutricionales</w:t>
            </w:r>
          </w:p>
        </w:tc>
        <w:tc>
          <w:tcPr>
            <w:tcW w:w="987" w:type="dxa"/>
            <w:tcBorders>
              <w:top w:val="nil"/>
              <w:left w:val="nil"/>
              <w:bottom w:val="nil"/>
              <w:right w:val="nil"/>
            </w:tcBorders>
            <w:shd w:val="clear" w:color="000000" w:fill="FFFFFF"/>
            <w:noWrap/>
            <w:vAlign w:val="bottom"/>
            <w:hideMark/>
          </w:tcPr>
          <w:p w:rsidR="00344722" w:rsidRPr="00344722" w:rsidRDefault="00344722" w:rsidP="00344722">
            <w:pPr>
              <w:rPr>
                <w:rFonts w:ascii="Times New Roman" w:hAnsi="Times New Roman"/>
                <w:color w:val="000000"/>
                <w:lang w:val="es-AR" w:eastAsia="es-AR"/>
              </w:rPr>
            </w:pPr>
            <w:r w:rsidRPr="00344722">
              <w:rPr>
                <w:rFonts w:ascii="Times New Roman" w:hAnsi="Times New Roman"/>
                <w:color w:val="000000"/>
                <w:lang w:val="es-AR" w:eastAsia="es-AR"/>
              </w:rPr>
              <w:t xml:space="preserve">          1,0 </w:t>
            </w:r>
          </w:p>
        </w:tc>
        <w:tc>
          <w:tcPr>
            <w:tcW w:w="1050" w:type="dxa"/>
            <w:tcBorders>
              <w:top w:val="nil"/>
              <w:left w:val="nil"/>
              <w:bottom w:val="nil"/>
              <w:right w:val="nil"/>
            </w:tcBorders>
            <w:shd w:val="clear" w:color="000000" w:fill="FFFFFF"/>
            <w:noWrap/>
            <w:vAlign w:val="bottom"/>
            <w:hideMark/>
          </w:tcPr>
          <w:p w:rsidR="00344722" w:rsidRPr="00344722" w:rsidRDefault="00344722" w:rsidP="00344722">
            <w:pPr>
              <w:rPr>
                <w:rFonts w:ascii="Times New Roman" w:hAnsi="Times New Roman"/>
                <w:color w:val="000000"/>
                <w:lang w:val="es-AR" w:eastAsia="es-AR"/>
              </w:rPr>
            </w:pPr>
            <w:r w:rsidRPr="00344722">
              <w:rPr>
                <w:rFonts w:ascii="Times New Roman" w:hAnsi="Times New Roman"/>
                <w:color w:val="000000"/>
                <w:lang w:val="es-AR" w:eastAsia="es-AR"/>
              </w:rPr>
              <w:t xml:space="preserve">       648,0 </w:t>
            </w:r>
          </w:p>
        </w:tc>
        <w:tc>
          <w:tcPr>
            <w:tcW w:w="1023" w:type="dxa"/>
            <w:tcBorders>
              <w:top w:val="nil"/>
              <w:left w:val="nil"/>
              <w:bottom w:val="nil"/>
              <w:right w:val="nil"/>
            </w:tcBorders>
            <w:shd w:val="clear" w:color="000000" w:fill="FFFFFF"/>
            <w:noWrap/>
            <w:vAlign w:val="bottom"/>
            <w:hideMark/>
          </w:tcPr>
          <w:p w:rsidR="00344722" w:rsidRPr="00344722" w:rsidRDefault="00344722" w:rsidP="00344722">
            <w:pPr>
              <w:rPr>
                <w:rFonts w:ascii="Times New Roman" w:hAnsi="Times New Roman"/>
                <w:color w:val="000000"/>
                <w:lang w:val="es-AR" w:eastAsia="es-AR"/>
              </w:rPr>
            </w:pPr>
            <w:r w:rsidRPr="00344722">
              <w:rPr>
                <w:rFonts w:ascii="Times New Roman" w:hAnsi="Times New Roman"/>
                <w:color w:val="000000"/>
                <w:lang w:val="es-AR" w:eastAsia="es-AR"/>
              </w:rPr>
              <w:t xml:space="preserve">        61,1 </w:t>
            </w:r>
          </w:p>
        </w:tc>
      </w:tr>
    </w:tbl>
    <w:p w:rsidR="00EB7792" w:rsidRPr="00684270" w:rsidRDefault="00684270" w:rsidP="00344722">
      <w:pPr>
        <w:ind w:left="720"/>
        <w:rPr>
          <w:rFonts w:ascii="Times New Roman" w:hAnsi="Times New Roman"/>
          <w:i/>
          <w:noProof/>
        </w:rPr>
      </w:pPr>
      <w:r>
        <w:rPr>
          <w:rFonts w:ascii="Times New Roman" w:hAnsi="Times New Roman"/>
          <w:i/>
          <w:noProof/>
        </w:rPr>
        <w:t xml:space="preserve">Fuente: </w:t>
      </w:r>
      <w:r w:rsidRPr="00684270">
        <w:rPr>
          <w:rFonts w:ascii="Times New Roman" w:hAnsi="Times New Roman"/>
          <w:i/>
          <w:noProof/>
        </w:rPr>
        <w:t>World Bank. Benefit-Cost Analysis for Risk Man</w:t>
      </w:r>
      <w:r>
        <w:rPr>
          <w:rFonts w:ascii="Times New Roman" w:hAnsi="Times New Roman"/>
          <w:i/>
          <w:noProof/>
        </w:rPr>
        <w:t xml:space="preserve">agement. </w:t>
      </w:r>
      <w:r w:rsidRPr="00684270">
        <w:rPr>
          <w:rFonts w:ascii="Times New Roman" w:hAnsi="Times New Roman"/>
          <w:i/>
          <w:noProof/>
        </w:rPr>
        <w:t>2014</w:t>
      </w:r>
    </w:p>
    <w:p w:rsidR="009C7439" w:rsidRDefault="009C7439"/>
    <w:p w:rsidR="009C7439" w:rsidRPr="006A44D5" w:rsidRDefault="00094CB7" w:rsidP="00C95815">
      <w:pPr>
        <w:pStyle w:val="ListParagraph"/>
        <w:numPr>
          <w:ilvl w:val="1"/>
          <w:numId w:val="12"/>
        </w:numPr>
        <w:jc w:val="both"/>
        <w:rPr>
          <w:rFonts w:ascii="Times New Roman" w:hAnsi="Times New Roman"/>
          <w:bCs/>
          <w:sz w:val="22"/>
          <w:szCs w:val="22"/>
          <w:lang w:val="es-ES_tradnl" w:eastAsia="es-AR"/>
        </w:rPr>
      </w:pPr>
      <w:r>
        <w:rPr>
          <w:rFonts w:ascii="Times New Roman" w:hAnsi="Times New Roman"/>
          <w:bCs/>
          <w:sz w:val="22"/>
          <w:szCs w:val="22"/>
          <w:lang w:val="es-ES_tradnl" w:eastAsia="es-AR"/>
        </w:rPr>
        <w:t>Algunos e</w:t>
      </w:r>
      <w:r w:rsidR="00344722">
        <w:rPr>
          <w:rFonts w:ascii="Times New Roman" w:hAnsi="Times New Roman"/>
          <w:bCs/>
          <w:sz w:val="22"/>
          <w:szCs w:val="22"/>
          <w:lang w:val="es-ES_tradnl" w:eastAsia="es-AR"/>
        </w:rPr>
        <w:t xml:space="preserve">studios </w:t>
      </w:r>
      <w:r w:rsidR="009C57BF">
        <w:rPr>
          <w:rFonts w:ascii="Times New Roman" w:hAnsi="Times New Roman"/>
          <w:bCs/>
          <w:sz w:val="22"/>
          <w:szCs w:val="22"/>
          <w:lang w:val="es-ES_tradnl" w:eastAsia="es-AR"/>
        </w:rPr>
        <w:t>con base en sistemas de alerta funcionando en</w:t>
      </w:r>
      <w:r w:rsidR="009C7439" w:rsidRPr="0090662F">
        <w:rPr>
          <w:rFonts w:ascii="Times New Roman" w:hAnsi="Times New Roman"/>
          <w:bCs/>
          <w:sz w:val="22"/>
          <w:szCs w:val="22"/>
          <w:lang w:val="es-ES_tradnl" w:eastAsia="es-AR"/>
        </w:rPr>
        <w:t xml:space="preserve"> Europ</w:t>
      </w:r>
      <w:r w:rsidR="009C7439">
        <w:rPr>
          <w:rFonts w:ascii="Times New Roman" w:hAnsi="Times New Roman"/>
          <w:bCs/>
          <w:sz w:val="22"/>
          <w:szCs w:val="22"/>
          <w:lang w:val="es-ES_tradnl" w:eastAsia="es-AR"/>
        </w:rPr>
        <w:t>a</w:t>
      </w:r>
      <w:r w:rsidR="009C7439">
        <w:rPr>
          <w:rStyle w:val="FootnoteReference"/>
          <w:rFonts w:ascii="Times New Roman" w:hAnsi="Times New Roman"/>
          <w:bCs/>
          <w:sz w:val="22"/>
          <w:szCs w:val="22"/>
          <w:lang w:val="es-ES_tradnl" w:eastAsia="es-AR"/>
        </w:rPr>
        <w:footnoteReference w:id="27"/>
      </w:r>
      <w:r w:rsidR="009C7439" w:rsidRPr="0090662F">
        <w:rPr>
          <w:rFonts w:ascii="Times New Roman" w:hAnsi="Times New Roman"/>
          <w:bCs/>
          <w:sz w:val="22"/>
          <w:szCs w:val="22"/>
          <w:lang w:val="es-ES_tradnl" w:eastAsia="es-AR"/>
        </w:rPr>
        <w:t xml:space="preserve">, </w:t>
      </w:r>
      <w:r w:rsidR="009C7439" w:rsidRPr="009C7439">
        <w:rPr>
          <w:rFonts w:ascii="Times New Roman" w:hAnsi="Times New Roman"/>
          <w:color w:val="212121"/>
          <w:sz w:val="22"/>
          <w:szCs w:val="22"/>
          <w:lang w:val="es-ES"/>
        </w:rPr>
        <w:t>estima</w:t>
      </w:r>
      <w:r w:rsidR="00344722">
        <w:rPr>
          <w:rFonts w:ascii="Times New Roman" w:hAnsi="Times New Roman"/>
          <w:color w:val="212121"/>
          <w:sz w:val="22"/>
          <w:szCs w:val="22"/>
          <w:lang w:val="es-ES"/>
        </w:rPr>
        <w:t>n</w:t>
      </w:r>
      <w:r w:rsidR="009C7439" w:rsidRPr="009C7439">
        <w:rPr>
          <w:rFonts w:ascii="Times New Roman" w:hAnsi="Times New Roman"/>
          <w:color w:val="212121"/>
          <w:sz w:val="22"/>
          <w:szCs w:val="22"/>
          <w:lang w:val="es-ES"/>
        </w:rPr>
        <w:t xml:space="preserve"> que los sistemas de información y alerta temp</w:t>
      </w:r>
      <w:r w:rsidR="00814D61">
        <w:rPr>
          <w:rFonts w:ascii="Times New Roman" w:hAnsi="Times New Roman"/>
          <w:color w:val="212121"/>
          <w:sz w:val="22"/>
          <w:szCs w:val="22"/>
          <w:lang w:val="es-ES"/>
        </w:rPr>
        <w:t>rana hidrometeorológicos ahorran</w:t>
      </w:r>
      <w:r w:rsidR="009C7439" w:rsidRPr="009C7439">
        <w:rPr>
          <w:rFonts w:ascii="Times New Roman" w:hAnsi="Times New Roman"/>
          <w:color w:val="212121"/>
          <w:sz w:val="22"/>
          <w:szCs w:val="22"/>
          <w:lang w:val="es-ES"/>
        </w:rPr>
        <w:t xml:space="preserve"> varios cientos de vidas al año, evita</w:t>
      </w:r>
      <w:r w:rsidR="00397B50">
        <w:rPr>
          <w:rFonts w:ascii="Times New Roman" w:hAnsi="Times New Roman"/>
          <w:color w:val="212121"/>
          <w:sz w:val="22"/>
          <w:szCs w:val="22"/>
          <w:lang w:val="es-ES"/>
        </w:rPr>
        <w:t>n</w:t>
      </w:r>
      <w:r w:rsidR="009C7439" w:rsidRPr="009C7439">
        <w:rPr>
          <w:rFonts w:ascii="Times New Roman" w:hAnsi="Times New Roman"/>
          <w:color w:val="212121"/>
          <w:sz w:val="22"/>
          <w:szCs w:val="22"/>
          <w:lang w:val="es-ES"/>
        </w:rPr>
        <w:t xml:space="preserve"> entre 460 y 27</w:t>
      </w:r>
      <w:r w:rsidR="000825B7">
        <w:rPr>
          <w:rFonts w:ascii="Times New Roman" w:hAnsi="Times New Roman"/>
          <w:color w:val="212121"/>
          <w:sz w:val="22"/>
          <w:szCs w:val="22"/>
          <w:lang w:val="es-ES"/>
        </w:rPr>
        <w:t>00</w:t>
      </w:r>
      <w:r w:rsidR="009C7439" w:rsidRPr="009C7439">
        <w:rPr>
          <w:rFonts w:ascii="Times New Roman" w:hAnsi="Times New Roman"/>
          <w:color w:val="212121"/>
          <w:sz w:val="22"/>
          <w:szCs w:val="22"/>
          <w:lang w:val="es-ES"/>
        </w:rPr>
        <w:t xml:space="preserve"> ​​</w:t>
      </w:r>
      <w:r w:rsidR="000825B7">
        <w:rPr>
          <w:rFonts w:ascii="Times New Roman" w:hAnsi="Times New Roman"/>
          <w:color w:val="212121"/>
          <w:sz w:val="22"/>
          <w:szCs w:val="22"/>
          <w:lang w:val="es-ES"/>
        </w:rPr>
        <w:t>m</w:t>
      </w:r>
      <w:r w:rsidR="009C57BF">
        <w:rPr>
          <w:rFonts w:ascii="Times New Roman" w:hAnsi="Times New Roman"/>
          <w:color w:val="212121"/>
          <w:sz w:val="22"/>
          <w:szCs w:val="22"/>
          <w:lang w:val="es-ES"/>
        </w:rPr>
        <w:t>illones</w:t>
      </w:r>
      <w:r w:rsidR="009C7439" w:rsidRPr="009C7439">
        <w:rPr>
          <w:rFonts w:ascii="Times New Roman" w:hAnsi="Times New Roman"/>
          <w:color w:val="212121"/>
          <w:sz w:val="22"/>
          <w:szCs w:val="22"/>
          <w:lang w:val="es-ES"/>
        </w:rPr>
        <w:t xml:space="preserve"> de euros de pérdidas de activos de desastres por año y producen entre 3,4 y  34 </w:t>
      </w:r>
      <w:r w:rsidR="00C41BCB">
        <w:rPr>
          <w:rFonts w:ascii="Times New Roman" w:hAnsi="Times New Roman"/>
          <w:color w:val="212121"/>
          <w:sz w:val="22"/>
          <w:szCs w:val="22"/>
          <w:lang w:val="es-ES"/>
        </w:rPr>
        <w:t xml:space="preserve">billones de euros </w:t>
      </w:r>
      <w:r w:rsidRPr="009C7439">
        <w:rPr>
          <w:rFonts w:ascii="Times New Roman" w:hAnsi="Times New Roman"/>
          <w:color w:val="212121"/>
          <w:sz w:val="22"/>
          <w:szCs w:val="22"/>
          <w:lang w:val="es-ES"/>
        </w:rPr>
        <w:t xml:space="preserve"> </w:t>
      </w:r>
      <w:r w:rsidR="009C7439" w:rsidRPr="009C7439">
        <w:rPr>
          <w:rFonts w:ascii="Times New Roman" w:hAnsi="Times New Roman"/>
          <w:color w:val="212121"/>
          <w:sz w:val="22"/>
          <w:szCs w:val="22"/>
          <w:lang w:val="es-ES"/>
        </w:rPr>
        <w:t xml:space="preserve">de beneficios adicionales por año a través de la optimización de la producción económica en sectores sensibles al </w:t>
      </w:r>
      <w:r w:rsidR="00344722">
        <w:rPr>
          <w:rFonts w:ascii="Times New Roman" w:hAnsi="Times New Roman"/>
          <w:color w:val="212121"/>
          <w:sz w:val="22"/>
          <w:szCs w:val="22"/>
          <w:lang w:val="es-ES"/>
        </w:rPr>
        <w:t>clima (agricultura, energía, entre otros</w:t>
      </w:r>
      <w:r w:rsidR="009C7439" w:rsidRPr="009C7439">
        <w:rPr>
          <w:rFonts w:ascii="Times New Roman" w:hAnsi="Times New Roman"/>
          <w:color w:val="212121"/>
          <w:sz w:val="22"/>
          <w:szCs w:val="22"/>
          <w:lang w:val="es-ES"/>
        </w:rPr>
        <w:t xml:space="preserve">). El </w:t>
      </w:r>
      <w:r w:rsidR="00397B50">
        <w:rPr>
          <w:rFonts w:ascii="Times New Roman" w:hAnsi="Times New Roman"/>
          <w:color w:val="212121"/>
          <w:sz w:val="22"/>
          <w:szCs w:val="22"/>
          <w:lang w:val="es-ES"/>
        </w:rPr>
        <w:t xml:space="preserve">mismo trabajo </w:t>
      </w:r>
      <w:r w:rsidR="00C21200">
        <w:rPr>
          <w:rFonts w:ascii="Times New Roman" w:hAnsi="Times New Roman"/>
          <w:color w:val="212121"/>
          <w:sz w:val="22"/>
          <w:szCs w:val="22"/>
          <w:lang w:val="es-ES"/>
        </w:rPr>
        <w:t>plantea la hipótesis de que</w:t>
      </w:r>
      <w:r w:rsidR="00397B50">
        <w:rPr>
          <w:rFonts w:ascii="Times New Roman" w:hAnsi="Times New Roman"/>
          <w:color w:val="212121"/>
          <w:sz w:val="22"/>
          <w:szCs w:val="22"/>
          <w:lang w:val="es-ES"/>
        </w:rPr>
        <w:t xml:space="preserve"> el </w:t>
      </w:r>
      <w:r w:rsidR="009C7439" w:rsidRPr="009C7439">
        <w:rPr>
          <w:rFonts w:ascii="Times New Roman" w:hAnsi="Times New Roman"/>
          <w:color w:val="212121"/>
          <w:sz w:val="22"/>
          <w:szCs w:val="22"/>
          <w:lang w:val="es-ES"/>
        </w:rPr>
        <w:t xml:space="preserve">potencial de beneficios similares en el mundo en desarrollo </w:t>
      </w:r>
      <w:r w:rsidR="00344722">
        <w:rPr>
          <w:rFonts w:ascii="Times New Roman" w:hAnsi="Times New Roman"/>
          <w:color w:val="212121"/>
          <w:sz w:val="22"/>
          <w:szCs w:val="22"/>
          <w:lang w:val="es-ES"/>
        </w:rPr>
        <w:t>sería más que</w:t>
      </w:r>
      <w:r w:rsidR="009C7439" w:rsidRPr="009C7439">
        <w:rPr>
          <w:rFonts w:ascii="Times New Roman" w:hAnsi="Times New Roman"/>
          <w:color w:val="212121"/>
          <w:sz w:val="22"/>
          <w:szCs w:val="22"/>
          <w:lang w:val="es-ES"/>
        </w:rPr>
        <w:t xml:space="preserve"> proporcional a la población, </w:t>
      </w:r>
      <w:r w:rsidR="00344722">
        <w:rPr>
          <w:rFonts w:ascii="Times New Roman" w:hAnsi="Times New Roman"/>
          <w:color w:val="212121"/>
          <w:sz w:val="22"/>
          <w:szCs w:val="22"/>
          <w:lang w:val="es-ES"/>
        </w:rPr>
        <w:t>debido al tipo</w:t>
      </w:r>
      <w:r w:rsidR="009C7439" w:rsidRPr="009C7439">
        <w:rPr>
          <w:rFonts w:ascii="Times New Roman" w:hAnsi="Times New Roman"/>
          <w:color w:val="212121"/>
          <w:sz w:val="22"/>
          <w:szCs w:val="22"/>
          <w:lang w:val="es-ES"/>
        </w:rPr>
        <w:t xml:space="preserve"> de amenazas</w:t>
      </w:r>
      <w:r w:rsidR="00344722">
        <w:rPr>
          <w:rFonts w:ascii="Times New Roman" w:hAnsi="Times New Roman"/>
          <w:color w:val="212121"/>
          <w:sz w:val="22"/>
          <w:szCs w:val="22"/>
          <w:lang w:val="es-ES"/>
        </w:rPr>
        <w:t>, e</w:t>
      </w:r>
      <w:r w:rsidR="009C7439" w:rsidRPr="009C7439">
        <w:rPr>
          <w:rFonts w:ascii="Times New Roman" w:hAnsi="Times New Roman"/>
          <w:color w:val="212121"/>
          <w:sz w:val="22"/>
          <w:szCs w:val="22"/>
          <w:lang w:val="es-ES"/>
        </w:rPr>
        <w:t xml:space="preserve">l clima y la geografía, así como </w:t>
      </w:r>
      <w:r w:rsidR="009C57BF">
        <w:rPr>
          <w:rFonts w:ascii="Times New Roman" w:hAnsi="Times New Roman"/>
          <w:color w:val="212121"/>
          <w:sz w:val="22"/>
          <w:szCs w:val="22"/>
          <w:lang w:val="es-ES"/>
        </w:rPr>
        <w:t xml:space="preserve">principalmente </w:t>
      </w:r>
      <w:r w:rsidR="003A66DB">
        <w:rPr>
          <w:rFonts w:ascii="Times New Roman" w:hAnsi="Times New Roman"/>
          <w:color w:val="212121"/>
          <w:sz w:val="22"/>
          <w:szCs w:val="22"/>
          <w:lang w:val="es-ES"/>
        </w:rPr>
        <w:t xml:space="preserve">por </w:t>
      </w:r>
      <w:r w:rsidR="009C7439" w:rsidRPr="009C7439">
        <w:rPr>
          <w:rFonts w:ascii="Times New Roman" w:hAnsi="Times New Roman"/>
          <w:color w:val="212121"/>
          <w:sz w:val="22"/>
          <w:szCs w:val="22"/>
          <w:lang w:val="es-ES"/>
        </w:rPr>
        <w:t xml:space="preserve">una mayor </w:t>
      </w:r>
      <w:r w:rsidR="00344722">
        <w:rPr>
          <w:rFonts w:ascii="Times New Roman" w:hAnsi="Times New Roman"/>
          <w:color w:val="212121"/>
          <w:sz w:val="22"/>
          <w:szCs w:val="22"/>
          <w:lang w:val="es-ES"/>
        </w:rPr>
        <w:t xml:space="preserve">vulnerabilidad debido a las </w:t>
      </w:r>
      <w:r w:rsidR="009C57BF">
        <w:rPr>
          <w:rFonts w:ascii="Times New Roman" w:hAnsi="Times New Roman"/>
          <w:color w:val="212121"/>
          <w:sz w:val="22"/>
          <w:szCs w:val="22"/>
          <w:lang w:val="es-ES"/>
        </w:rPr>
        <w:t xml:space="preserve">débiles </w:t>
      </w:r>
      <w:r w:rsidR="00344722">
        <w:rPr>
          <w:rFonts w:ascii="Times New Roman" w:hAnsi="Times New Roman"/>
          <w:color w:val="212121"/>
          <w:sz w:val="22"/>
          <w:szCs w:val="22"/>
          <w:lang w:val="es-ES"/>
        </w:rPr>
        <w:t xml:space="preserve">condiciones estructurales </w:t>
      </w:r>
      <w:r w:rsidR="009C7439" w:rsidRPr="009C7439">
        <w:rPr>
          <w:rFonts w:ascii="Times New Roman" w:hAnsi="Times New Roman"/>
          <w:color w:val="212121"/>
          <w:sz w:val="22"/>
          <w:szCs w:val="22"/>
          <w:lang w:val="es-ES"/>
        </w:rPr>
        <w:t xml:space="preserve">de la infraestructura. Este análisis estima que los beneficios potenciales de información y capacidad de </w:t>
      </w:r>
      <w:r w:rsidR="00397B50">
        <w:rPr>
          <w:rFonts w:ascii="Times New Roman" w:hAnsi="Times New Roman"/>
          <w:color w:val="212121"/>
          <w:sz w:val="22"/>
          <w:szCs w:val="22"/>
          <w:lang w:val="es-ES"/>
        </w:rPr>
        <w:t xml:space="preserve">sistemas de </w:t>
      </w:r>
      <w:r w:rsidR="009C7439" w:rsidRPr="009C7439">
        <w:rPr>
          <w:rFonts w:ascii="Times New Roman" w:hAnsi="Times New Roman"/>
          <w:color w:val="212121"/>
          <w:sz w:val="22"/>
          <w:szCs w:val="22"/>
          <w:lang w:val="es-ES"/>
        </w:rPr>
        <w:t xml:space="preserve">alerta temprana en todos los países en desarrollo </w:t>
      </w:r>
      <w:r w:rsidR="009C57BF">
        <w:rPr>
          <w:rFonts w:ascii="Times New Roman" w:hAnsi="Times New Roman"/>
          <w:color w:val="212121"/>
          <w:sz w:val="22"/>
          <w:szCs w:val="22"/>
          <w:lang w:val="es-ES"/>
        </w:rPr>
        <w:t>serían</w:t>
      </w:r>
      <w:r w:rsidR="009C7439" w:rsidRPr="009C7439">
        <w:rPr>
          <w:rFonts w:ascii="Times New Roman" w:hAnsi="Times New Roman"/>
          <w:color w:val="212121"/>
          <w:sz w:val="22"/>
          <w:szCs w:val="22"/>
          <w:lang w:val="es-ES"/>
        </w:rPr>
        <w:t>: (i) entre 300 millones y 2 mil millones de dólares por año de pérdidas de activos evitado d</w:t>
      </w:r>
      <w:r w:rsidR="00397B50">
        <w:rPr>
          <w:rFonts w:ascii="Times New Roman" w:hAnsi="Times New Roman"/>
          <w:color w:val="212121"/>
          <w:sz w:val="22"/>
          <w:szCs w:val="22"/>
          <w:lang w:val="es-ES"/>
        </w:rPr>
        <w:t>ebido a los desastres naturales</w:t>
      </w:r>
      <w:r w:rsidR="009C7439" w:rsidRPr="009C7439">
        <w:rPr>
          <w:rFonts w:ascii="Times New Roman" w:hAnsi="Times New Roman"/>
          <w:color w:val="212121"/>
          <w:sz w:val="22"/>
          <w:szCs w:val="22"/>
          <w:lang w:val="es-ES"/>
        </w:rPr>
        <w:t>; (</w:t>
      </w:r>
      <w:r w:rsidR="004112FE">
        <w:rPr>
          <w:rFonts w:ascii="Times New Roman" w:hAnsi="Times New Roman"/>
          <w:color w:val="212121"/>
          <w:sz w:val="22"/>
          <w:szCs w:val="22"/>
          <w:lang w:val="es-ES"/>
        </w:rPr>
        <w:t>i</w:t>
      </w:r>
      <w:r w:rsidR="009C7439" w:rsidRPr="009C7439">
        <w:rPr>
          <w:rFonts w:ascii="Times New Roman" w:hAnsi="Times New Roman"/>
          <w:color w:val="212121"/>
          <w:sz w:val="22"/>
          <w:szCs w:val="22"/>
          <w:lang w:val="es-ES"/>
        </w:rPr>
        <w:t>i) un promedio d</w:t>
      </w:r>
      <w:r w:rsidR="00397B50">
        <w:rPr>
          <w:rFonts w:ascii="Times New Roman" w:hAnsi="Times New Roman"/>
          <w:color w:val="212121"/>
          <w:sz w:val="22"/>
          <w:szCs w:val="22"/>
          <w:lang w:val="es-ES"/>
        </w:rPr>
        <w:t>e 23.000 vidas salvadas por año</w:t>
      </w:r>
      <w:r w:rsidR="009C7439" w:rsidRPr="009C7439">
        <w:rPr>
          <w:rFonts w:ascii="Times New Roman" w:hAnsi="Times New Roman"/>
          <w:color w:val="212121"/>
          <w:sz w:val="22"/>
          <w:szCs w:val="22"/>
          <w:lang w:val="es-ES"/>
        </w:rPr>
        <w:t xml:space="preserve">; y (iii) entre 3 y 30 mil millones de dólares por año de </w:t>
      </w:r>
      <w:r w:rsidR="00397B50">
        <w:rPr>
          <w:rFonts w:ascii="Times New Roman" w:hAnsi="Times New Roman"/>
          <w:color w:val="212121"/>
          <w:sz w:val="22"/>
          <w:szCs w:val="22"/>
          <w:lang w:val="es-ES"/>
        </w:rPr>
        <w:t xml:space="preserve">pérdidas </w:t>
      </w:r>
      <w:r w:rsidR="009C7439" w:rsidRPr="009C7439">
        <w:rPr>
          <w:rFonts w:ascii="Times New Roman" w:hAnsi="Times New Roman"/>
          <w:color w:val="212121"/>
          <w:sz w:val="22"/>
          <w:szCs w:val="22"/>
          <w:lang w:val="es-ES"/>
        </w:rPr>
        <w:t>económic</w:t>
      </w:r>
      <w:r w:rsidR="00397B50">
        <w:rPr>
          <w:rFonts w:ascii="Times New Roman" w:hAnsi="Times New Roman"/>
          <w:color w:val="212121"/>
          <w:sz w:val="22"/>
          <w:szCs w:val="22"/>
          <w:lang w:val="es-ES"/>
        </w:rPr>
        <w:t>as futuras evitadas</w:t>
      </w:r>
      <w:r w:rsidR="009C7439" w:rsidRPr="009C7439">
        <w:rPr>
          <w:rFonts w:ascii="Times New Roman" w:hAnsi="Times New Roman"/>
          <w:color w:val="212121"/>
          <w:sz w:val="22"/>
          <w:szCs w:val="22"/>
          <w:lang w:val="es-ES"/>
        </w:rPr>
        <w:t xml:space="preserve">. Los beneficios totales alcanzarían </w:t>
      </w:r>
      <w:r w:rsidR="009C57BF">
        <w:rPr>
          <w:rFonts w:ascii="Times New Roman" w:hAnsi="Times New Roman"/>
          <w:color w:val="212121"/>
          <w:sz w:val="22"/>
          <w:szCs w:val="22"/>
          <w:lang w:val="es-ES"/>
        </w:rPr>
        <w:t xml:space="preserve">entonces </w:t>
      </w:r>
      <w:r w:rsidR="009C7439" w:rsidRPr="009C7439">
        <w:rPr>
          <w:rFonts w:ascii="Times New Roman" w:hAnsi="Times New Roman"/>
          <w:color w:val="212121"/>
          <w:sz w:val="22"/>
          <w:szCs w:val="22"/>
          <w:lang w:val="es-ES"/>
        </w:rPr>
        <w:t xml:space="preserve">entre 4 y 36 mil millones de dólares por año. Debido a que algunos de los componentes más caros de los sistemas de alerta temprana </w:t>
      </w:r>
      <w:r w:rsidR="00397B50">
        <w:rPr>
          <w:rFonts w:ascii="Times New Roman" w:hAnsi="Times New Roman"/>
          <w:color w:val="212121"/>
          <w:sz w:val="22"/>
          <w:szCs w:val="22"/>
          <w:lang w:val="es-ES"/>
        </w:rPr>
        <w:t xml:space="preserve">se alimentan de instrumentos </w:t>
      </w:r>
      <w:r w:rsidR="009C57BF">
        <w:rPr>
          <w:rFonts w:ascii="Times New Roman" w:hAnsi="Times New Roman"/>
          <w:color w:val="212121"/>
          <w:sz w:val="22"/>
          <w:szCs w:val="22"/>
          <w:lang w:val="es-ES"/>
        </w:rPr>
        <w:t xml:space="preserve">globales </w:t>
      </w:r>
      <w:r w:rsidR="00397B50">
        <w:rPr>
          <w:rFonts w:ascii="Times New Roman" w:hAnsi="Times New Roman"/>
          <w:color w:val="212121"/>
          <w:sz w:val="22"/>
          <w:szCs w:val="22"/>
          <w:lang w:val="es-ES"/>
        </w:rPr>
        <w:t>existentes (</w:t>
      </w:r>
      <w:r w:rsidR="009C7439" w:rsidRPr="009C7439">
        <w:rPr>
          <w:rFonts w:ascii="Times New Roman" w:hAnsi="Times New Roman"/>
          <w:color w:val="212121"/>
          <w:sz w:val="22"/>
          <w:szCs w:val="22"/>
          <w:lang w:val="es-ES"/>
        </w:rPr>
        <w:t xml:space="preserve">los satélites de observación de la Tierra, las previsiones meteorológicas mundiales), </w:t>
      </w:r>
      <w:r w:rsidR="00397B50">
        <w:rPr>
          <w:rFonts w:ascii="Times New Roman" w:hAnsi="Times New Roman"/>
          <w:color w:val="212121"/>
          <w:sz w:val="22"/>
          <w:szCs w:val="22"/>
          <w:lang w:val="es-ES"/>
        </w:rPr>
        <w:t xml:space="preserve">las inversiones adicionales </w:t>
      </w:r>
      <w:r w:rsidR="009C7439" w:rsidRPr="009C7439">
        <w:rPr>
          <w:rFonts w:ascii="Times New Roman" w:hAnsi="Times New Roman"/>
          <w:color w:val="212121"/>
          <w:sz w:val="22"/>
          <w:szCs w:val="22"/>
          <w:lang w:val="es-ES"/>
        </w:rPr>
        <w:t>son relativamente modestas</w:t>
      </w:r>
      <w:r w:rsidR="00397B50">
        <w:rPr>
          <w:rFonts w:ascii="Times New Roman" w:hAnsi="Times New Roman"/>
          <w:color w:val="212121"/>
          <w:sz w:val="22"/>
          <w:szCs w:val="22"/>
          <w:lang w:val="es-ES"/>
        </w:rPr>
        <w:t xml:space="preserve"> (los ratios B/C se estiman a priori entre</w:t>
      </w:r>
      <w:r w:rsidR="009C7439" w:rsidRPr="009C7439">
        <w:rPr>
          <w:rFonts w:ascii="Times New Roman" w:hAnsi="Times New Roman"/>
          <w:color w:val="212121"/>
          <w:sz w:val="22"/>
          <w:szCs w:val="22"/>
          <w:lang w:val="es-ES"/>
        </w:rPr>
        <w:t xml:space="preserve"> 4 y 36</w:t>
      </w:r>
      <w:r w:rsidR="00684270">
        <w:rPr>
          <w:rFonts w:ascii="Times New Roman" w:hAnsi="Times New Roman"/>
          <w:color w:val="212121"/>
          <w:sz w:val="22"/>
          <w:szCs w:val="22"/>
          <w:lang w:val="es-ES"/>
        </w:rPr>
        <w:t xml:space="preserve"> veces</w:t>
      </w:r>
      <w:r w:rsidR="009C57BF">
        <w:rPr>
          <w:rFonts w:ascii="Times New Roman" w:hAnsi="Times New Roman"/>
          <w:color w:val="212121"/>
          <w:sz w:val="22"/>
          <w:szCs w:val="22"/>
          <w:lang w:val="es-ES"/>
        </w:rPr>
        <w:t>)</w:t>
      </w:r>
      <w:r w:rsidR="009C7439" w:rsidRPr="009C7439">
        <w:rPr>
          <w:rFonts w:ascii="Times New Roman" w:hAnsi="Times New Roman"/>
          <w:bCs/>
          <w:sz w:val="22"/>
          <w:szCs w:val="22"/>
          <w:lang w:val="es-ES_tradnl" w:eastAsia="es-AR"/>
        </w:rPr>
        <w:t>.</w:t>
      </w:r>
    </w:p>
    <w:p w:rsidR="009C7439" w:rsidRPr="00837476" w:rsidRDefault="009C7439">
      <w:pPr>
        <w:rPr>
          <w:lang w:val="es-ES_tradnl"/>
        </w:rPr>
      </w:pPr>
    </w:p>
    <w:p w:rsidR="009C7439" w:rsidRDefault="009C7439">
      <w:pPr>
        <w:rPr>
          <w:rFonts w:ascii="Times New Roman" w:hAnsi="Times New Roman"/>
          <w:b/>
          <w:bCs/>
          <w:i/>
          <w:iCs/>
          <w:sz w:val="22"/>
          <w:szCs w:val="22"/>
          <w:lang w:val="es-ES_tradnl"/>
        </w:rPr>
      </w:pPr>
    </w:p>
    <w:p w:rsidR="000513F8" w:rsidRPr="00C630C4" w:rsidRDefault="000513F8" w:rsidP="00C95815">
      <w:pPr>
        <w:pStyle w:val="Heading1"/>
        <w:numPr>
          <w:ilvl w:val="0"/>
          <w:numId w:val="7"/>
        </w:numPr>
        <w:jc w:val="left"/>
      </w:pPr>
      <w:bookmarkStart w:id="103" w:name="_Toc465929617"/>
      <w:bookmarkStart w:id="104" w:name="_Toc468199829"/>
      <w:r>
        <w:t>IDENTIFICACIÓN DE BENEFICIOS</w:t>
      </w:r>
      <w:bookmarkEnd w:id="103"/>
      <w:bookmarkEnd w:id="104"/>
      <w:r w:rsidRPr="00C630C4">
        <w:tab/>
      </w:r>
    </w:p>
    <w:p w:rsidR="000513F8" w:rsidRDefault="000513F8" w:rsidP="000513F8">
      <w:pPr>
        <w:pStyle w:val="ListParagraph"/>
        <w:rPr>
          <w:rFonts w:ascii="Times New Roman" w:hAnsi="Times New Roman"/>
          <w:bCs/>
          <w:sz w:val="22"/>
          <w:lang w:val="es-AR"/>
        </w:rPr>
      </w:pPr>
    </w:p>
    <w:p w:rsidR="00406CAE" w:rsidRPr="00455FC7" w:rsidRDefault="00081A23" w:rsidP="00455FC7">
      <w:pPr>
        <w:pStyle w:val="Heading3"/>
        <w:rPr>
          <w:b/>
          <w:lang w:val="es-ES_tradnl"/>
        </w:rPr>
      </w:pPr>
      <w:bookmarkStart w:id="105" w:name="_Toc465929618"/>
      <w:bookmarkStart w:id="106" w:name="_Toc468199830"/>
      <w:r w:rsidRPr="00455FC7">
        <w:rPr>
          <w:lang w:val="es-ES_tradnl"/>
        </w:rPr>
        <w:t>Lógica del Programa</w:t>
      </w:r>
      <w:bookmarkEnd w:id="105"/>
      <w:bookmarkEnd w:id="106"/>
    </w:p>
    <w:p w:rsidR="000C05C6" w:rsidRDefault="000C05C6" w:rsidP="00EB7792">
      <w:pPr>
        <w:pStyle w:val="Heading2"/>
        <w:jc w:val="left"/>
        <w:rPr>
          <w:b w:val="0"/>
          <w:u w:val="single"/>
          <w:lang w:val="es-CL"/>
        </w:rPr>
      </w:pPr>
    </w:p>
    <w:p w:rsidR="000C05C6" w:rsidRPr="000C05C6" w:rsidRDefault="000C05C6" w:rsidP="00C95815">
      <w:pPr>
        <w:pStyle w:val="ListParagraph"/>
        <w:numPr>
          <w:ilvl w:val="0"/>
          <w:numId w:val="12"/>
        </w:numPr>
        <w:tabs>
          <w:tab w:val="num" w:pos="958"/>
        </w:tabs>
        <w:jc w:val="both"/>
        <w:rPr>
          <w:rFonts w:ascii="Times New Roman" w:hAnsi="Times New Roman"/>
          <w:bCs/>
          <w:vanish/>
          <w:sz w:val="22"/>
          <w:lang w:val="es-ES"/>
        </w:rPr>
      </w:pPr>
    </w:p>
    <w:p w:rsidR="000C05C6" w:rsidRPr="0080208C" w:rsidRDefault="0080208C" w:rsidP="00C95815">
      <w:pPr>
        <w:numPr>
          <w:ilvl w:val="1"/>
          <w:numId w:val="12"/>
        </w:numPr>
        <w:tabs>
          <w:tab w:val="num" w:pos="958"/>
        </w:tabs>
        <w:jc w:val="both"/>
        <w:rPr>
          <w:rFonts w:ascii="Times New Roman" w:hAnsi="Times New Roman"/>
          <w:bCs/>
          <w:i/>
          <w:sz w:val="22"/>
          <w:lang w:val="es-AR"/>
        </w:rPr>
      </w:pPr>
      <w:r w:rsidRPr="0080208C">
        <w:rPr>
          <w:rFonts w:ascii="Times New Roman" w:hAnsi="Times New Roman"/>
          <w:bCs/>
          <w:sz w:val="22"/>
          <w:lang w:val="es-ES"/>
        </w:rPr>
        <w:t>El objetivo central del Programa es apoyar en el desarrollo de un sistema nacional de alerta temprana frente a tsunamis y desbordamiento de r</w:t>
      </w:r>
      <w:r w:rsidR="003A66DB">
        <w:rPr>
          <w:rFonts w:ascii="Times New Roman" w:hAnsi="Times New Roman"/>
          <w:bCs/>
          <w:sz w:val="22"/>
          <w:lang w:val="es-ES"/>
        </w:rPr>
        <w:t>íos</w:t>
      </w:r>
      <w:r w:rsidRPr="0080208C">
        <w:rPr>
          <w:rFonts w:ascii="Times New Roman" w:hAnsi="Times New Roman"/>
          <w:bCs/>
          <w:sz w:val="22"/>
          <w:lang w:val="es-ES"/>
        </w:rPr>
        <w:t xml:space="preserve">. El impacto esperado a largo plazo del programa es </w:t>
      </w:r>
      <w:r w:rsidR="003A66DB">
        <w:rPr>
          <w:rFonts w:ascii="Times New Roman" w:hAnsi="Times New Roman"/>
          <w:bCs/>
          <w:sz w:val="22"/>
          <w:lang w:val="es-ES"/>
        </w:rPr>
        <w:t>dism</w:t>
      </w:r>
      <w:r w:rsidR="00C67C36">
        <w:rPr>
          <w:rFonts w:ascii="Times New Roman" w:hAnsi="Times New Roman"/>
          <w:bCs/>
          <w:sz w:val="22"/>
          <w:lang w:val="es-ES"/>
        </w:rPr>
        <w:t>i</w:t>
      </w:r>
      <w:r w:rsidR="003A66DB">
        <w:rPr>
          <w:rFonts w:ascii="Times New Roman" w:hAnsi="Times New Roman"/>
          <w:bCs/>
          <w:sz w:val="22"/>
          <w:lang w:val="es-ES"/>
        </w:rPr>
        <w:t>nuir</w:t>
      </w:r>
      <w:r w:rsidRPr="0080208C">
        <w:rPr>
          <w:rFonts w:ascii="Times New Roman" w:hAnsi="Times New Roman"/>
          <w:bCs/>
          <w:sz w:val="22"/>
          <w:lang w:val="es-ES"/>
        </w:rPr>
        <w:t xml:space="preserve"> la vulnerabilidad de </w:t>
      </w:r>
      <w:r w:rsidR="003A66DB">
        <w:rPr>
          <w:rFonts w:ascii="Times New Roman" w:hAnsi="Times New Roman"/>
          <w:bCs/>
          <w:sz w:val="22"/>
          <w:lang w:val="es-ES"/>
        </w:rPr>
        <w:t>las áreas y</w:t>
      </w:r>
      <w:r w:rsidRPr="0080208C">
        <w:rPr>
          <w:rFonts w:ascii="Times New Roman" w:hAnsi="Times New Roman"/>
          <w:bCs/>
          <w:sz w:val="22"/>
          <w:lang w:val="es-ES"/>
        </w:rPr>
        <w:t xml:space="preserve"> reducir el número de personas fallecidas, heridas y afectadas por dichas amenazas. </w:t>
      </w:r>
    </w:p>
    <w:p w:rsidR="0080208C" w:rsidRPr="0080208C" w:rsidRDefault="0080208C" w:rsidP="00C95815">
      <w:pPr>
        <w:numPr>
          <w:ilvl w:val="1"/>
          <w:numId w:val="12"/>
        </w:numPr>
        <w:tabs>
          <w:tab w:val="num" w:pos="958"/>
        </w:tabs>
        <w:jc w:val="both"/>
        <w:rPr>
          <w:rFonts w:ascii="Times New Roman" w:hAnsi="Times New Roman"/>
          <w:bCs/>
          <w:sz w:val="22"/>
          <w:lang w:val="es-AR"/>
        </w:rPr>
      </w:pPr>
      <w:r w:rsidRPr="0080208C">
        <w:rPr>
          <w:rFonts w:ascii="Times New Roman" w:hAnsi="Times New Roman"/>
          <w:bCs/>
          <w:sz w:val="22"/>
          <w:lang w:val="es-AR"/>
        </w:rPr>
        <w:t xml:space="preserve">El Programa comprende dos componentes: </w:t>
      </w:r>
    </w:p>
    <w:p w:rsidR="0080208C" w:rsidRPr="0080208C" w:rsidRDefault="0080208C" w:rsidP="0080208C">
      <w:pPr>
        <w:ind w:left="718"/>
        <w:jc w:val="both"/>
        <w:rPr>
          <w:rFonts w:ascii="Times New Roman" w:hAnsi="Times New Roman"/>
          <w:bCs/>
          <w:sz w:val="22"/>
          <w:lang w:val="es-ES"/>
        </w:rPr>
      </w:pPr>
      <w:r w:rsidRPr="0080208C">
        <w:rPr>
          <w:rFonts w:ascii="Times New Roman" w:hAnsi="Times New Roman"/>
          <w:bCs/>
          <w:sz w:val="22"/>
          <w:lang w:val="es-ES"/>
        </w:rPr>
        <w:t>(i) Fortalecimiento de la red nacional de monitoreo y</w:t>
      </w:r>
      <w:r w:rsidR="0066546F">
        <w:rPr>
          <w:rFonts w:ascii="Times New Roman" w:hAnsi="Times New Roman"/>
          <w:bCs/>
          <w:sz w:val="22"/>
          <w:lang w:val="es-ES"/>
        </w:rPr>
        <w:t xml:space="preserve"> pronóstico</w:t>
      </w:r>
      <w:r w:rsidRPr="0080208C">
        <w:rPr>
          <w:rFonts w:ascii="Times New Roman" w:hAnsi="Times New Roman"/>
          <w:bCs/>
          <w:sz w:val="22"/>
          <w:lang w:val="es-ES"/>
        </w:rPr>
        <w:t>. Este componente busca fortalecer la red nacional de monitoreo sísmico, oceanográfi</w:t>
      </w:r>
      <w:r w:rsidR="0066546F">
        <w:rPr>
          <w:rFonts w:ascii="Times New Roman" w:hAnsi="Times New Roman"/>
          <w:bCs/>
          <w:sz w:val="22"/>
          <w:lang w:val="es-ES"/>
        </w:rPr>
        <w:t xml:space="preserve">co (tsunamigenico) e hídrico </w:t>
      </w:r>
      <w:r w:rsidRPr="0080208C">
        <w:rPr>
          <w:rFonts w:ascii="Times New Roman" w:hAnsi="Times New Roman"/>
          <w:bCs/>
          <w:sz w:val="22"/>
          <w:lang w:val="es-ES"/>
        </w:rPr>
        <w:t>que permita tomar decisi</w:t>
      </w:r>
      <w:r w:rsidR="0066546F">
        <w:rPr>
          <w:rFonts w:ascii="Times New Roman" w:hAnsi="Times New Roman"/>
          <w:bCs/>
          <w:sz w:val="22"/>
          <w:lang w:val="es-ES"/>
        </w:rPr>
        <w:t>ones</w:t>
      </w:r>
      <w:r w:rsidRPr="0080208C">
        <w:rPr>
          <w:rFonts w:ascii="Times New Roman" w:hAnsi="Times New Roman"/>
          <w:bCs/>
          <w:sz w:val="22"/>
          <w:lang w:val="es-ES"/>
        </w:rPr>
        <w:t xml:space="preserve"> de alerta temprana </w:t>
      </w:r>
      <w:r w:rsidR="0066546F">
        <w:rPr>
          <w:rFonts w:ascii="Times New Roman" w:hAnsi="Times New Roman"/>
          <w:bCs/>
          <w:sz w:val="22"/>
          <w:lang w:val="es-ES"/>
        </w:rPr>
        <w:t xml:space="preserve">para tsunamis y desbordamiento de ríos </w:t>
      </w:r>
      <w:r w:rsidRPr="0080208C">
        <w:rPr>
          <w:rFonts w:ascii="Times New Roman" w:hAnsi="Times New Roman"/>
          <w:bCs/>
          <w:sz w:val="22"/>
          <w:lang w:val="es-ES"/>
        </w:rPr>
        <w:t xml:space="preserve">de manera oportuna. </w:t>
      </w:r>
      <w:r w:rsidR="0066546F">
        <w:rPr>
          <w:rFonts w:ascii="Times New Roman" w:hAnsi="Times New Roman"/>
          <w:bCs/>
          <w:sz w:val="22"/>
          <w:lang w:val="es-ES"/>
        </w:rPr>
        <w:t xml:space="preserve"> </w:t>
      </w:r>
      <w:r w:rsidR="0066546F" w:rsidRPr="00837476">
        <w:rPr>
          <w:lang w:val="es-ES_tradnl"/>
        </w:rPr>
        <w:t xml:space="preserve"> </w:t>
      </w:r>
      <w:r w:rsidR="00673163">
        <w:rPr>
          <w:rFonts w:ascii="Times New Roman" w:hAnsi="Times New Roman"/>
          <w:bCs/>
          <w:sz w:val="22"/>
          <w:lang w:val="es-ES"/>
        </w:rPr>
        <w:t>In</w:t>
      </w:r>
      <w:r w:rsidR="0066546F" w:rsidRPr="0066546F">
        <w:rPr>
          <w:rFonts w:ascii="Times New Roman" w:hAnsi="Times New Roman"/>
          <w:bCs/>
          <w:sz w:val="22"/>
          <w:lang w:val="es-ES"/>
        </w:rPr>
        <w:t xml:space="preserve">cluye: (i) fortalecer la red nacional de monitoreo sísmico administrado por IG-EPN incluyendo la adquisición e instalación de estaciones nuevas en las zonas de alto riesgo sísmico; (ii) ampliar la cobertura de estaciones hidrológicas automáticas a nivel nacional y garantizando la conectividad de información hidrológica entre las entidades públicas. Las actividades incluyen la adquisición e instalación de estaciones hidrológicas y meteorológicas en las zonas de alta susceptibilidad por el desbordamiento de ríos; (iii) fortalecer la red nacional de observación marítima y tsunamigenica administrada por INOCAR incluyendo, entre </w:t>
      </w:r>
      <w:r w:rsidR="0066546F" w:rsidRPr="0066546F">
        <w:rPr>
          <w:rFonts w:ascii="Times New Roman" w:hAnsi="Times New Roman"/>
          <w:bCs/>
          <w:sz w:val="22"/>
          <w:lang w:val="es-ES"/>
        </w:rPr>
        <w:lastRenderedPageBreak/>
        <w:t>otros, la adquisición e instalación de boyas y software para monitorear las condiciones oc</w:t>
      </w:r>
      <w:r w:rsidR="00225C5D">
        <w:rPr>
          <w:rFonts w:ascii="Times New Roman" w:hAnsi="Times New Roman"/>
          <w:bCs/>
          <w:sz w:val="22"/>
          <w:lang w:val="es-ES"/>
        </w:rPr>
        <w:t>e</w:t>
      </w:r>
      <w:r w:rsidR="001A3AFE">
        <w:rPr>
          <w:rFonts w:ascii="Times New Roman" w:hAnsi="Times New Roman"/>
          <w:bCs/>
          <w:sz w:val="22"/>
          <w:lang w:val="es-ES"/>
        </w:rPr>
        <w:t>a</w:t>
      </w:r>
      <w:r w:rsidR="0066546F" w:rsidRPr="0066546F">
        <w:rPr>
          <w:rFonts w:ascii="Times New Roman" w:hAnsi="Times New Roman"/>
          <w:bCs/>
          <w:sz w:val="22"/>
          <w:lang w:val="es-ES"/>
        </w:rPr>
        <w:t>nogr</w:t>
      </w:r>
      <w:r w:rsidR="001A3AFE">
        <w:rPr>
          <w:rFonts w:ascii="Times New Roman" w:hAnsi="Times New Roman"/>
          <w:bCs/>
          <w:sz w:val="22"/>
          <w:lang w:val="es-ES"/>
        </w:rPr>
        <w:t>á</w:t>
      </w:r>
      <w:r w:rsidR="0066546F" w:rsidRPr="0066546F">
        <w:rPr>
          <w:rFonts w:ascii="Times New Roman" w:hAnsi="Times New Roman"/>
          <w:bCs/>
          <w:sz w:val="22"/>
          <w:lang w:val="es-ES"/>
        </w:rPr>
        <w:t>ficas; (iv) realizar simulaciones colectivas para mejorar arreglos institucionales en caso de emergencia entre los operadores del SAT para tsunamis y desbordamientos de ríos, y de ahí (v) revisar y actualizar el protocolo de comunicación del SAT</w:t>
      </w:r>
      <w:r w:rsidR="00094CB7">
        <w:rPr>
          <w:rFonts w:ascii="Times New Roman" w:hAnsi="Times New Roman"/>
          <w:bCs/>
          <w:sz w:val="22"/>
          <w:lang w:val="es-ES"/>
        </w:rPr>
        <w:t>;</w:t>
      </w:r>
      <w:r w:rsidR="0066546F" w:rsidRPr="0066546F">
        <w:rPr>
          <w:rFonts w:ascii="Times New Roman" w:hAnsi="Times New Roman"/>
          <w:bCs/>
          <w:sz w:val="22"/>
          <w:lang w:val="es-ES"/>
        </w:rPr>
        <w:t xml:space="preserve"> </w:t>
      </w:r>
      <w:r w:rsidR="00094CB7">
        <w:rPr>
          <w:rFonts w:ascii="Times New Roman" w:hAnsi="Times New Roman"/>
          <w:bCs/>
          <w:sz w:val="22"/>
          <w:lang w:val="es-ES"/>
        </w:rPr>
        <w:t xml:space="preserve">y </w:t>
      </w:r>
      <w:r w:rsidR="0066546F" w:rsidRPr="0066546F">
        <w:rPr>
          <w:rFonts w:ascii="Times New Roman" w:hAnsi="Times New Roman"/>
          <w:bCs/>
          <w:sz w:val="22"/>
          <w:lang w:val="es-ES"/>
        </w:rPr>
        <w:t>(vii desarrollar mapa</w:t>
      </w:r>
      <w:r w:rsidR="0066546F">
        <w:rPr>
          <w:rFonts w:ascii="Times New Roman" w:hAnsi="Times New Roman"/>
          <w:bCs/>
          <w:sz w:val="22"/>
          <w:lang w:val="es-ES"/>
        </w:rPr>
        <w:t>s</w:t>
      </w:r>
      <w:r w:rsidR="0066546F" w:rsidRPr="0066546F">
        <w:rPr>
          <w:rFonts w:ascii="Times New Roman" w:hAnsi="Times New Roman"/>
          <w:bCs/>
          <w:sz w:val="22"/>
          <w:lang w:val="es-ES"/>
        </w:rPr>
        <w:t xml:space="preserve"> de amenaza probabilista por desbordamiento de ríos de la </w:t>
      </w:r>
      <w:r w:rsidR="00225C5D">
        <w:rPr>
          <w:rFonts w:ascii="Times New Roman" w:hAnsi="Times New Roman"/>
          <w:bCs/>
          <w:sz w:val="22"/>
          <w:lang w:val="es-ES"/>
        </w:rPr>
        <w:t>R</w:t>
      </w:r>
      <w:r w:rsidR="0066546F" w:rsidRPr="0066546F">
        <w:rPr>
          <w:rFonts w:ascii="Times New Roman" w:hAnsi="Times New Roman"/>
          <w:bCs/>
          <w:sz w:val="22"/>
          <w:lang w:val="es-ES"/>
        </w:rPr>
        <w:t>egión Costa</w:t>
      </w:r>
      <w:r w:rsidRPr="0080208C">
        <w:rPr>
          <w:rFonts w:ascii="Times New Roman" w:hAnsi="Times New Roman"/>
          <w:bCs/>
          <w:sz w:val="22"/>
          <w:lang w:val="es-ES"/>
        </w:rPr>
        <w:t xml:space="preserve">. </w:t>
      </w:r>
    </w:p>
    <w:p w:rsidR="00D73129" w:rsidRDefault="0080208C" w:rsidP="00D73129">
      <w:pPr>
        <w:tabs>
          <w:tab w:val="num" w:pos="958"/>
        </w:tabs>
        <w:ind w:left="718"/>
        <w:jc w:val="both"/>
        <w:rPr>
          <w:rFonts w:ascii="Times New Roman" w:hAnsi="Times New Roman"/>
          <w:bCs/>
          <w:sz w:val="22"/>
          <w:lang w:val="es-ES"/>
        </w:rPr>
      </w:pPr>
      <w:r w:rsidRPr="0080208C">
        <w:rPr>
          <w:rFonts w:ascii="Times New Roman" w:hAnsi="Times New Roman"/>
          <w:bCs/>
          <w:sz w:val="22"/>
          <w:lang w:val="es-ES"/>
        </w:rPr>
        <w:t xml:space="preserve">(ii)   </w:t>
      </w:r>
      <w:r w:rsidR="0066546F" w:rsidRPr="0066546F">
        <w:rPr>
          <w:rFonts w:ascii="Times New Roman" w:hAnsi="Times New Roman"/>
          <w:bCs/>
          <w:sz w:val="22"/>
          <w:lang w:val="es-ES"/>
        </w:rPr>
        <w:t>Fortalecimiento del sistema de emisión de alertas y de la capacidad reactiva comunitaria</w:t>
      </w:r>
      <w:r w:rsidR="0066546F">
        <w:rPr>
          <w:rFonts w:ascii="Times New Roman" w:hAnsi="Times New Roman"/>
          <w:bCs/>
          <w:sz w:val="22"/>
          <w:lang w:val="es-ES"/>
        </w:rPr>
        <w:t>.</w:t>
      </w:r>
      <w:r w:rsidR="0066546F" w:rsidRPr="0066546F">
        <w:rPr>
          <w:rFonts w:ascii="Times New Roman" w:hAnsi="Times New Roman"/>
          <w:bCs/>
          <w:sz w:val="22"/>
          <w:lang w:val="es-ES"/>
        </w:rPr>
        <w:t xml:space="preserve"> Este componente busca incrementar el número de ciudadanos que reciben información de alertas mediante sirenas comunitarias instaladas y saber cómo proceder en caso de emergencia (</w:t>
      </w:r>
      <w:r w:rsidR="00094CB7">
        <w:rPr>
          <w:rFonts w:ascii="Times New Roman" w:hAnsi="Times New Roman"/>
          <w:bCs/>
          <w:sz w:val="22"/>
          <w:lang w:val="es-ES"/>
        </w:rPr>
        <w:t>e.g</w:t>
      </w:r>
      <w:r w:rsidR="0066546F" w:rsidRPr="0066546F">
        <w:rPr>
          <w:rFonts w:ascii="Times New Roman" w:hAnsi="Times New Roman"/>
          <w:bCs/>
          <w:sz w:val="22"/>
          <w:lang w:val="es-ES"/>
        </w:rPr>
        <w:t>. evacuación a zonas seguras). Este componente incluye: (i) adquirir e instalar, bajo la responsabilidad de ECU-911, s</w:t>
      </w:r>
      <w:r w:rsidR="00225C5D">
        <w:rPr>
          <w:rFonts w:ascii="Times New Roman" w:hAnsi="Times New Roman"/>
          <w:bCs/>
          <w:sz w:val="22"/>
          <w:lang w:val="es-ES"/>
        </w:rPr>
        <w:t xml:space="preserve">irenas comunitarias del SAT en </w:t>
      </w:r>
      <w:r w:rsidR="0066546F" w:rsidRPr="0066546F">
        <w:rPr>
          <w:rFonts w:ascii="Times New Roman" w:hAnsi="Times New Roman"/>
          <w:bCs/>
          <w:sz w:val="22"/>
          <w:lang w:val="es-ES"/>
        </w:rPr>
        <w:t>municipios seleccionados de alta exposición por tsunamis, de acuerdo con los parámetros de priorización del Gobierno en las zonas de alto riesgo de tsunamis, con finales de aumentar la cobertura del mismo a nuevas Provincias en Santa Elena, Guayas, El Oro y Galápagos</w:t>
      </w:r>
      <w:r w:rsidR="00094CB7">
        <w:rPr>
          <w:rFonts w:ascii="Times New Roman" w:hAnsi="Times New Roman"/>
          <w:bCs/>
          <w:sz w:val="22"/>
          <w:lang w:val="es-ES"/>
        </w:rPr>
        <w:t>;</w:t>
      </w:r>
      <w:r w:rsidR="0066546F" w:rsidRPr="0066546F">
        <w:rPr>
          <w:rFonts w:ascii="Times New Roman" w:hAnsi="Times New Roman"/>
          <w:bCs/>
          <w:sz w:val="22"/>
          <w:lang w:val="es-ES"/>
        </w:rPr>
        <w:t xml:space="preserve"> (ii) adquirir e instalar, bajo la responsabilidad de ECU-911, sirenas comunitarias del SAT en municipios seleccionados de alta exposición por desbordamientos de ríos, de acuerdo con los parámetros de priorización del Gobierno en las zonas de alto riesgo, con la finalidad de aumentar la cobertura del mismo a nuevas Provincias en Santa Elena y Guayas</w:t>
      </w:r>
      <w:r w:rsidR="00094CB7">
        <w:rPr>
          <w:rFonts w:ascii="Times New Roman" w:hAnsi="Times New Roman"/>
          <w:bCs/>
          <w:sz w:val="22"/>
          <w:lang w:val="es-ES"/>
        </w:rPr>
        <w:t>;</w:t>
      </w:r>
      <w:r w:rsidR="0066546F" w:rsidRPr="0066546F">
        <w:rPr>
          <w:rFonts w:ascii="Times New Roman" w:hAnsi="Times New Roman"/>
          <w:bCs/>
          <w:sz w:val="22"/>
          <w:lang w:val="es-ES"/>
        </w:rPr>
        <w:t xml:space="preserve"> (iii) adquirir e instalar, bajo la responsabilidad de ECU-911, equipos de radio-comunicación del cuerpo de bomberos en </w:t>
      </w:r>
      <w:r w:rsidR="0066546F">
        <w:rPr>
          <w:rFonts w:ascii="Times New Roman" w:hAnsi="Times New Roman"/>
          <w:bCs/>
          <w:sz w:val="22"/>
          <w:lang w:val="es-ES"/>
        </w:rPr>
        <w:t>los</w:t>
      </w:r>
      <w:r w:rsidR="0066546F" w:rsidRPr="0066546F">
        <w:rPr>
          <w:rFonts w:ascii="Times New Roman" w:hAnsi="Times New Roman"/>
          <w:bCs/>
          <w:sz w:val="22"/>
          <w:lang w:val="es-ES"/>
        </w:rPr>
        <w:t xml:space="preserve"> municipios de las Provincias de Guayas, Santa Elena, El Oro y Galápagos, en donde instalen las sirenas, para poder asistir a las comunidades a la hora de evacuación</w:t>
      </w:r>
      <w:r w:rsidR="00094CB7">
        <w:rPr>
          <w:rFonts w:ascii="Times New Roman" w:hAnsi="Times New Roman"/>
          <w:bCs/>
          <w:sz w:val="22"/>
          <w:lang w:val="es-ES"/>
        </w:rPr>
        <w:t>;</w:t>
      </w:r>
      <w:r w:rsidR="0066546F" w:rsidRPr="0066546F">
        <w:rPr>
          <w:rFonts w:ascii="Times New Roman" w:hAnsi="Times New Roman"/>
          <w:bCs/>
          <w:sz w:val="22"/>
          <w:lang w:val="es-ES"/>
        </w:rPr>
        <w:t xml:space="preserve"> (iv) </w:t>
      </w:r>
      <w:r w:rsidR="00094CB7">
        <w:rPr>
          <w:rFonts w:ascii="Times New Roman" w:hAnsi="Times New Roman"/>
          <w:bCs/>
          <w:sz w:val="22"/>
          <w:lang w:val="es-ES"/>
        </w:rPr>
        <w:t>p</w:t>
      </w:r>
      <w:r w:rsidR="0066546F" w:rsidRPr="0066546F">
        <w:rPr>
          <w:rFonts w:ascii="Times New Roman" w:hAnsi="Times New Roman"/>
          <w:bCs/>
          <w:sz w:val="22"/>
          <w:lang w:val="es-ES"/>
        </w:rPr>
        <w:t xml:space="preserve">reparar los materiales necesarios para definir la ruta de evacuación </w:t>
      </w:r>
      <w:r w:rsidR="0066546F">
        <w:rPr>
          <w:rFonts w:ascii="Times New Roman" w:hAnsi="Times New Roman"/>
          <w:bCs/>
          <w:sz w:val="22"/>
          <w:lang w:val="es-ES"/>
        </w:rPr>
        <w:t xml:space="preserve">de las </w:t>
      </w:r>
      <w:r w:rsidR="0066546F" w:rsidRPr="0066546F">
        <w:rPr>
          <w:rFonts w:ascii="Times New Roman" w:hAnsi="Times New Roman"/>
          <w:bCs/>
          <w:sz w:val="22"/>
          <w:lang w:val="es-ES"/>
        </w:rPr>
        <w:t>municipalidades en donde se instalen sirenas en Santa Elena, Guayas, El Oro y Galápagos Manabí y Esmeraldas</w:t>
      </w:r>
      <w:r w:rsidR="00094CB7">
        <w:rPr>
          <w:rFonts w:ascii="Times New Roman" w:hAnsi="Times New Roman"/>
          <w:bCs/>
          <w:sz w:val="22"/>
          <w:lang w:val="es-ES"/>
        </w:rPr>
        <w:t xml:space="preserve">, </w:t>
      </w:r>
      <w:r w:rsidR="0066546F" w:rsidRPr="0066546F">
        <w:rPr>
          <w:rFonts w:ascii="Times New Roman" w:hAnsi="Times New Roman"/>
          <w:bCs/>
          <w:sz w:val="22"/>
          <w:lang w:val="es-ES"/>
        </w:rPr>
        <w:t>incluyen</w:t>
      </w:r>
      <w:r w:rsidR="00094CB7">
        <w:rPr>
          <w:rFonts w:ascii="Times New Roman" w:hAnsi="Times New Roman"/>
          <w:bCs/>
          <w:sz w:val="22"/>
          <w:lang w:val="es-ES"/>
        </w:rPr>
        <w:t>do</w:t>
      </w:r>
      <w:r w:rsidR="0066546F" w:rsidRPr="0066546F">
        <w:rPr>
          <w:rFonts w:ascii="Times New Roman" w:hAnsi="Times New Roman"/>
          <w:bCs/>
          <w:sz w:val="22"/>
          <w:lang w:val="es-ES"/>
        </w:rPr>
        <w:t xml:space="preserve"> la elaboración de plan de evacuación e instalación de señaléticas y luminaria de emergencia</w:t>
      </w:r>
      <w:r w:rsidR="00094CB7">
        <w:rPr>
          <w:rFonts w:ascii="Times New Roman" w:hAnsi="Times New Roman"/>
          <w:bCs/>
          <w:sz w:val="22"/>
          <w:lang w:val="es-ES"/>
        </w:rPr>
        <w:t>;</w:t>
      </w:r>
      <w:r w:rsidR="0066546F" w:rsidRPr="0066546F">
        <w:rPr>
          <w:rFonts w:ascii="Times New Roman" w:hAnsi="Times New Roman"/>
          <w:bCs/>
          <w:sz w:val="22"/>
          <w:lang w:val="es-ES"/>
        </w:rPr>
        <w:t xml:space="preserve"> (v) Realizar, bajo la responsabilidad de SGR en coordinación con las autoridades locales, talleres y simulacros comunitarios en municipalidades para mejorar la capacidad de preparación comunitaria para reacción y evacuación en caso de eventos de desastres. </w:t>
      </w:r>
      <w:r w:rsidR="00094CB7">
        <w:rPr>
          <w:rFonts w:ascii="Times New Roman" w:hAnsi="Times New Roman"/>
          <w:bCs/>
          <w:sz w:val="22"/>
          <w:lang w:val="es-ES"/>
        </w:rPr>
        <w:t>(</w:t>
      </w:r>
      <w:r w:rsidR="0066546F" w:rsidRPr="0066546F">
        <w:rPr>
          <w:rFonts w:ascii="Times New Roman" w:hAnsi="Times New Roman"/>
          <w:bCs/>
          <w:sz w:val="22"/>
          <w:lang w:val="es-ES"/>
        </w:rPr>
        <w:t xml:space="preserve">Se realizarán también simulaciones y simulacros a nivel nacional y provincial </w:t>
      </w:r>
      <w:r w:rsidR="00094CB7">
        <w:rPr>
          <w:rFonts w:ascii="Times New Roman" w:hAnsi="Times New Roman"/>
          <w:bCs/>
          <w:sz w:val="22"/>
          <w:lang w:val="es-ES"/>
        </w:rPr>
        <w:t xml:space="preserve">en </w:t>
      </w:r>
      <w:r w:rsidR="0066546F" w:rsidRPr="0066546F">
        <w:rPr>
          <w:rFonts w:ascii="Times New Roman" w:hAnsi="Times New Roman"/>
          <w:bCs/>
          <w:sz w:val="22"/>
          <w:lang w:val="es-ES"/>
        </w:rPr>
        <w:t>Esmeraldas, Manabí, Santa Elena, Guayas, El Oro y Galápagos)</w:t>
      </w:r>
      <w:r w:rsidR="00094CB7">
        <w:rPr>
          <w:rFonts w:ascii="Times New Roman" w:hAnsi="Times New Roman"/>
          <w:bCs/>
          <w:sz w:val="22"/>
          <w:lang w:val="es-ES"/>
        </w:rPr>
        <w:t>; y</w:t>
      </w:r>
      <w:r w:rsidR="0066546F" w:rsidRPr="0066546F">
        <w:rPr>
          <w:rFonts w:ascii="Times New Roman" w:hAnsi="Times New Roman"/>
          <w:bCs/>
          <w:sz w:val="22"/>
          <w:lang w:val="es-ES"/>
        </w:rPr>
        <w:t xml:space="preserve"> (v</w:t>
      </w:r>
      <w:r w:rsidR="00094CB7">
        <w:rPr>
          <w:rFonts w:ascii="Times New Roman" w:hAnsi="Times New Roman"/>
          <w:bCs/>
          <w:sz w:val="22"/>
          <w:lang w:val="es-ES"/>
        </w:rPr>
        <w:t>i</w:t>
      </w:r>
      <w:r w:rsidR="0066546F" w:rsidRPr="0066546F">
        <w:rPr>
          <w:rFonts w:ascii="Times New Roman" w:hAnsi="Times New Roman"/>
          <w:bCs/>
          <w:sz w:val="22"/>
          <w:lang w:val="es-ES"/>
        </w:rPr>
        <w:t>) desarrollar la estrategia nacional para evacuación vertical, incluyendo plan de construcción de sitios artificiales</w:t>
      </w:r>
      <w:r w:rsidRPr="0080208C">
        <w:rPr>
          <w:rFonts w:ascii="Times New Roman" w:hAnsi="Times New Roman"/>
          <w:bCs/>
          <w:sz w:val="22"/>
          <w:lang w:val="es-ES"/>
        </w:rPr>
        <w:t>.</w:t>
      </w:r>
    </w:p>
    <w:p w:rsidR="00D73129" w:rsidRPr="00D73129" w:rsidRDefault="00D73129" w:rsidP="00C95815">
      <w:pPr>
        <w:numPr>
          <w:ilvl w:val="1"/>
          <w:numId w:val="12"/>
        </w:numPr>
        <w:jc w:val="both"/>
        <w:rPr>
          <w:rFonts w:ascii="Times New Roman" w:hAnsi="Times New Roman"/>
          <w:bCs/>
          <w:sz w:val="22"/>
          <w:lang w:val="es-AR"/>
        </w:rPr>
      </w:pPr>
      <w:r w:rsidRPr="00D73129">
        <w:rPr>
          <w:rFonts w:ascii="Times New Roman" w:hAnsi="Times New Roman"/>
          <w:bCs/>
          <w:sz w:val="22"/>
          <w:lang w:val="es-AR"/>
        </w:rPr>
        <w:t>El proceso de identificación y valorización de los beneficios esperados que se presenta seguidamente en este capítulo tiene como objetivo principal analizar la razonabilidad de la inversión, estableciendo relaciones de causalidad con las actuaciones previstas.</w:t>
      </w:r>
    </w:p>
    <w:p w:rsidR="000C05C6" w:rsidRDefault="000C05C6" w:rsidP="00EB7792">
      <w:pPr>
        <w:pStyle w:val="Heading2"/>
        <w:jc w:val="left"/>
        <w:rPr>
          <w:b w:val="0"/>
          <w:u w:val="single"/>
          <w:lang w:val="es-CL"/>
        </w:rPr>
      </w:pPr>
    </w:p>
    <w:p w:rsidR="00406CAE" w:rsidRPr="00455FC7" w:rsidRDefault="00081A23" w:rsidP="00455FC7">
      <w:pPr>
        <w:pStyle w:val="Heading3"/>
        <w:rPr>
          <w:b/>
          <w:lang w:val="es-ES_tradnl"/>
        </w:rPr>
      </w:pPr>
      <w:bookmarkStart w:id="107" w:name="_Toc465929619"/>
      <w:bookmarkStart w:id="108" w:name="_Toc468199831"/>
      <w:r w:rsidRPr="00455FC7">
        <w:rPr>
          <w:lang w:val="es-ES_tradnl"/>
        </w:rPr>
        <w:t>Probabilidad de ocurrencia de los desastres</w:t>
      </w:r>
      <w:bookmarkEnd w:id="107"/>
      <w:bookmarkEnd w:id="108"/>
    </w:p>
    <w:p w:rsidR="00EB7792" w:rsidRDefault="00EB7792" w:rsidP="000513F8">
      <w:pPr>
        <w:pStyle w:val="ListParagraph"/>
        <w:rPr>
          <w:rFonts w:ascii="Times New Roman" w:hAnsi="Times New Roman"/>
          <w:bCs/>
          <w:sz w:val="22"/>
          <w:lang w:val="es-AR"/>
        </w:rPr>
      </w:pPr>
    </w:p>
    <w:p w:rsidR="00C951C3" w:rsidRPr="0066546F" w:rsidRDefault="00C951C3" w:rsidP="0066546F">
      <w:pPr>
        <w:numPr>
          <w:ilvl w:val="1"/>
          <w:numId w:val="12"/>
        </w:numPr>
        <w:jc w:val="both"/>
        <w:rPr>
          <w:rFonts w:ascii="Times New Roman" w:hAnsi="Times New Roman"/>
          <w:bCs/>
          <w:sz w:val="22"/>
          <w:lang w:val="es-ES"/>
        </w:rPr>
      </w:pPr>
      <w:r>
        <w:rPr>
          <w:rFonts w:ascii="Times New Roman" w:hAnsi="Times New Roman"/>
          <w:bCs/>
          <w:i/>
          <w:sz w:val="22"/>
          <w:lang w:val="es-AR"/>
        </w:rPr>
        <w:t>Introducción</w:t>
      </w:r>
      <w:r w:rsidR="00AE08BC" w:rsidRPr="00814D61">
        <w:rPr>
          <w:rFonts w:ascii="Times New Roman" w:hAnsi="Times New Roman"/>
          <w:bCs/>
          <w:i/>
          <w:sz w:val="22"/>
          <w:lang w:val="es-AR"/>
        </w:rPr>
        <w:t>.</w:t>
      </w:r>
      <w:r w:rsidR="001520E6">
        <w:rPr>
          <w:rFonts w:ascii="Times New Roman" w:hAnsi="Times New Roman"/>
          <w:bCs/>
          <w:i/>
          <w:sz w:val="22"/>
          <w:lang w:val="es-AR"/>
        </w:rPr>
        <w:t xml:space="preserve"> </w:t>
      </w:r>
      <w:r>
        <w:rPr>
          <w:rFonts w:ascii="Times New Roman" w:hAnsi="Times New Roman"/>
          <w:bCs/>
          <w:sz w:val="22"/>
          <w:lang w:val="es-AR"/>
        </w:rPr>
        <w:t>E</w:t>
      </w:r>
      <w:r w:rsidR="001520E6">
        <w:rPr>
          <w:rFonts w:ascii="Times New Roman" w:hAnsi="Times New Roman"/>
          <w:bCs/>
          <w:sz w:val="22"/>
          <w:lang w:val="es-AR"/>
        </w:rPr>
        <w:t>l</w:t>
      </w:r>
      <w:r>
        <w:rPr>
          <w:rFonts w:ascii="Times New Roman" w:hAnsi="Times New Roman"/>
          <w:bCs/>
          <w:sz w:val="22"/>
          <w:lang w:val="es-AR"/>
        </w:rPr>
        <w:t xml:space="preserve"> planteo de</w:t>
      </w:r>
      <w:r w:rsidR="001520E6">
        <w:rPr>
          <w:rFonts w:ascii="Times New Roman" w:hAnsi="Times New Roman"/>
          <w:bCs/>
          <w:sz w:val="22"/>
          <w:lang w:val="es-AR"/>
        </w:rPr>
        <w:t xml:space="preserve"> mejoramiento de</w:t>
      </w:r>
      <w:r>
        <w:rPr>
          <w:rFonts w:ascii="Times New Roman" w:hAnsi="Times New Roman"/>
          <w:bCs/>
          <w:sz w:val="22"/>
          <w:lang w:val="es-AR"/>
        </w:rPr>
        <w:t xml:space="preserve">l SAT trabaja sobre dos tipos de </w:t>
      </w:r>
      <w:r w:rsidR="00673163">
        <w:rPr>
          <w:rFonts w:ascii="Times New Roman" w:hAnsi="Times New Roman"/>
          <w:bCs/>
          <w:sz w:val="22"/>
          <w:lang w:val="es-AR"/>
        </w:rPr>
        <w:t>amenazas</w:t>
      </w:r>
      <w:r>
        <w:rPr>
          <w:rFonts w:ascii="Times New Roman" w:hAnsi="Times New Roman"/>
          <w:bCs/>
          <w:sz w:val="22"/>
          <w:lang w:val="es-AR"/>
        </w:rPr>
        <w:t xml:space="preserve"> de características diferente</w:t>
      </w:r>
      <w:r w:rsidR="001520E6">
        <w:rPr>
          <w:rFonts w:ascii="Times New Roman" w:hAnsi="Times New Roman"/>
          <w:bCs/>
          <w:sz w:val="22"/>
          <w:lang w:val="es-AR"/>
        </w:rPr>
        <w:t>s</w:t>
      </w:r>
      <w:r>
        <w:rPr>
          <w:rFonts w:ascii="Times New Roman" w:hAnsi="Times New Roman"/>
          <w:bCs/>
          <w:sz w:val="22"/>
          <w:lang w:val="es-AR"/>
        </w:rPr>
        <w:t>: mientras los tsunamis constituyen un evento de baja probabilidad de ocurrencia y alto impacto, por otra</w:t>
      </w:r>
      <w:r w:rsidR="00B33B89">
        <w:rPr>
          <w:rFonts w:ascii="Times New Roman" w:hAnsi="Times New Roman"/>
          <w:bCs/>
          <w:sz w:val="22"/>
          <w:lang w:val="es-AR"/>
        </w:rPr>
        <w:t xml:space="preserve">  </w:t>
      </w:r>
      <w:r>
        <w:rPr>
          <w:rFonts w:ascii="Times New Roman" w:hAnsi="Times New Roman"/>
          <w:bCs/>
          <w:sz w:val="22"/>
          <w:lang w:val="es-AR"/>
        </w:rPr>
        <w:t xml:space="preserve"> parte el desbordamiento de ríos es un evento de alta frecuencia y menor impacto relativo.</w:t>
      </w:r>
    </w:p>
    <w:p w:rsidR="00E263C8" w:rsidRPr="00814D61" w:rsidRDefault="00C951C3" w:rsidP="00C95815">
      <w:pPr>
        <w:numPr>
          <w:ilvl w:val="1"/>
          <w:numId w:val="12"/>
        </w:numPr>
        <w:jc w:val="both"/>
        <w:rPr>
          <w:rFonts w:ascii="Times New Roman" w:hAnsi="Times New Roman"/>
          <w:bCs/>
          <w:sz w:val="22"/>
          <w:lang w:val="es-ES"/>
        </w:rPr>
      </w:pPr>
      <w:r w:rsidRPr="00C951C3">
        <w:rPr>
          <w:rFonts w:ascii="Times New Roman" w:hAnsi="Times New Roman"/>
          <w:bCs/>
          <w:i/>
          <w:sz w:val="22"/>
          <w:lang w:val="es-AR"/>
        </w:rPr>
        <w:t>Premisas</w:t>
      </w:r>
      <w:r w:rsidR="00745A58">
        <w:rPr>
          <w:rFonts w:ascii="Times New Roman" w:hAnsi="Times New Roman"/>
          <w:bCs/>
          <w:i/>
          <w:sz w:val="22"/>
          <w:lang w:val="es-AR"/>
        </w:rPr>
        <w:t xml:space="preserve">  para tsunamis</w:t>
      </w:r>
      <w:r w:rsidRPr="00C951C3">
        <w:rPr>
          <w:rFonts w:ascii="Times New Roman" w:hAnsi="Times New Roman"/>
          <w:bCs/>
          <w:i/>
          <w:sz w:val="22"/>
          <w:lang w:val="es-AR"/>
        </w:rPr>
        <w:t>.</w:t>
      </w:r>
      <w:r>
        <w:rPr>
          <w:rFonts w:ascii="Times New Roman" w:hAnsi="Times New Roman"/>
          <w:bCs/>
          <w:sz w:val="22"/>
          <w:lang w:val="es-AR"/>
        </w:rPr>
        <w:t xml:space="preserve"> </w:t>
      </w:r>
      <w:r w:rsidR="001520E6">
        <w:rPr>
          <w:rFonts w:ascii="Times New Roman" w:hAnsi="Times New Roman"/>
          <w:bCs/>
          <w:sz w:val="22"/>
          <w:lang w:val="es-AR"/>
        </w:rPr>
        <w:t xml:space="preserve">Estudios </w:t>
      </w:r>
      <w:r w:rsidR="00814D61" w:rsidRPr="00814D61">
        <w:rPr>
          <w:rFonts w:ascii="Times New Roman" w:hAnsi="Times New Roman"/>
          <w:bCs/>
          <w:sz w:val="22"/>
          <w:lang w:val="es-AR"/>
        </w:rPr>
        <w:t>a nivel globa</w:t>
      </w:r>
      <w:r w:rsidR="003916E6">
        <w:rPr>
          <w:rFonts w:ascii="Times New Roman" w:hAnsi="Times New Roman"/>
          <w:bCs/>
          <w:sz w:val="22"/>
          <w:lang w:val="es-AR"/>
        </w:rPr>
        <w:t>l</w:t>
      </w:r>
      <w:r w:rsidR="00E263C8" w:rsidRPr="00814D61">
        <w:rPr>
          <w:rStyle w:val="FootnoteReference"/>
          <w:lang w:val="es-AR"/>
        </w:rPr>
        <w:t xml:space="preserve"> </w:t>
      </w:r>
      <w:r w:rsidR="00814D61">
        <w:rPr>
          <w:rStyle w:val="FootnoteReference"/>
          <w:rFonts w:ascii="Times New Roman" w:hAnsi="Times New Roman"/>
          <w:bCs/>
          <w:i/>
          <w:sz w:val="22"/>
          <w:lang w:val="es-AR"/>
        </w:rPr>
        <w:footnoteReference w:id="28"/>
      </w:r>
      <w:r w:rsidR="00814D61" w:rsidRPr="00814D61">
        <w:rPr>
          <w:lang w:val="es-AR"/>
        </w:rPr>
        <w:t xml:space="preserve"> </w:t>
      </w:r>
      <w:r w:rsidR="00814D61" w:rsidRPr="001520E6">
        <w:rPr>
          <w:rFonts w:ascii="Times New Roman" w:hAnsi="Times New Roman"/>
          <w:sz w:val="22"/>
          <w:szCs w:val="22"/>
          <w:lang w:val="es-AR"/>
        </w:rPr>
        <w:t>establece</w:t>
      </w:r>
      <w:r w:rsidR="003A66DB">
        <w:rPr>
          <w:rFonts w:ascii="Times New Roman" w:hAnsi="Times New Roman"/>
          <w:sz w:val="22"/>
          <w:szCs w:val="22"/>
          <w:lang w:val="es-AR"/>
        </w:rPr>
        <w:t>n</w:t>
      </w:r>
      <w:r w:rsidR="00814D61" w:rsidRPr="001520E6">
        <w:rPr>
          <w:rFonts w:ascii="Times New Roman" w:hAnsi="Times New Roman"/>
          <w:sz w:val="22"/>
          <w:szCs w:val="22"/>
          <w:lang w:val="es-AR"/>
        </w:rPr>
        <w:t xml:space="preserve"> que</w:t>
      </w:r>
      <w:r w:rsidR="00814D61" w:rsidRPr="001520E6">
        <w:rPr>
          <w:sz w:val="22"/>
          <w:szCs w:val="22"/>
          <w:lang w:val="es-AR"/>
        </w:rPr>
        <w:t xml:space="preserve"> l</w:t>
      </w:r>
      <w:r w:rsidR="00E263C8" w:rsidRPr="001520E6">
        <w:rPr>
          <w:rFonts w:ascii="Times New Roman" w:hAnsi="Times New Roman"/>
          <w:bCs/>
          <w:sz w:val="22"/>
          <w:szCs w:val="22"/>
          <w:lang w:val="es-AR"/>
        </w:rPr>
        <w:t>os eventos</w:t>
      </w:r>
      <w:r w:rsidR="00E263C8" w:rsidRPr="00814D61">
        <w:rPr>
          <w:rFonts w:ascii="Times New Roman" w:hAnsi="Times New Roman"/>
          <w:bCs/>
          <w:sz w:val="22"/>
          <w:lang w:val="es-AR"/>
        </w:rPr>
        <w:t xml:space="preserve"> de tsunamis grandes e  infrecuentes, aunque enormemente destructivos,  por lo general representan un mayor riesgo de mortalidad que el efecto </w:t>
      </w:r>
      <w:r w:rsidR="001520E6">
        <w:rPr>
          <w:rFonts w:ascii="Times New Roman" w:hAnsi="Times New Roman"/>
          <w:bCs/>
          <w:sz w:val="22"/>
          <w:lang w:val="es-AR"/>
        </w:rPr>
        <w:t>a</w:t>
      </w:r>
      <w:r w:rsidR="00E263C8" w:rsidRPr="00814D61">
        <w:rPr>
          <w:rFonts w:ascii="Times New Roman" w:hAnsi="Times New Roman"/>
          <w:bCs/>
          <w:sz w:val="22"/>
          <w:lang w:val="es-AR"/>
        </w:rPr>
        <w:t xml:space="preserve">cumulativo de eventos más pequeños y frecuentes. El análisis de la exposición a tsunamis, por lo tanto, se  centra en eventos extremos generados por grandes terremotos con periodos de retorno de  </w:t>
      </w:r>
      <w:r w:rsidR="00E263C8" w:rsidRPr="00814D61">
        <w:rPr>
          <w:rFonts w:ascii="Times New Roman" w:hAnsi="Times New Roman"/>
          <w:bCs/>
          <w:sz w:val="22"/>
          <w:lang w:val="es-AR"/>
        </w:rPr>
        <w:lastRenderedPageBreak/>
        <w:t>aproximadamente 500 años (en términos formales, una probabilidad de un 10% de que se presente un evento en 50 años).</w:t>
      </w:r>
      <w:r w:rsidR="00814D61" w:rsidRPr="00814D61">
        <w:rPr>
          <w:rFonts w:ascii="Times New Roman" w:hAnsi="Times New Roman"/>
          <w:bCs/>
          <w:sz w:val="22"/>
          <w:lang w:val="es-AR"/>
        </w:rPr>
        <w:t xml:space="preserve"> Los países grandes de Asia, como Indonesia y Japón, tienen una alta proporción de </w:t>
      </w:r>
      <w:r w:rsidR="00745A58">
        <w:rPr>
          <w:rFonts w:ascii="Times New Roman" w:hAnsi="Times New Roman"/>
          <w:bCs/>
          <w:sz w:val="22"/>
          <w:lang w:val="es-AR"/>
        </w:rPr>
        <w:t>sus habitantes</w:t>
      </w:r>
      <w:r w:rsidR="00814D61" w:rsidRPr="00814D61">
        <w:rPr>
          <w:rFonts w:ascii="Times New Roman" w:hAnsi="Times New Roman"/>
          <w:bCs/>
          <w:sz w:val="22"/>
          <w:lang w:val="es-AR"/>
        </w:rPr>
        <w:t xml:space="preserve"> que viven en zonas proclives a tsunamis</w:t>
      </w:r>
      <w:r w:rsidR="00745A58">
        <w:rPr>
          <w:rStyle w:val="FootnoteReference"/>
          <w:rFonts w:ascii="Times New Roman" w:hAnsi="Times New Roman"/>
          <w:bCs/>
          <w:sz w:val="22"/>
          <w:lang w:val="es-AR"/>
        </w:rPr>
        <w:footnoteReference w:id="29"/>
      </w:r>
      <w:r w:rsidR="00745A58">
        <w:rPr>
          <w:rFonts w:ascii="Times New Roman" w:hAnsi="Times New Roman"/>
          <w:bCs/>
          <w:sz w:val="22"/>
          <w:lang w:val="es-AR"/>
        </w:rPr>
        <w:t>.</w:t>
      </w:r>
    </w:p>
    <w:p w:rsidR="00AE08BC" w:rsidRDefault="00AE08BC" w:rsidP="00C95815">
      <w:pPr>
        <w:numPr>
          <w:ilvl w:val="1"/>
          <w:numId w:val="12"/>
        </w:numPr>
        <w:jc w:val="both"/>
        <w:rPr>
          <w:rFonts w:ascii="Times New Roman" w:hAnsi="Times New Roman"/>
          <w:bCs/>
          <w:sz w:val="22"/>
          <w:lang w:val="es-ES"/>
        </w:rPr>
      </w:pPr>
      <w:r>
        <w:rPr>
          <w:rFonts w:ascii="Times New Roman" w:hAnsi="Times New Roman"/>
          <w:bCs/>
          <w:i/>
          <w:sz w:val="22"/>
          <w:lang w:val="es-AR"/>
        </w:rPr>
        <w:t xml:space="preserve"> </w:t>
      </w:r>
      <w:r w:rsidRPr="00AE08BC">
        <w:rPr>
          <w:rFonts w:ascii="Times New Roman" w:hAnsi="Times New Roman"/>
          <w:bCs/>
          <w:sz w:val="22"/>
          <w:lang w:val="es-AR"/>
        </w:rPr>
        <w:t>Como se ha expresado, a</w:t>
      </w:r>
      <w:r w:rsidRPr="00AE08BC">
        <w:rPr>
          <w:rFonts w:ascii="Times New Roman" w:hAnsi="Times New Roman"/>
          <w:bCs/>
          <w:sz w:val="22"/>
          <w:lang w:val="es-ES"/>
        </w:rPr>
        <w:t xml:space="preserve"> los fines de establecer una probabilidad futura estimada de ocurrencia </w:t>
      </w:r>
      <w:r w:rsidR="003A66DB">
        <w:rPr>
          <w:rFonts w:ascii="Times New Roman" w:hAnsi="Times New Roman"/>
          <w:bCs/>
          <w:sz w:val="22"/>
          <w:lang w:val="es-ES"/>
        </w:rPr>
        <w:t xml:space="preserve">y magnitud </w:t>
      </w:r>
      <w:r w:rsidRPr="00AE08BC">
        <w:rPr>
          <w:rFonts w:ascii="Times New Roman" w:hAnsi="Times New Roman"/>
          <w:bCs/>
          <w:sz w:val="22"/>
          <w:lang w:val="es-ES"/>
        </w:rPr>
        <w:t>del evento o desastre de interés del Programa (</w:t>
      </w:r>
      <w:r w:rsidR="00094CB7">
        <w:rPr>
          <w:rFonts w:ascii="Times New Roman" w:hAnsi="Times New Roman"/>
          <w:bCs/>
          <w:sz w:val="22"/>
          <w:lang w:val="es-ES"/>
        </w:rPr>
        <w:t>t</w:t>
      </w:r>
      <w:r w:rsidR="00094CB7" w:rsidRPr="00AE08BC">
        <w:rPr>
          <w:rFonts w:ascii="Times New Roman" w:hAnsi="Times New Roman"/>
          <w:bCs/>
          <w:sz w:val="22"/>
          <w:lang w:val="es-ES"/>
        </w:rPr>
        <w:t xml:space="preserve">sunamis </w:t>
      </w:r>
      <w:r w:rsidRPr="00AE08BC">
        <w:rPr>
          <w:rFonts w:ascii="Times New Roman" w:hAnsi="Times New Roman"/>
          <w:bCs/>
          <w:sz w:val="22"/>
          <w:lang w:val="es-ES"/>
        </w:rPr>
        <w:t>o desborde de r</w:t>
      </w:r>
      <w:r w:rsidR="003A66DB">
        <w:rPr>
          <w:rFonts w:ascii="Times New Roman" w:hAnsi="Times New Roman"/>
          <w:bCs/>
          <w:sz w:val="22"/>
          <w:lang w:val="es-ES"/>
        </w:rPr>
        <w:t>íos</w:t>
      </w:r>
      <w:r w:rsidRPr="00AE08BC">
        <w:rPr>
          <w:rFonts w:ascii="Times New Roman" w:hAnsi="Times New Roman"/>
          <w:bCs/>
          <w:sz w:val="22"/>
          <w:lang w:val="es-ES"/>
        </w:rPr>
        <w:t xml:space="preserve">)  se </w:t>
      </w:r>
      <w:r w:rsidR="00745A58">
        <w:rPr>
          <w:rFonts w:ascii="Times New Roman" w:hAnsi="Times New Roman"/>
          <w:bCs/>
          <w:sz w:val="22"/>
          <w:lang w:val="es-ES"/>
        </w:rPr>
        <w:t xml:space="preserve">han revisado los trabajos previos </w:t>
      </w:r>
      <w:r w:rsidRPr="00AE08BC">
        <w:rPr>
          <w:rFonts w:ascii="Times New Roman" w:hAnsi="Times New Roman"/>
          <w:bCs/>
          <w:sz w:val="22"/>
          <w:lang w:val="es-ES"/>
        </w:rPr>
        <w:t xml:space="preserve">de la SGR a partir del </w:t>
      </w:r>
      <w:r w:rsidR="00D73129">
        <w:rPr>
          <w:rFonts w:ascii="Times New Roman" w:hAnsi="Times New Roman"/>
          <w:bCs/>
          <w:sz w:val="22"/>
          <w:lang w:val="es-ES"/>
        </w:rPr>
        <w:t>r</w:t>
      </w:r>
      <w:r w:rsidRPr="00AE08BC">
        <w:rPr>
          <w:rFonts w:ascii="Times New Roman" w:hAnsi="Times New Roman"/>
          <w:bCs/>
          <w:sz w:val="22"/>
          <w:lang w:val="es-ES"/>
        </w:rPr>
        <w:t xml:space="preserve">egistro de eventos adversos y previsiones y los </w:t>
      </w:r>
      <w:r w:rsidR="00745A58">
        <w:rPr>
          <w:rFonts w:ascii="Times New Roman" w:hAnsi="Times New Roman"/>
          <w:bCs/>
          <w:sz w:val="22"/>
          <w:lang w:val="es-ES"/>
        </w:rPr>
        <w:t>e</w:t>
      </w:r>
      <w:r w:rsidRPr="00AE08BC">
        <w:rPr>
          <w:rFonts w:ascii="Times New Roman" w:hAnsi="Times New Roman"/>
          <w:bCs/>
          <w:sz w:val="22"/>
          <w:lang w:val="es-ES"/>
        </w:rPr>
        <w:t>scenarios de riesgo elaborados por  la Dirección de Monitoreo.</w:t>
      </w:r>
      <w:r w:rsidR="00745A58">
        <w:rPr>
          <w:rFonts w:ascii="Times New Roman" w:hAnsi="Times New Roman"/>
          <w:bCs/>
          <w:sz w:val="22"/>
          <w:lang w:val="es-ES"/>
        </w:rPr>
        <w:t xml:space="preserve"> Han existido en el siglo pasado eventos que afectaron la Región Costa, aunque sus daños no se encuentran rigurosamente documentados. Si bien informaciones periodísticas reportan la existencia de muertes en los casos de 1906 y 1958, existen restricciones para </w:t>
      </w:r>
      <w:r w:rsidR="00673163">
        <w:rPr>
          <w:rFonts w:ascii="Times New Roman" w:hAnsi="Times New Roman"/>
          <w:bCs/>
          <w:sz w:val="22"/>
          <w:lang w:val="es-ES"/>
        </w:rPr>
        <w:t>transpolar</w:t>
      </w:r>
      <w:r w:rsidR="00745A58">
        <w:rPr>
          <w:rFonts w:ascii="Times New Roman" w:hAnsi="Times New Roman"/>
          <w:bCs/>
          <w:sz w:val="22"/>
          <w:lang w:val="es-ES"/>
        </w:rPr>
        <w:t xml:space="preserve"> la situación a los tiempos actuales. La zona de interés contaba con un desarrollo humano, de infraestructura y socio-económico 50 años atrás, por lo que los antecedentes en materia de efectos no son asimilables. El frente costero expuesto </w:t>
      </w:r>
      <w:r w:rsidR="00673163">
        <w:rPr>
          <w:rFonts w:ascii="Times New Roman" w:hAnsi="Times New Roman"/>
          <w:bCs/>
          <w:sz w:val="22"/>
          <w:lang w:val="es-ES"/>
        </w:rPr>
        <w:t>a la</w:t>
      </w:r>
      <w:r w:rsidR="00745A58">
        <w:rPr>
          <w:rFonts w:ascii="Times New Roman" w:hAnsi="Times New Roman"/>
          <w:bCs/>
          <w:sz w:val="22"/>
          <w:lang w:val="es-ES"/>
        </w:rPr>
        <w:t xml:space="preserve"> ocurrencia de fenómenos era en la práctica de menor extensión y mucho menos poblado.</w:t>
      </w:r>
    </w:p>
    <w:p w:rsidR="00D73129" w:rsidRPr="00AE08BC" w:rsidRDefault="00D73129" w:rsidP="00D73129">
      <w:pPr>
        <w:jc w:val="both"/>
        <w:rPr>
          <w:rFonts w:ascii="Times New Roman" w:hAnsi="Times New Roman"/>
          <w:bCs/>
          <w:sz w:val="22"/>
          <w:lang w:val="es-ES"/>
        </w:rPr>
      </w:pPr>
    </w:p>
    <w:p w:rsidR="000B1273" w:rsidRPr="0087251A" w:rsidRDefault="003B567D" w:rsidP="0087251A">
      <w:pPr>
        <w:numPr>
          <w:ilvl w:val="1"/>
          <w:numId w:val="12"/>
        </w:numPr>
        <w:tabs>
          <w:tab w:val="num" w:pos="958"/>
        </w:tabs>
        <w:jc w:val="both"/>
        <w:rPr>
          <w:rFonts w:ascii="Times New Roman" w:hAnsi="Times New Roman"/>
          <w:bCs/>
          <w:sz w:val="22"/>
          <w:lang w:val="es-AR"/>
        </w:rPr>
      </w:pPr>
      <w:r w:rsidRPr="003B567D">
        <w:rPr>
          <w:rFonts w:ascii="Times New Roman" w:hAnsi="Times New Roman"/>
          <w:bCs/>
          <w:sz w:val="22"/>
          <w:lang w:val="es-AR"/>
        </w:rPr>
        <w:t>Un estudio reciente</w:t>
      </w:r>
      <w:r w:rsidR="0044575B">
        <w:rPr>
          <w:rStyle w:val="FootnoteReference"/>
          <w:rFonts w:ascii="Times New Roman" w:hAnsi="Times New Roman"/>
          <w:bCs/>
          <w:sz w:val="22"/>
          <w:lang w:val="es-AR"/>
        </w:rPr>
        <w:footnoteReference w:id="30"/>
      </w:r>
      <w:r w:rsidR="00673CC8" w:rsidRPr="003B567D">
        <w:rPr>
          <w:rFonts w:ascii="Times New Roman" w:hAnsi="Times New Roman"/>
          <w:bCs/>
          <w:sz w:val="22"/>
          <w:lang w:val="es-AR"/>
        </w:rPr>
        <w:t xml:space="preserve"> </w:t>
      </w:r>
      <w:r w:rsidRPr="003B567D">
        <w:rPr>
          <w:rFonts w:ascii="Times New Roman" w:hAnsi="Times New Roman"/>
          <w:bCs/>
          <w:sz w:val="22"/>
          <w:lang w:val="es-AR"/>
        </w:rPr>
        <w:t xml:space="preserve">refiere a trabajos previo </w:t>
      </w:r>
      <w:r w:rsidR="00673CC8" w:rsidRPr="003B567D">
        <w:rPr>
          <w:rFonts w:ascii="Times New Roman" w:hAnsi="Times New Roman"/>
          <w:bCs/>
          <w:sz w:val="22"/>
          <w:lang w:val="es-AR"/>
        </w:rPr>
        <w:t>basado</w:t>
      </w:r>
      <w:r w:rsidRPr="003B567D">
        <w:rPr>
          <w:rFonts w:ascii="Times New Roman" w:hAnsi="Times New Roman"/>
          <w:bCs/>
          <w:sz w:val="22"/>
          <w:lang w:val="es-AR"/>
        </w:rPr>
        <w:t>s</w:t>
      </w:r>
      <w:r w:rsidR="00673CC8" w:rsidRPr="003B567D">
        <w:rPr>
          <w:rFonts w:ascii="Times New Roman" w:hAnsi="Times New Roman"/>
          <w:bCs/>
          <w:sz w:val="22"/>
          <w:lang w:val="es-AR"/>
        </w:rPr>
        <w:t xml:space="preserve"> en análisis estadísticos de recurrencia y perí</w:t>
      </w:r>
      <w:r w:rsidR="0044575B" w:rsidRPr="003B567D">
        <w:rPr>
          <w:rFonts w:ascii="Times New Roman" w:hAnsi="Times New Roman"/>
          <w:bCs/>
          <w:sz w:val="22"/>
          <w:lang w:val="es-AR"/>
        </w:rPr>
        <w:t>odos de retorno</w:t>
      </w:r>
      <w:r w:rsidRPr="003B567D">
        <w:rPr>
          <w:rFonts w:ascii="Times New Roman" w:hAnsi="Times New Roman"/>
          <w:bCs/>
          <w:sz w:val="22"/>
          <w:lang w:val="es-AR"/>
        </w:rPr>
        <w:t>. En ellos se había e</w:t>
      </w:r>
      <w:r w:rsidR="00D73129" w:rsidRPr="003B567D">
        <w:rPr>
          <w:rFonts w:ascii="Times New Roman" w:hAnsi="Times New Roman"/>
          <w:bCs/>
          <w:sz w:val="22"/>
          <w:lang w:val="es-AR"/>
        </w:rPr>
        <w:t>stableci</w:t>
      </w:r>
      <w:r w:rsidRPr="003B567D">
        <w:rPr>
          <w:rFonts w:ascii="Times New Roman" w:hAnsi="Times New Roman"/>
          <w:bCs/>
          <w:sz w:val="22"/>
          <w:lang w:val="es-AR"/>
        </w:rPr>
        <w:t>do</w:t>
      </w:r>
      <w:r w:rsidR="00D73129" w:rsidRPr="003B567D">
        <w:rPr>
          <w:rFonts w:ascii="Times New Roman" w:hAnsi="Times New Roman"/>
          <w:bCs/>
          <w:sz w:val="22"/>
          <w:lang w:val="es-AR"/>
        </w:rPr>
        <w:t xml:space="preserve"> </w:t>
      </w:r>
      <w:r w:rsidR="0044575B" w:rsidRPr="003B567D">
        <w:rPr>
          <w:rFonts w:ascii="Times New Roman" w:hAnsi="Times New Roman"/>
          <w:bCs/>
          <w:sz w:val="22"/>
          <w:lang w:val="es-AR"/>
        </w:rPr>
        <w:t>la probabilidad condicional de que se produ</w:t>
      </w:r>
      <w:r w:rsidR="00D73129" w:rsidRPr="003B567D">
        <w:rPr>
          <w:rFonts w:ascii="Times New Roman" w:hAnsi="Times New Roman"/>
          <w:bCs/>
          <w:sz w:val="22"/>
          <w:lang w:val="es-AR"/>
        </w:rPr>
        <w:t>jera</w:t>
      </w:r>
      <w:r w:rsidR="0044575B" w:rsidRPr="003B567D">
        <w:rPr>
          <w:rFonts w:ascii="Times New Roman" w:hAnsi="Times New Roman"/>
          <w:bCs/>
          <w:sz w:val="22"/>
          <w:lang w:val="es-AR"/>
        </w:rPr>
        <w:t xml:space="preserve"> un sismo de </w:t>
      </w:r>
      <w:r w:rsidR="00094CB7">
        <w:rPr>
          <w:rFonts w:ascii="Times New Roman" w:hAnsi="Times New Roman"/>
          <w:bCs/>
          <w:sz w:val="22"/>
          <w:lang w:val="es-AR"/>
        </w:rPr>
        <w:t>m</w:t>
      </w:r>
      <w:r w:rsidR="0044575B" w:rsidRPr="003B567D">
        <w:rPr>
          <w:rFonts w:ascii="Times New Roman" w:hAnsi="Times New Roman"/>
          <w:bCs/>
          <w:sz w:val="22"/>
          <w:lang w:val="es-AR"/>
        </w:rPr>
        <w:t>agnitud 7</w:t>
      </w:r>
      <w:r w:rsidR="00094CB7">
        <w:rPr>
          <w:rFonts w:ascii="Times New Roman" w:hAnsi="Times New Roman"/>
          <w:bCs/>
          <w:sz w:val="22"/>
          <w:lang w:val="es-AR"/>
        </w:rPr>
        <w:t>,</w:t>
      </w:r>
      <w:r w:rsidR="0044575B" w:rsidRPr="003B567D">
        <w:rPr>
          <w:rFonts w:ascii="Times New Roman" w:hAnsi="Times New Roman"/>
          <w:bCs/>
          <w:sz w:val="22"/>
          <w:lang w:val="es-AR"/>
        </w:rPr>
        <w:t>9 con epicentro en el lecho marino o muy cercano al mar, frente a las costas de Manabí y Esmeraldas, co</w:t>
      </w:r>
      <w:r w:rsidRPr="003B567D">
        <w:rPr>
          <w:rFonts w:ascii="Times New Roman" w:hAnsi="Times New Roman"/>
          <w:bCs/>
          <w:sz w:val="22"/>
          <w:lang w:val="es-AR"/>
        </w:rPr>
        <w:t>n probabilidad de ocurrencia del 90% e</w:t>
      </w:r>
      <w:r w:rsidR="0044575B" w:rsidRPr="003B567D">
        <w:rPr>
          <w:rFonts w:ascii="Times New Roman" w:hAnsi="Times New Roman"/>
          <w:bCs/>
          <w:sz w:val="22"/>
          <w:lang w:val="es-AR"/>
        </w:rPr>
        <w:t>ntre 1989-2009</w:t>
      </w:r>
      <w:r w:rsidRPr="003B567D">
        <w:rPr>
          <w:rFonts w:ascii="Times New Roman" w:hAnsi="Times New Roman"/>
          <w:bCs/>
          <w:sz w:val="22"/>
          <w:lang w:val="es-AR"/>
        </w:rPr>
        <w:t xml:space="preserve">. </w:t>
      </w:r>
      <w:r w:rsidR="00D73129" w:rsidRPr="003B567D">
        <w:rPr>
          <w:rFonts w:ascii="Times New Roman" w:hAnsi="Times New Roman"/>
          <w:bCs/>
          <w:sz w:val="22"/>
          <w:lang w:val="es-AR"/>
        </w:rPr>
        <w:t>Tal predicción estadí</w:t>
      </w:r>
      <w:r w:rsidR="0044575B" w:rsidRPr="003B567D">
        <w:rPr>
          <w:rFonts w:ascii="Times New Roman" w:hAnsi="Times New Roman"/>
          <w:bCs/>
          <w:sz w:val="22"/>
          <w:lang w:val="es-AR"/>
        </w:rPr>
        <w:t>stica</w:t>
      </w:r>
      <w:r w:rsidR="00D73129" w:rsidRPr="003B567D">
        <w:rPr>
          <w:rFonts w:ascii="Times New Roman" w:hAnsi="Times New Roman"/>
          <w:bCs/>
          <w:sz w:val="22"/>
          <w:lang w:val="es-AR"/>
        </w:rPr>
        <w:t xml:space="preserve"> se habría</w:t>
      </w:r>
      <w:r w:rsidR="0044575B" w:rsidRPr="003B567D">
        <w:rPr>
          <w:rFonts w:ascii="Times New Roman" w:hAnsi="Times New Roman"/>
          <w:bCs/>
          <w:sz w:val="22"/>
          <w:lang w:val="es-AR"/>
        </w:rPr>
        <w:t xml:space="preserve"> cumpli</w:t>
      </w:r>
      <w:r w:rsidR="00D73129" w:rsidRPr="003B567D">
        <w:rPr>
          <w:rFonts w:ascii="Times New Roman" w:hAnsi="Times New Roman"/>
          <w:bCs/>
          <w:sz w:val="22"/>
          <w:lang w:val="es-AR"/>
        </w:rPr>
        <w:t>do</w:t>
      </w:r>
      <w:r w:rsidR="0044575B" w:rsidRPr="003B567D">
        <w:rPr>
          <w:rFonts w:ascii="Times New Roman" w:hAnsi="Times New Roman"/>
          <w:bCs/>
          <w:sz w:val="22"/>
          <w:lang w:val="es-AR"/>
        </w:rPr>
        <w:t xml:space="preserve"> en el año de</w:t>
      </w:r>
      <w:r w:rsidR="00673CC8" w:rsidRPr="003B567D">
        <w:rPr>
          <w:rFonts w:ascii="Times New Roman" w:hAnsi="Times New Roman"/>
          <w:bCs/>
          <w:sz w:val="22"/>
          <w:lang w:val="es-AR"/>
        </w:rPr>
        <w:t xml:space="preserve"> 1998, con el terremoto de Bahí</w:t>
      </w:r>
      <w:r w:rsidR="0044575B" w:rsidRPr="003B567D">
        <w:rPr>
          <w:rFonts w:ascii="Times New Roman" w:hAnsi="Times New Roman"/>
          <w:bCs/>
          <w:sz w:val="22"/>
          <w:lang w:val="es-AR"/>
        </w:rPr>
        <w:t>a de Caráquez, c</w:t>
      </w:r>
      <w:r w:rsidR="00673CC8" w:rsidRPr="003B567D">
        <w:rPr>
          <w:rFonts w:ascii="Times New Roman" w:hAnsi="Times New Roman"/>
          <w:bCs/>
          <w:sz w:val="22"/>
          <w:lang w:val="es-AR"/>
        </w:rPr>
        <w:t>uyo epicentro se ubicó en la lí</w:t>
      </w:r>
      <w:r w:rsidR="0044575B" w:rsidRPr="003B567D">
        <w:rPr>
          <w:rFonts w:ascii="Times New Roman" w:hAnsi="Times New Roman"/>
          <w:bCs/>
          <w:sz w:val="22"/>
          <w:lang w:val="es-AR"/>
        </w:rPr>
        <w:t xml:space="preserve">nea de costa. </w:t>
      </w:r>
      <w:r>
        <w:rPr>
          <w:rFonts w:ascii="Times New Roman" w:hAnsi="Times New Roman"/>
          <w:bCs/>
          <w:sz w:val="22"/>
          <w:lang w:val="es-AR"/>
        </w:rPr>
        <w:t xml:space="preserve"> La </w:t>
      </w:r>
      <w:r w:rsidR="00673163">
        <w:rPr>
          <w:rFonts w:ascii="Times New Roman" w:hAnsi="Times New Roman"/>
          <w:bCs/>
          <w:sz w:val="22"/>
          <w:lang w:val="es-AR"/>
        </w:rPr>
        <w:t>complejidad</w:t>
      </w:r>
      <w:r>
        <w:rPr>
          <w:rFonts w:ascii="Times New Roman" w:hAnsi="Times New Roman"/>
          <w:bCs/>
          <w:sz w:val="22"/>
          <w:lang w:val="es-AR"/>
        </w:rPr>
        <w:t xml:space="preserve"> del caso es que </w:t>
      </w:r>
      <w:r w:rsidR="0044575B" w:rsidRPr="003B567D">
        <w:rPr>
          <w:rFonts w:ascii="Times New Roman" w:hAnsi="Times New Roman"/>
          <w:bCs/>
          <w:sz w:val="22"/>
          <w:lang w:val="es-AR"/>
        </w:rPr>
        <w:t>la magnitud del sismo y la profundidad del mar en el epicentro fueron insuficientes para generar un tsunami destructor, habiéndose detectado solamente uno de tipo instrumental</w:t>
      </w:r>
      <w:r>
        <w:rPr>
          <w:rFonts w:ascii="Times New Roman" w:hAnsi="Times New Roman"/>
          <w:bCs/>
          <w:sz w:val="22"/>
          <w:lang w:val="es-AR"/>
        </w:rPr>
        <w:t xml:space="preserve"> (</w:t>
      </w:r>
      <w:r w:rsidR="0044575B" w:rsidRPr="003B567D">
        <w:rPr>
          <w:rFonts w:ascii="Times New Roman" w:hAnsi="Times New Roman"/>
          <w:bCs/>
          <w:sz w:val="22"/>
          <w:lang w:val="es-AR"/>
        </w:rPr>
        <w:t xml:space="preserve">con alturas de ola ligeramente superiores </w:t>
      </w:r>
      <w:r w:rsidR="000B1273" w:rsidRPr="003B567D">
        <w:rPr>
          <w:rFonts w:ascii="Times New Roman" w:hAnsi="Times New Roman"/>
          <w:bCs/>
          <w:sz w:val="22"/>
          <w:lang w:val="es-AR"/>
        </w:rPr>
        <w:t xml:space="preserve">a las acostumbradas </w:t>
      </w:r>
      <w:r w:rsidR="0044575B" w:rsidRPr="003B567D">
        <w:rPr>
          <w:rFonts w:ascii="Times New Roman" w:hAnsi="Times New Roman"/>
          <w:bCs/>
          <w:sz w:val="22"/>
          <w:lang w:val="es-AR"/>
        </w:rPr>
        <w:t>par</w:t>
      </w:r>
      <w:r>
        <w:rPr>
          <w:rFonts w:ascii="Times New Roman" w:hAnsi="Times New Roman"/>
          <w:bCs/>
          <w:sz w:val="22"/>
          <w:lang w:val="es-AR"/>
        </w:rPr>
        <w:t>a esas localidades</w:t>
      </w:r>
      <w:r w:rsidR="0044575B" w:rsidRPr="003B567D">
        <w:rPr>
          <w:rFonts w:ascii="Times New Roman" w:hAnsi="Times New Roman"/>
          <w:bCs/>
          <w:sz w:val="22"/>
          <w:lang w:val="es-AR"/>
        </w:rPr>
        <w:t>).</w:t>
      </w:r>
      <w:r>
        <w:rPr>
          <w:rFonts w:ascii="Times New Roman" w:hAnsi="Times New Roman"/>
          <w:bCs/>
          <w:sz w:val="22"/>
          <w:lang w:val="es-AR"/>
        </w:rPr>
        <w:t xml:space="preserve"> Esta reflexión atiende a que la incertidumbre pasa no solo por la probabilidad de ocurrencia sino por la combinación de la misma con las características que determi</w:t>
      </w:r>
      <w:r w:rsidR="0087251A">
        <w:rPr>
          <w:rFonts w:ascii="Times New Roman" w:hAnsi="Times New Roman"/>
          <w:bCs/>
          <w:sz w:val="22"/>
          <w:lang w:val="es-AR"/>
        </w:rPr>
        <w:t>n</w:t>
      </w:r>
      <w:r>
        <w:rPr>
          <w:rFonts w:ascii="Times New Roman" w:hAnsi="Times New Roman"/>
          <w:bCs/>
          <w:sz w:val="22"/>
          <w:lang w:val="es-AR"/>
        </w:rPr>
        <w:t>an su efecto destructivo.</w:t>
      </w:r>
      <w:r w:rsidR="0087251A">
        <w:rPr>
          <w:rFonts w:ascii="Times New Roman" w:hAnsi="Times New Roman"/>
          <w:bCs/>
          <w:sz w:val="22"/>
          <w:lang w:val="es-AR"/>
        </w:rPr>
        <w:t xml:space="preserve"> </w:t>
      </w:r>
      <w:r w:rsidR="000B1273" w:rsidRPr="0087251A">
        <w:rPr>
          <w:rFonts w:ascii="Times New Roman" w:hAnsi="Times New Roman"/>
          <w:bCs/>
          <w:sz w:val="22"/>
          <w:lang w:val="es-AR"/>
        </w:rPr>
        <w:t xml:space="preserve">Aunque los tsunamis son relativamente infrecuentes, podrían sobrevenir con mayor  asiduidad de lo que la población cree. De hecho, debido a la variación de las pautas  de asentamiento de la población y, por consiguiente, al aumento de ésta en las zonas  costeras, la memoria colectiva de esos episodios no se transmite adecuadamente de  una generación a otra. </w:t>
      </w:r>
    </w:p>
    <w:p w:rsidR="0087251A" w:rsidRDefault="0087251A" w:rsidP="0087251A">
      <w:pPr>
        <w:ind w:left="718"/>
        <w:jc w:val="both"/>
        <w:rPr>
          <w:rFonts w:ascii="Times New Roman" w:hAnsi="Times New Roman"/>
          <w:bCs/>
          <w:sz w:val="22"/>
          <w:lang w:val="es-AR"/>
        </w:rPr>
      </w:pPr>
    </w:p>
    <w:p w:rsidR="00745A58" w:rsidRPr="0087251A" w:rsidRDefault="0087251A" w:rsidP="00745A58">
      <w:pPr>
        <w:numPr>
          <w:ilvl w:val="1"/>
          <w:numId w:val="12"/>
        </w:numPr>
        <w:jc w:val="both"/>
        <w:rPr>
          <w:rFonts w:ascii="Times New Roman" w:hAnsi="Times New Roman"/>
          <w:bCs/>
          <w:sz w:val="22"/>
          <w:lang w:val="es-ES"/>
        </w:rPr>
      </w:pPr>
      <w:r w:rsidRPr="0087251A">
        <w:rPr>
          <w:rFonts w:ascii="Times New Roman" w:hAnsi="Times New Roman"/>
          <w:bCs/>
          <w:i/>
          <w:sz w:val="22"/>
          <w:lang w:val="es-AR"/>
        </w:rPr>
        <w:t>Premisas  para desbordamiento de ríos.</w:t>
      </w:r>
      <w:r w:rsidRPr="0087251A">
        <w:rPr>
          <w:rFonts w:ascii="Times New Roman" w:hAnsi="Times New Roman"/>
          <w:bCs/>
          <w:sz w:val="22"/>
          <w:lang w:val="es-AR"/>
        </w:rPr>
        <w:t xml:space="preserve"> </w:t>
      </w:r>
      <w:r w:rsidR="00745A58" w:rsidRPr="0087251A">
        <w:rPr>
          <w:rFonts w:ascii="Times New Roman" w:hAnsi="Times New Roman"/>
          <w:bCs/>
          <w:sz w:val="22"/>
          <w:lang w:val="es-ES"/>
        </w:rPr>
        <w:t xml:space="preserve">La Secretaría de Gestión de Riesgos ha elaborado mapas para 72 localidades. </w:t>
      </w:r>
      <w:r w:rsidRPr="0087251A">
        <w:rPr>
          <w:rFonts w:ascii="Times New Roman" w:hAnsi="Times New Roman"/>
          <w:bCs/>
          <w:sz w:val="22"/>
          <w:lang w:val="es-ES"/>
        </w:rPr>
        <w:t xml:space="preserve">De ellos surge la </w:t>
      </w:r>
      <w:r w:rsidR="00745A58" w:rsidRPr="0087251A">
        <w:rPr>
          <w:rFonts w:ascii="Times New Roman" w:hAnsi="Times New Roman"/>
          <w:bCs/>
          <w:sz w:val="22"/>
          <w:lang w:val="es-ES"/>
        </w:rPr>
        <w:t>po</w:t>
      </w:r>
      <w:r w:rsidRPr="0087251A">
        <w:rPr>
          <w:rFonts w:ascii="Times New Roman" w:hAnsi="Times New Roman"/>
          <w:bCs/>
          <w:sz w:val="22"/>
          <w:lang w:val="es-ES"/>
        </w:rPr>
        <w:t xml:space="preserve">blación probablemente </w:t>
      </w:r>
      <w:r w:rsidR="00F539FC">
        <w:rPr>
          <w:rFonts w:ascii="Times New Roman" w:hAnsi="Times New Roman"/>
          <w:bCs/>
          <w:sz w:val="22"/>
          <w:lang w:val="es-ES"/>
        </w:rPr>
        <w:t>bajo riesgo</w:t>
      </w:r>
      <w:r w:rsidRPr="0087251A">
        <w:rPr>
          <w:rFonts w:ascii="Times New Roman" w:hAnsi="Times New Roman"/>
          <w:bCs/>
          <w:sz w:val="22"/>
          <w:lang w:val="es-ES"/>
        </w:rPr>
        <w:t>, así como la dimensión estimada de la infraestructura pública y privada</w:t>
      </w:r>
      <w:r w:rsidR="00F539FC">
        <w:rPr>
          <w:rFonts w:ascii="Times New Roman" w:hAnsi="Times New Roman"/>
          <w:bCs/>
          <w:sz w:val="22"/>
          <w:lang w:val="es-ES"/>
        </w:rPr>
        <w:t xml:space="preserve"> en las áreas </w:t>
      </w:r>
      <w:r w:rsidR="00673163">
        <w:rPr>
          <w:rFonts w:ascii="Times New Roman" w:hAnsi="Times New Roman"/>
          <w:bCs/>
          <w:sz w:val="22"/>
          <w:lang w:val="es-ES"/>
        </w:rPr>
        <w:t>amenazadas</w:t>
      </w:r>
      <w:r w:rsidR="00745A58" w:rsidRPr="0087251A">
        <w:rPr>
          <w:rFonts w:ascii="Times New Roman" w:hAnsi="Times New Roman"/>
          <w:bCs/>
          <w:sz w:val="22"/>
          <w:lang w:val="es-ES"/>
        </w:rPr>
        <w:t xml:space="preserve">. </w:t>
      </w:r>
      <w:r>
        <w:rPr>
          <w:rFonts w:ascii="Times New Roman" w:hAnsi="Times New Roman"/>
          <w:bCs/>
          <w:sz w:val="22"/>
          <w:lang w:val="es-ES"/>
        </w:rPr>
        <w:t xml:space="preserve">La </w:t>
      </w:r>
      <w:r w:rsidR="00745A58" w:rsidRPr="0087251A">
        <w:rPr>
          <w:rFonts w:ascii="Times New Roman" w:hAnsi="Times New Roman"/>
          <w:bCs/>
          <w:sz w:val="22"/>
          <w:lang w:val="es-ES"/>
        </w:rPr>
        <w:t xml:space="preserve"> existencia de eventos adversos</w:t>
      </w:r>
      <w:r>
        <w:rPr>
          <w:rFonts w:ascii="Times New Roman" w:hAnsi="Times New Roman"/>
          <w:bCs/>
          <w:sz w:val="22"/>
          <w:lang w:val="es-ES"/>
        </w:rPr>
        <w:t xml:space="preserve"> previos</w:t>
      </w:r>
      <w:r w:rsidR="00745A58" w:rsidRPr="0087251A">
        <w:rPr>
          <w:rFonts w:ascii="Times New Roman" w:hAnsi="Times New Roman"/>
          <w:bCs/>
          <w:sz w:val="22"/>
          <w:lang w:val="es-ES"/>
        </w:rPr>
        <w:t xml:space="preserve">, incidentes </w:t>
      </w:r>
      <w:r>
        <w:rPr>
          <w:rFonts w:ascii="Times New Roman" w:hAnsi="Times New Roman"/>
          <w:bCs/>
          <w:sz w:val="22"/>
          <w:lang w:val="es-ES"/>
        </w:rPr>
        <w:t xml:space="preserve">y estudios </w:t>
      </w:r>
      <w:r w:rsidR="003A66DB">
        <w:rPr>
          <w:rFonts w:ascii="Times New Roman" w:hAnsi="Times New Roman"/>
          <w:bCs/>
          <w:sz w:val="22"/>
          <w:lang w:val="es-ES"/>
        </w:rPr>
        <w:t>constituyen los antecedentes para</w:t>
      </w:r>
      <w:r>
        <w:rPr>
          <w:rFonts w:ascii="Times New Roman" w:hAnsi="Times New Roman"/>
          <w:bCs/>
          <w:sz w:val="22"/>
          <w:lang w:val="es-ES"/>
        </w:rPr>
        <w:t xml:space="preserve"> establecer una hipótesis futura de recurrencia</w:t>
      </w:r>
      <w:r w:rsidR="00745A58" w:rsidRPr="0087251A">
        <w:rPr>
          <w:rFonts w:ascii="Times New Roman" w:hAnsi="Times New Roman"/>
          <w:bCs/>
          <w:sz w:val="22"/>
          <w:lang w:val="es-ES"/>
        </w:rPr>
        <w:t>.</w:t>
      </w:r>
    </w:p>
    <w:p w:rsidR="00406CAE" w:rsidRPr="00455FC7" w:rsidRDefault="00406CAE" w:rsidP="00455FC7">
      <w:pPr>
        <w:ind w:left="718"/>
        <w:jc w:val="both"/>
        <w:rPr>
          <w:b/>
          <w:lang w:val="es-AR"/>
        </w:rPr>
      </w:pPr>
    </w:p>
    <w:p w:rsidR="000513F8" w:rsidRPr="00455FC7" w:rsidRDefault="00081A23" w:rsidP="00111924">
      <w:pPr>
        <w:pStyle w:val="Heading3"/>
        <w:rPr>
          <w:lang w:val="es-ES_tradnl"/>
        </w:rPr>
      </w:pPr>
      <w:bookmarkStart w:id="109" w:name="_Toc296036118"/>
      <w:bookmarkStart w:id="110" w:name="_Toc465929621"/>
      <w:bookmarkStart w:id="111" w:name="_Toc468199832"/>
      <w:r w:rsidRPr="00455FC7">
        <w:rPr>
          <w:lang w:val="es-ES_tradnl"/>
        </w:rPr>
        <w:t>Magnitud del impacto potencial sobre las personas</w:t>
      </w:r>
      <w:bookmarkEnd w:id="109"/>
      <w:bookmarkEnd w:id="110"/>
      <w:bookmarkEnd w:id="111"/>
    </w:p>
    <w:p w:rsidR="000513F8" w:rsidRPr="00B17712" w:rsidRDefault="000513F8" w:rsidP="000513F8">
      <w:pPr>
        <w:rPr>
          <w:lang w:val="es-AR"/>
        </w:rPr>
      </w:pPr>
    </w:p>
    <w:p w:rsidR="00D77E78" w:rsidRDefault="00814D61" w:rsidP="00D77E78">
      <w:pPr>
        <w:numPr>
          <w:ilvl w:val="1"/>
          <w:numId w:val="12"/>
        </w:numPr>
        <w:jc w:val="both"/>
        <w:rPr>
          <w:rFonts w:ascii="Times New Roman" w:hAnsi="Times New Roman"/>
          <w:sz w:val="22"/>
          <w:szCs w:val="22"/>
          <w:lang w:val="es-ES_tradnl"/>
        </w:rPr>
      </w:pPr>
      <w:r w:rsidRPr="00F539FC">
        <w:rPr>
          <w:rFonts w:ascii="Times New Roman" w:hAnsi="Times New Roman"/>
          <w:i/>
          <w:sz w:val="22"/>
          <w:szCs w:val="22"/>
          <w:lang w:val="es-ES_tradnl"/>
        </w:rPr>
        <w:t xml:space="preserve">Efectos de los desastres en general. </w:t>
      </w:r>
      <w:r w:rsidR="001B2AE5" w:rsidRPr="00F539FC">
        <w:rPr>
          <w:rFonts w:ascii="Times New Roman" w:hAnsi="Times New Roman"/>
          <w:sz w:val="22"/>
          <w:szCs w:val="22"/>
          <w:lang w:val="es-ES_tradnl"/>
        </w:rPr>
        <w:t>De acuerdo con la base de datos OFCA / CRED EM</w:t>
      </w:r>
      <w:r w:rsidRPr="00F539FC">
        <w:rPr>
          <w:rFonts w:ascii="Times New Roman" w:hAnsi="Times New Roman"/>
          <w:sz w:val="22"/>
          <w:szCs w:val="22"/>
          <w:lang w:val="es-ES_tradnl"/>
        </w:rPr>
        <w:t>-DAT, relacionados</w:t>
      </w:r>
      <w:r w:rsidR="001B2AE5" w:rsidRPr="00F539FC">
        <w:rPr>
          <w:rFonts w:ascii="Times New Roman" w:hAnsi="Times New Roman"/>
          <w:sz w:val="22"/>
          <w:szCs w:val="22"/>
          <w:lang w:val="es-ES_tradnl"/>
        </w:rPr>
        <w:t xml:space="preserve"> los fenómenos extremos </w:t>
      </w:r>
      <w:r w:rsidRPr="00F539FC">
        <w:rPr>
          <w:rFonts w:ascii="Times New Roman" w:hAnsi="Times New Roman"/>
          <w:sz w:val="22"/>
          <w:szCs w:val="22"/>
          <w:lang w:val="es-ES_tradnl"/>
        </w:rPr>
        <w:t xml:space="preserve">de carácter climático </w:t>
      </w:r>
      <w:r w:rsidR="001B2AE5" w:rsidRPr="00F539FC">
        <w:rPr>
          <w:rFonts w:ascii="Times New Roman" w:hAnsi="Times New Roman"/>
          <w:sz w:val="22"/>
          <w:szCs w:val="22"/>
          <w:lang w:val="es-ES_tradnl"/>
        </w:rPr>
        <w:t xml:space="preserve">mataron a un promedio de 43.000 personas por año en los países en desarrollo entre 1970 y 2011. Dado que la población total en el año 2011 en los países en desarrollo era aproximadamente 5.7 mil millones personas, hay una probabilidad de mortalidad </w:t>
      </w:r>
      <w:r w:rsidR="001B2AE5" w:rsidRPr="00F539FC">
        <w:rPr>
          <w:rFonts w:ascii="Times New Roman" w:hAnsi="Times New Roman"/>
          <w:sz w:val="22"/>
          <w:szCs w:val="22"/>
          <w:lang w:val="es-ES_tradnl"/>
        </w:rPr>
        <w:lastRenderedPageBreak/>
        <w:t xml:space="preserve">anual de 7,5 por millón debido a los fenómenos meteorológicos. </w:t>
      </w:r>
      <w:r w:rsidR="00F539FC" w:rsidRPr="00F539FC">
        <w:rPr>
          <w:rFonts w:ascii="Times New Roman" w:hAnsi="Times New Roman"/>
          <w:sz w:val="22"/>
          <w:szCs w:val="22"/>
          <w:lang w:val="es-ES_tradnl"/>
        </w:rPr>
        <w:t>Las desventajas</w:t>
      </w:r>
      <w:r w:rsidRPr="00F539FC">
        <w:rPr>
          <w:rFonts w:ascii="Times New Roman" w:hAnsi="Times New Roman"/>
          <w:sz w:val="22"/>
          <w:szCs w:val="22"/>
          <w:lang w:val="es-ES_tradnl"/>
        </w:rPr>
        <w:t xml:space="preserve"> con </w:t>
      </w:r>
      <w:r w:rsidR="00F539FC" w:rsidRPr="00F539FC">
        <w:rPr>
          <w:rFonts w:ascii="Times New Roman" w:hAnsi="Times New Roman"/>
          <w:sz w:val="22"/>
          <w:szCs w:val="22"/>
          <w:lang w:val="es-ES_tradnl"/>
        </w:rPr>
        <w:t>respecto a</w:t>
      </w:r>
      <w:r w:rsidRPr="00F539FC">
        <w:rPr>
          <w:rFonts w:ascii="Times New Roman" w:hAnsi="Times New Roman"/>
          <w:sz w:val="22"/>
          <w:szCs w:val="22"/>
          <w:lang w:val="es-ES_tradnl"/>
        </w:rPr>
        <w:t>l mundo desarrollad</w:t>
      </w:r>
      <w:r w:rsidR="0042619F" w:rsidRPr="00F539FC">
        <w:rPr>
          <w:rFonts w:ascii="Times New Roman" w:hAnsi="Times New Roman"/>
          <w:sz w:val="22"/>
          <w:szCs w:val="22"/>
          <w:lang w:val="es-ES_tradnl"/>
        </w:rPr>
        <w:t>o</w:t>
      </w:r>
      <w:r w:rsidR="001B2AE5" w:rsidRPr="00F539FC">
        <w:rPr>
          <w:rFonts w:ascii="Times New Roman" w:hAnsi="Times New Roman"/>
          <w:sz w:val="22"/>
          <w:szCs w:val="22"/>
          <w:lang w:val="es-ES_tradnl"/>
        </w:rPr>
        <w:t xml:space="preserve"> no se debe</w:t>
      </w:r>
      <w:r w:rsidRPr="00F539FC">
        <w:rPr>
          <w:rFonts w:ascii="Times New Roman" w:hAnsi="Times New Roman"/>
          <w:sz w:val="22"/>
          <w:szCs w:val="22"/>
          <w:lang w:val="es-ES_tradnl"/>
        </w:rPr>
        <w:t>n</w:t>
      </w:r>
      <w:r w:rsidR="001B2AE5" w:rsidRPr="00F539FC">
        <w:rPr>
          <w:rFonts w:ascii="Times New Roman" w:hAnsi="Times New Roman"/>
          <w:sz w:val="22"/>
          <w:szCs w:val="22"/>
          <w:lang w:val="es-ES_tradnl"/>
        </w:rPr>
        <w:t xml:space="preserve"> solamente a la </w:t>
      </w:r>
      <w:r w:rsidR="00F539FC" w:rsidRPr="00F539FC">
        <w:rPr>
          <w:rFonts w:ascii="Times New Roman" w:hAnsi="Times New Roman"/>
          <w:sz w:val="22"/>
          <w:szCs w:val="22"/>
          <w:lang w:val="es-ES_tradnl"/>
        </w:rPr>
        <w:t xml:space="preserve">presencia de sistemas </w:t>
      </w:r>
      <w:r w:rsidR="001B2AE5" w:rsidRPr="00F539FC">
        <w:rPr>
          <w:rFonts w:ascii="Times New Roman" w:hAnsi="Times New Roman"/>
          <w:sz w:val="22"/>
          <w:szCs w:val="22"/>
          <w:lang w:val="es-ES_tradnl"/>
        </w:rPr>
        <w:t>alerta temprana</w:t>
      </w:r>
      <w:r w:rsidRPr="00F539FC">
        <w:rPr>
          <w:rFonts w:ascii="Times New Roman" w:hAnsi="Times New Roman"/>
          <w:sz w:val="22"/>
          <w:szCs w:val="22"/>
          <w:lang w:val="es-ES_tradnl"/>
        </w:rPr>
        <w:t xml:space="preserve">, sino que </w:t>
      </w:r>
      <w:r w:rsidR="00673163" w:rsidRPr="00F539FC">
        <w:rPr>
          <w:rFonts w:ascii="Times New Roman" w:hAnsi="Times New Roman"/>
          <w:sz w:val="22"/>
          <w:szCs w:val="22"/>
          <w:lang w:val="es-ES_tradnl"/>
        </w:rPr>
        <w:t>también</w:t>
      </w:r>
      <w:r w:rsidR="00F539FC" w:rsidRPr="00F539FC">
        <w:rPr>
          <w:rFonts w:ascii="Times New Roman" w:hAnsi="Times New Roman"/>
          <w:sz w:val="22"/>
          <w:szCs w:val="22"/>
          <w:lang w:val="es-ES_tradnl"/>
        </w:rPr>
        <w:t xml:space="preserve"> los materiales de construcción de la</w:t>
      </w:r>
      <w:r w:rsidR="001B2AE5" w:rsidRPr="00F539FC">
        <w:rPr>
          <w:rFonts w:ascii="Times New Roman" w:hAnsi="Times New Roman"/>
          <w:sz w:val="22"/>
          <w:szCs w:val="22"/>
          <w:lang w:val="es-ES_tradnl"/>
        </w:rPr>
        <w:t xml:space="preserve"> vivienda y la calidad de la infraestructura</w:t>
      </w:r>
      <w:r w:rsidR="00F539FC" w:rsidRPr="00F539FC">
        <w:rPr>
          <w:rFonts w:ascii="Times New Roman" w:hAnsi="Times New Roman"/>
          <w:sz w:val="22"/>
          <w:szCs w:val="22"/>
          <w:lang w:val="es-ES_tradnl"/>
        </w:rPr>
        <w:t xml:space="preserve"> en general</w:t>
      </w:r>
      <w:r w:rsidR="001B2AE5" w:rsidRPr="00F539FC">
        <w:rPr>
          <w:rFonts w:ascii="Times New Roman" w:hAnsi="Times New Roman"/>
          <w:sz w:val="22"/>
          <w:szCs w:val="22"/>
          <w:lang w:val="es-ES_tradnl"/>
        </w:rPr>
        <w:t xml:space="preserve">, </w:t>
      </w:r>
      <w:r w:rsidR="00F539FC" w:rsidRPr="00F539FC">
        <w:rPr>
          <w:rFonts w:ascii="Times New Roman" w:hAnsi="Times New Roman"/>
          <w:sz w:val="22"/>
          <w:szCs w:val="22"/>
          <w:lang w:val="es-ES_tradnl"/>
        </w:rPr>
        <w:t xml:space="preserve">así como </w:t>
      </w:r>
      <w:r w:rsidR="001B2AE5" w:rsidRPr="00F539FC">
        <w:rPr>
          <w:rFonts w:ascii="Times New Roman" w:hAnsi="Times New Roman"/>
          <w:sz w:val="22"/>
          <w:szCs w:val="22"/>
          <w:lang w:val="es-ES_tradnl"/>
        </w:rPr>
        <w:t>la</w:t>
      </w:r>
      <w:r w:rsidR="00F539FC" w:rsidRPr="00F539FC">
        <w:rPr>
          <w:rFonts w:ascii="Times New Roman" w:hAnsi="Times New Roman"/>
          <w:sz w:val="22"/>
          <w:szCs w:val="22"/>
          <w:lang w:val="es-ES_tradnl"/>
        </w:rPr>
        <w:t xml:space="preserve">s obras de </w:t>
      </w:r>
      <w:r w:rsidR="001B2AE5" w:rsidRPr="00F539FC">
        <w:rPr>
          <w:rFonts w:ascii="Times New Roman" w:hAnsi="Times New Roman"/>
          <w:sz w:val="22"/>
          <w:szCs w:val="22"/>
          <w:lang w:val="es-ES_tradnl"/>
        </w:rPr>
        <w:t xml:space="preserve"> protección contra desastres (diques, sistemas de drenaje) </w:t>
      </w:r>
      <w:r w:rsidR="00F539FC" w:rsidRPr="00F539FC">
        <w:rPr>
          <w:rFonts w:ascii="Times New Roman" w:hAnsi="Times New Roman"/>
          <w:sz w:val="22"/>
          <w:szCs w:val="22"/>
          <w:lang w:val="es-ES_tradnl"/>
        </w:rPr>
        <w:t xml:space="preserve">son </w:t>
      </w:r>
      <w:r w:rsidR="001B2AE5" w:rsidRPr="00F539FC">
        <w:rPr>
          <w:rFonts w:ascii="Times New Roman" w:hAnsi="Times New Roman"/>
          <w:sz w:val="22"/>
          <w:szCs w:val="22"/>
          <w:lang w:val="es-ES_tradnl"/>
        </w:rPr>
        <w:t>también son importantes. Las diferencias en el clima (por ejemplo, la exposición a las tor</w:t>
      </w:r>
      <w:r w:rsidR="00ED6C08" w:rsidRPr="00F539FC">
        <w:rPr>
          <w:rFonts w:ascii="Times New Roman" w:hAnsi="Times New Roman"/>
          <w:sz w:val="22"/>
          <w:szCs w:val="22"/>
          <w:lang w:val="es-ES_tradnl"/>
        </w:rPr>
        <w:t>mentas tropicales</w:t>
      </w:r>
      <w:r w:rsidR="00F539FC" w:rsidRPr="00F539FC">
        <w:rPr>
          <w:rFonts w:ascii="Times New Roman" w:hAnsi="Times New Roman"/>
          <w:sz w:val="22"/>
          <w:szCs w:val="22"/>
          <w:lang w:val="es-ES_tradnl"/>
        </w:rPr>
        <w:t xml:space="preserve"> es mayor en las áreas en desarrollo</w:t>
      </w:r>
      <w:r w:rsidR="00ED6C08" w:rsidRPr="00F539FC">
        <w:rPr>
          <w:rFonts w:ascii="Times New Roman" w:hAnsi="Times New Roman"/>
          <w:sz w:val="22"/>
          <w:szCs w:val="22"/>
          <w:lang w:val="es-ES_tradnl"/>
        </w:rPr>
        <w:t xml:space="preserve">) también marcan </w:t>
      </w:r>
      <w:r w:rsidR="001B2AE5" w:rsidRPr="00F539FC">
        <w:rPr>
          <w:rFonts w:ascii="Times New Roman" w:hAnsi="Times New Roman"/>
          <w:sz w:val="22"/>
          <w:szCs w:val="22"/>
          <w:lang w:val="es-ES_tradnl"/>
        </w:rPr>
        <w:t xml:space="preserve">una diferencia. </w:t>
      </w:r>
    </w:p>
    <w:p w:rsidR="00F539FC" w:rsidRPr="00F539FC" w:rsidRDefault="00F539FC" w:rsidP="00F539FC">
      <w:pPr>
        <w:ind w:left="718"/>
        <w:jc w:val="both"/>
        <w:rPr>
          <w:rFonts w:ascii="Times New Roman" w:hAnsi="Times New Roman"/>
          <w:sz w:val="22"/>
          <w:szCs w:val="22"/>
          <w:lang w:val="es-ES_tradnl"/>
        </w:rPr>
      </w:pPr>
    </w:p>
    <w:p w:rsidR="000B1273" w:rsidRDefault="00ED6C08" w:rsidP="00C95815">
      <w:pPr>
        <w:pStyle w:val="ListParagraph"/>
        <w:numPr>
          <w:ilvl w:val="1"/>
          <w:numId w:val="12"/>
        </w:numPr>
        <w:jc w:val="both"/>
        <w:rPr>
          <w:rFonts w:ascii="Times New Roman" w:hAnsi="Times New Roman"/>
          <w:bCs/>
          <w:sz w:val="22"/>
          <w:lang w:val="es-ES_tradnl"/>
        </w:rPr>
      </w:pPr>
      <w:r w:rsidRPr="00ED6C08">
        <w:rPr>
          <w:rFonts w:ascii="Times New Roman" w:hAnsi="Times New Roman"/>
          <w:bCs/>
          <w:i/>
          <w:sz w:val="22"/>
          <w:lang w:val="es-ES_tradnl"/>
        </w:rPr>
        <w:t>Impacto de los tsunamis</w:t>
      </w:r>
      <w:r>
        <w:rPr>
          <w:rFonts w:ascii="Times New Roman" w:hAnsi="Times New Roman"/>
          <w:bCs/>
          <w:sz w:val="22"/>
          <w:lang w:val="es-ES_tradnl"/>
        </w:rPr>
        <w:t xml:space="preserve">, </w:t>
      </w:r>
      <w:r w:rsidR="000B1273" w:rsidRPr="000B1273">
        <w:rPr>
          <w:rFonts w:ascii="Times New Roman" w:hAnsi="Times New Roman"/>
          <w:bCs/>
          <w:sz w:val="22"/>
          <w:lang w:val="es-ES_tradnl"/>
        </w:rPr>
        <w:t xml:space="preserve">Los tsunamis son más frecuentes en el Océano Pacífico, debido a la actividad sísmica y volcánica existente en la frontera de las placas tectónicas a lo largo del Cinturón de Fuego del Pacífico. El Centro de Alertas de Tsunami del Pacífico (PTWC) fue creado  en 1949, en respuesta al tsunami originado en las Islas Aleutianas en 1946, que  devastó Hilo, </w:t>
      </w:r>
      <w:r w:rsidR="009607E0" w:rsidRPr="000B1273">
        <w:rPr>
          <w:rFonts w:ascii="Times New Roman" w:hAnsi="Times New Roman"/>
          <w:bCs/>
          <w:sz w:val="22"/>
          <w:lang w:val="es-ES_tradnl"/>
        </w:rPr>
        <w:t>Haw</w:t>
      </w:r>
      <w:r w:rsidR="009607E0">
        <w:rPr>
          <w:rFonts w:ascii="Times New Roman" w:hAnsi="Times New Roman"/>
          <w:bCs/>
          <w:sz w:val="22"/>
          <w:lang w:val="es-ES_tradnl"/>
        </w:rPr>
        <w:t>á</w:t>
      </w:r>
      <w:r w:rsidR="009607E0" w:rsidRPr="000B1273">
        <w:rPr>
          <w:rFonts w:ascii="Times New Roman" w:hAnsi="Times New Roman"/>
          <w:bCs/>
          <w:sz w:val="22"/>
          <w:lang w:val="es-ES_tradnl"/>
        </w:rPr>
        <w:t>i</w:t>
      </w:r>
      <w:r w:rsidR="000B1273" w:rsidRPr="000B1273">
        <w:rPr>
          <w:rFonts w:ascii="Times New Roman" w:hAnsi="Times New Roman"/>
          <w:bCs/>
          <w:sz w:val="22"/>
          <w:lang w:val="es-ES_tradnl"/>
        </w:rPr>
        <w:t xml:space="preserve">. El sismo que afectó a Chile en 1960 </w:t>
      </w:r>
      <w:r w:rsidR="00F539FC">
        <w:rPr>
          <w:rFonts w:ascii="Times New Roman" w:hAnsi="Times New Roman"/>
          <w:bCs/>
          <w:sz w:val="22"/>
          <w:lang w:val="es-ES_tradnl"/>
        </w:rPr>
        <w:t xml:space="preserve">con alta intensidad desencadenó un </w:t>
      </w:r>
      <w:r w:rsidR="000B1273" w:rsidRPr="000B1273">
        <w:rPr>
          <w:rFonts w:ascii="Times New Roman" w:hAnsi="Times New Roman"/>
          <w:bCs/>
          <w:sz w:val="22"/>
          <w:lang w:val="es-ES_tradnl"/>
        </w:rPr>
        <w:t xml:space="preserve"> tsunami que llegó a afectar a zonas tan distantes como  </w:t>
      </w:r>
      <w:r w:rsidR="009607E0" w:rsidRPr="000B1273">
        <w:rPr>
          <w:rFonts w:ascii="Times New Roman" w:hAnsi="Times New Roman"/>
          <w:bCs/>
          <w:sz w:val="22"/>
          <w:lang w:val="es-ES_tradnl"/>
        </w:rPr>
        <w:t>Haw</w:t>
      </w:r>
      <w:r w:rsidR="009607E0">
        <w:rPr>
          <w:rFonts w:ascii="Times New Roman" w:hAnsi="Times New Roman"/>
          <w:bCs/>
          <w:sz w:val="22"/>
          <w:lang w:val="es-ES_tradnl"/>
        </w:rPr>
        <w:t>á</w:t>
      </w:r>
      <w:r w:rsidR="009607E0" w:rsidRPr="000B1273">
        <w:rPr>
          <w:rFonts w:ascii="Times New Roman" w:hAnsi="Times New Roman"/>
          <w:bCs/>
          <w:sz w:val="22"/>
          <w:lang w:val="es-ES_tradnl"/>
        </w:rPr>
        <w:t>i</w:t>
      </w:r>
      <w:r w:rsidR="000B1273" w:rsidRPr="000B1273">
        <w:rPr>
          <w:rFonts w:ascii="Times New Roman" w:hAnsi="Times New Roman"/>
          <w:bCs/>
          <w:sz w:val="22"/>
          <w:lang w:val="es-ES_tradnl"/>
        </w:rPr>
        <w:t xml:space="preserve">. </w:t>
      </w:r>
      <w:r w:rsidR="00F539FC">
        <w:rPr>
          <w:rFonts w:ascii="Times New Roman" w:hAnsi="Times New Roman"/>
          <w:bCs/>
          <w:sz w:val="22"/>
          <w:lang w:val="es-ES_tradnl"/>
        </w:rPr>
        <w:t xml:space="preserve"> </w:t>
      </w:r>
      <w:r w:rsidR="000B1273" w:rsidRPr="000B1273">
        <w:rPr>
          <w:rFonts w:ascii="Times New Roman" w:hAnsi="Times New Roman"/>
          <w:bCs/>
          <w:sz w:val="22"/>
          <w:lang w:val="es-ES_tradnl"/>
        </w:rPr>
        <w:t xml:space="preserve">El tsunami ocurrido en el Océano Índico en 2004 fue uno de los más letales de la historia, </w:t>
      </w:r>
      <w:r w:rsidR="00F539FC">
        <w:rPr>
          <w:rFonts w:ascii="Times New Roman" w:hAnsi="Times New Roman"/>
          <w:bCs/>
          <w:sz w:val="22"/>
          <w:lang w:val="es-ES_tradnl"/>
        </w:rPr>
        <w:t xml:space="preserve">ocasionando </w:t>
      </w:r>
      <w:r w:rsidR="000B1273" w:rsidRPr="000B1273">
        <w:rPr>
          <w:rFonts w:ascii="Times New Roman" w:hAnsi="Times New Roman"/>
          <w:bCs/>
          <w:sz w:val="22"/>
          <w:lang w:val="es-ES_tradnl"/>
        </w:rPr>
        <w:t xml:space="preserve">uno de los desastres más </w:t>
      </w:r>
      <w:r w:rsidR="00F539FC">
        <w:rPr>
          <w:rFonts w:ascii="Times New Roman" w:hAnsi="Times New Roman"/>
          <w:bCs/>
          <w:sz w:val="22"/>
          <w:lang w:val="es-ES_tradnl"/>
        </w:rPr>
        <w:t>devastadores en pérdidas humanas</w:t>
      </w:r>
      <w:r w:rsidR="000B1273" w:rsidRPr="000B1273">
        <w:rPr>
          <w:rFonts w:ascii="Times New Roman" w:hAnsi="Times New Roman"/>
          <w:bCs/>
          <w:sz w:val="22"/>
          <w:lang w:val="es-ES_tradnl"/>
        </w:rPr>
        <w:t>: 230.000 personas fallecidas. Por desgracia, la región no disponía de un sistema de alerta temprana</w:t>
      </w:r>
      <w:r w:rsidR="000B1273">
        <w:rPr>
          <w:rStyle w:val="FootnoteReference"/>
          <w:rFonts w:ascii="Times New Roman" w:hAnsi="Times New Roman"/>
          <w:bCs/>
          <w:sz w:val="22"/>
          <w:lang w:val="es-ES_tradnl"/>
        </w:rPr>
        <w:footnoteReference w:id="31"/>
      </w:r>
      <w:r w:rsidR="000B1273" w:rsidRPr="000B1273">
        <w:rPr>
          <w:rFonts w:ascii="Times New Roman" w:hAnsi="Times New Roman"/>
          <w:bCs/>
          <w:sz w:val="22"/>
          <w:lang w:val="es-ES_tradnl"/>
        </w:rPr>
        <w:t>.</w:t>
      </w:r>
      <w:r w:rsidR="00F539FC">
        <w:rPr>
          <w:rFonts w:ascii="Times New Roman" w:hAnsi="Times New Roman"/>
          <w:bCs/>
          <w:sz w:val="22"/>
          <w:lang w:val="es-ES_tradnl"/>
        </w:rPr>
        <w:t xml:space="preserve"> Otro estudio</w:t>
      </w:r>
      <w:r w:rsidR="00FA0081">
        <w:rPr>
          <w:rStyle w:val="FootnoteReference"/>
          <w:rFonts w:ascii="Times New Roman" w:hAnsi="Times New Roman"/>
          <w:bCs/>
          <w:sz w:val="22"/>
          <w:lang w:val="es-ES_tradnl"/>
        </w:rPr>
        <w:footnoteReference w:id="32"/>
      </w:r>
      <w:r w:rsidR="00FA0081">
        <w:rPr>
          <w:rFonts w:ascii="Times New Roman" w:hAnsi="Times New Roman"/>
          <w:bCs/>
          <w:sz w:val="22"/>
          <w:lang w:val="es-ES_tradnl"/>
        </w:rPr>
        <w:t xml:space="preserve"> difiere levemente en la cifra de muertos (210.000) pero incorpora una estimación de daños eco</w:t>
      </w:r>
      <w:r w:rsidR="00233C88">
        <w:rPr>
          <w:rFonts w:ascii="Times New Roman" w:hAnsi="Times New Roman"/>
          <w:bCs/>
          <w:sz w:val="22"/>
          <w:lang w:val="es-ES_tradnl"/>
        </w:rPr>
        <w:t xml:space="preserve">nómicos en infraestructura y bienes del orden de US$ 10.000 </w:t>
      </w:r>
      <w:r w:rsidR="009607E0">
        <w:rPr>
          <w:rFonts w:ascii="Times New Roman" w:hAnsi="Times New Roman"/>
          <w:bCs/>
          <w:sz w:val="22"/>
          <w:lang w:val="es-ES_tradnl"/>
        </w:rPr>
        <w:t>millones</w:t>
      </w:r>
      <w:r w:rsidR="00F539FC">
        <w:rPr>
          <w:rFonts w:ascii="Times New Roman" w:hAnsi="Times New Roman"/>
          <w:bCs/>
          <w:sz w:val="22"/>
          <w:lang w:val="es-ES_tradnl"/>
        </w:rPr>
        <w:t>.</w:t>
      </w:r>
    </w:p>
    <w:p w:rsidR="00814D61" w:rsidRPr="00ED6C08" w:rsidRDefault="00814D61" w:rsidP="00C95815">
      <w:pPr>
        <w:pStyle w:val="ListParagraph"/>
        <w:numPr>
          <w:ilvl w:val="1"/>
          <w:numId w:val="12"/>
        </w:numPr>
        <w:jc w:val="both"/>
        <w:rPr>
          <w:rFonts w:ascii="Times New Roman" w:hAnsi="Times New Roman"/>
          <w:bCs/>
          <w:sz w:val="22"/>
          <w:lang w:val="es-ES_tradnl"/>
        </w:rPr>
      </w:pPr>
      <w:r w:rsidRPr="00ED6C08">
        <w:rPr>
          <w:rFonts w:ascii="Times New Roman" w:hAnsi="Times New Roman"/>
          <w:bCs/>
          <w:sz w:val="22"/>
          <w:lang w:val="es-ES_tradnl"/>
        </w:rPr>
        <w:t xml:space="preserve">El tiempo que transcurre entre el evento desencadenante y la arribada a tierra del tsunami es una variable clave, puesto que influye en la efectividad </w:t>
      </w:r>
      <w:r w:rsidR="00ED6C08" w:rsidRPr="00ED6C08">
        <w:rPr>
          <w:rFonts w:ascii="Times New Roman" w:hAnsi="Times New Roman"/>
          <w:bCs/>
          <w:sz w:val="22"/>
          <w:lang w:val="es-ES_tradnl"/>
        </w:rPr>
        <w:t xml:space="preserve">que pueden  tener </w:t>
      </w:r>
      <w:r w:rsidRPr="00ED6C08">
        <w:rPr>
          <w:rFonts w:ascii="Times New Roman" w:hAnsi="Times New Roman"/>
          <w:bCs/>
          <w:sz w:val="22"/>
          <w:lang w:val="es-ES_tradnl"/>
        </w:rPr>
        <w:t xml:space="preserve">los sistemas de alerta temprana que avisan del tsunami </w:t>
      </w:r>
      <w:r w:rsidR="00F539FC">
        <w:rPr>
          <w:rFonts w:ascii="Times New Roman" w:hAnsi="Times New Roman"/>
          <w:bCs/>
          <w:sz w:val="22"/>
          <w:lang w:val="es-ES_tradnl"/>
        </w:rPr>
        <w:t xml:space="preserve"> (</w:t>
      </w:r>
      <w:r w:rsidRPr="00ED6C08">
        <w:rPr>
          <w:rFonts w:ascii="Times New Roman" w:hAnsi="Times New Roman"/>
          <w:bCs/>
          <w:sz w:val="22"/>
          <w:lang w:val="es-ES_tradnl"/>
        </w:rPr>
        <w:t>la posibilidad de llevar a cabo una evacuación</w:t>
      </w:r>
      <w:r w:rsidR="00F539FC">
        <w:rPr>
          <w:rFonts w:ascii="Times New Roman" w:hAnsi="Times New Roman"/>
          <w:bCs/>
          <w:sz w:val="22"/>
          <w:lang w:val="es-ES_tradnl"/>
        </w:rPr>
        <w:t xml:space="preserve"> efectiva)</w:t>
      </w:r>
      <w:r w:rsidRPr="00ED6C08">
        <w:rPr>
          <w:rFonts w:ascii="Times New Roman" w:hAnsi="Times New Roman"/>
          <w:bCs/>
          <w:sz w:val="22"/>
          <w:lang w:val="es-ES_tradnl"/>
        </w:rPr>
        <w:t xml:space="preserve">. Chile, India, Indonesia, Myanmar, Perú, las </w:t>
      </w:r>
      <w:r w:rsidR="009607E0">
        <w:rPr>
          <w:rFonts w:ascii="Times New Roman" w:hAnsi="Times New Roman"/>
          <w:bCs/>
          <w:sz w:val="22"/>
          <w:lang w:val="es-ES_tradnl"/>
        </w:rPr>
        <w:t>I</w:t>
      </w:r>
      <w:r w:rsidR="009607E0" w:rsidRPr="00ED6C08">
        <w:rPr>
          <w:rFonts w:ascii="Times New Roman" w:hAnsi="Times New Roman"/>
          <w:bCs/>
          <w:sz w:val="22"/>
          <w:lang w:val="es-ES_tradnl"/>
        </w:rPr>
        <w:t xml:space="preserve">slas </w:t>
      </w:r>
      <w:r w:rsidRPr="00ED6C08">
        <w:rPr>
          <w:rFonts w:ascii="Times New Roman" w:hAnsi="Times New Roman"/>
          <w:bCs/>
          <w:sz w:val="22"/>
          <w:lang w:val="es-ES_tradnl"/>
        </w:rPr>
        <w:t>Salomón, Portugal, Tonga, Pakistán, Papúa Nueva Guinea y Filipinas son países que muestran niveles particularmente altos de amenaza, en vista de que los tsunamis podrían azotar la costa en menos de 15 minutos con olas de más de 6 metros de altura</w:t>
      </w:r>
      <w:r w:rsidR="00ED6C08">
        <w:rPr>
          <w:rStyle w:val="FootnoteReference"/>
          <w:rFonts w:ascii="Times New Roman" w:hAnsi="Times New Roman"/>
          <w:bCs/>
          <w:sz w:val="22"/>
          <w:lang w:val="es-ES_tradnl"/>
        </w:rPr>
        <w:footnoteReference w:id="33"/>
      </w:r>
      <w:r w:rsidRPr="00ED6C08">
        <w:rPr>
          <w:rFonts w:ascii="Times New Roman" w:hAnsi="Times New Roman"/>
          <w:bCs/>
          <w:sz w:val="22"/>
          <w:lang w:val="es-ES_tradnl"/>
        </w:rPr>
        <w:t>.</w:t>
      </w:r>
    </w:p>
    <w:p w:rsidR="000B1273" w:rsidRDefault="007214BE" w:rsidP="00C95815">
      <w:pPr>
        <w:pStyle w:val="ListParagraph"/>
        <w:numPr>
          <w:ilvl w:val="1"/>
          <w:numId w:val="12"/>
        </w:numPr>
        <w:jc w:val="both"/>
        <w:rPr>
          <w:rFonts w:ascii="Times New Roman" w:hAnsi="Times New Roman"/>
          <w:bCs/>
          <w:sz w:val="22"/>
          <w:lang w:val="es-ES_tradnl"/>
        </w:rPr>
      </w:pPr>
      <w:r w:rsidRPr="007214BE">
        <w:rPr>
          <w:rFonts w:ascii="Times New Roman" w:hAnsi="Times New Roman"/>
          <w:bCs/>
          <w:sz w:val="22"/>
          <w:lang w:val="es-ES_tradnl"/>
        </w:rPr>
        <w:t xml:space="preserve">Un antecedente de gestión de riesgo ante tsunami ha sido la ejecución del proyecto: Preparación ante Desastre Sísmico y/o Tsunami y Recuperación Temprana en Lima y Callao, financiado por ECHO y ejecutado por INDECI en asociación con el Gobierno Regional de El Callao, la Municipalidad Metropolitana de Lima, Municipalidad Provincial del Callao, Municipalidades Distritales de Rímac y Villa  María del Triunfo. Se simularon consecuencias ante un sismo Mb 8 frente a </w:t>
      </w:r>
      <w:r w:rsidR="00ED6C08">
        <w:rPr>
          <w:rFonts w:ascii="Times New Roman" w:hAnsi="Times New Roman"/>
          <w:bCs/>
          <w:sz w:val="22"/>
          <w:lang w:val="es-ES_tradnl"/>
        </w:rPr>
        <w:t xml:space="preserve">El </w:t>
      </w:r>
      <w:r w:rsidRPr="007214BE">
        <w:rPr>
          <w:rFonts w:ascii="Times New Roman" w:hAnsi="Times New Roman"/>
          <w:bCs/>
          <w:sz w:val="22"/>
          <w:lang w:val="es-ES_tradnl"/>
        </w:rPr>
        <w:t>Callao</w:t>
      </w:r>
      <w:r w:rsidR="00ED6C08">
        <w:rPr>
          <w:rFonts w:ascii="Times New Roman" w:hAnsi="Times New Roman"/>
          <w:bCs/>
          <w:sz w:val="22"/>
          <w:lang w:val="es-ES_tradnl"/>
        </w:rPr>
        <w:t xml:space="preserve"> que arrojó los siguientes efectos;</w:t>
      </w:r>
      <w:r w:rsidRPr="007214BE">
        <w:rPr>
          <w:rFonts w:ascii="Times New Roman" w:hAnsi="Times New Roman"/>
          <w:bCs/>
          <w:sz w:val="22"/>
          <w:lang w:val="es-ES_tradnl"/>
        </w:rPr>
        <w:t xml:space="preserve"> </w:t>
      </w:r>
      <w:r w:rsidR="00B973F5">
        <w:rPr>
          <w:rFonts w:ascii="Times New Roman" w:hAnsi="Times New Roman"/>
          <w:bCs/>
          <w:sz w:val="22"/>
          <w:lang w:val="es-ES_tradnl"/>
        </w:rPr>
        <w:t>50</w:t>
      </w:r>
      <w:r w:rsidR="00F539FC">
        <w:rPr>
          <w:rFonts w:ascii="Times New Roman" w:hAnsi="Times New Roman"/>
          <w:bCs/>
          <w:sz w:val="22"/>
          <w:lang w:val="es-ES_tradnl"/>
        </w:rPr>
        <w:t>.</w:t>
      </w:r>
      <w:r w:rsidR="00B973F5">
        <w:rPr>
          <w:rFonts w:ascii="Times New Roman" w:hAnsi="Times New Roman"/>
          <w:bCs/>
          <w:sz w:val="22"/>
          <w:lang w:val="es-ES_tradnl"/>
        </w:rPr>
        <w:t xml:space="preserve">000 personas fallecidas, </w:t>
      </w:r>
      <w:r w:rsidRPr="007214BE">
        <w:rPr>
          <w:rFonts w:ascii="Times New Roman" w:hAnsi="Times New Roman"/>
          <w:bCs/>
          <w:sz w:val="22"/>
          <w:lang w:val="es-ES_tradnl"/>
        </w:rPr>
        <w:t>680</w:t>
      </w:r>
      <w:r w:rsidR="00F539FC">
        <w:rPr>
          <w:rFonts w:ascii="Times New Roman" w:hAnsi="Times New Roman"/>
          <w:bCs/>
          <w:sz w:val="22"/>
          <w:lang w:val="es-ES_tradnl"/>
        </w:rPr>
        <w:t>.</w:t>
      </w:r>
      <w:r w:rsidRPr="007214BE">
        <w:rPr>
          <w:rFonts w:ascii="Times New Roman" w:hAnsi="Times New Roman"/>
          <w:bCs/>
          <w:sz w:val="22"/>
          <w:lang w:val="es-ES_tradnl"/>
        </w:rPr>
        <w:t>000 heridos</w:t>
      </w:r>
      <w:r w:rsidR="001F3A05">
        <w:rPr>
          <w:rFonts w:ascii="Times New Roman" w:hAnsi="Times New Roman"/>
          <w:bCs/>
          <w:sz w:val="22"/>
          <w:lang w:val="es-ES_tradnl"/>
        </w:rPr>
        <w:t>,</w:t>
      </w:r>
      <w:r w:rsidRPr="007214BE">
        <w:rPr>
          <w:rFonts w:ascii="Times New Roman" w:hAnsi="Times New Roman"/>
          <w:bCs/>
          <w:sz w:val="22"/>
          <w:lang w:val="es-ES_tradnl"/>
        </w:rPr>
        <w:t xml:space="preserve"> 200</w:t>
      </w:r>
      <w:r w:rsidR="00F539FC">
        <w:rPr>
          <w:rFonts w:ascii="Times New Roman" w:hAnsi="Times New Roman"/>
          <w:bCs/>
          <w:sz w:val="22"/>
          <w:lang w:val="es-ES_tradnl"/>
        </w:rPr>
        <w:t>.</w:t>
      </w:r>
      <w:r w:rsidRPr="007214BE">
        <w:rPr>
          <w:rFonts w:ascii="Times New Roman" w:hAnsi="Times New Roman"/>
          <w:bCs/>
          <w:sz w:val="22"/>
          <w:lang w:val="es-ES_tradnl"/>
        </w:rPr>
        <w:t xml:space="preserve">350 viviendas colapsadas. </w:t>
      </w:r>
      <w:r>
        <w:rPr>
          <w:rFonts w:ascii="Times New Roman" w:hAnsi="Times New Roman"/>
          <w:bCs/>
          <w:sz w:val="22"/>
          <w:lang w:val="es-ES_tradnl"/>
        </w:rPr>
        <w:t>y</w:t>
      </w:r>
      <w:r w:rsidRPr="007214BE">
        <w:rPr>
          <w:rFonts w:ascii="Times New Roman" w:hAnsi="Times New Roman"/>
          <w:bCs/>
          <w:sz w:val="22"/>
          <w:lang w:val="es-ES_tradnl"/>
        </w:rPr>
        <w:t xml:space="preserve"> 348</w:t>
      </w:r>
      <w:r w:rsidR="00F539FC">
        <w:rPr>
          <w:rFonts w:ascii="Times New Roman" w:hAnsi="Times New Roman"/>
          <w:bCs/>
          <w:sz w:val="22"/>
          <w:lang w:val="es-ES_tradnl"/>
        </w:rPr>
        <w:t>.</w:t>
      </w:r>
      <w:r w:rsidRPr="007214BE">
        <w:rPr>
          <w:rFonts w:ascii="Times New Roman" w:hAnsi="Times New Roman"/>
          <w:bCs/>
          <w:sz w:val="22"/>
          <w:lang w:val="es-ES_tradnl"/>
        </w:rPr>
        <w:t xml:space="preserve">350 viviendas </w:t>
      </w:r>
      <w:r w:rsidR="00F539FC">
        <w:rPr>
          <w:rFonts w:ascii="Times New Roman" w:hAnsi="Times New Roman"/>
          <w:bCs/>
          <w:sz w:val="22"/>
          <w:lang w:val="es-ES_tradnl"/>
        </w:rPr>
        <w:t>i</w:t>
      </w:r>
      <w:r w:rsidRPr="007214BE">
        <w:rPr>
          <w:rFonts w:ascii="Times New Roman" w:hAnsi="Times New Roman"/>
          <w:bCs/>
          <w:sz w:val="22"/>
          <w:lang w:val="es-ES_tradnl"/>
        </w:rPr>
        <w:t>nhabitables</w:t>
      </w:r>
      <w:r w:rsidR="00B973F5">
        <w:rPr>
          <w:rStyle w:val="FootnoteReference"/>
          <w:rFonts w:ascii="Times New Roman" w:hAnsi="Times New Roman"/>
          <w:bCs/>
          <w:sz w:val="22"/>
          <w:lang w:val="es-ES_tradnl"/>
        </w:rPr>
        <w:footnoteReference w:id="34"/>
      </w:r>
      <w:r w:rsidRPr="007214BE">
        <w:rPr>
          <w:rFonts w:ascii="Times New Roman" w:hAnsi="Times New Roman"/>
          <w:bCs/>
          <w:sz w:val="22"/>
          <w:lang w:val="es-ES_tradnl"/>
        </w:rPr>
        <w:t>.</w:t>
      </w:r>
    </w:p>
    <w:p w:rsidR="00ED6C08" w:rsidRPr="00ED6C08" w:rsidRDefault="00ED6C08" w:rsidP="00ED6C08">
      <w:pPr>
        <w:pStyle w:val="ListParagraph"/>
        <w:rPr>
          <w:rFonts w:ascii="Times New Roman" w:hAnsi="Times New Roman"/>
          <w:bCs/>
          <w:sz w:val="22"/>
          <w:lang w:val="es-ES_tradnl"/>
        </w:rPr>
      </w:pPr>
    </w:p>
    <w:p w:rsidR="00ED6C08" w:rsidRPr="004D618E" w:rsidRDefault="00ED6C08" w:rsidP="00F539FC">
      <w:pPr>
        <w:pStyle w:val="ListParagraph"/>
        <w:numPr>
          <w:ilvl w:val="1"/>
          <w:numId w:val="12"/>
        </w:numPr>
        <w:jc w:val="both"/>
        <w:rPr>
          <w:rFonts w:ascii="Times New Roman" w:hAnsi="Times New Roman"/>
          <w:bCs/>
          <w:sz w:val="22"/>
          <w:lang w:val="es-ES_tradnl"/>
        </w:rPr>
      </w:pPr>
      <w:r w:rsidRPr="004D618E">
        <w:rPr>
          <w:rFonts w:ascii="Times New Roman" w:hAnsi="Times New Roman"/>
          <w:bCs/>
          <w:sz w:val="22"/>
          <w:lang w:val="es-ES_tradnl"/>
        </w:rPr>
        <w:t>La población de la Costa de Ecuador bajo amenaza se resume en el siguiente cuadro.</w:t>
      </w:r>
      <w:r w:rsidR="004D618E" w:rsidRPr="004D618E">
        <w:rPr>
          <w:rFonts w:ascii="Times New Roman" w:hAnsi="Times New Roman"/>
          <w:bCs/>
          <w:sz w:val="22"/>
          <w:lang w:val="es-ES_tradnl"/>
        </w:rPr>
        <w:t xml:space="preserve"> Se observa que de una población total de 7,3 millones de habitantes, el grupo </w:t>
      </w:r>
      <w:r w:rsidR="00F539FC">
        <w:rPr>
          <w:rFonts w:ascii="Times New Roman" w:hAnsi="Times New Roman"/>
          <w:bCs/>
          <w:sz w:val="22"/>
          <w:lang w:val="es-ES_tradnl"/>
        </w:rPr>
        <w:t>expuesto al desastre</w:t>
      </w:r>
      <w:r w:rsidR="004D618E" w:rsidRPr="004D618E">
        <w:rPr>
          <w:rFonts w:ascii="Times New Roman" w:hAnsi="Times New Roman"/>
          <w:bCs/>
          <w:sz w:val="22"/>
          <w:lang w:val="es-ES_tradnl"/>
        </w:rPr>
        <w:t xml:space="preserve"> representa 14.</w:t>
      </w:r>
      <w:r w:rsidR="00410A87">
        <w:rPr>
          <w:rFonts w:ascii="Times New Roman" w:hAnsi="Times New Roman"/>
          <w:bCs/>
          <w:sz w:val="22"/>
          <w:lang w:val="es-ES_tradnl"/>
        </w:rPr>
        <w:t>1</w:t>
      </w:r>
      <w:r w:rsidR="004D618E" w:rsidRPr="004D618E">
        <w:rPr>
          <w:rFonts w:ascii="Times New Roman" w:hAnsi="Times New Roman"/>
          <w:bCs/>
          <w:sz w:val="22"/>
          <w:lang w:val="es-ES_tradnl"/>
        </w:rPr>
        <w:t xml:space="preserve">%. </w:t>
      </w:r>
    </w:p>
    <w:p w:rsidR="005B041D" w:rsidRDefault="005B041D" w:rsidP="00ED6C08">
      <w:pPr>
        <w:pStyle w:val="ListParagraph"/>
        <w:ind w:left="432"/>
        <w:jc w:val="center"/>
        <w:rPr>
          <w:rFonts w:ascii="Times New Roman" w:hAnsi="Times New Roman"/>
          <w:b/>
          <w:lang w:val="es-AR"/>
        </w:rPr>
      </w:pPr>
    </w:p>
    <w:p w:rsidR="00ED6C08" w:rsidRDefault="00ED6C08" w:rsidP="00ED6C08">
      <w:pPr>
        <w:pStyle w:val="ListParagraph"/>
        <w:ind w:left="432"/>
        <w:jc w:val="center"/>
        <w:rPr>
          <w:rFonts w:ascii="Times New Roman" w:hAnsi="Times New Roman"/>
          <w:lang w:val="es-AR"/>
        </w:rPr>
      </w:pPr>
      <w:r w:rsidRPr="008C1ABC">
        <w:rPr>
          <w:rFonts w:ascii="Times New Roman" w:hAnsi="Times New Roman"/>
          <w:b/>
          <w:lang w:val="es-AR"/>
        </w:rPr>
        <w:t xml:space="preserve">Tabla </w:t>
      </w:r>
      <w:r w:rsidR="00081A23" w:rsidRPr="008C1ABC">
        <w:rPr>
          <w:rFonts w:ascii="Times New Roman" w:hAnsi="Times New Roman"/>
          <w:b/>
        </w:rPr>
        <w:fldChar w:fldCharType="begin"/>
      </w:r>
      <w:r w:rsidRPr="008C1ABC">
        <w:rPr>
          <w:rFonts w:ascii="Times New Roman" w:hAnsi="Times New Roman"/>
          <w:b/>
          <w:lang w:val="es-AR"/>
        </w:rPr>
        <w:instrText xml:space="preserve"> SEQ Tabla \* ARABIC </w:instrText>
      </w:r>
      <w:r w:rsidR="00081A23" w:rsidRPr="008C1ABC">
        <w:rPr>
          <w:rFonts w:ascii="Times New Roman" w:hAnsi="Times New Roman"/>
          <w:b/>
        </w:rPr>
        <w:fldChar w:fldCharType="separate"/>
      </w:r>
      <w:r w:rsidR="000C2E55">
        <w:rPr>
          <w:rFonts w:ascii="Times New Roman" w:hAnsi="Times New Roman"/>
          <w:b/>
          <w:noProof/>
          <w:lang w:val="es-AR"/>
        </w:rPr>
        <w:t>5</w:t>
      </w:r>
      <w:r w:rsidR="00081A23" w:rsidRPr="008C1ABC">
        <w:rPr>
          <w:rFonts w:ascii="Times New Roman" w:hAnsi="Times New Roman"/>
          <w:b/>
        </w:rPr>
        <w:fldChar w:fldCharType="end"/>
      </w:r>
      <w:r>
        <w:rPr>
          <w:rFonts w:ascii="Times New Roman" w:hAnsi="Times New Roman"/>
          <w:lang w:val="es-AR"/>
        </w:rPr>
        <w:t xml:space="preserve">. </w:t>
      </w:r>
      <w:r w:rsidR="00673163">
        <w:rPr>
          <w:rFonts w:ascii="Times New Roman" w:hAnsi="Times New Roman"/>
          <w:lang w:val="es-AR"/>
        </w:rPr>
        <w:t>Población</w:t>
      </w:r>
      <w:r>
        <w:rPr>
          <w:rFonts w:ascii="Times New Roman" w:hAnsi="Times New Roman"/>
          <w:lang w:val="es-AR"/>
        </w:rPr>
        <w:t xml:space="preserve"> total y bajo amenaza de las Provincias de la Costa.</w:t>
      </w:r>
    </w:p>
    <w:p w:rsidR="005B041D" w:rsidRPr="008C1ABC" w:rsidRDefault="005B041D" w:rsidP="00ED6C08">
      <w:pPr>
        <w:pStyle w:val="ListParagraph"/>
        <w:ind w:left="432"/>
        <w:jc w:val="center"/>
        <w:rPr>
          <w:rFonts w:ascii="Times New Roman" w:hAnsi="Times New Roman"/>
          <w:lang w:val="es-AR"/>
        </w:rPr>
      </w:pPr>
    </w:p>
    <w:tbl>
      <w:tblPr>
        <w:tblW w:w="4880" w:type="dxa"/>
        <w:jc w:val="center"/>
        <w:tblInd w:w="65" w:type="dxa"/>
        <w:tblCellMar>
          <w:left w:w="70" w:type="dxa"/>
          <w:right w:w="70" w:type="dxa"/>
        </w:tblCellMar>
        <w:tblLook w:val="04A0" w:firstRow="1" w:lastRow="0" w:firstColumn="1" w:lastColumn="0" w:noHBand="0" w:noVBand="1"/>
      </w:tblPr>
      <w:tblGrid>
        <w:gridCol w:w="1980"/>
        <w:gridCol w:w="1500"/>
        <w:gridCol w:w="1400"/>
      </w:tblGrid>
      <w:tr w:rsidR="00ED6C08" w:rsidRPr="00ED6C08" w:rsidTr="00ED6C08">
        <w:trPr>
          <w:trHeight w:val="465"/>
          <w:jc w:val="center"/>
        </w:trPr>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6C08" w:rsidRPr="00ED6C08" w:rsidRDefault="00ED6C08" w:rsidP="00ED6C08">
            <w:pPr>
              <w:rPr>
                <w:rFonts w:ascii="Times New Roman" w:hAnsi="Times New Roman"/>
                <w:color w:val="000000"/>
                <w:lang w:val="es-AR" w:eastAsia="es-AR"/>
              </w:rPr>
            </w:pPr>
            <w:r w:rsidRPr="00ED6C08">
              <w:rPr>
                <w:rFonts w:ascii="Times New Roman" w:hAnsi="Times New Roman"/>
                <w:color w:val="000000"/>
                <w:lang w:val="es-AR" w:eastAsia="es-AR"/>
              </w:rPr>
              <w:lastRenderedPageBreak/>
              <w:t>Provincia</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ED6C08" w:rsidRPr="00ED6C08" w:rsidRDefault="00ED6C08" w:rsidP="00ED6C08">
            <w:pPr>
              <w:jc w:val="center"/>
              <w:rPr>
                <w:rFonts w:ascii="Times New Roman" w:hAnsi="Times New Roman"/>
                <w:color w:val="000000"/>
                <w:lang w:val="es-AR" w:eastAsia="es-AR"/>
              </w:rPr>
            </w:pPr>
            <w:r w:rsidRPr="00ED6C08">
              <w:rPr>
                <w:rFonts w:ascii="Times New Roman" w:hAnsi="Times New Roman"/>
                <w:color w:val="000000"/>
                <w:lang w:val="es-AR" w:eastAsia="es-AR"/>
              </w:rPr>
              <w:t>Habitantes Totales</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ED6C08" w:rsidRPr="00ED6C08" w:rsidRDefault="00ED6C08" w:rsidP="009607E0">
            <w:pPr>
              <w:jc w:val="center"/>
              <w:rPr>
                <w:rFonts w:ascii="Times New Roman" w:hAnsi="Times New Roman"/>
                <w:color w:val="000000"/>
                <w:lang w:val="es-AR" w:eastAsia="es-AR"/>
              </w:rPr>
            </w:pPr>
            <w:r w:rsidRPr="00ED6C08">
              <w:rPr>
                <w:rFonts w:ascii="Times New Roman" w:hAnsi="Times New Roman"/>
                <w:color w:val="000000"/>
                <w:lang w:val="es-AR" w:eastAsia="es-AR"/>
              </w:rPr>
              <w:t xml:space="preserve">Población </w:t>
            </w:r>
            <w:r w:rsidR="009607E0">
              <w:rPr>
                <w:rFonts w:ascii="Times New Roman" w:hAnsi="Times New Roman"/>
                <w:color w:val="000000"/>
                <w:lang w:val="es-AR" w:eastAsia="es-AR"/>
              </w:rPr>
              <w:t>e</w:t>
            </w:r>
            <w:r w:rsidR="009607E0" w:rsidRPr="00ED6C08">
              <w:rPr>
                <w:rFonts w:ascii="Times New Roman" w:hAnsi="Times New Roman"/>
                <w:color w:val="000000"/>
                <w:lang w:val="es-AR" w:eastAsia="es-AR"/>
              </w:rPr>
              <w:t xml:space="preserve">n </w:t>
            </w:r>
            <w:r w:rsidRPr="00ED6C08">
              <w:rPr>
                <w:rFonts w:ascii="Times New Roman" w:hAnsi="Times New Roman"/>
                <w:color w:val="000000"/>
                <w:lang w:val="es-AR" w:eastAsia="es-AR"/>
              </w:rPr>
              <w:t>riesgo</w:t>
            </w:r>
          </w:p>
        </w:tc>
      </w:tr>
      <w:tr w:rsidR="00410A87" w:rsidRPr="00ED6C08" w:rsidTr="00410A87">
        <w:trPr>
          <w:trHeight w:val="300"/>
          <w:jc w:val="center"/>
        </w:trPr>
        <w:tc>
          <w:tcPr>
            <w:tcW w:w="1980" w:type="dxa"/>
            <w:tcBorders>
              <w:top w:val="nil"/>
              <w:left w:val="nil"/>
              <w:bottom w:val="nil"/>
              <w:right w:val="nil"/>
            </w:tcBorders>
            <w:shd w:val="clear" w:color="000000" w:fill="FFFFFF"/>
            <w:noWrap/>
            <w:vAlign w:val="bottom"/>
            <w:hideMark/>
          </w:tcPr>
          <w:p w:rsidR="00410A87" w:rsidRPr="00ED6C08" w:rsidRDefault="00410A87" w:rsidP="00ED6C08">
            <w:pPr>
              <w:rPr>
                <w:rFonts w:ascii="Times New Roman" w:hAnsi="Times New Roman"/>
                <w:color w:val="000000"/>
                <w:lang w:val="es-AR" w:eastAsia="es-AR"/>
              </w:rPr>
            </w:pPr>
            <w:r w:rsidRPr="00ED6C08">
              <w:rPr>
                <w:rFonts w:ascii="Times New Roman" w:hAnsi="Times New Roman"/>
                <w:color w:val="000000"/>
                <w:lang w:val="es-AR" w:eastAsia="es-AR"/>
              </w:rPr>
              <w:t>EL ORO</w:t>
            </w:r>
          </w:p>
        </w:tc>
        <w:tc>
          <w:tcPr>
            <w:tcW w:w="1500" w:type="dxa"/>
            <w:tcBorders>
              <w:top w:val="nil"/>
              <w:left w:val="nil"/>
              <w:bottom w:val="nil"/>
              <w:right w:val="nil"/>
            </w:tcBorders>
            <w:shd w:val="clear" w:color="000000" w:fill="FFFFFF"/>
            <w:noWrap/>
            <w:vAlign w:val="bottom"/>
            <w:hideMark/>
          </w:tcPr>
          <w:p w:rsidR="00410A87" w:rsidRPr="00ED6C08" w:rsidRDefault="00410A87" w:rsidP="00ED6C08">
            <w:pPr>
              <w:jc w:val="right"/>
              <w:rPr>
                <w:rFonts w:ascii="Times New Roman" w:hAnsi="Times New Roman"/>
                <w:color w:val="000000"/>
                <w:lang w:val="es-AR" w:eastAsia="es-AR"/>
              </w:rPr>
            </w:pPr>
            <w:r w:rsidRPr="00ED6C08">
              <w:rPr>
                <w:rFonts w:ascii="Times New Roman" w:hAnsi="Times New Roman"/>
                <w:color w:val="000000"/>
                <w:lang w:val="es-AR" w:eastAsia="es-AR"/>
              </w:rPr>
              <w:t>680.845</w:t>
            </w:r>
          </w:p>
        </w:tc>
        <w:tc>
          <w:tcPr>
            <w:tcW w:w="1400" w:type="dxa"/>
            <w:tcBorders>
              <w:top w:val="nil"/>
              <w:left w:val="nil"/>
              <w:bottom w:val="nil"/>
              <w:right w:val="nil"/>
            </w:tcBorders>
            <w:shd w:val="clear" w:color="000000" w:fill="FFFFFF"/>
            <w:noWrap/>
            <w:vAlign w:val="center"/>
            <w:hideMark/>
          </w:tcPr>
          <w:p w:rsidR="00410A87" w:rsidRPr="00410A87" w:rsidRDefault="00410A87" w:rsidP="00410A87">
            <w:pPr>
              <w:jc w:val="right"/>
              <w:rPr>
                <w:rFonts w:ascii="Times New Roman" w:hAnsi="Times New Roman"/>
                <w:color w:val="000000"/>
                <w:lang w:val="es-AR" w:eastAsia="es-AR"/>
              </w:rPr>
            </w:pPr>
            <w:r w:rsidRPr="00410A87">
              <w:rPr>
                <w:rFonts w:ascii="Times New Roman" w:hAnsi="Times New Roman"/>
                <w:color w:val="000000"/>
                <w:lang w:val="es-AR" w:eastAsia="es-AR"/>
              </w:rPr>
              <w:t>2.688</w:t>
            </w:r>
          </w:p>
        </w:tc>
      </w:tr>
      <w:tr w:rsidR="00410A87" w:rsidRPr="00ED6C08" w:rsidTr="00410A87">
        <w:trPr>
          <w:trHeight w:val="300"/>
          <w:jc w:val="center"/>
        </w:trPr>
        <w:tc>
          <w:tcPr>
            <w:tcW w:w="1980" w:type="dxa"/>
            <w:tcBorders>
              <w:top w:val="nil"/>
              <w:left w:val="nil"/>
              <w:bottom w:val="nil"/>
              <w:right w:val="nil"/>
            </w:tcBorders>
            <w:shd w:val="clear" w:color="000000" w:fill="FFFFFF"/>
            <w:noWrap/>
            <w:vAlign w:val="bottom"/>
            <w:hideMark/>
          </w:tcPr>
          <w:p w:rsidR="00410A87" w:rsidRPr="00ED6C08" w:rsidRDefault="00410A87" w:rsidP="00ED6C08">
            <w:pPr>
              <w:rPr>
                <w:rFonts w:ascii="Times New Roman" w:hAnsi="Times New Roman"/>
                <w:color w:val="000000"/>
                <w:lang w:val="es-AR" w:eastAsia="es-AR"/>
              </w:rPr>
            </w:pPr>
            <w:r w:rsidRPr="00ED6C08">
              <w:rPr>
                <w:rFonts w:ascii="Times New Roman" w:hAnsi="Times New Roman"/>
                <w:color w:val="000000"/>
                <w:lang w:val="es-AR" w:eastAsia="es-AR"/>
              </w:rPr>
              <w:t>ESMERALDAS</w:t>
            </w:r>
          </w:p>
        </w:tc>
        <w:tc>
          <w:tcPr>
            <w:tcW w:w="1500" w:type="dxa"/>
            <w:tcBorders>
              <w:top w:val="nil"/>
              <w:left w:val="nil"/>
              <w:bottom w:val="nil"/>
              <w:right w:val="nil"/>
            </w:tcBorders>
            <w:shd w:val="clear" w:color="000000" w:fill="FFFFFF"/>
            <w:noWrap/>
            <w:vAlign w:val="bottom"/>
            <w:hideMark/>
          </w:tcPr>
          <w:p w:rsidR="00410A87" w:rsidRPr="00ED6C08" w:rsidRDefault="00410A87" w:rsidP="00ED6C08">
            <w:pPr>
              <w:jc w:val="right"/>
              <w:rPr>
                <w:rFonts w:ascii="Times New Roman" w:hAnsi="Times New Roman"/>
                <w:color w:val="000000"/>
                <w:lang w:val="es-AR" w:eastAsia="es-AR"/>
              </w:rPr>
            </w:pPr>
            <w:r w:rsidRPr="00ED6C08">
              <w:rPr>
                <w:rFonts w:ascii="Times New Roman" w:hAnsi="Times New Roman"/>
                <w:color w:val="000000"/>
                <w:lang w:val="es-AR" w:eastAsia="es-AR"/>
              </w:rPr>
              <w:t>608.906</w:t>
            </w:r>
          </w:p>
        </w:tc>
        <w:tc>
          <w:tcPr>
            <w:tcW w:w="1400" w:type="dxa"/>
            <w:tcBorders>
              <w:top w:val="nil"/>
              <w:left w:val="nil"/>
              <w:bottom w:val="nil"/>
              <w:right w:val="nil"/>
            </w:tcBorders>
            <w:shd w:val="clear" w:color="000000" w:fill="FFFFFF"/>
            <w:noWrap/>
            <w:vAlign w:val="center"/>
            <w:hideMark/>
          </w:tcPr>
          <w:p w:rsidR="00410A87" w:rsidRPr="00410A87" w:rsidRDefault="00410A87" w:rsidP="00410A87">
            <w:pPr>
              <w:jc w:val="right"/>
              <w:rPr>
                <w:rFonts w:ascii="Times New Roman" w:hAnsi="Times New Roman"/>
                <w:color w:val="000000"/>
                <w:lang w:val="es-AR" w:eastAsia="es-AR"/>
              </w:rPr>
            </w:pPr>
            <w:r w:rsidRPr="00410A87">
              <w:rPr>
                <w:rFonts w:ascii="Times New Roman" w:hAnsi="Times New Roman"/>
                <w:color w:val="000000"/>
                <w:lang w:val="es-AR" w:eastAsia="es-AR"/>
              </w:rPr>
              <w:t>294.452</w:t>
            </w:r>
          </w:p>
        </w:tc>
      </w:tr>
      <w:tr w:rsidR="00410A87" w:rsidRPr="00ED6C08" w:rsidTr="00410A87">
        <w:trPr>
          <w:trHeight w:val="300"/>
          <w:jc w:val="center"/>
        </w:trPr>
        <w:tc>
          <w:tcPr>
            <w:tcW w:w="1980" w:type="dxa"/>
            <w:tcBorders>
              <w:top w:val="nil"/>
              <w:left w:val="nil"/>
              <w:bottom w:val="nil"/>
              <w:right w:val="nil"/>
            </w:tcBorders>
            <w:shd w:val="clear" w:color="000000" w:fill="FFFFFF"/>
            <w:noWrap/>
            <w:vAlign w:val="bottom"/>
            <w:hideMark/>
          </w:tcPr>
          <w:p w:rsidR="00410A87" w:rsidRPr="00ED6C08" w:rsidRDefault="00410A87" w:rsidP="00ED6C08">
            <w:pPr>
              <w:rPr>
                <w:rFonts w:ascii="Times New Roman" w:hAnsi="Times New Roman"/>
                <w:color w:val="000000"/>
                <w:lang w:val="es-AR" w:eastAsia="es-AR"/>
              </w:rPr>
            </w:pPr>
            <w:r w:rsidRPr="00ED6C08">
              <w:rPr>
                <w:rFonts w:ascii="Times New Roman" w:hAnsi="Times New Roman"/>
                <w:color w:val="000000"/>
                <w:lang w:val="es-AR" w:eastAsia="es-AR"/>
              </w:rPr>
              <w:t>GALAPAGOS</w:t>
            </w:r>
          </w:p>
        </w:tc>
        <w:tc>
          <w:tcPr>
            <w:tcW w:w="1500" w:type="dxa"/>
            <w:tcBorders>
              <w:top w:val="nil"/>
              <w:left w:val="nil"/>
              <w:bottom w:val="nil"/>
              <w:right w:val="nil"/>
            </w:tcBorders>
            <w:shd w:val="clear" w:color="000000" w:fill="FFFFFF"/>
            <w:noWrap/>
            <w:vAlign w:val="bottom"/>
            <w:hideMark/>
          </w:tcPr>
          <w:p w:rsidR="00410A87" w:rsidRPr="00ED6C08" w:rsidRDefault="00410A87" w:rsidP="00ED6C08">
            <w:pPr>
              <w:jc w:val="right"/>
              <w:rPr>
                <w:rFonts w:ascii="Times New Roman" w:hAnsi="Times New Roman"/>
                <w:color w:val="000000"/>
                <w:lang w:val="es-AR" w:eastAsia="es-AR"/>
              </w:rPr>
            </w:pPr>
            <w:r w:rsidRPr="00ED6C08">
              <w:rPr>
                <w:rFonts w:ascii="Times New Roman" w:hAnsi="Times New Roman"/>
                <w:color w:val="000000"/>
                <w:lang w:val="es-AR" w:eastAsia="es-AR"/>
              </w:rPr>
              <w:t>30.172</w:t>
            </w:r>
          </w:p>
        </w:tc>
        <w:tc>
          <w:tcPr>
            <w:tcW w:w="1400" w:type="dxa"/>
            <w:tcBorders>
              <w:top w:val="nil"/>
              <w:left w:val="nil"/>
              <w:bottom w:val="nil"/>
              <w:right w:val="nil"/>
            </w:tcBorders>
            <w:shd w:val="clear" w:color="000000" w:fill="FFFFFF"/>
            <w:noWrap/>
            <w:vAlign w:val="center"/>
            <w:hideMark/>
          </w:tcPr>
          <w:p w:rsidR="00410A87" w:rsidRPr="00410A87" w:rsidRDefault="00410A87" w:rsidP="00410A87">
            <w:pPr>
              <w:jc w:val="right"/>
              <w:rPr>
                <w:rFonts w:ascii="Times New Roman" w:hAnsi="Times New Roman"/>
                <w:color w:val="000000"/>
                <w:lang w:val="es-AR" w:eastAsia="es-AR"/>
              </w:rPr>
            </w:pPr>
            <w:r w:rsidRPr="00410A87">
              <w:rPr>
                <w:rFonts w:ascii="Times New Roman" w:hAnsi="Times New Roman"/>
                <w:color w:val="000000"/>
                <w:lang w:val="es-AR" w:eastAsia="es-AR"/>
              </w:rPr>
              <w:t>30.170</w:t>
            </w:r>
          </w:p>
        </w:tc>
      </w:tr>
      <w:tr w:rsidR="00410A87" w:rsidRPr="00ED6C08" w:rsidTr="00410A87">
        <w:trPr>
          <w:trHeight w:val="300"/>
          <w:jc w:val="center"/>
        </w:trPr>
        <w:tc>
          <w:tcPr>
            <w:tcW w:w="1980" w:type="dxa"/>
            <w:tcBorders>
              <w:top w:val="nil"/>
              <w:left w:val="nil"/>
              <w:bottom w:val="nil"/>
              <w:right w:val="nil"/>
            </w:tcBorders>
            <w:shd w:val="clear" w:color="000000" w:fill="FFFFFF"/>
            <w:noWrap/>
            <w:vAlign w:val="bottom"/>
            <w:hideMark/>
          </w:tcPr>
          <w:p w:rsidR="00410A87" w:rsidRPr="00ED6C08" w:rsidRDefault="00410A87" w:rsidP="00ED6C08">
            <w:pPr>
              <w:rPr>
                <w:rFonts w:ascii="Times New Roman" w:hAnsi="Times New Roman"/>
                <w:color w:val="000000"/>
                <w:lang w:val="es-AR" w:eastAsia="es-AR"/>
              </w:rPr>
            </w:pPr>
            <w:r w:rsidRPr="00ED6C08">
              <w:rPr>
                <w:rFonts w:ascii="Times New Roman" w:hAnsi="Times New Roman"/>
                <w:color w:val="000000"/>
                <w:lang w:val="es-AR" w:eastAsia="es-AR"/>
              </w:rPr>
              <w:t>GUAYAS</w:t>
            </w:r>
          </w:p>
        </w:tc>
        <w:tc>
          <w:tcPr>
            <w:tcW w:w="1500" w:type="dxa"/>
            <w:tcBorders>
              <w:top w:val="nil"/>
              <w:left w:val="nil"/>
              <w:bottom w:val="nil"/>
              <w:right w:val="nil"/>
            </w:tcBorders>
            <w:shd w:val="clear" w:color="000000" w:fill="FFFFFF"/>
            <w:noWrap/>
            <w:vAlign w:val="bottom"/>
            <w:hideMark/>
          </w:tcPr>
          <w:p w:rsidR="00410A87" w:rsidRPr="00ED6C08" w:rsidRDefault="00410A87" w:rsidP="00ED6C08">
            <w:pPr>
              <w:jc w:val="right"/>
              <w:rPr>
                <w:rFonts w:ascii="Times New Roman" w:hAnsi="Times New Roman"/>
                <w:color w:val="000000"/>
                <w:lang w:val="es-AR" w:eastAsia="es-AR"/>
              </w:rPr>
            </w:pPr>
            <w:r w:rsidRPr="00ED6C08">
              <w:rPr>
                <w:rFonts w:ascii="Times New Roman" w:hAnsi="Times New Roman"/>
                <w:color w:val="000000"/>
                <w:lang w:val="es-AR" w:eastAsia="es-AR"/>
              </w:rPr>
              <w:t>4.146.996</w:t>
            </w:r>
          </w:p>
        </w:tc>
        <w:tc>
          <w:tcPr>
            <w:tcW w:w="1400" w:type="dxa"/>
            <w:tcBorders>
              <w:top w:val="nil"/>
              <w:left w:val="nil"/>
              <w:bottom w:val="nil"/>
              <w:right w:val="nil"/>
            </w:tcBorders>
            <w:shd w:val="clear" w:color="000000" w:fill="FFFFFF"/>
            <w:noWrap/>
            <w:vAlign w:val="center"/>
            <w:hideMark/>
          </w:tcPr>
          <w:p w:rsidR="00410A87" w:rsidRPr="00410A87" w:rsidRDefault="00410A87" w:rsidP="00410A87">
            <w:pPr>
              <w:jc w:val="right"/>
              <w:rPr>
                <w:rFonts w:ascii="Times New Roman" w:hAnsi="Times New Roman"/>
                <w:color w:val="000000"/>
                <w:lang w:val="es-AR" w:eastAsia="es-AR"/>
              </w:rPr>
            </w:pPr>
            <w:r w:rsidRPr="00410A87">
              <w:rPr>
                <w:rFonts w:ascii="Times New Roman" w:hAnsi="Times New Roman"/>
                <w:color w:val="000000"/>
                <w:lang w:val="es-AR" w:eastAsia="es-AR"/>
              </w:rPr>
              <w:t>76.002</w:t>
            </w:r>
          </w:p>
        </w:tc>
      </w:tr>
      <w:tr w:rsidR="00410A87" w:rsidRPr="00ED6C08" w:rsidTr="00410A87">
        <w:trPr>
          <w:trHeight w:val="300"/>
          <w:jc w:val="center"/>
        </w:trPr>
        <w:tc>
          <w:tcPr>
            <w:tcW w:w="1980" w:type="dxa"/>
            <w:tcBorders>
              <w:top w:val="nil"/>
              <w:left w:val="nil"/>
              <w:bottom w:val="nil"/>
              <w:right w:val="nil"/>
            </w:tcBorders>
            <w:shd w:val="clear" w:color="000000" w:fill="FFFFFF"/>
            <w:noWrap/>
            <w:vAlign w:val="bottom"/>
            <w:hideMark/>
          </w:tcPr>
          <w:p w:rsidR="00410A87" w:rsidRPr="00ED6C08" w:rsidRDefault="00410A87" w:rsidP="00ED6C08">
            <w:pPr>
              <w:rPr>
                <w:rFonts w:ascii="Times New Roman" w:hAnsi="Times New Roman"/>
                <w:color w:val="000000"/>
                <w:lang w:val="es-AR" w:eastAsia="es-AR"/>
              </w:rPr>
            </w:pPr>
            <w:r w:rsidRPr="00ED6C08">
              <w:rPr>
                <w:rFonts w:ascii="Times New Roman" w:hAnsi="Times New Roman"/>
                <w:color w:val="000000"/>
                <w:lang w:val="es-AR" w:eastAsia="es-AR"/>
              </w:rPr>
              <w:t>MANABÍ</w:t>
            </w:r>
          </w:p>
        </w:tc>
        <w:tc>
          <w:tcPr>
            <w:tcW w:w="1500" w:type="dxa"/>
            <w:tcBorders>
              <w:top w:val="nil"/>
              <w:left w:val="nil"/>
              <w:bottom w:val="nil"/>
              <w:right w:val="nil"/>
            </w:tcBorders>
            <w:shd w:val="clear" w:color="000000" w:fill="FFFFFF"/>
            <w:noWrap/>
            <w:vAlign w:val="bottom"/>
            <w:hideMark/>
          </w:tcPr>
          <w:p w:rsidR="00410A87" w:rsidRPr="00ED6C08" w:rsidRDefault="00410A87" w:rsidP="00ED6C08">
            <w:pPr>
              <w:jc w:val="right"/>
              <w:rPr>
                <w:rFonts w:ascii="Times New Roman" w:hAnsi="Times New Roman"/>
                <w:color w:val="000000"/>
                <w:lang w:val="es-AR" w:eastAsia="es-AR"/>
              </w:rPr>
            </w:pPr>
            <w:r w:rsidRPr="00ED6C08">
              <w:rPr>
                <w:rFonts w:ascii="Times New Roman" w:hAnsi="Times New Roman"/>
                <w:color w:val="000000"/>
                <w:lang w:val="es-AR" w:eastAsia="es-AR"/>
              </w:rPr>
              <w:t>1.510.375</w:t>
            </w:r>
          </w:p>
        </w:tc>
        <w:tc>
          <w:tcPr>
            <w:tcW w:w="1400" w:type="dxa"/>
            <w:tcBorders>
              <w:top w:val="nil"/>
              <w:left w:val="nil"/>
              <w:bottom w:val="nil"/>
              <w:right w:val="nil"/>
            </w:tcBorders>
            <w:shd w:val="clear" w:color="000000" w:fill="FFFFFF"/>
            <w:noWrap/>
            <w:vAlign w:val="center"/>
            <w:hideMark/>
          </w:tcPr>
          <w:p w:rsidR="00410A87" w:rsidRPr="00410A87" w:rsidRDefault="00410A87" w:rsidP="00410A87">
            <w:pPr>
              <w:jc w:val="right"/>
              <w:rPr>
                <w:rFonts w:ascii="Times New Roman" w:hAnsi="Times New Roman"/>
                <w:color w:val="000000"/>
                <w:lang w:val="es-AR" w:eastAsia="es-AR"/>
              </w:rPr>
            </w:pPr>
            <w:r w:rsidRPr="00410A87">
              <w:rPr>
                <w:rFonts w:ascii="Times New Roman" w:hAnsi="Times New Roman"/>
                <w:color w:val="000000"/>
                <w:lang w:val="es-AR" w:eastAsia="es-AR"/>
              </w:rPr>
              <w:t>386.233</w:t>
            </w:r>
          </w:p>
        </w:tc>
      </w:tr>
      <w:tr w:rsidR="00410A87" w:rsidRPr="00ED6C08" w:rsidTr="00410A87">
        <w:trPr>
          <w:trHeight w:val="300"/>
          <w:jc w:val="center"/>
        </w:trPr>
        <w:tc>
          <w:tcPr>
            <w:tcW w:w="1980" w:type="dxa"/>
            <w:tcBorders>
              <w:top w:val="nil"/>
              <w:left w:val="nil"/>
              <w:bottom w:val="nil"/>
              <w:right w:val="nil"/>
            </w:tcBorders>
            <w:shd w:val="clear" w:color="000000" w:fill="FFFFFF"/>
            <w:noWrap/>
            <w:vAlign w:val="bottom"/>
            <w:hideMark/>
          </w:tcPr>
          <w:p w:rsidR="00410A87" w:rsidRPr="00ED6C08" w:rsidRDefault="00410A87" w:rsidP="00ED6C08">
            <w:pPr>
              <w:rPr>
                <w:rFonts w:ascii="Times New Roman" w:hAnsi="Times New Roman"/>
                <w:color w:val="000000"/>
                <w:lang w:val="es-AR" w:eastAsia="es-AR"/>
              </w:rPr>
            </w:pPr>
            <w:r w:rsidRPr="00ED6C08">
              <w:rPr>
                <w:rFonts w:ascii="Times New Roman" w:hAnsi="Times New Roman"/>
                <w:color w:val="000000"/>
                <w:lang w:val="es-AR" w:eastAsia="es-AR"/>
              </w:rPr>
              <w:t>SANTA ELENA</w:t>
            </w:r>
          </w:p>
        </w:tc>
        <w:tc>
          <w:tcPr>
            <w:tcW w:w="1500" w:type="dxa"/>
            <w:tcBorders>
              <w:top w:val="nil"/>
              <w:left w:val="nil"/>
              <w:bottom w:val="nil"/>
              <w:right w:val="nil"/>
            </w:tcBorders>
            <w:shd w:val="clear" w:color="000000" w:fill="FFFFFF"/>
            <w:noWrap/>
            <w:vAlign w:val="bottom"/>
            <w:hideMark/>
          </w:tcPr>
          <w:p w:rsidR="00410A87" w:rsidRPr="00ED6C08" w:rsidRDefault="00410A87" w:rsidP="00ED6C08">
            <w:pPr>
              <w:jc w:val="right"/>
              <w:rPr>
                <w:rFonts w:ascii="Times New Roman" w:hAnsi="Times New Roman"/>
                <w:color w:val="000000"/>
                <w:lang w:val="es-AR" w:eastAsia="es-AR"/>
              </w:rPr>
            </w:pPr>
            <w:r w:rsidRPr="00ED6C08">
              <w:rPr>
                <w:rFonts w:ascii="Times New Roman" w:hAnsi="Times New Roman"/>
                <w:color w:val="000000"/>
                <w:lang w:val="es-AR" w:eastAsia="es-AR"/>
              </w:rPr>
              <w:t>367.235</w:t>
            </w:r>
          </w:p>
        </w:tc>
        <w:tc>
          <w:tcPr>
            <w:tcW w:w="1400" w:type="dxa"/>
            <w:tcBorders>
              <w:top w:val="nil"/>
              <w:left w:val="nil"/>
              <w:bottom w:val="nil"/>
              <w:right w:val="nil"/>
            </w:tcBorders>
            <w:shd w:val="clear" w:color="000000" w:fill="FFFFFF"/>
            <w:noWrap/>
            <w:vAlign w:val="center"/>
            <w:hideMark/>
          </w:tcPr>
          <w:p w:rsidR="00410A87" w:rsidRPr="00410A87" w:rsidRDefault="00410A87" w:rsidP="00410A87">
            <w:pPr>
              <w:jc w:val="right"/>
              <w:rPr>
                <w:rFonts w:ascii="Times New Roman" w:hAnsi="Times New Roman"/>
                <w:color w:val="000000"/>
                <w:lang w:val="es-AR" w:eastAsia="es-AR"/>
              </w:rPr>
            </w:pPr>
            <w:r w:rsidRPr="00410A87">
              <w:rPr>
                <w:rFonts w:ascii="Times New Roman" w:hAnsi="Times New Roman"/>
                <w:color w:val="000000"/>
                <w:lang w:val="es-AR" w:eastAsia="es-AR"/>
              </w:rPr>
              <w:t>245.384</w:t>
            </w:r>
          </w:p>
        </w:tc>
      </w:tr>
      <w:tr w:rsidR="00410A87" w:rsidRPr="00ED6C08" w:rsidTr="00410A87">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0A87" w:rsidRPr="00ED6C08" w:rsidRDefault="00410A87" w:rsidP="00ED6C08">
            <w:pPr>
              <w:rPr>
                <w:rFonts w:ascii="Times New Roman" w:hAnsi="Times New Roman"/>
                <w:color w:val="000000"/>
                <w:lang w:val="es-AR" w:eastAsia="es-AR"/>
              </w:rPr>
            </w:pPr>
            <w:r w:rsidRPr="00ED6C08">
              <w:rPr>
                <w:rFonts w:ascii="Times New Roman" w:hAnsi="Times New Roman"/>
                <w:color w:val="000000"/>
                <w:lang w:val="es-AR" w:eastAsia="es-AR"/>
              </w:rPr>
              <w:t>TOTALES REGION</w:t>
            </w:r>
          </w:p>
        </w:tc>
        <w:tc>
          <w:tcPr>
            <w:tcW w:w="1500" w:type="dxa"/>
            <w:tcBorders>
              <w:top w:val="single" w:sz="4" w:space="0" w:color="auto"/>
              <w:left w:val="nil"/>
              <w:bottom w:val="single" w:sz="4" w:space="0" w:color="auto"/>
              <w:right w:val="single" w:sz="4" w:space="0" w:color="auto"/>
            </w:tcBorders>
            <w:shd w:val="clear" w:color="000000" w:fill="FFFFFF"/>
            <w:noWrap/>
            <w:vAlign w:val="bottom"/>
            <w:hideMark/>
          </w:tcPr>
          <w:p w:rsidR="00410A87" w:rsidRPr="00ED6C08" w:rsidRDefault="00410A87" w:rsidP="00ED6C08">
            <w:pPr>
              <w:jc w:val="right"/>
              <w:rPr>
                <w:rFonts w:ascii="Times New Roman" w:hAnsi="Times New Roman"/>
                <w:color w:val="000000"/>
                <w:lang w:val="es-AR" w:eastAsia="es-AR"/>
              </w:rPr>
            </w:pPr>
            <w:r w:rsidRPr="00ED6C08">
              <w:rPr>
                <w:rFonts w:ascii="Times New Roman" w:hAnsi="Times New Roman"/>
                <w:color w:val="000000"/>
                <w:lang w:val="es-AR" w:eastAsia="es-AR"/>
              </w:rPr>
              <w:t>7.344.529</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410A87" w:rsidRPr="00410A87" w:rsidRDefault="00410A87" w:rsidP="00410A87">
            <w:pPr>
              <w:jc w:val="right"/>
              <w:rPr>
                <w:rFonts w:ascii="Times New Roman" w:hAnsi="Times New Roman"/>
                <w:color w:val="000000"/>
                <w:lang w:val="es-AR" w:eastAsia="es-AR"/>
              </w:rPr>
            </w:pPr>
            <w:r w:rsidRPr="00410A87">
              <w:rPr>
                <w:rFonts w:ascii="Times New Roman" w:hAnsi="Times New Roman"/>
                <w:color w:val="000000"/>
                <w:lang w:val="es-AR" w:eastAsia="es-AR"/>
              </w:rPr>
              <w:t>1.034.929</w:t>
            </w:r>
          </w:p>
        </w:tc>
      </w:tr>
    </w:tbl>
    <w:p w:rsidR="00ED6C08" w:rsidRPr="00ED6C08" w:rsidRDefault="00ED6C08" w:rsidP="00ED6C08">
      <w:pPr>
        <w:jc w:val="both"/>
        <w:rPr>
          <w:rFonts w:ascii="Times New Roman" w:hAnsi="Times New Roman"/>
          <w:bCs/>
          <w:i/>
          <w:lang w:val="es-ES_tradnl"/>
        </w:rPr>
      </w:pPr>
      <w:r>
        <w:rPr>
          <w:rFonts w:ascii="Times New Roman" w:hAnsi="Times New Roman"/>
          <w:bCs/>
          <w:sz w:val="22"/>
          <w:lang w:val="es-ES_tradnl"/>
        </w:rPr>
        <w:tab/>
      </w:r>
      <w:r>
        <w:rPr>
          <w:rFonts w:ascii="Times New Roman" w:hAnsi="Times New Roman"/>
          <w:bCs/>
          <w:sz w:val="22"/>
          <w:lang w:val="es-ES_tradnl"/>
        </w:rPr>
        <w:tab/>
      </w:r>
      <w:r>
        <w:rPr>
          <w:rFonts w:ascii="Times New Roman" w:hAnsi="Times New Roman"/>
          <w:bCs/>
          <w:sz w:val="22"/>
          <w:lang w:val="es-ES_tradnl"/>
        </w:rPr>
        <w:tab/>
      </w:r>
      <w:r w:rsidRPr="00ED6C08">
        <w:rPr>
          <w:rFonts w:ascii="Times New Roman" w:hAnsi="Times New Roman"/>
          <w:bCs/>
          <w:i/>
          <w:lang w:val="es-ES_tradnl"/>
        </w:rPr>
        <w:t>Fuente: ECU 911,</w:t>
      </w:r>
    </w:p>
    <w:p w:rsidR="00ED6C08" w:rsidRPr="00ED6C08" w:rsidRDefault="00ED6C08" w:rsidP="00ED6C08">
      <w:pPr>
        <w:pStyle w:val="ListParagraph"/>
        <w:rPr>
          <w:rFonts w:ascii="Times New Roman" w:hAnsi="Times New Roman"/>
          <w:bCs/>
          <w:sz w:val="22"/>
          <w:lang w:val="es-ES_tradnl"/>
        </w:rPr>
      </w:pPr>
    </w:p>
    <w:p w:rsidR="003916E6" w:rsidRPr="003916E6" w:rsidRDefault="003916E6" w:rsidP="00C95815">
      <w:pPr>
        <w:pStyle w:val="ListParagraph"/>
        <w:numPr>
          <w:ilvl w:val="1"/>
          <w:numId w:val="12"/>
        </w:numPr>
        <w:jc w:val="both"/>
        <w:rPr>
          <w:rFonts w:ascii="Times New Roman" w:hAnsi="Times New Roman"/>
          <w:bCs/>
          <w:sz w:val="22"/>
          <w:lang w:val="es-ES_tradnl"/>
        </w:rPr>
      </w:pPr>
      <w:r w:rsidRPr="003916E6">
        <w:rPr>
          <w:rFonts w:ascii="Times New Roman" w:hAnsi="Times New Roman"/>
          <w:bCs/>
          <w:sz w:val="22"/>
          <w:lang w:val="es-ES_tradnl"/>
        </w:rPr>
        <w:t>La población que habita en las cercanías a playas tendidas o de poca pendiente, con presencia de marismas, islas o bajos arenosos y estuarios están en muy alto riesgo ante tsunamis. Por el contrario, quienes habitan en zonas colinadas, playas levantadas y cerca de acantilados costeros son consideradas sujetos de bajo riesgo para eventos tipo maremoto (sin embargo</w:t>
      </w:r>
      <w:r w:rsidR="00137FC7">
        <w:rPr>
          <w:rFonts w:ascii="Times New Roman" w:hAnsi="Times New Roman"/>
          <w:bCs/>
          <w:sz w:val="22"/>
          <w:lang w:val="es-ES_tradnl"/>
        </w:rPr>
        <w:t xml:space="preserve"> </w:t>
      </w:r>
      <w:r w:rsidRPr="003916E6">
        <w:rPr>
          <w:rFonts w:ascii="Times New Roman" w:hAnsi="Times New Roman"/>
          <w:bCs/>
          <w:sz w:val="22"/>
          <w:lang w:val="es-ES_tradnl"/>
        </w:rPr>
        <w:t>son de alto riesgo frente a sismos con caracter</w:t>
      </w:r>
      <w:r w:rsidR="00390779">
        <w:rPr>
          <w:rFonts w:ascii="Times New Roman" w:hAnsi="Times New Roman"/>
          <w:bCs/>
          <w:sz w:val="22"/>
          <w:lang w:val="es-ES_tradnl"/>
        </w:rPr>
        <w:t xml:space="preserve">ísticas de  terremoto precursor) </w:t>
      </w:r>
      <w:r w:rsidRPr="003916E6">
        <w:rPr>
          <w:rFonts w:ascii="Times New Roman" w:hAnsi="Times New Roman"/>
          <w:bCs/>
          <w:sz w:val="22"/>
          <w:lang w:val="es-ES_tradnl"/>
        </w:rPr>
        <w:t xml:space="preserve">debido a la inestabilidad de sus laderas, taludes y acantilados que  pueden originar deslizamientos, desprendimientos y derrumbes. </w:t>
      </w:r>
    </w:p>
    <w:p w:rsidR="003A66DB" w:rsidRDefault="003916E6" w:rsidP="00233C88">
      <w:pPr>
        <w:pStyle w:val="ListParagraph"/>
        <w:numPr>
          <w:ilvl w:val="1"/>
          <w:numId w:val="12"/>
        </w:numPr>
        <w:jc w:val="both"/>
        <w:rPr>
          <w:rFonts w:ascii="Times New Roman" w:hAnsi="Times New Roman"/>
          <w:bCs/>
          <w:sz w:val="22"/>
          <w:lang w:val="es-ES_tradnl"/>
        </w:rPr>
      </w:pPr>
      <w:r w:rsidRPr="00137FC7">
        <w:rPr>
          <w:rFonts w:ascii="Times New Roman" w:hAnsi="Times New Roman"/>
          <w:bCs/>
          <w:sz w:val="22"/>
          <w:lang w:val="es-ES_tradnl"/>
        </w:rPr>
        <w:t xml:space="preserve">En el siglo pasado ocurrieron </w:t>
      </w:r>
      <w:r w:rsidR="009607E0">
        <w:rPr>
          <w:rFonts w:ascii="Times New Roman" w:hAnsi="Times New Roman"/>
          <w:bCs/>
          <w:sz w:val="22"/>
          <w:lang w:val="es-ES_tradnl"/>
        </w:rPr>
        <w:t>seis</w:t>
      </w:r>
      <w:r w:rsidR="009607E0" w:rsidRPr="00137FC7">
        <w:rPr>
          <w:rFonts w:ascii="Times New Roman" w:hAnsi="Times New Roman"/>
          <w:bCs/>
          <w:sz w:val="22"/>
          <w:lang w:val="es-ES_tradnl"/>
        </w:rPr>
        <w:t xml:space="preserve"> </w:t>
      </w:r>
      <w:r w:rsidRPr="00137FC7">
        <w:rPr>
          <w:rFonts w:ascii="Times New Roman" w:hAnsi="Times New Roman"/>
          <w:bCs/>
          <w:sz w:val="22"/>
          <w:lang w:val="es-ES_tradnl"/>
        </w:rPr>
        <w:t>eventos sísmicos (1906, 1933, 1953, 1958</w:t>
      </w:r>
      <w:r w:rsidR="009607E0">
        <w:rPr>
          <w:rFonts w:ascii="Times New Roman" w:hAnsi="Times New Roman"/>
          <w:bCs/>
          <w:sz w:val="22"/>
          <w:lang w:val="es-ES_tradnl"/>
        </w:rPr>
        <w:t xml:space="preserve">, </w:t>
      </w:r>
      <w:r w:rsidRPr="00137FC7">
        <w:rPr>
          <w:rFonts w:ascii="Times New Roman" w:hAnsi="Times New Roman"/>
          <w:bCs/>
          <w:sz w:val="22"/>
          <w:lang w:val="es-ES_tradnl"/>
        </w:rPr>
        <w:t xml:space="preserve"> 1979</w:t>
      </w:r>
      <w:r w:rsidR="009607E0">
        <w:rPr>
          <w:rFonts w:ascii="Times New Roman" w:hAnsi="Times New Roman"/>
          <w:bCs/>
          <w:sz w:val="22"/>
          <w:lang w:val="es-ES_tradnl"/>
        </w:rPr>
        <w:t xml:space="preserve"> y 1998</w:t>
      </w:r>
      <w:r w:rsidRPr="00137FC7">
        <w:rPr>
          <w:rFonts w:ascii="Times New Roman" w:hAnsi="Times New Roman"/>
          <w:bCs/>
          <w:sz w:val="22"/>
          <w:lang w:val="es-ES_tradnl"/>
        </w:rPr>
        <w:t xml:space="preserve">), que generaron tsunamis </w:t>
      </w:r>
      <w:r w:rsidR="003A66DB">
        <w:rPr>
          <w:rFonts w:ascii="Times New Roman" w:hAnsi="Times New Roman"/>
          <w:bCs/>
          <w:sz w:val="22"/>
          <w:lang w:val="es-ES_tradnl"/>
        </w:rPr>
        <w:t xml:space="preserve">de diversa magnitud </w:t>
      </w:r>
      <w:r w:rsidRPr="00137FC7">
        <w:rPr>
          <w:rFonts w:ascii="Times New Roman" w:hAnsi="Times New Roman"/>
          <w:bCs/>
          <w:sz w:val="22"/>
          <w:lang w:val="es-ES_tradnl"/>
        </w:rPr>
        <w:t xml:space="preserve">a lo largo del litoral ecuatoriano. Los maremotos pueden representar una fuerza altamente destructiva y cuando ocurren pueden arremeter contra las costas de manera muy agresiva, además de generar inundaciones de hasta cientos de metros tierra  adentro, ocasionando un movimiento del agua capaz de destrozar viviendas, edificios y otro  tipo de construcciones. La pérdida de vidas, el número de personas heridas y el daño de  infraestructuras pueden ser extremadamente altos, como se observó con la ocurrencia </w:t>
      </w:r>
      <w:r w:rsidR="00AB7DBE">
        <w:rPr>
          <w:rFonts w:ascii="Times New Roman" w:hAnsi="Times New Roman"/>
          <w:bCs/>
          <w:sz w:val="22"/>
          <w:lang w:val="es-ES_tradnl"/>
        </w:rPr>
        <w:t xml:space="preserve">reciente </w:t>
      </w:r>
      <w:r w:rsidRPr="00137FC7">
        <w:rPr>
          <w:rFonts w:ascii="Times New Roman" w:hAnsi="Times New Roman"/>
          <w:bCs/>
          <w:sz w:val="22"/>
          <w:lang w:val="es-ES_tradnl"/>
        </w:rPr>
        <w:t>de los tsunamis del Océano Indico en 2004 y de Japón de 2011</w:t>
      </w:r>
      <w:r w:rsidR="003A66DB">
        <w:rPr>
          <w:rFonts w:ascii="Times New Roman" w:hAnsi="Times New Roman"/>
          <w:bCs/>
          <w:sz w:val="22"/>
          <w:lang w:val="es-ES_tradnl"/>
        </w:rPr>
        <w:t>, y en menor medida en</w:t>
      </w:r>
      <w:r w:rsidR="003A66DB" w:rsidRPr="00137FC7">
        <w:rPr>
          <w:rFonts w:ascii="Times New Roman" w:hAnsi="Times New Roman"/>
          <w:bCs/>
          <w:sz w:val="22"/>
          <w:lang w:val="es-ES_tradnl"/>
        </w:rPr>
        <w:t xml:space="preserve"> Chile de 2010</w:t>
      </w:r>
      <w:r w:rsidR="003A66DB">
        <w:rPr>
          <w:rStyle w:val="FootnoteReference"/>
          <w:rFonts w:ascii="Times New Roman" w:hAnsi="Times New Roman"/>
          <w:bCs/>
          <w:sz w:val="22"/>
          <w:lang w:val="es-ES_tradnl"/>
        </w:rPr>
        <w:footnoteReference w:id="35"/>
      </w:r>
      <w:r w:rsidRPr="00137FC7">
        <w:rPr>
          <w:rFonts w:ascii="Times New Roman" w:hAnsi="Times New Roman"/>
          <w:bCs/>
          <w:sz w:val="22"/>
          <w:lang w:val="es-ES_tradnl"/>
        </w:rPr>
        <w:t>.</w:t>
      </w:r>
      <w:r w:rsidR="00137FC7" w:rsidRPr="00137FC7">
        <w:rPr>
          <w:rFonts w:ascii="Times New Roman" w:hAnsi="Times New Roman"/>
          <w:bCs/>
          <w:sz w:val="22"/>
          <w:lang w:val="es-ES_tradnl"/>
        </w:rPr>
        <w:t xml:space="preserve"> </w:t>
      </w:r>
    </w:p>
    <w:p w:rsidR="003A66DB" w:rsidRDefault="003A66DB" w:rsidP="00233C88">
      <w:pPr>
        <w:pStyle w:val="ListParagraph"/>
        <w:numPr>
          <w:ilvl w:val="1"/>
          <w:numId w:val="12"/>
        </w:numPr>
        <w:jc w:val="both"/>
        <w:rPr>
          <w:rFonts w:ascii="Times New Roman" w:hAnsi="Times New Roman"/>
          <w:bCs/>
          <w:sz w:val="22"/>
          <w:lang w:val="es-ES_tradnl"/>
        </w:rPr>
      </w:pPr>
      <w:r w:rsidRPr="003A66DB">
        <w:rPr>
          <w:rFonts w:ascii="Times New Roman" w:hAnsi="Times New Roman"/>
          <w:bCs/>
          <w:sz w:val="22"/>
          <w:lang w:val="es-ES_tradnl"/>
        </w:rPr>
        <w:t xml:space="preserve">Ante la inexistencia de una previsión técnica </w:t>
      </w:r>
      <w:r>
        <w:rPr>
          <w:rFonts w:ascii="Times New Roman" w:hAnsi="Times New Roman"/>
          <w:bCs/>
          <w:sz w:val="22"/>
          <w:lang w:val="es-ES_tradnl"/>
        </w:rPr>
        <w:t xml:space="preserve">rigurosa </w:t>
      </w:r>
      <w:r w:rsidRPr="003A66DB">
        <w:rPr>
          <w:rFonts w:ascii="Times New Roman" w:hAnsi="Times New Roman"/>
          <w:bCs/>
          <w:sz w:val="22"/>
          <w:lang w:val="es-ES_tradnl"/>
        </w:rPr>
        <w:t>brindada por el Gobierno de Ecuador</w:t>
      </w:r>
      <w:r>
        <w:rPr>
          <w:rFonts w:ascii="Times New Roman" w:hAnsi="Times New Roman"/>
          <w:bCs/>
          <w:sz w:val="22"/>
          <w:lang w:val="es-ES_tradnl"/>
        </w:rPr>
        <w:t xml:space="preserve"> (los estudios probabilísticos se encuentran en fase de preparación)</w:t>
      </w:r>
      <w:r w:rsidRPr="003A66DB">
        <w:rPr>
          <w:rFonts w:ascii="Times New Roman" w:hAnsi="Times New Roman"/>
          <w:bCs/>
          <w:sz w:val="22"/>
          <w:lang w:val="es-ES_tradnl"/>
        </w:rPr>
        <w:t xml:space="preserve"> se efectuó un</w:t>
      </w:r>
      <w:r>
        <w:rPr>
          <w:rFonts w:ascii="Times New Roman" w:hAnsi="Times New Roman"/>
          <w:bCs/>
          <w:sz w:val="22"/>
          <w:lang w:val="es-ES_tradnl"/>
        </w:rPr>
        <w:t xml:space="preserve"> análisis</w:t>
      </w:r>
      <w:r w:rsidRPr="003A66DB">
        <w:rPr>
          <w:rFonts w:ascii="Times New Roman" w:hAnsi="Times New Roman"/>
          <w:bCs/>
          <w:sz w:val="22"/>
          <w:lang w:val="es-ES_tradnl"/>
        </w:rPr>
        <w:t xml:space="preserve"> de </w:t>
      </w:r>
      <w:r w:rsidR="00C67C36">
        <w:rPr>
          <w:rFonts w:ascii="Times New Roman" w:hAnsi="Times New Roman"/>
          <w:bCs/>
          <w:sz w:val="22"/>
          <w:lang w:val="es-ES_tradnl"/>
        </w:rPr>
        <w:t>informaciones de referencia como</w:t>
      </w:r>
      <w:r w:rsidRPr="003A66DB">
        <w:rPr>
          <w:rFonts w:ascii="Times New Roman" w:hAnsi="Times New Roman"/>
          <w:bCs/>
          <w:sz w:val="22"/>
          <w:lang w:val="es-ES_tradnl"/>
        </w:rPr>
        <w:t xml:space="preserve"> fundamentos </w:t>
      </w:r>
      <w:r w:rsidR="00C67C36">
        <w:rPr>
          <w:rFonts w:ascii="Times New Roman" w:hAnsi="Times New Roman"/>
          <w:bCs/>
          <w:sz w:val="22"/>
          <w:lang w:val="es-ES_tradnl"/>
        </w:rPr>
        <w:t>para</w:t>
      </w:r>
      <w:r w:rsidRPr="003A66DB">
        <w:rPr>
          <w:rFonts w:ascii="Times New Roman" w:hAnsi="Times New Roman"/>
          <w:bCs/>
          <w:sz w:val="22"/>
          <w:lang w:val="es-ES_tradnl"/>
        </w:rPr>
        <w:t xml:space="preserve"> establecer un rango de </w:t>
      </w:r>
      <w:r w:rsidR="00C67C36">
        <w:rPr>
          <w:rFonts w:ascii="Times New Roman" w:hAnsi="Times New Roman"/>
          <w:bCs/>
          <w:sz w:val="22"/>
          <w:lang w:val="es-ES_tradnl"/>
        </w:rPr>
        <w:t>probabilidades de ocurrencia y magnitudes aplicable al presente estudio</w:t>
      </w:r>
      <w:r w:rsidRPr="003A66DB">
        <w:rPr>
          <w:rFonts w:ascii="Times New Roman" w:hAnsi="Times New Roman"/>
          <w:bCs/>
          <w:sz w:val="22"/>
          <w:lang w:val="es-ES_tradnl"/>
        </w:rPr>
        <w:t>.</w:t>
      </w:r>
      <w:r w:rsidR="00C67C36">
        <w:rPr>
          <w:rFonts w:ascii="Times New Roman" w:hAnsi="Times New Roman"/>
          <w:bCs/>
          <w:sz w:val="22"/>
          <w:lang w:val="es-ES_tradnl"/>
        </w:rPr>
        <w:t xml:space="preserve"> En la Tabla que sigue se presentan </w:t>
      </w:r>
      <w:r w:rsidR="00C67C36" w:rsidRPr="00C67C36">
        <w:rPr>
          <w:rFonts w:ascii="Times New Roman" w:hAnsi="Times New Roman"/>
          <w:bCs/>
          <w:sz w:val="22"/>
          <w:lang w:val="es-ES_tradnl"/>
        </w:rPr>
        <w:t>los antecedentes de los tsunamis ocurridos en los últimos 150 años sobre los que existen datos de pérdidas de vida</w:t>
      </w:r>
      <w:r w:rsidR="00C67C36">
        <w:rPr>
          <w:rFonts w:ascii="Times New Roman" w:hAnsi="Times New Roman"/>
          <w:bCs/>
          <w:sz w:val="22"/>
          <w:lang w:val="es-ES_tradnl"/>
        </w:rPr>
        <w:t>. Se incluyen los de mayor relevancia, dentro de un listado de 74 casos</w:t>
      </w:r>
      <w:r w:rsidR="00C67C36">
        <w:rPr>
          <w:rStyle w:val="FootnoteReference"/>
          <w:rFonts w:ascii="Times New Roman" w:hAnsi="Times New Roman"/>
          <w:bCs/>
          <w:sz w:val="22"/>
          <w:lang w:val="es-ES_tradnl"/>
        </w:rPr>
        <w:footnoteReference w:id="36"/>
      </w:r>
      <w:r w:rsidR="00C67C36">
        <w:rPr>
          <w:rFonts w:ascii="Times New Roman" w:hAnsi="Times New Roman"/>
          <w:bCs/>
          <w:sz w:val="22"/>
          <w:lang w:val="es-ES_tradnl"/>
        </w:rPr>
        <w:t xml:space="preserve"> entre 1868 y 2016.</w:t>
      </w:r>
    </w:p>
    <w:p w:rsidR="005B041D" w:rsidRDefault="005B041D" w:rsidP="00EB1098">
      <w:pPr>
        <w:jc w:val="center"/>
        <w:rPr>
          <w:rFonts w:ascii="Times New Roman" w:hAnsi="Times New Roman"/>
          <w:b/>
          <w:lang w:val="es-AR"/>
        </w:rPr>
      </w:pPr>
    </w:p>
    <w:p w:rsidR="00EB1098" w:rsidRDefault="00EB1098" w:rsidP="00EB1098">
      <w:pPr>
        <w:jc w:val="center"/>
        <w:rPr>
          <w:rFonts w:ascii="Times New Roman" w:hAnsi="Times New Roman"/>
          <w:lang w:val="es-AR"/>
        </w:rPr>
      </w:pPr>
      <w:r w:rsidRPr="00EB1098">
        <w:rPr>
          <w:rFonts w:ascii="Times New Roman" w:hAnsi="Times New Roman"/>
          <w:b/>
          <w:lang w:val="es-AR"/>
        </w:rPr>
        <w:t xml:space="preserve">Tabla </w:t>
      </w:r>
      <w:r w:rsidR="00081A23" w:rsidRPr="00EB1098">
        <w:rPr>
          <w:rFonts w:ascii="Times New Roman" w:hAnsi="Times New Roman"/>
          <w:b/>
        </w:rPr>
        <w:fldChar w:fldCharType="begin"/>
      </w:r>
      <w:r w:rsidRPr="00EB1098">
        <w:rPr>
          <w:rFonts w:ascii="Times New Roman" w:hAnsi="Times New Roman"/>
          <w:b/>
          <w:lang w:val="es-AR"/>
        </w:rPr>
        <w:instrText xml:space="preserve"> SEQ Tabla \* ARABIC </w:instrText>
      </w:r>
      <w:r w:rsidR="00081A23" w:rsidRPr="00EB1098">
        <w:rPr>
          <w:rFonts w:ascii="Times New Roman" w:hAnsi="Times New Roman"/>
          <w:b/>
        </w:rPr>
        <w:fldChar w:fldCharType="separate"/>
      </w:r>
      <w:r>
        <w:rPr>
          <w:rFonts w:ascii="Times New Roman" w:hAnsi="Times New Roman"/>
          <w:b/>
          <w:noProof/>
          <w:lang w:val="es-AR"/>
        </w:rPr>
        <w:t>6</w:t>
      </w:r>
      <w:r w:rsidR="00081A23" w:rsidRPr="00EB1098">
        <w:rPr>
          <w:rFonts w:ascii="Times New Roman" w:hAnsi="Times New Roman"/>
          <w:b/>
        </w:rPr>
        <w:fldChar w:fldCharType="end"/>
      </w:r>
      <w:r w:rsidRPr="00EB1098">
        <w:rPr>
          <w:rFonts w:ascii="Times New Roman" w:hAnsi="Times New Roman"/>
          <w:lang w:val="es-AR"/>
        </w:rPr>
        <w:t xml:space="preserve">. </w:t>
      </w:r>
      <w:r>
        <w:rPr>
          <w:rFonts w:ascii="Times New Roman" w:hAnsi="Times New Roman"/>
          <w:lang w:val="es-AR"/>
        </w:rPr>
        <w:t>Tsunamis registrados en el período 1868 -2016</w:t>
      </w:r>
    </w:p>
    <w:p w:rsidR="005B041D" w:rsidRDefault="005B041D" w:rsidP="00EB1098">
      <w:pPr>
        <w:jc w:val="center"/>
        <w:rPr>
          <w:rFonts w:ascii="Times New Roman" w:hAnsi="Times New Roman"/>
          <w:lang w:val="es-AR"/>
        </w:rPr>
      </w:pPr>
    </w:p>
    <w:tbl>
      <w:tblPr>
        <w:tblW w:w="8355" w:type="dxa"/>
        <w:tblInd w:w="65" w:type="dxa"/>
        <w:tblLayout w:type="fixed"/>
        <w:tblCellMar>
          <w:left w:w="70" w:type="dxa"/>
          <w:right w:w="70" w:type="dxa"/>
        </w:tblCellMar>
        <w:tblLook w:val="04A0" w:firstRow="1" w:lastRow="0" w:firstColumn="1" w:lastColumn="0" w:noHBand="0" w:noVBand="1"/>
      </w:tblPr>
      <w:tblGrid>
        <w:gridCol w:w="911"/>
        <w:gridCol w:w="1837"/>
        <w:gridCol w:w="1010"/>
        <w:gridCol w:w="1020"/>
        <w:gridCol w:w="1097"/>
        <w:gridCol w:w="1295"/>
        <w:gridCol w:w="1185"/>
      </w:tblGrid>
      <w:tr w:rsidR="00EB1098" w:rsidRPr="00EB1098" w:rsidTr="00EB1098">
        <w:trPr>
          <w:trHeight w:val="595"/>
        </w:trPr>
        <w:tc>
          <w:tcPr>
            <w:tcW w:w="9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1098" w:rsidRPr="00EB1098" w:rsidRDefault="00EB1098" w:rsidP="00EB1098">
            <w:pPr>
              <w:jc w:val="center"/>
              <w:rPr>
                <w:rFonts w:ascii="Times New Roman" w:hAnsi="Times New Roman"/>
                <w:color w:val="000000"/>
                <w:lang w:val="es-AR" w:eastAsia="es-AR"/>
              </w:rPr>
            </w:pPr>
            <w:r w:rsidRPr="00EB1098">
              <w:rPr>
                <w:rFonts w:ascii="Times New Roman" w:hAnsi="Times New Roman"/>
                <w:color w:val="000000"/>
                <w:lang w:val="es-AR" w:eastAsia="es-AR"/>
              </w:rPr>
              <w:t>Fecha</w:t>
            </w:r>
          </w:p>
        </w:tc>
        <w:tc>
          <w:tcPr>
            <w:tcW w:w="1837" w:type="dxa"/>
            <w:tcBorders>
              <w:top w:val="single" w:sz="4" w:space="0" w:color="auto"/>
              <w:left w:val="nil"/>
              <w:bottom w:val="single" w:sz="4" w:space="0" w:color="auto"/>
              <w:right w:val="single" w:sz="4" w:space="0" w:color="auto"/>
            </w:tcBorders>
            <w:shd w:val="clear" w:color="000000" w:fill="FFFFFF"/>
            <w:vAlign w:val="center"/>
            <w:hideMark/>
          </w:tcPr>
          <w:p w:rsidR="00EB1098" w:rsidRPr="00EB1098" w:rsidRDefault="00EB1098" w:rsidP="00EB1098">
            <w:pPr>
              <w:jc w:val="center"/>
              <w:rPr>
                <w:rFonts w:ascii="Times New Roman" w:hAnsi="Times New Roman"/>
                <w:color w:val="000000"/>
                <w:lang w:val="es-AR" w:eastAsia="es-AR"/>
              </w:rPr>
            </w:pPr>
            <w:r w:rsidRPr="00EB1098">
              <w:rPr>
                <w:rFonts w:ascii="Times New Roman" w:hAnsi="Times New Roman"/>
                <w:color w:val="000000"/>
                <w:lang w:val="es-AR" w:eastAsia="es-AR"/>
              </w:rPr>
              <w:t>Ubicación</w:t>
            </w:r>
          </w:p>
        </w:tc>
        <w:tc>
          <w:tcPr>
            <w:tcW w:w="1010" w:type="dxa"/>
            <w:tcBorders>
              <w:top w:val="single" w:sz="4" w:space="0" w:color="auto"/>
              <w:left w:val="nil"/>
              <w:bottom w:val="single" w:sz="4" w:space="0" w:color="auto"/>
              <w:right w:val="single" w:sz="4" w:space="0" w:color="auto"/>
            </w:tcBorders>
            <w:shd w:val="clear" w:color="000000" w:fill="FFFFFF"/>
            <w:vAlign w:val="center"/>
            <w:hideMark/>
          </w:tcPr>
          <w:p w:rsidR="00EB1098" w:rsidRPr="00EB1098" w:rsidRDefault="00EB1098" w:rsidP="00EB1098">
            <w:pPr>
              <w:jc w:val="center"/>
              <w:rPr>
                <w:rFonts w:ascii="Times New Roman" w:hAnsi="Times New Roman"/>
                <w:color w:val="000000"/>
                <w:lang w:val="es-AR" w:eastAsia="es-AR"/>
              </w:rPr>
            </w:pPr>
            <w:r w:rsidRPr="00EB1098">
              <w:rPr>
                <w:rFonts w:ascii="Times New Roman" w:hAnsi="Times New Roman"/>
                <w:color w:val="000000"/>
                <w:lang w:val="es-AR" w:eastAsia="es-AR"/>
              </w:rPr>
              <w:t>Magnitud</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EB1098" w:rsidRPr="00EB1098" w:rsidRDefault="00EB1098" w:rsidP="00EB1098">
            <w:pPr>
              <w:jc w:val="center"/>
              <w:rPr>
                <w:rFonts w:ascii="Times New Roman" w:hAnsi="Times New Roman"/>
                <w:color w:val="000000"/>
                <w:lang w:val="es-AR" w:eastAsia="es-AR"/>
              </w:rPr>
            </w:pPr>
            <w:r w:rsidRPr="00EB1098">
              <w:rPr>
                <w:rFonts w:ascii="Times New Roman" w:hAnsi="Times New Roman"/>
                <w:color w:val="000000"/>
                <w:lang w:val="es-AR" w:eastAsia="es-AR"/>
              </w:rPr>
              <w:t>Altura máxima</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B1098" w:rsidRPr="00EB1098" w:rsidRDefault="00EB1098" w:rsidP="00EB1098">
            <w:pPr>
              <w:jc w:val="center"/>
              <w:rPr>
                <w:rFonts w:ascii="Times New Roman" w:hAnsi="Times New Roman"/>
                <w:color w:val="000000"/>
                <w:lang w:val="es-AR" w:eastAsia="es-AR"/>
              </w:rPr>
            </w:pPr>
            <w:r w:rsidRPr="00EB1098">
              <w:rPr>
                <w:rFonts w:ascii="Times New Roman" w:hAnsi="Times New Roman"/>
                <w:color w:val="000000"/>
                <w:lang w:val="es-AR" w:eastAsia="es-AR"/>
              </w:rPr>
              <w:t>Perdida vidas</w:t>
            </w:r>
          </w:p>
        </w:tc>
        <w:tc>
          <w:tcPr>
            <w:tcW w:w="1295" w:type="dxa"/>
            <w:tcBorders>
              <w:top w:val="single" w:sz="4" w:space="0" w:color="auto"/>
              <w:left w:val="nil"/>
              <w:bottom w:val="single" w:sz="4" w:space="0" w:color="auto"/>
              <w:right w:val="single" w:sz="4" w:space="0" w:color="auto"/>
            </w:tcBorders>
            <w:shd w:val="clear" w:color="000000" w:fill="FFFFFF"/>
            <w:vAlign w:val="center"/>
            <w:hideMark/>
          </w:tcPr>
          <w:p w:rsidR="00EB1098" w:rsidRPr="00EB1098" w:rsidRDefault="00127AE3" w:rsidP="00EB1098">
            <w:pPr>
              <w:jc w:val="center"/>
              <w:rPr>
                <w:rFonts w:ascii="Times New Roman" w:hAnsi="Times New Roman"/>
                <w:color w:val="000000"/>
                <w:lang w:val="es-AR" w:eastAsia="es-AR"/>
              </w:rPr>
            </w:pPr>
            <w:r w:rsidRPr="00EB1098">
              <w:rPr>
                <w:rFonts w:ascii="Times New Roman" w:hAnsi="Times New Roman"/>
                <w:color w:val="000000"/>
                <w:lang w:val="es-AR" w:eastAsia="es-AR"/>
              </w:rPr>
              <w:t>Población</w:t>
            </w:r>
            <w:r w:rsidR="00EB1098" w:rsidRPr="00EB1098">
              <w:rPr>
                <w:rFonts w:ascii="Times New Roman" w:hAnsi="Times New Roman"/>
                <w:color w:val="000000"/>
                <w:lang w:val="es-AR" w:eastAsia="es-AR"/>
              </w:rPr>
              <w:t xml:space="preserve"> expuesta</w:t>
            </w:r>
          </w:p>
        </w:tc>
        <w:tc>
          <w:tcPr>
            <w:tcW w:w="1185" w:type="dxa"/>
            <w:tcBorders>
              <w:top w:val="single" w:sz="4" w:space="0" w:color="auto"/>
              <w:left w:val="nil"/>
              <w:bottom w:val="single" w:sz="4" w:space="0" w:color="auto"/>
              <w:right w:val="single" w:sz="4" w:space="0" w:color="auto"/>
            </w:tcBorders>
            <w:shd w:val="clear" w:color="000000" w:fill="FFFFFF"/>
            <w:vAlign w:val="center"/>
            <w:hideMark/>
          </w:tcPr>
          <w:p w:rsidR="00EB1098" w:rsidRPr="00EB1098" w:rsidRDefault="00EB1098" w:rsidP="00EB1098">
            <w:pPr>
              <w:jc w:val="center"/>
              <w:rPr>
                <w:rFonts w:ascii="Times New Roman" w:hAnsi="Times New Roman"/>
                <w:color w:val="000000"/>
                <w:lang w:val="es-AR" w:eastAsia="es-AR"/>
              </w:rPr>
            </w:pPr>
            <w:r w:rsidRPr="00EB1098">
              <w:rPr>
                <w:rFonts w:ascii="Times New Roman" w:hAnsi="Times New Roman"/>
                <w:color w:val="000000"/>
                <w:lang w:val="es-AR" w:eastAsia="es-AR"/>
              </w:rPr>
              <w:t>Rel Vidas/ Población</w:t>
            </w:r>
            <w:r w:rsidR="00DA5B35">
              <w:rPr>
                <w:rFonts w:ascii="Times New Roman" w:hAnsi="Times New Roman"/>
                <w:color w:val="000000"/>
                <w:lang w:val="es-AR" w:eastAsia="es-AR"/>
              </w:rPr>
              <w:t xml:space="preserve"> E</w:t>
            </w:r>
          </w:p>
        </w:tc>
      </w:tr>
      <w:tr w:rsidR="00EB1098" w:rsidRPr="00EB1098" w:rsidTr="00EB1098">
        <w:trPr>
          <w:trHeight w:val="305"/>
        </w:trPr>
        <w:tc>
          <w:tcPr>
            <w:tcW w:w="911" w:type="dxa"/>
            <w:tcBorders>
              <w:top w:val="nil"/>
              <w:left w:val="nil"/>
              <w:bottom w:val="nil"/>
              <w:right w:val="nil"/>
            </w:tcBorders>
            <w:shd w:val="clear" w:color="000000" w:fill="FFFFFF"/>
            <w:noWrap/>
            <w:vAlign w:val="center"/>
            <w:hideMark/>
          </w:tcPr>
          <w:p w:rsidR="00EB1098" w:rsidRPr="00EB1098" w:rsidRDefault="00EB1098" w:rsidP="00EB1098">
            <w:pPr>
              <w:jc w:val="center"/>
              <w:rPr>
                <w:rFonts w:ascii="Times New Roman" w:hAnsi="Times New Roman"/>
                <w:color w:val="000000"/>
                <w:lang w:val="es-AR" w:eastAsia="es-AR"/>
              </w:rPr>
            </w:pPr>
            <w:r w:rsidRPr="00EB1098">
              <w:rPr>
                <w:rFonts w:ascii="Times New Roman" w:hAnsi="Times New Roman"/>
                <w:color w:val="000000"/>
                <w:lang w:val="es-AR" w:eastAsia="es-AR"/>
              </w:rPr>
              <w:t>2011</w:t>
            </w:r>
          </w:p>
        </w:tc>
        <w:tc>
          <w:tcPr>
            <w:tcW w:w="1837" w:type="dxa"/>
            <w:tcBorders>
              <w:top w:val="nil"/>
              <w:left w:val="nil"/>
              <w:bottom w:val="nil"/>
              <w:right w:val="nil"/>
            </w:tcBorders>
            <w:shd w:val="clear" w:color="000000" w:fill="FFFFFF"/>
            <w:noWrap/>
            <w:vAlign w:val="center"/>
            <w:hideMark/>
          </w:tcPr>
          <w:p w:rsidR="00EB1098" w:rsidRPr="00EB1098" w:rsidRDefault="00EB1098" w:rsidP="00EB1098">
            <w:pPr>
              <w:rPr>
                <w:rFonts w:ascii="Times New Roman" w:hAnsi="Times New Roman"/>
                <w:color w:val="000000"/>
                <w:lang w:val="es-AR" w:eastAsia="es-AR"/>
              </w:rPr>
            </w:pPr>
            <w:r w:rsidRPr="00EB1098">
              <w:rPr>
                <w:rFonts w:ascii="Times New Roman" w:hAnsi="Times New Roman"/>
                <w:color w:val="000000"/>
                <w:lang w:val="es-AR" w:eastAsia="es-AR"/>
              </w:rPr>
              <w:t>Honshu Japan</w:t>
            </w:r>
          </w:p>
        </w:tc>
        <w:tc>
          <w:tcPr>
            <w:tcW w:w="1010" w:type="dxa"/>
            <w:tcBorders>
              <w:top w:val="nil"/>
              <w:left w:val="nil"/>
              <w:bottom w:val="nil"/>
              <w:right w:val="nil"/>
            </w:tcBorders>
            <w:shd w:val="clear" w:color="000000" w:fill="FFFFFF"/>
            <w:noWrap/>
            <w:vAlign w:val="center"/>
            <w:hideMark/>
          </w:tcPr>
          <w:p w:rsidR="00EB1098" w:rsidRPr="00EB1098" w:rsidRDefault="00EB1098" w:rsidP="00EB1098">
            <w:pPr>
              <w:jc w:val="center"/>
              <w:rPr>
                <w:rFonts w:ascii="Times New Roman" w:hAnsi="Times New Roman"/>
                <w:color w:val="000000"/>
                <w:lang w:val="es-AR" w:eastAsia="es-AR"/>
              </w:rPr>
            </w:pPr>
            <w:r w:rsidRPr="00EB1098">
              <w:rPr>
                <w:rFonts w:ascii="Times New Roman" w:hAnsi="Times New Roman"/>
                <w:color w:val="000000"/>
                <w:lang w:val="es-AR" w:eastAsia="es-AR"/>
              </w:rPr>
              <w:t>9,0</w:t>
            </w:r>
          </w:p>
        </w:tc>
        <w:tc>
          <w:tcPr>
            <w:tcW w:w="1020" w:type="dxa"/>
            <w:tcBorders>
              <w:top w:val="nil"/>
              <w:left w:val="nil"/>
              <w:bottom w:val="nil"/>
              <w:right w:val="nil"/>
            </w:tcBorders>
            <w:shd w:val="clear" w:color="000000" w:fill="FFFFFF"/>
            <w:noWrap/>
            <w:vAlign w:val="center"/>
            <w:hideMark/>
          </w:tcPr>
          <w:p w:rsidR="00EB1098" w:rsidRPr="00EB1098" w:rsidRDefault="00EB1098" w:rsidP="00DA5B35">
            <w:pPr>
              <w:jc w:val="right"/>
              <w:rPr>
                <w:rFonts w:ascii="Times New Roman" w:hAnsi="Times New Roman"/>
                <w:color w:val="000000"/>
                <w:lang w:val="es-AR" w:eastAsia="es-AR"/>
              </w:rPr>
            </w:pPr>
            <w:r w:rsidRPr="00EB1098">
              <w:rPr>
                <w:rFonts w:ascii="Times New Roman" w:hAnsi="Times New Roman"/>
                <w:color w:val="000000"/>
                <w:lang w:val="es-AR" w:eastAsia="es-AR"/>
              </w:rPr>
              <w:t>38.9</w:t>
            </w:r>
          </w:p>
        </w:tc>
        <w:tc>
          <w:tcPr>
            <w:tcW w:w="1097" w:type="dxa"/>
            <w:tcBorders>
              <w:top w:val="nil"/>
              <w:left w:val="nil"/>
              <w:bottom w:val="nil"/>
              <w:right w:val="nil"/>
            </w:tcBorders>
            <w:shd w:val="clear" w:color="000000" w:fill="FFFFFF"/>
            <w:noWrap/>
            <w:vAlign w:val="center"/>
            <w:hideMark/>
          </w:tcPr>
          <w:p w:rsidR="00EB1098" w:rsidRPr="00EB1098" w:rsidRDefault="00EB1098" w:rsidP="00DA5B35">
            <w:pPr>
              <w:jc w:val="right"/>
              <w:rPr>
                <w:rFonts w:ascii="Times New Roman" w:hAnsi="Times New Roman"/>
                <w:color w:val="000000"/>
                <w:lang w:val="es-AR" w:eastAsia="es-AR"/>
              </w:rPr>
            </w:pPr>
            <w:r w:rsidRPr="00EB1098">
              <w:rPr>
                <w:rFonts w:ascii="Times New Roman" w:hAnsi="Times New Roman"/>
                <w:color w:val="000000"/>
                <w:lang w:val="es-AR" w:eastAsia="es-AR"/>
              </w:rPr>
              <w:t>18.453</w:t>
            </w:r>
          </w:p>
        </w:tc>
        <w:tc>
          <w:tcPr>
            <w:tcW w:w="1295" w:type="dxa"/>
            <w:tcBorders>
              <w:top w:val="nil"/>
              <w:left w:val="nil"/>
              <w:bottom w:val="nil"/>
              <w:right w:val="nil"/>
            </w:tcBorders>
            <w:shd w:val="clear" w:color="000000" w:fill="FFFFFF"/>
            <w:noWrap/>
            <w:vAlign w:val="center"/>
            <w:hideMark/>
          </w:tcPr>
          <w:p w:rsidR="00EB1098" w:rsidRPr="00EB1098" w:rsidRDefault="00EB1098" w:rsidP="00DA5B35">
            <w:pPr>
              <w:jc w:val="right"/>
              <w:rPr>
                <w:rFonts w:ascii="Times New Roman" w:hAnsi="Times New Roman"/>
                <w:color w:val="000000"/>
                <w:lang w:val="es-AR" w:eastAsia="es-AR"/>
              </w:rPr>
            </w:pPr>
            <w:r w:rsidRPr="00EB1098">
              <w:rPr>
                <w:rFonts w:ascii="Times New Roman" w:hAnsi="Times New Roman"/>
                <w:color w:val="000000"/>
                <w:lang w:val="es-AR" w:eastAsia="es-AR"/>
              </w:rPr>
              <w:t>2.548.000</w:t>
            </w:r>
          </w:p>
        </w:tc>
        <w:tc>
          <w:tcPr>
            <w:tcW w:w="1185" w:type="dxa"/>
            <w:tcBorders>
              <w:top w:val="nil"/>
              <w:left w:val="nil"/>
              <w:bottom w:val="nil"/>
              <w:right w:val="nil"/>
            </w:tcBorders>
            <w:shd w:val="clear" w:color="000000" w:fill="FFFFFF"/>
            <w:noWrap/>
            <w:vAlign w:val="center"/>
            <w:hideMark/>
          </w:tcPr>
          <w:p w:rsidR="00EB1098" w:rsidRPr="00EB1098" w:rsidRDefault="00EB1098" w:rsidP="00EB1098">
            <w:pPr>
              <w:jc w:val="center"/>
              <w:rPr>
                <w:rFonts w:ascii="Times New Roman" w:hAnsi="Times New Roman"/>
                <w:color w:val="000000"/>
                <w:lang w:val="es-AR" w:eastAsia="es-AR"/>
              </w:rPr>
            </w:pPr>
            <w:r w:rsidRPr="00EB1098">
              <w:rPr>
                <w:rFonts w:ascii="Times New Roman" w:hAnsi="Times New Roman"/>
                <w:color w:val="000000"/>
                <w:lang w:val="es-AR" w:eastAsia="es-AR"/>
              </w:rPr>
              <w:t>0,72%</w:t>
            </w:r>
          </w:p>
        </w:tc>
      </w:tr>
      <w:tr w:rsidR="00EB1098" w:rsidRPr="00EB1098" w:rsidTr="00EB1098">
        <w:trPr>
          <w:trHeight w:val="305"/>
        </w:trPr>
        <w:tc>
          <w:tcPr>
            <w:tcW w:w="911" w:type="dxa"/>
            <w:tcBorders>
              <w:top w:val="nil"/>
              <w:left w:val="nil"/>
              <w:bottom w:val="nil"/>
              <w:right w:val="nil"/>
            </w:tcBorders>
            <w:shd w:val="clear" w:color="000000" w:fill="FFFFFF"/>
            <w:noWrap/>
            <w:vAlign w:val="center"/>
            <w:hideMark/>
          </w:tcPr>
          <w:p w:rsidR="00EB1098" w:rsidRPr="00EB1098" w:rsidRDefault="00EB1098" w:rsidP="00EB1098">
            <w:pPr>
              <w:jc w:val="center"/>
              <w:rPr>
                <w:rFonts w:ascii="Times New Roman" w:hAnsi="Times New Roman"/>
                <w:color w:val="000000"/>
                <w:lang w:val="es-AR" w:eastAsia="es-AR"/>
              </w:rPr>
            </w:pPr>
            <w:r w:rsidRPr="00EB1098">
              <w:rPr>
                <w:rFonts w:ascii="Times New Roman" w:hAnsi="Times New Roman"/>
                <w:color w:val="000000"/>
                <w:lang w:val="es-AR" w:eastAsia="es-AR"/>
              </w:rPr>
              <w:t>2004</w:t>
            </w:r>
          </w:p>
        </w:tc>
        <w:tc>
          <w:tcPr>
            <w:tcW w:w="1837" w:type="dxa"/>
            <w:tcBorders>
              <w:top w:val="nil"/>
              <w:left w:val="nil"/>
              <w:bottom w:val="nil"/>
              <w:right w:val="nil"/>
            </w:tcBorders>
            <w:shd w:val="clear" w:color="000000" w:fill="FFFFFF"/>
            <w:noWrap/>
            <w:vAlign w:val="center"/>
            <w:hideMark/>
          </w:tcPr>
          <w:p w:rsidR="00EB1098" w:rsidRPr="00EB1098" w:rsidRDefault="00EB1098" w:rsidP="00EB1098">
            <w:pPr>
              <w:rPr>
                <w:rFonts w:ascii="Times New Roman" w:hAnsi="Times New Roman"/>
                <w:color w:val="000000"/>
                <w:lang w:val="es-AR" w:eastAsia="es-AR"/>
              </w:rPr>
            </w:pPr>
            <w:r w:rsidRPr="00EB1098">
              <w:rPr>
                <w:rFonts w:ascii="Times New Roman" w:hAnsi="Times New Roman"/>
                <w:color w:val="000000"/>
                <w:lang w:val="es-AR" w:eastAsia="es-AR"/>
              </w:rPr>
              <w:t>Coast of Sumatra</w:t>
            </w:r>
          </w:p>
        </w:tc>
        <w:tc>
          <w:tcPr>
            <w:tcW w:w="1010" w:type="dxa"/>
            <w:tcBorders>
              <w:top w:val="nil"/>
              <w:left w:val="nil"/>
              <w:bottom w:val="nil"/>
              <w:right w:val="nil"/>
            </w:tcBorders>
            <w:shd w:val="clear" w:color="000000" w:fill="FFFFFF"/>
            <w:noWrap/>
            <w:vAlign w:val="center"/>
            <w:hideMark/>
          </w:tcPr>
          <w:p w:rsidR="00EB1098" w:rsidRPr="00EB1098" w:rsidRDefault="00EB1098" w:rsidP="00EB1098">
            <w:pPr>
              <w:jc w:val="center"/>
              <w:rPr>
                <w:rFonts w:ascii="Times New Roman" w:hAnsi="Times New Roman"/>
                <w:color w:val="000000"/>
                <w:lang w:val="es-AR" w:eastAsia="es-AR"/>
              </w:rPr>
            </w:pPr>
            <w:r w:rsidRPr="00EB1098">
              <w:rPr>
                <w:rFonts w:ascii="Times New Roman" w:hAnsi="Times New Roman"/>
                <w:color w:val="000000"/>
                <w:lang w:val="es-AR" w:eastAsia="es-AR"/>
              </w:rPr>
              <w:t>9,1</w:t>
            </w:r>
          </w:p>
        </w:tc>
        <w:tc>
          <w:tcPr>
            <w:tcW w:w="1020" w:type="dxa"/>
            <w:tcBorders>
              <w:top w:val="nil"/>
              <w:left w:val="nil"/>
              <w:bottom w:val="nil"/>
              <w:right w:val="nil"/>
            </w:tcBorders>
            <w:shd w:val="clear" w:color="000000" w:fill="FFFFFF"/>
            <w:noWrap/>
            <w:vAlign w:val="center"/>
            <w:hideMark/>
          </w:tcPr>
          <w:p w:rsidR="00EB1098" w:rsidRPr="00EB1098" w:rsidRDefault="00EB1098" w:rsidP="00DA5B35">
            <w:pPr>
              <w:jc w:val="right"/>
              <w:rPr>
                <w:rFonts w:ascii="Times New Roman" w:hAnsi="Times New Roman"/>
                <w:color w:val="000000"/>
                <w:lang w:val="es-AR" w:eastAsia="es-AR"/>
              </w:rPr>
            </w:pPr>
            <w:r w:rsidRPr="00EB1098">
              <w:rPr>
                <w:rFonts w:ascii="Times New Roman" w:hAnsi="Times New Roman"/>
                <w:color w:val="000000"/>
                <w:lang w:val="es-AR" w:eastAsia="es-AR"/>
              </w:rPr>
              <w:t>50.9</w:t>
            </w:r>
          </w:p>
        </w:tc>
        <w:tc>
          <w:tcPr>
            <w:tcW w:w="1097" w:type="dxa"/>
            <w:tcBorders>
              <w:top w:val="nil"/>
              <w:left w:val="nil"/>
              <w:bottom w:val="nil"/>
              <w:right w:val="nil"/>
            </w:tcBorders>
            <w:shd w:val="clear" w:color="000000" w:fill="FFFFFF"/>
            <w:noWrap/>
            <w:vAlign w:val="center"/>
            <w:hideMark/>
          </w:tcPr>
          <w:p w:rsidR="00EB1098" w:rsidRPr="00EB1098" w:rsidRDefault="00EB1098" w:rsidP="00DA5B35">
            <w:pPr>
              <w:jc w:val="right"/>
              <w:rPr>
                <w:rFonts w:ascii="Times New Roman" w:hAnsi="Times New Roman"/>
                <w:color w:val="000000"/>
                <w:lang w:val="es-AR" w:eastAsia="es-AR"/>
              </w:rPr>
            </w:pPr>
            <w:r w:rsidRPr="00EB1098">
              <w:rPr>
                <w:rFonts w:ascii="Times New Roman" w:hAnsi="Times New Roman"/>
                <w:color w:val="000000"/>
                <w:lang w:val="es-AR" w:eastAsia="es-AR"/>
              </w:rPr>
              <w:t>227.899</w:t>
            </w:r>
          </w:p>
        </w:tc>
        <w:tc>
          <w:tcPr>
            <w:tcW w:w="1295" w:type="dxa"/>
            <w:tcBorders>
              <w:top w:val="nil"/>
              <w:left w:val="nil"/>
              <w:bottom w:val="nil"/>
              <w:right w:val="nil"/>
            </w:tcBorders>
            <w:shd w:val="clear" w:color="000000" w:fill="FFFFFF"/>
            <w:noWrap/>
            <w:vAlign w:val="center"/>
            <w:hideMark/>
          </w:tcPr>
          <w:p w:rsidR="00EB1098" w:rsidRPr="00EB1098" w:rsidRDefault="00EB1098" w:rsidP="00DA5B35">
            <w:pPr>
              <w:jc w:val="right"/>
              <w:rPr>
                <w:rFonts w:ascii="Times New Roman" w:hAnsi="Times New Roman"/>
                <w:color w:val="000000"/>
                <w:lang w:val="es-AR" w:eastAsia="es-AR"/>
              </w:rPr>
            </w:pPr>
            <w:r w:rsidRPr="00EB1098">
              <w:rPr>
                <w:rFonts w:ascii="Times New Roman" w:hAnsi="Times New Roman"/>
                <w:color w:val="000000"/>
                <w:lang w:val="es-AR" w:eastAsia="es-AR"/>
              </w:rPr>
              <w:t>7.500.000</w:t>
            </w:r>
          </w:p>
        </w:tc>
        <w:tc>
          <w:tcPr>
            <w:tcW w:w="1185" w:type="dxa"/>
            <w:tcBorders>
              <w:top w:val="nil"/>
              <w:left w:val="nil"/>
              <w:bottom w:val="nil"/>
              <w:right w:val="nil"/>
            </w:tcBorders>
            <w:shd w:val="clear" w:color="000000" w:fill="FFFFFF"/>
            <w:noWrap/>
            <w:vAlign w:val="center"/>
            <w:hideMark/>
          </w:tcPr>
          <w:p w:rsidR="00EB1098" w:rsidRPr="00EB1098" w:rsidRDefault="00EB1098" w:rsidP="00EB1098">
            <w:pPr>
              <w:jc w:val="center"/>
              <w:rPr>
                <w:rFonts w:ascii="Times New Roman" w:hAnsi="Times New Roman"/>
                <w:color w:val="000000"/>
                <w:lang w:val="es-AR" w:eastAsia="es-AR"/>
              </w:rPr>
            </w:pPr>
            <w:r w:rsidRPr="00EB1098">
              <w:rPr>
                <w:rFonts w:ascii="Times New Roman" w:hAnsi="Times New Roman"/>
                <w:color w:val="000000"/>
                <w:lang w:val="es-AR" w:eastAsia="es-AR"/>
              </w:rPr>
              <w:t>3,04%</w:t>
            </w:r>
          </w:p>
        </w:tc>
      </w:tr>
      <w:tr w:rsidR="00EB1098" w:rsidRPr="00EB1098" w:rsidTr="00EB1098">
        <w:trPr>
          <w:trHeight w:val="305"/>
        </w:trPr>
        <w:tc>
          <w:tcPr>
            <w:tcW w:w="911" w:type="dxa"/>
            <w:tcBorders>
              <w:top w:val="nil"/>
              <w:left w:val="nil"/>
              <w:bottom w:val="nil"/>
              <w:right w:val="nil"/>
            </w:tcBorders>
            <w:shd w:val="clear" w:color="000000" w:fill="FFFFFF"/>
            <w:noWrap/>
            <w:vAlign w:val="center"/>
            <w:hideMark/>
          </w:tcPr>
          <w:p w:rsidR="00EB1098" w:rsidRPr="00EB1098" w:rsidRDefault="00EB1098" w:rsidP="00EB1098">
            <w:pPr>
              <w:jc w:val="center"/>
              <w:rPr>
                <w:rFonts w:ascii="Times New Roman" w:hAnsi="Times New Roman"/>
                <w:color w:val="000000"/>
                <w:lang w:val="es-AR" w:eastAsia="es-AR"/>
              </w:rPr>
            </w:pPr>
            <w:r w:rsidRPr="00EB1098">
              <w:rPr>
                <w:rFonts w:ascii="Times New Roman" w:hAnsi="Times New Roman"/>
                <w:color w:val="000000"/>
                <w:lang w:val="es-AR" w:eastAsia="es-AR"/>
              </w:rPr>
              <w:t>1998</w:t>
            </w:r>
          </w:p>
        </w:tc>
        <w:tc>
          <w:tcPr>
            <w:tcW w:w="1837" w:type="dxa"/>
            <w:tcBorders>
              <w:top w:val="nil"/>
              <w:left w:val="nil"/>
              <w:bottom w:val="nil"/>
              <w:right w:val="nil"/>
            </w:tcBorders>
            <w:shd w:val="clear" w:color="000000" w:fill="FFFFFF"/>
            <w:noWrap/>
            <w:vAlign w:val="center"/>
            <w:hideMark/>
          </w:tcPr>
          <w:p w:rsidR="00EB1098" w:rsidRPr="00EB1098" w:rsidRDefault="00EB1098" w:rsidP="00EB1098">
            <w:pPr>
              <w:rPr>
                <w:rFonts w:ascii="Times New Roman" w:hAnsi="Times New Roman"/>
                <w:color w:val="000000"/>
                <w:lang w:val="es-AR" w:eastAsia="es-AR"/>
              </w:rPr>
            </w:pPr>
            <w:r w:rsidRPr="00EB1098">
              <w:rPr>
                <w:rFonts w:ascii="Times New Roman" w:hAnsi="Times New Roman"/>
                <w:color w:val="000000"/>
                <w:lang w:val="es-AR" w:eastAsia="es-AR"/>
              </w:rPr>
              <w:t>Papua New Guinea</w:t>
            </w:r>
          </w:p>
        </w:tc>
        <w:tc>
          <w:tcPr>
            <w:tcW w:w="1010" w:type="dxa"/>
            <w:tcBorders>
              <w:top w:val="nil"/>
              <w:left w:val="nil"/>
              <w:bottom w:val="nil"/>
              <w:right w:val="nil"/>
            </w:tcBorders>
            <w:shd w:val="clear" w:color="000000" w:fill="FFFFFF"/>
            <w:noWrap/>
            <w:vAlign w:val="center"/>
            <w:hideMark/>
          </w:tcPr>
          <w:p w:rsidR="00EB1098" w:rsidRPr="00EB1098" w:rsidRDefault="00EB1098" w:rsidP="00EB1098">
            <w:pPr>
              <w:jc w:val="center"/>
              <w:rPr>
                <w:rFonts w:ascii="Times New Roman" w:hAnsi="Times New Roman"/>
                <w:color w:val="000000"/>
                <w:lang w:val="es-AR" w:eastAsia="es-AR"/>
              </w:rPr>
            </w:pPr>
            <w:r w:rsidRPr="00EB1098">
              <w:rPr>
                <w:rFonts w:ascii="Times New Roman" w:hAnsi="Times New Roman"/>
                <w:color w:val="000000"/>
                <w:lang w:val="es-AR" w:eastAsia="es-AR"/>
              </w:rPr>
              <w:t>7,0</w:t>
            </w:r>
          </w:p>
        </w:tc>
        <w:tc>
          <w:tcPr>
            <w:tcW w:w="1020" w:type="dxa"/>
            <w:tcBorders>
              <w:top w:val="nil"/>
              <w:left w:val="nil"/>
              <w:bottom w:val="nil"/>
              <w:right w:val="nil"/>
            </w:tcBorders>
            <w:shd w:val="clear" w:color="000000" w:fill="FFFFFF"/>
            <w:noWrap/>
            <w:vAlign w:val="center"/>
            <w:hideMark/>
          </w:tcPr>
          <w:p w:rsidR="00EB1098" w:rsidRPr="00EB1098" w:rsidRDefault="00EB1098" w:rsidP="00DA5B35">
            <w:pPr>
              <w:jc w:val="right"/>
              <w:rPr>
                <w:rFonts w:ascii="Times New Roman" w:hAnsi="Times New Roman"/>
                <w:color w:val="000000"/>
                <w:lang w:val="es-AR" w:eastAsia="es-AR"/>
              </w:rPr>
            </w:pPr>
            <w:r w:rsidRPr="00EB1098">
              <w:rPr>
                <w:rFonts w:ascii="Times New Roman" w:hAnsi="Times New Roman"/>
                <w:color w:val="000000"/>
                <w:lang w:val="es-AR" w:eastAsia="es-AR"/>
              </w:rPr>
              <w:t>15.0</w:t>
            </w:r>
          </w:p>
        </w:tc>
        <w:tc>
          <w:tcPr>
            <w:tcW w:w="1097" w:type="dxa"/>
            <w:tcBorders>
              <w:top w:val="nil"/>
              <w:left w:val="nil"/>
              <w:bottom w:val="nil"/>
              <w:right w:val="nil"/>
            </w:tcBorders>
            <w:shd w:val="clear" w:color="000000" w:fill="FFFFFF"/>
            <w:noWrap/>
            <w:vAlign w:val="center"/>
            <w:hideMark/>
          </w:tcPr>
          <w:p w:rsidR="00EB1098" w:rsidRPr="00EB1098" w:rsidRDefault="00EB1098" w:rsidP="00DA5B35">
            <w:pPr>
              <w:jc w:val="right"/>
              <w:rPr>
                <w:rFonts w:ascii="Times New Roman" w:hAnsi="Times New Roman"/>
                <w:color w:val="000000"/>
                <w:lang w:val="es-AR" w:eastAsia="es-AR"/>
              </w:rPr>
            </w:pPr>
            <w:r w:rsidRPr="00EB1098">
              <w:rPr>
                <w:rFonts w:ascii="Times New Roman" w:hAnsi="Times New Roman"/>
                <w:color w:val="000000"/>
                <w:lang w:val="es-AR" w:eastAsia="es-AR"/>
              </w:rPr>
              <w:t>2.182</w:t>
            </w:r>
          </w:p>
        </w:tc>
        <w:tc>
          <w:tcPr>
            <w:tcW w:w="1295" w:type="dxa"/>
            <w:tcBorders>
              <w:top w:val="nil"/>
              <w:left w:val="nil"/>
              <w:bottom w:val="nil"/>
              <w:right w:val="nil"/>
            </w:tcBorders>
            <w:shd w:val="clear" w:color="000000" w:fill="FFFFFF"/>
            <w:noWrap/>
            <w:vAlign w:val="center"/>
            <w:hideMark/>
          </w:tcPr>
          <w:p w:rsidR="00EB1098" w:rsidRPr="00EB1098" w:rsidRDefault="00EB1098" w:rsidP="00DA5B35">
            <w:pPr>
              <w:jc w:val="right"/>
              <w:rPr>
                <w:rFonts w:ascii="Times New Roman" w:hAnsi="Times New Roman"/>
                <w:color w:val="000000"/>
                <w:lang w:val="es-AR" w:eastAsia="es-AR"/>
              </w:rPr>
            </w:pPr>
            <w:r w:rsidRPr="00EB1098">
              <w:rPr>
                <w:rFonts w:ascii="Times New Roman" w:hAnsi="Times New Roman"/>
                <w:color w:val="000000"/>
                <w:lang w:val="es-AR" w:eastAsia="es-AR"/>
              </w:rPr>
              <w:t>150.000</w:t>
            </w:r>
          </w:p>
        </w:tc>
        <w:tc>
          <w:tcPr>
            <w:tcW w:w="1185" w:type="dxa"/>
            <w:tcBorders>
              <w:top w:val="nil"/>
              <w:left w:val="nil"/>
              <w:bottom w:val="nil"/>
              <w:right w:val="nil"/>
            </w:tcBorders>
            <w:shd w:val="clear" w:color="000000" w:fill="FFFFFF"/>
            <w:noWrap/>
            <w:vAlign w:val="center"/>
            <w:hideMark/>
          </w:tcPr>
          <w:p w:rsidR="00EB1098" w:rsidRPr="00EB1098" w:rsidRDefault="00EB1098" w:rsidP="00EB1098">
            <w:pPr>
              <w:jc w:val="center"/>
              <w:rPr>
                <w:rFonts w:ascii="Times New Roman" w:hAnsi="Times New Roman"/>
                <w:color w:val="000000"/>
                <w:lang w:val="es-AR" w:eastAsia="es-AR"/>
              </w:rPr>
            </w:pPr>
            <w:r w:rsidRPr="00EB1098">
              <w:rPr>
                <w:rFonts w:ascii="Times New Roman" w:hAnsi="Times New Roman"/>
                <w:color w:val="000000"/>
                <w:lang w:val="es-AR" w:eastAsia="es-AR"/>
              </w:rPr>
              <w:t>1,45%</w:t>
            </w:r>
          </w:p>
        </w:tc>
      </w:tr>
      <w:tr w:rsidR="00EB1098" w:rsidRPr="00EB1098" w:rsidTr="00EB1098">
        <w:trPr>
          <w:trHeight w:val="305"/>
        </w:trPr>
        <w:tc>
          <w:tcPr>
            <w:tcW w:w="911" w:type="dxa"/>
            <w:tcBorders>
              <w:top w:val="nil"/>
              <w:left w:val="nil"/>
              <w:bottom w:val="nil"/>
              <w:right w:val="nil"/>
            </w:tcBorders>
            <w:shd w:val="clear" w:color="000000" w:fill="FFFFFF"/>
            <w:noWrap/>
            <w:vAlign w:val="center"/>
            <w:hideMark/>
          </w:tcPr>
          <w:p w:rsidR="00EB1098" w:rsidRPr="00EB1098" w:rsidRDefault="00EB1098" w:rsidP="00EB1098">
            <w:pPr>
              <w:jc w:val="center"/>
              <w:rPr>
                <w:rFonts w:ascii="Times New Roman" w:hAnsi="Times New Roman"/>
                <w:color w:val="000000"/>
                <w:lang w:val="es-AR" w:eastAsia="es-AR"/>
              </w:rPr>
            </w:pPr>
            <w:r w:rsidRPr="00EB1098">
              <w:rPr>
                <w:rFonts w:ascii="Times New Roman" w:hAnsi="Times New Roman"/>
                <w:color w:val="000000"/>
                <w:lang w:val="es-AR" w:eastAsia="es-AR"/>
              </w:rPr>
              <w:t>1976</w:t>
            </w:r>
          </w:p>
        </w:tc>
        <w:tc>
          <w:tcPr>
            <w:tcW w:w="1837" w:type="dxa"/>
            <w:tcBorders>
              <w:top w:val="nil"/>
              <w:left w:val="nil"/>
              <w:bottom w:val="nil"/>
              <w:right w:val="nil"/>
            </w:tcBorders>
            <w:shd w:val="clear" w:color="000000" w:fill="FFFFFF"/>
            <w:noWrap/>
            <w:vAlign w:val="center"/>
            <w:hideMark/>
          </w:tcPr>
          <w:p w:rsidR="00EB1098" w:rsidRPr="00EB1098" w:rsidRDefault="00EB1098" w:rsidP="00EB1098">
            <w:pPr>
              <w:rPr>
                <w:rFonts w:ascii="Times New Roman" w:hAnsi="Times New Roman"/>
                <w:color w:val="000000"/>
                <w:lang w:val="es-AR" w:eastAsia="es-AR"/>
              </w:rPr>
            </w:pPr>
            <w:r w:rsidRPr="00EB1098">
              <w:rPr>
                <w:rFonts w:ascii="Times New Roman" w:hAnsi="Times New Roman"/>
                <w:color w:val="000000"/>
                <w:lang w:val="es-AR" w:eastAsia="es-AR"/>
              </w:rPr>
              <w:t>Philipinas</w:t>
            </w:r>
          </w:p>
        </w:tc>
        <w:tc>
          <w:tcPr>
            <w:tcW w:w="1010" w:type="dxa"/>
            <w:tcBorders>
              <w:top w:val="nil"/>
              <w:left w:val="nil"/>
              <w:bottom w:val="nil"/>
              <w:right w:val="nil"/>
            </w:tcBorders>
            <w:shd w:val="clear" w:color="000000" w:fill="FFFFFF"/>
            <w:noWrap/>
            <w:vAlign w:val="center"/>
            <w:hideMark/>
          </w:tcPr>
          <w:p w:rsidR="00EB1098" w:rsidRPr="00EB1098" w:rsidRDefault="00EB1098" w:rsidP="00EB1098">
            <w:pPr>
              <w:jc w:val="center"/>
              <w:rPr>
                <w:rFonts w:ascii="Times New Roman" w:hAnsi="Times New Roman"/>
                <w:color w:val="000000"/>
                <w:lang w:val="es-AR" w:eastAsia="es-AR"/>
              </w:rPr>
            </w:pPr>
            <w:r w:rsidRPr="00EB1098">
              <w:rPr>
                <w:rFonts w:ascii="Times New Roman" w:hAnsi="Times New Roman"/>
                <w:color w:val="000000"/>
                <w:lang w:val="es-AR" w:eastAsia="es-AR"/>
              </w:rPr>
              <w:t>8,0</w:t>
            </w:r>
          </w:p>
        </w:tc>
        <w:tc>
          <w:tcPr>
            <w:tcW w:w="1020" w:type="dxa"/>
            <w:tcBorders>
              <w:top w:val="nil"/>
              <w:left w:val="nil"/>
              <w:bottom w:val="nil"/>
              <w:right w:val="nil"/>
            </w:tcBorders>
            <w:shd w:val="clear" w:color="000000" w:fill="FFFFFF"/>
            <w:noWrap/>
            <w:vAlign w:val="center"/>
            <w:hideMark/>
          </w:tcPr>
          <w:p w:rsidR="00EB1098" w:rsidRPr="00EB1098" w:rsidRDefault="00EB1098" w:rsidP="00DA5B35">
            <w:pPr>
              <w:jc w:val="right"/>
              <w:rPr>
                <w:rFonts w:ascii="Times New Roman" w:hAnsi="Times New Roman"/>
                <w:color w:val="000000"/>
                <w:lang w:val="es-AR" w:eastAsia="es-AR"/>
              </w:rPr>
            </w:pPr>
            <w:r w:rsidRPr="00EB1098">
              <w:rPr>
                <w:rFonts w:ascii="Times New Roman" w:hAnsi="Times New Roman"/>
                <w:color w:val="000000"/>
                <w:lang w:val="es-AR" w:eastAsia="es-AR"/>
              </w:rPr>
              <w:t>9.0</w:t>
            </w:r>
          </w:p>
        </w:tc>
        <w:tc>
          <w:tcPr>
            <w:tcW w:w="1097" w:type="dxa"/>
            <w:tcBorders>
              <w:top w:val="nil"/>
              <w:left w:val="nil"/>
              <w:bottom w:val="nil"/>
              <w:right w:val="nil"/>
            </w:tcBorders>
            <w:shd w:val="clear" w:color="000000" w:fill="FFFFFF"/>
            <w:noWrap/>
            <w:vAlign w:val="center"/>
            <w:hideMark/>
          </w:tcPr>
          <w:p w:rsidR="00EB1098" w:rsidRPr="00EB1098" w:rsidRDefault="00EB1098" w:rsidP="00DA5B35">
            <w:pPr>
              <w:jc w:val="right"/>
              <w:rPr>
                <w:rFonts w:ascii="Times New Roman" w:hAnsi="Times New Roman"/>
                <w:color w:val="000000"/>
                <w:lang w:val="es-AR" w:eastAsia="es-AR"/>
              </w:rPr>
            </w:pPr>
            <w:r w:rsidRPr="00EB1098">
              <w:rPr>
                <w:rFonts w:ascii="Times New Roman" w:hAnsi="Times New Roman"/>
                <w:color w:val="000000"/>
                <w:lang w:val="es-AR" w:eastAsia="es-AR"/>
              </w:rPr>
              <w:t>68.000</w:t>
            </w:r>
          </w:p>
        </w:tc>
        <w:tc>
          <w:tcPr>
            <w:tcW w:w="1295" w:type="dxa"/>
            <w:tcBorders>
              <w:top w:val="nil"/>
              <w:left w:val="nil"/>
              <w:bottom w:val="nil"/>
              <w:right w:val="nil"/>
            </w:tcBorders>
            <w:shd w:val="clear" w:color="000000" w:fill="FFFFFF"/>
            <w:noWrap/>
            <w:vAlign w:val="center"/>
            <w:hideMark/>
          </w:tcPr>
          <w:p w:rsidR="00EB1098" w:rsidRPr="00EB1098" w:rsidRDefault="00EB1098" w:rsidP="00DA5B35">
            <w:pPr>
              <w:jc w:val="right"/>
              <w:rPr>
                <w:rFonts w:ascii="Times New Roman" w:hAnsi="Times New Roman"/>
                <w:color w:val="000000"/>
                <w:lang w:val="es-AR" w:eastAsia="es-AR"/>
              </w:rPr>
            </w:pPr>
            <w:r w:rsidRPr="00EB1098">
              <w:rPr>
                <w:rFonts w:ascii="Times New Roman" w:hAnsi="Times New Roman"/>
                <w:color w:val="000000"/>
                <w:lang w:val="es-AR" w:eastAsia="es-AR"/>
              </w:rPr>
              <w:t>980.000</w:t>
            </w:r>
          </w:p>
        </w:tc>
        <w:tc>
          <w:tcPr>
            <w:tcW w:w="1185" w:type="dxa"/>
            <w:tcBorders>
              <w:top w:val="nil"/>
              <w:left w:val="nil"/>
              <w:bottom w:val="nil"/>
              <w:right w:val="nil"/>
            </w:tcBorders>
            <w:shd w:val="clear" w:color="000000" w:fill="FFFFFF"/>
            <w:noWrap/>
            <w:vAlign w:val="center"/>
            <w:hideMark/>
          </w:tcPr>
          <w:p w:rsidR="00EB1098" w:rsidRPr="00EB1098" w:rsidRDefault="00EB1098" w:rsidP="00EB1098">
            <w:pPr>
              <w:jc w:val="center"/>
              <w:rPr>
                <w:rFonts w:ascii="Times New Roman" w:hAnsi="Times New Roman"/>
                <w:color w:val="000000"/>
                <w:lang w:val="es-AR" w:eastAsia="es-AR"/>
              </w:rPr>
            </w:pPr>
            <w:r w:rsidRPr="00EB1098">
              <w:rPr>
                <w:rFonts w:ascii="Times New Roman" w:hAnsi="Times New Roman"/>
                <w:color w:val="000000"/>
                <w:lang w:val="es-AR" w:eastAsia="es-AR"/>
              </w:rPr>
              <w:t>6,94%</w:t>
            </w:r>
          </w:p>
        </w:tc>
      </w:tr>
      <w:tr w:rsidR="00EB1098" w:rsidRPr="00EB1098" w:rsidTr="00EB1098">
        <w:trPr>
          <w:trHeight w:val="305"/>
        </w:trPr>
        <w:tc>
          <w:tcPr>
            <w:tcW w:w="911" w:type="dxa"/>
            <w:tcBorders>
              <w:top w:val="nil"/>
              <w:left w:val="nil"/>
              <w:bottom w:val="nil"/>
              <w:right w:val="nil"/>
            </w:tcBorders>
            <w:shd w:val="clear" w:color="000000" w:fill="FFFFFF"/>
            <w:noWrap/>
            <w:vAlign w:val="center"/>
            <w:hideMark/>
          </w:tcPr>
          <w:p w:rsidR="00EB1098" w:rsidRPr="00EB1098" w:rsidRDefault="00EB1098" w:rsidP="00EB1098">
            <w:pPr>
              <w:jc w:val="center"/>
              <w:rPr>
                <w:rFonts w:ascii="Times New Roman" w:hAnsi="Times New Roman"/>
                <w:color w:val="000000"/>
                <w:lang w:val="es-AR" w:eastAsia="es-AR"/>
              </w:rPr>
            </w:pPr>
            <w:r w:rsidRPr="00EB1098">
              <w:rPr>
                <w:rFonts w:ascii="Times New Roman" w:hAnsi="Times New Roman"/>
                <w:color w:val="000000"/>
                <w:lang w:val="es-AR" w:eastAsia="es-AR"/>
              </w:rPr>
              <w:t>1952</w:t>
            </w:r>
          </w:p>
        </w:tc>
        <w:tc>
          <w:tcPr>
            <w:tcW w:w="1837" w:type="dxa"/>
            <w:tcBorders>
              <w:top w:val="nil"/>
              <w:left w:val="nil"/>
              <w:bottom w:val="nil"/>
              <w:right w:val="nil"/>
            </w:tcBorders>
            <w:shd w:val="clear" w:color="000000" w:fill="FFFFFF"/>
            <w:noWrap/>
            <w:vAlign w:val="center"/>
            <w:hideMark/>
          </w:tcPr>
          <w:p w:rsidR="00EB1098" w:rsidRPr="00EB1098" w:rsidRDefault="00EB1098" w:rsidP="00EB1098">
            <w:pPr>
              <w:rPr>
                <w:rFonts w:ascii="Times New Roman" w:hAnsi="Times New Roman"/>
                <w:color w:val="000000"/>
                <w:lang w:val="es-AR" w:eastAsia="es-AR"/>
              </w:rPr>
            </w:pPr>
            <w:r w:rsidRPr="00EB1098">
              <w:rPr>
                <w:rFonts w:ascii="Times New Roman" w:hAnsi="Times New Roman"/>
                <w:color w:val="000000"/>
                <w:lang w:val="es-AR" w:eastAsia="es-AR"/>
              </w:rPr>
              <w:t>Kamtchatka, URSS</w:t>
            </w:r>
          </w:p>
        </w:tc>
        <w:tc>
          <w:tcPr>
            <w:tcW w:w="1010" w:type="dxa"/>
            <w:tcBorders>
              <w:top w:val="nil"/>
              <w:left w:val="nil"/>
              <w:bottom w:val="nil"/>
              <w:right w:val="nil"/>
            </w:tcBorders>
            <w:shd w:val="clear" w:color="000000" w:fill="FFFFFF"/>
            <w:noWrap/>
            <w:vAlign w:val="center"/>
            <w:hideMark/>
          </w:tcPr>
          <w:p w:rsidR="00EB1098" w:rsidRPr="00EB1098" w:rsidRDefault="00EB1098" w:rsidP="00EB1098">
            <w:pPr>
              <w:jc w:val="center"/>
              <w:rPr>
                <w:rFonts w:ascii="Times New Roman" w:hAnsi="Times New Roman"/>
                <w:color w:val="000000"/>
                <w:lang w:val="es-AR" w:eastAsia="es-AR"/>
              </w:rPr>
            </w:pPr>
            <w:r w:rsidRPr="00EB1098">
              <w:rPr>
                <w:rFonts w:ascii="Times New Roman" w:hAnsi="Times New Roman"/>
                <w:color w:val="000000"/>
                <w:lang w:val="es-AR" w:eastAsia="es-AR"/>
              </w:rPr>
              <w:t>9,0</w:t>
            </w:r>
          </w:p>
        </w:tc>
        <w:tc>
          <w:tcPr>
            <w:tcW w:w="1020" w:type="dxa"/>
            <w:tcBorders>
              <w:top w:val="nil"/>
              <w:left w:val="nil"/>
              <w:bottom w:val="nil"/>
              <w:right w:val="nil"/>
            </w:tcBorders>
            <w:shd w:val="clear" w:color="000000" w:fill="FFFFFF"/>
            <w:noWrap/>
            <w:vAlign w:val="center"/>
            <w:hideMark/>
          </w:tcPr>
          <w:p w:rsidR="00EB1098" w:rsidRPr="00EB1098" w:rsidRDefault="00EB1098" w:rsidP="00DA5B35">
            <w:pPr>
              <w:jc w:val="right"/>
              <w:rPr>
                <w:rFonts w:ascii="Times New Roman" w:hAnsi="Times New Roman"/>
                <w:color w:val="000000"/>
                <w:lang w:val="es-AR" w:eastAsia="es-AR"/>
              </w:rPr>
            </w:pPr>
            <w:r w:rsidRPr="00EB1098">
              <w:rPr>
                <w:rFonts w:ascii="Times New Roman" w:hAnsi="Times New Roman"/>
                <w:color w:val="000000"/>
                <w:lang w:val="es-AR" w:eastAsia="es-AR"/>
              </w:rPr>
              <w:t>18.4</w:t>
            </w:r>
          </w:p>
        </w:tc>
        <w:tc>
          <w:tcPr>
            <w:tcW w:w="1097" w:type="dxa"/>
            <w:tcBorders>
              <w:top w:val="nil"/>
              <w:left w:val="nil"/>
              <w:bottom w:val="nil"/>
              <w:right w:val="nil"/>
            </w:tcBorders>
            <w:shd w:val="clear" w:color="000000" w:fill="FFFFFF"/>
            <w:noWrap/>
            <w:vAlign w:val="center"/>
            <w:hideMark/>
          </w:tcPr>
          <w:p w:rsidR="00EB1098" w:rsidRPr="00EB1098" w:rsidRDefault="00EB1098" w:rsidP="00DA5B35">
            <w:pPr>
              <w:jc w:val="right"/>
              <w:rPr>
                <w:rFonts w:ascii="Times New Roman" w:hAnsi="Times New Roman"/>
                <w:color w:val="000000"/>
                <w:lang w:val="es-AR" w:eastAsia="es-AR"/>
              </w:rPr>
            </w:pPr>
            <w:r w:rsidRPr="00EB1098">
              <w:rPr>
                <w:rFonts w:ascii="Times New Roman" w:hAnsi="Times New Roman"/>
                <w:color w:val="000000"/>
                <w:lang w:val="es-AR" w:eastAsia="es-AR"/>
              </w:rPr>
              <w:t>10.000</w:t>
            </w:r>
          </w:p>
        </w:tc>
        <w:tc>
          <w:tcPr>
            <w:tcW w:w="1295" w:type="dxa"/>
            <w:tcBorders>
              <w:top w:val="nil"/>
              <w:left w:val="nil"/>
              <w:bottom w:val="nil"/>
              <w:right w:val="nil"/>
            </w:tcBorders>
            <w:shd w:val="clear" w:color="000000" w:fill="FFFFFF"/>
            <w:noWrap/>
            <w:vAlign w:val="center"/>
            <w:hideMark/>
          </w:tcPr>
          <w:p w:rsidR="00EB1098" w:rsidRPr="00EB1098" w:rsidRDefault="00EB1098" w:rsidP="00DA5B35">
            <w:pPr>
              <w:jc w:val="right"/>
              <w:rPr>
                <w:rFonts w:ascii="Times New Roman" w:hAnsi="Times New Roman"/>
                <w:color w:val="000000"/>
                <w:lang w:val="es-AR" w:eastAsia="es-AR"/>
              </w:rPr>
            </w:pPr>
            <w:r w:rsidRPr="00EB1098">
              <w:rPr>
                <w:rFonts w:ascii="Times New Roman" w:hAnsi="Times New Roman"/>
                <w:color w:val="000000"/>
                <w:lang w:val="es-AR" w:eastAsia="es-AR"/>
              </w:rPr>
              <w:t>400.000</w:t>
            </w:r>
          </w:p>
        </w:tc>
        <w:tc>
          <w:tcPr>
            <w:tcW w:w="1185" w:type="dxa"/>
            <w:tcBorders>
              <w:top w:val="nil"/>
              <w:left w:val="nil"/>
              <w:bottom w:val="nil"/>
              <w:right w:val="nil"/>
            </w:tcBorders>
            <w:shd w:val="clear" w:color="000000" w:fill="FFFFFF"/>
            <w:noWrap/>
            <w:vAlign w:val="center"/>
            <w:hideMark/>
          </w:tcPr>
          <w:p w:rsidR="00EB1098" w:rsidRPr="00EB1098" w:rsidRDefault="00EB1098" w:rsidP="00EB1098">
            <w:pPr>
              <w:jc w:val="center"/>
              <w:rPr>
                <w:rFonts w:ascii="Times New Roman" w:hAnsi="Times New Roman"/>
                <w:color w:val="000000"/>
                <w:lang w:val="es-AR" w:eastAsia="es-AR"/>
              </w:rPr>
            </w:pPr>
            <w:r w:rsidRPr="00EB1098">
              <w:rPr>
                <w:rFonts w:ascii="Times New Roman" w:hAnsi="Times New Roman"/>
                <w:color w:val="000000"/>
                <w:lang w:val="es-AR" w:eastAsia="es-AR"/>
              </w:rPr>
              <w:t>2,50%</w:t>
            </w:r>
          </w:p>
        </w:tc>
      </w:tr>
      <w:tr w:rsidR="00EB1098" w:rsidRPr="00EB1098" w:rsidTr="00EB1098">
        <w:trPr>
          <w:trHeight w:val="305"/>
        </w:trPr>
        <w:tc>
          <w:tcPr>
            <w:tcW w:w="911" w:type="dxa"/>
            <w:tcBorders>
              <w:top w:val="nil"/>
              <w:left w:val="nil"/>
              <w:bottom w:val="nil"/>
              <w:right w:val="nil"/>
            </w:tcBorders>
            <w:shd w:val="clear" w:color="000000" w:fill="FFFFFF"/>
            <w:noWrap/>
            <w:vAlign w:val="center"/>
            <w:hideMark/>
          </w:tcPr>
          <w:p w:rsidR="00EB1098" w:rsidRPr="00EB1098" w:rsidRDefault="00EB1098" w:rsidP="00EB1098">
            <w:pPr>
              <w:jc w:val="center"/>
              <w:rPr>
                <w:rFonts w:ascii="Times New Roman" w:hAnsi="Times New Roman"/>
                <w:color w:val="000000"/>
                <w:lang w:val="es-AR" w:eastAsia="es-AR"/>
              </w:rPr>
            </w:pPr>
            <w:r w:rsidRPr="00EB1098">
              <w:rPr>
                <w:rFonts w:ascii="Times New Roman" w:hAnsi="Times New Roman"/>
                <w:color w:val="000000"/>
                <w:lang w:val="es-AR" w:eastAsia="es-AR"/>
              </w:rPr>
              <w:lastRenderedPageBreak/>
              <w:t>1945</w:t>
            </w:r>
          </w:p>
        </w:tc>
        <w:tc>
          <w:tcPr>
            <w:tcW w:w="1837" w:type="dxa"/>
            <w:tcBorders>
              <w:top w:val="nil"/>
              <w:left w:val="nil"/>
              <w:bottom w:val="nil"/>
              <w:right w:val="nil"/>
            </w:tcBorders>
            <w:shd w:val="clear" w:color="000000" w:fill="FFFFFF"/>
            <w:noWrap/>
            <w:vAlign w:val="center"/>
            <w:hideMark/>
          </w:tcPr>
          <w:p w:rsidR="00EB1098" w:rsidRPr="00EB1098" w:rsidRDefault="00EB1098" w:rsidP="00EB1098">
            <w:pPr>
              <w:rPr>
                <w:rFonts w:ascii="Times New Roman" w:hAnsi="Times New Roman"/>
                <w:color w:val="000000"/>
                <w:lang w:val="es-AR" w:eastAsia="es-AR"/>
              </w:rPr>
            </w:pPr>
            <w:r w:rsidRPr="00EB1098">
              <w:rPr>
                <w:rFonts w:ascii="Times New Roman" w:hAnsi="Times New Roman"/>
                <w:color w:val="000000"/>
                <w:lang w:val="es-AR" w:eastAsia="es-AR"/>
              </w:rPr>
              <w:t>Makran, Pakistan</w:t>
            </w:r>
          </w:p>
        </w:tc>
        <w:tc>
          <w:tcPr>
            <w:tcW w:w="1010" w:type="dxa"/>
            <w:tcBorders>
              <w:top w:val="nil"/>
              <w:left w:val="nil"/>
              <w:bottom w:val="nil"/>
              <w:right w:val="nil"/>
            </w:tcBorders>
            <w:shd w:val="clear" w:color="000000" w:fill="FFFFFF"/>
            <w:noWrap/>
            <w:vAlign w:val="center"/>
            <w:hideMark/>
          </w:tcPr>
          <w:p w:rsidR="00EB1098" w:rsidRPr="00EB1098" w:rsidRDefault="00EB1098" w:rsidP="00EB1098">
            <w:pPr>
              <w:jc w:val="center"/>
              <w:rPr>
                <w:rFonts w:ascii="Times New Roman" w:hAnsi="Times New Roman"/>
                <w:color w:val="000000"/>
                <w:lang w:val="es-AR" w:eastAsia="es-AR"/>
              </w:rPr>
            </w:pPr>
            <w:r w:rsidRPr="00EB1098">
              <w:rPr>
                <w:rFonts w:ascii="Times New Roman" w:hAnsi="Times New Roman"/>
                <w:color w:val="000000"/>
                <w:lang w:val="es-AR" w:eastAsia="es-AR"/>
              </w:rPr>
              <w:t>8,0</w:t>
            </w:r>
          </w:p>
        </w:tc>
        <w:tc>
          <w:tcPr>
            <w:tcW w:w="1020" w:type="dxa"/>
            <w:tcBorders>
              <w:top w:val="nil"/>
              <w:left w:val="nil"/>
              <w:bottom w:val="nil"/>
              <w:right w:val="nil"/>
            </w:tcBorders>
            <w:shd w:val="clear" w:color="000000" w:fill="FFFFFF"/>
            <w:noWrap/>
            <w:vAlign w:val="center"/>
            <w:hideMark/>
          </w:tcPr>
          <w:p w:rsidR="00EB1098" w:rsidRPr="00EB1098" w:rsidRDefault="00EB1098" w:rsidP="00DA5B35">
            <w:pPr>
              <w:jc w:val="right"/>
              <w:rPr>
                <w:rFonts w:ascii="Times New Roman" w:hAnsi="Times New Roman"/>
                <w:color w:val="000000"/>
                <w:lang w:val="es-AR" w:eastAsia="es-AR"/>
              </w:rPr>
            </w:pPr>
            <w:r w:rsidRPr="00EB1098">
              <w:rPr>
                <w:rFonts w:ascii="Times New Roman" w:hAnsi="Times New Roman"/>
                <w:color w:val="000000"/>
                <w:lang w:val="es-AR" w:eastAsia="es-AR"/>
              </w:rPr>
              <w:t>17.0</w:t>
            </w:r>
          </w:p>
        </w:tc>
        <w:tc>
          <w:tcPr>
            <w:tcW w:w="1097" w:type="dxa"/>
            <w:tcBorders>
              <w:top w:val="nil"/>
              <w:left w:val="nil"/>
              <w:bottom w:val="nil"/>
              <w:right w:val="nil"/>
            </w:tcBorders>
            <w:shd w:val="clear" w:color="000000" w:fill="FFFFFF"/>
            <w:noWrap/>
            <w:vAlign w:val="center"/>
            <w:hideMark/>
          </w:tcPr>
          <w:p w:rsidR="00EB1098" w:rsidRPr="00EB1098" w:rsidRDefault="00EB1098" w:rsidP="00DA5B35">
            <w:pPr>
              <w:jc w:val="right"/>
              <w:rPr>
                <w:rFonts w:ascii="Times New Roman" w:hAnsi="Times New Roman"/>
                <w:color w:val="000000"/>
                <w:lang w:val="es-AR" w:eastAsia="es-AR"/>
              </w:rPr>
            </w:pPr>
            <w:r w:rsidRPr="00EB1098">
              <w:rPr>
                <w:rFonts w:ascii="Times New Roman" w:hAnsi="Times New Roman"/>
                <w:color w:val="000000"/>
                <w:lang w:val="es-AR" w:eastAsia="es-AR"/>
              </w:rPr>
              <w:t>4.000</w:t>
            </w:r>
          </w:p>
        </w:tc>
        <w:tc>
          <w:tcPr>
            <w:tcW w:w="1295" w:type="dxa"/>
            <w:tcBorders>
              <w:top w:val="nil"/>
              <w:left w:val="nil"/>
              <w:bottom w:val="nil"/>
              <w:right w:val="nil"/>
            </w:tcBorders>
            <w:shd w:val="clear" w:color="000000" w:fill="FFFFFF"/>
            <w:noWrap/>
            <w:vAlign w:val="center"/>
            <w:hideMark/>
          </w:tcPr>
          <w:p w:rsidR="00EB1098" w:rsidRPr="00EB1098" w:rsidRDefault="00EB1098" w:rsidP="00DA5B35">
            <w:pPr>
              <w:jc w:val="right"/>
              <w:rPr>
                <w:rFonts w:ascii="Times New Roman" w:hAnsi="Times New Roman"/>
                <w:color w:val="000000"/>
                <w:lang w:val="es-AR" w:eastAsia="es-AR"/>
              </w:rPr>
            </w:pPr>
            <w:r w:rsidRPr="00EB1098">
              <w:rPr>
                <w:rFonts w:ascii="Times New Roman" w:hAnsi="Times New Roman"/>
                <w:color w:val="000000"/>
                <w:lang w:val="es-AR" w:eastAsia="es-AR"/>
              </w:rPr>
              <w:t>467.500</w:t>
            </w:r>
          </w:p>
        </w:tc>
        <w:tc>
          <w:tcPr>
            <w:tcW w:w="1185" w:type="dxa"/>
            <w:tcBorders>
              <w:top w:val="nil"/>
              <w:left w:val="nil"/>
              <w:bottom w:val="nil"/>
              <w:right w:val="nil"/>
            </w:tcBorders>
            <w:shd w:val="clear" w:color="000000" w:fill="FFFFFF"/>
            <w:noWrap/>
            <w:vAlign w:val="center"/>
            <w:hideMark/>
          </w:tcPr>
          <w:p w:rsidR="00EB1098" w:rsidRPr="00EB1098" w:rsidRDefault="00EB1098" w:rsidP="00EB1098">
            <w:pPr>
              <w:jc w:val="center"/>
              <w:rPr>
                <w:rFonts w:ascii="Times New Roman" w:hAnsi="Times New Roman"/>
                <w:color w:val="000000"/>
                <w:lang w:val="es-AR" w:eastAsia="es-AR"/>
              </w:rPr>
            </w:pPr>
            <w:r w:rsidRPr="00EB1098">
              <w:rPr>
                <w:rFonts w:ascii="Times New Roman" w:hAnsi="Times New Roman"/>
                <w:color w:val="000000"/>
                <w:lang w:val="es-AR" w:eastAsia="es-AR"/>
              </w:rPr>
              <w:t>0,86%</w:t>
            </w:r>
          </w:p>
        </w:tc>
      </w:tr>
      <w:tr w:rsidR="00EB1098" w:rsidRPr="00EB1098" w:rsidTr="00EB1098">
        <w:trPr>
          <w:trHeight w:val="305"/>
        </w:trPr>
        <w:tc>
          <w:tcPr>
            <w:tcW w:w="911" w:type="dxa"/>
            <w:tcBorders>
              <w:top w:val="nil"/>
              <w:left w:val="nil"/>
              <w:bottom w:val="nil"/>
              <w:right w:val="nil"/>
            </w:tcBorders>
            <w:shd w:val="clear" w:color="000000" w:fill="FFFFFF"/>
            <w:noWrap/>
            <w:vAlign w:val="center"/>
            <w:hideMark/>
          </w:tcPr>
          <w:p w:rsidR="00EB1098" w:rsidRPr="00EB1098" w:rsidRDefault="00EB1098" w:rsidP="00EB1098">
            <w:pPr>
              <w:jc w:val="center"/>
              <w:rPr>
                <w:rFonts w:ascii="Times New Roman" w:hAnsi="Times New Roman"/>
                <w:color w:val="000000"/>
                <w:lang w:val="es-AR" w:eastAsia="es-AR"/>
              </w:rPr>
            </w:pPr>
            <w:r w:rsidRPr="00EB1098">
              <w:rPr>
                <w:rFonts w:ascii="Times New Roman" w:hAnsi="Times New Roman"/>
                <w:color w:val="000000"/>
                <w:lang w:val="es-AR" w:eastAsia="es-AR"/>
              </w:rPr>
              <w:t>1933</w:t>
            </w:r>
          </w:p>
        </w:tc>
        <w:tc>
          <w:tcPr>
            <w:tcW w:w="1837" w:type="dxa"/>
            <w:tcBorders>
              <w:top w:val="nil"/>
              <w:left w:val="nil"/>
              <w:bottom w:val="nil"/>
              <w:right w:val="nil"/>
            </w:tcBorders>
            <w:shd w:val="clear" w:color="000000" w:fill="FFFFFF"/>
            <w:noWrap/>
            <w:vAlign w:val="center"/>
            <w:hideMark/>
          </w:tcPr>
          <w:p w:rsidR="00EB1098" w:rsidRPr="00EB1098" w:rsidRDefault="00EB1098" w:rsidP="00EB1098">
            <w:pPr>
              <w:rPr>
                <w:rFonts w:ascii="Times New Roman" w:hAnsi="Times New Roman"/>
                <w:color w:val="000000"/>
                <w:lang w:val="es-AR" w:eastAsia="es-AR"/>
              </w:rPr>
            </w:pPr>
            <w:r w:rsidRPr="00EB1098">
              <w:rPr>
                <w:rFonts w:ascii="Times New Roman" w:hAnsi="Times New Roman"/>
                <w:color w:val="000000"/>
                <w:lang w:val="es-AR" w:eastAsia="es-AR"/>
              </w:rPr>
              <w:t>Sanriku, Japan</w:t>
            </w:r>
          </w:p>
        </w:tc>
        <w:tc>
          <w:tcPr>
            <w:tcW w:w="1010" w:type="dxa"/>
            <w:tcBorders>
              <w:top w:val="nil"/>
              <w:left w:val="nil"/>
              <w:bottom w:val="nil"/>
              <w:right w:val="nil"/>
            </w:tcBorders>
            <w:shd w:val="clear" w:color="000000" w:fill="FFFFFF"/>
            <w:noWrap/>
            <w:vAlign w:val="center"/>
            <w:hideMark/>
          </w:tcPr>
          <w:p w:rsidR="00EB1098" w:rsidRPr="00EB1098" w:rsidRDefault="00EB1098" w:rsidP="00EB1098">
            <w:pPr>
              <w:jc w:val="center"/>
              <w:rPr>
                <w:rFonts w:ascii="Times New Roman" w:hAnsi="Times New Roman"/>
                <w:color w:val="000000"/>
                <w:lang w:val="es-AR" w:eastAsia="es-AR"/>
              </w:rPr>
            </w:pPr>
            <w:r w:rsidRPr="00EB1098">
              <w:rPr>
                <w:rFonts w:ascii="Times New Roman" w:hAnsi="Times New Roman"/>
                <w:color w:val="000000"/>
                <w:lang w:val="es-AR" w:eastAsia="es-AR"/>
              </w:rPr>
              <w:t>8,4</w:t>
            </w:r>
          </w:p>
        </w:tc>
        <w:tc>
          <w:tcPr>
            <w:tcW w:w="1020" w:type="dxa"/>
            <w:tcBorders>
              <w:top w:val="nil"/>
              <w:left w:val="nil"/>
              <w:bottom w:val="nil"/>
              <w:right w:val="nil"/>
            </w:tcBorders>
            <w:shd w:val="clear" w:color="000000" w:fill="FFFFFF"/>
            <w:noWrap/>
            <w:vAlign w:val="center"/>
            <w:hideMark/>
          </w:tcPr>
          <w:p w:rsidR="00EB1098" w:rsidRPr="00EB1098" w:rsidRDefault="00EB1098" w:rsidP="00DA5B35">
            <w:pPr>
              <w:jc w:val="right"/>
              <w:rPr>
                <w:rFonts w:ascii="Times New Roman" w:hAnsi="Times New Roman"/>
                <w:color w:val="000000"/>
                <w:lang w:val="es-AR" w:eastAsia="es-AR"/>
              </w:rPr>
            </w:pPr>
            <w:r w:rsidRPr="00EB1098">
              <w:rPr>
                <w:rFonts w:ascii="Times New Roman" w:hAnsi="Times New Roman"/>
                <w:color w:val="000000"/>
                <w:lang w:val="es-AR" w:eastAsia="es-AR"/>
              </w:rPr>
              <w:t>29.0</w:t>
            </w:r>
          </w:p>
        </w:tc>
        <w:tc>
          <w:tcPr>
            <w:tcW w:w="1097" w:type="dxa"/>
            <w:tcBorders>
              <w:top w:val="nil"/>
              <w:left w:val="nil"/>
              <w:bottom w:val="nil"/>
              <w:right w:val="nil"/>
            </w:tcBorders>
            <w:shd w:val="clear" w:color="000000" w:fill="FFFFFF"/>
            <w:noWrap/>
            <w:vAlign w:val="center"/>
            <w:hideMark/>
          </w:tcPr>
          <w:p w:rsidR="00EB1098" w:rsidRPr="00EB1098" w:rsidRDefault="00EB1098" w:rsidP="00DA5B35">
            <w:pPr>
              <w:jc w:val="right"/>
              <w:rPr>
                <w:rFonts w:ascii="Times New Roman" w:hAnsi="Times New Roman"/>
                <w:color w:val="000000"/>
                <w:lang w:val="es-AR" w:eastAsia="es-AR"/>
              </w:rPr>
            </w:pPr>
            <w:r w:rsidRPr="00EB1098">
              <w:rPr>
                <w:rFonts w:ascii="Times New Roman" w:hAnsi="Times New Roman"/>
                <w:color w:val="000000"/>
                <w:lang w:val="es-AR" w:eastAsia="es-AR"/>
              </w:rPr>
              <w:t>3.022</w:t>
            </w:r>
          </w:p>
        </w:tc>
        <w:tc>
          <w:tcPr>
            <w:tcW w:w="1295" w:type="dxa"/>
            <w:tcBorders>
              <w:top w:val="nil"/>
              <w:left w:val="nil"/>
              <w:bottom w:val="nil"/>
              <w:right w:val="nil"/>
            </w:tcBorders>
            <w:shd w:val="clear" w:color="000000" w:fill="FFFFFF"/>
            <w:noWrap/>
            <w:vAlign w:val="center"/>
            <w:hideMark/>
          </w:tcPr>
          <w:p w:rsidR="00EB1098" w:rsidRPr="00EB1098" w:rsidRDefault="00EB1098" w:rsidP="00DA5B35">
            <w:pPr>
              <w:jc w:val="right"/>
              <w:rPr>
                <w:rFonts w:ascii="Times New Roman" w:hAnsi="Times New Roman"/>
                <w:color w:val="000000"/>
                <w:lang w:val="es-AR" w:eastAsia="es-AR"/>
              </w:rPr>
            </w:pPr>
            <w:r w:rsidRPr="00EB1098">
              <w:rPr>
                <w:rFonts w:ascii="Times New Roman" w:hAnsi="Times New Roman"/>
                <w:color w:val="000000"/>
                <w:lang w:val="es-AR" w:eastAsia="es-AR"/>
              </w:rPr>
              <w:t>1.872.000</w:t>
            </w:r>
          </w:p>
        </w:tc>
        <w:tc>
          <w:tcPr>
            <w:tcW w:w="1185" w:type="dxa"/>
            <w:tcBorders>
              <w:top w:val="nil"/>
              <w:left w:val="nil"/>
              <w:bottom w:val="nil"/>
              <w:right w:val="nil"/>
            </w:tcBorders>
            <w:shd w:val="clear" w:color="000000" w:fill="FFFFFF"/>
            <w:noWrap/>
            <w:vAlign w:val="center"/>
            <w:hideMark/>
          </w:tcPr>
          <w:p w:rsidR="00EB1098" w:rsidRPr="00EB1098" w:rsidRDefault="00EB1098" w:rsidP="00EB1098">
            <w:pPr>
              <w:jc w:val="center"/>
              <w:rPr>
                <w:rFonts w:ascii="Times New Roman" w:hAnsi="Times New Roman"/>
                <w:color w:val="000000"/>
                <w:lang w:val="es-AR" w:eastAsia="es-AR"/>
              </w:rPr>
            </w:pPr>
            <w:r w:rsidRPr="00EB1098">
              <w:rPr>
                <w:rFonts w:ascii="Times New Roman" w:hAnsi="Times New Roman"/>
                <w:color w:val="000000"/>
                <w:lang w:val="es-AR" w:eastAsia="es-AR"/>
              </w:rPr>
              <w:t>0,16%</w:t>
            </w:r>
          </w:p>
        </w:tc>
      </w:tr>
      <w:tr w:rsidR="00EB1098" w:rsidRPr="00EB1098" w:rsidTr="00EB1098">
        <w:trPr>
          <w:trHeight w:val="305"/>
        </w:trPr>
        <w:tc>
          <w:tcPr>
            <w:tcW w:w="911" w:type="dxa"/>
            <w:tcBorders>
              <w:top w:val="nil"/>
              <w:left w:val="nil"/>
              <w:bottom w:val="nil"/>
              <w:right w:val="nil"/>
            </w:tcBorders>
            <w:shd w:val="clear" w:color="000000" w:fill="FFFFFF"/>
            <w:noWrap/>
            <w:vAlign w:val="center"/>
            <w:hideMark/>
          </w:tcPr>
          <w:p w:rsidR="00EB1098" w:rsidRPr="00EB1098" w:rsidRDefault="00EB1098" w:rsidP="00EB1098">
            <w:pPr>
              <w:jc w:val="center"/>
              <w:rPr>
                <w:rFonts w:ascii="Times New Roman" w:hAnsi="Times New Roman"/>
                <w:color w:val="000000"/>
                <w:lang w:val="es-AR" w:eastAsia="es-AR"/>
              </w:rPr>
            </w:pPr>
            <w:r w:rsidRPr="00EB1098">
              <w:rPr>
                <w:rFonts w:ascii="Times New Roman" w:hAnsi="Times New Roman"/>
                <w:color w:val="000000"/>
                <w:lang w:val="es-AR" w:eastAsia="es-AR"/>
              </w:rPr>
              <w:t>1896</w:t>
            </w:r>
          </w:p>
        </w:tc>
        <w:tc>
          <w:tcPr>
            <w:tcW w:w="1837" w:type="dxa"/>
            <w:tcBorders>
              <w:top w:val="nil"/>
              <w:left w:val="nil"/>
              <w:bottom w:val="nil"/>
              <w:right w:val="nil"/>
            </w:tcBorders>
            <w:shd w:val="clear" w:color="000000" w:fill="FFFFFF"/>
            <w:noWrap/>
            <w:vAlign w:val="center"/>
            <w:hideMark/>
          </w:tcPr>
          <w:p w:rsidR="00EB1098" w:rsidRPr="00EB1098" w:rsidRDefault="00EB1098" w:rsidP="00EB1098">
            <w:pPr>
              <w:rPr>
                <w:rFonts w:ascii="Times New Roman" w:hAnsi="Times New Roman"/>
                <w:color w:val="000000"/>
                <w:lang w:val="es-AR" w:eastAsia="es-AR"/>
              </w:rPr>
            </w:pPr>
            <w:r w:rsidRPr="00EB1098">
              <w:rPr>
                <w:rFonts w:ascii="Times New Roman" w:hAnsi="Times New Roman"/>
                <w:color w:val="000000"/>
                <w:lang w:val="es-AR" w:eastAsia="es-AR"/>
              </w:rPr>
              <w:t>Sanriku, Japan</w:t>
            </w:r>
          </w:p>
        </w:tc>
        <w:tc>
          <w:tcPr>
            <w:tcW w:w="1010" w:type="dxa"/>
            <w:tcBorders>
              <w:top w:val="nil"/>
              <w:left w:val="nil"/>
              <w:bottom w:val="nil"/>
              <w:right w:val="nil"/>
            </w:tcBorders>
            <w:shd w:val="clear" w:color="000000" w:fill="FFFFFF"/>
            <w:noWrap/>
            <w:vAlign w:val="center"/>
            <w:hideMark/>
          </w:tcPr>
          <w:p w:rsidR="00EB1098" w:rsidRPr="00EB1098" w:rsidRDefault="00EB1098" w:rsidP="00EB1098">
            <w:pPr>
              <w:jc w:val="center"/>
              <w:rPr>
                <w:rFonts w:ascii="Times New Roman" w:hAnsi="Times New Roman"/>
                <w:color w:val="000000"/>
                <w:lang w:val="es-AR" w:eastAsia="es-AR"/>
              </w:rPr>
            </w:pPr>
            <w:r w:rsidRPr="00EB1098">
              <w:rPr>
                <w:rFonts w:ascii="Times New Roman" w:hAnsi="Times New Roman"/>
                <w:color w:val="000000"/>
                <w:lang w:val="es-AR" w:eastAsia="es-AR"/>
              </w:rPr>
              <w:t>9,4</w:t>
            </w:r>
          </w:p>
        </w:tc>
        <w:tc>
          <w:tcPr>
            <w:tcW w:w="1020" w:type="dxa"/>
            <w:tcBorders>
              <w:top w:val="nil"/>
              <w:left w:val="nil"/>
              <w:bottom w:val="nil"/>
              <w:right w:val="nil"/>
            </w:tcBorders>
            <w:shd w:val="clear" w:color="000000" w:fill="FFFFFF"/>
            <w:noWrap/>
            <w:vAlign w:val="center"/>
            <w:hideMark/>
          </w:tcPr>
          <w:p w:rsidR="00EB1098" w:rsidRPr="00EB1098" w:rsidRDefault="00EB1098" w:rsidP="00DA5B35">
            <w:pPr>
              <w:jc w:val="right"/>
              <w:rPr>
                <w:rFonts w:ascii="Times New Roman" w:hAnsi="Times New Roman"/>
                <w:color w:val="000000"/>
                <w:lang w:val="es-AR" w:eastAsia="es-AR"/>
              </w:rPr>
            </w:pPr>
            <w:r w:rsidRPr="00EB1098">
              <w:rPr>
                <w:rFonts w:ascii="Times New Roman" w:hAnsi="Times New Roman"/>
                <w:color w:val="000000"/>
                <w:lang w:val="es-AR" w:eastAsia="es-AR"/>
              </w:rPr>
              <w:t>38.0</w:t>
            </w:r>
          </w:p>
        </w:tc>
        <w:tc>
          <w:tcPr>
            <w:tcW w:w="1097" w:type="dxa"/>
            <w:tcBorders>
              <w:top w:val="nil"/>
              <w:left w:val="nil"/>
              <w:bottom w:val="nil"/>
              <w:right w:val="nil"/>
            </w:tcBorders>
            <w:shd w:val="clear" w:color="000000" w:fill="FFFFFF"/>
            <w:noWrap/>
            <w:vAlign w:val="center"/>
            <w:hideMark/>
          </w:tcPr>
          <w:p w:rsidR="00EB1098" w:rsidRPr="00EB1098" w:rsidRDefault="00EB1098" w:rsidP="00DA5B35">
            <w:pPr>
              <w:jc w:val="right"/>
              <w:rPr>
                <w:rFonts w:ascii="Times New Roman" w:hAnsi="Times New Roman"/>
                <w:color w:val="000000"/>
                <w:lang w:val="es-AR" w:eastAsia="es-AR"/>
              </w:rPr>
            </w:pPr>
            <w:r w:rsidRPr="00EB1098">
              <w:rPr>
                <w:rFonts w:ascii="Times New Roman" w:hAnsi="Times New Roman"/>
                <w:color w:val="000000"/>
                <w:lang w:val="es-AR" w:eastAsia="es-AR"/>
              </w:rPr>
              <w:t>26.000</w:t>
            </w:r>
          </w:p>
        </w:tc>
        <w:tc>
          <w:tcPr>
            <w:tcW w:w="1295" w:type="dxa"/>
            <w:tcBorders>
              <w:top w:val="nil"/>
              <w:left w:val="nil"/>
              <w:bottom w:val="nil"/>
              <w:right w:val="nil"/>
            </w:tcBorders>
            <w:shd w:val="clear" w:color="000000" w:fill="FFFFFF"/>
            <w:noWrap/>
            <w:vAlign w:val="center"/>
            <w:hideMark/>
          </w:tcPr>
          <w:p w:rsidR="00EB1098" w:rsidRPr="00EB1098" w:rsidRDefault="00EB1098" w:rsidP="00DA5B35">
            <w:pPr>
              <w:jc w:val="right"/>
              <w:rPr>
                <w:rFonts w:ascii="Times New Roman" w:hAnsi="Times New Roman"/>
                <w:color w:val="000000"/>
                <w:lang w:val="es-AR" w:eastAsia="es-AR"/>
              </w:rPr>
            </w:pPr>
            <w:r w:rsidRPr="00EB1098">
              <w:rPr>
                <w:rFonts w:ascii="Times New Roman" w:hAnsi="Times New Roman"/>
                <w:color w:val="000000"/>
                <w:lang w:val="es-AR" w:eastAsia="es-AR"/>
              </w:rPr>
              <w:t>1.144.000</w:t>
            </w:r>
          </w:p>
        </w:tc>
        <w:tc>
          <w:tcPr>
            <w:tcW w:w="1185" w:type="dxa"/>
            <w:tcBorders>
              <w:top w:val="nil"/>
              <w:left w:val="nil"/>
              <w:bottom w:val="nil"/>
              <w:right w:val="nil"/>
            </w:tcBorders>
            <w:shd w:val="clear" w:color="000000" w:fill="FFFFFF"/>
            <w:noWrap/>
            <w:vAlign w:val="center"/>
            <w:hideMark/>
          </w:tcPr>
          <w:p w:rsidR="00EB1098" w:rsidRPr="00EB1098" w:rsidRDefault="00EB1098" w:rsidP="00EB1098">
            <w:pPr>
              <w:jc w:val="center"/>
              <w:rPr>
                <w:rFonts w:ascii="Times New Roman" w:hAnsi="Times New Roman"/>
                <w:color w:val="000000"/>
                <w:lang w:val="es-AR" w:eastAsia="es-AR"/>
              </w:rPr>
            </w:pPr>
            <w:r w:rsidRPr="00EB1098">
              <w:rPr>
                <w:rFonts w:ascii="Times New Roman" w:hAnsi="Times New Roman"/>
                <w:color w:val="000000"/>
                <w:lang w:val="es-AR" w:eastAsia="es-AR"/>
              </w:rPr>
              <w:t>2,27%</w:t>
            </w:r>
          </w:p>
        </w:tc>
      </w:tr>
      <w:tr w:rsidR="00EB1098" w:rsidRPr="00EB1098" w:rsidTr="00EB1098">
        <w:trPr>
          <w:trHeight w:val="305"/>
        </w:trPr>
        <w:tc>
          <w:tcPr>
            <w:tcW w:w="911" w:type="dxa"/>
            <w:tcBorders>
              <w:top w:val="nil"/>
              <w:left w:val="nil"/>
              <w:bottom w:val="nil"/>
              <w:right w:val="nil"/>
            </w:tcBorders>
            <w:shd w:val="clear" w:color="000000" w:fill="FFFFFF"/>
            <w:noWrap/>
            <w:vAlign w:val="center"/>
            <w:hideMark/>
          </w:tcPr>
          <w:p w:rsidR="00EB1098" w:rsidRPr="00EB1098" w:rsidRDefault="00EB1098" w:rsidP="00EB1098">
            <w:pPr>
              <w:jc w:val="center"/>
              <w:rPr>
                <w:rFonts w:ascii="Times New Roman" w:hAnsi="Times New Roman"/>
                <w:color w:val="000000"/>
                <w:lang w:val="es-AR" w:eastAsia="es-AR"/>
              </w:rPr>
            </w:pPr>
            <w:r w:rsidRPr="00EB1098">
              <w:rPr>
                <w:rFonts w:ascii="Times New Roman" w:hAnsi="Times New Roman"/>
                <w:color w:val="000000"/>
                <w:lang w:val="es-AR" w:eastAsia="es-AR"/>
              </w:rPr>
              <w:t>1868</w:t>
            </w:r>
          </w:p>
        </w:tc>
        <w:tc>
          <w:tcPr>
            <w:tcW w:w="1837" w:type="dxa"/>
            <w:tcBorders>
              <w:top w:val="nil"/>
              <w:left w:val="nil"/>
              <w:bottom w:val="nil"/>
              <w:right w:val="nil"/>
            </w:tcBorders>
            <w:shd w:val="clear" w:color="000000" w:fill="FFFFFF"/>
            <w:noWrap/>
            <w:vAlign w:val="center"/>
            <w:hideMark/>
          </w:tcPr>
          <w:p w:rsidR="00EB1098" w:rsidRPr="00EB1098" w:rsidRDefault="00EB1098" w:rsidP="00EB1098">
            <w:pPr>
              <w:rPr>
                <w:rFonts w:ascii="Times New Roman" w:hAnsi="Times New Roman"/>
                <w:color w:val="000000"/>
                <w:lang w:val="es-AR" w:eastAsia="es-AR"/>
              </w:rPr>
            </w:pPr>
            <w:r w:rsidRPr="00EB1098">
              <w:rPr>
                <w:rFonts w:ascii="Times New Roman" w:hAnsi="Times New Roman"/>
                <w:color w:val="000000"/>
                <w:lang w:val="es-AR" w:eastAsia="es-AR"/>
              </w:rPr>
              <w:t>Chile-Peru</w:t>
            </w:r>
          </w:p>
        </w:tc>
        <w:tc>
          <w:tcPr>
            <w:tcW w:w="1010" w:type="dxa"/>
            <w:tcBorders>
              <w:top w:val="nil"/>
              <w:left w:val="nil"/>
              <w:bottom w:val="nil"/>
              <w:right w:val="nil"/>
            </w:tcBorders>
            <w:shd w:val="clear" w:color="000000" w:fill="FFFFFF"/>
            <w:noWrap/>
            <w:vAlign w:val="center"/>
            <w:hideMark/>
          </w:tcPr>
          <w:p w:rsidR="00EB1098" w:rsidRPr="00EB1098" w:rsidRDefault="00EB1098" w:rsidP="00EB1098">
            <w:pPr>
              <w:jc w:val="center"/>
              <w:rPr>
                <w:rFonts w:ascii="Times New Roman" w:hAnsi="Times New Roman"/>
                <w:color w:val="000000"/>
                <w:lang w:val="es-AR" w:eastAsia="es-AR"/>
              </w:rPr>
            </w:pPr>
            <w:r w:rsidRPr="00EB1098">
              <w:rPr>
                <w:rFonts w:ascii="Times New Roman" w:hAnsi="Times New Roman"/>
                <w:color w:val="000000"/>
                <w:lang w:val="es-AR" w:eastAsia="es-AR"/>
              </w:rPr>
              <w:t>8,3</w:t>
            </w:r>
          </w:p>
        </w:tc>
        <w:tc>
          <w:tcPr>
            <w:tcW w:w="1020" w:type="dxa"/>
            <w:tcBorders>
              <w:top w:val="nil"/>
              <w:left w:val="nil"/>
              <w:bottom w:val="nil"/>
              <w:right w:val="nil"/>
            </w:tcBorders>
            <w:shd w:val="clear" w:color="000000" w:fill="FFFFFF"/>
            <w:noWrap/>
            <w:vAlign w:val="center"/>
            <w:hideMark/>
          </w:tcPr>
          <w:p w:rsidR="00EB1098" w:rsidRPr="00EB1098" w:rsidRDefault="00EB1098" w:rsidP="00DA5B35">
            <w:pPr>
              <w:jc w:val="right"/>
              <w:rPr>
                <w:rFonts w:ascii="Times New Roman" w:hAnsi="Times New Roman"/>
                <w:color w:val="000000"/>
                <w:lang w:val="es-AR" w:eastAsia="es-AR"/>
              </w:rPr>
            </w:pPr>
            <w:r w:rsidRPr="00EB1098">
              <w:rPr>
                <w:rFonts w:ascii="Times New Roman" w:hAnsi="Times New Roman"/>
                <w:color w:val="000000"/>
                <w:lang w:val="es-AR" w:eastAsia="es-AR"/>
              </w:rPr>
              <w:t>24.0</w:t>
            </w:r>
          </w:p>
        </w:tc>
        <w:tc>
          <w:tcPr>
            <w:tcW w:w="1097" w:type="dxa"/>
            <w:tcBorders>
              <w:top w:val="nil"/>
              <w:left w:val="nil"/>
              <w:bottom w:val="nil"/>
              <w:right w:val="nil"/>
            </w:tcBorders>
            <w:shd w:val="clear" w:color="000000" w:fill="FFFFFF"/>
            <w:noWrap/>
            <w:vAlign w:val="center"/>
            <w:hideMark/>
          </w:tcPr>
          <w:p w:rsidR="00EB1098" w:rsidRPr="00EB1098" w:rsidRDefault="00EB1098" w:rsidP="00DA5B35">
            <w:pPr>
              <w:jc w:val="right"/>
              <w:rPr>
                <w:rFonts w:ascii="Times New Roman" w:hAnsi="Times New Roman"/>
                <w:color w:val="000000"/>
                <w:lang w:val="es-AR" w:eastAsia="es-AR"/>
              </w:rPr>
            </w:pPr>
            <w:r w:rsidRPr="00EB1098">
              <w:rPr>
                <w:rFonts w:ascii="Times New Roman" w:hAnsi="Times New Roman"/>
                <w:color w:val="000000"/>
                <w:lang w:val="es-AR" w:eastAsia="es-AR"/>
              </w:rPr>
              <w:t>27.282</w:t>
            </w:r>
          </w:p>
        </w:tc>
        <w:tc>
          <w:tcPr>
            <w:tcW w:w="1295" w:type="dxa"/>
            <w:tcBorders>
              <w:top w:val="nil"/>
              <w:left w:val="nil"/>
              <w:bottom w:val="nil"/>
              <w:right w:val="nil"/>
            </w:tcBorders>
            <w:shd w:val="clear" w:color="000000" w:fill="FFFFFF"/>
            <w:noWrap/>
            <w:vAlign w:val="center"/>
            <w:hideMark/>
          </w:tcPr>
          <w:p w:rsidR="00EB1098" w:rsidRPr="00EB1098" w:rsidRDefault="00EB1098" w:rsidP="00DA5B35">
            <w:pPr>
              <w:jc w:val="right"/>
              <w:rPr>
                <w:rFonts w:ascii="Times New Roman" w:hAnsi="Times New Roman"/>
                <w:color w:val="000000"/>
                <w:lang w:val="es-AR" w:eastAsia="es-AR"/>
              </w:rPr>
            </w:pPr>
            <w:r w:rsidRPr="00EB1098">
              <w:rPr>
                <w:rFonts w:ascii="Times New Roman" w:hAnsi="Times New Roman"/>
                <w:color w:val="000000"/>
                <w:lang w:val="es-AR" w:eastAsia="es-AR"/>
              </w:rPr>
              <w:t>400.000</w:t>
            </w:r>
          </w:p>
        </w:tc>
        <w:tc>
          <w:tcPr>
            <w:tcW w:w="1185" w:type="dxa"/>
            <w:tcBorders>
              <w:top w:val="nil"/>
              <w:left w:val="nil"/>
              <w:bottom w:val="nil"/>
              <w:right w:val="nil"/>
            </w:tcBorders>
            <w:shd w:val="clear" w:color="000000" w:fill="FFFFFF"/>
            <w:noWrap/>
            <w:vAlign w:val="center"/>
            <w:hideMark/>
          </w:tcPr>
          <w:p w:rsidR="00EB1098" w:rsidRPr="00EB1098" w:rsidRDefault="00EB1098" w:rsidP="00EB1098">
            <w:pPr>
              <w:jc w:val="center"/>
              <w:rPr>
                <w:rFonts w:ascii="Times New Roman" w:hAnsi="Times New Roman"/>
                <w:color w:val="000000"/>
                <w:lang w:val="es-AR" w:eastAsia="es-AR"/>
              </w:rPr>
            </w:pPr>
            <w:r w:rsidRPr="00EB1098">
              <w:rPr>
                <w:rFonts w:ascii="Times New Roman" w:hAnsi="Times New Roman"/>
                <w:color w:val="000000"/>
                <w:lang w:val="es-AR" w:eastAsia="es-AR"/>
              </w:rPr>
              <w:t>6,82%</w:t>
            </w:r>
          </w:p>
        </w:tc>
      </w:tr>
    </w:tbl>
    <w:p w:rsidR="00EB1098" w:rsidRPr="00EB2AE0" w:rsidRDefault="00EB1098" w:rsidP="00EB1098">
      <w:pPr>
        <w:rPr>
          <w:rFonts w:ascii="Times New Roman" w:hAnsi="Times New Roman"/>
          <w:color w:val="000000"/>
          <w:lang w:eastAsia="es-AR"/>
        </w:rPr>
      </w:pPr>
      <w:r w:rsidRPr="0007638B">
        <w:rPr>
          <w:rFonts w:ascii="Times New Roman" w:hAnsi="Times New Roman"/>
          <w:i/>
          <w:lang w:eastAsia="es-AR"/>
        </w:rPr>
        <w:t xml:space="preserve">Fuentes: Desastres </w:t>
      </w:r>
      <w:r w:rsidR="00DA5B35" w:rsidRPr="0007638B">
        <w:rPr>
          <w:rFonts w:ascii="Times New Roman" w:hAnsi="Times New Roman"/>
          <w:i/>
          <w:lang w:eastAsia="es-AR"/>
        </w:rPr>
        <w:t xml:space="preserve">TohokunUniversity-IRIDeS. A Global Assessment of tsunami hazards over the last 400 </w:t>
      </w:r>
      <w:proofErr w:type="gramStart"/>
      <w:r w:rsidR="00DA5B35" w:rsidRPr="0007638B">
        <w:rPr>
          <w:rFonts w:ascii="Times New Roman" w:hAnsi="Times New Roman"/>
          <w:i/>
          <w:lang w:eastAsia="es-AR"/>
        </w:rPr>
        <w:t>years  y</w:t>
      </w:r>
      <w:proofErr w:type="gramEnd"/>
      <w:r w:rsidR="00DA5B35" w:rsidRPr="0007638B">
        <w:rPr>
          <w:rFonts w:ascii="Times New Roman" w:hAnsi="Times New Roman"/>
          <w:i/>
          <w:lang w:eastAsia="es-AR"/>
        </w:rPr>
        <w:t xml:space="preserve"> </w:t>
      </w:r>
      <w:hyperlink r:id="rId10" w:history="1">
        <w:r w:rsidR="00DA5B35" w:rsidRPr="00F62BC7">
          <w:rPr>
            <w:rStyle w:val="Hyperlink"/>
            <w:rFonts w:ascii="Times New Roman" w:hAnsi="Times New Roman"/>
            <w:i/>
            <w:lang w:eastAsia="es-AR"/>
          </w:rPr>
          <w:t>www.tsunami-alarm-system.com/en/phenomenon-tsunami/occurrences-pacific-ocean.html</w:t>
        </w:r>
      </w:hyperlink>
      <w:r w:rsidRPr="00DA5B35">
        <w:rPr>
          <w:rFonts w:ascii="Times New Roman" w:hAnsi="Times New Roman"/>
          <w:i/>
          <w:color w:val="000000"/>
          <w:lang w:eastAsia="es-AR"/>
        </w:rPr>
        <w:t>.</w:t>
      </w:r>
      <w:r w:rsidRPr="00EB2AE0">
        <w:rPr>
          <w:rFonts w:ascii="Times New Roman" w:hAnsi="Times New Roman"/>
          <w:color w:val="000000"/>
          <w:lang w:eastAsia="es-AR"/>
        </w:rPr>
        <w:t xml:space="preserve"> </w:t>
      </w:r>
      <w:r w:rsidRPr="0007638B">
        <w:rPr>
          <w:rFonts w:ascii="Times New Roman" w:hAnsi="Times New Roman"/>
          <w:i/>
          <w:color w:val="000000"/>
          <w:lang w:val="es-ES_tradnl" w:eastAsia="es-AR"/>
        </w:rPr>
        <w:t>Población expuesta.</w:t>
      </w:r>
      <w:r w:rsidRPr="00DA5B35">
        <w:rPr>
          <w:rFonts w:ascii="Times New Roman" w:hAnsi="Times New Roman"/>
          <w:i/>
          <w:lang w:val="es-ES"/>
        </w:rPr>
        <w:t xml:space="preserve"> GAR. Evaluación de riesgo global de desastres. Cap. 2. 2009</w:t>
      </w:r>
      <w:r w:rsidRPr="00EB2AE0">
        <w:rPr>
          <w:rFonts w:ascii="Times New Roman" w:hAnsi="Times New Roman"/>
          <w:color w:val="000000"/>
          <w:lang w:eastAsia="es-AR"/>
        </w:rPr>
        <w:t>.</w:t>
      </w:r>
    </w:p>
    <w:p w:rsidR="00EB1098" w:rsidRDefault="00EB1098" w:rsidP="00EB1098">
      <w:pPr>
        <w:jc w:val="center"/>
        <w:rPr>
          <w:rFonts w:ascii="Times New Roman" w:hAnsi="Times New Roman"/>
          <w:lang w:val="es-AR"/>
        </w:rPr>
      </w:pPr>
    </w:p>
    <w:p w:rsidR="00EB1098" w:rsidRPr="00EB1098" w:rsidRDefault="00EB1098" w:rsidP="00EB1098">
      <w:pPr>
        <w:jc w:val="center"/>
        <w:rPr>
          <w:rFonts w:ascii="Times New Roman" w:hAnsi="Times New Roman"/>
          <w:bCs/>
          <w:sz w:val="22"/>
          <w:lang w:val="es-ES_tradnl"/>
        </w:rPr>
      </w:pPr>
    </w:p>
    <w:p w:rsidR="00EB1098" w:rsidRPr="00EB1098" w:rsidRDefault="00EB1098" w:rsidP="00EB1098">
      <w:pPr>
        <w:pStyle w:val="ListParagraph"/>
        <w:numPr>
          <w:ilvl w:val="1"/>
          <w:numId w:val="12"/>
        </w:numPr>
        <w:jc w:val="both"/>
        <w:rPr>
          <w:rFonts w:ascii="Times New Roman" w:hAnsi="Times New Roman"/>
          <w:bCs/>
          <w:sz w:val="22"/>
          <w:lang w:val="es-ES_tradnl"/>
        </w:rPr>
      </w:pPr>
      <w:r w:rsidRPr="00EB1098">
        <w:rPr>
          <w:rFonts w:ascii="Times New Roman" w:hAnsi="Times New Roman"/>
          <w:bCs/>
          <w:sz w:val="22"/>
          <w:lang w:val="es-ES_tradnl"/>
        </w:rPr>
        <w:t xml:space="preserve">La información </w:t>
      </w:r>
      <w:r w:rsidR="00DA5B35">
        <w:rPr>
          <w:rFonts w:ascii="Times New Roman" w:hAnsi="Times New Roman"/>
          <w:bCs/>
          <w:sz w:val="22"/>
          <w:lang w:val="es-ES_tradnl"/>
        </w:rPr>
        <w:t>resumida permite incorporar en el cálculo presentado en</w:t>
      </w:r>
      <w:r w:rsidRPr="00EB1098">
        <w:rPr>
          <w:rFonts w:ascii="Times New Roman" w:hAnsi="Times New Roman"/>
          <w:bCs/>
          <w:sz w:val="22"/>
          <w:lang w:val="es-ES_tradnl"/>
        </w:rPr>
        <w:t xml:space="preserve"> la columna</w:t>
      </w:r>
      <w:r w:rsidR="00DA5B35">
        <w:rPr>
          <w:rFonts w:ascii="Times New Roman" w:hAnsi="Times New Roman"/>
          <w:bCs/>
          <w:sz w:val="22"/>
          <w:lang w:val="es-ES_tradnl"/>
        </w:rPr>
        <w:t xml:space="preserve"> final (relación Pérdida de Vidas / Población Expuesta) un marco de referencia. Se observa que los desastres presentaron un rango entre 0.16% y 6.94% (promedio lineal 2.75%). </w:t>
      </w:r>
      <w:r w:rsidRPr="00EB1098">
        <w:rPr>
          <w:rFonts w:ascii="Times New Roman" w:hAnsi="Times New Roman"/>
          <w:bCs/>
          <w:sz w:val="22"/>
          <w:lang w:val="es-ES_tradnl"/>
        </w:rPr>
        <w:t xml:space="preserve">En general es conocido que los mayores impactos se </w:t>
      </w:r>
      <w:r w:rsidR="00DA5B35">
        <w:rPr>
          <w:rFonts w:ascii="Times New Roman" w:hAnsi="Times New Roman"/>
          <w:bCs/>
          <w:sz w:val="22"/>
          <w:lang w:val="es-ES_tradnl"/>
        </w:rPr>
        <w:t>han registrado</w:t>
      </w:r>
      <w:r w:rsidRPr="00EB1098">
        <w:rPr>
          <w:rFonts w:ascii="Times New Roman" w:hAnsi="Times New Roman"/>
          <w:bCs/>
          <w:sz w:val="22"/>
          <w:lang w:val="es-ES_tradnl"/>
        </w:rPr>
        <w:t xml:space="preserve"> en aquellas regiones donde la vulnerabilidad de los territorios era mayor y donde no existían SATs</w:t>
      </w:r>
      <w:r w:rsidR="00DA5B35">
        <w:rPr>
          <w:rFonts w:ascii="Times New Roman" w:hAnsi="Times New Roman"/>
          <w:bCs/>
          <w:sz w:val="22"/>
          <w:lang w:val="es-ES_tradnl"/>
        </w:rPr>
        <w:t xml:space="preserve"> operativos</w:t>
      </w:r>
      <w:r w:rsidRPr="00EB1098">
        <w:rPr>
          <w:rFonts w:ascii="Times New Roman" w:hAnsi="Times New Roman"/>
          <w:bCs/>
          <w:sz w:val="22"/>
          <w:lang w:val="es-ES_tradnl"/>
        </w:rPr>
        <w:t xml:space="preserve">. </w:t>
      </w:r>
      <w:r w:rsidR="00127AE3" w:rsidRPr="00EB1098">
        <w:rPr>
          <w:rFonts w:ascii="Times New Roman" w:hAnsi="Times New Roman"/>
          <w:bCs/>
          <w:sz w:val="22"/>
          <w:lang w:val="es-ES_tradnl"/>
        </w:rPr>
        <w:t>También</w:t>
      </w:r>
      <w:r w:rsidRPr="00EB1098">
        <w:rPr>
          <w:rFonts w:ascii="Times New Roman" w:hAnsi="Times New Roman"/>
          <w:bCs/>
          <w:sz w:val="22"/>
          <w:lang w:val="es-ES_tradnl"/>
        </w:rPr>
        <w:t xml:space="preserve"> se menciona </w:t>
      </w:r>
      <w:r w:rsidR="00DA5B35">
        <w:rPr>
          <w:rFonts w:ascii="Times New Roman" w:hAnsi="Times New Roman"/>
          <w:bCs/>
          <w:sz w:val="22"/>
          <w:lang w:val="es-ES_tradnl"/>
        </w:rPr>
        <w:t xml:space="preserve">para el evento </w:t>
      </w:r>
      <w:r w:rsidRPr="00EB1098">
        <w:rPr>
          <w:rFonts w:ascii="Times New Roman" w:hAnsi="Times New Roman"/>
          <w:bCs/>
          <w:sz w:val="22"/>
          <w:lang w:val="es-ES_tradnl"/>
        </w:rPr>
        <w:t xml:space="preserve">de Japón 2011 </w:t>
      </w:r>
      <w:r w:rsidR="00DA5B35">
        <w:rPr>
          <w:rFonts w:ascii="Times New Roman" w:hAnsi="Times New Roman"/>
          <w:bCs/>
          <w:sz w:val="22"/>
          <w:lang w:val="es-ES_tradnl"/>
        </w:rPr>
        <w:t xml:space="preserve">que  </w:t>
      </w:r>
      <w:r w:rsidRPr="00EB1098">
        <w:rPr>
          <w:rFonts w:ascii="Times New Roman" w:hAnsi="Times New Roman"/>
          <w:bCs/>
          <w:sz w:val="22"/>
          <w:lang w:val="es-ES_tradnl"/>
        </w:rPr>
        <w:t>existía efectivamente un SAT</w:t>
      </w:r>
      <w:r w:rsidR="00CD5C16">
        <w:rPr>
          <w:rFonts w:ascii="Times New Roman" w:hAnsi="Times New Roman"/>
          <w:bCs/>
          <w:sz w:val="22"/>
          <w:lang w:val="es-ES_tradnl"/>
        </w:rPr>
        <w:t>,</w:t>
      </w:r>
      <w:r w:rsidRPr="00EB1098">
        <w:rPr>
          <w:rFonts w:ascii="Times New Roman" w:hAnsi="Times New Roman"/>
          <w:bCs/>
          <w:sz w:val="22"/>
          <w:lang w:val="es-ES_tradnl"/>
        </w:rPr>
        <w:t xml:space="preserve"> pero </w:t>
      </w:r>
      <w:r w:rsidR="00DA5B35">
        <w:rPr>
          <w:rFonts w:ascii="Times New Roman" w:hAnsi="Times New Roman"/>
          <w:bCs/>
          <w:sz w:val="22"/>
          <w:lang w:val="es-ES_tradnl"/>
        </w:rPr>
        <w:t xml:space="preserve">el mismo </w:t>
      </w:r>
      <w:r w:rsidRPr="00EB1098">
        <w:rPr>
          <w:rFonts w:ascii="Times New Roman" w:hAnsi="Times New Roman"/>
          <w:bCs/>
          <w:sz w:val="22"/>
          <w:lang w:val="es-ES_tradnl"/>
        </w:rPr>
        <w:t>no habría operado de modo eficiente.</w:t>
      </w:r>
    </w:p>
    <w:p w:rsidR="00C67C36" w:rsidRDefault="00EB1098" w:rsidP="00EB1098">
      <w:pPr>
        <w:pStyle w:val="ListParagraph"/>
        <w:numPr>
          <w:ilvl w:val="1"/>
          <w:numId w:val="12"/>
        </w:numPr>
        <w:jc w:val="both"/>
        <w:rPr>
          <w:rFonts w:ascii="Times New Roman" w:hAnsi="Times New Roman"/>
          <w:bCs/>
          <w:sz w:val="22"/>
          <w:lang w:val="es-ES_tradnl"/>
        </w:rPr>
      </w:pPr>
      <w:r w:rsidRPr="00EB1098">
        <w:rPr>
          <w:rFonts w:ascii="Times New Roman" w:hAnsi="Times New Roman"/>
          <w:bCs/>
          <w:sz w:val="22"/>
          <w:lang w:val="es-ES_tradnl"/>
        </w:rPr>
        <w:t xml:space="preserve">Avanzando a la </w:t>
      </w:r>
      <w:r w:rsidR="00DA5B35">
        <w:rPr>
          <w:rFonts w:ascii="Times New Roman" w:hAnsi="Times New Roman"/>
          <w:bCs/>
          <w:sz w:val="22"/>
          <w:lang w:val="es-ES_tradnl"/>
        </w:rPr>
        <w:t xml:space="preserve">referencia de la </w:t>
      </w:r>
      <w:r w:rsidRPr="00EB1098">
        <w:rPr>
          <w:rFonts w:ascii="Times New Roman" w:hAnsi="Times New Roman"/>
          <w:bCs/>
          <w:sz w:val="22"/>
          <w:lang w:val="es-ES_tradnl"/>
        </w:rPr>
        <w:t xml:space="preserve">vulnerabilidad de la </w:t>
      </w:r>
      <w:r w:rsidR="00CD5C16">
        <w:rPr>
          <w:rFonts w:ascii="Times New Roman" w:hAnsi="Times New Roman"/>
          <w:bCs/>
          <w:sz w:val="22"/>
          <w:lang w:val="es-ES_tradnl"/>
        </w:rPr>
        <w:t>región</w:t>
      </w:r>
      <w:r w:rsidRPr="00EB1098">
        <w:rPr>
          <w:rFonts w:ascii="Times New Roman" w:hAnsi="Times New Roman"/>
          <w:bCs/>
          <w:sz w:val="22"/>
          <w:lang w:val="es-ES_tradnl"/>
        </w:rPr>
        <w:t xml:space="preserve"> expuesta de Ecuador, los asentamientos humanos se presentan en zonas bajas y planas, cerca de playas de poca pendiente, sobre islas arenosas, presentando elevado riesgo ante tsunamis por su alta vulnerabilidad, física, socio–cultural, y morfológica, ante la inexistencia de zonas que brinden seguridad y la desaparición de barreras naturales. Se considera que la pérdida de vidas, el número de personas heridas y el daño de infraestructuras pueden ser extremadamente altos en caso de un evento extremo</w:t>
      </w:r>
      <w:r w:rsidR="00DA5B35">
        <w:rPr>
          <w:rFonts w:ascii="Times New Roman" w:hAnsi="Times New Roman"/>
          <w:bCs/>
          <w:sz w:val="22"/>
          <w:lang w:val="es-ES_tradnl"/>
        </w:rPr>
        <w:t>,</w:t>
      </w:r>
      <w:r w:rsidRPr="00EB1098">
        <w:rPr>
          <w:rFonts w:ascii="Times New Roman" w:hAnsi="Times New Roman"/>
          <w:bCs/>
          <w:sz w:val="22"/>
          <w:lang w:val="es-ES_tradnl"/>
        </w:rPr>
        <w:t xml:space="preserve"> comparable a los observados en Océano Índico 2004 y Japón 2011</w:t>
      </w:r>
      <w:r w:rsidR="00DA5B35">
        <w:rPr>
          <w:rFonts w:ascii="Times New Roman" w:hAnsi="Times New Roman"/>
          <w:bCs/>
          <w:sz w:val="22"/>
          <w:lang w:val="es-ES_tradnl"/>
        </w:rPr>
        <w:t>.</w:t>
      </w:r>
    </w:p>
    <w:p w:rsidR="00137FC7" w:rsidRDefault="00ED6C08" w:rsidP="00160FB3">
      <w:pPr>
        <w:pStyle w:val="ListParagraph"/>
        <w:numPr>
          <w:ilvl w:val="1"/>
          <w:numId w:val="12"/>
        </w:numPr>
        <w:jc w:val="both"/>
        <w:rPr>
          <w:rFonts w:ascii="Times New Roman" w:hAnsi="Times New Roman"/>
          <w:bCs/>
          <w:sz w:val="22"/>
          <w:lang w:val="es-ES_tradnl"/>
        </w:rPr>
      </w:pPr>
      <w:r w:rsidRPr="00160FB3">
        <w:rPr>
          <w:rFonts w:ascii="Times New Roman" w:hAnsi="Times New Roman"/>
          <w:bCs/>
          <w:sz w:val="22"/>
          <w:lang w:val="es-ES_tradnl"/>
        </w:rPr>
        <w:t>Teniendo en cuenta los elementos planteados</w:t>
      </w:r>
      <w:r w:rsidR="004D618E" w:rsidRPr="00160FB3">
        <w:rPr>
          <w:rFonts w:ascii="Times New Roman" w:hAnsi="Times New Roman"/>
          <w:bCs/>
          <w:sz w:val="22"/>
          <w:lang w:val="es-ES_tradnl"/>
        </w:rPr>
        <w:t xml:space="preserve"> y las referencias expuestas</w:t>
      </w:r>
      <w:r w:rsidRPr="00160FB3">
        <w:rPr>
          <w:rFonts w:ascii="Times New Roman" w:hAnsi="Times New Roman"/>
          <w:bCs/>
          <w:sz w:val="22"/>
          <w:lang w:val="es-ES_tradnl"/>
        </w:rPr>
        <w:t xml:space="preserve">, se </w:t>
      </w:r>
      <w:r w:rsidR="004D618E" w:rsidRPr="00160FB3">
        <w:rPr>
          <w:rFonts w:ascii="Times New Roman" w:hAnsi="Times New Roman"/>
          <w:bCs/>
          <w:sz w:val="22"/>
          <w:lang w:val="es-ES_tradnl"/>
        </w:rPr>
        <w:t>estim</w:t>
      </w:r>
      <w:r w:rsidR="00CD5C16">
        <w:rPr>
          <w:rFonts w:ascii="Times New Roman" w:hAnsi="Times New Roman"/>
          <w:bCs/>
          <w:sz w:val="22"/>
          <w:lang w:val="es-ES_tradnl"/>
        </w:rPr>
        <w:t>ó</w:t>
      </w:r>
      <w:r w:rsidR="004D618E" w:rsidRPr="00160FB3">
        <w:rPr>
          <w:rFonts w:ascii="Times New Roman" w:hAnsi="Times New Roman"/>
          <w:bCs/>
          <w:sz w:val="22"/>
          <w:lang w:val="es-ES_tradnl"/>
        </w:rPr>
        <w:t xml:space="preserve"> el riesgo </w:t>
      </w:r>
      <w:r w:rsidR="00DA5B35" w:rsidRPr="00160FB3">
        <w:rPr>
          <w:rFonts w:ascii="Times New Roman" w:hAnsi="Times New Roman"/>
          <w:bCs/>
          <w:sz w:val="22"/>
          <w:lang w:val="es-ES_tradnl"/>
        </w:rPr>
        <w:t xml:space="preserve">máximo </w:t>
      </w:r>
      <w:r w:rsidR="004D618E" w:rsidRPr="00160FB3">
        <w:rPr>
          <w:rFonts w:ascii="Times New Roman" w:hAnsi="Times New Roman"/>
          <w:bCs/>
          <w:sz w:val="22"/>
          <w:lang w:val="es-ES_tradnl"/>
        </w:rPr>
        <w:t xml:space="preserve">del evento sobre la base de una pérdida de vidas de </w:t>
      </w:r>
      <w:r w:rsidR="00233C88" w:rsidRPr="00160FB3">
        <w:rPr>
          <w:rFonts w:ascii="Times New Roman" w:hAnsi="Times New Roman"/>
          <w:bCs/>
          <w:sz w:val="22"/>
          <w:lang w:val="es-ES_tradnl"/>
        </w:rPr>
        <w:t>21</w:t>
      </w:r>
      <w:r w:rsidR="00137FC7" w:rsidRPr="00160FB3">
        <w:rPr>
          <w:rFonts w:ascii="Times New Roman" w:hAnsi="Times New Roman"/>
          <w:bCs/>
          <w:sz w:val="22"/>
          <w:lang w:val="es-ES_tradnl"/>
        </w:rPr>
        <w:t>.</w:t>
      </w:r>
      <w:r w:rsidR="004D618E" w:rsidRPr="00160FB3">
        <w:rPr>
          <w:rFonts w:ascii="Times New Roman" w:hAnsi="Times New Roman"/>
          <w:bCs/>
          <w:sz w:val="22"/>
          <w:lang w:val="es-ES_tradnl"/>
        </w:rPr>
        <w:t xml:space="preserve">000 </w:t>
      </w:r>
      <w:r w:rsidR="00DA5B35" w:rsidRPr="00160FB3">
        <w:rPr>
          <w:rFonts w:ascii="Times New Roman" w:hAnsi="Times New Roman"/>
          <w:bCs/>
          <w:sz w:val="22"/>
          <w:lang w:val="es-ES_tradnl"/>
        </w:rPr>
        <w:t>con</w:t>
      </w:r>
      <w:r w:rsidR="004D618E" w:rsidRPr="00160FB3">
        <w:rPr>
          <w:rFonts w:ascii="Times New Roman" w:hAnsi="Times New Roman"/>
          <w:bCs/>
          <w:sz w:val="22"/>
          <w:lang w:val="es-ES_tradnl"/>
        </w:rPr>
        <w:t xml:space="preserve"> una probabilid</w:t>
      </w:r>
      <w:r w:rsidR="00684270" w:rsidRPr="00160FB3">
        <w:rPr>
          <w:rFonts w:ascii="Times New Roman" w:hAnsi="Times New Roman"/>
          <w:bCs/>
          <w:sz w:val="22"/>
          <w:lang w:val="es-ES_tradnl"/>
        </w:rPr>
        <w:t>a</w:t>
      </w:r>
      <w:r w:rsidR="004D618E" w:rsidRPr="00160FB3">
        <w:rPr>
          <w:rFonts w:ascii="Times New Roman" w:hAnsi="Times New Roman"/>
          <w:bCs/>
          <w:sz w:val="22"/>
          <w:lang w:val="es-ES_tradnl"/>
        </w:rPr>
        <w:t>d de ocurrencia de 10% en los próximos 50 años</w:t>
      </w:r>
      <w:r w:rsidR="00233C88" w:rsidRPr="00160FB3">
        <w:rPr>
          <w:rFonts w:ascii="Times New Roman" w:hAnsi="Times New Roman"/>
          <w:bCs/>
          <w:sz w:val="22"/>
          <w:lang w:val="es-ES_tradnl"/>
        </w:rPr>
        <w:t xml:space="preserve"> (p=  1:500)</w:t>
      </w:r>
      <w:r w:rsidR="004D618E" w:rsidRPr="00160FB3">
        <w:rPr>
          <w:rFonts w:ascii="Times New Roman" w:hAnsi="Times New Roman"/>
          <w:bCs/>
          <w:sz w:val="22"/>
          <w:lang w:val="es-ES_tradnl"/>
        </w:rPr>
        <w:t>.</w:t>
      </w:r>
      <w:r w:rsidR="00DA5B35" w:rsidRPr="00160FB3">
        <w:rPr>
          <w:rFonts w:ascii="Times New Roman" w:hAnsi="Times New Roman"/>
          <w:bCs/>
          <w:sz w:val="22"/>
          <w:lang w:val="es-ES_tradnl"/>
        </w:rPr>
        <w:t xml:space="preserve"> Dicho valor representa </w:t>
      </w:r>
      <w:r w:rsidR="00D358F2" w:rsidRPr="00160FB3">
        <w:rPr>
          <w:rFonts w:ascii="Times New Roman" w:hAnsi="Times New Roman"/>
          <w:bCs/>
          <w:sz w:val="22"/>
          <w:lang w:val="es-ES_tradnl"/>
        </w:rPr>
        <w:t>el 2.03% de la Población expuesta a amenazas de tsunami, estimada en 1.034.9</w:t>
      </w:r>
      <w:r w:rsidR="00AB7DBE">
        <w:rPr>
          <w:rFonts w:ascii="Times New Roman" w:hAnsi="Times New Roman"/>
          <w:bCs/>
          <w:sz w:val="22"/>
          <w:lang w:val="es-ES_tradnl"/>
        </w:rPr>
        <w:t>2</w:t>
      </w:r>
      <w:r w:rsidR="00D358F2" w:rsidRPr="00160FB3">
        <w:rPr>
          <w:rFonts w:ascii="Times New Roman" w:hAnsi="Times New Roman"/>
          <w:bCs/>
          <w:sz w:val="22"/>
          <w:lang w:val="es-ES_tradnl"/>
        </w:rPr>
        <w:t>9 por los expertos técnicos del GdE</w:t>
      </w:r>
      <w:r w:rsidR="00CD5C16">
        <w:rPr>
          <w:rFonts w:ascii="Times New Roman" w:hAnsi="Times New Roman"/>
          <w:bCs/>
          <w:sz w:val="22"/>
          <w:lang w:val="es-ES_tradnl"/>
        </w:rPr>
        <w:t xml:space="preserve"> (cifras por debajo de promedio antes referido)</w:t>
      </w:r>
      <w:r w:rsidR="00D358F2" w:rsidRPr="00160FB3">
        <w:rPr>
          <w:rFonts w:ascii="Times New Roman" w:hAnsi="Times New Roman"/>
          <w:bCs/>
          <w:sz w:val="22"/>
          <w:lang w:val="es-ES_tradnl"/>
        </w:rPr>
        <w:t xml:space="preserve">. </w:t>
      </w:r>
      <w:r w:rsidR="00DA5B35" w:rsidRPr="00160FB3">
        <w:rPr>
          <w:rFonts w:ascii="Times New Roman" w:hAnsi="Times New Roman"/>
          <w:bCs/>
          <w:sz w:val="22"/>
          <w:lang w:val="es-ES_tradnl"/>
        </w:rPr>
        <w:t xml:space="preserve">A los fines de establecer un escenario complementario, </w:t>
      </w:r>
      <w:r w:rsidR="00D358F2" w:rsidRPr="00160FB3">
        <w:rPr>
          <w:rFonts w:ascii="Times New Roman" w:hAnsi="Times New Roman"/>
          <w:bCs/>
          <w:sz w:val="22"/>
          <w:lang w:val="es-ES_tradnl"/>
        </w:rPr>
        <w:t xml:space="preserve">sobre la base de una probabilidad p 1.250 (un desastre cada 250 años) </w:t>
      </w:r>
      <w:r w:rsidR="00CD5C16">
        <w:rPr>
          <w:rFonts w:ascii="Times New Roman" w:hAnsi="Times New Roman"/>
          <w:bCs/>
          <w:sz w:val="22"/>
          <w:lang w:val="es-ES_tradnl"/>
        </w:rPr>
        <w:t xml:space="preserve">se estimó </w:t>
      </w:r>
      <w:r w:rsidR="00D358F2" w:rsidRPr="00160FB3">
        <w:rPr>
          <w:rFonts w:ascii="Times New Roman" w:hAnsi="Times New Roman"/>
          <w:bCs/>
          <w:sz w:val="22"/>
          <w:lang w:val="es-ES_tradnl"/>
        </w:rPr>
        <w:t>una pérdida potencial máxima de 5.250 vidas, equivalente al 0.51% de la Población expuesta.</w:t>
      </w:r>
      <w:r w:rsidR="00160FB3" w:rsidRPr="00160FB3">
        <w:rPr>
          <w:rFonts w:ascii="Times New Roman" w:hAnsi="Times New Roman"/>
          <w:bCs/>
          <w:sz w:val="22"/>
          <w:lang w:val="es-ES_tradnl"/>
        </w:rPr>
        <w:t xml:space="preserve"> </w:t>
      </w:r>
      <w:r w:rsidR="00D00925">
        <w:rPr>
          <w:rFonts w:ascii="Times New Roman" w:hAnsi="Times New Roman"/>
          <w:bCs/>
          <w:sz w:val="22"/>
          <w:lang w:val="es-ES_tradnl"/>
        </w:rPr>
        <w:t>Este dato es razonable c</w:t>
      </w:r>
      <w:r w:rsidR="00160FB3" w:rsidRPr="00160FB3">
        <w:rPr>
          <w:rFonts w:ascii="Times New Roman" w:hAnsi="Times New Roman"/>
          <w:bCs/>
          <w:sz w:val="22"/>
          <w:lang w:val="es-ES_tradnl"/>
        </w:rPr>
        <w:t xml:space="preserve">onsiderando </w:t>
      </w:r>
      <w:r w:rsidR="00D00925">
        <w:rPr>
          <w:rFonts w:ascii="Times New Roman" w:hAnsi="Times New Roman"/>
          <w:bCs/>
          <w:sz w:val="22"/>
          <w:lang w:val="es-ES_tradnl"/>
        </w:rPr>
        <w:t xml:space="preserve">dos factores: (i) ante </w:t>
      </w:r>
      <w:r w:rsidR="00160FB3" w:rsidRPr="00160FB3">
        <w:rPr>
          <w:rFonts w:ascii="Times New Roman" w:hAnsi="Times New Roman"/>
          <w:bCs/>
          <w:sz w:val="22"/>
          <w:lang w:val="es-ES_tradnl"/>
        </w:rPr>
        <w:t xml:space="preserve">un período de </w:t>
      </w:r>
      <w:r w:rsidR="00D00925">
        <w:rPr>
          <w:rFonts w:ascii="Times New Roman" w:hAnsi="Times New Roman"/>
          <w:bCs/>
          <w:sz w:val="22"/>
          <w:lang w:val="es-ES_tradnl"/>
        </w:rPr>
        <w:t xml:space="preserve">recurrencia </w:t>
      </w:r>
      <w:r w:rsidR="00160FB3" w:rsidRPr="00160FB3">
        <w:rPr>
          <w:rFonts w:ascii="Times New Roman" w:hAnsi="Times New Roman"/>
          <w:bCs/>
          <w:sz w:val="22"/>
          <w:lang w:val="es-ES_tradnl"/>
        </w:rPr>
        <w:t>menor</w:t>
      </w:r>
      <w:r w:rsidR="00D00925">
        <w:rPr>
          <w:rFonts w:ascii="Times New Roman" w:hAnsi="Times New Roman"/>
          <w:bCs/>
          <w:sz w:val="22"/>
          <w:lang w:val="es-ES_tradnl"/>
        </w:rPr>
        <w:t>,</w:t>
      </w:r>
      <w:r w:rsidR="00160FB3" w:rsidRPr="00160FB3">
        <w:rPr>
          <w:rFonts w:ascii="Times New Roman" w:hAnsi="Times New Roman"/>
          <w:bCs/>
          <w:sz w:val="22"/>
          <w:lang w:val="es-ES_tradnl"/>
        </w:rPr>
        <w:t xml:space="preserve"> la pérdida potencia</w:t>
      </w:r>
      <w:r w:rsidR="00160FB3">
        <w:rPr>
          <w:rFonts w:ascii="Times New Roman" w:hAnsi="Times New Roman"/>
          <w:bCs/>
          <w:sz w:val="22"/>
          <w:lang w:val="es-ES_tradnl"/>
        </w:rPr>
        <w:t xml:space="preserve">l máxima </w:t>
      </w:r>
      <w:r w:rsidR="00160FB3" w:rsidRPr="00160FB3">
        <w:rPr>
          <w:rFonts w:ascii="Times New Roman" w:hAnsi="Times New Roman"/>
          <w:bCs/>
          <w:sz w:val="22"/>
          <w:lang w:val="es-ES_tradnl"/>
        </w:rPr>
        <w:t>se reduce más que proporcionalmente</w:t>
      </w:r>
      <w:r w:rsidR="00160FB3">
        <w:rPr>
          <w:rFonts w:ascii="Times New Roman" w:hAnsi="Times New Roman"/>
          <w:bCs/>
          <w:sz w:val="22"/>
          <w:lang w:val="es-ES_tradnl"/>
        </w:rPr>
        <w:t xml:space="preserve"> (aspecto ampliado en Capítulo 4. Escenarios Complementarios de Evaluación)</w:t>
      </w:r>
      <w:r w:rsidR="00D00925">
        <w:rPr>
          <w:rFonts w:ascii="Times New Roman" w:hAnsi="Times New Roman"/>
          <w:bCs/>
          <w:sz w:val="22"/>
          <w:lang w:val="es-ES_tradnl"/>
        </w:rPr>
        <w:t>; (ii) el porcentaje de vidas pérdidas sobre la población expuesta de los tres eventos menos severos en la Tabla 6 es 0.58%</w:t>
      </w:r>
      <w:r w:rsidR="00160FB3" w:rsidRPr="00160FB3">
        <w:rPr>
          <w:rFonts w:ascii="Times New Roman" w:hAnsi="Times New Roman"/>
          <w:bCs/>
          <w:sz w:val="22"/>
          <w:lang w:val="es-ES_tradnl"/>
        </w:rPr>
        <w:t>. Dado que los valores presentan una alta incertidumbre</w:t>
      </w:r>
      <w:r w:rsidR="00CD5C16">
        <w:rPr>
          <w:rFonts w:ascii="Times New Roman" w:hAnsi="Times New Roman"/>
          <w:bCs/>
          <w:sz w:val="22"/>
          <w:lang w:val="es-ES_tradnl"/>
        </w:rPr>
        <w:t xml:space="preserve"> por la naturaleza del fenómeno</w:t>
      </w:r>
      <w:r w:rsidR="00160FB3" w:rsidRPr="00160FB3">
        <w:rPr>
          <w:rFonts w:ascii="Times New Roman" w:hAnsi="Times New Roman"/>
          <w:bCs/>
          <w:sz w:val="22"/>
          <w:lang w:val="es-ES_tradnl"/>
        </w:rPr>
        <w:t xml:space="preserve">, los resultados presentados se exponen asumiendo que la </w:t>
      </w:r>
      <w:r w:rsidR="00160FB3">
        <w:rPr>
          <w:rFonts w:ascii="Times New Roman" w:hAnsi="Times New Roman"/>
          <w:bCs/>
          <w:sz w:val="22"/>
          <w:lang w:val="es-ES_tradnl"/>
        </w:rPr>
        <w:t xml:space="preserve">magnitud de ambos impactos citados </w:t>
      </w:r>
      <w:r w:rsidR="00CD5C16">
        <w:rPr>
          <w:rFonts w:ascii="Times New Roman" w:hAnsi="Times New Roman"/>
          <w:bCs/>
          <w:sz w:val="22"/>
          <w:lang w:val="es-ES_tradnl"/>
        </w:rPr>
        <w:t>podrían</w:t>
      </w:r>
      <w:r w:rsidR="00160FB3" w:rsidRPr="00160FB3">
        <w:rPr>
          <w:rFonts w:ascii="Times New Roman" w:hAnsi="Times New Roman"/>
          <w:bCs/>
          <w:sz w:val="22"/>
          <w:lang w:val="es-ES_tradnl"/>
        </w:rPr>
        <w:t xml:space="preserve"> moverse dentro </w:t>
      </w:r>
      <w:r w:rsidR="00CD5C16">
        <w:rPr>
          <w:rFonts w:ascii="Times New Roman" w:hAnsi="Times New Roman"/>
          <w:bCs/>
          <w:sz w:val="22"/>
          <w:lang w:val="es-ES_tradnl"/>
        </w:rPr>
        <w:t>del</w:t>
      </w:r>
      <w:r w:rsidR="00160FB3" w:rsidRPr="00160FB3">
        <w:rPr>
          <w:rFonts w:ascii="Times New Roman" w:hAnsi="Times New Roman"/>
          <w:bCs/>
          <w:sz w:val="22"/>
          <w:lang w:val="es-ES_tradnl"/>
        </w:rPr>
        <w:t xml:space="preserve"> rango de valores que se presenta</w:t>
      </w:r>
      <w:r w:rsidR="00CD5C16">
        <w:rPr>
          <w:rFonts w:ascii="Times New Roman" w:hAnsi="Times New Roman"/>
          <w:bCs/>
          <w:sz w:val="22"/>
          <w:lang w:val="es-ES_tradnl"/>
        </w:rPr>
        <w:t>n</w:t>
      </w:r>
      <w:r w:rsidR="00160FB3" w:rsidRPr="00160FB3">
        <w:rPr>
          <w:rFonts w:ascii="Times New Roman" w:hAnsi="Times New Roman"/>
          <w:bCs/>
          <w:sz w:val="22"/>
          <w:lang w:val="es-ES_tradnl"/>
        </w:rPr>
        <w:t xml:space="preserve"> en la tabla que sigue.</w:t>
      </w:r>
    </w:p>
    <w:p w:rsidR="005B041D" w:rsidRDefault="005B041D" w:rsidP="00160FB3">
      <w:pPr>
        <w:pStyle w:val="ListParagraph"/>
        <w:ind w:left="432"/>
        <w:jc w:val="center"/>
        <w:rPr>
          <w:rFonts w:ascii="Times New Roman" w:hAnsi="Times New Roman"/>
          <w:b/>
          <w:lang w:val="es-AR"/>
        </w:rPr>
      </w:pPr>
    </w:p>
    <w:p w:rsidR="00160FB3" w:rsidRDefault="00160FB3" w:rsidP="00160FB3">
      <w:pPr>
        <w:pStyle w:val="ListParagraph"/>
        <w:ind w:left="432"/>
        <w:jc w:val="center"/>
        <w:rPr>
          <w:rFonts w:ascii="Times New Roman" w:hAnsi="Times New Roman"/>
          <w:lang w:val="es-AR"/>
        </w:rPr>
      </w:pPr>
      <w:r w:rsidRPr="00EB1098">
        <w:rPr>
          <w:rFonts w:ascii="Times New Roman" w:hAnsi="Times New Roman"/>
          <w:b/>
          <w:lang w:val="es-AR"/>
        </w:rPr>
        <w:t xml:space="preserve">Tabla </w:t>
      </w:r>
      <w:r w:rsidR="00081A23" w:rsidRPr="00EB1098">
        <w:rPr>
          <w:rFonts w:ascii="Times New Roman" w:hAnsi="Times New Roman"/>
          <w:b/>
        </w:rPr>
        <w:fldChar w:fldCharType="begin"/>
      </w:r>
      <w:r w:rsidRPr="00EB1098">
        <w:rPr>
          <w:rFonts w:ascii="Times New Roman" w:hAnsi="Times New Roman"/>
          <w:b/>
          <w:lang w:val="es-AR"/>
        </w:rPr>
        <w:instrText xml:space="preserve"> SEQ Tabla \* ARABIC </w:instrText>
      </w:r>
      <w:r w:rsidR="00081A23" w:rsidRPr="00EB1098">
        <w:rPr>
          <w:rFonts w:ascii="Times New Roman" w:hAnsi="Times New Roman"/>
          <w:b/>
        </w:rPr>
        <w:fldChar w:fldCharType="separate"/>
      </w:r>
      <w:r>
        <w:rPr>
          <w:rFonts w:ascii="Times New Roman" w:hAnsi="Times New Roman"/>
          <w:b/>
          <w:noProof/>
          <w:lang w:val="es-AR"/>
        </w:rPr>
        <w:t>7</w:t>
      </w:r>
      <w:r w:rsidR="00081A23" w:rsidRPr="00EB1098">
        <w:rPr>
          <w:rFonts w:ascii="Times New Roman" w:hAnsi="Times New Roman"/>
          <w:b/>
        </w:rPr>
        <w:fldChar w:fldCharType="end"/>
      </w:r>
      <w:r w:rsidRPr="00EB1098">
        <w:rPr>
          <w:rFonts w:ascii="Times New Roman" w:hAnsi="Times New Roman"/>
          <w:lang w:val="es-AR"/>
        </w:rPr>
        <w:t xml:space="preserve">. </w:t>
      </w:r>
      <w:r>
        <w:rPr>
          <w:rFonts w:ascii="Times New Roman" w:hAnsi="Times New Roman"/>
          <w:lang w:val="es-AR"/>
        </w:rPr>
        <w:t>Probabilidad de ocurrencia y rangos de magnitud asociada.</w:t>
      </w:r>
      <w:r w:rsidR="009D33DE">
        <w:rPr>
          <w:rFonts w:ascii="Times New Roman" w:hAnsi="Times New Roman"/>
          <w:lang w:val="es-AR"/>
        </w:rPr>
        <w:t xml:space="preserve"> Pérdida de vidas.</w:t>
      </w:r>
    </w:p>
    <w:p w:rsidR="005B041D" w:rsidRDefault="005B041D" w:rsidP="00160FB3">
      <w:pPr>
        <w:pStyle w:val="ListParagraph"/>
        <w:ind w:left="432"/>
        <w:jc w:val="center"/>
        <w:rPr>
          <w:rFonts w:ascii="Times New Roman" w:hAnsi="Times New Roman"/>
          <w:lang w:val="es-AR"/>
        </w:rPr>
      </w:pPr>
    </w:p>
    <w:tbl>
      <w:tblPr>
        <w:tblW w:w="6638" w:type="dxa"/>
        <w:jc w:val="center"/>
        <w:tblInd w:w="720" w:type="dxa"/>
        <w:tblCellMar>
          <w:left w:w="70" w:type="dxa"/>
          <w:right w:w="70" w:type="dxa"/>
        </w:tblCellMar>
        <w:tblLook w:val="04A0" w:firstRow="1" w:lastRow="0" w:firstColumn="1" w:lastColumn="0" w:noHBand="0" w:noVBand="1"/>
      </w:tblPr>
      <w:tblGrid>
        <w:gridCol w:w="1352"/>
        <w:gridCol w:w="1145"/>
        <w:gridCol w:w="1315"/>
        <w:gridCol w:w="1413"/>
        <w:gridCol w:w="1413"/>
      </w:tblGrid>
      <w:tr w:rsidR="00160FB3" w:rsidRPr="00160FB3" w:rsidTr="00160FB3">
        <w:trPr>
          <w:trHeight w:val="628"/>
          <w:jc w:val="center"/>
        </w:trPr>
        <w:tc>
          <w:tcPr>
            <w:tcW w:w="13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0FB3" w:rsidRPr="00160FB3" w:rsidRDefault="00160FB3" w:rsidP="00160FB3">
            <w:pPr>
              <w:jc w:val="center"/>
              <w:rPr>
                <w:rFonts w:ascii="Times New Roman" w:hAnsi="Times New Roman"/>
                <w:color w:val="000000"/>
                <w:lang w:val="es-AR" w:eastAsia="es-AR"/>
              </w:rPr>
            </w:pPr>
            <w:r w:rsidRPr="00160FB3">
              <w:rPr>
                <w:rFonts w:ascii="Times New Roman" w:hAnsi="Times New Roman"/>
                <w:color w:val="000000"/>
                <w:lang w:val="es-AR" w:eastAsia="es-AR"/>
              </w:rPr>
              <w:t>Situación</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rsidR="00160FB3" w:rsidRPr="00160FB3" w:rsidRDefault="00160FB3" w:rsidP="00160FB3">
            <w:pPr>
              <w:jc w:val="center"/>
              <w:rPr>
                <w:rFonts w:ascii="Times New Roman" w:hAnsi="Times New Roman"/>
                <w:color w:val="000000"/>
                <w:lang w:val="es-AR" w:eastAsia="es-AR"/>
              </w:rPr>
            </w:pPr>
            <w:r w:rsidRPr="00160FB3">
              <w:rPr>
                <w:rFonts w:ascii="Times New Roman" w:hAnsi="Times New Roman"/>
                <w:color w:val="000000"/>
                <w:lang w:val="es-AR" w:eastAsia="es-AR"/>
              </w:rPr>
              <w:t>Perdida media</w:t>
            </w:r>
          </w:p>
        </w:tc>
        <w:tc>
          <w:tcPr>
            <w:tcW w:w="1315" w:type="dxa"/>
            <w:tcBorders>
              <w:top w:val="single" w:sz="4" w:space="0" w:color="auto"/>
              <w:left w:val="nil"/>
              <w:bottom w:val="single" w:sz="4" w:space="0" w:color="auto"/>
              <w:right w:val="single" w:sz="4" w:space="0" w:color="auto"/>
            </w:tcBorders>
            <w:shd w:val="clear" w:color="000000" w:fill="FFFFFF"/>
            <w:noWrap/>
            <w:vAlign w:val="center"/>
            <w:hideMark/>
          </w:tcPr>
          <w:p w:rsidR="00160FB3" w:rsidRPr="00160FB3" w:rsidRDefault="00160FB3" w:rsidP="00160FB3">
            <w:pPr>
              <w:jc w:val="center"/>
              <w:rPr>
                <w:rFonts w:ascii="Times New Roman" w:hAnsi="Times New Roman"/>
                <w:color w:val="000000"/>
                <w:lang w:val="es-AR" w:eastAsia="es-AR"/>
              </w:rPr>
            </w:pPr>
            <w:r w:rsidRPr="00160FB3">
              <w:rPr>
                <w:rFonts w:ascii="Times New Roman" w:hAnsi="Times New Roman"/>
                <w:color w:val="000000"/>
                <w:lang w:val="es-AR" w:eastAsia="es-AR"/>
              </w:rPr>
              <w:t>Probabil</w:t>
            </w:r>
          </w:p>
        </w:tc>
        <w:tc>
          <w:tcPr>
            <w:tcW w:w="1413" w:type="dxa"/>
            <w:tcBorders>
              <w:top w:val="single" w:sz="4" w:space="0" w:color="auto"/>
              <w:left w:val="nil"/>
              <w:bottom w:val="single" w:sz="4" w:space="0" w:color="auto"/>
              <w:right w:val="single" w:sz="4" w:space="0" w:color="auto"/>
            </w:tcBorders>
            <w:shd w:val="clear" w:color="000000" w:fill="FFFFFF"/>
            <w:vAlign w:val="center"/>
            <w:hideMark/>
          </w:tcPr>
          <w:p w:rsidR="00160FB3" w:rsidRPr="00160FB3" w:rsidRDefault="00160FB3" w:rsidP="00160FB3">
            <w:pPr>
              <w:jc w:val="center"/>
              <w:rPr>
                <w:rFonts w:ascii="Times New Roman" w:hAnsi="Times New Roman"/>
                <w:color w:val="000000"/>
                <w:lang w:val="es-AR" w:eastAsia="es-AR"/>
              </w:rPr>
            </w:pPr>
            <w:r w:rsidRPr="00160FB3">
              <w:rPr>
                <w:rFonts w:ascii="Times New Roman" w:hAnsi="Times New Roman"/>
                <w:color w:val="000000"/>
                <w:lang w:val="es-AR" w:eastAsia="es-AR"/>
              </w:rPr>
              <w:t>Mínimo</w:t>
            </w:r>
          </w:p>
        </w:tc>
        <w:tc>
          <w:tcPr>
            <w:tcW w:w="1413" w:type="dxa"/>
            <w:tcBorders>
              <w:top w:val="single" w:sz="4" w:space="0" w:color="auto"/>
              <w:left w:val="nil"/>
              <w:bottom w:val="single" w:sz="4" w:space="0" w:color="auto"/>
              <w:right w:val="single" w:sz="4" w:space="0" w:color="auto"/>
            </w:tcBorders>
            <w:shd w:val="clear" w:color="000000" w:fill="FFFFFF"/>
            <w:vAlign w:val="center"/>
            <w:hideMark/>
          </w:tcPr>
          <w:p w:rsidR="00160FB3" w:rsidRPr="00160FB3" w:rsidRDefault="00160FB3" w:rsidP="00160FB3">
            <w:pPr>
              <w:jc w:val="center"/>
              <w:rPr>
                <w:rFonts w:ascii="Times New Roman" w:hAnsi="Times New Roman"/>
                <w:color w:val="000000"/>
                <w:lang w:val="es-AR" w:eastAsia="es-AR"/>
              </w:rPr>
            </w:pPr>
            <w:r w:rsidRPr="00160FB3">
              <w:rPr>
                <w:rFonts w:ascii="Times New Roman" w:hAnsi="Times New Roman"/>
                <w:color w:val="000000"/>
                <w:lang w:val="es-AR" w:eastAsia="es-AR"/>
              </w:rPr>
              <w:t>Máximo</w:t>
            </w:r>
          </w:p>
        </w:tc>
      </w:tr>
      <w:tr w:rsidR="00160FB3" w:rsidRPr="00160FB3" w:rsidTr="00160FB3">
        <w:trPr>
          <w:trHeight w:val="306"/>
          <w:jc w:val="center"/>
        </w:trPr>
        <w:tc>
          <w:tcPr>
            <w:tcW w:w="1352" w:type="dxa"/>
            <w:vMerge w:val="restart"/>
            <w:tcBorders>
              <w:top w:val="single" w:sz="4" w:space="0" w:color="auto"/>
              <w:left w:val="single" w:sz="4" w:space="0" w:color="auto"/>
              <w:bottom w:val="single" w:sz="4" w:space="0" w:color="000000"/>
              <w:right w:val="nil"/>
            </w:tcBorders>
            <w:shd w:val="clear" w:color="000000" w:fill="FFFFFF"/>
            <w:vAlign w:val="center"/>
            <w:hideMark/>
          </w:tcPr>
          <w:p w:rsidR="00160FB3" w:rsidRPr="00160FB3" w:rsidRDefault="00160FB3" w:rsidP="00160FB3">
            <w:pPr>
              <w:jc w:val="center"/>
              <w:rPr>
                <w:rFonts w:ascii="Times New Roman" w:hAnsi="Times New Roman"/>
                <w:color w:val="000000"/>
                <w:lang w:val="es-AR" w:eastAsia="es-AR"/>
              </w:rPr>
            </w:pPr>
            <w:r w:rsidRPr="00160FB3">
              <w:rPr>
                <w:rFonts w:ascii="Times New Roman" w:hAnsi="Times New Roman"/>
                <w:color w:val="000000"/>
                <w:lang w:val="es-AR" w:eastAsia="es-AR"/>
              </w:rPr>
              <w:t>Sin proyecto</w:t>
            </w:r>
          </w:p>
        </w:tc>
        <w:tc>
          <w:tcPr>
            <w:tcW w:w="1145" w:type="dxa"/>
            <w:tcBorders>
              <w:top w:val="single" w:sz="4" w:space="0" w:color="auto"/>
              <w:left w:val="nil"/>
              <w:bottom w:val="nil"/>
              <w:right w:val="nil"/>
            </w:tcBorders>
            <w:shd w:val="clear" w:color="000000" w:fill="FFFFFF"/>
            <w:noWrap/>
            <w:vAlign w:val="bottom"/>
            <w:hideMark/>
          </w:tcPr>
          <w:p w:rsidR="00160FB3" w:rsidRPr="00160FB3" w:rsidRDefault="00160FB3" w:rsidP="00160FB3">
            <w:pPr>
              <w:jc w:val="center"/>
              <w:rPr>
                <w:rFonts w:ascii="Times New Roman" w:hAnsi="Times New Roman"/>
                <w:color w:val="000000"/>
                <w:lang w:val="es-AR" w:eastAsia="es-AR"/>
              </w:rPr>
            </w:pPr>
            <w:r w:rsidRPr="00160FB3">
              <w:rPr>
                <w:rFonts w:ascii="Times New Roman" w:hAnsi="Times New Roman"/>
                <w:color w:val="000000"/>
                <w:lang w:val="es-AR" w:eastAsia="es-AR"/>
              </w:rPr>
              <w:t>21.000</w:t>
            </w:r>
          </w:p>
        </w:tc>
        <w:tc>
          <w:tcPr>
            <w:tcW w:w="1315" w:type="dxa"/>
            <w:tcBorders>
              <w:top w:val="single" w:sz="4" w:space="0" w:color="auto"/>
              <w:left w:val="nil"/>
              <w:bottom w:val="nil"/>
              <w:right w:val="nil"/>
            </w:tcBorders>
            <w:shd w:val="clear" w:color="000000" w:fill="FFFFFF"/>
            <w:noWrap/>
            <w:vAlign w:val="bottom"/>
            <w:hideMark/>
          </w:tcPr>
          <w:p w:rsidR="00160FB3" w:rsidRPr="00160FB3" w:rsidRDefault="00160FB3" w:rsidP="00160FB3">
            <w:pPr>
              <w:jc w:val="center"/>
              <w:rPr>
                <w:rFonts w:ascii="Times New Roman" w:hAnsi="Times New Roman"/>
                <w:color w:val="000000"/>
                <w:lang w:val="es-AR" w:eastAsia="es-AR"/>
              </w:rPr>
            </w:pPr>
            <w:r w:rsidRPr="00160FB3">
              <w:rPr>
                <w:rFonts w:ascii="Times New Roman" w:hAnsi="Times New Roman"/>
                <w:color w:val="000000"/>
                <w:lang w:val="es-AR" w:eastAsia="es-AR"/>
              </w:rPr>
              <w:t>1 en 500</w:t>
            </w:r>
          </w:p>
        </w:tc>
        <w:tc>
          <w:tcPr>
            <w:tcW w:w="1413" w:type="dxa"/>
            <w:tcBorders>
              <w:top w:val="single" w:sz="4" w:space="0" w:color="auto"/>
              <w:left w:val="nil"/>
              <w:bottom w:val="nil"/>
              <w:right w:val="nil"/>
            </w:tcBorders>
            <w:shd w:val="clear" w:color="000000" w:fill="FFFFFF"/>
            <w:noWrap/>
            <w:vAlign w:val="bottom"/>
            <w:hideMark/>
          </w:tcPr>
          <w:p w:rsidR="00160FB3" w:rsidRPr="00160FB3" w:rsidRDefault="00160FB3" w:rsidP="00160FB3">
            <w:pPr>
              <w:jc w:val="center"/>
              <w:rPr>
                <w:rFonts w:ascii="Times New Roman" w:hAnsi="Times New Roman"/>
                <w:color w:val="000000"/>
                <w:lang w:val="es-AR" w:eastAsia="es-AR"/>
              </w:rPr>
            </w:pPr>
            <w:r w:rsidRPr="00160FB3">
              <w:rPr>
                <w:rFonts w:ascii="Times New Roman" w:hAnsi="Times New Roman"/>
                <w:color w:val="000000"/>
                <w:lang w:val="es-AR" w:eastAsia="es-AR"/>
              </w:rPr>
              <w:t>10.500</w:t>
            </w:r>
          </w:p>
        </w:tc>
        <w:tc>
          <w:tcPr>
            <w:tcW w:w="1413" w:type="dxa"/>
            <w:tcBorders>
              <w:top w:val="single" w:sz="4" w:space="0" w:color="auto"/>
              <w:left w:val="nil"/>
              <w:bottom w:val="nil"/>
              <w:right w:val="single" w:sz="4" w:space="0" w:color="auto"/>
            </w:tcBorders>
            <w:shd w:val="clear" w:color="000000" w:fill="FFFFFF"/>
            <w:noWrap/>
            <w:vAlign w:val="bottom"/>
            <w:hideMark/>
          </w:tcPr>
          <w:p w:rsidR="00160FB3" w:rsidRPr="00160FB3" w:rsidRDefault="00160FB3" w:rsidP="00160FB3">
            <w:pPr>
              <w:jc w:val="center"/>
              <w:rPr>
                <w:rFonts w:ascii="Times New Roman" w:hAnsi="Times New Roman"/>
                <w:color w:val="000000"/>
                <w:lang w:val="es-AR" w:eastAsia="es-AR"/>
              </w:rPr>
            </w:pPr>
            <w:r w:rsidRPr="00160FB3">
              <w:rPr>
                <w:rFonts w:ascii="Times New Roman" w:hAnsi="Times New Roman"/>
                <w:color w:val="000000"/>
                <w:lang w:val="es-AR" w:eastAsia="es-AR"/>
              </w:rPr>
              <w:t>31.500</w:t>
            </w:r>
          </w:p>
        </w:tc>
      </w:tr>
      <w:tr w:rsidR="00160FB3" w:rsidRPr="00160FB3" w:rsidTr="00160FB3">
        <w:trPr>
          <w:trHeight w:val="306"/>
          <w:jc w:val="center"/>
        </w:trPr>
        <w:tc>
          <w:tcPr>
            <w:tcW w:w="1352" w:type="dxa"/>
            <w:vMerge/>
            <w:tcBorders>
              <w:top w:val="single" w:sz="4" w:space="0" w:color="auto"/>
              <w:left w:val="single" w:sz="4" w:space="0" w:color="auto"/>
              <w:bottom w:val="single" w:sz="4" w:space="0" w:color="000000"/>
              <w:right w:val="nil"/>
            </w:tcBorders>
            <w:vAlign w:val="center"/>
            <w:hideMark/>
          </w:tcPr>
          <w:p w:rsidR="00160FB3" w:rsidRPr="00160FB3" w:rsidRDefault="00160FB3" w:rsidP="00160FB3">
            <w:pPr>
              <w:rPr>
                <w:rFonts w:ascii="Times New Roman" w:hAnsi="Times New Roman"/>
                <w:color w:val="000000"/>
                <w:lang w:val="es-AR" w:eastAsia="es-AR"/>
              </w:rPr>
            </w:pPr>
          </w:p>
        </w:tc>
        <w:tc>
          <w:tcPr>
            <w:tcW w:w="1145" w:type="dxa"/>
            <w:tcBorders>
              <w:top w:val="nil"/>
              <w:left w:val="nil"/>
              <w:bottom w:val="single" w:sz="4" w:space="0" w:color="auto"/>
              <w:right w:val="nil"/>
            </w:tcBorders>
            <w:shd w:val="clear" w:color="000000" w:fill="FFFFFF"/>
            <w:noWrap/>
            <w:vAlign w:val="bottom"/>
            <w:hideMark/>
          </w:tcPr>
          <w:p w:rsidR="00160FB3" w:rsidRPr="00160FB3" w:rsidRDefault="00160FB3" w:rsidP="00160FB3">
            <w:pPr>
              <w:jc w:val="center"/>
              <w:rPr>
                <w:rFonts w:ascii="Times New Roman" w:hAnsi="Times New Roman"/>
                <w:color w:val="000000"/>
                <w:lang w:val="es-AR" w:eastAsia="es-AR"/>
              </w:rPr>
            </w:pPr>
            <w:r w:rsidRPr="00160FB3">
              <w:rPr>
                <w:rFonts w:ascii="Times New Roman" w:hAnsi="Times New Roman"/>
                <w:color w:val="000000"/>
                <w:lang w:val="es-AR" w:eastAsia="es-AR"/>
              </w:rPr>
              <w:t>5.250</w:t>
            </w:r>
          </w:p>
        </w:tc>
        <w:tc>
          <w:tcPr>
            <w:tcW w:w="1315" w:type="dxa"/>
            <w:tcBorders>
              <w:top w:val="nil"/>
              <w:left w:val="nil"/>
              <w:bottom w:val="single" w:sz="4" w:space="0" w:color="auto"/>
              <w:right w:val="nil"/>
            </w:tcBorders>
            <w:shd w:val="clear" w:color="000000" w:fill="FFFFFF"/>
            <w:noWrap/>
            <w:vAlign w:val="bottom"/>
            <w:hideMark/>
          </w:tcPr>
          <w:p w:rsidR="00160FB3" w:rsidRPr="00160FB3" w:rsidRDefault="00160FB3" w:rsidP="00160FB3">
            <w:pPr>
              <w:jc w:val="center"/>
              <w:rPr>
                <w:rFonts w:ascii="Times New Roman" w:hAnsi="Times New Roman"/>
                <w:color w:val="000000"/>
                <w:lang w:val="es-AR" w:eastAsia="es-AR"/>
              </w:rPr>
            </w:pPr>
            <w:r w:rsidRPr="00160FB3">
              <w:rPr>
                <w:rFonts w:ascii="Times New Roman" w:hAnsi="Times New Roman"/>
                <w:color w:val="000000"/>
                <w:lang w:val="es-AR" w:eastAsia="es-AR"/>
              </w:rPr>
              <w:t>1 en 250</w:t>
            </w:r>
          </w:p>
        </w:tc>
        <w:tc>
          <w:tcPr>
            <w:tcW w:w="1413" w:type="dxa"/>
            <w:tcBorders>
              <w:top w:val="nil"/>
              <w:left w:val="nil"/>
              <w:bottom w:val="single" w:sz="4" w:space="0" w:color="auto"/>
              <w:right w:val="nil"/>
            </w:tcBorders>
            <w:shd w:val="clear" w:color="000000" w:fill="FFFFFF"/>
            <w:noWrap/>
            <w:vAlign w:val="bottom"/>
            <w:hideMark/>
          </w:tcPr>
          <w:p w:rsidR="00160FB3" w:rsidRPr="00160FB3" w:rsidRDefault="00160FB3" w:rsidP="00160FB3">
            <w:pPr>
              <w:jc w:val="center"/>
              <w:rPr>
                <w:rFonts w:ascii="Times New Roman" w:hAnsi="Times New Roman"/>
                <w:color w:val="000000"/>
                <w:lang w:val="es-AR" w:eastAsia="es-AR"/>
              </w:rPr>
            </w:pPr>
            <w:r w:rsidRPr="00160FB3">
              <w:rPr>
                <w:rFonts w:ascii="Times New Roman" w:hAnsi="Times New Roman"/>
                <w:color w:val="000000"/>
                <w:lang w:val="es-AR" w:eastAsia="es-AR"/>
              </w:rPr>
              <w:t>2.625</w:t>
            </w:r>
          </w:p>
        </w:tc>
        <w:tc>
          <w:tcPr>
            <w:tcW w:w="1413" w:type="dxa"/>
            <w:tcBorders>
              <w:top w:val="nil"/>
              <w:left w:val="nil"/>
              <w:bottom w:val="single" w:sz="4" w:space="0" w:color="auto"/>
              <w:right w:val="single" w:sz="4" w:space="0" w:color="auto"/>
            </w:tcBorders>
            <w:shd w:val="clear" w:color="000000" w:fill="FFFFFF"/>
            <w:noWrap/>
            <w:vAlign w:val="bottom"/>
            <w:hideMark/>
          </w:tcPr>
          <w:p w:rsidR="00160FB3" w:rsidRPr="00160FB3" w:rsidRDefault="00160FB3" w:rsidP="00160FB3">
            <w:pPr>
              <w:jc w:val="center"/>
              <w:rPr>
                <w:rFonts w:ascii="Times New Roman" w:hAnsi="Times New Roman"/>
                <w:color w:val="000000"/>
                <w:lang w:val="es-AR" w:eastAsia="es-AR"/>
              </w:rPr>
            </w:pPr>
            <w:r w:rsidRPr="00160FB3">
              <w:rPr>
                <w:rFonts w:ascii="Times New Roman" w:hAnsi="Times New Roman"/>
                <w:color w:val="000000"/>
                <w:lang w:val="es-AR" w:eastAsia="es-AR"/>
              </w:rPr>
              <w:t>7.875</w:t>
            </w:r>
          </w:p>
        </w:tc>
      </w:tr>
      <w:tr w:rsidR="00160FB3" w:rsidRPr="00160FB3" w:rsidTr="00160FB3">
        <w:trPr>
          <w:trHeight w:val="306"/>
          <w:jc w:val="center"/>
        </w:trPr>
        <w:tc>
          <w:tcPr>
            <w:tcW w:w="1352" w:type="dxa"/>
            <w:vMerge w:val="restart"/>
            <w:tcBorders>
              <w:top w:val="nil"/>
              <w:left w:val="single" w:sz="4" w:space="0" w:color="auto"/>
              <w:bottom w:val="single" w:sz="4" w:space="0" w:color="000000"/>
              <w:right w:val="nil"/>
            </w:tcBorders>
            <w:shd w:val="clear" w:color="000000" w:fill="FFFFFF"/>
            <w:vAlign w:val="bottom"/>
            <w:hideMark/>
          </w:tcPr>
          <w:p w:rsidR="00160FB3" w:rsidRPr="00160FB3" w:rsidRDefault="00160FB3" w:rsidP="00160FB3">
            <w:pPr>
              <w:jc w:val="center"/>
              <w:rPr>
                <w:rFonts w:ascii="Times New Roman" w:hAnsi="Times New Roman"/>
                <w:color w:val="000000"/>
                <w:lang w:val="es-AR" w:eastAsia="es-AR"/>
              </w:rPr>
            </w:pPr>
            <w:r w:rsidRPr="00160FB3">
              <w:rPr>
                <w:rFonts w:ascii="Times New Roman" w:hAnsi="Times New Roman"/>
                <w:color w:val="000000"/>
                <w:lang w:val="es-AR" w:eastAsia="es-AR"/>
              </w:rPr>
              <w:t>Con proyecto</w:t>
            </w:r>
          </w:p>
        </w:tc>
        <w:tc>
          <w:tcPr>
            <w:tcW w:w="1145" w:type="dxa"/>
            <w:tcBorders>
              <w:top w:val="nil"/>
              <w:left w:val="nil"/>
              <w:bottom w:val="nil"/>
              <w:right w:val="nil"/>
            </w:tcBorders>
            <w:shd w:val="clear" w:color="000000" w:fill="FFFFFF"/>
            <w:noWrap/>
            <w:vAlign w:val="bottom"/>
            <w:hideMark/>
          </w:tcPr>
          <w:p w:rsidR="00160FB3" w:rsidRPr="00160FB3" w:rsidRDefault="00160FB3" w:rsidP="00160FB3">
            <w:pPr>
              <w:jc w:val="center"/>
              <w:rPr>
                <w:rFonts w:ascii="Times New Roman" w:hAnsi="Times New Roman"/>
                <w:color w:val="000000"/>
                <w:lang w:val="es-AR" w:eastAsia="es-AR"/>
              </w:rPr>
            </w:pPr>
            <w:r w:rsidRPr="00160FB3">
              <w:rPr>
                <w:rFonts w:ascii="Times New Roman" w:hAnsi="Times New Roman"/>
                <w:color w:val="000000"/>
                <w:lang w:val="es-AR" w:eastAsia="es-AR"/>
              </w:rPr>
              <w:t>11.550</w:t>
            </w:r>
          </w:p>
        </w:tc>
        <w:tc>
          <w:tcPr>
            <w:tcW w:w="1315" w:type="dxa"/>
            <w:tcBorders>
              <w:top w:val="nil"/>
              <w:left w:val="nil"/>
              <w:bottom w:val="nil"/>
              <w:right w:val="nil"/>
            </w:tcBorders>
            <w:shd w:val="clear" w:color="000000" w:fill="FFFFFF"/>
            <w:noWrap/>
            <w:vAlign w:val="bottom"/>
            <w:hideMark/>
          </w:tcPr>
          <w:p w:rsidR="00160FB3" w:rsidRPr="00160FB3" w:rsidRDefault="00160FB3" w:rsidP="00160FB3">
            <w:pPr>
              <w:jc w:val="center"/>
              <w:rPr>
                <w:rFonts w:ascii="Times New Roman" w:hAnsi="Times New Roman"/>
                <w:color w:val="000000"/>
                <w:lang w:val="es-AR" w:eastAsia="es-AR"/>
              </w:rPr>
            </w:pPr>
            <w:r w:rsidRPr="00160FB3">
              <w:rPr>
                <w:rFonts w:ascii="Times New Roman" w:hAnsi="Times New Roman"/>
                <w:color w:val="000000"/>
                <w:lang w:val="es-AR" w:eastAsia="es-AR"/>
              </w:rPr>
              <w:t>1 en 500</w:t>
            </w:r>
          </w:p>
        </w:tc>
        <w:tc>
          <w:tcPr>
            <w:tcW w:w="1413" w:type="dxa"/>
            <w:tcBorders>
              <w:top w:val="nil"/>
              <w:left w:val="nil"/>
              <w:bottom w:val="nil"/>
              <w:right w:val="nil"/>
            </w:tcBorders>
            <w:shd w:val="clear" w:color="000000" w:fill="FFFFFF"/>
            <w:noWrap/>
            <w:vAlign w:val="bottom"/>
            <w:hideMark/>
          </w:tcPr>
          <w:p w:rsidR="00160FB3" w:rsidRPr="00160FB3" w:rsidRDefault="00160FB3" w:rsidP="00160FB3">
            <w:pPr>
              <w:jc w:val="center"/>
              <w:rPr>
                <w:rFonts w:ascii="Times New Roman" w:hAnsi="Times New Roman"/>
                <w:color w:val="000000"/>
                <w:lang w:val="es-AR" w:eastAsia="es-AR"/>
              </w:rPr>
            </w:pPr>
            <w:r w:rsidRPr="00160FB3">
              <w:rPr>
                <w:rFonts w:ascii="Times New Roman" w:hAnsi="Times New Roman"/>
                <w:color w:val="000000"/>
                <w:lang w:val="es-AR" w:eastAsia="es-AR"/>
              </w:rPr>
              <w:t>5.775</w:t>
            </w:r>
          </w:p>
        </w:tc>
        <w:tc>
          <w:tcPr>
            <w:tcW w:w="1413" w:type="dxa"/>
            <w:tcBorders>
              <w:top w:val="nil"/>
              <w:left w:val="nil"/>
              <w:bottom w:val="nil"/>
              <w:right w:val="single" w:sz="4" w:space="0" w:color="auto"/>
            </w:tcBorders>
            <w:shd w:val="clear" w:color="000000" w:fill="FFFFFF"/>
            <w:noWrap/>
            <w:vAlign w:val="bottom"/>
            <w:hideMark/>
          </w:tcPr>
          <w:p w:rsidR="00160FB3" w:rsidRPr="00160FB3" w:rsidRDefault="00160FB3" w:rsidP="00160FB3">
            <w:pPr>
              <w:jc w:val="center"/>
              <w:rPr>
                <w:rFonts w:ascii="Times New Roman" w:hAnsi="Times New Roman"/>
                <w:color w:val="000000"/>
                <w:lang w:val="es-AR" w:eastAsia="es-AR"/>
              </w:rPr>
            </w:pPr>
            <w:r w:rsidRPr="00160FB3">
              <w:rPr>
                <w:rFonts w:ascii="Times New Roman" w:hAnsi="Times New Roman"/>
                <w:color w:val="000000"/>
                <w:lang w:val="es-AR" w:eastAsia="es-AR"/>
              </w:rPr>
              <w:t>17.325</w:t>
            </w:r>
          </w:p>
        </w:tc>
      </w:tr>
      <w:tr w:rsidR="00160FB3" w:rsidRPr="00160FB3" w:rsidTr="00160FB3">
        <w:trPr>
          <w:trHeight w:val="306"/>
          <w:jc w:val="center"/>
        </w:trPr>
        <w:tc>
          <w:tcPr>
            <w:tcW w:w="1352" w:type="dxa"/>
            <w:vMerge/>
            <w:tcBorders>
              <w:top w:val="nil"/>
              <w:left w:val="single" w:sz="4" w:space="0" w:color="auto"/>
              <w:bottom w:val="single" w:sz="4" w:space="0" w:color="000000"/>
              <w:right w:val="nil"/>
            </w:tcBorders>
            <w:vAlign w:val="center"/>
            <w:hideMark/>
          </w:tcPr>
          <w:p w:rsidR="00160FB3" w:rsidRPr="00160FB3" w:rsidRDefault="00160FB3" w:rsidP="00160FB3">
            <w:pPr>
              <w:rPr>
                <w:rFonts w:ascii="Times New Roman" w:hAnsi="Times New Roman"/>
                <w:color w:val="000000"/>
                <w:lang w:val="es-AR" w:eastAsia="es-AR"/>
              </w:rPr>
            </w:pPr>
          </w:p>
        </w:tc>
        <w:tc>
          <w:tcPr>
            <w:tcW w:w="1145" w:type="dxa"/>
            <w:tcBorders>
              <w:top w:val="nil"/>
              <w:left w:val="nil"/>
              <w:bottom w:val="single" w:sz="4" w:space="0" w:color="auto"/>
              <w:right w:val="nil"/>
            </w:tcBorders>
            <w:shd w:val="clear" w:color="000000" w:fill="FFFFFF"/>
            <w:noWrap/>
            <w:vAlign w:val="bottom"/>
            <w:hideMark/>
          </w:tcPr>
          <w:p w:rsidR="00160FB3" w:rsidRPr="00160FB3" w:rsidRDefault="00160FB3" w:rsidP="00160FB3">
            <w:pPr>
              <w:jc w:val="center"/>
              <w:rPr>
                <w:rFonts w:ascii="Times New Roman" w:hAnsi="Times New Roman"/>
                <w:color w:val="000000"/>
                <w:lang w:val="es-AR" w:eastAsia="es-AR"/>
              </w:rPr>
            </w:pPr>
            <w:r w:rsidRPr="00160FB3">
              <w:rPr>
                <w:rFonts w:ascii="Times New Roman" w:hAnsi="Times New Roman"/>
                <w:color w:val="000000"/>
                <w:lang w:val="es-AR" w:eastAsia="es-AR"/>
              </w:rPr>
              <w:t>2.888</w:t>
            </w:r>
          </w:p>
        </w:tc>
        <w:tc>
          <w:tcPr>
            <w:tcW w:w="1315" w:type="dxa"/>
            <w:tcBorders>
              <w:top w:val="nil"/>
              <w:left w:val="nil"/>
              <w:bottom w:val="single" w:sz="4" w:space="0" w:color="auto"/>
              <w:right w:val="nil"/>
            </w:tcBorders>
            <w:shd w:val="clear" w:color="000000" w:fill="FFFFFF"/>
            <w:noWrap/>
            <w:vAlign w:val="bottom"/>
            <w:hideMark/>
          </w:tcPr>
          <w:p w:rsidR="00160FB3" w:rsidRPr="00160FB3" w:rsidRDefault="00160FB3" w:rsidP="00160FB3">
            <w:pPr>
              <w:jc w:val="center"/>
              <w:rPr>
                <w:rFonts w:ascii="Times New Roman" w:hAnsi="Times New Roman"/>
                <w:color w:val="000000"/>
                <w:lang w:val="es-AR" w:eastAsia="es-AR"/>
              </w:rPr>
            </w:pPr>
            <w:r w:rsidRPr="00160FB3">
              <w:rPr>
                <w:rFonts w:ascii="Times New Roman" w:hAnsi="Times New Roman"/>
                <w:color w:val="000000"/>
                <w:lang w:val="es-AR" w:eastAsia="es-AR"/>
              </w:rPr>
              <w:t>1 en 250</w:t>
            </w:r>
          </w:p>
        </w:tc>
        <w:tc>
          <w:tcPr>
            <w:tcW w:w="1413" w:type="dxa"/>
            <w:tcBorders>
              <w:top w:val="nil"/>
              <w:left w:val="nil"/>
              <w:bottom w:val="single" w:sz="4" w:space="0" w:color="auto"/>
              <w:right w:val="nil"/>
            </w:tcBorders>
            <w:shd w:val="clear" w:color="000000" w:fill="FFFFFF"/>
            <w:noWrap/>
            <w:vAlign w:val="bottom"/>
            <w:hideMark/>
          </w:tcPr>
          <w:p w:rsidR="00160FB3" w:rsidRPr="00160FB3" w:rsidRDefault="00160FB3" w:rsidP="00160FB3">
            <w:pPr>
              <w:jc w:val="center"/>
              <w:rPr>
                <w:rFonts w:ascii="Times New Roman" w:hAnsi="Times New Roman"/>
                <w:color w:val="000000"/>
                <w:lang w:val="es-AR" w:eastAsia="es-AR"/>
              </w:rPr>
            </w:pPr>
            <w:r w:rsidRPr="00160FB3">
              <w:rPr>
                <w:rFonts w:ascii="Times New Roman" w:hAnsi="Times New Roman"/>
                <w:color w:val="000000"/>
                <w:lang w:val="es-AR" w:eastAsia="es-AR"/>
              </w:rPr>
              <w:t>1.444</w:t>
            </w:r>
          </w:p>
        </w:tc>
        <w:tc>
          <w:tcPr>
            <w:tcW w:w="1413" w:type="dxa"/>
            <w:tcBorders>
              <w:top w:val="nil"/>
              <w:left w:val="nil"/>
              <w:bottom w:val="single" w:sz="4" w:space="0" w:color="auto"/>
              <w:right w:val="single" w:sz="4" w:space="0" w:color="auto"/>
            </w:tcBorders>
            <w:shd w:val="clear" w:color="000000" w:fill="FFFFFF"/>
            <w:noWrap/>
            <w:vAlign w:val="bottom"/>
            <w:hideMark/>
          </w:tcPr>
          <w:p w:rsidR="00160FB3" w:rsidRPr="00160FB3" w:rsidRDefault="00160FB3" w:rsidP="00160FB3">
            <w:pPr>
              <w:jc w:val="center"/>
              <w:rPr>
                <w:rFonts w:ascii="Times New Roman" w:hAnsi="Times New Roman"/>
                <w:color w:val="000000"/>
                <w:lang w:val="es-AR" w:eastAsia="es-AR"/>
              </w:rPr>
            </w:pPr>
            <w:r w:rsidRPr="00160FB3">
              <w:rPr>
                <w:rFonts w:ascii="Times New Roman" w:hAnsi="Times New Roman"/>
                <w:color w:val="000000"/>
                <w:lang w:val="es-AR" w:eastAsia="es-AR"/>
              </w:rPr>
              <w:t>4.332</w:t>
            </w:r>
          </w:p>
        </w:tc>
      </w:tr>
    </w:tbl>
    <w:p w:rsidR="00160FB3" w:rsidRPr="00160FB3" w:rsidRDefault="00160FB3" w:rsidP="00160FB3">
      <w:pPr>
        <w:pStyle w:val="ListParagraph"/>
        <w:ind w:left="432"/>
        <w:jc w:val="center"/>
        <w:rPr>
          <w:rFonts w:ascii="Times New Roman" w:hAnsi="Times New Roman"/>
          <w:bCs/>
          <w:i/>
          <w:lang w:val="es-ES_tradnl"/>
        </w:rPr>
      </w:pPr>
      <w:r w:rsidRPr="00160FB3">
        <w:rPr>
          <w:rFonts w:ascii="Times New Roman" w:hAnsi="Times New Roman"/>
          <w:bCs/>
          <w:i/>
          <w:lang w:val="es-ES_tradnl"/>
        </w:rPr>
        <w:t xml:space="preserve">Fuente: Elaboración propia en base a </w:t>
      </w:r>
      <w:r w:rsidR="00127AE3" w:rsidRPr="00160FB3">
        <w:rPr>
          <w:rFonts w:ascii="Times New Roman" w:hAnsi="Times New Roman"/>
          <w:bCs/>
          <w:i/>
          <w:lang w:val="es-ES_tradnl"/>
        </w:rPr>
        <w:t>informaciones</w:t>
      </w:r>
      <w:r w:rsidRPr="00160FB3">
        <w:rPr>
          <w:rFonts w:ascii="Times New Roman" w:hAnsi="Times New Roman"/>
          <w:bCs/>
          <w:i/>
          <w:lang w:val="es-ES_tradnl"/>
        </w:rPr>
        <w:t xml:space="preserve"> citadas en Tabla 6.</w:t>
      </w:r>
    </w:p>
    <w:p w:rsidR="00137FC7" w:rsidRDefault="00137FC7" w:rsidP="00137FC7">
      <w:pPr>
        <w:pStyle w:val="ListParagraph"/>
        <w:ind w:left="718"/>
        <w:jc w:val="both"/>
        <w:rPr>
          <w:rFonts w:ascii="Times New Roman" w:hAnsi="Times New Roman"/>
          <w:bCs/>
          <w:sz w:val="22"/>
          <w:lang w:val="es-ES_tradnl"/>
        </w:rPr>
      </w:pPr>
    </w:p>
    <w:p w:rsidR="00886D12" w:rsidRDefault="00886D12" w:rsidP="00886D12">
      <w:pPr>
        <w:pStyle w:val="ListParagraph"/>
        <w:numPr>
          <w:ilvl w:val="1"/>
          <w:numId w:val="12"/>
        </w:numPr>
        <w:jc w:val="both"/>
        <w:rPr>
          <w:rFonts w:ascii="Times New Roman" w:hAnsi="Times New Roman"/>
          <w:bCs/>
          <w:sz w:val="22"/>
          <w:lang w:val="es-ES_tradnl"/>
        </w:rPr>
      </w:pPr>
      <w:r>
        <w:rPr>
          <w:rFonts w:ascii="Times New Roman" w:hAnsi="Times New Roman"/>
          <w:bCs/>
          <w:sz w:val="22"/>
          <w:lang w:val="es-ES_tradnl"/>
        </w:rPr>
        <w:lastRenderedPageBreak/>
        <w:t xml:space="preserve">En el cuadro que antecede se ha incorporado la magnitud de pérdidas bajo </w:t>
      </w:r>
      <w:r w:rsidR="00D64FA8">
        <w:rPr>
          <w:rFonts w:ascii="Times New Roman" w:hAnsi="Times New Roman"/>
          <w:bCs/>
          <w:sz w:val="22"/>
          <w:lang w:val="es-ES_tradnl"/>
        </w:rPr>
        <w:t>el</w:t>
      </w:r>
      <w:r>
        <w:rPr>
          <w:rFonts w:ascii="Times New Roman" w:hAnsi="Times New Roman"/>
          <w:bCs/>
          <w:sz w:val="22"/>
          <w:lang w:val="es-ES_tradnl"/>
        </w:rPr>
        <w:t xml:space="preserve"> supuesto de que la prevención del riesgo </w:t>
      </w:r>
      <w:r w:rsidR="00D64FA8">
        <w:rPr>
          <w:rFonts w:ascii="Times New Roman" w:hAnsi="Times New Roman"/>
          <w:bCs/>
          <w:sz w:val="22"/>
          <w:lang w:val="es-ES_tradnl"/>
        </w:rPr>
        <w:t xml:space="preserve">de desastres </w:t>
      </w:r>
      <w:r>
        <w:rPr>
          <w:rFonts w:ascii="Times New Roman" w:hAnsi="Times New Roman"/>
          <w:bCs/>
          <w:sz w:val="22"/>
          <w:lang w:val="es-ES_tradnl"/>
        </w:rPr>
        <w:t xml:space="preserve">continúe funcionando con las debilidades existentes (Situación Sin Proyecto) o que incorpore el SAT optimizado (Con Proyecto). En el apartado </w:t>
      </w:r>
      <w:r w:rsidR="00081A23" w:rsidRPr="00455FC7">
        <w:rPr>
          <w:rFonts w:ascii="Times New Roman" w:hAnsi="Times New Roman"/>
          <w:bCs/>
          <w:i/>
          <w:sz w:val="22"/>
          <w:lang w:val="es-ES_tradnl"/>
        </w:rPr>
        <w:t>Parámetros para la cuantificación del efecto-beneficio SAT</w:t>
      </w:r>
      <w:r w:rsidR="00EB287D">
        <w:rPr>
          <w:rFonts w:ascii="Times New Roman" w:hAnsi="Times New Roman"/>
          <w:bCs/>
          <w:i/>
          <w:sz w:val="22"/>
          <w:lang w:val="es-ES_tradnl"/>
        </w:rPr>
        <w:t xml:space="preserve">, </w:t>
      </w:r>
      <w:r w:rsidR="00081A23" w:rsidRPr="00455FC7">
        <w:rPr>
          <w:rFonts w:ascii="Times New Roman" w:hAnsi="Times New Roman"/>
          <w:bCs/>
          <w:sz w:val="22"/>
          <w:lang w:val="es-ES_tradnl"/>
        </w:rPr>
        <w:t>que se presenta más adelante</w:t>
      </w:r>
      <w:r>
        <w:rPr>
          <w:rFonts w:ascii="Times New Roman" w:hAnsi="Times New Roman"/>
          <w:bCs/>
          <w:sz w:val="22"/>
          <w:lang w:val="es-ES_tradnl"/>
        </w:rPr>
        <w:t xml:space="preserve"> en este Capítulo</w:t>
      </w:r>
      <w:r w:rsidR="00EB287D">
        <w:rPr>
          <w:rFonts w:ascii="Times New Roman" w:hAnsi="Times New Roman"/>
          <w:bCs/>
          <w:sz w:val="22"/>
          <w:lang w:val="es-ES_tradnl"/>
        </w:rPr>
        <w:t>,</w:t>
      </w:r>
      <w:r>
        <w:rPr>
          <w:rFonts w:ascii="Times New Roman" w:hAnsi="Times New Roman"/>
          <w:bCs/>
          <w:sz w:val="22"/>
          <w:lang w:val="es-ES_tradnl"/>
        </w:rPr>
        <w:t xml:space="preserve"> se expresan los fundamentos de la reducción esperada en términos de pérdida de vidas, la cual se estimó en un 45%.</w:t>
      </w:r>
    </w:p>
    <w:p w:rsidR="00406CAE" w:rsidRDefault="00406CAE" w:rsidP="00455FC7">
      <w:pPr>
        <w:pStyle w:val="ListParagraph"/>
        <w:ind w:left="718"/>
        <w:jc w:val="both"/>
        <w:rPr>
          <w:rFonts w:ascii="Times New Roman" w:hAnsi="Times New Roman"/>
          <w:bCs/>
          <w:sz w:val="22"/>
          <w:lang w:val="es-ES_tradnl"/>
        </w:rPr>
      </w:pPr>
    </w:p>
    <w:p w:rsidR="00406CAE" w:rsidRPr="00455FC7" w:rsidRDefault="00406CAE" w:rsidP="00455FC7">
      <w:pPr>
        <w:pStyle w:val="ListParagraph"/>
        <w:ind w:left="718"/>
        <w:jc w:val="both"/>
        <w:rPr>
          <w:rFonts w:ascii="Times New Roman" w:hAnsi="Times New Roman"/>
          <w:bCs/>
          <w:sz w:val="22"/>
          <w:lang w:val="es-ES_tradnl"/>
        </w:rPr>
      </w:pPr>
    </w:p>
    <w:p w:rsidR="00137FC7" w:rsidRDefault="00410A87" w:rsidP="00D5671A">
      <w:pPr>
        <w:pStyle w:val="ListParagraph"/>
        <w:numPr>
          <w:ilvl w:val="1"/>
          <w:numId w:val="12"/>
        </w:numPr>
        <w:jc w:val="both"/>
        <w:rPr>
          <w:rFonts w:ascii="Times New Roman" w:hAnsi="Times New Roman"/>
          <w:bCs/>
          <w:sz w:val="22"/>
          <w:lang w:val="es-ES_tradnl"/>
        </w:rPr>
      </w:pPr>
      <w:r w:rsidRPr="009F027B">
        <w:rPr>
          <w:rFonts w:ascii="Times New Roman" w:hAnsi="Times New Roman"/>
          <w:bCs/>
          <w:i/>
          <w:sz w:val="22"/>
          <w:lang w:val="es-ES_tradnl"/>
        </w:rPr>
        <w:t>Impacto de los</w:t>
      </w:r>
      <w:r w:rsidR="00233C88" w:rsidRPr="009F027B">
        <w:rPr>
          <w:rFonts w:ascii="Times New Roman" w:hAnsi="Times New Roman"/>
          <w:bCs/>
          <w:i/>
          <w:sz w:val="22"/>
          <w:lang w:val="es-ES_tradnl"/>
        </w:rPr>
        <w:t xml:space="preserve"> desbordamientos de ríos en Ecuador</w:t>
      </w:r>
      <w:r w:rsidR="00137FC7" w:rsidRPr="009F027B">
        <w:rPr>
          <w:rFonts w:ascii="Times New Roman" w:hAnsi="Times New Roman"/>
          <w:bCs/>
          <w:i/>
          <w:sz w:val="22"/>
          <w:lang w:val="es-ES_tradnl"/>
        </w:rPr>
        <w:t>.</w:t>
      </w:r>
      <w:r w:rsidR="00137FC7" w:rsidRPr="00137FC7">
        <w:rPr>
          <w:rFonts w:ascii="Times New Roman" w:hAnsi="Times New Roman"/>
          <w:bCs/>
          <w:sz w:val="22"/>
          <w:lang w:val="es-ES_tradnl"/>
        </w:rPr>
        <w:t xml:space="preserve">  En este caso, el tiempo que transcurre desde la detección del fenómeno es mayor</w:t>
      </w:r>
      <w:r w:rsidR="009F027B">
        <w:rPr>
          <w:rFonts w:ascii="Times New Roman" w:hAnsi="Times New Roman"/>
          <w:bCs/>
          <w:sz w:val="22"/>
          <w:lang w:val="es-ES_tradnl"/>
        </w:rPr>
        <w:t xml:space="preserve">, lo que hace más factible </w:t>
      </w:r>
      <w:r w:rsidR="00137FC7" w:rsidRPr="00137FC7">
        <w:rPr>
          <w:rFonts w:ascii="Times New Roman" w:hAnsi="Times New Roman"/>
          <w:bCs/>
          <w:sz w:val="22"/>
          <w:lang w:val="es-ES_tradnl"/>
        </w:rPr>
        <w:t>la posibilidad de atenuar parte de sus efectos directos</w:t>
      </w:r>
      <w:r w:rsidR="009F027B">
        <w:rPr>
          <w:rFonts w:ascii="Times New Roman" w:hAnsi="Times New Roman"/>
          <w:bCs/>
          <w:sz w:val="22"/>
          <w:lang w:val="es-ES_tradnl"/>
        </w:rPr>
        <w:t xml:space="preserve"> sobre los bienes </w:t>
      </w:r>
      <w:r w:rsidR="00673163">
        <w:rPr>
          <w:rFonts w:ascii="Times New Roman" w:hAnsi="Times New Roman"/>
          <w:bCs/>
          <w:sz w:val="22"/>
          <w:lang w:val="es-ES_tradnl"/>
        </w:rPr>
        <w:t>que</w:t>
      </w:r>
      <w:r w:rsidR="009F027B">
        <w:rPr>
          <w:rFonts w:ascii="Times New Roman" w:hAnsi="Times New Roman"/>
          <w:bCs/>
          <w:sz w:val="22"/>
          <w:lang w:val="es-ES_tradnl"/>
        </w:rPr>
        <w:t xml:space="preserve"> en el caso de tsunamis</w:t>
      </w:r>
      <w:r w:rsidR="00137FC7" w:rsidRPr="00137FC7">
        <w:rPr>
          <w:rFonts w:ascii="Times New Roman" w:hAnsi="Times New Roman"/>
          <w:bCs/>
          <w:sz w:val="22"/>
          <w:lang w:val="es-ES_tradnl"/>
        </w:rPr>
        <w:t xml:space="preserve">. Sin embargo, los daños acumulados son significativos en función de su elevada recurrencia. </w:t>
      </w:r>
    </w:p>
    <w:p w:rsidR="00137FC7" w:rsidRPr="00137FC7" w:rsidRDefault="00137FC7" w:rsidP="00137FC7">
      <w:pPr>
        <w:pStyle w:val="ListParagraph"/>
        <w:rPr>
          <w:rFonts w:ascii="Times New Roman" w:hAnsi="Times New Roman"/>
          <w:bCs/>
          <w:sz w:val="22"/>
          <w:lang w:val="es-ES"/>
        </w:rPr>
      </w:pPr>
    </w:p>
    <w:p w:rsidR="0021417B" w:rsidRDefault="00D5671A" w:rsidP="00410A87">
      <w:pPr>
        <w:pStyle w:val="ListParagraph"/>
        <w:numPr>
          <w:ilvl w:val="1"/>
          <w:numId w:val="12"/>
        </w:numPr>
        <w:jc w:val="both"/>
        <w:rPr>
          <w:rFonts w:ascii="Times New Roman" w:hAnsi="Times New Roman"/>
          <w:bCs/>
          <w:sz w:val="22"/>
          <w:lang w:val="es-ES_tradnl"/>
        </w:rPr>
      </w:pPr>
      <w:r w:rsidRPr="00137FC7">
        <w:rPr>
          <w:rFonts w:ascii="Times New Roman" w:hAnsi="Times New Roman"/>
          <w:bCs/>
          <w:sz w:val="22"/>
          <w:lang w:val="es-ES"/>
        </w:rPr>
        <w:t>Aproximadamente el 18% de la población de Ecuador y el 12% del territorio (14.000km2)  está expuesta a inundaciones.  Solamente en la última etapa invernal (enero-mayo 2016), se registraron 410 inundaciones, casi 80% de las cuales tuvieron lugar en la región costera (SGR, 2016). En términos de las áreas de intervención del programa, se estima que el 12,8% de la superficie de la subcuenca de Chongón (68,8 km2), el 16,0% del área de la subcuenca de Chone (373,5 km2), y el 17,3% del área de la subcuenca de Portoviejo (359,6 km2) es susceptible a inundación.. Por otra parte, la economía agrícola regional sufre de exposición crónica a inundaciones: el 12,6% del área de la subcuenca de Chongón, 86,2% del área de la subcuenca de Portoviejo y 95,1% del área de la subcuenca de Chone son zonas agroproductivas susceptibles (INFOPLAN-IGM, 2009, citado en Clavijo y Peñaherrera, 2013).</w:t>
      </w:r>
      <w:r w:rsidR="00137FC7">
        <w:rPr>
          <w:rFonts w:ascii="Times New Roman" w:hAnsi="Times New Roman"/>
          <w:bCs/>
          <w:sz w:val="22"/>
          <w:lang w:val="es-ES"/>
        </w:rPr>
        <w:t xml:space="preserve">  </w:t>
      </w:r>
      <w:r w:rsidR="00410A87" w:rsidRPr="00137FC7">
        <w:rPr>
          <w:rFonts w:ascii="Times New Roman" w:hAnsi="Times New Roman"/>
          <w:bCs/>
          <w:sz w:val="22"/>
          <w:lang w:val="es-ES_tradnl"/>
        </w:rPr>
        <w:t xml:space="preserve">La población de la Costa de Ecuador bajo amenaza se resume en el siguiente cuadro. Se observa que la población  </w:t>
      </w:r>
      <w:r w:rsidR="00673163" w:rsidRPr="00137FC7">
        <w:rPr>
          <w:rFonts w:ascii="Times New Roman" w:hAnsi="Times New Roman"/>
          <w:bCs/>
          <w:sz w:val="22"/>
          <w:lang w:val="es-ES_tradnl"/>
        </w:rPr>
        <w:t>expuesta representa</w:t>
      </w:r>
      <w:r w:rsidR="00410A87" w:rsidRPr="00137FC7">
        <w:rPr>
          <w:rFonts w:ascii="Times New Roman" w:hAnsi="Times New Roman"/>
          <w:bCs/>
          <w:sz w:val="22"/>
          <w:lang w:val="es-ES_tradnl"/>
        </w:rPr>
        <w:t xml:space="preserve"> el 12% de los habitantes de Guayas y el 15% de los de Manabí</w:t>
      </w:r>
      <w:r w:rsidR="00233C88" w:rsidRPr="00137FC7">
        <w:rPr>
          <w:rFonts w:ascii="Times New Roman" w:hAnsi="Times New Roman"/>
          <w:bCs/>
          <w:sz w:val="22"/>
          <w:lang w:val="es-ES_tradnl"/>
        </w:rPr>
        <w:t>.</w:t>
      </w:r>
    </w:p>
    <w:p w:rsidR="00410A87" w:rsidRDefault="00410A87" w:rsidP="00410A87">
      <w:pPr>
        <w:pStyle w:val="ListParagraph"/>
        <w:numPr>
          <w:ilvl w:val="1"/>
          <w:numId w:val="12"/>
        </w:numPr>
        <w:jc w:val="both"/>
        <w:rPr>
          <w:rFonts w:ascii="Times New Roman" w:hAnsi="Times New Roman"/>
          <w:bCs/>
          <w:sz w:val="22"/>
          <w:lang w:val="es-ES_tradnl"/>
        </w:rPr>
      </w:pPr>
      <w:r w:rsidRPr="00137FC7">
        <w:rPr>
          <w:rFonts w:ascii="Times New Roman" w:hAnsi="Times New Roman"/>
          <w:bCs/>
          <w:sz w:val="22"/>
          <w:lang w:val="es-ES_tradnl"/>
        </w:rPr>
        <w:t xml:space="preserve"> </w:t>
      </w:r>
    </w:p>
    <w:p w:rsidR="00406CAE" w:rsidRDefault="00406CAE" w:rsidP="00455FC7">
      <w:pPr>
        <w:ind w:left="718"/>
        <w:jc w:val="center"/>
        <w:rPr>
          <w:rFonts w:ascii="Times New Roman" w:hAnsi="Times New Roman"/>
          <w:b/>
          <w:lang w:val="es-AR"/>
        </w:rPr>
      </w:pPr>
    </w:p>
    <w:p w:rsidR="00406CAE" w:rsidRDefault="00410A87" w:rsidP="00455FC7">
      <w:pPr>
        <w:ind w:left="142"/>
        <w:jc w:val="center"/>
        <w:rPr>
          <w:rFonts w:ascii="Times New Roman" w:hAnsi="Times New Roman"/>
          <w:bCs/>
          <w:sz w:val="22"/>
          <w:lang w:val="es-ES_tradnl"/>
        </w:rPr>
      </w:pPr>
      <w:r w:rsidRPr="00EB1098">
        <w:rPr>
          <w:rFonts w:ascii="Times New Roman" w:hAnsi="Times New Roman"/>
          <w:b/>
          <w:lang w:val="es-AR"/>
        </w:rPr>
        <w:t xml:space="preserve">Tabla </w:t>
      </w:r>
      <w:r w:rsidR="00081A23" w:rsidRPr="00EB1098">
        <w:rPr>
          <w:rFonts w:ascii="Times New Roman" w:hAnsi="Times New Roman"/>
          <w:b/>
        </w:rPr>
        <w:fldChar w:fldCharType="begin"/>
      </w:r>
      <w:r w:rsidRPr="00EB1098">
        <w:rPr>
          <w:rFonts w:ascii="Times New Roman" w:hAnsi="Times New Roman"/>
          <w:b/>
          <w:lang w:val="es-AR"/>
        </w:rPr>
        <w:instrText xml:space="preserve"> SEQ Tabla \* ARABIC </w:instrText>
      </w:r>
      <w:r w:rsidR="00081A23" w:rsidRPr="00EB1098">
        <w:rPr>
          <w:rFonts w:ascii="Times New Roman" w:hAnsi="Times New Roman"/>
          <w:b/>
        </w:rPr>
        <w:fldChar w:fldCharType="separate"/>
      </w:r>
      <w:r w:rsidR="00160FB3">
        <w:rPr>
          <w:rFonts w:ascii="Times New Roman" w:hAnsi="Times New Roman"/>
          <w:b/>
          <w:noProof/>
          <w:lang w:val="es-AR"/>
        </w:rPr>
        <w:t>8</w:t>
      </w:r>
      <w:r w:rsidR="00081A23" w:rsidRPr="00EB1098">
        <w:rPr>
          <w:rFonts w:ascii="Times New Roman" w:hAnsi="Times New Roman"/>
          <w:b/>
        </w:rPr>
        <w:fldChar w:fldCharType="end"/>
      </w:r>
      <w:r w:rsidRPr="00EB1098">
        <w:rPr>
          <w:rFonts w:ascii="Times New Roman" w:hAnsi="Times New Roman"/>
          <w:lang w:val="es-AR"/>
        </w:rPr>
        <w:t xml:space="preserve">. </w:t>
      </w:r>
      <w:r w:rsidR="00673163" w:rsidRPr="00EB1098">
        <w:rPr>
          <w:rFonts w:ascii="Times New Roman" w:hAnsi="Times New Roman"/>
          <w:lang w:val="es-AR"/>
        </w:rPr>
        <w:t>Población</w:t>
      </w:r>
      <w:r w:rsidRPr="00EB1098">
        <w:rPr>
          <w:rFonts w:ascii="Times New Roman" w:hAnsi="Times New Roman"/>
          <w:lang w:val="es-AR"/>
        </w:rPr>
        <w:t xml:space="preserve"> total y bajo amenaza de desbordamiento </w:t>
      </w:r>
      <w:r w:rsidR="009607E0" w:rsidRPr="00EB1098">
        <w:rPr>
          <w:rFonts w:ascii="Times New Roman" w:hAnsi="Times New Roman"/>
          <w:lang w:val="es-AR"/>
        </w:rPr>
        <w:t>en las áreas de intervención</w:t>
      </w:r>
    </w:p>
    <w:tbl>
      <w:tblPr>
        <w:tblW w:w="6280" w:type="dxa"/>
        <w:jc w:val="center"/>
        <w:tblInd w:w="65" w:type="dxa"/>
        <w:tblCellMar>
          <w:left w:w="70" w:type="dxa"/>
          <w:right w:w="70" w:type="dxa"/>
        </w:tblCellMar>
        <w:tblLook w:val="04A0" w:firstRow="1" w:lastRow="0" w:firstColumn="1" w:lastColumn="0" w:noHBand="0" w:noVBand="1"/>
      </w:tblPr>
      <w:tblGrid>
        <w:gridCol w:w="1980"/>
        <w:gridCol w:w="1500"/>
        <w:gridCol w:w="1400"/>
        <w:gridCol w:w="1400"/>
      </w:tblGrid>
      <w:tr w:rsidR="00784D56" w:rsidRPr="00ED6C08" w:rsidTr="00455FC7">
        <w:trPr>
          <w:trHeight w:val="465"/>
          <w:jc w:val="center"/>
        </w:trPr>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4D56" w:rsidRPr="00ED6C08" w:rsidRDefault="00784D56" w:rsidP="00A7148D">
            <w:pPr>
              <w:rPr>
                <w:rFonts w:ascii="Times New Roman" w:hAnsi="Times New Roman"/>
                <w:color w:val="000000"/>
                <w:lang w:val="es-AR" w:eastAsia="es-AR"/>
              </w:rPr>
            </w:pPr>
            <w:r w:rsidRPr="00ED6C08">
              <w:rPr>
                <w:rFonts w:ascii="Times New Roman" w:hAnsi="Times New Roman"/>
                <w:color w:val="000000"/>
                <w:lang w:val="es-AR" w:eastAsia="es-AR"/>
              </w:rPr>
              <w:t>Provincia</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784D56" w:rsidRPr="00ED6C08" w:rsidRDefault="00784D56" w:rsidP="009607E0">
            <w:pPr>
              <w:jc w:val="center"/>
              <w:rPr>
                <w:rFonts w:ascii="Times New Roman" w:hAnsi="Times New Roman"/>
                <w:color w:val="000000"/>
                <w:lang w:val="es-AR" w:eastAsia="es-AR"/>
              </w:rPr>
            </w:pPr>
            <w:r>
              <w:rPr>
                <w:rFonts w:ascii="Times New Roman" w:hAnsi="Times New Roman"/>
                <w:color w:val="000000"/>
                <w:lang w:val="es-AR" w:eastAsia="es-AR"/>
              </w:rPr>
              <w:t>Población</w:t>
            </w:r>
            <w:r w:rsidRPr="00ED6C08">
              <w:rPr>
                <w:rFonts w:ascii="Times New Roman" w:hAnsi="Times New Roman"/>
                <w:color w:val="000000"/>
                <w:lang w:val="es-AR" w:eastAsia="es-AR"/>
              </w:rPr>
              <w:t xml:space="preserve"> </w:t>
            </w:r>
            <w:r>
              <w:rPr>
                <w:rFonts w:ascii="Times New Roman" w:hAnsi="Times New Roman"/>
                <w:color w:val="000000"/>
                <w:lang w:val="es-AR" w:eastAsia="es-AR"/>
              </w:rPr>
              <w:t>t</w:t>
            </w:r>
            <w:r w:rsidRPr="00ED6C08">
              <w:rPr>
                <w:rFonts w:ascii="Times New Roman" w:hAnsi="Times New Roman"/>
                <w:color w:val="000000"/>
                <w:lang w:val="es-AR" w:eastAsia="es-AR"/>
              </w:rPr>
              <w:t>otal</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784D56" w:rsidRPr="00ED6C08" w:rsidRDefault="00784D56" w:rsidP="009607E0">
            <w:pPr>
              <w:jc w:val="center"/>
              <w:rPr>
                <w:rFonts w:ascii="Times New Roman" w:hAnsi="Times New Roman"/>
                <w:color w:val="000000"/>
                <w:lang w:val="es-AR" w:eastAsia="es-AR"/>
              </w:rPr>
            </w:pPr>
            <w:r w:rsidRPr="00ED6C08">
              <w:rPr>
                <w:rFonts w:ascii="Times New Roman" w:hAnsi="Times New Roman"/>
                <w:color w:val="000000"/>
                <w:lang w:val="es-AR" w:eastAsia="es-AR"/>
              </w:rPr>
              <w:t xml:space="preserve">Población </w:t>
            </w:r>
            <w:r>
              <w:rPr>
                <w:rFonts w:ascii="Times New Roman" w:hAnsi="Times New Roman"/>
                <w:color w:val="000000"/>
                <w:lang w:val="es-AR" w:eastAsia="es-AR"/>
              </w:rPr>
              <w:t>e</w:t>
            </w:r>
            <w:r w:rsidRPr="00ED6C08">
              <w:rPr>
                <w:rFonts w:ascii="Times New Roman" w:hAnsi="Times New Roman"/>
                <w:color w:val="000000"/>
                <w:lang w:val="es-AR" w:eastAsia="es-AR"/>
              </w:rPr>
              <w:t>n riesgo</w:t>
            </w:r>
          </w:p>
        </w:tc>
        <w:tc>
          <w:tcPr>
            <w:tcW w:w="1400" w:type="dxa"/>
            <w:tcBorders>
              <w:top w:val="single" w:sz="4" w:space="0" w:color="auto"/>
              <w:left w:val="nil"/>
              <w:bottom w:val="single" w:sz="4" w:space="0" w:color="auto"/>
              <w:right w:val="single" w:sz="4" w:space="0" w:color="auto"/>
            </w:tcBorders>
            <w:shd w:val="clear" w:color="000000" w:fill="FFFFFF"/>
            <w:vAlign w:val="center"/>
          </w:tcPr>
          <w:p w:rsidR="00784D56" w:rsidRPr="00ED6C08" w:rsidRDefault="00784D56" w:rsidP="00784D56">
            <w:pPr>
              <w:jc w:val="center"/>
              <w:rPr>
                <w:rFonts w:ascii="Times New Roman" w:hAnsi="Times New Roman"/>
                <w:color w:val="000000"/>
                <w:lang w:val="es-AR" w:eastAsia="es-AR"/>
              </w:rPr>
            </w:pPr>
            <w:r>
              <w:rPr>
                <w:rFonts w:ascii="Times New Roman" w:hAnsi="Times New Roman"/>
                <w:color w:val="000000"/>
                <w:lang w:val="es-AR" w:eastAsia="es-AR"/>
              </w:rPr>
              <w:t>%</w:t>
            </w:r>
          </w:p>
        </w:tc>
      </w:tr>
      <w:tr w:rsidR="00784D56" w:rsidRPr="00410A87" w:rsidTr="00455FC7">
        <w:trPr>
          <w:trHeight w:val="300"/>
          <w:jc w:val="center"/>
        </w:trPr>
        <w:tc>
          <w:tcPr>
            <w:tcW w:w="1980" w:type="dxa"/>
            <w:tcBorders>
              <w:top w:val="nil"/>
              <w:left w:val="nil"/>
              <w:bottom w:val="nil"/>
              <w:right w:val="nil"/>
            </w:tcBorders>
            <w:shd w:val="clear" w:color="000000" w:fill="FFFFFF"/>
            <w:noWrap/>
            <w:vAlign w:val="bottom"/>
            <w:hideMark/>
          </w:tcPr>
          <w:p w:rsidR="00784D56" w:rsidRPr="00ED6C08" w:rsidRDefault="00784D56" w:rsidP="00A7148D">
            <w:pPr>
              <w:rPr>
                <w:rFonts w:ascii="Times New Roman" w:hAnsi="Times New Roman"/>
                <w:color w:val="000000"/>
                <w:lang w:val="es-AR" w:eastAsia="es-AR"/>
              </w:rPr>
            </w:pPr>
            <w:r w:rsidRPr="00ED6C08">
              <w:rPr>
                <w:rFonts w:ascii="Times New Roman" w:hAnsi="Times New Roman"/>
                <w:color w:val="000000"/>
                <w:lang w:val="es-AR" w:eastAsia="es-AR"/>
              </w:rPr>
              <w:t>GUAYAS</w:t>
            </w:r>
          </w:p>
        </w:tc>
        <w:tc>
          <w:tcPr>
            <w:tcW w:w="1500" w:type="dxa"/>
            <w:tcBorders>
              <w:top w:val="nil"/>
              <w:left w:val="nil"/>
              <w:bottom w:val="nil"/>
              <w:right w:val="nil"/>
            </w:tcBorders>
            <w:shd w:val="clear" w:color="000000" w:fill="FFFFFF"/>
            <w:noWrap/>
            <w:vAlign w:val="bottom"/>
            <w:hideMark/>
          </w:tcPr>
          <w:p w:rsidR="00784D56" w:rsidRPr="00ED6C08" w:rsidRDefault="00784D56" w:rsidP="00A7148D">
            <w:pPr>
              <w:jc w:val="right"/>
              <w:rPr>
                <w:rFonts w:ascii="Times New Roman" w:hAnsi="Times New Roman"/>
                <w:color w:val="000000"/>
                <w:lang w:val="es-AR" w:eastAsia="es-AR"/>
              </w:rPr>
            </w:pPr>
            <w:r w:rsidRPr="00ED6C08">
              <w:rPr>
                <w:rFonts w:ascii="Times New Roman" w:hAnsi="Times New Roman"/>
                <w:color w:val="000000"/>
                <w:lang w:val="es-AR" w:eastAsia="es-AR"/>
              </w:rPr>
              <w:t>4.146.996</w:t>
            </w:r>
          </w:p>
        </w:tc>
        <w:tc>
          <w:tcPr>
            <w:tcW w:w="1400" w:type="dxa"/>
            <w:tcBorders>
              <w:top w:val="nil"/>
              <w:left w:val="nil"/>
              <w:bottom w:val="nil"/>
              <w:right w:val="nil"/>
            </w:tcBorders>
            <w:shd w:val="clear" w:color="000000" w:fill="FFFFFF"/>
            <w:noWrap/>
            <w:vAlign w:val="bottom"/>
            <w:hideMark/>
          </w:tcPr>
          <w:p w:rsidR="00784D56" w:rsidRPr="00410A87" w:rsidRDefault="00784D56" w:rsidP="00A7148D">
            <w:pPr>
              <w:jc w:val="right"/>
              <w:rPr>
                <w:rFonts w:ascii="Times New Roman" w:hAnsi="Times New Roman"/>
                <w:color w:val="000000"/>
                <w:lang w:val="es-AR" w:eastAsia="es-AR"/>
              </w:rPr>
            </w:pPr>
            <w:r w:rsidRPr="00410A87">
              <w:rPr>
                <w:rFonts w:ascii="Times New Roman" w:hAnsi="Times New Roman"/>
                <w:color w:val="000000"/>
                <w:lang w:val="es-AR" w:eastAsia="es-AR"/>
              </w:rPr>
              <w:t>499.883</w:t>
            </w:r>
          </w:p>
        </w:tc>
        <w:tc>
          <w:tcPr>
            <w:tcW w:w="1400" w:type="dxa"/>
            <w:tcBorders>
              <w:top w:val="nil"/>
              <w:left w:val="nil"/>
              <w:bottom w:val="nil"/>
              <w:right w:val="nil"/>
            </w:tcBorders>
            <w:shd w:val="clear" w:color="000000" w:fill="FFFFFF"/>
            <w:vAlign w:val="bottom"/>
          </w:tcPr>
          <w:p w:rsidR="00406CAE" w:rsidRDefault="00784D56" w:rsidP="00455FC7">
            <w:pPr>
              <w:jc w:val="center"/>
              <w:rPr>
                <w:rFonts w:ascii="Times New Roman" w:hAnsi="Times New Roman"/>
                <w:b/>
                <w:bCs/>
                <w:color w:val="000000"/>
                <w:sz w:val="24"/>
                <w:szCs w:val="24"/>
                <w:lang w:val="es-AR" w:eastAsia="es-AR"/>
              </w:rPr>
            </w:pPr>
            <w:r>
              <w:rPr>
                <w:rFonts w:ascii="Times New Roman" w:hAnsi="Times New Roman"/>
                <w:color w:val="000000"/>
                <w:lang w:val="es-AR" w:eastAsia="es-AR"/>
              </w:rPr>
              <w:t>12%</w:t>
            </w:r>
          </w:p>
        </w:tc>
      </w:tr>
      <w:tr w:rsidR="00784D56" w:rsidRPr="00410A87" w:rsidTr="00455FC7">
        <w:trPr>
          <w:trHeight w:val="300"/>
          <w:jc w:val="center"/>
        </w:trPr>
        <w:tc>
          <w:tcPr>
            <w:tcW w:w="1980" w:type="dxa"/>
            <w:tcBorders>
              <w:top w:val="nil"/>
              <w:left w:val="nil"/>
              <w:bottom w:val="nil"/>
              <w:right w:val="nil"/>
            </w:tcBorders>
            <w:shd w:val="clear" w:color="000000" w:fill="FFFFFF"/>
            <w:noWrap/>
            <w:vAlign w:val="bottom"/>
            <w:hideMark/>
          </w:tcPr>
          <w:p w:rsidR="00784D56" w:rsidRPr="00ED6C08" w:rsidRDefault="00784D56" w:rsidP="00A7148D">
            <w:pPr>
              <w:rPr>
                <w:rFonts w:ascii="Times New Roman" w:hAnsi="Times New Roman"/>
                <w:color w:val="000000"/>
                <w:lang w:val="es-AR" w:eastAsia="es-AR"/>
              </w:rPr>
            </w:pPr>
            <w:r w:rsidRPr="00ED6C08">
              <w:rPr>
                <w:rFonts w:ascii="Times New Roman" w:hAnsi="Times New Roman"/>
                <w:color w:val="000000"/>
                <w:lang w:val="es-AR" w:eastAsia="es-AR"/>
              </w:rPr>
              <w:t>MANABÍ</w:t>
            </w:r>
          </w:p>
        </w:tc>
        <w:tc>
          <w:tcPr>
            <w:tcW w:w="1500" w:type="dxa"/>
            <w:tcBorders>
              <w:top w:val="nil"/>
              <w:left w:val="nil"/>
              <w:bottom w:val="nil"/>
              <w:right w:val="nil"/>
            </w:tcBorders>
            <w:shd w:val="clear" w:color="000000" w:fill="FFFFFF"/>
            <w:noWrap/>
            <w:vAlign w:val="bottom"/>
            <w:hideMark/>
          </w:tcPr>
          <w:p w:rsidR="00784D56" w:rsidRPr="00ED6C08" w:rsidRDefault="00784D56" w:rsidP="00A7148D">
            <w:pPr>
              <w:jc w:val="right"/>
              <w:rPr>
                <w:rFonts w:ascii="Times New Roman" w:hAnsi="Times New Roman"/>
                <w:color w:val="000000"/>
                <w:lang w:val="es-AR" w:eastAsia="es-AR"/>
              </w:rPr>
            </w:pPr>
            <w:r w:rsidRPr="00ED6C08">
              <w:rPr>
                <w:rFonts w:ascii="Times New Roman" w:hAnsi="Times New Roman"/>
                <w:color w:val="000000"/>
                <w:lang w:val="es-AR" w:eastAsia="es-AR"/>
              </w:rPr>
              <w:t>1.510.375</w:t>
            </w:r>
          </w:p>
        </w:tc>
        <w:tc>
          <w:tcPr>
            <w:tcW w:w="1400" w:type="dxa"/>
            <w:tcBorders>
              <w:top w:val="nil"/>
              <w:left w:val="nil"/>
              <w:bottom w:val="nil"/>
              <w:right w:val="nil"/>
            </w:tcBorders>
            <w:shd w:val="clear" w:color="000000" w:fill="FFFFFF"/>
            <w:noWrap/>
            <w:vAlign w:val="bottom"/>
          </w:tcPr>
          <w:p w:rsidR="00784D56" w:rsidRPr="00410A87" w:rsidRDefault="00784D56" w:rsidP="00A7148D">
            <w:pPr>
              <w:jc w:val="right"/>
              <w:rPr>
                <w:rFonts w:ascii="Times New Roman" w:hAnsi="Times New Roman"/>
                <w:color w:val="000000"/>
                <w:lang w:val="es-AR" w:eastAsia="es-AR"/>
              </w:rPr>
            </w:pPr>
            <w:r w:rsidRPr="00410A87">
              <w:rPr>
                <w:rFonts w:ascii="Times New Roman" w:hAnsi="Times New Roman"/>
                <w:color w:val="000000"/>
                <w:lang w:val="es-AR" w:eastAsia="es-AR"/>
              </w:rPr>
              <w:t>221.573</w:t>
            </w:r>
          </w:p>
        </w:tc>
        <w:tc>
          <w:tcPr>
            <w:tcW w:w="1400" w:type="dxa"/>
            <w:tcBorders>
              <w:top w:val="nil"/>
              <w:left w:val="nil"/>
              <w:bottom w:val="nil"/>
              <w:right w:val="nil"/>
            </w:tcBorders>
            <w:shd w:val="clear" w:color="000000" w:fill="FFFFFF"/>
            <w:vAlign w:val="bottom"/>
          </w:tcPr>
          <w:p w:rsidR="00406CAE" w:rsidRDefault="00784D56" w:rsidP="00455FC7">
            <w:pPr>
              <w:jc w:val="center"/>
              <w:rPr>
                <w:rFonts w:ascii="Times New Roman" w:hAnsi="Times New Roman"/>
                <w:color w:val="000000"/>
                <w:lang w:val="es-AR" w:eastAsia="es-AR"/>
              </w:rPr>
            </w:pPr>
            <w:r>
              <w:rPr>
                <w:rFonts w:ascii="Times New Roman" w:hAnsi="Times New Roman"/>
                <w:color w:val="000000"/>
                <w:lang w:val="es-AR" w:eastAsia="es-AR"/>
              </w:rPr>
              <w:t>15%</w:t>
            </w:r>
          </w:p>
        </w:tc>
      </w:tr>
      <w:tr w:rsidR="00784D56" w:rsidRPr="00410A87" w:rsidTr="00455FC7">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4D56" w:rsidRPr="00ED6C08" w:rsidRDefault="00784D56" w:rsidP="00A7148D">
            <w:pPr>
              <w:rPr>
                <w:rFonts w:ascii="Times New Roman" w:hAnsi="Times New Roman"/>
                <w:color w:val="000000"/>
                <w:lang w:val="es-AR" w:eastAsia="es-AR"/>
              </w:rPr>
            </w:pPr>
            <w:r w:rsidRPr="00ED6C08">
              <w:rPr>
                <w:rFonts w:ascii="Times New Roman" w:hAnsi="Times New Roman"/>
                <w:color w:val="000000"/>
                <w:lang w:val="es-AR" w:eastAsia="es-AR"/>
              </w:rPr>
              <w:t>TOTALES REGION</w:t>
            </w:r>
          </w:p>
        </w:tc>
        <w:tc>
          <w:tcPr>
            <w:tcW w:w="1500" w:type="dxa"/>
            <w:tcBorders>
              <w:top w:val="single" w:sz="4" w:space="0" w:color="auto"/>
              <w:left w:val="nil"/>
              <w:bottom w:val="single" w:sz="4" w:space="0" w:color="auto"/>
              <w:right w:val="single" w:sz="4" w:space="0" w:color="auto"/>
            </w:tcBorders>
            <w:shd w:val="clear" w:color="000000" w:fill="FFFFFF"/>
            <w:noWrap/>
            <w:vAlign w:val="bottom"/>
            <w:hideMark/>
          </w:tcPr>
          <w:p w:rsidR="00784D56" w:rsidRPr="00ED6C08" w:rsidRDefault="00784D56" w:rsidP="00A7148D">
            <w:pPr>
              <w:jc w:val="right"/>
              <w:rPr>
                <w:rFonts w:ascii="Times New Roman" w:hAnsi="Times New Roman"/>
                <w:color w:val="000000"/>
                <w:lang w:val="es-AR" w:eastAsia="es-AR"/>
              </w:rPr>
            </w:pPr>
            <w:r>
              <w:rPr>
                <w:rFonts w:ascii="Times New Roman" w:hAnsi="Times New Roman"/>
                <w:color w:val="000000"/>
                <w:lang w:val="es-AR" w:eastAsia="es-AR"/>
              </w:rPr>
              <w:t>5.657.371</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rsidR="00784D56" w:rsidRPr="00410A87" w:rsidRDefault="00784D56" w:rsidP="00410A87">
            <w:pPr>
              <w:jc w:val="right"/>
              <w:rPr>
                <w:rFonts w:ascii="Times New Roman" w:hAnsi="Times New Roman"/>
                <w:color w:val="000000"/>
                <w:lang w:val="es-AR" w:eastAsia="es-AR"/>
              </w:rPr>
            </w:pPr>
            <w:r w:rsidRPr="00410A87">
              <w:rPr>
                <w:rFonts w:ascii="Times New Roman" w:hAnsi="Times New Roman"/>
                <w:color w:val="000000"/>
                <w:lang w:val="es-AR" w:eastAsia="es-AR"/>
              </w:rPr>
              <w:t>721.456</w:t>
            </w:r>
          </w:p>
        </w:tc>
        <w:tc>
          <w:tcPr>
            <w:tcW w:w="1400" w:type="dxa"/>
            <w:tcBorders>
              <w:top w:val="single" w:sz="4" w:space="0" w:color="auto"/>
              <w:left w:val="nil"/>
              <w:bottom w:val="single" w:sz="4" w:space="0" w:color="auto"/>
              <w:right w:val="single" w:sz="4" w:space="0" w:color="auto"/>
            </w:tcBorders>
            <w:shd w:val="clear" w:color="000000" w:fill="FFFFFF"/>
            <w:vAlign w:val="bottom"/>
          </w:tcPr>
          <w:p w:rsidR="00406CAE" w:rsidRDefault="00784D56" w:rsidP="00455FC7">
            <w:pPr>
              <w:jc w:val="center"/>
              <w:rPr>
                <w:rFonts w:ascii="Times New Roman" w:hAnsi="Times New Roman"/>
                <w:color w:val="000000"/>
                <w:lang w:val="es-AR" w:eastAsia="es-AR"/>
              </w:rPr>
            </w:pPr>
            <w:r>
              <w:rPr>
                <w:rFonts w:ascii="Times New Roman" w:hAnsi="Times New Roman"/>
                <w:color w:val="000000"/>
                <w:lang w:val="es-AR" w:eastAsia="es-AR"/>
              </w:rPr>
              <w:t>13%</w:t>
            </w:r>
          </w:p>
        </w:tc>
      </w:tr>
    </w:tbl>
    <w:p w:rsidR="00410A87" w:rsidRPr="00410A87" w:rsidRDefault="00410A87" w:rsidP="00410A87">
      <w:pPr>
        <w:jc w:val="both"/>
        <w:rPr>
          <w:rFonts w:ascii="Times New Roman" w:hAnsi="Times New Roman"/>
          <w:bCs/>
          <w:i/>
          <w:sz w:val="22"/>
          <w:lang w:val="es-ES_tradnl"/>
        </w:rPr>
      </w:pPr>
      <w:r w:rsidRPr="00410A87">
        <w:rPr>
          <w:rFonts w:ascii="Times New Roman" w:hAnsi="Times New Roman"/>
          <w:bCs/>
          <w:sz w:val="22"/>
          <w:lang w:val="es-ES_tradnl"/>
        </w:rPr>
        <w:tab/>
      </w:r>
      <w:r w:rsidRPr="00410A87">
        <w:rPr>
          <w:rFonts w:ascii="Times New Roman" w:hAnsi="Times New Roman"/>
          <w:bCs/>
          <w:sz w:val="22"/>
          <w:lang w:val="es-ES_tradnl"/>
        </w:rPr>
        <w:tab/>
      </w:r>
      <w:r w:rsidRPr="00410A87">
        <w:rPr>
          <w:rFonts w:ascii="Times New Roman" w:hAnsi="Times New Roman"/>
          <w:bCs/>
          <w:sz w:val="22"/>
          <w:lang w:val="es-ES_tradnl"/>
        </w:rPr>
        <w:tab/>
      </w:r>
      <w:r w:rsidRPr="00410A87">
        <w:rPr>
          <w:rFonts w:ascii="Times New Roman" w:hAnsi="Times New Roman"/>
          <w:bCs/>
          <w:i/>
          <w:sz w:val="22"/>
          <w:lang w:val="es-ES_tradnl"/>
        </w:rPr>
        <w:t>Fuente: ECU 911,</w:t>
      </w:r>
    </w:p>
    <w:p w:rsidR="00410A87" w:rsidRPr="00410A87" w:rsidRDefault="00410A87" w:rsidP="00410A87">
      <w:pPr>
        <w:jc w:val="both"/>
        <w:rPr>
          <w:rFonts w:ascii="Times New Roman" w:hAnsi="Times New Roman"/>
          <w:bCs/>
          <w:sz w:val="22"/>
          <w:lang w:val="es-ES_tradnl"/>
        </w:rPr>
      </w:pPr>
    </w:p>
    <w:p w:rsidR="000B1273" w:rsidRPr="0054379F" w:rsidRDefault="009F027B" w:rsidP="000B1273">
      <w:pPr>
        <w:pStyle w:val="ListParagraph"/>
        <w:numPr>
          <w:ilvl w:val="1"/>
          <w:numId w:val="12"/>
        </w:numPr>
        <w:jc w:val="both"/>
        <w:rPr>
          <w:rFonts w:ascii="Times New Roman" w:hAnsi="Times New Roman"/>
          <w:bCs/>
          <w:sz w:val="22"/>
          <w:lang w:val="es-ES_tradnl"/>
        </w:rPr>
      </w:pPr>
      <w:r>
        <w:rPr>
          <w:rFonts w:ascii="Times New Roman" w:hAnsi="Times New Roman"/>
          <w:bCs/>
          <w:sz w:val="22"/>
          <w:lang w:val="es-ES"/>
        </w:rPr>
        <w:t>Dentro de la Provincia de Manabí, l</w:t>
      </w:r>
      <w:r w:rsidR="00D5671A" w:rsidRPr="00137FC7">
        <w:rPr>
          <w:rFonts w:ascii="Times New Roman" w:hAnsi="Times New Roman"/>
          <w:bCs/>
          <w:sz w:val="22"/>
          <w:lang w:val="es-ES"/>
        </w:rPr>
        <w:t xml:space="preserve">a población expuesta a desbordamientos es </w:t>
      </w:r>
      <w:r w:rsidR="006141FA">
        <w:rPr>
          <w:rFonts w:ascii="Times New Roman" w:hAnsi="Times New Roman"/>
          <w:bCs/>
          <w:sz w:val="22"/>
          <w:lang w:val="es-ES"/>
        </w:rPr>
        <w:t>aproximadamente</w:t>
      </w:r>
      <w:r w:rsidR="00D5671A" w:rsidRPr="00137FC7">
        <w:rPr>
          <w:rFonts w:ascii="Times New Roman" w:hAnsi="Times New Roman"/>
          <w:bCs/>
          <w:sz w:val="22"/>
          <w:lang w:val="es-ES"/>
        </w:rPr>
        <w:t xml:space="preserve"> 81.193 y 144.380 habitantes en las subcuencas de Portoviejo y Chone, respectivamente. </w:t>
      </w:r>
      <w:r>
        <w:rPr>
          <w:rFonts w:ascii="Times New Roman" w:hAnsi="Times New Roman"/>
          <w:bCs/>
          <w:sz w:val="22"/>
          <w:lang w:val="es-ES"/>
        </w:rPr>
        <w:t>Por su parte, en la Provincia de Guayas, s</w:t>
      </w:r>
      <w:r w:rsidR="00D5671A" w:rsidRPr="00137FC7">
        <w:rPr>
          <w:rFonts w:ascii="Times New Roman" w:hAnsi="Times New Roman"/>
          <w:bCs/>
          <w:sz w:val="22"/>
          <w:lang w:val="es-ES"/>
        </w:rPr>
        <w:t>i bien en la subcuenca de Chongón no hay asentamientos humanos significativos (Clavijo y Peñaherrera, 2013), su proximidad a la ciudad de Guayaquil hace que todos los sectores ubicados de la vía Perimetral hacia el noroeste de la ciudad, donde se concentra el 22% de la población, o 499.883 habitantes, sean propensos a inundaciones.</w:t>
      </w:r>
      <w:r>
        <w:rPr>
          <w:rFonts w:ascii="Times New Roman" w:hAnsi="Times New Roman"/>
          <w:bCs/>
          <w:sz w:val="22"/>
          <w:lang w:val="es-ES"/>
        </w:rPr>
        <w:t xml:space="preserve"> Las informaciones sobre víctimas no se encuentran rigurosamente registradas y presentan algunas contradicciones. </w:t>
      </w:r>
      <w:r w:rsidRPr="00137FC7">
        <w:rPr>
          <w:rFonts w:ascii="Times New Roman" w:hAnsi="Times New Roman"/>
          <w:bCs/>
          <w:sz w:val="22"/>
          <w:lang w:val="es-ES"/>
        </w:rPr>
        <w:t>Entre 1970 y 2007  hubo cerca de 150 víctimas y 4.480 viviendas destruidas por inundaciones (Comunidad Andina, 2009).</w:t>
      </w:r>
      <w:r>
        <w:rPr>
          <w:rFonts w:ascii="Times New Roman" w:hAnsi="Times New Roman"/>
          <w:bCs/>
          <w:sz w:val="22"/>
          <w:lang w:val="es-ES"/>
        </w:rPr>
        <w:t xml:space="preserve">  </w:t>
      </w:r>
      <w:r w:rsidR="0054379F">
        <w:rPr>
          <w:rFonts w:ascii="Times New Roman" w:hAnsi="Times New Roman"/>
          <w:bCs/>
          <w:sz w:val="22"/>
          <w:lang w:val="es-ES"/>
        </w:rPr>
        <w:t>Por otra parte, el sitio Desinventar</w:t>
      </w:r>
      <w:r w:rsidR="0054379F">
        <w:rPr>
          <w:rStyle w:val="FootnoteReference"/>
          <w:rFonts w:ascii="Times New Roman" w:hAnsi="Times New Roman"/>
          <w:bCs/>
          <w:sz w:val="22"/>
          <w:lang w:val="es-ES"/>
        </w:rPr>
        <w:footnoteReference w:id="37"/>
      </w:r>
      <w:r w:rsidR="0054379F">
        <w:rPr>
          <w:rFonts w:ascii="Times New Roman" w:hAnsi="Times New Roman"/>
          <w:bCs/>
          <w:sz w:val="22"/>
          <w:lang w:val="es-ES"/>
        </w:rPr>
        <w:t xml:space="preserve">  refiere para el período 1970 -2015  una </w:t>
      </w:r>
      <w:r w:rsidR="0054379F">
        <w:rPr>
          <w:rFonts w:ascii="Times New Roman" w:hAnsi="Times New Roman"/>
          <w:bCs/>
          <w:sz w:val="22"/>
          <w:lang w:val="es-ES"/>
        </w:rPr>
        <w:lastRenderedPageBreak/>
        <w:t>cantidad de personas fallecidas y desaparecidas por el mismo motivo de 302 sólo para las dos provincias de interés.</w:t>
      </w:r>
    </w:p>
    <w:p w:rsidR="0054379F" w:rsidRPr="00632886" w:rsidRDefault="0054379F" w:rsidP="000B1273">
      <w:pPr>
        <w:pStyle w:val="ListParagraph"/>
        <w:numPr>
          <w:ilvl w:val="1"/>
          <w:numId w:val="12"/>
        </w:numPr>
        <w:jc w:val="both"/>
        <w:rPr>
          <w:rFonts w:ascii="Times New Roman" w:hAnsi="Times New Roman"/>
          <w:bCs/>
          <w:sz w:val="22"/>
          <w:lang w:val="es-ES_tradnl"/>
        </w:rPr>
      </w:pPr>
      <w:r>
        <w:rPr>
          <w:rFonts w:ascii="Times New Roman" w:hAnsi="Times New Roman"/>
          <w:bCs/>
          <w:sz w:val="22"/>
          <w:lang w:val="es-ES"/>
        </w:rPr>
        <w:t>Se toma como referencia un documento oficial de SGR</w:t>
      </w:r>
      <w:r>
        <w:rPr>
          <w:rStyle w:val="FootnoteReference"/>
          <w:rFonts w:ascii="Times New Roman" w:hAnsi="Times New Roman"/>
          <w:bCs/>
          <w:sz w:val="22"/>
          <w:lang w:val="es-ES"/>
        </w:rPr>
        <w:footnoteReference w:id="38"/>
      </w:r>
      <w:r>
        <w:rPr>
          <w:rFonts w:ascii="Times New Roman" w:hAnsi="Times New Roman"/>
          <w:bCs/>
          <w:sz w:val="22"/>
          <w:lang w:val="es-ES"/>
        </w:rPr>
        <w:t xml:space="preserve"> que analiza las distintas amenazas naturales que afectan al país. </w:t>
      </w:r>
      <w:r w:rsidR="00632886">
        <w:rPr>
          <w:rFonts w:ascii="Times New Roman" w:hAnsi="Times New Roman"/>
          <w:bCs/>
          <w:sz w:val="22"/>
          <w:lang w:val="es-ES"/>
        </w:rPr>
        <w:t xml:space="preserve">La mayor causante de muertes (incluyendo desaparecidos) en el </w:t>
      </w:r>
      <w:r w:rsidR="00673163">
        <w:rPr>
          <w:rFonts w:ascii="Times New Roman" w:hAnsi="Times New Roman"/>
          <w:bCs/>
          <w:sz w:val="22"/>
          <w:lang w:val="es-ES"/>
        </w:rPr>
        <w:t>período</w:t>
      </w:r>
      <w:r w:rsidR="00632886">
        <w:rPr>
          <w:rFonts w:ascii="Times New Roman" w:hAnsi="Times New Roman"/>
          <w:bCs/>
          <w:sz w:val="22"/>
          <w:lang w:val="es-ES"/>
        </w:rPr>
        <w:t xml:space="preserve"> 1970-2010 han sido los deslizamientos con un número de 1910, seguidos por las inundaciones con un número de 716 personas. A partir de la focalización </w:t>
      </w:r>
      <w:r w:rsidR="00EB287D">
        <w:rPr>
          <w:rFonts w:ascii="Times New Roman" w:hAnsi="Times New Roman"/>
          <w:bCs/>
          <w:sz w:val="22"/>
          <w:lang w:val="es-ES"/>
        </w:rPr>
        <w:t>de</w:t>
      </w:r>
      <w:r w:rsidR="00632886">
        <w:rPr>
          <w:rFonts w:ascii="Times New Roman" w:hAnsi="Times New Roman"/>
          <w:bCs/>
          <w:sz w:val="22"/>
          <w:lang w:val="es-ES"/>
        </w:rPr>
        <w:t xml:space="preserve"> los efectos en las áreas de interés, Guayas y Manabí</w:t>
      </w:r>
      <w:r w:rsidR="009D33DE">
        <w:rPr>
          <w:rFonts w:ascii="Times New Roman" w:hAnsi="Times New Roman"/>
          <w:bCs/>
          <w:sz w:val="22"/>
          <w:lang w:val="es-ES"/>
        </w:rPr>
        <w:t>,</w:t>
      </w:r>
      <w:r w:rsidR="00D23F77">
        <w:rPr>
          <w:rFonts w:ascii="Times New Roman" w:hAnsi="Times New Roman"/>
          <w:bCs/>
          <w:sz w:val="22"/>
          <w:lang w:val="es-ES"/>
        </w:rPr>
        <w:t xml:space="preserve"> se determinaron los impactos observados en los últimos 20 años</w:t>
      </w:r>
      <w:proofErr w:type="gramStart"/>
      <w:r w:rsidR="00D23F77">
        <w:rPr>
          <w:rFonts w:ascii="Times New Roman" w:hAnsi="Times New Roman"/>
          <w:bCs/>
          <w:sz w:val="22"/>
          <w:lang w:val="es-ES"/>
        </w:rPr>
        <w:t>.</w:t>
      </w:r>
      <w:r w:rsidR="00632886">
        <w:rPr>
          <w:rFonts w:ascii="Times New Roman" w:hAnsi="Times New Roman"/>
          <w:bCs/>
          <w:sz w:val="22"/>
          <w:lang w:val="es-ES"/>
        </w:rPr>
        <w:t>.</w:t>
      </w:r>
      <w:proofErr w:type="gramEnd"/>
    </w:p>
    <w:p w:rsidR="00632886" w:rsidRPr="00F036E8" w:rsidRDefault="00632886" w:rsidP="00632886">
      <w:pPr>
        <w:pStyle w:val="ListParagraph"/>
        <w:ind w:left="718"/>
        <w:jc w:val="both"/>
        <w:rPr>
          <w:rFonts w:ascii="Times New Roman" w:hAnsi="Times New Roman"/>
          <w:bCs/>
          <w:sz w:val="22"/>
          <w:lang w:val="es-ES_tradnl"/>
        </w:rPr>
      </w:pPr>
    </w:p>
    <w:p w:rsidR="00F036E8" w:rsidRDefault="00632886" w:rsidP="002E3D0F">
      <w:pPr>
        <w:jc w:val="center"/>
        <w:rPr>
          <w:rFonts w:ascii="Times New Roman" w:hAnsi="Times New Roman"/>
          <w:bCs/>
          <w:sz w:val="22"/>
          <w:lang w:val="es-ES_tradnl"/>
        </w:rPr>
      </w:pPr>
      <w:r w:rsidRPr="00DD2DC1">
        <w:rPr>
          <w:rFonts w:ascii="Times New Roman" w:hAnsi="Times New Roman"/>
          <w:b/>
          <w:lang w:val="es-ES"/>
        </w:rPr>
        <w:t xml:space="preserve">Figura </w:t>
      </w:r>
      <w:r w:rsidR="00081A23" w:rsidRPr="00DD2DC1">
        <w:rPr>
          <w:rFonts w:ascii="Times New Roman" w:hAnsi="Times New Roman"/>
          <w:b/>
          <w:lang w:val="es-ES"/>
        </w:rPr>
        <w:fldChar w:fldCharType="begin"/>
      </w:r>
      <w:r w:rsidRPr="00DD2DC1">
        <w:rPr>
          <w:rFonts w:ascii="Times New Roman" w:hAnsi="Times New Roman"/>
          <w:b/>
          <w:lang w:val="es-ES"/>
        </w:rPr>
        <w:instrText xml:space="preserve"> SEQ Figura \* ARABIC </w:instrText>
      </w:r>
      <w:r w:rsidR="00081A23" w:rsidRPr="00DD2DC1">
        <w:rPr>
          <w:rFonts w:ascii="Times New Roman" w:hAnsi="Times New Roman"/>
          <w:b/>
          <w:lang w:val="es-ES"/>
        </w:rPr>
        <w:fldChar w:fldCharType="separate"/>
      </w:r>
      <w:r>
        <w:rPr>
          <w:rFonts w:ascii="Times New Roman" w:hAnsi="Times New Roman"/>
          <w:b/>
          <w:noProof/>
          <w:lang w:val="es-ES"/>
        </w:rPr>
        <w:t>2</w:t>
      </w:r>
      <w:r w:rsidR="00081A23" w:rsidRPr="00DD2DC1">
        <w:rPr>
          <w:rFonts w:ascii="Times New Roman" w:hAnsi="Times New Roman"/>
          <w:b/>
          <w:lang w:val="es-ES"/>
        </w:rPr>
        <w:fldChar w:fldCharType="end"/>
      </w:r>
      <w:r w:rsidRPr="00DD2DC1">
        <w:rPr>
          <w:rFonts w:ascii="Times New Roman" w:hAnsi="Times New Roman"/>
          <w:b/>
          <w:lang w:val="es-ES"/>
        </w:rPr>
        <w:t>.</w:t>
      </w:r>
      <w:r w:rsidRPr="00DD2DC1">
        <w:rPr>
          <w:rFonts w:ascii="Times New Roman" w:hAnsi="Times New Roman"/>
          <w:lang w:val="es-ES"/>
        </w:rPr>
        <w:t xml:space="preserve"> </w:t>
      </w:r>
      <w:r>
        <w:rPr>
          <w:rFonts w:ascii="Times New Roman" w:hAnsi="Times New Roman"/>
          <w:lang w:val="es-ES"/>
        </w:rPr>
        <w:t xml:space="preserve">Muertos y afectados en Manabí </w:t>
      </w:r>
      <w:r w:rsidR="002E3D0F">
        <w:rPr>
          <w:rFonts w:ascii="Times New Roman" w:hAnsi="Times New Roman"/>
          <w:lang w:val="es-ES"/>
        </w:rPr>
        <w:t xml:space="preserve">y Guayas por Desborde ríos </w:t>
      </w:r>
      <w:r>
        <w:rPr>
          <w:rFonts w:ascii="Times New Roman" w:hAnsi="Times New Roman"/>
          <w:lang w:val="es-ES"/>
        </w:rPr>
        <w:t>/ 1995-2015</w:t>
      </w:r>
    </w:p>
    <w:p w:rsidR="00632886" w:rsidRDefault="00632886" w:rsidP="00F036E8">
      <w:pPr>
        <w:jc w:val="both"/>
        <w:rPr>
          <w:rFonts w:ascii="Times New Roman" w:hAnsi="Times New Roman"/>
          <w:bCs/>
          <w:sz w:val="22"/>
          <w:lang w:val="es-ES_tradnl"/>
        </w:rPr>
      </w:pPr>
      <w:r w:rsidRPr="00632886">
        <w:rPr>
          <w:noProof/>
        </w:rPr>
        <w:drawing>
          <wp:inline distT="0" distB="0" distL="0" distR="0" wp14:anchorId="3D135011" wp14:editId="28F3611D">
            <wp:extent cx="5278755" cy="2773187"/>
            <wp:effectExtent l="1905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5278755" cy="2773187"/>
                    </a:xfrm>
                    <a:prstGeom prst="rect">
                      <a:avLst/>
                    </a:prstGeom>
                    <a:noFill/>
                    <a:ln w="9525">
                      <a:noFill/>
                      <a:miter lim="800000"/>
                      <a:headEnd/>
                      <a:tailEnd/>
                    </a:ln>
                  </pic:spPr>
                </pic:pic>
              </a:graphicData>
            </a:graphic>
          </wp:inline>
        </w:drawing>
      </w:r>
    </w:p>
    <w:p w:rsidR="00632886" w:rsidRDefault="00632886" w:rsidP="00F036E8">
      <w:pPr>
        <w:jc w:val="both"/>
        <w:rPr>
          <w:rFonts w:ascii="Times New Roman" w:hAnsi="Times New Roman"/>
          <w:bCs/>
          <w:i/>
          <w:lang w:val="es-ES_tradnl"/>
        </w:rPr>
      </w:pPr>
      <w:r w:rsidRPr="00632886">
        <w:rPr>
          <w:rFonts w:ascii="Times New Roman" w:hAnsi="Times New Roman"/>
          <w:bCs/>
          <w:i/>
          <w:lang w:val="es-ES_tradnl"/>
        </w:rPr>
        <w:t xml:space="preserve">Fuente: </w:t>
      </w:r>
      <w:hyperlink r:id="rId12" w:anchor="ECU-DEMO/" w:history="1">
        <w:r w:rsidR="001B6AA1" w:rsidRPr="00F07079">
          <w:rPr>
            <w:rStyle w:val="Hyperlink"/>
            <w:rFonts w:ascii="Times New Roman" w:hAnsi="Times New Roman"/>
            <w:bCs/>
            <w:i/>
            <w:lang w:val="es-ES_tradnl"/>
          </w:rPr>
          <w:t>https://online.desinventar.org/desinventar/#ECU-DEMO/</w:t>
        </w:r>
      </w:hyperlink>
    </w:p>
    <w:p w:rsidR="001B6AA1" w:rsidRPr="00632886" w:rsidRDefault="001B6AA1" w:rsidP="00F036E8">
      <w:pPr>
        <w:jc w:val="both"/>
        <w:rPr>
          <w:rFonts w:ascii="Times New Roman" w:hAnsi="Times New Roman"/>
          <w:bCs/>
          <w:i/>
          <w:lang w:val="es-ES_tradnl"/>
        </w:rPr>
      </w:pPr>
    </w:p>
    <w:p w:rsidR="004C5A3B" w:rsidRPr="004C5A3B" w:rsidRDefault="00632886" w:rsidP="00632886">
      <w:pPr>
        <w:pStyle w:val="ListParagraph"/>
        <w:numPr>
          <w:ilvl w:val="1"/>
          <w:numId w:val="12"/>
        </w:numPr>
        <w:jc w:val="both"/>
        <w:rPr>
          <w:rFonts w:ascii="Times New Roman" w:hAnsi="Times New Roman"/>
          <w:bCs/>
          <w:sz w:val="22"/>
          <w:lang w:val="es-ES_tradnl"/>
        </w:rPr>
      </w:pPr>
      <w:r>
        <w:rPr>
          <w:rFonts w:ascii="Times New Roman" w:hAnsi="Times New Roman"/>
          <w:bCs/>
          <w:sz w:val="22"/>
          <w:lang w:val="es-ES"/>
        </w:rPr>
        <w:t xml:space="preserve">Se observa que el pico de fallecimientos </w:t>
      </w:r>
      <w:r w:rsidR="004C5A3B">
        <w:rPr>
          <w:rFonts w:ascii="Times New Roman" w:hAnsi="Times New Roman"/>
          <w:bCs/>
          <w:sz w:val="22"/>
          <w:lang w:val="es-ES"/>
        </w:rPr>
        <w:t xml:space="preserve">en la zona </w:t>
      </w:r>
      <w:r>
        <w:rPr>
          <w:rFonts w:ascii="Times New Roman" w:hAnsi="Times New Roman"/>
          <w:bCs/>
          <w:sz w:val="22"/>
          <w:lang w:val="es-ES"/>
        </w:rPr>
        <w:t>se corresponde con la presencia del fenómeno de El Niño</w:t>
      </w:r>
      <w:r w:rsidR="00AB6A12">
        <w:rPr>
          <w:rFonts w:ascii="Times New Roman" w:hAnsi="Times New Roman"/>
          <w:bCs/>
          <w:sz w:val="22"/>
          <w:lang w:val="es-ES"/>
        </w:rPr>
        <w:t xml:space="preserve"> en 1997/98, acumulando en sólo dos años 152 decesos (similar situación se había verificado en 1987 con 102 muertos). Independientemente de los fallecimientos la cantidad de afectados tiende a ser mayor, con una relación promedio de 338 afectados por cada 1 muerto (el total de afectados para el </w:t>
      </w:r>
      <w:r w:rsidR="00673163">
        <w:rPr>
          <w:rFonts w:ascii="Times New Roman" w:hAnsi="Times New Roman"/>
          <w:bCs/>
          <w:sz w:val="22"/>
          <w:lang w:val="es-ES"/>
        </w:rPr>
        <w:t>período</w:t>
      </w:r>
      <w:r w:rsidR="00AB6A12">
        <w:rPr>
          <w:rFonts w:ascii="Times New Roman" w:hAnsi="Times New Roman"/>
          <w:bCs/>
          <w:sz w:val="22"/>
          <w:lang w:val="es-ES"/>
        </w:rPr>
        <w:t xml:space="preserve"> considerado alcanzó a 96.624). Se esperaba una situación </w:t>
      </w:r>
      <w:r w:rsidR="002A4837">
        <w:rPr>
          <w:rFonts w:ascii="Times New Roman" w:hAnsi="Times New Roman"/>
          <w:bCs/>
          <w:sz w:val="22"/>
          <w:lang w:val="es-ES"/>
        </w:rPr>
        <w:t xml:space="preserve">más </w:t>
      </w:r>
      <w:r w:rsidR="00AB6A12">
        <w:rPr>
          <w:rFonts w:ascii="Times New Roman" w:hAnsi="Times New Roman"/>
          <w:bCs/>
          <w:sz w:val="22"/>
          <w:lang w:val="es-ES"/>
        </w:rPr>
        <w:t>compleja con la presencia de El Nino 2015-16</w:t>
      </w:r>
      <w:r w:rsidR="002A4837">
        <w:rPr>
          <w:rFonts w:ascii="Times New Roman" w:hAnsi="Times New Roman"/>
          <w:bCs/>
          <w:sz w:val="22"/>
          <w:lang w:val="es-ES"/>
        </w:rPr>
        <w:t xml:space="preserve"> que se planteaba muy riguroso</w:t>
      </w:r>
      <w:r w:rsidR="00AB6A12">
        <w:rPr>
          <w:rFonts w:ascii="Times New Roman" w:hAnsi="Times New Roman"/>
          <w:bCs/>
          <w:sz w:val="22"/>
          <w:lang w:val="es-ES"/>
        </w:rPr>
        <w:t>, pero las lluvias se manifestaron por debajo de los niveles críticos</w:t>
      </w:r>
      <w:r w:rsidR="00AB6A12">
        <w:rPr>
          <w:rStyle w:val="FootnoteReference"/>
          <w:rFonts w:ascii="Times New Roman" w:hAnsi="Times New Roman"/>
          <w:bCs/>
          <w:sz w:val="22"/>
          <w:lang w:val="es-ES"/>
        </w:rPr>
        <w:footnoteReference w:id="39"/>
      </w:r>
      <w:r w:rsidR="00AB6A12">
        <w:rPr>
          <w:rFonts w:ascii="Times New Roman" w:hAnsi="Times New Roman"/>
          <w:bCs/>
          <w:sz w:val="22"/>
          <w:lang w:val="es-ES"/>
        </w:rPr>
        <w:t>.</w:t>
      </w:r>
      <w:r>
        <w:rPr>
          <w:rFonts w:ascii="Times New Roman" w:hAnsi="Times New Roman"/>
          <w:bCs/>
          <w:sz w:val="22"/>
          <w:lang w:val="es-ES"/>
        </w:rPr>
        <w:t xml:space="preserve"> </w:t>
      </w:r>
      <w:r w:rsidR="002A4837">
        <w:rPr>
          <w:rFonts w:ascii="Times New Roman" w:hAnsi="Times New Roman"/>
          <w:bCs/>
          <w:sz w:val="22"/>
          <w:lang w:val="es-ES"/>
        </w:rPr>
        <w:t xml:space="preserve">A pesar de esta referencia técnica, los datos </w:t>
      </w:r>
      <w:r w:rsidR="001B6AA1">
        <w:rPr>
          <w:rFonts w:ascii="Times New Roman" w:hAnsi="Times New Roman"/>
          <w:bCs/>
          <w:sz w:val="22"/>
          <w:lang w:val="es-ES"/>
        </w:rPr>
        <w:t xml:space="preserve">preliminares </w:t>
      </w:r>
      <w:r w:rsidR="002A4837">
        <w:rPr>
          <w:rFonts w:ascii="Times New Roman" w:hAnsi="Times New Roman"/>
          <w:bCs/>
          <w:sz w:val="22"/>
          <w:lang w:val="es-ES"/>
        </w:rPr>
        <w:t xml:space="preserve">presentan 1 fallecimiento y cerca de 4.000 afectados en Manabí </w:t>
      </w:r>
      <w:r w:rsidR="001B6AA1">
        <w:rPr>
          <w:rFonts w:ascii="Times New Roman" w:hAnsi="Times New Roman"/>
          <w:bCs/>
          <w:sz w:val="22"/>
          <w:lang w:val="es-ES"/>
        </w:rPr>
        <w:t>y 3 muertes</w:t>
      </w:r>
      <w:r w:rsidR="002A4837">
        <w:rPr>
          <w:rFonts w:ascii="Times New Roman" w:hAnsi="Times New Roman"/>
          <w:bCs/>
          <w:sz w:val="22"/>
          <w:lang w:val="es-ES"/>
        </w:rPr>
        <w:t xml:space="preserve"> con aproximadamente 7.000 personas afectadas en Guayas.</w:t>
      </w:r>
      <w:r w:rsidR="004C5A3B">
        <w:rPr>
          <w:rFonts w:ascii="Times New Roman" w:hAnsi="Times New Roman"/>
          <w:bCs/>
          <w:sz w:val="22"/>
          <w:lang w:val="es-ES"/>
        </w:rPr>
        <w:t xml:space="preserve"> </w:t>
      </w:r>
    </w:p>
    <w:p w:rsidR="00632886" w:rsidRPr="00455FC7" w:rsidRDefault="004C5A3B" w:rsidP="00632886">
      <w:pPr>
        <w:pStyle w:val="ListParagraph"/>
        <w:numPr>
          <w:ilvl w:val="1"/>
          <w:numId w:val="12"/>
        </w:numPr>
        <w:jc w:val="both"/>
        <w:rPr>
          <w:rFonts w:ascii="Times New Roman" w:hAnsi="Times New Roman"/>
          <w:bCs/>
          <w:sz w:val="22"/>
          <w:lang w:val="es-ES_tradnl"/>
        </w:rPr>
      </w:pPr>
      <w:r>
        <w:rPr>
          <w:rFonts w:ascii="Times New Roman" w:hAnsi="Times New Roman"/>
          <w:bCs/>
          <w:sz w:val="22"/>
          <w:lang w:val="es-ES"/>
        </w:rPr>
        <w:t xml:space="preserve">Dado que </w:t>
      </w:r>
      <w:r w:rsidR="009D33DE">
        <w:rPr>
          <w:rFonts w:ascii="Times New Roman" w:hAnsi="Times New Roman"/>
          <w:bCs/>
          <w:sz w:val="22"/>
          <w:lang w:val="es-ES"/>
        </w:rPr>
        <w:t xml:space="preserve">la </w:t>
      </w:r>
      <w:r w:rsidR="00EB287D">
        <w:rPr>
          <w:rFonts w:ascii="Times New Roman" w:hAnsi="Times New Roman"/>
          <w:bCs/>
          <w:sz w:val="22"/>
          <w:lang w:val="es-ES"/>
        </w:rPr>
        <w:t>zona específica</w:t>
      </w:r>
      <w:r>
        <w:rPr>
          <w:rFonts w:ascii="Times New Roman" w:hAnsi="Times New Roman"/>
          <w:bCs/>
          <w:sz w:val="22"/>
          <w:lang w:val="es-ES"/>
        </w:rPr>
        <w:t xml:space="preserve"> que será beneficiada por el sistema de alerta cubre el 35% de las áreas bajo riesgo de inundación en Manabí y Guayas, a los fines de los cálculos de efectos futuros de la amenaza se aplicó un porcentaje similar el promedio de fallecimientos de los últimos 45 años  (período 1970-2015.</w:t>
      </w:r>
      <w:r w:rsidR="009301A1">
        <w:rPr>
          <w:rFonts w:ascii="Times New Roman" w:hAnsi="Times New Roman"/>
          <w:bCs/>
          <w:sz w:val="22"/>
          <w:lang w:val="es-ES"/>
        </w:rPr>
        <w:t xml:space="preserve"> </w:t>
      </w:r>
      <w:r w:rsidR="00051578">
        <w:rPr>
          <w:rFonts w:ascii="Times New Roman" w:hAnsi="Times New Roman"/>
          <w:bCs/>
          <w:sz w:val="22"/>
          <w:lang w:val="es-ES"/>
        </w:rPr>
        <w:t>Complementariamente, el número de afectados tiene a acrecentarse en los últimos años, conforme a un documento de SGR</w:t>
      </w:r>
      <w:r w:rsidR="0067078A">
        <w:rPr>
          <w:rStyle w:val="FootnoteReference"/>
          <w:rFonts w:ascii="Times New Roman" w:hAnsi="Times New Roman"/>
          <w:bCs/>
          <w:sz w:val="22"/>
          <w:lang w:val="es-ES"/>
        </w:rPr>
        <w:footnoteReference w:id="40"/>
      </w:r>
      <w:r w:rsidR="00051578">
        <w:rPr>
          <w:rFonts w:ascii="Times New Roman" w:hAnsi="Times New Roman"/>
          <w:bCs/>
          <w:sz w:val="22"/>
          <w:lang w:val="es-ES"/>
        </w:rPr>
        <w:t xml:space="preserve"> que estar</w:t>
      </w:r>
      <w:r w:rsidR="00EB287D">
        <w:rPr>
          <w:rFonts w:ascii="Times New Roman" w:hAnsi="Times New Roman"/>
          <w:bCs/>
          <w:sz w:val="22"/>
          <w:lang w:val="es-ES"/>
        </w:rPr>
        <w:t>ía</w:t>
      </w:r>
      <w:r w:rsidR="00051578">
        <w:rPr>
          <w:rFonts w:ascii="Times New Roman" w:hAnsi="Times New Roman"/>
          <w:bCs/>
          <w:sz w:val="22"/>
          <w:lang w:val="es-ES"/>
        </w:rPr>
        <w:t xml:space="preserve"> señalando la presencia de </w:t>
      </w:r>
      <w:r w:rsidR="007B50B7">
        <w:rPr>
          <w:rFonts w:ascii="Times New Roman" w:hAnsi="Times New Roman"/>
          <w:bCs/>
          <w:sz w:val="22"/>
          <w:lang w:val="es-ES"/>
        </w:rPr>
        <w:t xml:space="preserve">tendencias más </w:t>
      </w:r>
      <w:r w:rsidR="00EB287D">
        <w:rPr>
          <w:rFonts w:ascii="Times New Roman" w:hAnsi="Times New Roman"/>
          <w:bCs/>
          <w:sz w:val="22"/>
          <w:lang w:val="es-ES"/>
        </w:rPr>
        <w:t>severas</w:t>
      </w:r>
      <w:r w:rsidR="007B50B7">
        <w:rPr>
          <w:rFonts w:ascii="Times New Roman" w:hAnsi="Times New Roman"/>
          <w:bCs/>
          <w:sz w:val="22"/>
          <w:lang w:val="es-ES"/>
        </w:rPr>
        <w:t xml:space="preserve"> vinculadas al Cambio Climático</w:t>
      </w:r>
      <w:r w:rsidR="00051578">
        <w:rPr>
          <w:rFonts w:ascii="Times New Roman" w:hAnsi="Times New Roman"/>
          <w:bCs/>
          <w:sz w:val="22"/>
          <w:lang w:val="es-ES"/>
        </w:rPr>
        <w:t xml:space="preserve">. </w:t>
      </w:r>
      <w:r w:rsidR="009301A1">
        <w:rPr>
          <w:rFonts w:ascii="Times New Roman" w:hAnsi="Times New Roman"/>
          <w:bCs/>
          <w:sz w:val="22"/>
          <w:lang w:val="es-ES"/>
        </w:rPr>
        <w:t>De ello surge la previsión que se presenta seguidamente.</w:t>
      </w:r>
    </w:p>
    <w:p w:rsidR="00406CAE" w:rsidRDefault="009D33DE" w:rsidP="00455FC7">
      <w:pPr>
        <w:jc w:val="center"/>
        <w:rPr>
          <w:rFonts w:ascii="Times New Roman" w:hAnsi="Times New Roman"/>
          <w:lang w:val="es-AR"/>
        </w:rPr>
      </w:pPr>
      <w:r w:rsidRPr="008C1ABC">
        <w:rPr>
          <w:rFonts w:ascii="Times New Roman" w:hAnsi="Times New Roman"/>
          <w:b/>
          <w:lang w:val="es-AR"/>
        </w:rPr>
        <w:t xml:space="preserve">Tabla </w:t>
      </w:r>
      <w:r w:rsidR="00081A23" w:rsidRPr="008C1ABC">
        <w:rPr>
          <w:rFonts w:ascii="Times New Roman" w:hAnsi="Times New Roman"/>
          <w:b/>
        </w:rPr>
        <w:fldChar w:fldCharType="begin"/>
      </w:r>
      <w:r w:rsidRPr="008C1ABC">
        <w:rPr>
          <w:rFonts w:ascii="Times New Roman" w:hAnsi="Times New Roman"/>
          <w:b/>
          <w:lang w:val="es-AR"/>
        </w:rPr>
        <w:instrText xml:space="preserve"> SEQ Tabla \* ARABIC </w:instrText>
      </w:r>
      <w:r w:rsidR="00081A23" w:rsidRPr="008C1ABC">
        <w:rPr>
          <w:rFonts w:ascii="Times New Roman" w:hAnsi="Times New Roman"/>
          <w:b/>
        </w:rPr>
        <w:fldChar w:fldCharType="separate"/>
      </w:r>
      <w:r w:rsidR="009301A1">
        <w:rPr>
          <w:rFonts w:ascii="Times New Roman" w:hAnsi="Times New Roman"/>
          <w:b/>
          <w:noProof/>
          <w:lang w:val="es-AR"/>
        </w:rPr>
        <w:t>9</w:t>
      </w:r>
      <w:r w:rsidR="00081A23" w:rsidRPr="008C1ABC">
        <w:rPr>
          <w:rFonts w:ascii="Times New Roman" w:hAnsi="Times New Roman"/>
          <w:b/>
        </w:rPr>
        <w:fldChar w:fldCharType="end"/>
      </w:r>
      <w:r>
        <w:rPr>
          <w:rFonts w:ascii="Times New Roman" w:hAnsi="Times New Roman"/>
          <w:lang w:val="es-AR"/>
        </w:rPr>
        <w:t xml:space="preserve">. </w:t>
      </w:r>
      <w:r w:rsidR="009301A1">
        <w:rPr>
          <w:rFonts w:ascii="Times New Roman" w:hAnsi="Times New Roman"/>
          <w:lang w:val="es-AR"/>
        </w:rPr>
        <w:t>Desbordamiento de ríos – Pérdida de vidas y población afectada</w:t>
      </w:r>
    </w:p>
    <w:tbl>
      <w:tblPr>
        <w:tblW w:w="8227" w:type="dxa"/>
        <w:tblInd w:w="65" w:type="dxa"/>
        <w:tblCellMar>
          <w:left w:w="70" w:type="dxa"/>
          <w:right w:w="70" w:type="dxa"/>
        </w:tblCellMar>
        <w:tblLook w:val="04A0" w:firstRow="1" w:lastRow="0" w:firstColumn="1" w:lastColumn="0" w:noHBand="0" w:noVBand="1"/>
      </w:tblPr>
      <w:tblGrid>
        <w:gridCol w:w="927"/>
        <w:gridCol w:w="1316"/>
        <w:gridCol w:w="1449"/>
        <w:gridCol w:w="1416"/>
        <w:gridCol w:w="1560"/>
        <w:gridCol w:w="1559"/>
      </w:tblGrid>
      <w:tr w:rsidR="00051578" w:rsidRPr="009301A1" w:rsidTr="00455FC7">
        <w:trPr>
          <w:trHeight w:val="714"/>
        </w:trPr>
        <w:tc>
          <w:tcPr>
            <w:tcW w:w="9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01A1" w:rsidRPr="009301A1" w:rsidRDefault="009301A1" w:rsidP="009301A1">
            <w:pPr>
              <w:rPr>
                <w:rFonts w:ascii="Times New Roman" w:hAnsi="Times New Roman"/>
                <w:color w:val="000000"/>
                <w:lang w:val="es-AR" w:eastAsia="es-AR"/>
              </w:rPr>
            </w:pPr>
            <w:r w:rsidRPr="009301A1">
              <w:rPr>
                <w:rFonts w:ascii="Times New Roman" w:hAnsi="Times New Roman"/>
                <w:color w:val="000000"/>
                <w:lang w:val="es-AR" w:eastAsia="es-AR"/>
              </w:rPr>
              <w:lastRenderedPageBreak/>
              <w:t>Provincia</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9301A1" w:rsidRPr="009301A1" w:rsidRDefault="009301A1" w:rsidP="009301A1">
            <w:pPr>
              <w:jc w:val="center"/>
              <w:rPr>
                <w:rFonts w:ascii="Times New Roman" w:hAnsi="Times New Roman"/>
                <w:color w:val="000000"/>
                <w:lang w:val="es-AR" w:eastAsia="es-AR"/>
              </w:rPr>
            </w:pPr>
            <w:r w:rsidRPr="009301A1">
              <w:rPr>
                <w:rFonts w:ascii="Times New Roman" w:hAnsi="Times New Roman"/>
                <w:color w:val="000000"/>
                <w:lang w:val="es-AR" w:eastAsia="es-AR"/>
              </w:rPr>
              <w:t>Población Expuesta 2016</w:t>
            </w:r>
          </w:p>
        </w:tc>
        <w:tc>
          <w:tcPr>
            <w:tcW w:w="1449" w:type="dxa"/>
            <w:tcBorders>
              <w:top w:val="single" w:sz="4" w:space="0" w:color="auto"/>
              <w:left w:val="nil"/>
              <w:bottom w:val="single" w:sz="4" w:space="0" w:color="auto"/>
              <w:right w:val="single" w:sz="4" w:space="0" w:color="auto"/>
            </w:tcBorders>
            <w:shd w:val="clear" w:color="000000" w:fill="FFFFFF"/>
            <w:vAlign w:val="center"/>
            <w:hideMark/>
          </w:tcPr>
          <w:p w:rsidR="009301A1" w:rsidRPr="009301A1" w:rsidRDefault="009301A1" w:rsidP="00051578">
            <w:pPr>
              <w:jc w:val="center"/>
              <w:rPr>
                <w:rFonts w:ascii="Times New Roman" w:hAnsi="Times New Roman"/>
                <w:color w:val="000000"/>
                <w:lang w:val="es-AR" w:eastAsia="es-AR"/>
              </w:rPr>
            </w:pPr>
            <w:r w:rsidRPr="009301A1">
              <w:rPr>
                <w:rFonts w:ascii="Times New Roman" w:hAnsi="Times New Roman"/>
                <w:color w:val="000000"/>
                <w:lang w:val="es-AR" w:eastAsia="es-AR"/>
              </w:rPr>
              <w:t>Pérdida vidas Tasa 197</w:t>
            </w:r>
            <w:r w:rsidR="00051578">
              <w:rPr>
                <w:rFonts w:ascii="Times New Roman" w:hAnsi="Times New Roman"/>
                <w:color w:val="000000"/>
                <w:lang w:val="es-AR" w:eastAsia="es-AR"/>
              </w:rPr>
              <w:t>0</w:t>
            </w:r>
            <w:r w:rsidRPr="009301A1">
              <w:rPr>
                <w:rFonts w:ascii="Times New Roman" w:hAnsi="Times New Roman"/>
                <w:color w:val="000000"/>
                <w:lang w:val="es-AR" w:eastAsia="es-AR"/>
              </w:rPr>
              <w:t>-2015</w:t>
            </w:r>
          </w:p>
        </w:tc>
        <w:tc>
          <w:tcPr>
            <w:tcW w:w="1416" w:type="dxa"/>
            <w:tcBorders>
              <w:top w:val="single" w:sz="4" w:space="0" w:color="auto"/>
              <w:left w:val="nil"/>
              <w:bottom w:val="single" w:sz="4" w:space="0" w:color="auto"/>
              <w:right w:val="single" w:sz="4" w:space="0" w:color="auto"/>
            </w:tcBorders>
            <w:shd w:val="clear" w:color="000000" w:fill="FFFFFF"/>
            <w:vAlign w:val="center"/>
            <w:hideMark/>
          </w:tcPr>
          <w:p w:rsidR="009301A1" w:rsidRPr="009301A1" w:rsidRDefault="009301A1" w:rsidP="00051578">
            <w:pPr>
              <w:jc w:val="center"/>
              <w:rPr>
                <w:rFonts w:ascii="Times New Roman" w:hAnsi="Times New Roman"/>
                <w:color w:val="000000"/>
                <w:lang w:val="es-AR" w:eastAsia="es-AR"/>
              </w:rPr>
            </w:pPr>
            <w:r w:rsidRPr="009301A1">
              <w:rPr>
                <w:rFonts w:ascii="Times New Roman" w:hAnsi="Times New Roman"/>
                <w:color w:val="000000"/>
                <w:lang w:val="es-AR" w:eastAsia="es-AR"/>
              </w:rPr>
              <w:t>P</w:t>
            </w:r>
            <w:r w:rsidR="00051578">
              <w:rPr>
                <w:rFonts w:ascii="Times New Roman" w:hAnsi="Times New Roman"/>
                <w:color w:val="000000"/>
                <w:lang w:val="es-AR" w:eastAsia="es-AR"/>
              </w:rPr>
              <w:t>é</w:t>
            </w:r>
            <w:r w:rsidRPr="009301A1">
              <w:rPr>
                <w:rFonts w:ascii="Times New Roman" w:hAnsi="Times New Roman"/>
                <w:color w:val="000000"/>
                <w:lang w:val="es-AR" w:eastAsia="es-AR"/>
              </w:rPr>
              <w:t>rdida vidas (anual estimado)</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9301A1" w:rsidRPr="009301A1" w:rsidRDefault="009301A1" w:rsidP="00051578">
            <w:pPr>
              <w:jc w:val="center"/>
              <w:rPr>
                <w:rFonts w:ascii="Times New Roman" w:hAnsi="Times New Roman"/>
                <w:color w:val="000000"/>
                <w:lang w:val="es-AR" w:eastAsia="es-AR"/>
              </w:rPr>
            </w:pPr>
            <w:r w:rsidRPr="009301A1">
              <w:rPr>
                <w:rFonts w:ascii="Times New Roman" w:hAnsi="Times New Roman"/>
                <w:color w:val="000000"/>
                <w:lang w:val="es-AR" w:eastAsia="es-AR"/>
              </w:rPr>
              <w:t>Heridos/</w:t>
            </w:r>
            <w:r w:rsidR="00051578">
              <w:rPr>
                <w:rFonts w:ascii="Times New Roman" w:hAnsi="Times New Roman"/>
                <w:color w:val="000000"/>
                <w:lang w:val="es-AR" w:eastAsia="es-AR"/>
              </w:rPr>
              <w:t xml:space="preserve"> </w:t>
            </w:r>
            <w:r w:rsidRPr="009301A1">
              <w:rPr>
                <w:rFonts w:ascii="Times New Roman" w:hAnsi="Times New Roman"/>
                <w:color w:val="000000"/>
                <w:lang w:val="es-AR" w:eastAsia="es-AR"/>
              </w:rPr>
              <w:t xml:space="preserve">Afectados Tasa </w:t>
            </w:r>
            <w:r w:rsidR="00051578">
              <w:rPr>
                <w:rFonts w:ascii="Times New Roman" w:hAnsi="Times New Roman"/>
                <w:color w:val="000000"/>
                <w:lang w:val="es-AR" w:eastAsia="es-AR"/>
              </w:rPr>
              <w:t>2010</w:t>
            </w:r>
            <w:r w:rsidRPr="009301A1">
              <w:rPr>
                <w:rFonts w:ascii="Times New Roman" w:hAnsi="Times New Roman"/>
                <w:color w:val="000000"/>
                <w:lang w:val="es-AR" w:eastAsia="es-AR"/>
              </w:rPr>
              <w:t>-201</w:t>
            </w:r>
            <w:r w:rsidR="00051578">
              <w:rPr>
                <w:rFonts w:ascii="Times New Roman" w:hAnsi="Times New Roman"/>
                <w:color w:val="000000"/>
                <w:lang w:val="es-AR" w:eastAsia="es-AR"/>
              </w:rPr>
              <w:t>4</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301A1" w:rsidRPr="009301A1" w:rsidRDefault="009301A1" w:rsidP="009301A1">
            <w:pPr>
              <w:jc w:val="center"/>
              <w:rPr>
                <w:rFonts w:ascii="Times New Roman" w:hAnsi="Times New Roman"/>
                <w:color w:val="000000"/>
                <w:lang w:val="es-AR" w:eastAsia="es-AR"/>
              </w:rPr>
            </w:pPr>
            <w:r w:rsidRPr="009301A1">
              <w:rPr>
                <w:rFonts w:ascii="Times New Roman" w:hAnsi="Times New Roman"/>
                <w:color w:val="000000"/>
                <w:lang w:val="es-AR" w:eastAsia="es-AR"/>
              </w:rPr>
              <w:t>Heridos/</w:t>
            </w:r>
            <w:r w:rsidR="00051578">
              <w:rPr>
                <w:rFonts w:ascii="Times New Roman" w:hAnsi="Times New Roman"/>
                <w:color w:val="000000"/>
                <w:lang w:val="es-AR" w:eastAsia="es-AR"/>
              </w:rPr>
              <w:t xml:space="preserve"> </w:t>
            </w:r>
            <w:r w:rsidRPr="009301A1">
              <w:rPr>
                <w:rFonts w:ascii="Times New Roman" w:hAnsi="Times New Roman"/>
                <w:color w:val="000000"/>
                <w:lang w:val="es-AR" w:eastAsia="es-AR"/>
              </w:rPr>
              <w:t>Afectados (anual estimado)</w:t>
            </w:r>
          </w:p>
        </w:tc>
      </w:tr>
      <w:tr w:rsidR="00051578" w:rsidRPr="009301A1" w:rsidTr="00455FC7">
        <w:trPr>
          <w:trHeight w:val="324"/>
        </w:trPr>
        <w:tc>
          <w:tcPr>
            <w:tcW w:w="927" w:type="dxa"/>
            <w:tcBorders>
              <w:top w:val="nil"/>
              <w:left w:val="nil"/>
              <w:bottom w:val="nil"/>
              <w:right w:val="nil"/>
            </w:tcBorders>
            <w:shd w:val="clear" w:color="000000" w:fill="FFFFFF"/>
            <w:noWrap/>
            <w:vAlign w:val="center"/>
            <w:hideMark/>
          </w:tcPr>
          <w:p w:rsidR="009301A1" w:rsidRPr="009301A1" w:rsidRDefault="009301A1" w:rsidP="009301A1">
            <w:pPr>
              <w:rPr>
                <w:rFonts w:ascii="Times New Roman" w:hAnsi="Times New Roman"/>
                <w:color w:val="000000"/>
                <w:lang w:val="es-AR" w:eastAsia="es-AR"/>
              </w:rPr>
            </w:pPr>
            <w:r w:rsidRPr="009301A1">
              <w:rPr>
                <w:rFonts w:ascii="Times New Roman" w:hAnsi="Times New Roman"/>
                <w:color w:val="000000"/>
                <w:lang w:val="es-AR" w:eastAsia="es-AR"/>
              </w:rPr>
              <w:t>Guayas</w:t>
            </w:r>
          </w:p>
        </w:tc>
        <w:tc>
          <w:tcPr>
            <w:tcW w:w="1316" w:type="dxa"/>
            <w:tcBorders>
              <w:top w:val="nil"/>
              <w:left w:val="nil"/>
              <w:bottom w:val="nil"/>
              <w:right w:val="nil"/>
            </w:tcBorders>
            <w:shd w:val="clear" w:color="000000" w:fill="FFFFFF"/>
            <w:noWrap/>
            <w:vAlign w:val="center"/>
            <w:hideMark/>
          </w:tcPr>
          <w:p w:rsidR="00406CAE" w:rsidRDefault="009301A1" w:rsidP="00455FC7">
            <w:pPr>
              <w:jc w:val="center"/>
              <w:rPr>
                <w:rFonts w:ascii="Times New Roman" w:hAnsi="Times New Roman"/>
                <w:color w:val="000000"/>
                <w:lang w:val="es-AR" w:eastAsia="es-AR"/>
              </w:rPr>
            </w:pPr>
            <w:r w:rsidRPr="009301A1">
              <w:rPr>
                <w:rFonts w:ascii="Times New Roman" w:hAnsi="Times New Roman"/>
                <w:color w:val="000000"/>
                <w:lang w:val="es-AR" w:eastAsia="es-AR"/>
              </w:rPr>
              <w:t>499.883</w:t>
            </w:r>
          </w:p>
        </w:tc>
        <w:tc>
          <w:tcPr>
            <w:tcW w:w="1449" w:type="dxa"/>
            <w:tcBorders>
              <w:top w:val="nil"/>
              <w:left w:val="nil"/>
              <w:bottom w:val="nil"/>
              <w:right w:val="nil"/>
            </w:tcBorders>
            <w:shd w:val="clear" w:color="000000" w:fill="FFFFFF"/>
            <w:noWrap/>
            <w:vAlign w:val="center"/>
            <w:hideMark/>
          </w:tcPr>
          <w:p w:rsidR="00406CAE" w:rsidRDefault="009301A1" w:rsidP="00455FC7">
            <w:pPr>
              <w:jc w:val="center"/>
              <w:rPr>
                <w:rFonts w:ascii="Times New Roman" w:hAnsi="Times New Roman"/>
                <w:color w:val="000000"/>
                <w:lang w:val="es-AR" w:eastAsia="es-AR"/>
              </w:rPr>
            </w:pPr>
            <w:r w:rsidRPr="009301A1">
              <w:rPr>
                <w:rFonts w:ascii="Times New Roman" w:hAnsi="Times New Roman"/>
                <w:color w:val="000000"/>
                <w:lang w:val="es-AR" w:eastAsia="es-AR"/>
              </w:rPr>
              <w:t>0,0003%</w:t>
            </w:r>
          </w:p>
        </w:tc>
        <w:tc>
          <w:tcPr>
            <w:tcW w:w="1416" w:type="dxa"/>
            <w:tcBorders>
              <w:top w:val="nil"/>
              <w:left w:val="nil"/>
              <w:bottom w:val="nil"/>
              <w:right w:val="nil"/>
            </w:tcBorders>
            <w:shd w:val="clear" w:color="000000" w:fill="FFFFFF"/>
            <w:noWrap/>
            <w:vAlign w:val="center"/>
            <w:hideMark/>
          </w:tcPr>
          <w:p w:rsidR="00406CAE" w:rsidRDefault="009301A1" w:rsidP="00455FC7">
            <w:pPr>
              <w:jc w:val="center"/>
              <w:rPr>
                <w:rFonts w:ascii="Times New Roman" w:hAnsi="Times New Roman"/>
                <w:color w:val="000000"/>
                <w:lang w:val="es-AR" w:eastAsia="es-AR"/>
              </w:rPr>
            </w:pPr>
            <w:r w:rsidRPr="009301A1">
              <w:rPr>
                <w:rFonts w:ascii="Times New Roman" w:hAnsi="Times New Roman"/>
                <w:color w:val="000000"/>
                <w:lang w:val="es-AR" w:eastAsia="es-AR"/>
              </w:rPr>
              <w:t>1,6</w:t>
            </w:r>
          </w:p>
        </w:tc>
        <w:tc>
          <w:tcPr>
            <w:tcW w:w="1560" w:type="dxa"/>
            <w:tcBorders>
              <w:top w:val="nil"/>
              <w:left w:val="nil"/>
              <w:bottom w:val="nil"/>
              <w:right w:val="nil"/>
            </w:tcBorders>
            <w:shd w:val="clear" w:color="000000" w:fill="FFFFFF"/>
            <w:noWrap/>
            <w:vAlign w:val="center"/>
            <w:hideMark/>
          </w:tcPr>
          <w:p w:rsidR="00406CAE" w:rsidRDefault="009301A1" w:rsidP="00455FC7">
            <w:pPr>
              <w:jc w:val="center"/>
              <w:rPr>
                <w:rFonts w:ascii="Times New Roman" w:hAnsi="Times New Roman"/>
                <w:color w:val="000000"/>
                <w:lang w:val="es-AR" w:eastAsia="es-AR"/>
              </w:rPr>
            </w:pPr>
            <w:r w:rsidRPr="009301A1">
              <w:rPr>
                <w:rFonts w:ascii="Times New Roman" w:hAnsi="Times New Roman"/>
                <w:color w:val="000000"/>
                <w:lang w:val="es-AR" w:eastAsia="es-AR"/>
              </w:rPr>
              <w:t>0,48%</w:t>
            </w:r>
          </w:p>
        </w:tc>
        <w:tc>
          <w:tcPr>
            <w:tcW w:w="1559" w:type="dxa"/>
            <w:tcBorders>
              <w:top w:val="nil"/>
              <w:left w:val="nil"/>
              <w:bottom w:val="nil"/>
              <w:right w:val="nil"/>
            </w:tcBorders>
            <w:shd w:val="clear" w:color="000000" w:fill="FFFFFF"/>
            <w:noWrap/>
            <w:vAlign w:val="center"/>
            <w:hideMark/>
          </w:tcPr>
          <w:p w:rsidR="00406CAE" w:rsidRDefault="009301A1" w:rsidP="00455FC7">
            <w:pPr>
              <w:jc w:val="center"/>
              <w:rPr>
                <w:rFonts w:ascii="Times New Roman" w:hAnsi="Times New Roman"/>
                <w:color w:val="000000"/>
                <w:lang w:val="es-AR" w:eastAsia="es-AR"/>
              </w:rPr>
            </w:pPr>
            <w:r w:rsidRPr="009301A1">
              <w:rPr>
                <w:rFonts w:ascii="Times New Roman" w:hAnsi="Times New Roman"/>
                <w:color w:val="000000"/>
                <w:lang w:val="es-AR" w:eastAsia="es-AR"/>
              </w:rPr>
              <w:t>2401</w:t>
            </w:r>
          </w:p>
        </w:tc>
      </w:tr>
      <w:tr w:rsidR="00051578" w:rsidRPr="009301A1" w:rsidTr="00455FC7">
        <w:trPr>
          <w:trHeight w:val="324"/>
        </w:trPr>
        <w:tc>
          <w:tcPr>
            <w:tcW w:w="927" w:type="dxa"/>
            <w:tcBorders>
              <w:top w:val="nil"/>
              <w:left w:val="nil"/>
              <w:bottom w:val="nil"/>
              <w:right w:val="nil"/>
            </w:tcBorders>
            <w:shd w:val="clear" w:color="000000" w:fill="FFFFFF"/>
            <w:noWrap/>
            <w:vAlign w:val="center"/>
            <w:hideMark/>
          </w:tcPr>
          <w:p w:rsidR="009301A1" w:rsidRPr="009301A1" w:rsidRDefault="009301A1" w:rsidP="009301A1">
            <w:pPr>
              <w:rPr>
                <w:rFonts w:ascii="Times New Roman" w:hAnsi="Times New Roman"/>
                <w:color w:val="000000"/>
                <w:lang w:val="es-AR" w:eastAsia="es-AR"/>
              </w:rPr>
            </w:pPr>
            <w:r w:rsidRPr="009301A1">
              <w:rPr>
                <w:rFonts w:ascii="Times New Roman" w:hAnsi="Times New Roman"/>
                <w:color w:val="000000"/>
                <w:lang w:val="es-AR" w:eastAsia="es-AR"/>
              </w:rPr>
              <w:t>Manabí</w:t>
            </w:r>
          </w:p>
        </w:tc>
        <w:tc>
          <w:tcPr>
            <w:tcW w:w="1316" w:type="dxa"/>
            <w:tcBorders>
              <w:top w:val="nil"/>
              <w:left w:val="nil"/>
              <w:bottom w:val="nil"/>
              <w:right w:val="nil"/>
            </w:tcBorders>
            <w:shd w:val="clear" w:color="000000" w:fill="FFFFFF"/>
            <w:noWrap/>
            <w:vAlign w:val="center"/>
            <w:hideMark/>
          </w:tcPr>
          <w:p w:rsidR="00406CAE" w:rsidRDefault="009301A1" w:rsidP="00455FC7">
            <w:pPr>
              <w:jc w:val="center"/>
              <w:rPr>
                <w:rFonts w:ascii="Times New Roman" w:hAnsi="Times New Roman"/>
                <w:color w:val="000000"/>
                <w:lang w:val="es-AR" w:eastAsia="es-AR"/>
              </w:rPr>
            </w:pPr>
            <w:r w:rsidRPr="009301A1">
              <w:rPr>
                <w:rFonts w:ascii="Times New Roman" w:hAnsi="Times New Roman"/>
                <w:color w:val="000000"/>
                <w:lang w:val="es-AR" w:eastAsia="es-AR"/>
              </w:rPr>
              <w:t>221.573</w:t>
            </w:r>
          </w:p>
        </w:tc>
        <w:tc>
          <w:tcPr>
            <w:tcW w:w="1449" w:type="dxa"/>
            <w:tcBorders>
              <w:top w:val="nil"/>
              <w:left w:val="nil"/>
              <w:bottom w:val="nil"/>
              <w:right w:val="nil"/>
            </w:tcBorders>
            <w:shd w:val="clear" w:color="000000" w:fill="FFFFFF"/>
            <w:noWrap/>
            <w:vAlign w:val="center"/>
            <w:hideMark/>
          </w:tcPr>
          <w:p w:rsidR="00406CAE" w:rsidRDefault="009301A1" w:rsidP="00455FC7">
            <w:pPr>
              <w:jc w:val="center"/>
              <w:rPr>
                <w:rFonts w:ascii="Times New Roman" w:hAnsi="Times New Roman"/>
                <w:color w:val="000000"/>
                <w:lang w:val="es-AR" w:eastAsia="es-AR"/>
              </w:rPr>
            </w:pPr>
            <w:r w:rsidRPr="009301A1">
              <w:rPr>
                <w:rFonts w:ascii="Times New Roman" w:hAnsi="Times New Roman"/>
                <w:color w:val="000000"/>
                <w:lang w:val="es-AR" w:eastAsia="es-AR"/>
              </w:rPr>
              <w:t>0,0003%</w:t>
            </w:r>
          </w:p>
        </w:tc>
        <w:tc>
          <w:tcPr>
            <w:tcW w:w="1416" w:type="dxa"/>
            <w:tcBorders>
              <w:top w:val="nil"/>
              <w:left w:val="nil"/>
              <w:bottom w:val="nil"/>
              <w:right w:val="nil"/>
            </w:tcBorders>
            <w:shd w:val="clear" w:color="000000" w:fill="FFFFFF"/>
            <w:noWrap/>
            <w:vAlign w:val="center"/>
            <w:hideMark/>
          </w:tcPr>
          <w:p w:rsidR="00406CAE" w:rsidRDefault="009301A1" w:rsidP="00455FC7">
            <w:pPr>
              <w:jc w:val="center"/>
              <w:rPr>
                <w:rFonts w:ascii="Times New Roman" w:hAnsi="Times New Roman"/>
                <w:color w:val="000000"/>
                <w:lang w:val="es-AR" w:eastAsia="es-AR"/>
              </w:rPr>
            </w:pPr>
            <w:r w:rsidRPr="009301A1">
              <w:rPr>
                <w:rFonts w:ascii="Times New Roman" w:hAnsi="Times New Roman"/>
                <w:color w:val="000000"/>
                <w:lang w:val="es-AR" w:eastAsia="es-AR"/>
              </w:rPr>
              <w:t>0,7</w:t>
            </w:r>
          </w:p>
        </w:tc>
        <w:tc>
          <w:tcPr>
            <w:tcW w:w="1560" w:type="dxa"/>
            <w:tcBorders>
              <w:top w:val="nil"/>
              <w:left w:val="nil"/>
              <w:bottom w:val="nil"/>
              <w:right w:val="nil"/>
            </w:tcBorders>
            <w:shd w:val="clear" w:color="000000" w:fill="FFFFFF"/>
            <w:noWrap/>
            <w:vAlign w:val="center"/>
            <w:hideMark/>
          </w:tcPr>
          <w:p w:rsidR="00406CAE" w:rsidRDefault="009301A1" w:rsidP="00455FC7">
            <w:pPr>
              <w:jc w:val="center"/>
              <w:rPr>
                <w:rFonts w:ascii="Times New Roman" w:hAnsi="Times New Roman"/>
                <w:color w:val="000000"/>
                <w:lang w:val="es-AR" w:eastAsia="es-AR"/>
              </w:rPr>
            </w:pPr>
            <w:r w:rsidRPr="009301A1">
              <w:rPr>
                <w:rFonts w:ascii="Times New Roman" w:hAnsi="Times New Roman"/>
                <w:color w:val="000000"/>
                <w:lang w:val="es-AR" w:eastAsia="es-AR"/>
              </w:rPr>
              <w:t>0,48%</w:t>
            </w:r>
          </w:p>
        </w:tc>
        <w:tc>
          <w:tcPr>
            <w:tcW w:w="1559" w:type="dxa"/>
            <w:tcBorders>
              <w:top w:val="nil"/>
              <w:left w:val="nil"/>
              <w:bottom w:val="nil"/>
              <w:right w:val="nil"/>
            </w:tcBorders>
            <w:shd w:val="clear" w:color="000000" w:fill="FFFFFF"/>
            <w:noWrap/>
            <w:vAlign w:val="center"/>
            <w:hideMark/>
          </w:tcPr>
          <w:p w:rsidR="00406CAE" w:rsidRDefault="009301A1" w:rsidP="00455FC7">
            <w:pPr>
              <w:jc w:val="center"/>
              <w:rPr>
                <w:rFonts w:ascii="Times New Roman" w:hAnsi="Times New Roman"/>
                <w:color w:val="000000"/>
                <w:lang w:val="es-AR" w:eastAsia="es-AR"/>
              </w:rPr>
            </w:pPr>
            <w:r w:rsidRPr="009301A1">
              <w:rPr>
                <w:rFonts w:ascii="Times New Roman" w:hAnsi="Times New Roman"/>
                <w:color w:val="000000"/>
                <w:lang w:val="es-AR" w:eastAsia="es-AR"/>
              </w:rPr>
              <w:t>1064</w:t>
            </w:r>
          </w:p>
        </w:tc>
      </w:tr>
      <w:tr w:rsidR="00051578" w:rsidRPr="009301A1" w:rsidTr="00455FC7">
        <w:trPr>
          <w:trHeight w:val="324"/>
        </w:trPr>
        <w:tc>
          <w:tcPr>
            <w:tcW w:w="927" w:type="dxa"/>
            <w:tcBorders>
              <w:top w:val="nil"/>
              <w:left w:val="nil"/>
              <w:bottom w:val="nil"/>
              <w:right w:val="nil"/>
            </w:tcBorders>
            <w:shd w:val="clear" w:color="000000" w:fill="FFFFFF"/>
            <w:noWrap/>
            <w:vAlign w:val="center"/>
            <w:hideMark/>
          </w:tcPr>
          <w:p w:rsidR="009301A1" w:rsidRPr="009301A1" w:rsidRDefault="009301A1" w:rsidP="009301A1">
            <w:pPr>
              <w:rPr>
                <w:rFonts w:ascii="Times New Roman" w:hAnsi="Times New Roman"/>
                <w:color w:val="000000"/>
                <w:lang w:val="es-AR" w:eastAsia="es-AR"/>
              </w:rPr>
            </w:pPr>
            <w:r w:rsidRPr="009301A1">
              <w:rPr>
                <w:rFonts w:ascii="Times New Roman" w:hAnsi="Times New Roman"/>
                <w:color w:val="000000"/>
                <w:lang w:val="es-AR" w:eastAsia="es-AR"/>
              </w:rPr>
              <w:t>Total</w:t>
            </w:r>
          </w:p>
        </w:tc>
        <w:tc>
          <w:tcPr>
            <w:tcW w:w="1316" w:type="dxa"/>
            <w:tcBorders>
              <w:top w:val="nil"/>
              <w:left w:val="nil"/>
              <w:bottom w:val="nil"/>
              <w:right w:val="nil"/>
            </w:tcBorders>
            <w:shd w:val="clear" w:color="000000" w:fill="FFFFFF"/>
            <w:noWrap/>
            <w:vAlign w:val="center"/>
            <w:hideMark/>
          </w:tcPr>
          <w:p w:rsidR="00406CAE" w:rsidRDefault="00406CAE" w:rsidP="00455FC7">
            <w:pPr>
              <w:jc w:val="center"/>
              <w:rPr>
                <w:rFonts w:ascii="Times New Roman" w:hAnsi="Times New Roman"/>
                <w:color w:val="000000"/>
                <w:sz w:val="22"/>
                <w:szCs w:val="22"/>
                <w:lang w:val="es-AR" w:eastAsia="es-AR"/>
              </w:rPr>
            </w:pPr>
          </w:p>
        </w:tc>
        <w:tc>
          <w:tcPr>
            <w:tcW w:w="1449" w:type="dxa"/>
            <w:tcBorders>
              <w:top w:val="nil"/>
              <w:left w:val="nil"/>
              <w:bottom w:val="nil"/>
              <w:right w:val="nil"/>
            </w:tcBorders>
            <w:shd w:val="clear" w:color="000000" w:fill="FFFFFF"/>
            <w:noWrap/>
            <w:vAlign w:val="center"/>
            <w:hideMark/>
          </w:tcPr>
          <w:p w:rsidR="00406CAE" w:rsidRDefault="00406CAE" w:rsidP="00455FC7">
            <w:pPr>
              <w:jc w:val="center"/>
              <w:rPr>
                <w:rFonts w:ascii="Times New Roman" w:hAnsi="Times New Roman"/>
                <w:color w:val="000000"/>
                <w:sz w:val="22"/>
                <w:szCs w:val="22"/>
                <w:lang w:val="es-AR" w:eastAsia="es-AR"/>
              </w:rPr>
            </w:pPr>
          </w:p>
        </w:tc>
        <w:tc>
          <w:tcPr>
            <w:tcW w:w="1416" w:type="dxa"/>
            <w:tcBorders>
              <w:top w:val="nil"/>
              <w:left w:val="nil"/>
              <w:bottom w:val="nil"/>
              <w:right w:val="nil"/>
            </w:tcBorders>
            <w:shd w:val="clear" w:color="000000" w:fill="FFFFFF"/>
            <w:noWrap/>
            <w:vAlign w:val="center"/>
            <w:hideMark/>
          </w:tcPr>
          <w:p w:rsidR="00406CAE" w:rsidRDefault="009301A1" w:rsidP="00455FC7">
            <w:pPr>
              <w:jc w:val="center"/>
              <w:rPr>
                <w:rFonts w:ascii="Times New Roman" w:hAnsi="Times New Roman"/>
                <w:color w:val="000000"/>
                <w:lang w:val="es-AR" w:eastAsia="es-AR"/>
              </w:rPr>
            </w:pPr>
            <w:r w:rsidRPr="009301A1">
              <w:rPr>
                <w:rFonts w:ascii="Times New Roman" w:hAnsi="Times New Roman"/>
                <w:color w:val="000000"/>
                <w:lang w:val="es-AR" w:eastAsia="es-AR"/>
              </w:rPr>
              <w:t>2,3</w:t>
            </w:r>
          </w:p>
        </w:tc>
        <w:tc>
          <w:tcPr>
            <w:tcW w:w="1560" w:type="dxa"/>
            <w:tcBorders>
              <w:top w:val="nil"/>
              <w:left w:val="nil"/>
              <w:bottom w:val="nil"/>
              <w:right w:val="nil"/>
            </w:tcBorders>
            <w:shd w:val="clear" w:color="000000" w:fill="FFFFFF"/>
            <w:noWrap/>
            <w:vAlign w:val="center"/>
            <w:hideMark/>
          </w:tcPr>
          <w:p w:rsidR="00406CAE" w:rsidRDefault="00406CAE" w:rsidP="00455FC7">
            <w:pPr>
              <w:jc w:val="center"/>
              <w:rPr>
                <w:rFonts w:ascii="Times New Roman" w:hAnsi="Times New Roman"/>
                <w:color w:val="000000"/>
                <w:lang w:val="es-AR" w:eastAsia="es-AR"/>
              </w:rPr>
            </w:pPr>
          </w:p>
        </w:tc>
        <w:tc>
          <w:tcPr>
            <w:tcW w:w="1559" w:type="dxa"/>
            <w:tcBorders>
              <w:top w:val="nil"/>
              <w:left w:val="nil"/>
              <w:bottom w:val="nil"/>
              <w:right w:val="nil"/>
            </w:tcBorders>
            <w:shd w:val="clear" w:color="000000" w:fill="FFFFFF"/>
            <w:noWrap/>
            <w:vAlign w:val="center"/>
            <w:hideMark/>
          </w:tcPr>
          <w:p w:rsidR="00406CAE" w:rsidRDefault="009301A1" w:rsidP="00455FC7">
            <w:pPr>
              <w:jc w:val="center"/>
              <w:rPr>
                <w:rFonts w:ascii="Times New Roman" w:hAnsi="Times New Roman"/>
                <w:color w:val="000000"/>
                <w:lang w:val="es-AR" w:eastAsia="es-AR"/>
              </w:rPr>
            </w:pPr>
            <w:r w:rsidRPr="009301A1">
              <w:rPr>
                <w:rFonts w:ascii="Times New Roman" w:hAnsi="Times New Roman"/>
                <w:color w:val="000000"/>
                <w:lang w:val="es-AR" w:eastAsia="es-AR"/>
              </w:rPr>
              <w:t>3.465</w:t>
            </w:r>
          </w:p>
        </w:tc>
      </w:tr>
      <w:tr w:rsidR="002277EA" w:rsidRPr="009301A1" w:rsidTr="00455FC7">
        <w:trPr>
          <w:trHeight w:val="429"/>
        </w:trPr>
        <w:tc>
          <w:tcPr>
            <w:tcW w:w="3692" w:type="dxa"/>
            <w:gridSpan w:val="3"/>
            <w:tcBorders>
              <w:top w:val="nil"/>
              <w:left w:val="nil"/>
              <w:bottom w:val="nil"/>
              <w:right w:val="nil"/>
            </w:tcBorders>
            <w:shd w:val="clear" w:color="000000" w:fill="FFFFFF"/>
            <w:noWrap/>
            <w:vAlign w:val="center"/>
            <w:hideMark/>
          </w:tcPr>
          <w:p w:rsidR="002277EA" w:rsidRPr="009301A1" w:rsidRDefault="002277EA" w:rsidP="002277EA">
            <w:pPr>
              <w:rPr>
                <w:rFonts w:ascii="Calibri" w:hAnsi="Calibri"/>
                <w:color w:val="000000"/>
                <w:sz w:val="22"/>
                <w:szCs w:val="22"/>
                <w:lang w:val="es-AR" w:eastAsia="es-AR"/>
              </w:rPr>
            </w:pPr>
            <w:r w:rsidRPr="009301A1">
              <w:rPr>
                <w:rFonts w:ascii="Times New Roman" w:hAnsi="Times New Roman"/>
                <w:color w:val="000000"/>
                <w:lang w:val="es-AR" w:eastAsia="es-AR"/>
              </w:rPr>
              <w:t>Pérdidas evitadas</w:t>
            </w:r>
            <w:r>
              <w:rPr>
                <w:rFonts w:ascii="Times New Roman" w:hAnsi="Times New Roman"/>
                <w:color w:val="000000"/>
                <w:lang w:val="es-AR" w:eastAsia="es-AR"/>
              </w:rPr>
              <w:t xml:space="preserve"> en personas</w:t>
            </w:r>
          </w:p>
        </w:tc>
        <w:tc>
          <w:tcPr>
            <w:tcW w:w="1416" w:type="dxa"/>
            <w:tcBorders>
              <w:top w:val="nil"/>
              <w:left w:val="nil"/>
              <w:bottom w:val="nil"/>
              <w:right w:val="nil"/>
            </w:tcBorders>
            <w:shd w:val="clear" w:color="000000" w:fill="FFFFFF"/>
            <w:noWrap/>
            <w:vAlign w:val="center"/>
            <w:hideMark/>
          </w:tcPr>
          <w:p w:rsidR="00406CAE" w:rsidRDefault="002277EA" w:rsidP="00455FC7">
            <w:pPr>
              <w:jc w:val="center"/>
              <w:rPr>
                <w:rFonts w:ascii="Times New Roman" w:hAnsi="Times New Roman"/>
                <w:color w:val="000000"/>
                <w:lang w:val="es-AR" w:eastAsia="es-AR"/>
              </w:rPr>
            </w:pPr>
            <w:r w:rsidRPr="009301A1">
              <w:rPr>
                <w:rFonts w:ascii="Times New Roman" w:hAnsi="Times New Roman"/>
                <w:color w:val="000000"/>
                <w:lang w:val="es-AR" w:eastAsia="es-AR"/>
              </w:rPr>
              <w:t>1,1</w:t>
            </w:r>
          </w:p>
        </w:tc>
        <w:tc>
          <w:tcPr>
            <w:tcW w:w="1560" w:type="dxa"/>
            <w:tcBorders>
              <w:top w:val="nil"/>
              <w:left w:val="nil"/>
              <w:bottom w:val="nil"/>
              <w:right w:val="nil"/>
            </w:tcBorders>
            <w:shd w:val="clear" w:color="000000" w:fill="FFFFFF"/>
            <w:noWrap/>
            <w:vAlign w:val="center"/>
            <w:hideMark/>
          </w:tcPr>
          <w:p w:rsidR="00406CAE" w:rsidRDefault="00406CAE" w:rsidP="00455FC7">
            <w:pPr>
              <w:jc w:val="center"/>
              <w:rPr>
                <w:rFonts w:ascii="Times New Roman" w:hAnsi="Times New Roman"/>
                <w:color w:val="000000"/>
                <w:lang w:val="es-AR" w:eastAsia="es-AR"/>
              </w:rPr>
            </w:pPr>
          </w:p>
        </w:tc>
        <w:tc>
          <w:tcPr>
            <w:tcW w:w="1559" w:type="dxa"/>
            <w:tcBorders>
              <w:top w:val="nil"/>
              <w:left w:val="nil"/>
              <w:bottom w:val="nil"/>
              <w:right w:val="nil"/>
            </w:tcBorders>
            <w:shd w:val="clear" w:color="000000" w:fill="FFFFFF"/>
            <w:noWrap/>
            <w:vAlign w:val="center"/>
            <w:hideMark/>
          </w:tcPr>
          <w:p w:rsidR="00406CAE" w:rsidRDefault="002277EA" w:rsidP="00455FC7">
            <w:pPr>
              <w:jc w:val="center"/>
              <w:rPr>
                <w:rFonts w:ascii="Times New Roman" w:hAnsi="Times New Roman"/>
                <w:color w:val="000000"/>
                <w:lang w:val="es-AR" w:eastAsia="es-AR"/>
              </w:rPr>
            </w:pPr>
            <w:r w:rsidRPr="009301A1">
              <w:rPr>
                <w:rFonts w:ascii="Times New Roman" w:hAnsi="Times New Roman"/>
                <w:color w:val="000000"/>
                <w:lang w:val="es-AR" w:eastAsia="es-AR"/>
              </w:rPr>
              <w:t>1.039</w:t>
            </w:r>
          </w:p>
        </w:tc>
      </w:tr>
      <w:tr w:rsidR="002277EA" w:rsidRPr="009301A1" w:rsidTr="008451BF">
        <w:trPr>
          <w:trHeight w:val="95"/>
        </w:trPr>
        <w:tc>
          <w:tcPr>
            <w:tcW w:w="3692" w:type="dxa"/>
            <w:gridSpan w:val="3"/>
            <w:tcBorders>
              <w:top w:val="nil"/>
              <w:left w:val="nil"/>
              <w:bottom w:val="nil"/>
              <w:right w:val="nil"/>
            </w:tcBorders>
            <w:shd w:val="clear" w:color="000000" w:fill="FFFFFF"/>
            <w:noWrap/>
            <w:vAlign w:val="center"/>
          </w:tcPr>
          <w:p w:rsidR="00406CAE" w:rsidRDefault="002277EA" w:rsidP="00455FC7">
            <w:pPr>
              <w:rPr>
                <w:rFonts w:ascii="Calibri" w:hAnsi="Calibri"/>
                <w:color w:val="000000"/>
                <w:sz w:val="22"/>
                <w:szCs w:val="22"/>
                <w:lang w:val="es-AR" w:eastAsia="es-AR"/>
              </w:rPr>
            </w:pPr>
            <w:r w:rsidRPr="009301A1">
              <w:rPr>
                <w:rFonts w:ascii="Times New Roman" w:hAnsi="Times New Roman"/>
                <w:color w:val="000000"/>
                <w:lang w:val="es-AR" w:eastAsia="es-AR"/>
              </w:rPr>
              <w:t>Pérdidas evitadas</w:t>
            </w:r>
            <w:r>
              <w:rPr>
                <w:rFonts w:ascii="Times New Roman" w:hAnsi="Times New Roman"/>
                <w:color w:val="000000"/>
                <w:lang w:val="es-AR" w:eastAsia="es-AR"/>
              </w:rPr>
              <w:t xml:space="preserve"> en </w:t>
            </w:r>
            <w:r w:rsidR="00F068A9">
              <w:rPr>
                <w:rFonts w:ascii="Times New Roman" w:hAnsi="Times New Roman"/>
                <w:color w:val="000000"/>
                <w:lang w:val="es-AR" w:eastAsia="es-AR"/>
              </w:rPr>
              <w:t xml:space="preserve">miles </w:t>
            </w:r>
            <w:r>
              <w:rPr>
                <w:rFonts w:ascii="Times New Roman" w:hAnsi="Times New Roman"/>
                <w:color w:val="000000"/>
                <w:lang w:val="es-AR" w:eastAsia="es-AR"/>
              </w:rPr>
              <w:t>US$</w:t>
            </w:r>
          </w:p>
        </w:tc>
        <w:tc>
          <w:tcPr>
            <w:tcW w:w="1416" w:type="dxa"/>
            <w:tcBorders>
              <w:top w:val="nil"/>
              <w:left w:val="nil"/>
              <w:bottom w:val="nil"/>
              <w:right w:val="nil"/>
            </w:tcBorders>
            <w:shd w:val="clear" w:color="000000" w:fill="FFFFFF"/>
            <w:noWrap/>
            <w:vAlign w:val="center"/>
          </w:tcPr>
          <w:p w:rsidR="002277EA" w:rsidRPr="009301A1" w:rsidRDefault="002277EA" w:rsidP="009301A1">
            <w:pPr>
              <w:jc w:val="center"/>
              <w:rPr>
                <w:rFonts w:ascii="Times New Roman" w:hAnsi="Times New Roman"/>
                <w:color w:val="000000"/>
                <w:lang w:val="es-AR" w:eastAsia="es-AR"/>
              </w:rPr>
            </w:pPr>
            <w:r>
              <w:rPr>
                <w:rFonts w:ascii="Times New Roman" w:hAnsi="Times New Roman"/>
                <w:color w:val="000000"/>
                <w:lang w:val="es-AR" w:eastAsia="es-AR"/>
              </w:rPr>
              <w:t>299</w:t>
            </w:r>
          </w:p>
        </w:tc>
        <w:tc>
          <w:tcPr>
            <w:tcW w:w="1560" w:type="dxa"/>
            <w:tcBorders>
              <w:top w:val="nil"/>
              <w:left w:val="nil"/>
              <w:bottom w:val="nil"/>
              <w:right w:val="nil"/>
            </w:tcBorders>
            <w:shd w:val="clear" w:color="000000" w:fill="FFFFFF"/>
            <w:noWrap/>
            <w:vAlign w:val="center"/>
          </w:tcPr>
          <w:p w:rsidR="002277EA" w:rsidRPr="009301A1" w:rsidRDefault="002277EA" w:rsidP="009301A1">
            <w:pPr>
              <w:jc w:val="center"/>
              <w:rPr>
                <w:rFonts w:ascii="Times New Roman" w:hAnsi="Times New Roman"/>
                <w:color w:val="000000"/>
                <w:lang w:val="es-AR" w:eastAsia="es-AR"/>
              </w:rPr>
            </w:pPr>
          </w:p>
        </w:tc>
        <w:tc>
          <w:tcPr>
            <w:tcW w:w="1559" w:type="dxa"/>
            <w:tcBorders>
              <w:top w:val="nil"/>
              <w:left w:val="nil"/>
              <w:bottom w:val="nil"/>
              <w:right w:val="nil"/>
            </w:tcBorders>
            <w:shd w:val="clear" w:color="000000" w:fill="FFFFFF"/>
            <w:noWrap/>
            <w:vAlign w:val="center"/>
          </w:tcPr>
          <w:p w:rsidR="002277EA" w:rsidRPr="009301A1" w:rsidRDefault="002277EA" w:rsidP="009301A1">
            <w:pPr>
              <w:jc w:val="center"/>
              <w:rPr>
                <w:rFonts w:ascii="Times New Roman" w:hAnsi="Times New Roman"/>
                <w:color w:val="000000"/>
                <w:lang w:val="es-AR" w:eastAsia="es-AR"/>
              </w:rPr>
            </w:pPr>
            <w:r>
              <w:rPr>
                <w:rFonts w:ascii="Times New Roman" w:hAnsi="Times New Roman"/>
                <w:color w:val="000000"/>
                <w:lang w:val="es-AR" w:eastAsia="es-AR"/>
              </w:rPr>
              <w:t>468</w:t>
            </w:r>
          </w:p>
        </w:tc>
      </w:tr>
    </w:tbl>
    <w:p w:rsidR="00406CAE" w:rsidRPr="00455FC7" w:rsidRDefault="00406CAE" w:rsidP="00455FC7">
      <w:pPr>
        <w:pStyle w:val="ListParagraph"/>
        <w:ind w:left="718"/>
        <w:jc w:val="both"/>
        <w:rPr>
          <w:rFonts w:ascii="Times New Roman" w:hAnsi="Times New Roman"/>
          <w:bCs/>
          <w:sz w:val="22"/>
          <w:lang w:val="es-ES_tradnl"/>
        </w:rPr>
      </w:pPr>
    </w:p>
    <w:p w:rsidR="009D33DE" w:rsidRPr="00632886" w:rsidRDefault="007B50B7" w:rsidP="002277EA">
      <w:pPr>
        <w:pStyle w:val="ListParagraph"/>
        <w:numPr>
          <w:ilvl w:val="1"/>
          <w:numId w:val="12"/>
        </w:numPr>
        <w:jc w:val="both"/>
        <w:rPr>
          <w:rFonts w:ascii="Times New Roman" w:hAnsi="Times New Roman"/>
          <w:bCs/>
          <w:sz w:val="22"/>
          <w:lang w:val="es-ES_tradnl"/>
        </w:rPr>
      </w:pPr>
      <w:r>
        <w:rPr>
          <w:rFonts w:ascii="Times New Roman" w:hAnsi="Times New Roman"/>
          <w:bCs/>
          <w:sz w:val="22"/>
          <w:lang w:val="es-ES"/>
        </w:rPr>
        <w:t xml:space="preserve">La pérdida anual de vidas alcanza un porcentaje reducido en el perído 1970-2015, por ende el número absoluto de fallecimientos proyectado no es una cantidad elevada (considerando la población expuesta alcanzaría a 2.3 personas por año). En este caso su valorización responde a similar criterio que en el caso de tsunami, aplicando el Valor Estadístico de Vida calculado (promedio US$ 283.000) Complementaria mente, es mayor el número de habitantes </w:t>
      </w:r>
      <w:r>
        <w:rPr>
          <w:rFonts w:ascii="Times New Roman" w:hAnsi="Times New Roman"/>
          <w:bCs/>
          <w:sz w:val="22"/>
          <w:lang w:val="es-MX"/>
        </w:rPr>
        <w:t xml:space="preserve"> que se han visto sujetas </w:t>
      </w:r>
      <w:r w:rsidR="00B21683" w:rsidRPr="00B21683">
        <w:rPr>
          <w:rFonts w:ascii="Times New Roman" w:hAnsi="Times New Roman"/>
          <w:bCs/>
          <w:sz w:val="22"/>
          <w:lang w:val="es-MX"/>
        </w:rPr>
        <w:t xml:space="preserve"> a los efectos del desastre, debido a: i) la disminución o suspensión en la provisión de los servicios; ii) daños psicológicos o psicosociales; i</w:t>
      </w:r>
      <w:r>
        <w:rPr>
          <w:rFonts w:ascii="Times New Roman" w:hAnsi="Times New Roman"/>
          <w:bCs/>
          <w:sz w:val="22"/>
          <w:lang w:val="es-MX"/>
        </w:rPr>
        <w:t>ii</w:t>
      </w:r>
      <w:r w:rsidR="00B21683" w:rsidRPr="00B21683">
        <w:rPr>
          <w:rFonts w:ascii="Times New Roman" w:hAnsi="Times New Roman"/>
          <w:bCs/>
          <w:sz w:val="22"/>
          <w:lang w:val="es-MX"/>
        </w:rPr>
        <w:t xml:space="preserve">) la falta o reducción en el acceso a bienes de uso cotidiano, </w:t>
      </w:r>
      <w:r w:rsidR="002277EA">
        <w:rPr>
          <w:rFonts w:ascii="Times New Roman" w:hAnsi="Times New Roman"/>
          <w:bCs/>
          <w:sz w:val="22"/>
          <w:lang w:val="es-MX"/>
        </w:rPr>
        <w:t>i</w:t>
      </w:r>
      <w:r w:rsidR="00B21683" w:rsidRPr="00B21683">
        <w:rPr>
          <w:rFonts w:ascii="Times New Roman" w:hAnsi="Times New Roman"/>
          <w:bCs/>
          <w:sz w:val="22"/>
          <w:lang w:val="es-MX"/>
        </w:rPr>
        <w:t>v) afectaciones en la salud a causa de las condiciones insalubres derivadas del desastre (enfermedades respiratorias o gastrointestinales) y, v) detrimento en la implementación de la protección social.</w:t>
      </w:r>
      <w:r w:rsidR="002277EA">
        <w:rPr>
          <w:rFonts w:ascii="Times New Roman" w:hAnsi="Times New Roman"/>
          <w:bCs/>
          <w:sz w:val="22"/>
          <w:lang w:val="es-MX"/>
        </w:rPr>
        <w:t xml:space="preserve"> En este caso, las afectaciones se valorizaron a un costo promedio diario de atención a afectados de US$ </w:t>
      </w:r>
      <w:r w:rsidR="00406CAE">
        <w:rPr>
          <w:rFonts w:ascii="Times New Roman" w:hAnsi="Times New Roman"/>
          <w:bCs/>
          <w:sz w:val="22"/>
          <w:lang w:val="es-MX"/>
        </w:rPr>
        <w:t>3</w:t>
      </w:r>
      <w:r w:rsidR="002277EA">
        <w:rPr>
          <w:rFonts w:ascii="Times New Roman" w:hAnsi="Times New Roman"/>
          <w:bCs/>
          <w:sz w:val="22"/>
          <w:lang w:val="es-MX"/>
        </w:rPr>
        <w:t xml:space="preserve">0  (comida, medicinas y eventualmente refugio, estimación provista por el GdE) considerando un tiempo mínimo de 15 días (los perídos de atención varían entre </w:t>
      </w:r>
      <w:r w:rsidR="00406CAE">
        <w:rPr>
          <w:rFonts w:ascii="Times New Roman" w:hAnsi="Times New Roman"/>
          <w:bCs/>
          <w:sz w:val="22"/>
          <w:lang w:val="es-MX"/>
        </w:rPr>
        <w:t>7</w:t>
      </w:r>
      <w:r w:rsidR="002277EA">
        <w:rPr>
          <w:rFonts w:ascii="Times New Roman" w:hAnsi="Times New Roman"/>
          <w:bCs/>
          <w:sz w:val="22"/>
          <w:lang w:val="es-MX"/>
        </w:rPr>
        <w:t xml:space="preserve"> y 30 días habitualmente).  Las dos últimas líneas refloejan las perdidas que serán evitadas al mejorar el funcionamiento de</w:t>
      </w:r>
      <w:r w:rsidR="002277EA" w:rsidRPr="002277EA">
        <w:rPr>
          <w:rFonts w:ascii="Times New Roman" w:hAnsi="Times New Roman"/>
          <w:bCs/>
          <w:sz w:val="22"/>
          <w:lang w:val="es-ES_tradnl"/>
        </w:rPr>
        <w:t>l SAT opti</w:t>
      </w:r>
      <w:r w:rsidR="008451BF">
        <w:rPr>
          <w:rFonts w:ascii="Times New Roman" w:hAnsi="Times New Roman"/>
          <w:bCs/>
          <w:sz w:val="22"/>
          <w:lang w:val="es-ES_tradnl"/>
        </w:rPr>
        <w:t>mizado</w:t>
      </w:r>
      <w:r w:rsidR="002277EA" w:rsidRPr="002277EA">
        <w:rPr>
          <w:rFonts w:ascii="Times New Roman" w:hAnsi="Times New Roman"/>
          <w:bCs/>
          <w:sz w:val="22"/>
          <w:lang w:val="es-ES_tradnl"/>
        </w:rPr>
        <w:t xml:space="preserve">. En el apartado </w:t>
      </w:r>
      <w:r w:rsidR="002277EA" w:rsidRPr="002277EA">
        <w:rPr>
          <w:rFonts w:ascii="Times New Roman" w:hAnsi="Times New Roman"/>
          <w:bCs/>
          <w:i/>
          <w:sz w:val="22"/>
          <w:lang w:val="es-ES_tradnl"/>
        </w:rPr>
        <w:t xml:space="preserve">Parámetros para la cuantificación del efecto-beneficio SAT </w:t>
      </w:r>
      <w:r w:rsidR="002277EA" w:rsidRPr="002277EA">
        <w:rPr>
          <w:rFonts w:ascii="Times New Roman" w:hAnsi="Times New Roman"/>
          <w:bCs/>
          <w:sz w:val="22"/>
          <w:lang w:val="es-ES_tradnl"/>
        </w:rPr>
        <w:t>que se presenta más adelante en este Capítulo se expresan los fundamentos de la reducción esperada en términos de pérdida de vidas, la cual se estimó en un 45%</w:t>
      </w:r>
      <w:r w:rsidR="008451BF">
        <w:rPr>
          <w:rFonts w:ascii="Times New Roman" w:hAnsi="Times New Roman"/>
          <w:bCs/>
          <w:sz w:val="22"/>
          <w:lang w:val="es-ES_tradnl"/>
        </w:rPr>
        <w:t xml:space="preserve"> y en disminución de afectados, que se estimó en un 30%</w:t>
      </w:r>
      <w:r w:rsidR="002277EA" w:rsidRPr="002277EA">
        <w:rPr>
          <w:rFonts w:ascii="Times New Roman" w:hAnsi="Times New Roman"/>
          <w:bCs/>
          <w:sz w:val="22"/>
          <w:lang w:val="es-ES_tradnl"/>
        </w:rPr>
        <w:t>.</w:t>
      </w:r>
    </w:p>
    <w:p w:rsidR="00111924" w:rsidRDefault="00111924" w:rsidP="00111924">
      <w:pPr>
        <w:pStyle w:val="Heading2"/>
        <w:jc w:val="left"/>
        <w:rPr>
          <w:b w:val="0"/>
          <w:sz w:val="24"/>
          <w:szCs w:val="24"/>
          <w:u w:val="single"/>
        </w:rPr>
      </w:pPr>
    </w:p>
    <w:p w:rsidR="000B1273" w:rsidRPr="00455FC7" w:rsidRDefault="00081A23" w:rsidP="00111924">
      <w:pPr>
        <w:pStyle w:val="Heading3"/>
        <w:rPr>
          <w:lang w:val="es-ES_tradnl"/>
        </w:rPr>
      </w:pPr>
      <w:bookmarkStart w:id="112" w:name="_Toc465929622"/>
      <w:bookmarkStart w:id="113" w:name="_Toc468199833"/>
      <w:r w:rsidRPr="00455FC7">
        <w:rPr>
          <w:lang w:val="es-ES_tradnl"/>
        </w:rPr>
        <w:t>Activos e Infraestructura en las áreas expuestas al desastre</w:t>
      </w:r>
      <w:bookmarkEnd w:id="112"/>
      <w:bookmarkEnd w:id="113"/>
    </w:p>
    <w:p w:rsidR="000B1273" w:rsidRPr="000B1273" w:rsidRDefault="000B1273" w:rsidP="000B1273">
      <w:pPr>
        <w:jc w:val="both"/>
        <w:rPr>
          <w:rFonts w:ascii="Times New Roman" w:hAnsi="Times New Roman"/>
          <w:bCs/>
          <w:sz w:val="22"/>
          <w:lang w:val="es-ES_tradnl"/>
        </w:rPr>
      </w:pPr>
    </w:p>
    <w:p w:rsidR="0018355C" w:rsidRPr="0064219E" w:rsidRDefault="000513F8" w:rsidP="00632886">
      <w:pPr>
        <w:numPr>
          <w:ilvl w:val="1"/>
          <w:numId w:val="12"/>
        </w:numPr>
        <w:jc w:val="both"/>
        <w:rPr>
          <w:rFonts w:ascii="Times New Roman" w:hAnsi="Times New Roman"/>
          <w:sz w:val="22"/>
          <w:szCs w:val="22"/>
          <w:lang w:val="es-ES_tradnl"/>
        </w:rPr>
      </w:pPr>
      <w:r w:rsidRPr="00C455A0">
        <w:rPr>
          <w:rFonts w:ascii="Times New Roman" w:hAnsi="Times New Roman"/>
          <w:i/>
          <w:sz w:val="22"/>
          <w:szCs w:val="22"/>
          <w:lang w:val="es-ES_tradnl"/>
        </w:rPr>
        <w:t>Introducción</w:t>
      </w:r>
      <w:r w:rsidRPr="00F35366">
        <w:rPr>
          <w:rFonts w:ascii="Times New Roman" w:hAnsi="Times New Roman"/>
          <w:sz w:val="22"/>
          <w:szCs w:val="22"/>
          <w:lang w:val="es-ES_tradnl"/>
        </w:rPr>
        <w:t xml:space="preserve">.  </w:t>
      </w:r>
      <w:r w:rsidR="00612A1A">
        <w:rPr>
          <w:rFonts w:ascii="Times New Roman" w:hAnsi="Times New Roman"/>
          <w:sz w:val="22"/>
          <w:szCs w:val="22"/>
          <w:lang w:val="es-ES_tradnl"/>
        </w:rPr>
        <w:t xml:space="preserve">Algunos trabajos </w:t>
      </w:r>
      <w:r w:rsidR="00233C88">
        <w:rPr>
          <w:rFonts w:ascii="Times New Roman" w:hAnsi="Times New Roman"/>
          <w:sz w:val="22"/>
          <w:szCs w:val="22"/>
          <w:lang w:val="es-ES_tradnl"/>
        </w:rPr>
        <w:t>de especialistas</w:t>
      </w:r>
      <w:r w:rsidR="00233C88">
        <w:rPr>
          <w:rStyle w:val="FootnoteReference"/>
          <w:rFonts w:ascii="Times New Roman" w:hAnsi="Times New Roman"/>
          <w:sz w:val="22"/>
          <w:szCs w:val="22"/>
          <w:lang w:val="es-ES_tradnl"/>
        </w:rPr>
        <w:footnoteReference w:id="41"/>
      </w:r>
      <w:r w:rsidR="00612A1A">
        <w:rPr>
          <w:rFonts w:ascii="Times New Roman" w:hAnsi="Times New Roman"/>
          <w:sz w:val="22"/>
          <w:szCs w:val="22"/>
          <w:lang w:val="es-ES_tradnl"/>
        </w:rPr>
        <w:t xml:space="preserve"> recientes</w:t>
      </w:r>
      <w:r w:rsidR="00233C88">
        <w:rPr>
          <w:rFonts w:ascii="Times New Roman" w:hAnsi="Times New Roman"/>
          <w:sz w:val="22"/>
          <w:szCs w:val="22"/>
          <w:lang w:val="es-ES_tradnl"/>
        </w:rPr>
        <w:t xml:space="preserve"> asumen al evaluar </w:t>
      </w:r>
      <w:r w:rsidR="009C7439" w:rsidRPr="009C7439">
        <w:rPr>
          <w:rFonts w:ascii="Times New Roman" w:hAnsi="Times New Roman"/>
          <w:sz w:val="22"/>
          <w:szCs w:val="22"/>
          <w:lang w:val="es-ES_tradnl"/>
        </w:rPr>
        <w:t xml:space="preserve"> las pérdidas</w:t>
      </w:r>
      <w:r w:rsidR="00233C88">
        <w:rPr>
          <w:rFonts w:ascii="Times New Roman" w:hAnsi="Times New Roman"/>
          <w:sz w:val="22"/>
          <w:szCs w:val="22"/>
          <w:lang w:val="es-ES_tradnl"/>
        </w:rPr>
        <w:t xml:space="preserve">  potenciales </w:t>
      </w:r>
      <w:r w:rsidR="009C7439" w:rsidRPr="009C7439">
        <w:rPr>
          <w:rFonts w:ascii="Times New Roman" w:hAnsi="Times New Roman"/>
          <w:sz w:val="22"/>
          <w:szCs w:val="22"/>
          <w:lang w:val="es-ES_tradnl"/>
        </w:rPr>
        <w:t xml:space="preserve">que la alerta temprana </w:t>
      </w:r>
      <w:r w:rsidR="00233C88">
        <w:rPr>
          <w:rFonts w:ascii="Times New Roman" w:hAnsi="Times New Roman"/>
          <w:sz w:val="22"/>
          <w:szCs w:val="22"/>
          <w:lang w:val="es-ES_tradnl"/>
        </w:rPr>
        <w:t>podría</w:t>
      </w:r>
      <w:r w:rsidR="009C7439" w:rsidRPr="009C7439">
        <w:rPr>
          <w:rFonts w:ascii="Times New Roman" w:hAnsi="Times New Roman"/>
          <w:sz w:val="22"/>
          <w:szCs w:val="22"/>
          <w:lang w:val="es-ES_tradnl"/>
        </w:rPr>
        <w:t xml:space="preserve"> proporcionar los mismos beneficios relativos en términos de pérdidas </w:t>
      </w:r>
      <w:r w:rsidR="00233C88">
        <w:rPr>
          <w:rFonts w:ascii="Times New Roman" w:hAnsi="Times New Roman"/>
          <w:sz w:val="22"/>
          <w:szCs w:val="22"/>
          <w:lang w:val="es-ES_tradnl"/>
        </w:rPr>
        <w:t>evitada</w:t>
      </w:r>
      <w:r w:rsidR="009C7439" w:rsidRPr="009C7439">
        <w:rPr>
          <w:rFonts w:ascii="Times New Roman" w:hAnsi="Times New Roman"/>
          <w:sz w:val="22"/>
          <w:szCs w:val="22"/>
          <w:lang w:val="es-ES_tradnl"/>
        </w:rPr>
        <w:t>s</w:t>
      </w:r>
      <w:r w:rsidR="001B6AA1">
        <w:rPr>
          <w:rFonts w:ascii="Times New Roman" w:hAnsi="Times New Roman"/>
          <w:sz w:val="22"/>
          <w:szCs w:val="22"/>
          <w:lang w:val="es-ES_tradnl"/>
        </w:rPr>
        <w:t xml:space="preserve"> en distintos países</w:t>
      </w:r>
      <w:r w:rsidR="009C7439" w:rsidRPr="009C7439">
        <w:rPr>
          <w:rFonts w:ascii="Times New Roman" w:hAnsi="Times New Roman"/>
          <w:sz w:val="22"/>
          <w:szCs w:val="22"/>
          <w:lang w:val="es-ES_tradnl"/>
        </w:rPr>
        <w:t>. En términos</w:t>
      </w:r>
      <w:r w:rsidR="001B6AA1">
        <w:rPr>
          <w:rFonts w:ascii="Times New Roman" w:hAnsi="Times New Roman"/>
          <w:sz w:val="22"/>
          <w:szCs w:val="22"/>
          <w:lang w:val="es-ES_tradnl"/>
        </w:rPr>
        <w:t xml:space="preserve"> numéricos</w:t>
      </w:r>
      <w:r w:rsidR="009C7439" w:rsidRPr="009C7439">
        <w:rPr>
          <w:rFonts w:ascii="Times New Roman" w:hAnsi="Times New Roman"/>
          <w:sz w:val="22"/>
          <w:szCs w:val="22"/>
          <w:lang w:val="es-ES_tradnl"/>
        </w:rPr>
        <w:t xml:space="preserve">, </w:t>
      </w:r>
      <w:r w:rsidR="00137FC7">
        <w:rPr>
          <w:rFonts w:ascii="Times New Roman" w:hAnsi="Times New Roman"/>
          <w:sz w:val="22"/>
          <w:szCs w:val="22"/>
          <w:lang w:val="es-ES_tradnl"/>
        </w:rPr>
        <w:t xml:space="preserve"> siguiendo dicha</w:t>
      </w:r>
      <w:r w:rsidR="000F6CAE">
        <w:rPr>
          <w:rFonts w:ascii="Times New Roman" w:hAnsi="Times New Roman"/>
          <w:sz w:val="22"/>
          <w:szCs w:val="22"/>
          <w:lang w:val="es-ES_tradnl"/>
        </w:rPr>
        <w:t xml:space="preserve"> hipótesis </w:t>
      </w:r>
      <w:r w:rsidR="009C7439" w:rsidRPr="009C7439">
        <w:rPr>
          <w:rFonts w:ascii="Times New Roman" w:hAnsi="Times New Roman"/>
          <w:sz w:val="22"/>
          <w:szCs w:val="22"/>
          <w:lang w:val="es-ES_tradnl"/>
        </w:rPr>
        <w:t xml:space="preserve">un sistema de alerta temprana similar al europeo permitiría una reducción en las pérdidas de activos </w:t>
      </w:r>
      <w:r w:rsidR="0064219E">
        <w:rPr>
          <w:rFonts w:ascii="Times New Roman" w:hAnsi="Times New Roman"/>
          <w:sz w:val="22"/>
          <w:szCs w:val="22"/>
          <w:lang w:val="es-ES_tradnl"/>
        </w:rPr>
        <w:t>relacionados con el desastre en</w:t>
      </w:r>
      <w:r w:rsidR="009C7439" w:rsidRPr="009C7439">
        <w:rPr>
          <w:rFonts w:ascii="Times New Roman" w:hAnsi="Times New Roman"/>
          <w:sz w:val="22"/>
          <w:szCs w:val="22"/>
          <w:lang w:val="es-ES_tradnl"/>
        </w:rPr>
        <w:t xml:space="preserve"> los países </w:t>
      </w:r>
      <w:r w:rsidR="0064219E">
        <w:rPr>
          <w:rFonts w:ascii="Times New Roman" w:hAnsi="Times New Roman"/>
          <w:sz w:val="22"/>
          <w:szCs w:val="22"/>
          <w:lang w:val="es-ES_tradnl"/>
        </w:rPr>
        <w:t xml:space="preserve">donde se aplique </w:t>
      </w:r>
      <w:r w:rsidR="009C7439" w:rsidRPr="009C7439">
        <w:rPr>
          <w:rFonts w:ascii="Times New Roman" w:hAnsi="Times New Roman"/>
          <w:sz w:val="22"/>
          <w:szCs w:val="22"/>
          <w:lang w:val="es-ES_tradnl"/>
        </w:rPr>
        <w:t>entre 0,003 y 0,017% de su PIB</w:t>
      </w:r>
      <w:r w:rsidR="0064219E">
        <w:rPr>
          <w:rStyle w:val="FootnoteReference"/>
          <w:rFonts w:ascii="Times New Roman" w:hAnsi="Times New Roman"/>
          <w:sz w:val="22"/>
          <w:szCs w:val="22"/>
          <w:lang w:val="es-ES_tradnl"/>
        </w:rPr>
        <w:footnoteReference w:id="42"/>
      </w:r>
      <w:r w:rsidR="009C7439" w:rsidRPr="009C7439">
        <w:rPr>
          <w:rFonts w:ascii="Times New Roman" w:hAnsi="Times New Roman"/>
          <w:sz w:val="22"/>
          <w:szCs w:val="22"/>
          <w:lang w:val="es-ES_tradnl"/>
        </w:rPr>
        <w:t xml:space="preserve">. Esto es </w:t>
      </w:r>
      <w:r w:rsidR="00137FC7">
        <w:rPr>
          <w:rFonts w:ascii="Times New Roman" w:hAnsi="Times New Roman"/>
          <w:sz w:val="22"/>
          <w:szCs w:val="22"/>
          <w:lang w:val="es-ES_tradnl"/>
        </w:rPr>
        <w:t xml:space="preserve">un </w:t>
      </w:r>
      <w:r w:rsidR="0064219E">
        <w:rPr>
          <w:rFonts w:ascii="Times New Roman" w:hAnsi="Times New Roman"/>
          <w:sz w:val="22"/>
          <w:szCs w:val="22"/>
          <w:lang w:val="es-ES_tradnl"/>
        </w:rPr>
        <w:t xml:space="preserve">punto de referencia </w:t>
      </w:r>
      <w:r w:rsidR="009C7439" w:rsidRPr="009C7439">
        <w:rPr>
          <w:rFonts w:ascii="Times New Roman" w:hAnsi="Times New Roman"/>
          <w:sz w:val="22"/>
          <w:szCs w:val="22"/>
          <w:lang w:val="es-ES_tradnl"/>
        </w:rPr>
        <w:t xml:space="preserve">conservador, </w:t>
      </w:r>
      <w:r w:rsidR="0064219E">
        <w:rPr>
          <w:rFonts w:ascii="Times New Roman" w:hAnsi="Times New Roman"/>
          <w:sz w:val="22"/>
          <w:szCs w:val="22"/>
          <w:lang w:val="es-ES_tradnl"/>
        </w:rPr>
        <w:t xml:space="preserve">teniendo en cuenta que </w:t>
      </w:r>
      <w:r w:rsidR="009C7439" w:rsidRPr="009C7439">
        <w:rPr>
          <w:rFonts w:ascii="Times New Roman" w:hAnsi="Times New Roman"/>
          <w:sz w:val="22"/>
          <w:szCs w:val="22"/>
          <w:lang w:val="es-ES_tradnl"/>
        </w:rPr>
        <w:t xml:space="preserve"> los países en d</w:t>
      </w:r>
      <w:r w:rsidR="0064219E">
        <w:rPr>
          <w:rFonts w:ascii="Times New Roman" w:hAnsi="Times New Roman"/>
          <w:sz w:val="22"/>
          <w:szCs w:val="22"/>
          <w:lang w:val="es-ES_tradnl"/>
        </w:rPr>
        <w:t xml:space="preserve">esarrollo </w:t>
      </w:r>
      <w:r w:rsidR="001B78C8">
        <w:rPr>
          <w:rFonts w:ascii="Times New Roman" w:hAnsi="Times New Roman"/>
          <w:sz w:val="22"/>
          <w:szCs w:val="22"/>
          <w:lang w:val="es-ES_tradnl"/>
        </w:rPr>
        <w:t xml:space="preserve">presentan una </w:t>
      </w:r>
      <w:r w:rsidR="001B6AA1">
        <w:rPr>
          <w:rFonts w:ascii="Times New Roman" w:hAnsi="Times New Roman"/>
          <w:sz w:val="22"/>
          <w:szCs w:val="22"/>
          <w:lang w:val="es-ES_tradnl"/>
        </w:rPr>
        <w:t xml:space="preserve">vulnerabilidad </w:t>
      </w:r>
      <w:r w:rsidR="00673163">
        <w:rPr>
          <w:rFonts w:ascii="Times New Roman" w:hAnsi="Times New Roman"/>
          <w:sz w:val="22"/>
          <w:szCs w:val="22"/>
          <w:lang w:val="es-ES_tradnl"/>
        </w:rPr>
        <w:t>relativa</w:t>
      </w:r>
      <w:r w:rsidR="001B6AA1">
        <w:rPr>
          <w:rFonts w:ascii="Times New Roman" w:hAnsi="Times New Roman"/>
          <w:sz w:val="22"/>
          <w:szCs w:val="22"/>
          <w:lang w:val="es-ES_tradnl"/>
        </w:rPr>
        <w:t xml:space="preserve"> superior</w:t>
      </w:r>
      <w:r w:rsidR="001B78C8">
        <w:rPr>
          <w:rFonts w:ascii="Times New Roman" w:hAnsi="Times New Roman"/>
          <w:sz w:val="22"/>
          <w:szCs w:val="22"/>
          <w:lang w:val="es-ES_tradnl"/>
        </w:rPr>
        <w:t xml:space="preserve"> frente a las amenazas</w:t>
      </w:r>
      <w:r w:rsidR="001B6AA1">
        <w:rPr>
          <w:rFonts w:ascii="Times New Roman" w:hAnsi="Times New Roman"/>
          <w:sz w:val="22"/>
          <w:szCs w:val="22"/>
          <w:lang w:val="es-ES_tradnl"/>
        </w:rPr>
        <w:t>.</w:t>
      </w:r>
      <w:r w:rsidR="009C7439" w:rsidRPr="0064219E">
        <w:rPr>
          <w:rFonts w:ascii="Times New Roman" w:hAnsi="Times New Roman"/>
          <w:sz w:val="22"/>
          <w:szCs w:val="22"/>
          <w:lang w:val="es-ES_tradnl"/>
        </w:rPr>
        <w:t xml:space="preserve"> </w:t>
      </w:r>
      <w:r w:rsidR="00137FC7">
        <w:rPr>
          <w:rFonts w:ascii="Times New Roman" w:hAnsi="Times New Roman"/>
          <w:sz w:val="22"/>
          <w:szCs w:val="22"/>
          <w:lang w:val="es-ES_tradnl"/>
        </w:rPr>
        <w:t>Esa</w:t>
      </w:r>
      <w:r w:rsidR="0064219E">
        <w:rPr>
          <w:rFonts w:ascii="Times New Roman" w:hAnsi="Times New Roman"/>
          <w:sz w:val="22"/>
          <w:szCs w:val="22"/>
          <w:lang w:val="es-ES_tradnl"/>
        </w:rPr>
        <w:t xml:space="preserve"> </w:t>
      </w:r>
      <w:r w:rsidR="009C7439" w:rsidRPr="0064219E">
        <w:rPr>
          <w:rFonts w:ascii="Times New Roman" w:hAnsi="Times New Roman"/>
          <w:sz w:val="22"/>
          <w:szCs w:val="22"/>
          <w:lang w:val="es-ES_tradnl"/>
        </w:rPr>
        <w:t>estimación sugiere que la generalización de la calidad de los servicios y sistemas de alerta temprana que se pueden encontrar en los países desarrollados podría producir beneficios en</w:t>
      </w:r>
      <w:r w:rsidR="0064219E">
        <w:rPr>
          <w:rFonts w:ascii="Times New Roman" w:hAnsi="Times New Roman"/>
          <w:sz w:val="22"/>
          <w:szCs w:val="22"/>
          <w:lang w:val="es-ES_tradnl"/>
        </w:rPr>
        <w:t xml:space="preserve"> términos de pérdidas </w:t>
      </w:r>
      <w:r w:rsidR="009C7439" w:rsidRPr="0064219E">
        <w:rPr>
          <w:rFonts w:ascii="Times New Roman" w:hAnsi="Times New Roman"/>
          <w:sz w:val="22"/>
          <w:szCs w:val="22"/>
          <w:lang w:val="es-ES_tradnl"/>
        </w:rPr>
        <w:t xml:space="preserve">evitadas entre 300 millones y 2 </w:t>
      </w:r>
      <w:r w:rsidR="006141FA">
        <w:rPr>
          <w:rFonts w:ascii="Times New Roman" w:hAnsi="Times New Roman"/>
          <w:sz w:val="22"/>
          <w:szCs w:val="22"/>
          <w:lang w:val="es-ES_tradnl"/>
        </w:rPr>
        <w:t>billones</w:t>
      </w:r>
      <w:r w:rsidR="009C7439" w:rsidRPr="0064219E">
        <w:rPr>
          <w:rFonts w:ascii="Times New Roman" w:hAnsi="Times New Roman"/>
          <w:sz w:val="22"/>
          <w:szCs w:val="22"/>
          <w:lang w:val="es-ES_tradnl"/>
        </w:rPr>
        <w:t xml:space="preserve"> de dólares por año </w:t>
      </w:r>
      <w:r w:rsidR="000F6CAE">
        <w:rPr>
          <w:rFonts w:ascii="Times New Roman" w:hAnsi="Times New Roman"/>
          <w:sz w:val="22"/>
          <w:szCs w:val="22"/>
          <w:lang w:val="es-ES_tradnl"/>
        </w:rPr>
        <w:t xml:space="preserve">si se aplicaran </w:t>
      </w:r>
      <w:r w:rsidR="00673163">
        <w:rPr>
          <w:rFonts w:ascii="Times New Roman" w:hAnsi="Times New Roman"/>
          <w:sz w:val="22"/>
          <w:szCs w:val="22"/>
          <w:lang w:val="es-ES_tradnl"/>
        </w:rPr>
        <w:t>iguales</w:t>
      </w:r>
      <w:r w:rsidR="001B6AA1">
        <w:rPr>
          <w:rFonts w:ascii="Times New Roman" w:hAnsi="Times New Roman"/>
          <w:sz w:val="22"/>
          <w:szCs w:val="22"/>
          <w:lang w:val="es-ES_tradnl"/>
        </w:rPr>
        <w:t xml:space="preserve"> medidas </w:t>
      </w:r>
      <w:r w:rsidR="009C7439" w:rsidRPr="0064219E">
        <w:rPr>
          <w:rFonts w:ascii="Times New Roman" w:hAnsi="Times New Roman"/>
          <w:sz w:val="22"/>
          <w:szCs w:val="22"/>
          <w:lang w:val="es-ES_tradnl"/>
        </w:rPr>
        <w:t>en los países</w:t>
      </w:r>
      <w:r w:rsidR="000F6CAE">
        <w:rPr>
          <w:rFonts w:ascii="Times New Roman" w:hAnsi="Times New Roman"/>
          <w:sz w:val="22"/>
          <w:szCs w:val="22"/>
          <w:lang w:val="es-ES_tradnl"/>
        </w:rPr>
        <w:t xml:space="preserve"> en desarrollo</w:t>
      </w:r>
      <w:r w:rsidR="009C7439" w:rsidRPr="0064219E">
        <w:rPr>
          <w:rFonts w:ascii="Times New Roman" w:hAnsi="Times New Roman"/>
          <w:sz w:val="22"/>
          <w:szCs w:val="22"/>
          <w:lang w:val="es-ES_tradnl"/>
        </w:rPr>
        <w:t xml:space="preserve">. </w:t>
      </w:r>
      <w:r w:rsidR="00137FC7">
        <w:rPr>
          <w:rFonts w:ascii="Times New Roman" w:hAnsi="Times New Roman"/>
          <w:sz w:val="22"/>
          <w:szCs w:val="22"/>
          <w:lang w:val="es-ES_tradnl"/>
        </w:rPr>
        <w:t>Además, e</w:t>
      </w:r>
      <w:r w:rsidR="009C7439" w:rsidRPr="0064219E">
        <w:rPr>
          <w:rFonts w:ascii="Times New Roman" w:hAnsi="Times New Roman"/>
          <w:sz w:val="22"/>
          <w:szCs w:val="22"/>
          <w:lang w:val="es-ES_tradnl"/>
        </w:rPr>
        <w:t xml:space="preserve">sta evaluación es probablemente una subestimación, ya que no tiene en cuenta las pérdidas indirectas de los desastres naturales, es decir, la </w:t>
      </w:r>
      <w:r w:rsidR="00137FC7">
        <w:rPr>
          <w:rFonts w:ascii="Times New Roman" w:hAnsi="Times New Roman"/>
          <w:sz w:val="22"/>
          <w:szCs w:val="22"/>
          <w:lang w:val="es-ES_tradnl"/>
        </w:rPr>
        <w:t>merma</w:t>
      </w:r>
      <w:r w:rsidR="009C7439" w:rsidRPr="0064219E">
        <w:rPr>
          <w:rFonts w:ascii="Times New Roman" w:hAnsi="Times New Roman"/>
          <w:sz w:val="22"/>
          <w:szCs w:val="22"/>
          <w:lang w:val="es-ES_tradnl"/>
        </w:rPr>
        <w:t xml:space="preserve"> potencia</w:t>
      </w:r>
      <w:r w:rsidR="000F6CAE">
        <w:rPr>
          <w:rFonts w:ascii="Times New Roman" w:hAnsi="Times New Roman"/>
          <w:sz w:val="22"/>
          <w:szCs w:val="22"/>
          <w:lang w:val="es-ES_tradnl"/>
        </w:rPr>
        <w:t xml:space="preserve">l </w:t>
      </w:r>
      <w:r w:rsidR="00137FC7">
        <w:rPr>
          <w:rFonts w:ascii="Times New Roman" w:hAnsi="Times New Roman"/>
          <w:sz w:val="22"/>
          <w:szCs w:val="22"/>
          <w:lang w:val="es-ES_tradnl"/>
        </w:rPr>
        <w:t xml:space="preserve">para </w:t>
      </w:r>
      <w:r w:rsidR="00137FC7">
        <w:rPr>
          <w:rFonts w:ascii="Times New Roman" w:hAnsi="Times New Roman"/>
          <w:sz w:val="22"/>
          <w:szCs w:val="22"/>
          <w:lang w:val="es-ES_tradnl"/>
        </w:rPr>
        <w:lastRenderedPageBreak/>
        <w:t xml:space="preserve">generar </w:t>
      </w:r>
      <w:r w:rsidR="000F6CAE">
        <w:rPr>
          <w:rFonts w:ascii="Times New Roman" w:hAnsi="Times New Roman"/>
          <w:sz w:val="22"/>
          <w:szCs w:val="22"/>
          <w:lang w:val="es-ES_tradnl"/>
        </w:rPr>
        <w:t>riqueza futura</w:t>
      </w:r>
      <w:r w:rsidR="009C7439" w:rsidRPr="0064219E">
        <w:rPr>
          <w:rFonts w:ascii="Times New Roman" w:hAnsi="Times New Roman"/>
          <w:sz w:val="22"/>
          <w:szCs w:val="22"/>
          <w:lang w:val="es-ES_tradnl"/>
        </w:rPr>
        <w:t xml:space="preserve"> que resulta de la </w:t>
      </w:r>
      <w:r w:rsidR="00137FC7">
        <w:rPr>
          <w:rFonts w:ascii="Times New Roman" w:hAnsi="Times New Roman"/>
          <w:sz w:val="22"/>
          <w:szCs w:val="22"/>
          <w:lang w:val="es-ES_tradnl"/>
        </w:rPr>
        <w:t xml:space="preserve">destrucción </w:t>
      </w:r>
      <w:r w:rsidR="009C7439" w:rsidRPr="0064219E">
        <w:rPr>
          <w:rFonts w:ascii="Times New Roman" w:hAnsi="Times New Roman"/>
          <w:sz w:val="22"/>
          <w:szCs w:val="22"/>
          <w:lang w:val="es-ES_tradnl"/>
        </w:rPr>
        <w:t>de los activos</w:t>
      </w:r>
      <w:r w:rsidR="000F6CAE">
        <w:rPr>
          <w:rFonts w:ascii="Times New Roman" w:hAnsi="Times New Roman"/>
          <w:sz w:val="22"/>
          <w:szCs w:val="22"/>
          <w:lang w:val="es-ES_tradnl"/>
        </w:rPr>
        <w:t xml:space="preserve"> reales capaces de </w:t>
      </w:r>
      <w:r w:rsidR="00137FC7">
        <w:rPr>
          <w:rFonts w:ascii="Times New Roman" w:hAnsi="Times New Roman"/>
          <w:sz w:val="22"/>
          <w:szCs w:val="22"/>
          <w:lang w:val="es-ES_tradnl"/>
        </w:rPr>
        <w:t>crearla</w:t>
      </w:r>
      <w:r w:rsidR="009C7439" w:rsidRPr="0064219E">
        <w:rPr>
          <w:rFonts w:ascii="Times New Roman" w:hAnsi="Times New Roman"/>
          <w:sz w:val="22"/>
          <w:szCs w:val="22"/>
          <w:lang w:val="es-ES_tradnl"/>
        </w:rPr>
        <w:t>. En caso de catástrofes a gran escala, las pérdidas indirectas pueden ser del mismo orden de mag</w:t>
      </w:r>
      <w:r w:rsidR="00137FC7">
        <w:rPr>
          <w:rFonts w:ascii="Times New Roman" w:hAnsi="Times New Roman"/>
          <w:sz w:val="22"/>
          <w:szCs w:val="22"/>
          <w:lang w:val="es-ES_tradnl"/>
        </w:rPr>
        <w:t>nitud o aún superiores que las pérdidas directas.</w:t>
      </w:r>
    </w:p>
    <w:p w:rsidR="009C7439" w:rsidRPr="00C300F2" w:rsidRDefault="009C7439" w:rsidP="009C7439">
      <w:pPr>
        <w:ind w:left="718"/>
        <w:jc w:val="both"/>
        <w:rPr>
          <w:rFonts w:ascii="Times New Roman" w:hAnsi="Times New Roman"/>
          <w:b/>
          <w:lang w:val="es-ES"/>
        </w:rPr>
      </w:pPr>
    </w:p>
    <w:p w:rsidR="008C24F2" w:rsidRPr="00673163" w:rsidRDefault="006141FA" w:rsidP="00EA7A0C">
      <w:pPr>
        <w:numPr>
          <w:ilvl w:val="1"/>
          <w:numId w:val="12"/>
        </w:numPr>
        <w:jc w:val="both"/>
        <w:rPr>
          <w:rFonts w:ascii="Times New Roman" w:hAnsi="Times New Roman"/>
          <w:b/>
          <w:sz w:val="22"/>
          <w:szCs w:val="22"/>
          <w:lang w:val="es-AR"/>
        </w:rPr>
      </w:pPr>
      <w:r w:rsidRPr="00673163">
        <w:rPr>
          <w:rFonts w:ascii="Times New Roman" w:hAnsi="Times New Roman"/>
          <w:sz w:val="22"/>
          <w:szCs w:val="22"/>
          <w:lang w:val="es-AR"/>
        </w:rPr>
        <w:t>Los daños más frecuentes en materia de desastres se presentan en las viviendas de la población expuesta, aunque otras infraestructuras son habitualmente afectadas, tal como se explica seguidamente.</w:t>
      </w:r>
      <w:r w:rsidR="0095777A" w:rsidRPr="00673163">
        <w:rPr>
          <w:rFonts w:ascii="Times New Roman" w:hAnsi="Times New Roman"/>
          <w:sz w:val="22"/>
          <w:szCs w:val="22"/>
          <w:lang w:val="es-AR"/>
        </w:rPr>
        <w:t xml:space="preserve"> Por ejemplo, e</w:t>
      </w:r>
      <w:r w:rsidR="009C7439" w:rsidRPr="00673163">
        <w:rPr>
          <w:rFonts w:ascii="Times New Roman" w:hAnsi="Times New Roman"/>
          <w:sz w:val="22"/>
          <w:szCs w:val="22"/>
          <w:lang w:val="es-AR"/>
        </w:rPr>
        <w:t xml:space="preserve">l daño y el número de víctimas mortales </w:t>
      </w:r>
      <w:r w:rsidR="000F6CAE" w:rsidRPr="00673163">
        <w:rPr>
          <w:rFonts w:ascii="Times New Roman" w:hAnsi="Times New Roman"/>
          <w:sz w:val="22"/>
          <w:szCs w:val="22"/>
          <w:lang w:val="es-AR"/>
        </w:rPr>
        <w:t>en establecimientos educativos</w:t>
      </w:r>
      <w:r w:rsidR="009C7439" w:rsidRPr="00673163">
        <w:rPr>
          <w:rFonts w:ascii="Times New Roman" w:hAnsi="Times New Roman"/>
          <w:sz w:val="22"/>
          <w:szCs w:val="22"/>
          <w:lang w:val="es-AR"/>
        </w:rPr>
        <w:t xml:space="preserve"> afectadas por</w:t>
      </w:r>
      <w:r w:rsidR="000F6CAE" w:rsidRPr="00673163">
        <w:rPr>
          <w:rFonts w:ascii="Times New Roman" w:hAnsi="Times New Roman"/>
          <w:sz w:val="22"/>
          <w:szCs w:val="22"/>
          <w:lang w:val="es-AR"/>
        </w:rPr>
        <w:t xml:space="preserve"> desastres</w:t>
      </w:r>
      <w:r w:rsidR="009C7439" w:rsidRPr="00673163">
        <w:rPr>
          <w:rFonts w:ascii="Times New Roman" w:hAnsi="Times New Roman"/>
          <w:sz w:val="22"/>
          <w:szCs w:val="22"/>
          <w:lang w:val="es-AR"/>
        </w:rPr>
        <w:t xml:space="preserve"> se pone</w:t>
      </w:r>
      <w:r w:rsidR="000F6CAE" w:rsidRPr="00673163">
        <w:rPr>
          <w:rFonts w:ascii="Times New Roman" w:hAnsi="Times New Roman"/>
          <w:sz w:val="22"/>
          <w:szCs w:val="22"/>
          <w:lang w:val="es-AR"/>
        </w:rPr>
        <w:t>n</w:t>
      </w:r>
      <w:r w:rsidR="009C7439" w:rsidRPr="00673163">
        <w:rPr>
          <w:rFonts w:ascii="Times New Roman" w:hAnsi="Times New Roman"/>
          <w:sz w:val="22"/>
          <w:szCs w:val="22"/>
          <w:lang w:val="es-AR"/>
        </w:rPr>
        <w:t xml:space="preserve"> de relieve</w:t>
      </w:r>
      <w:r w:rsidR="000F6CAE" w:rsidRPr="00673163">
        <w:rPr>
          <w:rFonts w:ascii="Times New Roman" w:hAnsi="Times New Roman"/>
          <w:sz w:val="22"/>
          <w:szCs w:val="22"/>
          <w:lang w:val="es-AR"/>
        </w:rPr>
        <w:t xml:space="preserve"> </w:t>
      </w:r>
      <w:r w:rsidR="009C7439" w:rsidRPr="00673163">
        <w:rPr>
          <w:rFonts w:ascii="Times New Roman" w:hAnsi="Times New Roman"/>
          <w:sz w:val="22"/>
          <w:szCs w:val="22"/>
          <w:lang w:val="es-AR"/>
        </w:rPr>
        <w:t xml:space="preserve">por </w:t>
      </w:r>
      <w:r w:rsidR="000F6CAE" w:rsidRPr="00673163">
        <w:rPr>
          <w:rFonts w:ascii="Times New Roman" w:hAnsi="Times New Roman"/>
          <w:sz w:val="22"/>
          <w:szCs w:val="22"/>
          <w:lang w:val="es-AR"/>
        </w:rPr>
        <w:t>desastres sísmicos estudiados</w:t>
      </w:r>
      <w:r w:rsidR="009C7439" w:rsidRPr="00673163">
        <w:rPr>
          <w:rFonts w:ascii="Times New Roman" w:hAnsi="Times New Roman"/>
          <w:sz w:val="22"/>
          <w:szCs w:val="22"/>
          <w:lang w:val="es-AR"/>
        </w:rPr>
        <w:t>. E</w:t>
      </w:r>
      <w:r w:rsidRPr="00673163">
        <w:rPr>
          <w:rFonts w:ascii="Times New Roman" w:hAnsi="Times New Roman"/>
          <w:sz w:val="22"/>
          <w:szCs w:val="22"/>
          <w:lang w:val="es-AR"/>
        </w:rPr>
        <w:t>n</w:t>
      </w:r>
      <w:r w:rsidR="009C7439" w:rsidRPr="00673163">
        <w:rPr>
          <w:rFonts w:ascii="Times New Roman" w:hAnsi="Times New Roman"/>
          <w:sz w:val="22"/>
          <w:szCs w:val="22"/>
          <w:lang w:val="es-AR"/>
        </w:rPr>
        <w:t xml:space="preserve"> 2002, </w:t>
      </w:r>
      <w:r w:rsidR="00612A1A">
        <w:rPr>
          <w:rFonts w:ascii="Times New Roman" w:hAnsi="Times New Roman"/>
          <w:sz w:val="22"/>
          <w:szCs w:val="22"/>
          <w:lang w:val="es-AR"/>
        </w:rPr>
        <w:t>una serie de</w:t>
      </w:r>
      <w:r w:rsidRPr="00673163">
        <w:rPr>
          <w:rFonts w:ascii="Times New Roman" w:hAnsi="Times New Roman"/>
          <w:sz w:val="22"/>
          <w:szCs w:val="22"/>
          <w:lang w:val="es-AR"/>
        </w:rPr>
        <w:t xml:space="preserve"> </w:t>
      </w:r>
      <w:r w:rsidR="000F6CAE" w:rsidRPr="00673163">
        <w:rPr>
          <w:rFonts w:ascii="Times New Roman" w:hAnsi="Times New Roman"/>
          <w:sz w:val="22"/>
          <w:szCs w:val="22"/>
          <w:lang w:val="es-AR"/>
        </w:rPr>
        <w:t xml:space="preserve">terremotos </w:t>
      </w:r>
      <w:r w:rsidRPr="00673163">
        <w:rPr>
          <w:rFonts w:ascii="Times New Roman" w:hAnsi="Times New Roman"/>
          <w:sz w:val="22"/>
          <w:szCs w:val="22"/>
          <w:lang w:val="es-AR"/>
        </w:rPr>
        <w:t xml:space="preserve">en dos días sucesivos de </w:t>
      </w:r>
      <w:r w:rsidR="009C7439" w:rsidRPr="00673163">
        <w:rPr>
          <w:rFonts w:ascii="Times New Roman" w:hAnsi="Times New Roman"/>
          <w:sz w:val="22"/>
          <w:szCs w:val="22"/>
          <w:lang w:val="es-AR"/>
        </w:rPr>
        <w:t xml:space="preserve">magnitud </w:t>
      </w:r>
      <w:r w:rsidR="00673163" w:rsidRPr="00673163">
        <w:rPr>
          <w:rFonts w:ascii="Times New Roman" w:hAnsi="Times New Roman"/>
          <w:sz w:val="22"/>
          <w:szCs w:val="22"/>
          <w:lang w:val="es-AR"/>
        </w:rPr>
        <w:t xml:space="preserve"> </w:t>
      </w:r>
      <w:r w:rsidR="009C7439" w:rsidRPr="00673163">
        <w:rPr>
          <w:rFonts w:ascii="Times New Roman" w:hAnsi="Times New Roman"/>
          <w:sz w:val="22"/>
          <w:szCs w:val="22"/>
          <w:lang w:val="es-AR"/>
        </w:rPr>
        <w:t>Mw 5</w:t>
      </w:r>
      <w:r w:rsidR="00612A1A">
        <w:rPr>
          <w:rFonts w:ascii="Times New Roman" w:hAnsi="Times New Roman"/>
          <w:sz w:val="22"/>
          <w:szCs w:val="22"/>
          <w:lang w:val="es-AR"/>
        </w:rPr>
        <w:t>,</w:t>
      </w:r>
      <w:r w:rsidR="009C7439" w:rsidRPr="00673163">
        <w:rPr>
          <w:rFonts w:ascii="Times New Roman" w:hAnsi="Times New Roman"/>
          <w:sz w:val="22"/>
          <w:szCs w:val="22"/>
          <w:lang w:val="es-AR"/>
        </w:rPr>
        <w:t xml:space="preserve">7 golpearon la región de Molise en el sureste de Italia matando a 30 personas, 27 de las cuales eran niños atrapados en el derrumbe de una escuela primaria (Maffei y Bazzurro, 2004). </w:t>
      </w:r>
      <w:r w:rsidR="000F6CAE" w:rsidRPr="00673163">
        <w:rPr>
          <w:rFonts w:ascii="Times New Roman" w:hAnsi="Times New Roman"/>
          <w:sz w:val="22"/>
          <w:szCs w:val="22"/>
          <w:lang w:val="es-AR"/>
        </w:rPr>
        <w:t xml:space="preserve">Si el evento hubiera sido </w:t>
      </w:r>
      <w:r w:rsidR="009C7439" w:rsidRPr="00673163">
        <w:rPr>
          <w:rFonts w:ascii="Times New Roman" w:hAnsi="Times New Roman"/>
          <w:sz w:val="22"/>
          <w:szCs w:val="22"/>
          <w:lang w:val="es-AR"/>
        </w:rPr>
        <w:t>más sever</w:t>
      </w:r>
      <w:r w:rsidR="000F6CAE" w:rsidRPr="00673163">
        <w:rPr>
          <w:rFonts w:ascii="Times New Roman" w:hAnsi="Times New Roman"/>
          <w:sz w:val="22"/>
          <w:szCs w:val="22"/>
          <w:lang w:val="es-AR"/>
        </w:rPr>
        <w:t>o</w:t>
      </w:r>
      <w:r w:rsidR="009C7439" w:rsidRPr="00673163">
        <w:rPr>
          <w:rFonts w:ascii="Times New Roman" w:hAnsi="Times New Roman"/>
          <w:sz w:val="22"/>
          <w:szCs w:val="22"/>
          <w:lang w:val="es-AR"/>
        </w:rPr>
        <w:t xml:space="preserve">, el daño a las escuelas de la zona y el número de víctimas mortales </w:t>
      </w:r>
      <w:r w:rsidR="00612A1A">
        <w:rPr>
          <w:rFonts w:ascii="Times New Roman" w:hAnsi="Times New Roman"/>
          <w:sz w:val="22"/>
          <w:szCs w:val="22"/>
          <w:lang w:val="es-AR"/>
        </w:rPr>
        <w:t>probablemente</w:t>
      </w:r>
      <w:r w:rsidR="009C7439" w:rsidRPr="00673163">
        <w:rPr>
          <w:rFonts w:ascii="Times New Roman" w:hAnsi="Times New Roman"/>
          <w:sz w:val="22"/>
          <w:szCs w:val="22"/>
          <w:lang w:val="es-AR"/>
        </w:rPr>
        <w:t xml:space="preserve"> h</w:t>
      </w:r>
      <w:r w:rsidRPr="00673163">
        <w:rPr>
          <w:rFonts w:ascii="Times New Roman" w:hAnsi="Times New Roman"/>
          <w:sz w:val="22"/>
          <w:szCs w:val="22"/>
          <w:lang w:val="es-AR"/>
        </w:rPr>
        <w:t>ubiera sido</w:t>
      </w:r>
      <w:r w:rsidR="009C7439" w:rsidRPr="00673163">
        <w:rPr>
          <w:rFonts w:ascii="Times New Roman" w:hAnsi="Times New Roman"/>
          <w:sz w:val="22"/>
          <w:szCs w:val="22"/>
          <w:lang w:val="es-AR"/>
        </w:rPr>
        <w:t xml:space="preserve"> mucho más grave. El terremoto de magnitud 6,4 que afectó a la zona de Bingol, en el este de Turquía en 4 de mayo de de 2003</w:t>
      </w:r>
      <w:r w:rsidR="00612A1A">
        <w:rPr>
          <w:rFonts w:ascii="Times New Roman" w:hAnsi="Times New Roman"/>
          <w:sz w:val="22"/>
          <w:szCs w:val="22"/>
          <w:lang w:val="es-AR"/>
        </w:rPr>
        <w:t>,</w:t>
      </w:r>
      <w:r w:rsidR="009C7439" w:rsidRPr="00673163">
        <w:rPr>
          <w:rFonts w:ascii="Times New Roman" w:hAnsi="Times New Roman"/>
          <w:sz w:val="22"/>
          <w:szCs w:val="22"/>
          <w:lang w:val="es-AR"/>
        </w:rPr>
        <w:t xml:space="preserve"> provocó </w:t>
      </w:r>
      <w:r w:rsidR="00FE292F" w:rsidRPr="00673163">
        <w:rPr>
          <w:rFonts w:ascii="Times New Roman" w:hAnsi="Times New Roman"/>
          <w:sz w:val="22"/>
          <w:szCs w:val="22"/>
          <w:lang w:val="es-AR"/>
        </w:rPr>
        <w:t xml:space="preserve">que </w:t>
      </w:r>
      <w:r w:rsidR="009C7439" w:rsidRPr="00673163">
        <w:rPr>
          <w:rFonts w:ascii="Times New Roman" w:hAnsi="Times New Roman"/>
          <w:sz w:val="22"/>
          <w:szCs w:val="22"/>
          <w:lang w:val="es-AR"/>
        </w:rPr>
        <w:t xml:space="preserve">27 escuelas de la zona </w:t>
      </w:r>
      <w:r w:rsidRPr="00673163">
        <w:rPr>
          <w:rFonts w:ascii="Times New Roman" w:hAnsi="Times New Roman"/>
          <w:sz w:val="22"/>
          <w:szCs w:val="22"/>
          <w:lang w:val="es-AR"/>
        </w:rPr>
        <w:t>ex</w:t>
      </w:r>
      <w:r w:rsidR="009C7439" w:rsidRPr="00673163">
        <w:rPr>
          <w:rFonts w:ascii="Times New Roman" w:hAnsi="Times New Roman"/>
          <w:sz w:val="22"/>
          <w:szCs w:val="22"/>
          <w:lang w:val="es-AR"/>
        </w:rPr>
        <w:t>perimentar</w:t>
      </w:r>
      <w:r w:rsidR="00FE292F" w:rsidRPr="00673163">
        <w:rPr>
          <w:rFonts w:ascii="Times New Roman" w:hAnsi="Times New Roman"/>
          <w:sz w:val="22"/>
          <w:szCs w:val="22"/>
          <w:lang w:val="es-AR"/>
        </w:rPr>
        <w:t>an</w:t>
      </w:r>
      <w:r w:rsidR="009C7439" w:rsidRPr="00673163">
        <w:rPr>
          <w:rFonts w:ascii="Times New Roman" w:hAnsi="Times New Roman"/>
          <w:sz w:val="22"/>
          <w:szCs w:val="22"/>
          <w:lang w:val="es-AR"/>
        </w:rPr>
        <w:t xml:space="preserve"> daño</w:t>
      </w:r>
      <w:r w:rsidR="00FE292F" w:rsidRPr="00673163">
        <w:rPr>
          <w:rFonts w:ascii="Times New Roman" w:hAnsi="Times New Roman"/>
          <w:sz w:val="22"/>
          <w:szCs w:val="22"/>
          <w:lang w:val="es-AR"/>
        </w:rPr>
        <w:t>s relevantes y otra</w:t>
      </w:r>
      <w:r w:rsidR="009C7439" w:rsidRPr="00673163">
        <w:rPr>
          <w:rFonts w:ascii="Times New Roman" w:hAnsi="Times New Roman"/>
          <w:sz w:val="22"/>
          <w:szCs w:val="22"/>
          <w:lang w:val="es-AR"/>
        </w:rPr>
        <w:t>s 9 daños moderados. Ochenta y cuatro muert</w:t>
      </w:r>
      <w:r w:rsidR="00FE292F" w:rsidRPr="00673163">
        <w:rPr>
          <w:rFonts w:ascii="Times New Roman" w:hAnsi="Times New Roman"/>
          <w:sz w:val="22"/>
          <w:szCs w:val="22"/>
          <w:lang w:val="es-AR"/>
        </w:rPr>
        <w:t xml:space="preserve">es ocurrieron cuando un bloque </w:t>
      </w:r>
      <w:r w:rsidR="009C7439" w:rsidRPr="00673163">
        <w:rPr>
          <w:rFonts w:ascii="Times New Roman" w:hAnsi="Times New Roman"/>
          <w:sz w:val="22"/>
          <w:szCs w:val="22"/>
          <w:lang w:val="es-AR"/>
        </w:rPr>
        <w:t>se derrumbó en un internado en Celtiksuyu (Ellul y D'Ayala, 2003). En China, después del terremoto de Sichuan, más de 7.000 aulas colapsaron. En las provincias de Sichuan y Gansu, más de 12.000 y 6.500 escuelas fueron afectadas, respectivamente (Reliefweb, 2009).</w:t>
      </w:r>
      <w:r w:rsidRPr="00673163">
        <w:rPr>
          <w:rFonts w:ascii="Times New Roman" w:hAnsi="Times New Roman"/>
          <w:sz w:val="22"/>
          <w:szCs w:val="22"/>
          <w:lang w:val="es-AR"/>
        </w:rPr>
        <w:t xml:space="preserve"> En general, la infraestructura de las escuelas no se encuentra debidamente preparada para enfrentar las </w:t>
      </w:r>
      <w:r w:rsidR="00673163" w:rsidRPr="00673163">
        <w:rPr>
          <w:rFonts w:ascii="Times New Roman" w:hAnsi="Times New Roman"/>
          <w:sz w:val="22"/>
          <w:szCs w:val="22"/>
          <w:lang w:val="es-AR"/>
        </w:rPr>
        <w:t>amenazas</w:t>
      </w:r>
      <w:r w:rsidRPr="00673163">
        <w:rPr>
          <w:rFonts w:ascii="Times New Roman" w:hAnsi="Times New Roman"/>
          <w:sz w:val="22"/>
          <w:szCs w:val="22"/>
          <w:lang w:val="es-AR"/>
        </w:rPr>
        <w:t xml:space="preserve"> y los </w:t>
      </w:r>
      <w:r w:rsidR="00673163" w:rsidRPr="00673163">
        <w:rPr>
          <w:rFonts w:ascii="Times New Roman" w:hAnsi="Times New Roman"/>
          <w:sz w:val="22"/>
          <w:szCs w:val="22"/>
          <w:lang w:val="es-AR"/>
        </w:rPr>
        <w:t>alumnos</w:t>
      </w:r>
      <w:r w:rsidRPr="00673163">
        <w:rPr>
          <w:rFonts w:ascii="Times New Roman" w:hAnsi="Times New Roman"/>
          <w:sz w:val="22"/>
          <w:szCs w:val="22"/>
          <w:lang w:val="es-AR"/>
        </w:rPr>
        <w:t xml:space="preserve"> (especialmente los más pequeños) constituyen un grupo vulnerable para manejar las condiciones del desastre, lo que tiene de a agravar los efectos.</w:t>
      </w:r>
      <w:r w:rsidR="001B6AA1" w:rsidRPr="00673163">
        <w:rPr>
          <w:rFonts w:ascii="Times New Roman" w:hAnsi="Times New Roman"/>
          <w:sz w:val="22"/>
          <w:szCs w:val="22"/>
          <w:lang w:val="es-AR"/>
        </w:rPr>
        <w:t xml:space="preserve"> Similar experiencia existe en relación a la </w:t>
      </w:r>
      <w:r w:rsidR="00673163" w:rsidRPr="00673163">
        <w:rPr>
          <w:rFonts w:ascii="Times New Roman" w:hAnsi="Times New Roman"/>
          <w:sz w:val="22"/>
          <w:szCs w:val="22"/>
          <w:lang w:val="es-AR"/>
        </w:rPr>
        <w:t>infraestructura</w:t>
      </w:r>
      <w:r w:rsidR="001B6AA1" w:rsidRPr="00673163">
        <w:rPr>
          <w:rFonts w:ascii="Times New Roman" w:hAnsi="Times New Roman"/>
          <w:sz w:val="22"/>
          <w:szCs w:val="22"/>
          <w:lang w:val="es-AR"/>
        </w:rPr>
        <w:t xml:space="preserve"> de salud, donde se han verificado </w:t>
      </w:r>
      <w:r w:rsidR="00673163" w:rsidRPr="00673163">
        <w:rPr>
          <w:rFonts w:ascii="Times New Roman" w:hAnsi="Times New Roman"/>
          <w:sz w:val="22"/>
          <w:szCs w:val="22"/>
          <w:lang w:val="es-AR"/>
        </w:rPr>
        <w:t>significativas</w:t>
      </w:r>
      <w:r w:rsidR="001B6AA1" w:rsidRPr="00673163">
        <w:rPr>
          <w:rFonts w:ascii="Times New Roman" w:hAnsi="Times New Roman"/>
          <w:sz w:val="22"/>
          <w:szCs w:val="22"/>
          <w:lang w:val="es-AR"/>
        </w:rPr>
        <w:t xml:space="preserve"> pérdidas en eventos recientes</w:t>
      </w:r>
      <w:r w:rsidR="001B6AA1" w:rsidRPr="00673163">
        <w:rPr>
          <w:rStyle w:val="FootnoteReference"/>
          <w:rFonts w:ascii="Times New Roman" w:hAnsi="Times New Roman"/>
          <w:sz w:val="22"/>
          <w:szCs w:val="22"/>
          <w:lang w:val="es-AR"/>
        </w:rPr>
        <w:footnoteReference w:id="43"/>
      </w:r>
      <w:r w:rsidR="001B6AA1" w:rsidRPr="00673163">
        <w:rPr>
          <w:rFonts w:ascii="Times New Roman" w:hAnsi="Times New Roman"/>
          <w:sz w:val="22"/>
          <w:szCs w:val="22"/>
          <w:lang w:val="es-AR"/>
        </w:rPr>
        <w:t>.</w:t>
      </w:r>
    </w:p>
    <w:p w:rsidR="00FE292F" w:rsidRPr="004D329F" w:rsidRDefault="00FE292F" w:rsidP="00FE292F">
      <w:pPr>
        <w:tabs>
          <w:tab w:val="num" w:pos="958"/>
        </w:tabs>
        <w:ind w:left="718"/>
        <w:jc w:val="both"/>
        <w:rPr>
          <w:rFonts w:ascii="Times New Roman" w:hAnsi="Times New Roman"/>
          <w:sz w:val="22"/>
          <w:szCs w:val="22"/>
          <w:lang w:val="es-ES_tradnl"/>
        </w:rPr>
      </w:pPr>
    </w:p>
    <w:p w:rsidR="004D329F" w:rsidRDefault="000178B8" w:rsidP="00C455A0">
      <w:pPr>
        <w:numPr>
          <w:ilvl w:val="1"/>
          <w:numId w:val="12"/>
        </w:numPr>
        <w:jc w:val="both"/>
        <w:rPr>
          <w:rFonts w:ascii="Times New Roman" w:hAnsi="Times New Roman"/>
          <w:sz w:val="22"/>
          <w:szCs w:val="22"/>
          <w:lang w:val="es-ES_tradnl"/>
        </w:rPr>
      </w:pPr>
      <w:r w:rsidRPr="001C7CCD">
        <w:rPr>
          <w:rFonts w:ascii="Times New Roman" w:hAnsi="Times New Roman"/>
          <w:i/>
          <w:sz w:val="22"/>
          <w:szCs w:val="22"/>
          <w:lang w:val="es-ES_tradnl"/>
        </w:rPr>
        <w:t xml:space="preserve">Infraestructura y </w:t>
      </w:r>
      <w:r w:rsidR="00612A1A">
        <w:rPr>
          <w:rFonts w:ascii="Times New Roman" w:hAnsi="Times New Roman"/>
          <w:i/>
          <w:sz w:val="22"/>
          <w:szCs w:val="22"/>
          <w:lang w:val="es-ES_tradnl"/>
        </w:rPr>
        <w:t>a</w:t>
      </w:r>
      <w:r w:rsidR="00612A1A" w:rsidRPr="001C7CCD">
        <w:rPr>
          <w:rFonts w:ascii="Times New Roman" w:hAnsi="Times New Roman"/>
          <w:i/>
          <w:sz w:val="22"/>
          <w:szCs w:val="22"/>
          <w:lang w:val="es-ES_tradnl"/>
        </w:rPr>
        <w:t xml:space="preserve">ctivos </w:t>
      </w:r>
      <w:r w:rsidRPr="001C7CCD">
        <w:rPr>
          <w:rFonts w:ascii="Times New Roman" w:hAnsi="Times New Roman"/>
          <w:i/>
          <w:sz w:val="22"/>
          <w:szCs w:val="22"/>
          <w:lang w:val="es-ES_tradnl"/>
        </w:rPr>
        <w:t>expuestos a inundaciones.</w:t>
      </w:r>
      <w:r w:rsidRPr="000178B8">
        <w:rPr>
          <w:rFonts w:ascii="Times New Roman" w:hAnsi="Times New Roman"/>
          <w:sz w:val="22"/>
          <w:szCs w:val="22"/>
          <w:lang w:val="es-ES_tradnl"/>
        </w:rPr>
        <w:t xml:space="preserve"> </w:t>
      </w:r>
      <w:r w:rsidRPr="00837476">
        <w:rPr>
          <w:lang w:val="es-ES_tradnl"/>
        </w:rPr>
        <w:t xml:space="preserve"> </w:t>
      </w:r>
      <w:r w:rsidRPr="000178B8">
        <w:rPr>
          <w:rFonts w:ascii="Times New Roman" w:hAnsi="Times New Roman"/>
          <w:sz w:val="22"/>
          <w:szCs w:val="22"/>
          <w:lang w:val="es-ES_tradnl"/>
        </w:rPr>
        <w:t xml:space="preserve">Otra de las afectaciones directas a la población es el daño y destrucción de las viviendas debido a inundaciones, deslizamiento y procesos de erosión que se presentan en eventos de desbordamiento. La estimación de la afectación a las viviendas </w:t>
      </w:r>
      <w:r w:rsidR="00AC26AB">
        <w:rPr>
          <w:rFonts w:ascii="Times New Roman" w:hAnsi="Times New Roman"/>
          <w:sz w:val="22"/>
          <w:szCs w:val="22"/>
          <w:lang w:val="es-ES_tradnl"/>
        </w:rPr>
        <w:t>resulta de fuentes diversas, entre ellas</w:t>
      </w:r>
      <w:r w:rsidRPr="000178B8">
        <w:rPr>
          <w:rFonts w:ascii="Times New Roman" w:hAnsi="Times New Roman"/>
          <w:sz w:val="22"/>
          <w:szCs w:val="22"/>
          <w:lang w:val="es-ES_tradnl"/>
        </w:rPr>
        <w:t xml:space="preserve"> la publicación </w:t>
      </w:r>
      <w:r w:rsidR="00612A1A">
        <w:rPr>
          <w:rFonts w:ascii="Times New Roman" w:hAnsi="Times New Roman"/>
          <w:sz w:val="22"/>
          <w:szCs w:val="22"/>
          <w:lang w:val="es-ES_tradnl"/>
        </w:rPr>
        <w:t>“</w:t>
      </w:r>
      <w:r w:rsidRPr="000178B8">
        <w:rPr>
          <w:rFonts w:ascii="Times New Roman" w:hAnsi="Times New Roman"/>
          <w:sz w:val="22"/>
          <w:szCs w:val="22"/>
          <w:lang w:val="es-ES_tradnl"/>
        </w:rPr>
        <w:t>El fenómeno El Niño 1997-1998: Memorias, retos y soluciones</w:t>
      </w:r>
      <w:r w:rsidR="00612A1A">
        <w:rPr>
          <w:rFonts w:ascii="Times New Roman" w:hAnsi="Times New Roman"/>
          <w:sz w:val="22"/>
          <w:szCs w:val="22"/>
          <w:lang w:val="es-ES_tradnl"/>
        </w:rPr>
        <w:t>”</w:t>
      </w:r>
      <w:r w:rsidRPr="000178B8">
        <w:rPr>
          <w:rFonts w:ascii="Times New Roman" w:hAnsi="Times New Roman"/>
          <w:sz w:val="22"/>
          <w:szCs w:val="22"/>
          <w:lang w:val="es-ES_tradnl"/>
        </w:rPr>
        <w:t xml:space="preserve"> de la CAF y </w:t>
      </w:r>
      <w:r w:rsidR="00AC26AB">
        <w:rPr>
          <w:rFonts w:ascii="Times New Roman" w:hAnsi="Times New Roman"/>
          <w:sz w:val="22"/>
          <w:szCs w:val="22"/>
          <w:lang w:val="es-ES_tradnl"/>
        </w:rPr>
        <w:t>otros documentos de</w:t>
      </w:r>
      <w:r w:rsidRPr="000178B8">
        <w:rPr>
          <w:rFonts w:ascii="Times New Roman" w:hAnsi="Times New Roman"/>
          <w:sz w:val="22"/>
          <w:szCs w:val="22"/>
          <w:lang w:val="es-ES_tradnl"/>
        </w:rPr>
        <w:t xml:space="preserve"> la Dirección de Monitoreo de la SGR</w:t>
      </w:r>
      <w:r w:rsidR="00AC26AB">
        <w:rPr>
          <w:rStyle w:val="FootnoteReference"/>
          <w:rFonts w:ascii="Times New Roman" w:hAnsi="Times New Roman"/>
          <w:sz w:val="22"/>
          <w:szCs w:val="22"/>
          <w:lang w:val="es-ES_tradnl"/>
        </w:rPr>
        <w:footnoteReference w:id="44"/>
      </w:r>
      <w:r w:rsidR="00AC26AB">
        <w:rPr>
          <w:rFonts w:ascii="Times New Roman" w:hAnsi="Times New Roman"/>
          <w:sz w:val="22"/>
          <w:szCs w:val="22"/>
          <w:lang w:val="es-ES_tradnl"/>
        </w:rPr>
        <w:t xml:space="preserve">. La cantidad de viviendas destruidas y afectadas alcanzaron a </w:t>
      </w:r>
      <w:r w:rsidR="00FA359A">
        <w:rPr>
          <w:rFonts w:ascii="Times New Roman" w:hAnsi="Times New Roman"/>
          <w:sz w:val="22"/>
          <w:szCs w:val="22"/>
          <w:lang w:val="es-ES_tradnl"/>
        </w:rPr>
        <w:t>837</w:t>
      </w:r>
      <w:r w:rsidR="00AC26AB">
        <w:rPr>
          <w:rFonts w:ascii="Times New Roman" w:hAnsi="Times New Roman"/>
          <w:sz w:val="22"/>
          <w:szCs w:val="22"/>
          <w:lang w:val="es-ES_tradnl"/>
        </w:rPr>
        <w:t xml:space="preserve"> y </w:t>
      </w:r>
      <w:r w:rsidR="00FA359A">
        <w:rPr>
          <w:rFonts w:ascii="Times New Roman" w:hAnsi="Times New Roman"/>
          <w:sz w:val="22"/>
          <w:szCs w:val="22"/>
          <w:lang w:val="es-ES_tradnl"/>
        </w:rPr>
        <w:t>19.669</w:t>
      </w:r>
      <w:r w:rsidR="00AC26AB">
        <w:rPr>
          <w:rFonts w:ascii="Times New Roman" w:hAnsi="Times New Roman"/>
          <w:sz w:val="22"/>
          <w:szCs w:val="22"/>
          <w:lang w:val="es-ES_tradnl"/>
        </w:rPr>
        <w:t xml:space="preserve">  unidades en las dos Provincias intervenidas </w:t>
      </w:r>
      <w:r w:rsidR="00FA359A">
        <w:rPr>
          <w:rFonts w:ascii="Times New Roman" w:hAnsi="Times New Roman"/>
          <w:sz w:val="22"/>
          <w:szCs w:val="22"/>
          <w:lang w:val="es-ES_tradnl"/>
        </w:rPr>
        <w:t xml:space="preserve">en el período de los recientes 20 años. En el </w:t>
      </w:r>
      <w:r w:rsidR="002810A4">
        <w:rPr>
          <w:rFonts w:ascii="Times New Roman" w:hAnsi="Times New Roman"/>
          <w:sz w:val="22"/>
          <w:szCs w:val="22"/>
          <w:lang w:val="es-ES_tradnl"/>
        </w:rPr>
        <w:t xml:space="preserve">gráfico </w:t>
      </w:r>
      <w:r w:rsidR="00FA359A">
        <w:rPr>
          <w:rFonts w:ascii="Times New Roman" w:hAnsi="Times New Roman"/>
          <w:sz w:val="22"/>
          <w:szCs w:val="22"/>
          <w:lang w:val="es-ES_tradnl"/>
        </w:rPr>
        <w:t xml:space="preserve">de más abajo se observa una significativa afectación a la infraestructura en los últimos </w:t>
      </w:r>
      <w:r w:rsidR="002E3D0F">
        <w:rPr>
          <w:rFonts w:ascii="Times New Roman" w:hAnsi="Times New Roman"/>
          <w:sz w:val="22"/>
          <w:szCs w:val="22"/>
          <w:lang w:val="es-ES_tradnl"/>
        </w:rPr>
        <w:t>4 años por desbordamientos recurrentes</w:t>
      </w:r>
      <w:r w:rsidR="002810A4">
        <w:rPr>
          <w:rFonts w:ascii="Times New Roman" w:hAnsi="Times New Roman"/>
          <w:sz w:val="22"/>
          <w:szCs w:val="22"/>
          <w:lang w:val="es-ES_tradnl"/>
        </w:rPr>
        <w:t>.</w:t>
      </w:r>
    </w:p>
    <w:p w:rsidR="00FA359A" w:rsidRPr="00F036E8" w:rsidRDefault="00FA359A" w:rsidP="00FA359A">
      <w:pPr>
        <w:pStyle w:val="ListParagraph"/>
        <w:ind w:left="432"/>
        <w:jc w:val="both"/>
        <w:rPr>
          <w:rFonts w:ascii="Times New Roman" w:hAnsi="Times New Roman"/>
          <w:bCs/>
          <w:sz w:val="22"/>
          <w:lang w:val="es-ES_tradnl"/>
        </w:rPr>
      </w:pPr>
    </w:p>
    <w:p w:rsidR="00FA359A" w:rsidRDefault="00FA359A" w:rsidP="00FA359A">
      <w:pPr>
        <w:pStyle w:val="ListParagraph"/>
        <w:ind w:left="432"/>
        <w:jc w:val="both"/>
        <w:rPr>
          <w:rFonts w:ascii="Times New Roman" w:hAnsi="Times New Roman"/>
          <w:lang w:val="es-ES"/>
        </w:rPr>
      </w:pPr>
      <w:r w:rsidRPr="00FA359A">
        <w:rPr>
          <w:rFonts w:ascii="Times New Roman" w:hAnsi="Times New Roman"/>
          <w:b/>
          <w:lang w:val="es-ES"/>
        </w:rPr>
        <w:t xml:space="preserve">Figura </w:t>
      </w:r>
      <w:r w:rsidR="00081A23" w:rsidRPr="00FA359A">
        <w:rPr>
          <w:rFonts w:ascii="Times New Roman" w:hAnsi="Times New Roman"/>
          <w:b/>
          <w:lang w:val="es-ES"/>
        </w:rPr>
        <w:fldChar w:fldCharType="begin"/>
      </w:r>
      <w:r w:rsidRPr="00FA359A">
        <w:rPr>
          <w:rFonts w:ascii="Times New Roman" w:hAnsi="Times New Roman"/>
          <w:b/>
          <w:lang w:val="es-ES"/>
        </w:rPr>
        <w:instrText xml:space="preserve"> SEQ Figura \* ARABIC </w:instrText>
      </w:r>
      <w:r w:rsidR="00081A23" w:rsidRPr="00FA359A">
        <w:rPr>
          <w:rFonts w:ascii="Times New Roman" w:hAnsi="Times New Roman"/>
          <w:b/>
          <w:lang w:val="es-ES"/>
        </w:rPr>
        <w:fldChar w:fldCharType="separate"/>
      </w:r>
      <w:r w:rsidR="002E3D0F">
        <w:rPr>
          <w:rFonts w:ascii="Times New Roman" w:hAnsi="Times New Roman"/>
          <w:b/>
          <w:noProof/>
          <w:lang w:val="es-ES"/>
        </w:rPr>
        <w:t>3</w:t>
      </w:r>
      <w:r w:rsidR="00081A23" w:rsidRPr="00FA359A">
        <w:rPr>
          <w:rFonts w:ascii="Times New Roman" w:hAnsi="Times New Roman"/>
          <w:b/>
          <w:lang w:val="es-ES"/>
        </w:rPr>
        <w:fldChar w:fldCharType="end"/>
      </w:r>
      <w:r w:rsidRPr="00FA359A">
        <w:rPr>
          <w:rFonts w:ascii="Times New Roman" w:hAnsi="Times New Roman"/>
          <w:b/>
          <w:lang w:val="es-ES"/>
        </w:rPr>
        <w:t>.</w:t>
      </w:r>
      <w:r w:rsidRPr="00FA359A">
        <w:rPr>
          <w:rFonts w:ascii="Times New Roman" w:hAnsi="Times New Roman"/>
          <w:lang w:val="es-ES"/>
        </w:rPr>
        <w:t xml:space="preserve"> </w:t>
      </w:r>
      <w:r>
        <w:rPr>
          <w:rFonts w:ascii="Times New Roman" w:hAnsi="Times New Roman"/>
          <w:lang w:val="es-ES"/>
        </w:rPr>
        <w:t>Viviendas dañadas y afectadas</w:t>
      </w:r>
      <w:r w:rsidRPr="00FA359A">
        <w:rPr>
          <w:rFonts w:ascii="Times New Roman" w:hAnsi="Times New Roman"/>
          <w:lang w:val="es-ES"/>
        </w:rPr>
        <w:t xml:space="preserve"> en Manabí y Guayas por </w:t>
      </w:r>
      <w:r w:rsidR="002E3D0F">
        <w:rPr>
          <w:rFonts w:ascii="Times New Roman" w:hAnsi="Times New Roman"/>
          <w:lang w:val="es-ES"/>
        </w:rPr>
        <w:t>Desborde ríos</w:t>
      </w:r>
      <w:r w:rsidRPr="00FA359A">
        <w:rPr>
          <w:rFonts w:ascii="Times New Roman" w:hAnsi="Times New Roman"/>
          <w:lang w:val="es-ES"/>
        </w:rPr>
        <w:t>/ 1995-2015</w:t>
      </w:r>
      <w:r>
        <w:rPr>
          <w:rFonts w:ascii="Times New Roman" w:hAnsi="Times New Roman"/>
          <w:lang w:val="es-ES"/>
        </w:rPr>
        <w:t>.</w:t>
      </w:r>
    </w:p>
    <w:p w:rsidR="00FA359A" w:rsidRPr="00FA359A" w:rsidRDefault="00FA359A" w:rsidP="00FA359A">
      <w:pPr>
        <w:pStyle w:val="ListParagraph"/>
        <w:ind w:left="432"/>
        <w:jc w:val="both"/>
        <w:rPr>
          <w:rFonts w:ascii="Times New Roman" w:hAnsi="Times New Roman"/>
          <w:bCs/>
          <w:sz w:val="22"/>
          <w:lang w:val="es-ES_tradnl"/>
        </w:rPr>
      </w:pPr>
      <w:r w:rsidRPr="00FA359A">
        <w:rPr>
          <w:noProof/>
        </w:rPr>
        <w:lastRenderedPageBreak/>
        <w:drawing>
          <wp:inline distT="0" distB="0" distL="0" distR="0" wp14:anchorId="1BE158AC" wp14:editId="2F138EBC">
            <wp:extent cx="5278755" cy="2773187"/>
            <wp:effectExtent l="1905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srcRect/>
                    <a:stretch>
                      <a:fillRect/>
                    </a:stretch>
                  </pic:blipFill>
                  <pic:spPr bwMode="auto">
                    <a:xfrm>
                      <a:off x="0" y="0"/>
                      <a:ext cx="5278755" cy="2773187"/>
                    </a:xfrm>
                    <a:prstGeom prst="rect">
                      <a:avLst/>
                    </a:prstGeom>
                    <a:noFill/>
                    <a:ln w="9525">
                      <a:noFill/>
                      <a:miter lim="800000"/>
                      <a:headEnd/>
                      <a:tailEnd/>
                    </a:ln>
                  </pic:spPr>
                </pic:pic>
              </a:graphicData>
            </a:graphic>
          </wp:inline>
        </w:drawing>
      </w:r>
    </w:p>
    <w:p w:rsidR="00FA359A" w:rsidRDefault="00FA359A" w:rsidP="00FA359A">
      <w:pPr>
        <w:jc w:val="both"/>
        <w:rPr>
          <w:rFonts w:ascii="Times New Roman" w:hAnsi="Times New Roman"/>
          <w:bCs/>
          <w:i/>
          <w:lang w:val="es-ES_tradnl"/>
        </w:rPr>
      </w:pPr>
      <w:r w:rsidRPr="00632886">
        <w:rPr>
          <w:rFonts w:ascii="Times New Roman" w:hAnsi="Times New Roman"/>
          <w:bCs/>
          <w:i/>
          <w:lang w:val="es-ES_tradnl"/>
        </w:rPr>
        <w:t xml:space="preserve">Fuente: </w:t>
      </w:r>
      <w:hyperlink r:id="rId14" w:anchor="ECU-DEMO/" w:history="1">
        <w:r w:rsidRPr="00F07079">
          <w:rPr>
            <w:rStyle w:val="Hyperlink"/>
            <w:rFonts w:ascii="Times New Roman" w:hAnsi="Times New Roman"/>
            <w:bCs/>
            <w:i/>
            <w:lang w:val="es-ES_tradnl"/>
          </w:rPr>
          <w:t>https://online.desinventar.org/desinventar/#ECU-DEMO/</w:t>
        </w:r>
      </w:hyperlink>
    </w:p>
    <w:p w:rsidR="00AC26AB" w:rsidRDefault="00AC26AB" w:rsidP="00AC26AB">
      <w:pPr>
        <w:ind w:left="718"/>
        <w:jc w:val="both"/>
        <w:rPr>
          <w:rFonts w:ascii="Times New Roman" w:hAnsi="Times New Roman"/>
          <w:sz w:val="22"/>
          <w:szCs w:val="22"/>
          <w:lang w:val="es-ES_tradnl"/>
        </w:rPr>
      </w:pPr>
    </w:p>
    <w:p w:rsidR="0095777A" w:rsidRDefault="002810A4" w:rsidP="00C455A0">
      <w:pPr>
        <w:numPr>
          <w:ilvl w:val="1"/>
          <w:numId w:val="12"/>
        </w:numPr>
        <w:jc w:val="both"/>
        <w:rPr>
          <w:rFonts w:ascii="Times New Roman" w:hAnsi="Times New Roman"/>
          <w:sz w:val="22"/>
          <w:szCs w:val="22"/>
          <w:lang w:val="es-ES"/>
        </w:rPr>
      </w:pPr>
      <w:r>
        <w:rPr>
          <w:rFonts w:ascii="Times New Roman" w:hAnsi="Times New Roman"/>
          <w:sz w:val="22"/>
          <w:szCs w:val="22"/>
          <w:lang w:val="es-ES"/>
        </w:rPr>
        <w:t xml:space="preserve">La Tabla </w:t>
      </w:r>
      <w:r w:rsidR="000C2E55">
        <w:rPr>
          <w:rFonts w:ascii="Times New Roman" w:hAnsi="Times New Roman"/>
          <w:sz w:val="22"/>
          <w:szCs w:val="22"/>
          <w:lang w:val="es-ES"/>
        </w:rPr>
        <w:t>7</w:t>
      </w:r>
      <w:r w:rsidR="0095777A">
        <w:rPr>
          <w:rFonts w:ascii="Times New Roman" w:hAnsi="Times New Roman"/>
          <w:sz w:val="22"/>
          <w:szCs w:val="22"/>
          <w:lang w:val="es-ES"/>
        </w:rPr>
        <w:t xml:space="preserve"> presenta datos de infraestructura </w:t>
      </w:r>
      <w:r w:rsidR="002E3D0F">
        <w:rPr>
          <w:rFonts w:ascii="Times New Roman" w:hAnsi="Times New Roman"/>
          <w:sz w:val="22"/>
          <w:szCs w:val="22"/>
          <w:lang w:val="es-ES"/>
        </w:rPr>
        <w:t xml:space="preserve">relevante </w:t>
      </w:r>
      <w:r w:rsidR="0095777A">
        <w:rPr>
          <w:rFonts w:ascii="Times New Roman" w:hAnsi="Times New Roman"/>
          <w:sz w:val="22"/>
          <w:szCs w:val="22"/>
          <w:lang w:val="es-ES"/>
        </w:rPr>
        <w:t>de las áreas de interés, expuestas a las amenazas tsunami y desbordamiento de ríos, a los efectos de su caracterización.</w:t>
      </w:r>
      <w:r w:rsidR="001C7CCD" w:rsidRPr="001C7CCD">
        <w:rPr>
          <w:rFonts w:ascii="Times New Roman" w:hAnsi="Times New Roman"/>
          <w:sz w:val="22"/>
          <w:szCs w:val="22"/>
          <w:lang w:val="es-ES"/>
        </w:rPr>
        <w:t xml:space="preserve"> </w:t>
      </w:r>
      <w:r w:rsidR="001C7CCD">
        <w:rPr>
          <w:rFonts w:ascii="Times New Roman" w:hAnsi="Times New Roman"/>
          <w:sz w:val="22"/>
          <w:szCs w:val="22"/>
          <w:lang w:val="es-ES"/>
        </w:rPr>
        <w:t xml:space="preserve">Como será explicitado más adelante en este documento, dadas las características del fenómeno </w:t>
      </w:r>
      <w:r w:rsidR="002E3D0F">
        <w:rPr>
          <w:rFonts w:ascii="Times New Roman" w:hAnsi="Times New Roman"/>
          <w:sz w:val="22"/>
          <w:szCs w:val="22"/>
          <w:lang w:val="es-ES"/>
        </w:rPr>
        <w:t xml:space="preserve">tsunami </w:t>
      </w:r>
      <w:r w:rsidR="001C7CCD">
        <w:rPr>
          <w:rFonts w:ascii="Times New Roman" w:hAnsi="Times New Roman"/>
          <w:sz w:val="22"/>
          <w:szCs w:val="22"/>
          <w:lang w:val="es-ES"/>
        </w:rPr>
        <w:t xml:space="preserve">(escaso tiempo de respuesta) los beneficios de un SAT no serían </w:t>
      </w:r>
      <w:r w:rsidR="002E3D0F">
        <w:rPr>
          <w:rFonts w:ascii="Times New Roman" w:hAnsi="Times New Roman"/>
          <w:sz w:val="22"/>
          <w:szCs w:val="22"/>
          <w:lang w:val="es-ES"/>
        </w:rPr>
        <w:t xml:space="preserve">tan </w:t>
      </w:r>
      <w:r w:rsidR="001C7CCD">
        <w:rPr>
          <w:rFonts w:ascii="Times New Roman" w:hAnsi="Times New Roman"/>
          <w:sz w:val="22"/>
          <w:szCs w:val="22"/>
          <w:lang w:val="es-ES"/>
        </w:rPr>
        <w:t xml:space="preserve">relevantes para mitigar daños directos, hasta tanto </w:t>
      </w:r>
      <w:r w:rsidR="00673163">
        <w:rPr>
          <w:rFonts w:ascii="Times New Roman" w:hAnsi="Times New Roman"/>
          <w:sz w:val="22"/>
          <w:szCs w:val="22"/>
          <w:lang w:val="es-ES"/>
        </w:rPr>
        <w:t>s</w:t>
      </w:r>
      <w:r w:rsidR="001C7CCD">
        <w:rPr>
          <w:rFonts w:ascii="Times New Roman" w:hAnsi="Times New Roman"/>
          <w:sz w:val="22"/>
          <w:szCs w:val="22"/>
          <w:lang w:val="es-ES"/>
        </w:rPr>
        <w:t>e generan otras medidas estructurales que funcionen de modo congruente con el SAT.</w:t>
      </w:r>
      <w:r w:rsidR="002E3D0F">
        <w:rPr>
          <w:rFonts w:ascii="Times New Roman" w:hAnsi="Times New Roman"/>
          <w:sz w:val="22"/>
          <w:szCs w:val="22"/>
          <w:lang w:val="es-ES"/>
        </w:rPr>
        <w:t xml:space="preserve"> En el caso de desbordamiento de ríos</w:t>
      </w:r>
      <w:r>
        <w:rPr>
          <w:rFonts w:ascii="Times New Roman" w:hAnsi="Times New Roman"/>
          <w:sz w:val="22"/>
          <w:szCs w:val="22"/>
          <w:lang w:val="es-ES"/>
        </w:rPr>
        <w:t>,</w:t>
      </w:r>
      <w:r w:rsidR="002E3D0F">
        <w:rPr>
          <w:rFonts w:ascii="Times New Roman" w:hAnsi="Times New Roman"/>
          <w:sz w:val="22"/>
          <w:szCs w:val="22"/>
          <w:lang w:val="es-ES"/>
        </w:rPr>
        <w:t xml:space="preserve"> los beneficios del sistema pueden ser más significativos.</w:t>
      </w:r>
    </w:p>
    <w:p w:rsidR="0095777A" w:rsidRPr="00390779" w:rsidRDefault="0095777A" w:rsidP="0095777A">
      <w:pPr>
        <w:ind w:left="718"/>
        <w:jc w:val="both"/>
        <w:rPr>
          <w:rFonts w:ascii="Times New Roman" w:hAnsi="Times New Roman"/>
          <w:sz w:val="22"/>
          <w:szCs w:val="22"/>
          <w:lang w:val="es-ES_tradnl"/>
        </w:rPr>
      </w:pPr>
    </w:p>
    <w:p w:rsidR="001C7CCD" w:rsidRDefault="000C2E55" w:rsidP="00172FBB">
      <w:pPr>
        <w:pStyle w:val="ListParagraph"/>
        <w:ind w:left="432"/>
        <w:jc w:val="center"/>
        <w:rPr>
          <w:rFonts w:ascii="Times New Roman" w:hAnsi="Times New Roman"/>
          <w:lang w:val="es-AR"/>
        </w:rPr>
      </w:pPr>
      <w:r w:rsidRPr="008C1ABC">
        <w:rPr>
          <w:rFonts w:ascii="Times New Roman" w:hAnsi="Times New Roman"/>
          <w:b/>
          <w:lang w:val="es-AR"/>
        </w:rPr>
        <w:t xml:space="preserve">Tabla </w:t>
      </w:r>
      <w:r w:rsidR="00081A23" w:rsidRPr="008C1ABC">
        <w:rPr>
          <w:rFonts w:ascii="Times New Roman" w:hAnsi="Times New Roman"/>
          <w:b/>
        </w:rPr>
        <w:fldChar w:fldCharType="begin"/>
      </w:r>
      <w:r w:rsidRPr="008C1ABC">
        <w:rPr>
          <w:rFonts w:ascii="Times New Roman" w:hAnsi="Times New Roman"/>
          <w:b/>
          <w:lang w:val="es-AR"/>
        </w:rPr>
        <w:instrText xml:space="preserve"> SEQ Tabla \* ARABIC </w:instrText>
      </w:r>
      <w:r w:rsidR="00081A23" w:rsidRPr="008C1ABC">
        <w:rPr>
          <w:rFonts w:ascii="Times New Roman" w:hAnsi="Times New Roman"/>
          <w:b/>
        </w:rPr>
        <w:fldChar w:fldCharType="separate"/>
      </w:r>
      <w:r w:rsidR="00EB287D">
        <w:rPr>
          <w:rFonts w:ascii="Times New Roman" w:hAnsi="Times New Roman"/>
          <w:b/>
          <w:noProof/>
          <w:lang w:val="es-AR"/>
        </w:rPr>
        <w:t>10</w:t>
      </w:r>
      <w:r w:rsidR="00081A23" w:rsidRPr="008C1ABC">
        <w:rPr>
          <w:rFonts w:ascii="Times New Roman" w:hAnsi="Times New Roman"/>
          <w:b/>
        </w:rPr>
        <w:fldChar w:fldCharType="end"/>
      </w:r>
      <w:r w:rsidR="0095777A" w:rsidRPr="00DD3EE5">
        <w:rPr>
          <w:rFonts w:ascii="Times New Roman" w:hAnsi="Times New Roman"/>
          <w:lang w:val="es-AR"/>
        </w:rPr>
        <w:t xml:space="preserve"> </w:t>
      </w:r>
      <w:r w:rsidR="0095777A">
        <w:rPr>
          <w:rFonts w:ascii="Times New Roman" w:hAnsi="Times New Roman"/>
          <w:lang w:val="es-AR"/>
        </w:rPr>
        <w:t xml:space="preserve"> </w:t>
      </w:r>
      <w:r w:rsidR="001C7CCD">
        <w:rPr>
          <w:rFonts w:ascii="Times New Roman" w:hAnsi="Times New Roman"/>
          <w:lang w:val="es-AR"/>
        </w:rPr>
        <w:t xml:space="preserve">Principal  </w:t>
      </w:r>
      <w:r w:rsidR="002810A4">
        <w:rPr>
          <w:rFonts w:ascii="Times New Roman" w:hAnsi="Times New Roman"/>
          <w:lang w:val="es-AR"/>
        </w:rPr>
        <w:t xml:space="preserve">infraestructura </w:t>
      </w:r>
      <w:r w:rsidR="001C7CCD">
        <w:rPr>
          <w:rFonts w:ascii="Times New Roman" w:hAnsi="Times New Roman"/>
          <w:lang w:val="es-AR"/>
        </w:rPr>
        <w:t>expuesta a tsunamis y desbordamiento de ríos</w:t>
      </w:r>
    </w:p>
    <w:tbl>
      <w:tblPr>
        <w:tblW w:w="4268" w:type="dxa"/>
        <w:jc w:val="center"/>
        <w:tblInd w:w="53" w:type="dxa"/>
        <w:tblCellMar>
          <w:left w:w="70" w:type="dxa"/>
          <w:right w:w="70" w:type="dxa"/>
        </w:tblCellMar>
        <w:tblLook w:val="04A0" w:firstRow="1" w:lastRow="0" w:firstColumn="1" w:lastColumn="0" w:noHBand="0" w:noVBand="1"/>
      </w:tblPr>
      <w:tblGrid>
        <w:gridCol w:w="1800"/>
        <w:gridCol w:w="1234"/>
        <w:gridCol w:w="1234"/>
      </w:tblGrid>
      <w:tr w:rsidR="007C3376" w:rsidRPr="007C3376" w:rsidTr="007C3376">
        <w:trPr>
          <w:trHeight w:val="300"/>
          <w:jc w:val="center"/>
        </w:trPr>
        <w:tc>
          <w:tcPr>
            <w:tcW w:w="1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C3376" w:rsidRPr="007C3376" w:rsidRDefault="007C3376" w:rsidP="007C3376">
            <w:pPr>
              <w:rPr>
                <w:rFonts w:ascii="Times New Roman" w:hAnsi="Times New Roman"/>
                <w:color w:val="000000"/>
                <w:lang w:val="es-AR" w:eastAsia="es-AR"/>
              </w:rPr>
            </w:pPr>
            <w:r w:rsidRPr="007C3376">
              <w:rPr>
                <w:rFonts w:ascii="Times New Roman" w:hAnsi="Times New Roman"/>
                <w:color w:val="000000"/>
                <w:lang w:val="es-AR" w:eastAsia="es-AR"/>
              </w:rPr>
              <w:t>Conceptos</w:t>
            </w:r>
          </w:p>
        </w:tc>
        <w:tc>
          <w:tcPr>
            <w:tcW w:w="1234" w:type="dxa"/>
            <w:tcBorders>
              <w:top w:val="single" w:sz="4" w:space="0" w:color="auto"/>
              <w:left w:val="nil"/>
              <w:bottom w:val="single" w:sz="4" w:space="0" w:color="auto"/>
              <w:right w:val="single" w:sz="4" w:space="0" w:color="auto"/>
            </w:tcBorders>
            <w:shd w:val="clear" w:color="000000" w:fill="FFFFFF"/>
            <w:noWrap/>
            <w:vAlign w:val="bottom"/>
            <w:hideMark/>
          </w:tcPr>
          <w:p w:rsidR="007C3376" w:rsidRPr="007C3376" w:rsidRDefault="007C3376" w:rsidP="007C3376">
            <w:pPr>
              <w:jc w:val="right"/>
              <w:rPr>
                <w:rFonts w:ascii="Times New Roman" w:hAnsi="Times New Roman"/>
                <w:color w:val="000000"/>
                <w:lang w:val="es-AR" w:eastAsia="es-AR"/>
              </w:rPr>
            </w:pPr>
            <w:r w:rsidRPr="007C3376">
              <w:rPr>
                <w:rFonts w:ascii="Times New Roman" w:hAnsi="Times New Roman"/>
                <w:color w:val="000000"/>
                <w:lang w:val="es-AR" w:eastAsia="es-AR"/>
              </w:rPr>
              <w:t>Tsunami</w:t>
            </w:r>
          </w:p>
        </w:tc>
        <w:tc>
          <w:tcPr>
            <w:tcW w:w="1234" w:type="dxa"/>
            <w:tcBorders>
              <w:top w:val="single" w:sz="4" w:space="0" w:color="auto"/>
              <w:left w:val="nil"/>
              <w:bottom w:val="single" w:sz="4" w:space="0" w:color="auto"/>
              <w:right w:val="single" w:sz="4" w:space="0" w:color="auto"/>
            </w:tcBorders>
            <w:shd w:val="clear" w:color="000000" w:fill="FFFFFF"/>
            <w:noWrap/>
            <w:vAlign w:val="bottom"/>
            <w:hideMark/>
          </w:tcPr>
          <w:p w:rsidR="007C3376" w:rsidRPr="007C3376" w:rsidRDefault="007C3376" w:rsidP="007C3376">
            <w:pPr>
              <w:jc w:val="right"/>
              <w:rPr>
                <w:rFonts w:ascii="Times New Roman" w:hAnsi="Times New Roman"/>
                <w:color w:val="000000"/>
                <w:lang w:val="es-AR" w:eastAsia="es-AR"/>
              </w:rPr>
            </w:pPr>
            <w:r w:rsidRPr="007C3376">
              <w:rPr>
                <w:rFonts w:ascii="Times New Roman" w:hAnsi="Times New Roman"/>
                <w:color w:val="000000"/>
                <w:lang w:val="es-AR" w:eastAsia="es-AR"/>
              </w:rPr>
              <w:t>Ríos</w:t>
            </w:r>
          </w:p>
        </w:tc>
      </w:tr>
      <w:tr w:rsidR="007C3376" w:rsidRPr="007C3376" w:rsidTr="007C3376">
        <w:trPr>
          <w:trHeight w:val="300"/>
          <w:jc w:val="center"/>
        </w:trPr>
        <w:tc>
          <w:tcPr>
            <w:tcW w:w="1800" w:type="dxa"/>
            <w:tcBorders>
              <w:top w:val="nil"/>
              <w:left w:val="nil"/>
              <w:bottom w:val="nil"/>
              <w:right w:val="nil"/>
            </w:tcBorders>
            <w:shd w:val="clear" w:color="000000" w:fill="FFFFFF"/>
            <w:noWrap/>
            <w:vAlign w:val="center"/>
            <w:hideMark/>
          </w:tcPr>
          <w:p w:rsidR="007C3376" w:rsidRPr="007C3376" w:rsidRDefault="007C3376" w:rsidP="007C3376">
            <w:pPr>
              <w:rPr>
                <w:rFonts w:ascii="Times New Roman" w:hAnsi="Times New Roman"/>
                <w:color w:val="000000"/>
                <w:lang w:val="es-AR" w:eastAsia="es-AR"/>
              </w:rPr>
            </w:pPr>
            <w:r w:rsidRPr="007C3376">
              <w:rPr>
                <w:rFonts w:ascii="Times New Roman" w:hAnsi="Times New Roman"/>
                <w:color w:val="000000"/>
                <w:lang w:val="es-AR" w:eastAsia="es-AR"/>
              </w:rPr>
              <w:t>Viviendas</w:t>
            </w:r>
          </w:p>
        </w:tc>
        <w:tc>
          <w:tcPr>
            <w:tcW w:w="1234" w:type="dxa"/>
            <w:tcBorders>
              <w:top w:val="nil"/>
              <w:left w:val="nil"/>
              <w:bottom w:val="nil"/>
              <w:right w:val="nil"/>
            </w:tcBorders>
            <w:shd w:val="clear" w:color="000000" w:fill="FFFFFF"/>
            <w:noWrap/>
            <w:vAlign w:val="center"/>
            <w:hideMark/>
          </w:tcPr>
          <w:p w:rsidR="007C3376" w:rsidRPr="007C3376" w:rsidRDefault="007C3376" w:rsidP="007C3376">
            <w:pPr>
              <w:jc w:val="right"/>
              <w:rPr>
                <w:rFonts w:ascii="Times New Roman" w:hAnsi="Times New Roman"/>
                <w:color w:val="000000"/>
                <w:lang w:val="es-AR" w:eastAsia="es-AR"/>
              </w:rPr>
            </w:pPr>
            <w:r w:rsidRPr="007C3376">
              <w:rPr>
                <w:rFonts w:ascii="Times New Roman" w:hAnsi="Times New Roman"/>
                <w:color w:val="000000"/>
                <w:lang w:val="es-AR" w:eastAsia="es-AR"/>
              </w:rPr>
              <w:t>206.986</w:t>
            </w:r>
          </w:p>
        </w:tc>
        <w:tc>
          <w:tcPr>
            <w:tcW w:w="1234" w:type="dxa"/>
            <w:tcBorders>
              <w:top w:val="nil"/>
              <w:left w:val="nil"/>
              <w:bottom w:val="nil"/>
              <w:right w:val="nil"/>
            </w:tcBorders>
            <w:shd w:val="clear" w:color="000000" w:fill="FFFFFF"/>
            <w:noWrap/>
            <w:vAlign w:val="center"/>
            <w:hideMark/>
          </w:tcPr>
          <w:p w:rsidR="007C3376" w:rsidRPr="007C3376" w:rsidRDefault="007C3376" w:rsidP="007C3376">
            <w:pPr>
              <w:jc w:val="right"/>
              <w:rPr>
                <w:rFonts w:ascii="Times New Roman" w:hAnsi="Times New Roman"/>
                <w:color w:val="000000"/>
                <w:lang w:val="es-AR" w:eastAsia="es-AR"/>
              </w:rPr>
            </w:pPr>
            <w:r w:rsidRPr="007C3376">
              <w:rPr>
                <w:rFonts w:ascii="Times New Roman" w:hAnsi="Times New Roman"/>
                <w:color w:val="000000"/>
                <w:lang w:val="es-AR" w:eastAsia="es-AR"/>
              </w:rPr>
              <w:t>144.291</w:t>
            </w:r>
          </w:p>
        </w:tc>
      </w:tr>
      <w:tr w:rsidR="007C3376" w:rsidRPr="007C3376" w:rsidTr="007C3376">
        <w:trPr>
          <w:trHeight w:val="300"/>
          <w:jc w:val="center"/>
        </w:trPr>
        <w:tc>
          <w:tcPr>
            <w:tcW w:w="1800" w:type="dxa"/>
            <w:tcBorders>
              <w:top w:val="nil"/>
              <w:left w:val="nil"/>
              <w:bottom w:val="nil"/>
              <w:right w:val="nil"/>
            </w:tcBorders>
            <w:shd w:val="clear" w:color="000000" w:fill="FFFFFF"/>
            <w:noWrap/>
            <w:vAlign w:val="center"/>
            <w:hideMark/>
          </w:tcPr>
          <w:p w:rsidR="007C3376" w:rsidRPr="007C3376" w:rsidRDefault="007C3376" w:rsidP="007C3376">
            <w:pPr>
              <w:rPr>
                <w:rFonts w:ascii="Times New Roman" w:hAnsi="Times New Roman"/>
                <w:color w:val="000000"/>
                <w:lang w:val="es-AR" w:eastAsia="es-AR"/>
              </w:rPr>
            </w:pPr>
            <w:r w:rsidRPr="007C3376">
              <w:rPr>
                <w:rFonts w:ascii="Times New Roman" w:hAnsi="Times New Roman"/>
                <w:color w:val="000000"/>
                <w:lang w:val="es-AR" w:eastAsia="es-AR"/>
              </w:rPr>
              <w:t>Escuelas</w:t>
            </w:r>
          </w:p>
        </w:tc>
        <w:tc>
          <w:tcPr>
            <w:tcW w:w="1234" w:type="dxa"/>
            <w:tcBorders>
              <w:top w:val="nil"/>
              <w:left w:val="nil"/>
              <w:bottom w:val="nil"/>
              <w:right w:val="nil"/>
            </w:tcBorders>
            <w:shd w:val="clear" w:color="000000" w:fill="FFFFFF"/>
            <w:noWrap/>
            <w:vAlign w:val="center"/>
            <w:hideMark/>
          </w:tcPr>
          <w:p w:rsidR="007C3376" w:rsidRPr="007C3376" w:rsidRDefault="007C3376" w:rsidP="007C3376">
            <w:pPr>
              <w:jc w:val="right"/>
              <w:rPr>
                <w:rFonts w:ascii="Times New Roman" w:hAnsi="Times New Roman"/>
                <w:color w:val="000000"/>
                <w:lang w:val="es-AR" w:eastAsia="es-AR"/>
              </w:rPr>
            </w:pPr>
            <w:r w:rsidRPr="007C3376">
              <w:rPr>
                <w:rFonts w:ascii="Times New Roman" w:hAnsi="Times New Roman"/>
                <w:color w:val="000000"/>
                <w:lang w:val="es-AR" w:eastAsia="es-AR"/>
              </w:rPr>
              <w:t>875</w:t>
            </w:r>
          </w:p>
        </w:tc>
        <w:tc>
          <w:tcPr>
            <w:tcW w:w="1234" w:type="dxa"/>
            <w:tcBorders>
              <w:top w:val="nil"/>
              <w:left w:val="nil"/>
              <w:bottom w:val="nil"/>
              <w:right w:val="nil"/>
            </w:tcBorders>
            <w:shd w:val="clear" w:color="000000" w:fill="FFFFFF"/>
            <w:noWrap/>
            <w:vAlign w:val="center"/>
            <w:hideMark/>
          </w:tcPr>
          <w:p w:rsidR="007C3376" w:rsidRPr="007C3376" w:rsidRDefault="007C3376" w:rsidP="007C3376">
            <w:pPr>
              <w:jc w:val="right"/>
              <w:rPr>
                <w:rFonts w:ascii="Times New Roman" w:hAnsi="Times New Roman"/>
                <w:color w:val="000000"/>
                <w:lang w:val="es-AR" w:eastAsia="es-AR"/>
              </w:rPr>
            </w:pPr>
            <w:r w:rsidRPr="007C3376">
              <w:rPr>
                <w:rFonts w:ascii="Times New Roman" w:hAnsi="Times New Roman"/>
                <w:color w:val="000000"/>
                <w:lang w:val="es-AR" w:eastAsia="es-AR"/>
              </w:rPr>
              <w:t>613</w:t>
            </w:r>
          </w:p>
        </w:tc>
      </w:tr>
      <w:tr w:rsidR="007C3376" w:rsidRPr="007C3376" w:rsidTr="007C3376">
        <w:trPr>
          <w:trHeight w:val="300"/>
          <w:jc w:val="center"/>
        </w:trPr>
        <w:tc>
          <w:tcPr>
            <w:tcW w:w="1800" w:type="dxa"/>
            <w:tcBorders>
              <w:top w:val="nil"/>
              <w:left w:val="nil"/>
              <w:bottom w:val="nil"/>
              <w:right w:val="nil"/>
            </w:tcBorders>
            <w:shd w:val="clear" w:color="000000" w:fill="FFFFFF"/>
            <w:noWrap/>
            <w:vAlign w:val="center"/>
            <w:hideMark/>
          </w:tcPr>
          <w:p w:rsidR="007C3376" w:rsidRPr="007C3376" w:rsidRDefault="007C3376" w:rsidP="007C3376">
            <w:pPr>
              <w:rPr>
                <w:rFonts w:ascii="Times New Roman" w:hAnsi="Times New Roman"/>
                <w:color w:val="000000"/>
                <w:lang w:val="es-AR" w:eastAsia="es-AR"/>
              </w:rPr>
            </w:pPr>
            <w:r w:rsidRPr="007C3376">
              <w:rPr>
                <w:rFonts w:ascii="Times New Roman" w:hAnsi="Times New Roman"/>
                <w:color w:val="000000"/>
                <w:lang w:val="es-AR" w:eastAsia="es-AR"/>
              </w:rPr>
              <w:t>Centros de salud</w:t>
            </w:r>
          </w:p>
        </w:tc>
        <w:tc>
          <w:tcPr>
            <w:tcW w:w="1234" w:type="dxa"/>
            <w:tcBorders>
              <w:top w:val="nil"/>
              <w:left w:val="nil"/>
              <w:bottom w:val="nil"/>
              <w:right w:val="nil"/>
            </w:tcBorders>
            <w:shd w:val="clear" w:color="000000" w:fill="FFFFFF"/>
            <w:noWrap/>
            <w:vAlign w:val="center"/>
            <w:hideMark/>
          </w:tcPr>
          <w:p w:rsidR="007C3376" w:rsidRPr="007C3376" w:rsidRDefault="007C3376" w:rsidP="007C3376">
            <w:pPr>
              <w:jc w:val="right"/>
              <w:rPr>
                <w:rFonts w:ascii="Times New Roman" w:hAnsi="Times New Roman"/>
                <w:color w:val="000000"/>
                <w:lang w:val="es-AR" w:eastAsia="es-AR"/>
              </w:rPr>
            </w:pPr>
            <w:r w:rsidRPr="007C3376">
              <w:rPr>
                <w:rFonts w:ascii="Times New Roman" w:hAnsi="Times New Roman"/>
                <w:color w:val="000000"/>
                <w:lang w:val="es-AR" w:eastAsia="es-AR"/>
              </w:rPr>
              <w:t>51</w:t>
            </w:r>
          </w:p>
        </w:tc>
        <w:tc>
          <w:tcPr>
            <w:tcW w:w="1234" w:type="dxa"/>
            <w:tcBorders>
              <w:top w:val="nil"/>
              <w:left w:val="nil"/>
              <w:bottom w:val="nil"/>
              <w:right w:val="nil"/>
            </w:tcBorders>
            <w:shd w:val="clear" w:color="000000" w:fill="FFFFFF"/>
            <w:noWrap/>
            <w:vAlign w:val="center"/>
            <w:hideMark/>
          </w:tcPr>
          <w:p w:rsidR="007C3376" w:rsidRPr="007C3376" w:rsidRDefault="007C3376" w:rsidP="007C3376">
            <w:pPr>
              <w:jc w:val="right"/>
              <w:rPr>
                <w:rFonts w:ascii="Times New Roman" w:hAnsi="Times New Roman"/>
                <w:color w:val="000000"/>
                <w:lang w:val="es-AR" w:eastAsia="es-AR"/>
              </w:rPr>
            </w:pPr>
            <w:r w:rsidRPr="007C3376">
              <w:rPr>
                <w:rFonts w:ascii="Times New Roman" w:hAnsi="Times New Roman"/>
                <w:color w:val="000000"/>
                <w:lang w:val="es-AR" w:eastAsia="es-AR"/>
              </w:rPr>
              <w:t>36</w:t>
            </w:r>
          </w:p>
        </w:tc>
      </w:tr>
    </w:tbl>
    <w:p w:rsidR="00AC26AB" w:rsidRPr="007C3376" w:rsidRDefault="007C3376" w:rsidP="00172FBB">
      <w:pPr>
        <w:pStyle w:val="ListParagraph"/>
        <w:ind w:left="432"/>
        <w:jc w:val="center"/>
        <w:rPr>
          <w:rFonts w:ascii="Times New Roman" w:hAnsi="Times New Roman"/>
          <w:i/>
          <w:lang w:val="es-AR"/>
        </w:rPr>
      </w:pPr>
      <w:r w:rsidRPr="007C3376">
        <w:rPr>
          <w:rFonts w:ascii="Times New Roman" w:hAnsi="Times New Roman"/>
          <w:i/>
          <w:lang w:val="es-AR"/>
        </w:rPr>
        <w:t>Fuente: Elaboración propia en base a información provista por SGR y ECU 911.</w:t>
      </w:r>
    </w:p>
    <w:p w:rsidR="00AC26AB" w:rsidRDefault="00AC26AB" w:rsidP="00172FBB">
      <w:pPr>
        <w:pStyle w:val="ListParagraph"/>
        <w:ind w:left="432"/>
        <w:jc w:val="center"/>
        <w:rPr>
          <w:rFonts w:ascii="Times New Roman" w:hAnsi="Times New Roman"/>
          <w:lang w:val="es-AR"/>
        </w:rPr>
      </w:pPr>
    </w:p>
    <w:p w:rsidR="00406CAE" w:rsidRDefault="00C66AFC" w:rsidP="00455FC7">
      <w:pPr>
        <w:pStyle w:val="ListParagraph"/>
        <w:numPr>
          <w:ilvl w:val="1"/>
          <w:numId w:val="12"/>
        </w:numPr>
        <w:jc w:val="both"/>
        <w:rPr>
          <w:rFonts w:ascii="Times New Roman" w:hAnsi="Times New Roman"/>
          <w:sz w:val="22"/>
          <w:szCs w:val="22"/>
          <w:lang w:val="es-ES_tradnl"/>
        </w:rPr>
      </w:pPr>
      <w:r w:rsidRPr="00C66AFC">
        <w:rPr>
          <w:rFonts w:ascii="Times New Roman" w:hAnsi="Times New Roman"/>
          <w:sz w:val="22"/>
          <w:szCs w:val="22"/>
          <w:lang w:val="es-ES_tradnl"/>
        </w:rPr>
        <w:t>Con respecto a los efectos sobre los bienes</w:t>
      </w:r>
      <w:r>
        <w:rPr>
          <w:rFonts w:ascii="Times New Roman" w:hAnsi="Times New Roman"/>
          <w:sz w:val="22"/>
          <w:szCs w:val="22"/>
          <w:lang w:val="es-ES_tradnl"/>
        </w:rPr>
        <w:t xml:space="preserve"> del tsunami</w:t>
      </w:r>
      <w:r w:rsidRPr="00C66AFC">
        <w:rPr>
          <w:rFonts w:ascii="Times New Roman" w:hAnsi="Times New Roman"/>
          <w:sz w:val="22"/>
          <w:szCs w:val="22"/>
          <w:lang w:val="es-ES_tradnl"/>
        </w:rPr>
        <w:t>, se asume que dado el escaso período que existe entre la detección que genera el alerta y la llegada a tierra del fenómeno, la probabilidad de disminuir los daños es baja. Esencialmente, el beneficio esperado se apoya en los impactos en la salud de</w:t>
      </w:r>
      <w:r>
        <w:rPr>
          <w:rFonts w:ascii="Times New Roman" w:hAnsi="Times New Roman"/>
          <w:sz w:val="22"/>
          <w:szCs w:val="22"/>
          <w:lang w:val="es-ES_tradnl"/>
        </w:rPr>
        <w:t xml:space="preserve"> las personas. En ese marco se estimaron beneficios en base a las siguientes </w:t>
      </w:r>
      <w:r w:rsidR="002433BF">
        <w:rPr>
          <w:rFonts w:ascii="Times New Roman" w:hAnsi="Times New Roman"/>
          <w:sz w:val="22"/>
          <w:szCs w:val="22"/>
          <w:lang w:val="es-ES_tradnl"/>
        </w:rPr>
        <w:t xml:space="preserve">informaciones de referencia y </w:t>
      </w:r>
      <w:r>
        <w:rPr>
          <w:rFonts w:ascii="Times New Roman" w:hAnsi="Times New Roman"/>
          <w:sz w:val="22"/>
          <w:szCs w:val="22"/>
          <w:lang w:val="es-ES_tradnl"/>
        </w:rPr>
        <w:t>premisas.</w:t>
      </w:r>
      <w:r w:rsidRPr="00C66AFC">
        <w:rPr>
          <w:rFonts w:ascii="Times New Roman" w:hAnsi="Times New Roman"/>
          <w:sz w:val="22"/>
          <w:szCs w:val="22"/>
          <w:lang w:val="es-ES_tradnl"/>
        </w:rPr>
        <w:t xml:space="preserve"> </w:t>
      </w:r>
    </w:p>
    <w:p w:rsidR="00C66AFC" w:rsidRDefault="00C66AFC" w:rsidP="00AF7FE9">
      <w:pPr>
        <w:jc w:val="center"/>
        <w:rPr>
          <w:rFonts w:ascii="Times New Roman" w:hAnsi="Times New Roman"/>
          <w:sz w:val="22"/>
          <w:szCs w:val="22"/>
          <w:lang w:val="es-ES_tradnl"/>
        </w:rPr>
      </w:pPr>
      <w:r w:rsidRPr="008C1ABC">
        <w:rPr>
          <w:rFonts w:ascii="Times New Roman" w:hAnsi="Times New Roman"/>
          <w:b/>
          <w:lang w:val="es-AR"/>
        </w:rPr>
        <w:t xml:space="preserve">Tabla </w:t>
      </w:r>
      <w:r w:rsidR="00081A23" w:rsidRPr="008C1ABC">
        <w:rPr>
          <w:rFonts w:ascii="Times New Roman" w:hAnsi="Times New Roman"/>
          <w:b/>
        </w:rPr>
        <w:fldChar w:fldCharType="begin"/>
      </w:r>
      <w:r w:rsidRPr="008C1ABC">
        <w:rPr>
          <w:rFonts w:ascii="Times New Roman" w:hAnsi="Times New Roman"/>
          <w:b/>
          <w:lang w:val="es-AR"/>
        </w:rPr>
        <w:instrText xml:space="preserve"> SEQ Tabla \* ARABIC </w:instrText>
      </w:r>
      <w:r w:rsidR="00081A23" w:rsidRPr="008C1ABC">
        <w:rPr>
          <w:rFonts w:ascii="Times New Roman" w:hAnsi="Times New Roman"/>
          <w:b/>
        </w:rPr>
        <w:fldChar w:fldCharType="separate"/>
      </w:r>
      <w:r w:rsidR="00EB287D">
        <w:rPr>
          <w:rFonts w:ascii="Times New Roman" w:hAnsi="Times New Roman"/>
          <w:b/>
          <w:noProof/>
          <w:lang w:val="es-AR"/>
        </w:rPr>
        <w:t>11</w:t>
      </w:r>
      <w:r w:rsidR="00081A23" w:rsidRPr="008C1ABC">
        <w:rPr>
          <w:rFonts w:ascii="Times New Roman" w:hAnsi="Times New Roman"/>
          <w:b/>
        </w:rPr>
        <w:fldChar w:fldCharType="end"/>
      </w:r>
      <w:r w:rsidRPr="00DD3EE5">
        <w:rPr>
          <w:rFonts w:ascii="Times New Roman" w:hAnsi="Times New Roman"/>
          <w:lang w:val="es-AR"/>
        </w:rPr>
        <w:t xml:space="preserve"> </w:t>
      </w:r>
      <w:r>
        <w:rPr>
          <w:rFonts w:ascii="Times New Roman" w:hAnsi="Times New Roman"/>
          <w:lang w:val="es-AR"/>
        </w:rPr>
        <w:t xml:space="preserve"> </w:t>
      </w:r>
      <w:r w:rsidR="001611AB">
        <w:rPr>
          <w:rFonts w:ascii="Times New Roman" w:hAnsi="Times New Roman"/>
          <w:lang w:val="es-AR"/>
        </w:rPr>
        <w:t>Tsunami - Efectos sobre los bienes expuestos y pérdidas evitadas</w:t>
      </w:r>
    </w:p>
    <w:tbl>
      <w:tblPr>
        <w:tblW w:w="8794" w:type="dxa"/>
        <w:tblInd w:w="65" w:type="dxa"/>
        <w:tblCellMar>
          <w:left w:w="70" w:type="dxa"/>
          <w:right w:w="70" w:type="dxa"/>
        </w:tblCellMar>
        <w:tblLook w:val="04A0" w:firstRow="1" w:lastRow="0" w:firstColumn="1" w:lastColumn="0" w:noHBand="0" w:noVBand="1"/>
      </w:tblPr>
      <w:tblGrid>
        <w:gridCol w:w="1706"/>
        <w:gridCol w:w="1134"/>
        <w:gridCol w:w="993"/>
        <w:gridCol w:w="992"/>
        <w:gridCol w:w="1276"/>
        <w:gridCol w:w="1417"/>
        <w:gridCol w:w="1276"/>
      </w:tblGrid>
      <w:tr w:rsidR="001611AB" w:rsidRPr="006F6989" w:rsidTr="00455FC7">
        <w:trPr>
          <w:trHeight w:val="1027"/>
        </w:trPr>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11AB" w:rsidRPr="00455FC7" w:rsidRDefault="00081A23" w:rsidP="001611AB">
            <w:pPr>
              <w:rPr>
                <w:rFonts w:ascii="Times New Roman" w:hAnsi="Times New Roman"/>
                <w:color w:val="000000"/>
                <w:sz w:val="18"/>
                <w:szCs w:val="18"/>
                <w:lang w:val="es-AR" w:eastAsia="es-AR"/>
              </w:rPr>
            </w:pPr>
            <w:r w:rsidRPr="00455FC7">
              <w:rPr>
                <w:rFonts w:ascii="Times New Roman" w:hAnsi="Times New Roman"/>
                <w:color w:val="000000"/>
                <w:sz w:val="18"/>
                <w:szCs w:val="18"/>
                <w:lang w:val="es-AR" w:eastAsia="es-AR"/>
              </w:rPr>
              <w:t>Infraestructura expuesta (Cantidad en unidades)</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1611AB" w:rsidRPr="00455FC7" w:rsidRDefault="00081A23" w:rsidP="001611AB">
            <w:pPr>
              <w:jc w:val="center"/>
              <w:rPr>
                <w:rFonts w:ascii="Times New Roman" w:hAnsi="Times New Roman"/>
                <w:color w:val="000000"/>
                <w:sz w:val="18"/>
                <w:szCs w:val="18"/>
                <w:lang w:val="es-AR" w:eastAsia="es-AR"/>
              </w:rPr>
            </w:pPr>
            <w:r w:rsidRPr="00455FC7">
              <w:rPr>
                <w:rFonts w:ascii="Times New Roman" w:hAnsi="Times New Roman"/>
                <w:color w:val="000000"/>
                <w:sz w:val="18"/>
                <w:szCs w:val="18"/>
                <w:lang w:val="es-AR" w:eastAsia="es-AR"/>
              </w:rPr>
              <w:t>Datos 2016</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1611AB" w:rsidRPr="00455FC7" w:rsidRDefault="00081A23" w:rsidP="001611AB">
            <w:pPr>
              <w:jc w:val="center"/>
              <w:rPr>
                <w:rFonts w:ascii="Times New Roman" w:hAnsi="Times New Roman"/>
                <w:color w:val="000000"/>
                <w:sz w:val="18"/>
                <w:szCs w:val="18"/>
                <w:lang w:val="es-AR" w:eastAsia="es-AR"/>
              </w:rPr>
            </w:pPr>
            <w:r w:rsidRPr="00455FC7">
              <w:rPr>
                <w:rFonts w:ascii="Times New Roman" w:hAnsi="Times New Roman"/>
                <w:color w:val="000000"/>
                <w:sz w:val="18"/>
                <w:szCs w:val="18"/>
                <w:lang w:val="es-AR" w:eastAsia="es-AR"/>
              </w:rPr>
              <w:t>Afectación Máxima</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611AB" w:rsidRPr="00455FC7" w:rsidRDefault="00081A23" w:rsidP="001611AB">
            <w:pPr>
              <w:jc w:val="center"/>
              <w:rPr>
                <w:rFonts w:ascii="Times New Roman" w:hAnsi="Times New Roman"/>
                <w:color w:val="000000"/>
                <w:sz w:val="18"/>
                <w:szCs w:val="18"/>
                <w:lang w:val="es-AR" w:eastAsia="es-AR"/>
              </w:rPr>
            </w:pPr>
            <w:r w:rsidRPr="00455FC7">
              <w:rPr>
                <w:rFonts w:ascii="Times New Roman" w:hAnsi="Times New Roman"/>
                <w:color w:val="000000"/>
                <w:sz w:val="18"/>
                <w:szCs w:val="18"/>
                <w:lang w:val="es-AR" w:eastAsia="es-AR"/>
              </w:rPr>
              <w:t>Impacto anual       (p 1:500)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1611AB" w:rsidRPr="00455FC7" w:rsidRDefault="00081A23" w:rsidP="001611AB">
            <w:pPr>
              <w:jc w:val="center"/>
              <w:rPr>
                <w:rFonts w:ascii="Times New Roman" w:hAnsi="Times New Roman"/>
                <w:color w:val="000000"/>
                <w:sz w:val="18"/>
                <w:szCs w:val="18"/>
                <w:lang w:val="es-AR" w:eastAsia="es-AR"/>
              </w:rPr>
            </w:pPr>
            <w:r w:rsidRPr="00455FC7">
              <w:rPr>
                <w:rFonts w:ascii="Times New Roman" w:hAnsi="Times New Roman"/>
                <w:color w:val="000000"/>
                <w:sz w:val="18"/>
                <w:szCs w:val="18"/>
                <w:lang w:val="es-AR" w:eastAsia="es-AR"/>
              </w:rPr>
              <w:t>Costo unitario bienes muebles afectados (US$ por unidad)</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1611AB" w:rsidRPr="00455FC7" w:rsidRDefault="00081A23" w:rsidP="001611AB">
            <w:pPr>
              <w:jc w:val="center"/>
              <w:rPr>
                <w:rFonts w:ascii="Times New Roman" w:hAnsi="Times New Roman"/>
                <w:color w:val="000000"/>
                <w:sz w:val="18"/>
                <w:szCs w:val="18"/>
                <w:lang w:val="es-AR" w:eastAsia="es-AR"/>
              </w:rPr>
            </w:pPr>
            <w:r w:rsidRPr="00455FC7">
              <w:rPr>
                <w:rFonts w:ascii="Times New Roman" w:hAnsi="Times New Roman"/>
                <w:color w:val="000000"/>
                <w:sz w:val="18"/>
                <w:szCs w:val="18"/>
                <w:lang w:val="es-AR" w:eastAsia="es-AR"/>
              </w:rPr>
              <w:t>Costo  bienes muebles afectados (US$)</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1611AB" w:rsidRPr="00455FC7" w:rsidRDefault="00081A23" w:rsidP="001611AB">
            <w:pPr>
              <w:jc w:val="center"/>
              <w:rPr>
                <w:rFonts w:ascii="Times New Roman" w:hAnsi="Times New Roman"/>
                <w:color w:val="000000"/>
                <w:sz w:val="18"/>
                <w:szCs w:val="18"/>
                <w:lang w:val="es-AR" w:eastAsia="es-AR"/>
              </w:rPr>
            </w:pPr>
            <w:r w:rsidRPr="00455FC7">
              <w:rPr>
                <w:rFonts w:ascii="Times New Roman" w:hAnsi="Times New Roman"/>
                <w:color w:val="000000"/>
                <w:sz w:val="18"/>
                <w:szCs w:val="18"/>
                <w:lang w:val="es-AR" w:eastAsia="es-AR"/>
              </w:rPr>
              <w:t xml:space="preserve">Pérdida de bienes </w:t>
            </w:r>
            <w:r w:rsidR="00131C91" w:rsidRPr="00131C91">
              <w:rPr>
                <w:rFonts w:ascii="Times New Roman" w:hAnsi="Times New Roman"/>
                <w:color w:val="000000"/>
                <w:sz w:val="18"/>
                <w:szCs w:val="18"/>
                <w:lang w:val="es-AR" w:eastAsia="es-AR"/>
              </w:rPr>
              <w:t>muebles evitad</w:t>
            </w:r>
            <w:r w:rsidR="00131C91">
              <w:rPr>
                <w:rFonts w:ascii="Times New Roman" w:hAnsi="Times New Roman"/>
                <w:color w:val="000000"/>
                <w:sz w:val="18"/>
                <w:szCs w:val="18"/>
                <w:lang w:val="es-AR" w:eastAsia="es-AR"/>
              </w:rPr>
              <w:t>a</w:t>
            </w:r>
            <w:r w:rsidRPr="00455FC7">
              <w:rPr>
                <w:rFonts w:ascii="Times New Roman" w:hAnsi="Times New Roman"/>
                <w:color w:val="000000"/>
                <w:sz w:val="18"/>
                <w:szCs w:val="18"/>
                <w:lang w:val="es-AR" w:eastAsia="es-AR"/>
              </w:rPr>
              <w:t xml:space="preserve"> (US$)</w:t>
            </w:r>
          </w:p>
        </w:tc>
      </w:tr>
      <w:tr w:rsidR="001611AB" w:rsidRPr="001611AB" w:rsidTr="00455FC7">
        <w:trPr>
          <w:trHeight w:val="316"/>
        </w:trPr>
        <w:tc>
          <w:tcPr>
            <w:tcW w:w="1706" w:type="dxa"/>
            <w:tcBorders>
              <w:top w:val="nil"/>
              <w:left w:val="nil"/>
              <w:bottom w:val="nil"/>
              <w:right w:val="nil"/>
            </w:tcBorders>
            <w:shd w:val="clear" w:color="000000" w:fill="FFFFFF"/>
            <w:noWrap/>
            <w:vAlign w:val="bottom"/>
            <w:hideMark/>
          </w:tcPr>
          <w:p w:rsidR="001611AB" w:rsidRPr="00455FC7" w:rsidRDefault="00081A23" w:rsidP="001611AB">
            <w:pPr>
              <w:rPr>
                <w:rFonts w:ascii="Times New Roman" w:hAnsi="Times New Roman"/>
                <w:color w:val="000000"/>
                <w:sz w:val="18"/>
                <w:szCs w:val="18"/>
                <w:lang w:val="es-AR" w:eastAsia="es-AR"/>
              </w:rPr>
            </w:pPr>
            <w:r w:rsidRPr="00455FC7">
              <w:rPr>
                <w:rFonts w:ascii="Times New Roman" w:hAnsi="Times New Roman"/>
                <w:color w:val="000000"/>
                <w:sz w:val="18"/>
                <w:szCs w:val="18"/>
                <w:lang w:val="es-AR" w:eastAsia="es-AR"/>
              </w:rPr>
              <w:t>Viviendas</w:t>
            </w:r>
          </w:p>
        </w:tc>
        <w:tc>
          <w:tcPr>
            <w:tcW w:w="1134" w:type="dxa"/>
            <w:tcBorders>
              <w:top w:val="nil"/>
              <w:left w:val="nil"/>
              <w:bottom w:val="nil"/>
              <w:right w:val="nil"/>
            </w:tcBorders>
            <w:shd w:val="clear" w:color="000000" w:fill="FFFFFF"/>
            <w:noWrap/>
            <w:vAlign w:val="bottom"/>
            <w:hideMark/>
          </w:tcPr>
          <w:p w:rsidR="00406CAE" w:rsidRDefault="001611AB" w:rsidP="00455FC7">
            <w:pPr>
              <w:jc w:val="center"/>
              <w:rPr>
                <w:rFonts w:ascii="Times New Roman" w:hAnsi="Times New Roman"/>
                <w:color w:val="000000"/>
                <w:lang w:val="es-AR" w:eastAsia="es-AR"/>
              </w:rPr>
            </w:pPr>
            <w:r w:rsidRPr="001611AB">
              <w:rPr>
                <w:rFonts w:ascii="Times New Roman" w:hAnsi="Times New Roman"/>
                <w:color w:val="000000"/>
                <w:lang w:val="es-AR" w:eastAsia="es-AR"/>
              </w:rPr>
              <w:t>206.986</w:t>
            </w:r>
          </w:p>
        </w:tc>
        <w:tc>
          <w:tcPr>
            <w:tcW w:w="993" w:type="dxa"/>
            <w:tcBorders>
              <w:top w:val="nil"/>
              <w:left w:val="nil"/>
              <w:bottom w:val="nil"/>
              <w:right w:val="nil"/>
            </w:tcBorders>
            <w:shd w:val="clear" w:color="000000" w:fill="FFFFFF"/>
            <w:noWrap/>
            <w:vAlign w:val="bottom"/>
            <w:hideMark/>
          </w:tcPr>
          <w:p w:rsidR="00406CAE" w:rsidRDefault="001611AB" w:rsidP="00455FC7">
            <w:pPr>
              <w:jc w:val="center"/>
              <w:rPr>
                <w:rFonts w:ascii="Times New Roman" w:hAnsi="Times New Roman"/>
                <w:color w:val="000000"/>
                <w:lang w:val="es-AR" w:eastAsia="es-AR"/>
              </w:rPr>
            </w:pPr>
            <w:r w:rsidRPr="001611AB">
              <w:rPr>
                <w:rFonts w:ascii="Times New Roman" w:hAnsi="Times New Roman"/>
                <w:color w:val="000000"/>
                <w:lang w:val="es-AR" w:eastAsia="es-AR"/>
              </w:rPr>
              <w:t>45.537</w:t>
            </w:r>
          </w:p>
        </w:tc>
        <w:tc>
          <w:tcPr>
            <w:tcW w:w="992" w:type="dxa"/>
            <w:tcBorders>
              <w:top w:val="nil"/>
              <w:left w:val="nil"/>
              <w:bottom w:val="nil"/>
              <w:right w:val="nil"/>
            </w:tcBorders>
            <w:shd w:val="clear" w:color="000000" w:fill="FFFFFF"/>
            <w:noWrap/>
            <w:vAlign w:val="bottom"/>
            <w:hideMark/>
          </w:tcPr>
          <w:p w:rsidR="00406CAE" w:rsidRDefault="001611AB" w:rsidP="00455FC7">
            <w:pPr>
              <w:jc w:val="center"/>
              <w:rPr>
                <w:rFonts w:ascii="Times New Roman" w:hAnsi="Times New Roman"/>
                <w:color w:val="000000"/>
                <w:lang w:val="es-AR" w:eastAsia="es-AR"/>
              </w:rPr>
            </w:pPr>
            <w:r w:rsidRPr="001611AB">
              <w:rPr>
                <w:rFonts w:ascii="Times New Roman" w:hAnsi="Times New Roman"/>
                <w:color w:val="000000"/>
                <w:lang w:val="es-AR" w:eastAsia="es-AR"/>
              </w:rPr>
              <w:t>91,07</w:t>
            </w:r>
          </w:p>
        </w:tc>
        <w:tc>
          <w:tcPr>
            <w:tcW w:w="1276" w:type="dxa"/>
            <w:tcBorders>
              <w:top w:val="nil"/>
              <w:left w:val="nil"/>
              <w:bottom w:val="nil"/>
              <w:right w:val="nil"/>
            </w:tcBorders>
            <w:shd w:val="clear" w:color="000000" w:fill="FFFFFF"/>
            <w:noWrap/>
            <w:vAlign w:val="bottom"/>
            <w:hideMark/>
          </w:tcPr>
          <w:p w:rsidR="00406CAE" w:rsidRDefault="001611AB" w:rsidP="00455FC7">
            <w:pPr>
              <w:jc w:val="center"/>
              <w:rPr>
                <w:rFonts w:ascii="Times New Roman" w:hAnsi="Times New Roman"/>
                <w:color w:val="000000"/>
                <w:lang w:val="es-AR" w:eastAsia="es-AR"/>
              </w:rPr>
            </w:pPr>
            <w:r w:rsidRPr="00DF28E1">
              <w:rPr>
                <w:rFonts w:ascii="Times New Roman" w:hAnsi="Times New Roman"/>
                <w:color w:val="000000"/>
                <w:lang w:val="es-AR" w:eastAsia="es-AR"/>
              </w:rPr>
              <w:t>1.000</w:t>
            </w:r>
          </w:p>
        </w:tc>
        <w:tc>
          <w:tcPr>
            <w:tcW w:w="1417" w:type="dxa"/>
            <w:tcBorders>
              <w:top w:val="nil"/>
              <w:left w:val="nil"/>
              <w:bottom w:val="nil"/>
              <w:right w:val="nil"/>
            </w:tcBorders>
            <w:shd w:val="clear" w:color="000000" w:fill="FFFFFF"/>
            <w:noWrap/>
            <w:vAlign w:val="bottom"/>
            <w:hideMark/>
          </w:tcPr>
          <w:p w:rsidR="00406CAE" w:rsidRDefault="001611AB" w:rsidP="00455FC7">
            <w:pPr>
              <w:jc w:val="center"/>
              <w:rPr>
                <w:rFonts w:ascii="Times New Roman" w:hAnsi="Times New Roman"/>
                <w:color w:val="000000"/>
                <w:lang w:val="es-AR" w:eastAsia="es-AR"/>
              </w:rPr>
            </w:pPr>
            <w:r w:rsidRPr="00DF28E1">
              <w:rPr>
                <w:rFonts w:ascii="Times New Roman" w:hAnsi="Times New Roman"/>
                <w:color w:val="000000"/>
                <w:lang w:val="es-AR" w:eastAsia="es-AR"/>
              </w:rPr>
              <w:t>91.074</w:t>
            </w:r>
          </w:p>
        </w:tc>
        <w:tc>
          <w:tcPr>
            <w:tcW w:w="1276" w:type="dxa"/>
            <w:tcBorders>
              <w:top w:val="nil"/>
              <w:left w:val="nil"/>
              <w:bottom w:val="nil"/>
              <w:right w:val="nil"/>
            </w:tcBorders>
            <w:shd w:val="clear" w:color="000000" w:fill="FFFFFF"/>
            <w:noWrap/>
            <w:vAlign w:val="bottom"/>
            <w:hideMark/>
          </w:tcPr>
          <w:p w:rsidR="00406CAE" w:rsidRDefault="001611AB" w:rsidP="00455FC7">
            <w:pPr>
              <w:jc w:val="center"/>
              <w:rPr>
                <w:rFonts w:ascii="Times New Roman" w:hAnsi="Times New Roman"/>
                <w:color w:val="000000"/>
                <w:lang w:val="es-AR" w:eastAsia="es-AR"/>
              </w:rPr>
            </w:pPr>
            <w:r w:rsidRPr="00DF28E1">
              <w:rPr>
                <w:rFonts w:ascii="Times New Roman" w:hAnsi="Times New Roman"/>
                <w:color w:val="000000"/>
                <w:lang w:val="es-AR" w:eastAsia="es-AR"/>
              </w:rPr>
              <w:t>27.322</w:t>
            </w:r>
          </w:p>
        </w:tc>
      </w:tr>
      <w:tr w:rsidR="00DF28E1" w:rsidRPr="001611AB" w:rsidTr="00455FC7">
        <w:trPr>
          <w:trHeight w:val="316"/>
        </w:trPr>
        <w:tc>
          <w:tcPr>
            <w:tcW w:w="1706" w:type="dxa"/>
            <w:tcBorders>
              <w:top w:val="nil"/>
              <w:left w:val="nil"/>
              <w:bottom w:val="nil"/>
              <w:right w:val="nil"/>
            </w:tcBorders>
            <w:shd w:val="clear" w:color="000000" w:fill="FFFFFF"/>
            <w:noWrap/>
            <w:vAlign w:val="bottom"/>
            <w:hideMark/>
          </w:tcPr>
          <w:p w:rsidR="00DF28E1" w:rsidRPr="00455FC7" w:rsidRDefault="00081A23" w:rsidP="001611AB">
            <w:pPr>
              <w:rPr>
                <w:rFonts w:ascii="Times New Roman" w:hAnsi="Times New Roman"/>
                <w:color w:val="000000"/>
                <w:sz w:val="18"/>
                <w:szCs w:val="18"/>
                <w:lang w:val="es-AR" w:eastAsia="es-AR"/>
              </w:rPr>
            </w:pPr>
            <w:r w:rsidRPr="00455FC7">
              <w:rPr>
                <w:rFonts w:ascii="Times New Roman" w:hAnsi="Times New Roman"/>
                <w:color w:val="000000"/>
                <w:sz w:val="18"/>
                <w:szCs w:val="18"/>
                <w:lang w:val="es-AR" w:eastAsia="es-AR"/>
              </w:rPr>
              <w:t>Escuelas</w:t>
            </w:r>
          </w:p>
        </w:tc>
        <w:tc>
          <w:tcPr>
            <w:tcW w:w="1134" w:type="dxa"/>
            <w:tcBorders>
              <w:top w:val="nil"/>
              <w:left w:val="nil"/>
              <w:bottom w:val="nil"/>
              <w:right w:val="nil"/>
            </w:tcBorders>
            <w:shd w:val="clear" w:color="000000" w:fill="FFFFFF"/>
            <w:noWrap/>
            <w:vAlign w:val="center"/>
            <w:hideMark/>
          </w:tcPr>
          <w:p w:rsidR="00406CAE" w:rsidRDefault="00DF28E1" w:rsidP="00455FC7">
            <w:pPr>
              <w:jc w:val="center"/>
              <w:rPr>
                <w:rFonts w:ascii="Times New Roman" w:hAnsi="Times New Roman"/>
                <w:color w:val="000000"/>
                <w:lang w:val="es-AR" w:eastAsia="es-AR"/>
              </w:rPr>
            </w:pPr>
            <w:r w:rsidRPr="001611AB">
              <w:rPr>
                <w:rFonts w:ascii="Times New Roman" w:hAnsi="Times New Roman"/>
                <w:color w:val="000000"/>
                <w:lang w:val="es-AR" w:eastAsia="es-AR"/>
              </w:rPr>
              <w:t>875</w:t>
            </w:r>
          </w:p>
        </w:tc>
        <w:tc>
          <w:tcPr>
            <w:tcW w:w="993" w:type="dxa"/>
            <w:tcBorders>
              <w:top w:val="nil"/>
              <w:left w:val="nil"/>
              <w:bottom w:val="nil"/>
              <w:right w:val="nil"/>
            </w:tcBorders>
            <w:shd w:val="clear" w:color="000000" w:fill="FFFFFF"/>
            <w:noWrap/>
            <w:vAlign w:val="center"/>
            <w:hideMark/>
          </w:tcPr>
          <w:p w:rsidR="00406CAE" w:rsidRDefault="00081A23" w:rsidP="00455FC7">
            <w:pPr>
              <w:jc w:val="center"/>
              <w:rPr>
                <w:rFonts w:ascii="Times New Roman" w:hAnsi="Times New Roman"/>
                <w:color w:val="000000"/>
                <w:lang w:val="es-AR" w:eastAsia="es-AR"/>
              </w:rPr>
            </w:pPr>
            <w:r w:rsidRPr="00455FC7">
              <w:rPr>
                <w:rFonts w:ascii="Times New Roman" w:hAnsi="Times New Roman"/>
                <w:color w:val="000000"/>
                <w:lang w:val="es-AR" w:eastAsia="es-AR"/>
              </w:rPr>
              <w:t>438</w:t>
            </w:r>
          </w:p>
        </w:tc>
        <w:tc>
          <w:tcPr>
            <w:tcW w:w="992" w:type="dxa"/>
            <w:tcBorders>
              <w:top w:val="nil"/>
              <w:left w:val="nil"/>
              <w:bottom w:val="nil"/>
              <w:right w:val="nil"/>
            </w:tcBorders>
            <w:shd w:val="clear" w:color="000000" w:fill="FFFFFF"/>
            <w:noWrap/>
            <w:vAlign w:val="center"/>
            <w:hideMark/>
          </w:tcPr>
          <w:p w:rsidR="00406CAE" w:rsidRDefault="00081A23" w:rsidP="00455FC7">
            <w:pPr>
              <w:jc w:val="center"/>
              <w:rPr>
                <w:rFonts w:ascii="Times New Roman" w:hAnsi="Times New Roman"/>
                <w:color w:val="000000"/>
                <w:lang w:val="es-AR" w:eastAsia="es-AR"/>
              </w:rPr>
            </w:pPr>
            <w:r w:rsidRPr="00455FC7">
              <w:rPr>
                <w:rFonts w:ascii="Times New Roman" w:hAnsi="Times New Roman"/>
                <w:color w:val="000000"/>
                <w:lang w:val="es-AR" w:eastAsia="es-AR"/>
              </w:rPr>
              <w:t>0,88</w:t>
            </w:r>
          </w:p>
        </w:tc>
        <w:tc>
          <w:tcPr>
            <w:tcW w:w="1276" w:type="dxa"/>
            <w:tcBorders>
              <w:top w:val="nil"/>
              <w:left w:val="nil"/>
              <w:bottom w:val="nil"/>
              <w:right w:val="nil"/>
            </w:tcBorders>
            <w:shd w:val="clear" w:color="000000" w:fill="FFFFFF"/>
            <w:noWrap/>
            <w:vAlign w:val="center"/>
            <w:hideMark/>
          </w:tcPr>
          <w:p w:rsidR="00406CAE" w:rsidRDefault="00081A23" w:rsidP="00455FC7">
            <w:pPr>
              <w:jc w:val="center"/>
              <w:rPr>
                <w:rFonts w:ascii="Times New Roman" w:hAnsi="Times New Roman"/>
                <w:color w:val="000000"/>
                <w:lang w:val="es-AR" w:eastAsia="es-AR"/>
              </w:rPr>
            </w:pPr>
            <w:r w:rsidRPr="00455FC7">
              <w:rPr>
                <w:rFonts w:ascii="Times New Roman" w:hAnsi="Times New Roman"/>
                <w:color w:val="000000"/>
                <w:lang w:val="es-AR" w:eastAsia="es-AR"/>
              </w:rPr>
              <w:t>24.846</w:t>
            </w:r>
          </w:p>
        </w:tc>
        <w:tc>
          <w:tcPr>
            <w:tcW w:w="1417" w:type="dxa"/>
            <w:tcBorders>
              <w:top w:val="nil"/>
              <w:left w:val="nil"/>
              <w:bottom w:val="nil"/>
              <w:right w:val="nil"/>
            </w:tcBorders>
            <w:shd w:val="clear" w:color="000000" w:fill="FFFFFF"/>
            <w:noWrap/>
            <w:vAlign w:val="center"/>
            <w:hideMark/>
          </w:tcPr>
          <w:p w:rsidR="00406CAE" w:rsidRDefault="00DF28E1" w:rsidP="00455FC7">
            <w:pPr>
              <w:jc w:val="center"/>
              <w:rPr>
                <w:rFonts w:ascii="Times New Roman" w:hAnsi="Times New Roman"/>
                <w:color w:val="000000"/>
                <w:lang w:val="es-AR" w:eastAsia="es-AR"/>
              </w:rPr>
            </w:pPr>
            <w:r w:rsidRPr="00DF28E1">
              <w:rPr>
                <w:rFonts w:ascii="Times New Roman" w:hAnsi="Times New Roman"/>
                <w:color w:val="000000"/>
                <w:lang w:val="es-AR" w:eastAsia="es-AR"/>
              </w:rPr>
              <w:t>21.740</w:t>
            </w:r>
          </w:p>
        </w:tc>
        <w:tc>
          <w:tcPr>
            <w:tcW w:w="1276" w:type="dxa"/>
            <w:tcBorders>
              <w:top w:val="nil"/>
              <w:left w:val="nil"/>
              <w:bottom w:val="nil"/>
              <w:right w:val="nil"/>
            </w:tcBorders>
            <w:shd w:val="clear" w:color="000000" w:fill="FFFFFF"/>
            <w:noWrap/>
            <w:vAlign w:val="center"/>
            <w:hideMark/>
          </w:tcPr>
          <w:p w:rsidR="00406CAE" w:rsidRDefault="00DF28E1" w:rsidP="00455FC7">
            <w:pPr>
              <w:jc w:val="center"/>
              <w:rPr>
                <w:rFonts w:ascii="Times New Roman" w:hAnsi="Times New Roman"/>
                <w:color w:val="000000"/>
                <w:lang w:val="es-AR" w:eastAsia="es-AR"/>
              </w:rPr>
            </w:pPr>
            <w:r w:rsidRPr="00DF28E1">
              <w:rPr>
                <w:rFonts w:ascii="Times New Roman" w:hAnsi="Times New Roman"/>
                <w:color w:val="000000"/>
                <w:lang w:val="es-AR" w:eastAsia="es-AR"/>
              </w:rPr>
              <w:t>8.696</w:t>
            </w:r>
          </w:p>
        </w:tc>
      </w:tr>
      <w:tr w:rsidR="00DF28E1" w:rsidRPr="001611AB" w:rsidTr="00455FC7">
        <w:trPr>
          <w:trHeight w:val="316"/>
        </w:trPr>
        <w:tc>
          <w:tcPr>
            <w:tcW w:w="1706" w:type="dxa"/>
            <w:tcBorders>
              <w:top w:val="nil"/>
              <w:left w:val="nil"/>
              <w:bottom w:val="nil"/>
              <w:right w:val="nil"/>
            </w:tcBorders>
            <w:shd w:val="clear" w:color="000000" w:fill="FFFFFF"/>
            <w:noWrap/>
            <w:vAlign w:val="bottom"/>
            <w:hideMark/>
          </w:tcPr>
          <w:p w:rsidR="00DF28E1" w:rsidRPr="00455FC7" w:rsidRDefault="00081A23" w:rsidP="001611AB">
            <w:pPr>
              <w:rPr>
                <w:rFonts w:ascii="Times New Roman" w:hAnsi="Times New Roman"/>
                <w:color w:val="000000"/>
                <w:sz w:val="18"/>
                <w:szCs w:val="18"/>
                <w:lang w:val="es-AR" w:eastAsia="es-AR"/>
              </w:rPr>
            </w:pPr>
            <w:r w:rsidRPr="00455FC7">
              <w:rPr>
                <w:rFonts w:ascii="Times New Roman" w:hAnsi="Times New Roman"/>
                <w:color w:val="000000"/>
                <w:sz w:val="18"/>
                <w:szCs w:val="18"/>
                <w:lang w:val="es-AR" w:eastAsia="es-AR"/>
              </w:rPr>
              <w:t>Centros de salud</w:t>
            </w:r>
          </w:p>
        </w:tc>
        <w:tc>
          <w:tcPr>
            <w:tcW w:w="1134" w:type="dxa"/>
            <w:tcBorders>
              <w:top w:val="nil"/>
              <w:left w:val="nil"/>
              <w:bottom w:val="nil"/>
              <w:right w:val="nil"/>
            </w:tcBorders>
            <w:shd w:val="clear" w:color="000000" w:fill="FFFFFF"/>
            <w:noWrap/>
            <w:vAlign w:val="center"/>
            <w:hideMark/>
          </w:tcPr>
          <w:p w:rsidR="00406CAE" w:rsidRDefault="00DF28E1" w:rsidP="00455FC7">
            <w:pPr>
              <w:jc w:val="center"/>
              <w:rPr>
                <w:rFonts w:ascii="Times New Roman" w:hAnsi="Times New Roman"/>
                <w:color w:val="000000"/>
                <w:lang w:val="es-AR" w:eastAsia="es-AR"/>
              </w:rPr>
            </w:pPr>
            <w:r w:rsidRPr="001611AB">
              <w:rPr>
                <w:rFonts w:ascii="Times New Roman" w:hAnsi="Times New Roman"/>
                <w:color w:val="000000"/>
                <w:lang w:val="es-AR" w:eastAsia="es-AR"/>
              </w:rPr>
              <w:t>51</w:t>
            </w:r>
          </w:p>
        </w:tc>
        <w:tc>
          <w:tcPr>
            <w:tcW w:w="993" w:type="dxa"/>
            <w:tcBorders>
              <w:top w:val="nil"/>
              <w:left w:val="nil"/>
              <w:bottom w:val="nil"/>
              <w:right w:val="nil"/>
            </w:tcBorders>
            <w:shd w:val="clear" w:color="000000" w:fill="FFFFFF"/>
            <w:noWrap/>
            <w:vAlign w:val="center"/>
            <w:hideMark/>
          </w:tcPr>
          <w:p w:rsidR="00406CAE" w:rsidRDefault="00081A23" w:rsidP="00455FC7">
            <w:pPr>
              <w:jc w:val="center"/>
              <w:rPr>
                <w:rFonts w:ascii="Times New Roman" w:hAnsi="Times New Roman"/>
                <w:color w:val="000000"/>
                <w:lang w:val="es-AR" w:eastAsia="es-AR"/>
              </w:rPr>
            </w:pPr>
            <w:r w:rsidRPr="00455FC7">
              <w:rPr>
                <w:rFonts w:ascii="Times New Roman" w:hAnsi="Times New Roman"/>
                <w:color w:val="000000"/>
                <w:lang w:val="es-AR" w:eastAsia="es-AR"/>
              </w:rPr>
              <w:t>26</w:t>
            </w:r>
          </w:p>
        </w:tc>
        <w:tc>
          <w:tcPr>
            <w:tcW w:w="992" w:type="dxa"/>
            <w:tcBorders>
              <w:top w:val="nil"/>
              <w:left w:val="nil"/>
              <w:bottom w:val="nil"/>
              <w:right w:val="nil"/>
            </w:tcBorders>
            <w:shd w:val="clear" w:color="000000" w:fill="FFFFFF"/>
            <w:noWrap/>
            <w:vAlign w:val="center"/>
            <w:hideMark/>
          </w:tcPr>
          <w:p w:rsidR="00406CAE" w:rsidRDefault="00081A23" w:rsidP="00455FC7">
            <w:pPr>
              <w:jc w:val="center"/>
              <w:rPr>
                <w:rFonts w:ascii="Times New Roman" w:hAnsi="Times New Roman"/>
                <w:color w:val="000000"/>
                <w:lang w:val="es-AR" w:eastAsia="es-AR"/>
              </w:rPr>
            </w:pPr>
            <w:r w:rsidRPr="00455FC7">
              <w:rPr>
                <w:rFonts w:ascii="Times New Roman" w:hAnsi="Times New Roman"/>
                <w:color w:val="000000"/>
                <w:lang w:val="es-AR" w:eastAsia="es-AR"/>
              </w:rPr>
              <w:t>0,05</w:t>
            </w:r>
          </w:p>
        </w:tc>
        <w:tc>
          <w:tcPr>
            <w:tcW w:w="1276" w:type="dxa"/>
            <w:tcBorders>
              <w:top w:val="nil"/>
              <w:left w:val="nil"/>
              <w:bottom w:val="nil"/>
              <w:right w:val="nil"/>
            </w:tcBorders>
            <w:shd w:val="clear" w:color="000000" w:fill="FFFFFF"/>
            <w:noWrap/>
            <w:vAlign w:val="center"/>
            <w:hideMark/>
          </w:tcPr>
          <w:p w:rsidR="00406CAE" w:rsidRDefault="00081A23" w:rsidP="00455FC7">
            <w:pPr>
              <w:jc w:val="center"/>
              <w:rPr>
                <w:rFonts w:ascii="Times New Roman" w:hAnsi="Times New Roman"/>
                <w:color w:val="000000"/>
                <w:lang w:val="es-AR" w:eastAsia="es-AR"/>
              </w:rPr>
            </w:pPr>
            <w:r w:rsidRPr="00455FC7">
              <w:rPr>
                <w:rFonts w:ascii="Times New Roman" w:hAnsi="Times New Roman"/>
                <w:color w:val="000000"/>
                <w:lang w:val="es-AR" w:eastAsia="es-AR"/>
              </w:rPr>
              <w:t>470.588</w:t>
            </w:r>
          </w:p>
        </w:tc>
        <w:tc>
          <w:tcPr>
            <w:tcW w:w="1417" w:type="dxa"/>
            <w:tcBorders>
              <w:top w:val="nil"/>
              <w:left w:val="nil"/>
              <w:bottom w:val="nil"/>
              <w:right w:val="nil"/>
            </w:tcBorders>
            <w:shd w:val="clear" w:color="000000" w:fill="FFFFFF"/>
            <w:noWrap/>
            <w:vAlign w:val="center"/>
            <w:hideMark/>
          </w:tcPr>
          <w:p w:rsidR="00406CAE" w:rsidRDefault="00DF28E1" w:rsidP="00455FC7">
            <w:pPr>
              <w:jc w:val="center"/>
              <w:rPr>
                <w:rFonts w:ascii="Times New Roman" w:hAnsi="Times New Roman"/>
                <w:color w:val="000000"/>
                <w:lang w:val="es-AR" w:eastAsia="es-AR"/>
              </w:rPr>
            </w:pPr>
            <w:r w:rsidRPr="00DF28E1">
              <w:rPr>
                <w:rFonts w:ascii="Times New Roman" w:hAnsi="Times New Roman"/>
                <w:color w:val="000000"/>
                <w:lang w:val="es-AR" w:eastAsia="es-AR"/>
              </w:rPr>
              <w:t>24.000</w:t>
            </w:r>
          </w:p>
        </w:tc>
        <w:tc>
          <w:tcPr>
            <w:tcW w:w="1276" w:type="dxa"/>
            <w:tcBorders>
              <w:top w:val="nil"/>
              <w:left w:val="nil"/>
              <w:bottom w:val="nil"/>
              <w:right w:val="nil"/>
            </w:tcBorders>
            <w:shd w:val="clear" w:color="000000" w:fill="FFFFFF"/>
            <w:noWrap/>
            <w:vAlign w:val="center"/>
            <w:hideMark/>
          </w:tcPr>
          <w:p w:rsidR="00406CAE" w:rsidRDefault="00DF28E1" w:rsidP="00455FC7">
            <w:pPr>
              <w:jc w:val="center"/>
              <w:rPr>
                <w:rFonts w:ascii="Times New Roman" w:hAnsi="Times New Roman"/>
                <w:color w:val="000000"/>
                <w:lang w:val="es-AR" w:eastAsia="es-AR"/>
              </w:rPr>
            </w:pPr>
            <w:r w:rsidRPr="00DF28E1">
              <w:rPr>
                <w:rFonts w:ascii="Times New Roman" w:hAnsi="Times New Roman"/>
                <w:color w:val="000000"/>
                <w:lang w:val="es-AR" w:eastAsia="es-AR"/>
              </w:rPr>
              <w:t>9.600</w:t>
            </w:r>
          </w:p>
        </w:tc>
      </w:tr>
      <w:tr w:rsidR="001611AB" w:rsidRPr="001611AB" w:rsidTr="00455FC7">
        <w:trPr>
          <w:trHeight w:val="100"/>
        </w:trPr>
        <w:tc>
          <w:tcPr>
            <w:tcW w:w="1706" w:type="dxa"/>
            <w:tcBorders>
              <w:top w:val="nil"/>
              <w:left w:val="nil"/>
              <w:bottom w:val="nil"/>
              <w:right w:val="nil"/>
            </w:tcBorders>
            <w:shd w:val="clear" w:color="000000" w:fill="FFFFFF"/>
            <w:noWrap/>
            <w:vAlign w:val="bottom"/>
            <w:hideMark/>
          </w:tcPr>
          <w:p w:rsidR="001611AB" w:rsidRPr="00455FC7" w:rsidRDefault="00081A23" w:rsidP="001611AB">
            <w:pPr>
              <w:rPr>
                <w:rFonts w:ascii="Times New Roman" w:hAnsi="Times New Roman"/>
                <w:color w:val="000000"/>
                <w:sz w:val="18"/>
                <w:szCs w:val="18"/>
                <w:lang w:val="es-AR" w:eastAsia="es-AR"/>
              </w:rPr>
            </w:pPr>
            <w:r w:rsidRPr="00455FC7">
              <w:rPr>
                <w:rFonts w:ascii="Times New Roman" w:hAnsi="Times New Roman"/>
                <w:color w:val="000000"/>
                <w:sz w:val="18"/>
                <w:szCs w:val="18"/>
                <w:lang w:val="es-AR" w:eastAsia="es-AR"/>
              </w:rPr>
              <w:t>Total</w:t>
            </w:r>
          </w:p>
        </w:tc>
        <w:tc>
          <w:tcPr>
            <w:tcW w:w="1134" w:type="dxa"/>
            <w:tcBorders>
              <w:top w:val="nil"/>
              <w:left w:val="nil"/>
              <w:bottom w:val="nil"/>
              <w:right w:val="nil"/>
            </w:tcBorders>
            <w:shd w:val="clear" w:color="000000" w:fill="FFFFFF"/>
            <w:noWrap/>
            <w:vAlign w:val="bottom"/>
            <w:hideMark/>
          </w:tcPr>
          <w:p w:rsidR="00406CAE" w:rsidRDefault="00406CAE" w:rsidP="00455FC7">
            <w:pPr>
              <w:jc w:val="center"/>
              <w:rPr>
                <w:rFonts w:ascii="Times New Roman" w:hAnsi="Times New Roman"/>
                <w:color w:val="000000"/>
                <w:lang w:val="es-AR" w:eastAsia="es-AR"/>
              </w:rPr>
            </w:pPr>
          </w:p>
        </w:tc>
        <w:tc>
          <w:tcPr>
            <w:tcW w:w="993" w:type="dxa"/>
            <w:tcBorders>
              <w:top w:val="nil"/>
              <w:left w:val="nil"/>
              <w:bottom w:val="nil"/>
              <w:right w:val="nil"/>
            </w:tcBorders>
            <w:shd w:val="clear" w:color="000000" w:fill="FFFFFF"/>
            <w:noWrap/>
            <w:vAlign w:val="bottom"/>
            <w:hideMark/>
          </w:tcPr>
          <w:p w:rsidR="00406CAE" w:rsidRDefault="00406CAE" w:rsidP="00455FC7">
            <w:pPr>
              <w:jc w:val="center"/>
              <w:rPr>
                <w:rFonts w:ascii="Times New Roman" w:hAnsi="Times New Roman"/>
                <w:color w:val="000000"/>
                <w:lang w:val="es-AR" w:eastAsia="es-AR"/>
              </w:rPr>
            </w:pPr>
          </w:p>
        </w:tc>
        <w:tc>
          <w:tcPr>
            <w:tcW w:w="992" w:type="dxa"/>
            <w:tcBorders>
              <w:top w:val="nil"/>
              <w:left w:val="nil"/>
              <w:bottom w:val="nil"/>
              <w:right w:val="nil"/>
            </w:tcBorders>
            <w:shd w:val="clear" w:color="000000" w:fill="FFFFFF"/>
            <w:noWrap/>
            <w:vAlign w:val="bottom"/>
            <w:hideMark/>
          </w:tcPr>
          <w:p w:rsidR="00406CAE" w:rsidRDefault="00406CAE" w:rsidP="00455FC7">
            <w:pPr>
              <w:jc w:val="center"/>
              <w:rPr>
                <w:rFonts w:ascii="Times New Roman" w:hAnsi="Times New Roman"/>
                <w:color w:val="000000"/>
                <w:lang w:val="es-AR" w:eastAsia="es-AR"/>
              </w:rPr>
            </w:pPr>
          </w:p>
        </w:tc>
        <w:tc>
          <w:tcPr>
            <w:tcW w:w="1276" w:type="dxa"/>
            <w:tcBorders>
              <w:top w:val="nil"/>
              <w:left w:val="nil"/>
              <w:bottom w:val="nil"/>
              <w:right w:val="nil"/>
            </w:tcBorders>
            <w:shd w:val="clear" w:color="000000" w:fill="FFFFFF"/>
            <w:noWrap/>
            <w:vAlign w:val="bottom"/>
            <w:hideMark/>
          </w:tcPr>
          <w:p w:rsidR="00406CAE" w:rsidRDefault="00406CAE" w:rsidP="00455FC7">
            <w:pPr>
              <w:jc w:val="center"/>
              <w:rPr>
                <w:rFonts w:ascii="Times New Roman" w:hAnsi="Times New Roman"/>
                <w:color w:val="000000"/>
                <w:lang w:val="es-AR" w:eastAsia="es-AR"/>
              </w:rPr>
            </w:pPr>
          </w:p>
        </w:tc>
        <w:tc>
          <w:tcPr>
            <w:tcW w:w="1417" w:type="dxa"/>
            <w:tcBorders>
              <w:top w:val="nil"/>
              <w:left w:val="nil"/>
              <w:bottom w:val="nil"/>
              <w:right w:val="nil"/>
            </w:tcBorders>
            <w:shd w:val="clear" w:color="000000" w:fill="FFFFFF"/>
            <w:noWrap/>
            <w:vAlign w:val="bottom"/>
            <w:hideMark/>
          </w:tcPr>
          <w:p w:rsidR="00406CAE" w:rsidRDefault="001611AB" w:rsidP="00455FC7">
            <w:pPr>
              <w:jc w:val="center"/>
              <w:rPr>
                <w:rFonts w:ascii="Times New Roman" w:hAnsi="Times New Roman"/>
                <w:color w:val="000000"/>
                <w:lang w:val="es-AR" w:eastAsia="es-AR"/>
              </w:rPr>
            </w:pPr>
            <w:r w:rsidRPr="00DF28E1">
              <w:rPr>
                <w:rFonts w:ascii="Times New Roman" w:hAnsi="Times New Roman"/>
                <w:color w:val="000000"/>
                <w:lang w:val="es-AR" w:eastAsia="es-AR"/>
              </w:rPr>
              <w:t>136.814</w:t>
            </w:r>
          </w:p>
        </w:tc>
        <w:tc>
          <w:tcPr>
            <w:tcW w:w="1276" w:type="dxa"/>
            <w:tcBorders>
              <w:top w:val="nil"/>
              <w:left w:val="nil"/>
              <w:bottom w:val="nil"/>
              <w:right w:val="nil"/>
            </w:tcBorders>
            <w:shd w:val="clear" w:color="000000" w:fill="FFFFFF"/>
            <w:noWrap/>
            <w:vAlign w:val="bottom"/>
            <w:hideMark/>
          </w:tcPr>
          <w:p w:rsidR="00406CAE" w:rsidRDefault="001611AB" w:rsidP="00455FC7">
            <w:pPr>
              <w:jc w:val="center"/>
              <w:rPr>
                <w:rFonts w:ascii="Times New Roman" w:hAnsi="Times New Roman"/>
                <w:color w:val="000000"/>
                <w:lang w:val="es-AR" w:eastAsia="es-AR"/>
              </w:rPr>
            </w:pPr>
            <w:r w:rsidRPr="00B21683">
              <w:rPr>
                <w:rFonts w:ascii="Times New Roman" w:hAnsi="Times New Roman"/>
                <w:color w:val="000000"/>
                <w:lang w:val="es-AR" w:eastAsia="es-AR"/>
              </w:rPr>
              <w:t>45.618</w:t>
            </w:r>
          </w:p>
        </w:tc>
      </w:tr>
    </w:tbl>
    <w:p w:rsidR="00406CAE" w:rsidRPr="00455FC7" w:rsidRDefault="00406CAE" w:rsidP="00455FC7">
      <w:pPr>
        <w:jc w:val="center"/>
        <w:rPr>
          <w:rFonts w:ascii="Times New Roman" w:hAnsi="Times New Roman"/>
          <w:sz w:val="22"/>
          <w:szCs w:val="22"/>
          <w:lang w:val="es-ES_tradnl"/>
        </w:rPr>
      </w:pPr>
    </w:p>
    <w:p w:rsidR="00190143" w:rsidRDefault="001611AB" w:rsidP="00172FBB">
      <w:pPr>
        <w:pStyle w:val="ListParagraph"/>
        <w:numPr>
          <w:ilvl w:val="1"/>
          <w:numId w:val="12"/>
        </w:numPr>
        <w:jc w:val="both"/>
        <w:rPr>
          <w:rFonts w:ascii="Times New Roman" w:hAnsi="Times New Roman"/>
          <w:sz w:val="22"/>
          <w:szCs w:val="22"/>
          <w:lang w:val="es-ES_tradnl"/>
        </w:rPr>
      </w:pPr>
      <w:r>
        <w:rPr>
          <w:rFonts w:ascii="Times New Roman" w:hAnsi="Times New Roman"/>
          <w:sz w:val="22"/>
          <w:szCs w:val="22"/>
          <w:lang w:val="es-ES_tradnl"/>
        </w:rPr>
        <w:t xml:space="preserve">La estimación </w:t>
      </w:r>
      <w:r w:rsidR="00526A5F">
        <w:rPr>
          <w:rFonts w:ascii="Times New Roman" w:hAnsi="Times New Roman"/>
          <w:sz w:val="22"/>
          <w:szCs w:val="22"/>
          <w:lang w:val="es-ES_tradnl"/>
        </w:rPr>
        <w:t xml:space="preserve">efectuada de esta tipología </w:t>
      </w:r>
      <w:r>
        <w:rPr>
          <w:rFonts w:ascii="Times New Roman" w:hAnsi="Times New Roman"/>
          <w:sz w:val="22"/>
          <w:szCs w:val="22"/>
          <w:lang w:val="es-ES_tradnl"/>
        </w:rPr>
        <w:t xml:space="preserve">(cuyo impacto representa el 1% de los beneficios esperados por la </w:t>
      </w:r>
      <w:r w:rsidR="00EB287D">
        <w:rPr>
          <w:rFonts w:ascii="Times New Roman" w:hAnsi="Times New Roman"/>
          <w:sz w:val="22"/>
          <w:szCs w:val="22"/>
          <w:lang w:val="es-ES_tradnl"/>
        </w:rPr>
        <w:t>reducción derivada de las mejoras implementadas a</w:t>
      </w:r>
      <w:r>
        <w:rPr>
          <w:rFonts w:ascii="Times New Roman" w:hAnsi="Times New Roman"/>
          <w:sz w:val="22"/>
          <w:szCs w:val="22"/>
          <w:lang w:val="es-ES_tradnl"/>
        </w:rPr>
        <w:t xml:space="preserve">l SAT </w:t>
      </w:r>
      <w:r w:rsidR="00EB287D">
        <w:rPr>
          <w:rFonts w:ascii="Times New Roman" w:hAnsi="Times New Roman"/>
          <w:sz w:val="22"/>
          <w:szCs w:val="22"/>
          <w:lang w:val="es-ES_tradnl"/>
        </w:rPr>
        <w:lastRenderedPageBreak/>
        <w:t xml:space="preserve">sobre los efectos del </w:t>
      </w:r>
      <w:r>
        <w:rPr>
          <w:rFonts w:ascii="Times New Roman" w:hAnsi="Times New Roman"/>
          <w:sz w:val="22"/>
          <w:szCs w:val="22"/>
          <w:lang w:val="es-ES_tradnl"/>
        </w:rPr>
        <w:t>tsunami) respo</w:t>
      </w:r>
      <w:r w:rsidR="00F73EDB">
        <w:rPr>
          <w:rFonts w:ascii="Times New Roman" w:hAnsi="Times New Roman"/>
          <w:sz w:val="22"/>
          <w:szCs w:val="22"/>
          <w:lang w:val="es-ES_tradnl"/>
        </w:rPr>
        <w:t xml:space="preserve">nde a un conjunto de supuestos. La referencia a la afectación máxima se refiere a lo siguiente: </w:t>
      </w:r>
      <w:r>
        <w:rPr>
          <w:rFonts w:ascii="Times New Roman" w:hAnsi="Times New Roman"/>
          <w:sz w:val="22"/>
          <w:szCs w:val="22"/>
          <w:lang w:val="es-ES_tradnl"/>
        </w:rPr>
        <w:t xml:space="preserve">(a) </w:t>
      </w:r>
      <w:r w:rsidR="00F73EDB">
        <w:rPr>
          <w:rFonts w:ascii="Times New Roman" w:hAnsi="Times New Roman"/>
          <w:sz w:val="22"/>
          <w:szCs w:val="22"/>
          <w:lang w:val="es-ES_tradnl"/>
        </w:rPr>
        <w:t xml:space="preserve">el porcentaje de </w:t>
      </w:r>
      <w:r>
        <w:rPr>
          <w:rFonts w:ascii="Times New Roman" w:hAnsi="Times New Roman"/>
          <w:sz w:val="22"/>
          <w:szCs w:val="22"/>
          <w:lang w:val="es-ES_tradnl"/>
        </w:rPr>
        <w:t xml:space="preserve">viviendas </w:t>
      </w:r>
      <w:r w:rsidR="00F73EDB">
        <w:rPr>
          <w:rFonts w:ascii="Times New Roman" w:hAnsi="Times New Roman"/>
          <w:sz w:val="22"/>
          <w:szCs w:val="22"/>
          <w:lang w:val="es-ES_tradnl"/>
        </w:rPr>
        <w:t xml:space="preserve">alcanzadas </w:t>
      </w:r>
      <w:r>
        <w:rPr>
          <w:rFonts w:ascii="Times New Roman" w:hAnsi="Times New Roman"/>
          <w:sz w:val="22"/>
          <w:szCs w:val="22"/>
          <w:lang w:val="es-ES_tradnl"/>
        </w:rPr>
        <w:t xml:space="preserve">fue establecido </w:t>
      </w:r>
      <w:r w:rsidR="00F73EDB">
        <w:rPr>
          <w:rFonts w:ascii="Times New Roman" w:hAnsi="Times New Roman"/>
          <w:sz w:val="22"/>
          <w:szCs w:val="22"/>
          <w:lang w:val="es-ES_tradnl"/>
        </w:rPr>
        <w:t xml:space="preserve">en 11 veces la pérdida de vidas estimada, </w:t>
      </w:r>
      <w:r>
        <w:rPr>
          <w:rFonts w:ascii="Times New Roman" w:hAnsi="Times New Roman"/>
          <w:sz w:val="22"/>
          <w:szCs w:val="22"/>
          <w:lang w:val="es-ES_tradnl"/>
        </w:rPr>
        <w:t>tomando en cuenta los resultados del ejercicio de simulación realizado en Perú</w:t>
      </w:r>
      <w:r>
        <w:rPr>
          <w:rStyle w:val="FootnoteReference"/>
          <w:rFonts w:ascii="Times New Roman" w:hAnsi="Times New Roman"/>
          <w:sz w:val="22"/>
          <w:szCs w:val="22"/>
          <w:lang w:val="es-ES_tradnl"/>
        </w:rPr>
        <w:footnoteReference w:id="45"/>
      </w:r>
      <w:r w:rsidR="00F73EDB">
        <w:rPr>
          <w:rFonts w:ascii="Times New Roman" w:hAnsi="Times New Roman"/>
          <w:sz w:val="22"/>
          <w:szCs w:val="22"/>
          <w:lang w:val="es-ES_tradnl"/>
        </w:rPr>
        <w:t xml:space="preserve">. De esta forma se estableció en el 22% de las viviendas del área expuesta  (el impacto máximo en términos de vidas se fijó en el 2% de la población expustas), (b) en escuelas y centros de </w:t>
      </w:r>
      <w:r w:rsidR="00DF28E1">
        <w:rPr>
          <w:rFonts w:ascii="Times New Roman" w:hAnsi="Times New Roman"/>
          <w:sz w:val="22"/>
          <w:szCs w:val="22"/>
          <w:lang w:val="es-ES_tradnl"/>
        </w:rPr>
        <w:t>salud no se identificaron referencias técnicas para calcular un</w:t>
      </w:r>
      <w:r w:rsidR="00EB287D">
        <w:rPr>
          <w:rFonts w:ascii="Times New Roman" w:hAnsi="Times New Roman"/>
          <w:sz w:val="22"/>
          <w:szCs w:val="22"/>
          <w:lang w:val="es-ES_tradnl"/>
        </w:rPr>
        <w:t xml:space="preserve"> porcentaje de</w:t>
      </w:r>
      <w:r w:rsidR="00DF28E1">
        <w:rPr>
          <w:rFonts w:ascii="Times New Roman" w:hAnsi="Times New Roman"/>
          <w:sz w:val="22"/>
          <w:szCs w:val="22"/>
          <w:lang w:val="es-ES_tradnl"/>
        </w:rPr>
        <w:t xml:space="preserve"> afectación, por lo que se adoptó discrecionalmente el criterio de que el 50% de los mismos serían alcanzados por los efectos del tsunami. </w:t>
      </w:r>
      <w:r w:rsidR="00190143">
        <w:rPr>
          <w:rFonts w:ascii="Times New Roman" w:hAnsi="Times New Roman"/>
          <w:sz w:val="22"/>
          <w:szCs w:val="22"/>
          <w:lang w:val="es-ES_tradnl"/>
        </w:rPr>
        <w:t>A partir de esos cálculos l</w:t>
      </w:r>
      <w:r w:rsidR="00DF28E1">
        <w:rPr>
          <w:rFonts w:ascii="Times New Roman" w:hAnsi="Times New Roman"/>
          <w:sz w:val="22"/>
          <w:szCs w:val="22"/>
          <w:lang w:val="es-ES_tradnl"/>
        </w:rPr>
        <w:t xml:space="preserve">a columna de impacto anual refleja el daño anual físico </w:t>
      </w:r>
      <w:r w:rsidR="00190143">
        <w:rPr>
          <w:rFonts w:ascii="Times New Roman" w:hAnsi="Times New Roman"/>
          <w:sz w:val="22"/>
          <w:szCs w:val="22"/>
          <w:lang w:val="es-ES_tradnl"/>
        </w:rPr>
        <w:t xml:space="preserve">que luego de ser valorizado es </w:t>
      </w:r>
      <w:r w:rsidR="00DF28E1">
        <w:rPr>
          <w:rFonts w:ascii="Times New Roman" w:hAnsi="Times New Roman"/>
          <w:sz w:val="22"/>
          <w:szCs w:val="22"/>
          <w:lang w:val="es-ES_tradnl"/>
        </w:rPr>
        <w:t xml:space="preserve">computado en el flujo de fondos del programa. </w:t>
      </w:r>
    </w:p>
    <w:p w:rsidR="00406CAE" w:rsidRDefault="00190143" w:rsidP="00455FC7">
      <w:pPr>
        <w:pStyle w:val="ListParagraph"/>
        <w:numPr>
          <w:ilvl w:val="1"/>
          <w:numId w:val="12"/>
        </w:numPr>
        <w:jc w:val="both"/>
        <w:rPr>
          <w:rFonts w:ascii="Times New Roman" w:hAnsi="Times New Roman"/>
          <w:sz w:val="22"/>
          <w:szCs w:val="22"/>
          <w:lang w:val="es-ES_tradnl"/>
        </w:rPr>
      </w:pPr>
      <w:r w:rsidRPr="00EA0126">
        <w:rPr>
          <w:rFonts w:ascii="Times New Roman" w:hAnsi="Times New Roman"/>
          <w:sz w:val="22"/>
          <w:szCs w:val="22"/>
          <w:lang w:val="es-ES_tradnl"/>
        </w:rPr>
        <w:t>El AE requiere asignar una valoración a esos conceptos</w:t>
      </w:r>
      <w:r w:rsidR="00EB287D">
        <w:rPr>
          <w:rFonts w:ascii="Times New Roman" w:hAnsi="Times New Roman"/>
          <w:sz w:val="22"/>
          <w:szCs w:val="22"/>
          <w:lang w:val="es-ES_tradnl"/>
        </w:rPr>
        <w:t xml:space="preserve"> físicos establecidos</w:t>
      </w:r>
      <w:r w:rsidRPr="00EA0126">
        <w:rPr>
          <w:rFonts w:ascii="Times New Roman" w:hAnsi="Times New Roman"/>
          <w:sz w:val="22"/>
          <w:szCs w:val="22"/>
          <w:lang w:val="es-ES_tradnl"/>
        </w:rPr>
        <w:t>. Por su parte, l</w:t>
      </w:r>
      <w:r w:rsidR="00DF28E1" w:rsidRPr="00EA0126">
        <w:rPr>
          <w:rFonts w:ascii="Times New Roman" w:hAnsi="Times New Roman"/>
          <w:sz w:val="22"/>
          <w:szCs w:val="22"/>
          <w:lang w:val="es-ES_tradnl"/>
        </w:rPr>
        <w:t xml:space="preserve">os costos unitarios de los bienes afectados en escuelas y centros de salud se </w:t>
      </w:r>
      <w:r w:rsidR="00DF28E1" w:rsidRPr="00AF7FE9">
        <w:rPr>
          <w:rFonts w:ascii="Times New Roman" w:hAnsi="Times New Roman"/>
          <w:sz w:val="22"/>
          <w:szCs w:val="22"/>
          <w:lang w:val="es-ES_tradnl"/>
        </w:rPr>
        <w:t xml:space="preserve">vinculan con las </w:t>
      </w:r>
      <w:r w:rsidR="00DF28E1" w:rsidRPr="009D33DE">
        <w:rPr>
          <w:rFonts w:ascii="Times New Roman" w:hAnsi="Times New Roman"/>
          <w:sz w:val="22"/>
          <w:szCs w:val="22"/>
          <w:lang w:val="es-ES_tradnl"/>
        </w:rPr>
        <w:t xml:space="preserve">pérdidas calculadas </w:t>
      </w:r>
      <w:r w:rsidR="00EB287D">
        <w:rPr>
          <w:rFonts w:ascii="Times New Roman" w:hAnsi="Times New Roman"/>
          <w:sz w:val="22"/>
          <w:szCs w:val="22"/>
          <w:lang w:val="es-ES_tradnl"/>
        </w:rPr>
        <w:t xml:space="preserve">en los ejercicios de revisión realizados </w:t>
      </w:r>
      <w:r w:rsidR="00DF28E1" w:rsidRPr="00B21683">
        <w:rPr>
          <w:rFonts w:ascii="Times New Roman" w:hAnsi="Times New Roman"/>
          <w:sz w:val="22"/>
          <w:szCs w:val="22"/>
          <w:lang w:val="es-ES_tradnl"/>
        </w:rPr>
        <w:t xml:space="preserve">en este tipo de </w:t>
      </w:r>
      <w:r w:rsidR="00DF28E1" w:rsidRPr="0067078A">
        <w:rPr>
          <w:rFonts w:ascii="Times New Roman" w:hAnsi="Times New Roman"/>
          <w:sz w:val="22"/>
          <w:szCs w:val="22"/>
          <w:lang w:val="es-ES_tradnl"/>
        </w:rPr>
        <w:t>instituciones dura</w:t>
      </w:r>
      <w:r w:rsidR="00DF28E1" w:rsidRPr="007B50B7">
        <w:rPr>
          <w:rFonts w:ascii="Times New Roman" w:hAnsi="Times New Roman"/>
          <w:sz w:val="22"/>
          <w:szCs w:val="22"/>
          <w:lang w:val="es-ES_tradnl"/>
        </w:rPr>
        <w:t>nte el Terremoto de abril de 2016.</w:t>
      </w:r>
      <w:r w:rsidR="00DF28E1" w:rsidRPr="002277EA">
        <w:rPr>
          <w:rFonts w:ascii="Times New Roman" w:hAnsi="Times New Roman"/>
          <w:sz w:val="22"/>
          <w:szCs w:val="22"/>
          <w:lang w:val="es-ES_tradnl"/>
        </w:rPr>
        <w:t xml:space="preserve"> Los reportes sobre el mismo</w:t>
      </w:r>
      <w:r w:rsidR="00DF28E1">
        <w:rPr>
          <w:rStyle w:val="FootnoteReference"/>
          <w:rFonts w:ascii="Times New Roman" w:hAnsi="Times New Roman"/>
          <w:sz w:val="22"/>
          <w:szCs w:val="22"/>
          <w:lang w:val="es-ES_tradnl"/>
        </w:rPr>
        <w:footnoteReference w:id="46"/>
      </w:r>
      <w:r w:rsidR="00EB287D">
        <w:rPr>
          <w:rFonts w:ascii="Times New Roman" w:hAnsi="Times New Roman"/>
          <w:sz w:val="22"/>
          <w:szCs w:val="22"/>
          <w:lang w:val="es-ES_tradnl"/>
        </w:rPr>
        <w:t xml:space="preserve"> </w:t>
      </w:r>
      <w:r w:rsidRPr="00EA0126">
        <w:rPr>
          <w:rFonts w:ascii="Times New Roman" w:hAnsi="Times New Roman"/>
          <w:sz w:val="22"/>
          <w:szCs w:val="22"/>
          <w:lang w:val="es-ES_tradnl"/>
        </w:rPr>
        <w:t>determina</w:t>
      </w:r>
      <w:r w:rsidR="00EB287D">
        <w:rPr>
          <w:rFonts w:ascii="Times New Roman" w:hAnsi="Times New Roman"/>
          <w:sz w:val="22"/>
          <w:szCs w:val="22"/>
          <w:lang w:val="es-ES_tradnl"/>
        </w:rPr>
        <w:t>ro</w:t>
      </w:r>
      <w:r w:rsidRPr="00EA0126">
        <w:rPr>
          <w:rFonts w:ascii="Times New Roman" w:hAnsi="Times New Roman"/>
          <w:sz w:val="22"/>
          <w:szCs w:val="22"/>
          <w:lang w:val="es-ES_tradnl"/>
        </w:rPr>
        <w:t>n daños que incluyen infraestructura y bienes muebles</w:t>
      </w:r>
      <w:r w:rsidR="00EB287D">
        <w:rPr>
          <w:rFonts w:ascii="Times New Roman" w:hAnsi="Times New Roman"/>
          <w:sz w:val="22"/>
          <w:szCs w:val="22"/>
          <w:lang w:val="es-ES_tradnl"/>
        </w:rPr>
        <w:t>. Dado que se asume que el sistema de alerta no modificará los impactos negarivos sobre la infraestructura fija, se</w:t>
      </w:r>
      <w:r w:rsidRPr="00EA0126">
        <w:rPr>
          <w:rFonts w:ascii="Times New Roman" w:hAnsi="Times New Roman"/>
          <w:sz w:val="22"/>
          <w:szCs w:val="22"/>
          <w:lang w:val="es-ES_tradnl"/>
        </w:rPr>
        <w:t xml:space="preserve"> adopt</w:t>
      </w:r>
      <w:r w:rsidR="00EB287D">
        <w:rPr>
          <w:rFonts w:ascii="Times New Roman" w:hAnsi="Times New Roman"/>
          <w:sz w:val="22"/>
          <w:szCs w:val="22"/>
          <w:lang w:val="es-ES_tradnl"/>
        </w:rPr>
        <w:t>ó</w:t>
      </w:r>
      <w:r w:rsidRPr="00EA0126">
        <w:rPr>
          <w:rFonts w:ascii="Times New Roman" w:hAnsi="Times New Roman"/>
          <w:sz w:val="22"/>
          <w:szCs w:val="22"/>
          <w:lang w:val="es-ES_tradnl"/>
        </w:rPr>
        <w:t xml:space="preserve"> a los fines de los cálculos de este documento que el 20% </w:t>
      </w:r>
      <w:r w:rsidR="00F238E1">
        <w:rPr>
          <w:rFonts w:ascii="Times New Roman" w:hAnsi="Times New Roman"/>
          <w:sz w:val="22"/>
          <w:szCs w:val="22"/>
          <w:lang w:val="es-ES_tradnl"/>
        </w:rPr>
        <w:t xml:space="preserve">dicho valor </w:t>
      </w:r>
      <w:r w:rsidRPr="00EA0126">
        <w:rPr>
          <w:rFonts w:ascii="Times New Roman" w:hAnsi="Times New Roman"/>
          <w:sz w:val="22"/>
          <w:szCs w:val="22"/>
          <w:lang w:val="es-ES_tradnl"/>
        </w:rPr>
        <w:t>correspo</w:t>
      </w:r>
      <w:r w:rsidRPr="00B21683">
        <w:rPr>
          <w:rFonts w:ascii="Times New Roman" w:hAnsi="Times New Roman"/>
          <w:sz w:val="22"/>
          <w:szCs w:val="22"/>
          <w:lang w:val="es-ES_tradnl"/>
        </w:rPr>
        <w:t xml:space="preserve">nde a </w:t>
      </w:r>
      <w:r w:rsidRPr="0067078A">
        <w:rPr>
          <w:rFonts w:ascii="Times New Roman" w:hAnsi="Times New Roman"/>
          <w:sz w:val="22"/>
          <w:szCs w:val="22"/>
          <w:lang w:val="es-ES_tradnl"/>
        </w:rPr>
        <w:t>l</w:t>
      </w:r>
      <w:r w:rsidR="00F238E1">
        <w:rPr>
          <w:rFonts w:ascii="Times New Roman" w:hAnsi="Times New Roman"/>
          <w:sz w:val="22"/>
          <w:szCs w:val="22"/>
          <w:lang w:val="es-ES_tradnl"/>
        </w:rPr>
        <w:t xml:space="preserve">a porción de </w:t>
      </w:r>
      <w:r w:rsidRPr="007B50B7">
        <w:rPr>
          <w:rFonts w:ascii="Times New Roman" w:hAnsi="Times New Roman"/>
          <w:sz w:val="22"/>
          <w:szCs w:val="22"/>
          <w:lang w:val="es-ES_tradnl"/>
        </w:rPr>
        <w:t>bienes muebles</w:t>
      </w:r>
      <w:r w:rsidR="00F238E1">
        <w:rPr>
          <w:rFonts w:ascii="Times New Roman" w:hAnsi="Times New Roman"/>
          <w:sz w:val="22"/>
          <w:szCs w:val="22"/>
          <w:lang w:val="es-ES_tradnl"/>
        </w:rPr>
        <w:t xml:space="preserve"> desplazables</w:t>
      </w:r>
      <w:r w:rsidRPr="007B50B7">
        <w:rPr>
          <w:rFonts w:ascii="Times New Roman" w:hAnsi="Times New Roman"/>
          <w:sz w:val="22"/>
          <w:szCs w:val="22"/>
          <w:lang w:val="es-ES_tradnl"/>
        </w:rPr>
        <w:t xml:space="preserve">. Con respecto a los bienes muebles </w:t>
      </w:r>
      <w:r w:rsidR="00F238E1">
        <w:rPr>
          <w:rFonts w:ascii="Times New Roman" w:hAnsi="Times New Roman"/>
          <w:sz w:val="22"/>
          <w:szCs w:val="22"/>
          <w:lang w:val="es-ES_tradnl"/>
        </w:rPr>
        <w:t xml:space="preserve">personales en los hogares </w:t>
      </w:r>
      <w:r w:rsidRPr="007B50B7">
        <w:rPr>
          <w:rFonts w:ascii="Times New Roman" w:hAnsi="Times New Roman"/>
          <w:sz w:val="22"/>
          <w:szCs w:val="22"/>
          <w:lang w:val="es-ES_tradnl"/>
        </w:rPr>
        <w:t>se asumió</w:t>
      </w:r>
      <w:r w:rsidRPr="002277EA">
        <w:rPr>
          <w:rFonts w:ascii="Times New Roman" w:hAnsi="Times New Roman"/>
          <w:sz w:val="22"/>
          <w:szCs w:val="22"/>
          <w:lang w:val="es-ES_tradnl"/>
        </w:rPr>
        <w:t xml:space="preserve"> un valor de pérdida de US$ 1.000 por vivienda</w:t>
      </w:r>
      <w:r w:rsidRPr="008451BF">
        <w:rPr>
          <w:rFonts w:ascii="Times New Roman" w:hAnsi="Times New Roman"/>
          <w:sz w:val="22"/>
          <w:szCs w:val="22"/>
          <w:lang w:val="es-ES_tradnl"/>
        </w:rPr>
        <w:t xml:space="preserve"> (siguiendo la referencia del Terremoto de abril, el dañ</w:t>
      </w:r>
      <w:r w:rsidRPr="00131C91">
        <w:rPr>
          <w:rFonts w:ascii="Times New Roman" w:hAnsi="Times New Roman"/>
          <w:sz w:val="22"/>
          <w:szCs w:val="22"/>
          <w:lang w:val="es-ES_tradnl"/>
        </w:rPr>
        <w:t>o promedio por vivienda había alcanzado a US$ 14.800 en promedio, sin datos que permitan su discriminación en bienes muebles e inmuebles).</w:t>
      </w:r>
      <w:r w:rsidRPr="00EA0126">
        <w:rPr>
          <w:rFonts w:ascii="Times New Roman" w:hAnsi="Times New Roman"/>
          <w:sz w:val="22"/>
          <w:szCs w:val="22"/>
          <w:lang w:val="es-ES_tradnl"/>
        </w:rPr>
        <w:t xml:space="preserve">  </w:t>
      </w:r>
      <w:r w:rsidR="00EA0126" w:rsidRPr="00EA0126">
        <w:rPr>
          <w:rFonts w:ascii="Times New Roman" w:hAnsi="Times New Roman"/>
          <w:sz w:val="22"/>
          <w:szCs w:val="22"/>
          <w:lang w:val="es-ES_tradnl"/>
        </w:rPr>
        <w:t xml:space="preserve">A partir de los valores unitarios y las </w:t>
      </w:r>
      <w:r w:rsidR="00F238E1">
        <w:rPr>
          <w:rFonts w:ascii="Times New Roman" w:hAnsi="Times New Roman"/>
          <w:sz w:val="22"/>
          <w:szCs w:val="22"/>
          <w:lang w:val="es-ES_tradnl"/>
        </w:rPr>
        <w:t>cantidades afectadas</w:t>
      </w:r>
      <w:r w:rsidR="00EA0126" w:rsidRPr="00EA0126">
        <w:rPr>
          <w:rFonts w:ascii="Times New Roman" w:hAnsi="Times New Roman"/>
          <w:sz w:val="22"/>
          <w:szCs w:val="22"/>
          <w:lang w:val="es-ES_tradnl"/>
        </w:rPr>
        <w:t xml:space="preserve"> se puede establecer el Costo Anual estimado de pérdida de bienes (es decir la Situación Sin proyecto). En el apartado </w:t>
      </w:r>
      <w:r w:rsidR="00081A23" w:rsidRPr="00455FC7">
        <w:rPr>
          <w:rFonts w:ascii="Times New Roman" w:hAnsi="Times New Roman"/>
          <w:i/>
          <w:sz w:val="22"/>
          <w:szCs w:val="22"/>
          <w:lang w:val="es-ES_tradnl"/>
        </w:rPr>
        <w:t>Parámetros para la cuantificación del efecto beneficio SAT</w:t>
      </w:r>
      <w:r w:rsidR="00EA0126" w:rsidRPr="00EA0126">
        <w:rPr>
          <w:rFonts w:ascii="Times New Roman" w:hAnsi="Times New Roman"/>
          <w:sz w:val="22"/>
          <w:szCs w:val="22"/>
          <w:lang w:val="es-ES_tradnl"/>
        </w:rPr>
        <w:t xml:space="preserve"> </w:t>
      </w:r>
      <w:r w:rsidR="006A10F1">
        <w:rPr>
          <w:rFonts w:ascii="Times New Roman" w:hAnsi="Times New Roman"/>
          <w:sz w:val="22"/>
          <w:szCs w:val="22"/>
          <w:lang w:val="es-ES_tradnl"/>
        </w:rPr>
        <w:t>q</w:t>
      </w:r>
      <w:r w:rsidR="00EA0126" w:rsidRPr="00EA0126">
        <w:rPr>
          <w:rFonts w:ascii="Times New Roman" w:hAnsi="Times New Roman"/>
          <w:sz w:val="22"/>
          <w:szCs w:val="22"/>
          <w:lang w:val="es-ES_tradnl"/>
        </w:rPr>
        <w:t xml:space="preserve">ue se presenta más adelante en este Capítulo se expresan los fundamentos de la reducción esperada en términos de pérdida de </w:t>
      </w:r>
      <w:r w:rsidR="00EA0126">
        <w:rPr>
          <w:rFonts w:ascii="Times New Roman" w:hAnsi="Times New Roman"/>
          <w:sz w:val="22"/>
          <w:szCs w:val="22"/>
          <w:lang w:val="es-ES_tradnl"/>
        </w:rPr>
        <w:t>bienes la cual se estimó en un 30% para bienes muebles del hogar y un 40% en bienes muebles y equipos desplazables de escuelas y centros de salud</w:t>
      </w:r>
      <w:r w:rsidR="006A10F1">
        <w:rPr>
          <w:rStyle w:val="FootnoteReference"/>
          <w:rFonts w:ascii="Times New Roman" w:hAnsi="Times New Roman"/>
          <w:sz w:val="22"/>
          <w:szCs w:val="22"/>
          <w:lang w:val="es-ES_tradnl"/>
        </w:rPr>
        <w:footnoteReference w:id="47"/>
      </w:r>
      <w:r w:rsidR="00EA0126">
        <w:rPr>
          <w:rFonts w:ascii="Times New Roman" w:hAnsi="Times New Roman"/>
          <w:sz w:val="22"/>
          <w:szCs w:val="22"/>
          <w:lang w:val="es-ES_tradnl"/>
        </w:rPr>
        <w:t xml:space="preserve">. </w:t>
      </w:r>
    </w:p>
    <w:p w:rsidR="00406CAE" w:rsidRDefault="00406CAE" w:rsidP="00455FC7">
      <w:pPr>
        <w:pStyle w:val="ListParagraph"/>
        <w:ind w:left="718"/>
        <w:jc w:val="both"/>
        <w:rPr>
          <w:rFonts w:ascii="Times New Roman" w:hAnsi="Times New Roman"/>
          <w:sz w:val="22"/>
          <w:szCs w:val="22"/>
          <w:lang w:val="es-ES_tradnl"/>
        </w:rPr>
      </w:pPr>
    </w:p>
    <w:p w:rsidR="00C66AFC" w:rsidRDefault="00C66AFC" w:rsidP="00190143">
      <w:pPr>
        <w:pStyle w:val="ListParagraph"/>
        <w:numPr>
          <w:ilvl w:val="1"/>
          <w:numId w:val="12"/>
        </w:numPr>
        <w:jc w:val="both"/>
        <w:rPr>
          <w:rFonts w:ascii="Times New Roman" w:hAnsi="Times New Roman"/>
          <w:sz w:val="22"/>
          <w:szCs w:val="22"/>
          <w:lang w:val="es-ES_tradnl"/>
        </w:rPr>
      </w:pPr>
      <w:r w:rsidRPr="00190143">
        <w:rPr>
          <w:rFonts w:ascii="Times New Roman" w:hAnsi="Times New Roman"/>
          <w:sz w:val="22"/>
          <w:szCs w:val="22"/>
          <w:lang w:val="es-ES_tradnl"/>
        </w:rPr>
        <w:t>Con respecto a los daños de bienes por desbordamiento de ríos</w:t>
      </w:r>
      <w:r w:rsidR="008451BF">
        <w:rPr>
          <w:rFonts w:ascii="Times New Roman" w:hAnsi="Times New Roman"/>
          <w:sz w:val="22"/>
          <w:szCs w:val="22"/>
          <w:lang w:val="es-ES_tradnl"/>
        </w:rPr>
        <w:t>, la experiencia muestra impactos recurrentes año tras año</w:t>
      </w:r>
      <w:r w:rsidR="006A10F1">
        <w:rPr>
          <w:rFonts w:ascii="Times New Roman" w:hAnsi="Times New Roman"/>
          <w:sz w:val="22"/>
          <w:szCs w:val="22"/>
          <w:lang w:val="es-ES_tradnl"/>
        </w:rPr>
        <w:t xml:space="preserve"> a partir de los cuale se ha elaborado la siguiente estimación.</w:t>
      </w:r>
    </w:p>
    <w:p w:rsidR="00190143" w:rsidRDefault="00AF7FE9" w:rsidP="00AF7FE9">
      <w:pPr>
        <w:pStyle w:val="ListParagraph"/>
        <w:ind w:left="718"/>
        <w:jc w:val="both"/>
        <w:rPr>
          <w:rFonts w:ascii="Times New Roman" w:hAnsi="Times New Roman"/>
          <w:lang w:val="es-AR"/>
        </w:rPr>
      </w:pPr>
      <w:r w:rsidRPr="008C1ABC">
        <w:rPr>
          <w:rFonts w:ascii="Times New Roman" w:hAnsi="Times New Roman"/>
          <w:b/>
          <w:lang w:val="es-AR"/>
        </w:rPr>
        <w:t xml:space="preserve">Tabla </w:t>
      </w:r>
      <w:r w:rsidR="00081A23" w:rsidRPr="008C1ABC">
        <w:rPr>
          <w:rFonts w:ascii="Times New Roman" w:hAnsi="Times New Roman"/>
          <w:b/>
        </w:rPr>
        <w:fldChar w:fldCharType="begin"/>
      </w:r>
      <w:r w:rsidRPr="008C1ABC">
        <w:rPr>
          <w:rFonts w:ascii="Times New Roman" w:hAnsi="Times New Roman"/>
          <w:b/>
          <w:lang w:val="es-AR"/>
        </w:rPr>
        <w:instrText xml:space="preserve"> SEQ Tabla \* ARABIC </w:instrText>
      </w:r>
      <w:r w:rsidR="00081A23" w:rsidRPr="008C1ABC">
        <w:rPr>
          <w:rFonts w:ascii="Times New Roman" w:hAnsi="Times New Roman"/>
          <w:b/>
        </w:rPr>
        <w:fldChar w:fldCharType="separate"/>
      </w:r>
      <w:r w:rsidR="006A10F1">
        <w:rPr>
          <w:rFonts w:ascii="Times New Roman" w:hAnsi="Times New Roman"/>
          <w:b/>
          <w:noProof/>
          <w:lang w:val="es-AR"/>
        </w:rPr>
        <w:t>12</w:t>
      </w:r>
      <w:r w:rsidR="00081A23" w:rsidRPr="008C1ABC">
        <w:rPr>
          <w:rFonts w:ascii="Times New Roman" w:hAnsi="Times New Roman"/>
          <w:b/>
        </w:rPr>
        <w:fldChar w:fldCharType="end"/>
      </w:r>
      <w:r w:rsidRPr="00DD3EE5">
        <w:rPr>
          <w:rFonts w:ascii="Times New Roman" w:hAnsi="Times New Roman"/>
          <w:lang w:val="es-AR"/>
        </w:rPr>
        <w:t xml:space="preserve"> </w:t>
      </w:r>
      <w:r>
        <w:rPr>
          <w:rFonts w:ascii="Times New Roman" w:hAnsi="Times New Roman"/>
          <w:lang w:val="es-AR"/>
        </w:rPr>
        <w:t xml:space="preserve"> </w:t>
      </w:r>
      <w:r w:rsidR="006A10F1">
        <w:rPr>
          <w:rFonts w:ascii="Times New Roman" w:hAnsi="Times New Roman"/>
          <w:lang w:val="es-AR"/>
        </w:rPr>
        <w:t xml:space="preserve"> Desbordamiento ríos</w:t>
      </w:r>
      <w:r>
        <w:rPr>
          <w:rFonts w:ascii="Times New Roman" w:hAnsi="Times New Roman"/>
          <w:lang w:val="es-AR"/>
        </w:rPr>
        <w:t>- Efectos sobre bienes expuestos</w:t>
      </w:r>
      <w:r w:rsidR="006A10F1">
        <w:rPr>
          <w:rFonts w:ascii="Times New Roman" w:hAnsi="Times New Roman"/>
          <w:lang w:val="es-AR"/>
        </w:rPr>
        <w:t>/</w:t>
      </w:r>
      <w:r>
        <w:rPr>
          <w:rFonts w:ascii="Times New Roman" w:hAnsi="Times New Roman"/>
          <w:lang w:val="es-AR"/>
        </w:rPr>
        <w:t xml:space="preserve"> pérdidas evitadas</w:t>
      </w:r>
    </w:p>
    <w:tbl>
      <w:tblPr>
        <w:tblW w:w="9219" w:type="dxa"/>
        <w:tblInd w:w="65" w:type="dxa"/>
        <w:tblCellMar>
          <w:left w:w="70" w:type="dxa"/>
          <w:right w:w="70" w:type="dxa"/>
        </w:tblCellMar>
        <w:tblLook w:val="04A0" w:firstRow="1" w:lastRow="0" w:firstColumn="1" w:lastColumn="0" w:noHBand="0" w:noVBand="1"/>
      </w:tblPr>
      <w:tblGrid>
        <w:gridCol w:w="1565"/>
        <w:gridCol w:w="1134"/>
        <w:gridCol w:w="464"/>
        <w:gridCol w:w="953"/>
        <w:gridCol w:w="284"/>
        <w:gridCol w:w="850"/>
        <w:gridCol w:w="1418"/>
        <w:gridCol w:w="1275"/>
        <w:gridCol w:w="1276"/>
      </w:tblGrid>
      <w:tr w:rsidR="00131C91" w:rsidRPr="006F6989" w:rsidTr="00455FC7">
        <w:trPr>
          <w:trHeight w:val="1020"/>
        </w:trPr>
        <w:tc>
          <w:tcPr>
            <w:tcW w:w="15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31C91" w:rsidRPr="00131C91" w:rsidRDefault="00131C91" w:rsidP="00131C91">
            <w:pPr>
              <w:rPr>
                <w:rFonts w:ascii="Times New Roman" w:hAnsi="Times New Roman"/>
                <w:color w:val="000000"/>
                <w:lang w:val="es-AR" w:eastAsia="es-AR"/>
              </w:rPr>
            </w:pPr>
            <w:r w:rsidRPr="00131C91">
              <w:rPr>
                <w:rFonts w:ascii="Times New Roman" w:hAnsi="Times New Roman"/>
                <w:color w:val="000000"/>
                <w:lang w:val="es-AR" w:eastAsia="es-AR"/>
              </w:rPr>
              <w:t>Infraestructura expuesta</w:t>
            </w:r>
            <w:r>
              <w:rPr>
                <w:rFonts w:ascii="Times New Roman" w:hAnsi="Times New Roman"/>
                <w:color w:val="000000"/>
                <w:lang w:val="es-AR" w:eastAsia="es-AR"/>
              </w:rPr>
              <w:t xml:space="preserve"> </w:t>
            </w:r>
            <w:r w:rsidRPr="00131C91">
              <w:rPr>
                <w:rFonts w:ascii="Times New Roman" w:hAnsi="Times New Roman"/>
                <w:color w:val="000000"/>
                <w:lang w:val="es-AR" w:eastAsia="es-AR"/>
              </w:rPr>
              <w:t xml:space="preserve"> (Cantidad en unidades)</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131C91" w:rsidRPr="00131C91" w:rsidRDefault="00131C91" w:rsidP="00131C91">
            <w:pPr>
              <w:jc w:val="center"/>
              <w:rPr>
                <w:rFonts w:ascii="Times New Roman" w:hAnsi="Times New Roman"/>
                <w:color w:val="000000"/>
                <w:lang w:val="es-AR" w:eastAsia="es-AR"/>
              </w:rPr>
            </w:pPr>
            <w:r w:rsidRPr="00131C91">
              <w:rPr>
                <w:rFonts w:ascii="Times New Roman" w:hAnsi="Times New Roman"/>
                <w:color w:val="000000"/>
                <w:lang w:val="es-AR" w:eastAsia="es-AR"/>
              </w:rPr>
              <w:t>Datos 2016</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131C91" w:rsidRPr="00131C91" w:rsidRDefault="00131C91" w:rsidP="00131C91">
            <w:pPr>
              <w:jc w:val="center"/>
              <w:rPr>
                <w:rFonts w:ascii="Times New Roman" w:hAnsi="Times New Roman"/>
                <w:color w:val="000000"/>
                <w:lang w:val="es-AR" w:eastAsia="es-AR"/>
              </w:rPr>
            </w:pPr>
            <w:r w:rsidRPr="00131C91">
              <w:rPr>
                <w:rFonts w:ascii="Times New Roman" w:hAnsi="Times New Roman"/>
                <w:color w:val="000000"/>
                <w:lang w:val="es-AR" w:eastAsia="es-AR"/>
              </w:rPr>
              <w:t>Tasa Afectación  Prom 2010-2014</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131C91" w:rsidRPr="00131C91" w:rsidRDefault="00131C91" w:rsidP="00131C91">
            <w:pPr>
              <w:jc w:val="center"/>
              <w:rPr>
                <w:rFonts w:ascii="Times New Roman" w:hAnsi="Times New Roman"/>
                <w:color w:val="000000"/>
                <w:lang w:val="es-AR" w:eastAsia="es-AR"/>
              </w:rPr>
            </w:pPr>
            <w:r w:rsidRPr="00131C91">
              <w:rPr>
                <w:rFonts w:ascii="Times New Roman" w:hAnsi="Times New Roman"/>
                <w:color w:val="000000"/>
                <w:lang w:val="es-AR" w:eastAsia="es-AR"/>
              </w:rPr>
              <w:t xml:space="preserve">Impacto anual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131C91" w:rsidRPr="00131C91" w:rsidRDefault="00131C91" w:rsidP="00131C91">
            <w:pPr>
              <w:jc w:val="center"/>
              <w:rPr>
                <w:rFonts w:ascii="Times New Roman" w:hAnsi="Times New Roman"/>
                <w:color w:val="000000"/>
                <w:lang w:val="es-AR" w:eastAsia="es-AR"/>
              </w:rPr>
            </w:pPr>
            <w:r w:rsidRPr="00131C91">
              <w:rPr>
                <w:rFonts w:ascii="Times New Roman" w:hAnsi="Times New Roman"/>
                <w:color w:val="000000"/>
                <w:lang w:val="es-AR" w:eastAsia="es-AR"/>
              </w:rPr>
              <w:t>Costo unitario bienes muebles afectados (US$ por unidad)</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131C91" w:rsidRPr="00131C91" w:rsidRDefault="00131C91" w:rsidP="00131C91">
            <w:pPr>
              <w:jc w:val="center"/>
              <w:rPr>
                <w:rFonts w:ascii="Times New Roman" w:hAnsi="Times New Roman"/>
                <w:color w:val="000000"/>
                <w:lang w:val="es-AR" w:eastAsia="es-AR"/>
              </w:rPr>
            </w:pPr>
            <w:r w:rsidRPr="00131C91">
              <w:rPr>
                <w:rFonts w:ascii="Times New Roman" w:hAnsi="Times New Roman"/>
                <w:color w:val="000000"/>
                <w:lang w:val="es-AR" w:eastAsia="es-AR"/>
              </w:rPr>
              <w:t>Costo  bienes muebles afectados (US$)</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131C91" w:rsidRPr="00131C91" w:rsidRDefault="00131C91" w:rsidP="00131C91">
            <w:pPr>
              <w:jc w:val="center"/>
              <w:rPr>
                <w:rFonts w:ascii="Times New Roman" w:hAnsi="Times New Roman"/>
                <w:color w:val="000000"/>
                <w:lang w:val="es-AR" w:eastAsia="es-AR"/>
              </w:rPr>
            </w:pPr>
            <w:r w:rsidRPr="00131C91">
              <w:rPr>
                <w:rFonts w:ascii="Times New Roman" w:hAnsi="Times New Roman"/>
                <w:color w:val="000000"/>
                <w:lang w:val="es-AR" w:eastAsia="es-AR"/>
              </w:rPr>
              <w:t>Pérdida de bienes muebles evitad</w:t>
            </w:r>
            <w:r>
              <w:rPr>
                <w:rFonts w:ascii="Times New Roman" w:hAnsi="Times New Roman"/>
                <w:color w:val="000000"/>
                <w:lang w:val="es-AR" w:eastAsia="es-AR"/>
              </w:rPr>
              <w:t>a</w:t>
            </w:r>
            <w:r w:rsidRPr="00131C91">
              <w:rPr>
                <w:rFonts w:ascii="Times New Roman" w:hAnsi="Times New Roman"/>
                <w:color w:val="000000"/>
                <w:lang w:val="es-AR" w:eastAsia="es-AR"/>
              </w:rPr>
              <w:t xml:space="preserve"> (US$)</w:t>
            </w:r>
          </w:p>
        </w:tc>
      </w:tr>
      <w:tr w:rsidR="00131C91" w:rsidRPr="00131C91" w:rsidTr="00131C91">
        <w:trPr>
          <w:trHeight w:val="300"/>
        </w:trPr>
        <w:tc>
          <w:tcPr>
            <w:tcW w:w="1565" w:type="dxa"/>
            <w:tcBorders>
              <w:top w:val="nil"/>
              <w:left w:val="nil"/>
              <w:bottom w:val="nil"/>
              <w:right w:val="nil"/>
            </w:tcBorders>
            <w:shd w:val="clear" w:color="000000" w:fill="FFFFFF"/>
            <w:noWrap/>
            <w:vAlign w:val="center"/>
            <w:hideMark/>
          </w:tcPr>
          <w:p w:rsidR="00131C91" w:rsidRPr="00131C91" w:rsidRDefault="00131C91" w:rsidP="00131C91">
            <w:pPr>
              <w:rPr>
                <w:rFonts w:ascii="Times New Roman" w:hAnsi="Times New Roman"/>
                <w:color w:val="000000"/>
                <w:lang w:val="es-AR" w:eastAsia="es-AR"/>
              </w:rPr>
            </w:pPr>
            <w:r w:rsidRPr="00131C91">
              <w:rPr>
                <w:rFonts w:ascii="Times New Roman" w:hAnsi="Times New Roman"/>
                <w:color w:val="000000"/>
                <w:lang w:val="es-AR" w:eastAsia="es-AR"/>
              </w:rPr>
              <w:t>Viviendas</w:t>
            </w:r>
          </w:p>
        </w:tc>
        <w:tc>
          <w:tcPr>
            <w:tcW w:w="1598" w:type="dxa"/>
            <w:gridSpan w:val="2"/>
            <w:tcBorders>
              <w:top w:val="nil"/>
              <w:left w:val="nil"/>
              <w:bottom w:val="nil"/>
              <w:right w:val="nil"/>
            </w:tcBorders>
            <w:shd w:val="clear" w:color="000000" w:fill="FFFFFF"/>
            <w:noWrap/>
            <w:vAlign w:val="center"/>
            <w:hideMark/>
          </w:tcPr>
          <w:p w:rsidR="00406CAE" w:rsidRDefault="00131C91" w:rsidP="00455FC7">
            <w:pPr>
              <w:jc w:val="center"/>
              <w:rPr>
                <w:rFonts w:ascii="Times New Roman" w:hAnsi="Times New Roman"/>
                <w:color w:val="000000"/>
                <w:lang w:val="es-AR" w:eastAsia="es-AR"/>
              </w:rPr>
            </w:pPr>
            <w:r w:rsidRPr="00131C91">
              <w:rPr>
                <w:rFonts w:ascii="Times New Roman" w:hAnsi="Times New Roman"/>
                <w:color w:val="000000"/>
                <w:lang w:val="es-AR" w:eastAsia="es-AR"/>
              </w:rPr>
              <w:t>144.291</w:t>
            </w:r>
          </w:p>
        </w:tc>
        <w:tc>
          <w:tcPr>
            <w:tcW w:w="1237" w:type="dxa"/>
            <w:gridSpan w:val="2"/>
            <w:tcBorders>
              <w:top w:val="nil"/>
              <w:left w:val="nil"/>
              <w:bottom w:val="nil"/>
              <w:right w:val="nil"/>
            </w:tcBorders>
            <w:shd w:val="clear" w:color="000000" w:fill="FFFFFF"/>
            <w:noWrap/>
            <w:vAlign w:val="center"/>
            <w:hideMark/>
          </w:tcPr>
          <w:p w:rsidR="00406CAE" w:rsidRDefault="00131C91" w:rsidP="00455FC7">
            <w:pPr>
              <w:jc w:val="center"/>
              <w:rPr>
                <w:rFonts w:ascii="Times New Roman" w:hAnsi="Times New Roman"/>
                <w:color w:val="000000"/>
                <w:lang w:val="es-AR" w:eastAsia="es-AR"/>
              </w:rPr>
            </w:pPr>
            <w:r w:rsidRPr="00131C91">
              <w:rPr>
                <w:rFonts w:ascii="Times New Roman" w:hAnsi="Times New Roman"/>
                <w:color w:val="000000"/>
                <w:lang w:val="es-AR" w:eastAsia="es-AR"/>
              </w:rPr>
              <w:t>0,48%</w:t>
            </w:r>
          </w:p>
        </w:tc>
        <w:tc>
          <w:tcPr>
            <w:tcW w:w="850" w:type="dxa"/>
            <w:tcBorders>
              <w:top w:val="nil"/>
              <w:left w:val="nil"/>
              <w:bottom w:val="nil"/>
              <w:right w:val="nil"/>
            </w:tcBorders>
            <w:shd w:val="clear" w:color="000000" w:fill="FFFFFF"/>
            <w:noWrap/>
            <w:vAlign w:val="center"/>
            <w:hideMark/>
          </w:tcPr>
          <w:p w:rsidR="00406CAE" w:rsidRDefault="00131C91" w:rsidP="00455FC7">
            <w:pPr>
              <w:jc w:val="center"/>
              <w:rPr>
                <w:rFonts w:ascii="Times New Roman" w:hAnsi="Times New Roman"/>
                <w:color w:val="000000"/>
                <w:lang w:val="es-AR" w:eastAsia="es-AR"/>
              </w:rPr>
            </w:pPr>
            <w:r w:rsidRPr="00131C91">
              <w:rPr>
                <w:rFonts w:ascii="Times New Roman" w:hAnsi="Times New Roman"/>
                <w:color w:val="000000"/>
                <w:lang w:val="es-AR" w:eastAsia="es-AR"/>
              </w:rPr>
              <w:t>693</w:t>
            </w:r>
          </w:p>
        </w:tc>
        <w:tc>
          <w:tcPr>
            <w:tcW w:w="1418" w:type="dxa"/>
            <w:tcBorders>
              <w:top w:val="nil"/>
              <w:left w:val="nil"/>
              <w:bottom w:val="nil"/>
              <w:right w:val="nil"/>
            </w:tcBorders>
            <w:shd w:val="clear" w:color="000000" w:fill="FFFFFF"/>
            <w:noWrap/>
            <w:vAlign w:val="center"/>
            <w:hideMark/>
          </w:tcPr>
          <w:p w:rsidR="00406CAE" w:rsidRDefault="00131C91" w:rsidP="00455FC7">
            <w:pPr>
              <w:jc w:val="center"/>
              <w:rPr>
                <w:rFonts w:ascii="Times New Roman" w:hAnsi="Times New Roman"/>
                <w:color w:val="000000"/>
                <w:lang w:val="es-AR" w:eastAsia="es-AR"/>
              </w:rPr>
            </w:pPr>
            <w:r w:rsidRPr="00131C91">
              <w:rPr>
                <w:rFonts w:ascii="Times New Roman" w:hAnsi="Times New Roman"/>
                <w:color w:val="000000"/>
                <w:lang w:val="es-AR" w:eastAsia="es-AR"/>
              </w:rPr>
              <w:t>1.000</w:t>
            </w:r>
          </w:p>
        </w:tc>
        <w:tc>
          <w:tcPr>
            <w:tcW w:w="1275" w:type="dxa"/>
            <w:tcBorders>
              <w:top w:val="nil"/>
              <w:left w:val="nil"/>
              <w:bottom w:val="nil"/>
              <w:right w:val="nil"/>
            </w:tcBorders>
            <w:shd w:val="clear" w:color="000000" w:fill="FFFFFF"/>
            <w:noWrap/>
            <w:vAlign w:val="center"/>
            <w:hideMark/>
          </w:tcPr>
          <w:p w:rsidR="00406CAE" w:rsidRDefault="00131C91" w:rsidP="00455FC7">
            <w:pPr>
              <w:jc w:val="center"/>
              <w:rPr>
                <w:rFonts w:ascii="Times New Roman" w:hAnsi="Times New Roman"/>
                <w:color w:val="000000"/>
                <w:lang w:val="es-AR" w:eastAsia="es-AR"/>
              </w:rPr>
            </w:pPr>
            <w:r w:rsidRPr="00131C91">
              <w:rPr>
                <w:rFonts w:ascii="Times New Roman" w:hAnsi="Times New Roman"/>
                <w:color w:val="000000"/>
                <w:lang w:val="es-AR" w:eastAsia="es-AR"/>
              </w:rPr>
              <w:t>692.935</w:t>
            </w:r>
          </w:p>
        </w:tc>
        <w:tc>
          <w:tcPr>
            <w:tcW w:w="1276" w:type="dxa"/>
            <w:tcBorders>
              <w:top w:val="nil"/>
              <w:left w:val="nil"/>
              <w:bottom w:val="nil"/>
              <w:right w:val="nil"/>
            </w:tcBorders>
            <w:shd w:val="clear" w:color="000000" w:fill="FFFFFF"/>
            <w:noWrap/>
            <w:vAlign w:val="center"/>
            <w:hideMark/>
          </w:tcPr>
          <w:p w:rsidR="00406CAE" w:rsidRDefault="00131C91" w:rsidP="00455FC7">
            <w:pPr>
              <w:jc w:val="center"/>
              <w:rPr>
                <w:rFonts w:ascii="Times New Roman" w:hAnsi="Times New Roman"/>
                <w:color w:val="000000"/>
                <w:lang w:val="es-AR" w:eastAsia="es-AR"/>
              </w:rPr>
            </w:pPr>
            <w:r w:rsidRPr="00131C91">
              <w:rPr>
                <w:rFonts w:ascii="Times New Roman" w:hAnsi="Times New Roman"/>
                <w:color w:val="000000"/>
                <w:lang w:val="es-AR" w:eastAsia="es-AR"/>
              </w:rPr>
              <w:t>207.880</w:t>
            </w:r>
          </w:p>
        </w:tc>
      </w:tr>
      <w:tr w:rsidR="00131C91" w:rsidRPr="00131C91" w:rsidTr="00131C91">
        <w:trPr>
          <w:trHeight w:val="300"/>
        </w:trPr>
        <w:tc>
          <w:tcPr>
            <w:tcW w:w="1565" w:type="dxa"/>
            <w:tcBorders>
              <w:top w:val="nil"/>
              <w:left w:val="nil"/>
              <w:bottom w:val="nil"/>
              <w:right w:val="nil"/>
            </w:tcBorders>
            <w:shd w:val="clear" w:color="000000" w:fill="FFFFFF"/>
            <w:noWrap/>
            <w:vAlign w:val="center"/>
            <w:hideMark/>
          </w:tcPr>
          <w:p w:rsidR="00131C91" w:rsidRPr="00131C91" w:rsidRDefault="00131C91" w:rsidP="00131C91">
            <w:pPr>
              <w:rPr>
                <w:rFonts w:ascii="Times New Roman" w:hAnsi="Times New Roman"/>
                <w:color w:val="000000"/>
                <w:lang w:val="es-AR" w:eastAsia="es-AR"/>
              </w:rPr>
            </w:pPr>
            <w:r w:rsidRPr="00131C91">
              <w:rPr>
                <w:rFonts w:ascii="Times New Roman" w:hAnsi="Times New Roman"/>
                <w:color w:val="000000"/>
                <w:lang w:val="es-AR" w:eastAsia="es-AR"/>
              </w:rPr>
              <w:t>Escuelas</w:t>
            </w:r>
          </w:p>
        </w:tc>
        <w:tc>
          <w:tcPr>
            <w:tcW w:w="1598" w:type="dxa"/>
            <w:gridSpan w:val="2"/>
            <w:tcBorders>
              <w:top w:val="nil"/>
              <w:left w:val="nil"/>
              <w:bottom w:val="nil"/>
              <w:right w:val="nil"/>
            </w:tcBorders>
            <w:shd w:val="clear" w:color="000000" w:fill="FFFFFF"/>
            <w:noWrap/>
            <w:vAlign w:val="center"/>
            <w:hideMark/>
          </w:tcPr>
          <w:p w:rsidR="00406CAE" w:rsidRDefault="00131C91" w:rsidP="00455FC7">
            <w:pPr>
              <w:jc w:val="center"/>
              <w:rPr>
                <w:rFonts w:ascii="Times New Roman" w:hAnsi="Times New Roman"/>
                <w:color w:val="000000"/>
                <w:lang w:val="es-AR" w:eastAsia="es-AR"/>
              </w:rPr>
            </w:pPr>
            <w:r w:rsidRPr="00131C91">
              <w:rPr>
                <w:rFonts w:ascii="Times New Roman" w:hAnsi="Times New Roman"/>
                <w:color w:val="000000"/>
                <w:lang w:val="es-AR" w:eastAsia="es-AR"/>
              </w:rPr>
              <w:t>613</w:t>
            </w:r>
          </w:p>
        </w:tc>
        <w:tc>
          <w:tcPr>
            <w:tcW w:w="1237" w:type="dxa"/>
            <w:gridSpan w:val="2"/>
            <w:tcBorders>
              <w:top w:val="nil"/>
              <w:left w:val="nil"/>
              <w:bottom w:val="nil"/>
              <w:right w:val="nil"/>
            </w:tcBorders>
            <w:shd w:val="clear" w:color="000000" w:fill="FFFFFF"/>
            <w:noWrap/>
            <w:vAlign w:val="center"/>
            <w:hideMark/>
          </w:tcPr>
          <w:p w:rsidR="00406CAE" w:rsidRDefault="00131C91" w:rsidP="00455FC7">
            <w:pPr>
              <w:jc w:val="center"/>
              <w:rPr>
                <w:rFonts w:ascii="Times New Roman" w:hAnsi="Times New Roman"/>
                <w:color w:val="000000"/>
                <w:lang w:val="es-AR" w:eastAsia="es-AR"/>
              </w:rPr>
            </w:pPr>
            <w:r w:rsidRPr="00131C91">
              <w:rPr>
                <w:rFonts w:ascii="Times New Roman" w:hAnsi="Times New Roman"/>
                <w:color w:val="000000"/>
                <w:lang w:val="es-AR" w:eastAsia="es-AR"/>
              </w:rPr>
              <w:t>5,00%</w:t>
            </w:r>
          </w:p>
        </w:tc>
        <w:tc>
          <w:tcPr>
            <w:tcW w:w="850" w:type="dxa"/>
            <w:tcBorders>
              <w:top w:val="nil"/>
              <w:left w:val="nil"/>
              <w:bottom w:val="nil"/>
              <w:right w:val="nil"/>
            </w:tcBorders>
            <w:shd w:val="clear" w:color="000000" w:fill="FFFFFF"/>
            <w:noWrap/>
            <w:vAlign w:val="center"/>
            <w:hideMark/>
          </w:tcPr>
          <w:p w:rsidR="00406CAE" w:rsidRDefault="00131C91" w:rsidP="00455FC7">
            <w:pPr>
              <w:jc w:val="center"/>
              <w:rPr>
                <w:rFonts w:ascii="Times New Roman" w:hAnsi="Times New Roman"/>
                <w:color w:val="000000"/>
                <w:lang w:val="es-AR" w:eastAsia="es-AR"/>
              </w:rPr>
            </w:pPr>
            <w:r w:rsidRPr="00131C91">
              <w:rPr>
                <w:rFonts w:ascii="Times New Roman" w:hAnsi="Times New Roman"/>
                <w:color w:val="000000"/>
                <w:lang w:val="es-AR" w:eastAsia="es-AR"/>
              </w:rPr>
              <w:t>30,63</w:t>
            </w:r>
          </w:p>
        </w:tc>
        <w:tc>
          <w:tcPr>
            <w:tcW w:w="1418" w:type="dxa"/>
            <w:tcBorders>
              <w:top w:val="nil"/>
              <w:left w:val="nil"/>
              <w:bottom w:val="nil"/>
              <w:right w:val="nil"/>
            </w:tcBorders>
            <w:shd w:val="clear" w:color="000000" w:fill="FFFFFF"/>
            <w:noWrap/>
            <w:vAlign w:val="center"/>
            <w:hideMark/>
          </w:tcPr>
          <w:p w:rsidR="00406CAE" w:rsidRDefault="00131C91" w:rsidP="00455FC7">
            <w:pPr>
              <w:jc w:val="center"/>
              <w:rPr>
                <w:rFonts w:ascii="Times New Roman" w:hAnsi="Times New Roman"/>
                <w:color w:val="000000"/>
                <w:lang w:val="es-AR" w:eastAsia="es-AR"/>
              </w:rPr>
            </w:pPr>
            <w:r w:rsidRPr="00131C91">
              <w:rPr>
                <w:rFonts w:ascii="Times New Roman" w:hAnsi="Times New Roman"/>
                <w:color w:val="000000"/>
                <w:lang w:val="es-AR" w:eastAsia="es-AR"/>
              </w:rPr>
              <w:t>12.423</w:t>
            </w:r>
          </w:p>
        </w:tc>
        <w:tc>
          <w:tcPr>
            <w:tcW w:w="1275" w:type="dxa"/>
            <w:tcBorders>
              <w:top w:val="nil"/>
              <w:left w:val="nil"/>
              <w:bottom w:val="nil"/>
              <w:right w:val="nil"/>
            </w:tcBorders>
            <w:shd w:val="clear" w:color="000000" w:fill="FFFFFF"/>
            <w:noWrap/>
            <w:vAlign w:val="center"/>
            <w:hideMark/>
          </w:tcPr>
          <w:p w:rsidR="00406CAE" w:rsidRDefault="00131C91" w:rsidP="00455FC7">
            <w:pPr>
              <w:jc w:val="center"/>
              <w:rPr>
                <w:rFonts w:ascii="Times New Roman" w:hAnsi="Times New Roman"/>
                <w:color w:val="000000"/>
                <w:lang w:val="es-AR" w:eastAsia="es-AR"/>
              </w:rPr>
            </w:pPr>
            <w:r w:rsidRPr="00131C91">
              <w:rPr>
                <w:rFonts w:ascii="Times New Roman" w:hAnsi="Times New Roman"/>
                <w:color w:val="000000"/>
                <w:lang w:val="es-AR" w:eastAsia="es-AR"/>
              </w:rPr>
              <w:t>380.450</w:t>
            </w:r>
          </w:p>
        </w:tc>
        <w:tc>
          <w:tcPr>
            <w:tcW w:w="1276" w:type="dxa"/>
            <w:tcBorders>
              <w:top w:val="nil"/>
              <w:left w:val="nil"/>
              <w:bottom w:val="nil"/>
              <w:right w:val="nil"/>
            </w:tcBorders>
            <w:shd w:val="clear" w:color="000000" w:fill="FFFFFF"/>
            <w:noWrap/>
            <w:vAlign w:val="center"/>
            <w:hideMark/>
          </w:tcPr>
          <w:p w:rsidR="00406CAE" w:rsidRDefault="00131C91" w:rsidP="00455FC7">
            <w:pPr>
              <w:jc w:val="center"/>
              <w:rPr>
                <w:rFonts w:ascii="Times New Roman" w:hAnsi="Times New Roman"/>
                <w:color w:val="000000"/>
                <w:lang w:val="es-AR" w:eastAsia="es-AR"/>
              </w:rPr>
            </w:pPr>
            <w:r w:rsidRPr="00131C91">
              <w:rPr>
                <w:rFonts w:ascii="Times New Roman" w:hAnsi="Times New Roman"/>
                <w:color w:val="000000"/>
                <w:lang w:val="es-AR" w:eastAsia="es-AR"/>
              </w:rPr>
              <w:t>152.180</w:t>
            </w:r>
          </w:p>
        </w:tc>
      </w:tr>
      <w:tr w:rsidR="00131C91" w:rsidRPr="00131C91" w:rsidTr="00131C91">
        <w:trPr>
          <w:trHeight w:val="300"/>
        </w:trPr>
        <w:tc>
          <w:tcPr>
            <w:tcW w:w="1565" w:type="dxa"/>
            <w:tcBorders>
              <w:top w:val="nil"/>
              <w:left w:val="nil"/>
              <w:bottom w:val="nil"/>
              <w:right w:val="nil"/>
            </w:tcBorders>
            <w:shd w:val="clear" w:color="000000" w:fill="FFFFFF"/>
            <w:noWrap/>
            <w:vAlign w:val="center"/>
            <w:hideMark/>
          </w:tcPr>
          <w:p w:rsidR="00131C91" w:rsidRPr="00131C91" w:rsidRDefault="00131C91" w:rsidP="00131C91">
            <w:pPr>
              <w:rPr>
                <w:rFonts w:ascii="Times New Roman" w:hAnsi="Times New Roman"/>
                <w:color w:val="000000"/>
                <w:lang w:val="es-AR" w:eastAsia="es-AR"/>
              </w:rPr>
            </w:pPr>
            <w:r w:rsidRPr="00131C91">
              <w:rPr>
                <w:rFonts w:ascii="Times New Roman" w:hAnsi="Times New Roman"/>
                <w:color w:val="000000"/>
                <w:lang w:val="es-AR" w:eastAsia="es-AR"/>
              </w:rPr>
              <w:t>Centros de salud</w:t>
            </w:r>
          </w:p>
        </w:tc>
        <w:tc>
          <w:tcPr>
            <w:tcW w:w="1598" w:type="dxa"/>
            <w:gridSpan w:val="2"/>
            <w:tcBorders>
              <w:top w:val="nil"/>
              <w:left w:val="nil"/>
              <w:bottom w:val="nil"/>
              <w:right w:val="nil"/>
            </w:tcBorders>
            <w:shd w:val="clear" w:color="000000" w:fill="FFFFFF"/>
            <w:noWrap/>
            <w:vAlign w:val="center"/>
            <w:hideMark/>
          </w:tcPr>
          <w:p w:rsidR="00406CAE" w:rsidRDefault="00131C91" w:rsidP="00455FC7">
            <w:pPr>
              <w:jc w:val="center"/>
              <w:rPr>
                <w:rFonts w:ascii="Times New Roman" w:hAnsi="Times New Roman"/>
                <w:color w:val="000000"/>
                <w:lang w:val="es-AR" w:eastAsia="es-AR"/>
              </w:rPr>
            </w:pPr>
            <w:r w:rsidRPr="00131C91">
              <w:rPr>
                <w:rFonts w:ascii="Times New Roman" w:hAnsi="Times New Roman"/>
                <w:color w:val="000000"/>
                <w:lang w:val="es-AR" w:eastAsia="es-AR"/>
              </w:rPr>
              <w:t>36</w:t>
            </w:r>
          </w:p>
        </w:tc>
        <w:tc>
          <w:tcPr>
            <w:tcW w:w="1237" w:type="dxa"/>
            <w:gridSpan w:val="2"/>
            <w:tcBorders>
              <w:top w:val="nil"/>
              <w:left w:val="nil"/>
              <w:bottom w:val="nil"/>
              <w:right w:val="nil"/>
            </w:tcBorders>
            <w:shd w:val="clear" w:color="000000" w:fill="FFFFFF"/>
            <w:noWrap/>
            <w:vAlign w:val="center"/>
            <w:hideMark/>
          </w:tcPr>
          <w:p w:rsidR="00406CAE" w:rsidRDefault="00131C91" w:rsidP="00455FC7">
            <w:pPr>
              <w:jc w:val="center"/>
              <w:rPr>
                <w:rFonts w:ascii="Times New Roman" w:hAnsi="Times New Roman"/>
                <w:color w:val="000000"/>
                <w:lang w:val="es-AR" w:eastAsia="es-AR"/>
              </w:rPr>
            </w:pPr>
            <w:r w:rsidRPr="00131C91">
              <w:rPr>
                <w:rFonts w:ascii="Times New Roman" w:hAnsi="Times New Roman"/>
                <w:color w:val="000000"/>
                <w:lang w:val="es-AR" w:eastAsia="es-AR"/>
              </w:rPr>
              <w:t>5,00%</w:t>
            </w:r>
          </w:p>
        </w:tc>
        <w:tc>
          <w:tcPr>
            <w:tcW w:w="850" w:type="dxa"/>
            <w:tcBorders>
              <w:top w:val="nil"/>
              <w:left w:val="nil"/>
              <w:bottom w:val="nil"/>
              <w:right w:val="nil"/>
            </w:tcBorders>
            <w:shd w:val="clear" w:color="000000" w:fill="FFFFFF"/>
            <w:noWrap/>
            <w:vAlign w:val="center"/>
            <w:hideMark/>
          </w:tcPr>
          <w:p w:rsidR="00406CAE" w:rsidRDefault="00131C91" w:rsidP="00455FC7">
            <w:pPr>
              <w:jc w:val="center"/>
              <w:rPr>
                <w:rFonts w:ascii="Times New Roman" w:hAnsi="Times New Roman"/>
                <w:color w:val="000000"/>
                <w:lang w:val="es-AR" w:eastAsia="es-AR"/>
              </w:rPr>
            </w:pPr>
            <w:r w:rsidRPr="00131C91">
              <w:rPr>
                <w:rFonts w:ascii="Times New Roman" w:hAnsi="Times New Roman"/>
                <w:color w:val="000000"/>
                <w:lang w:val="es-AR" w:eastAsia="es-AR"/>
              </w:rPr>
              <w:t>1,79</w:t>
            </w:r>
          </w:p>
        </w:tc>
        <w:tc>
          <w:tcPr>
            <w:tcW w:w="1418" w:type="dxa"/>
            <w:tcBorders>
              <w:top w:val="nil"/>
              <w:left w:val="nil"/>
              <w:bottom w:val="nil"/>
              <w:right w:val="nil"/>
            </w:tcBorders>
            <w:shd w:val="clear" w:color="000000" w:fill="FFFFFF"/>
            <w:noWrap/>
            <w:vAlign w:val="center"/>
            <w:hideMark/>
          </w:tcPr>
          <w:p w:rsidR="00406CAE" w:rsidRDefault="00131C91" w:rsidP="00455FC7">
            <w:pPr>
              <w:jc w:val="center"/>
              <w:rPr>
                <w:rFonts w:ascii="Times New Roman" w:hAnsi="Times New Roman"/>
                <w:color w:val="000000"/>
                <w:lang w:val="es-AR" w:eastAsia="es-AR"/>
              </w:rPr>
            </w:pPr>
            <w:r w:rsidRPr="00131C91">
              <w:rPr>
                <w:rFonts w:ascii="Times New Roman" w:hAnsi="Times New Roman"/>
                <w:color w:val="000000"/>
                <w:lang w:val="es-AR" w:eastAsia="es-AR"/>
              </w:rPr>
              <w:t>235.294</w:t>
            </w:r>
          </w:p>
        </w:tc>
        <w:tc>
          <w:tcPr>
            <w:tcW w:w="1275" w:type="dxa"/>
            <w:tcBorders>
              <w:top w:val="nil"/>
              <w:left w:val="nil"/>
              <w:bottom w:val="nil"/>
              <w:right w:val="nil"/>
            </w:tcBorders>
            <w:shd w:val="clear" w:color="000000" w:fill="FFFFFF"/>
            <w:noWrap/>
            <w:vAlign w:val="center"/>
            <w:hideMark/>
          </w:tcPr>
          <w:p w:rsidR="00406CAE" w:rsidRDefault="00131C91" w:rsidP="00455FC7">
            <w:pPr>
              <w:jc w:val="center"/>
              <w:rPr>
                <w:rFonts w:ascii="Times New Roman" w:hAnsi="Times New Roman"/>
                <w:color w:val="000000"/>
                <w:lang w:val="es-AR" w:eastAsia="es-AR"/>
              </w:rPr>
            </w:pPr>
            <w:r w:rsidRPr="00131C91">
              <w:rPr>
                <w:rFonts w:ascii="Times New Roman" w:hAnsi="Times New Roman"/>
                <w:color w:val="000000"/>
                <w:lang w:val="es-AR" w:eastAsia="es-AR"/>
              </w:rPr>
              <w:t>420.000</w:t>
            </w:r>
          </w:p>
        </w:tc>
        <w:tc>
          <w:tcPr>
            <w:tcW w:w="1276" w:type="dxa"/>
            <w:tcBorders>
              <w:top w:val="nil"/>
              <w:left w:val="nil"/>
              <w:bottom w:val="nil"/>
              <w:right w:val="nil"/>
            </w:tcBorders>
            <w:shd w:val="clear" w:color="000000" w:fill="FFFFFF"/>
            <w:noWrap/>
            <w:vAlign w:val="center"/>
            <w:hideMark/>
          </w:tcPr>
          <w:p w:rsidR="00406CAE" w:rsidRDefault="00131C91" w:rsidP="00455FC7">
            <w:pPr>
              <w:jc w:val="center"/>
              <w:rPr>
                <w:rFonts w:ascii="Times New Roman" w:hAnsi="Times New Roman"/>
                <w:color w:val="000000"/>
                <w:lang w:val="es-AR" w:eastAsia="es-AR"/>
              </w:rPr>
            </w:pPr>
            <w:r w:rsidRPr="00131C91">
              <w:rPr>
                <w:rFonts w:ascii="Times New Roman" w:hAnsi="Times New Roman"/>
                <w:color w:val="000000"/>
                <w:lang w:val="es-AR" w:eastAsia="es-AR"/>
              </w:rPr>
              <w:t>168.000</w:t>
            </w:r>
          </w:p>
        </w:tc>
      </w:tr>
      <w:tr w:rsidR="00131C91" w:rsidRPr="00131C91" w:rsidTr="00131C91">
        <w:trPr>
          <w:trHeight w:val="300"/>
        </w:trPr>
        <w:tc>
          <w:tcPr>
            <w:tcW w:w="1565" w:type="dxa"/>
            <w:tcBorders>
              <w:top w:val="nil"/>
              <w:left w:val="nil"/>
              <w:bottom w:val="nil"/>
              <w:right w:val="nil"/>
            </w:tcBorders>
            <w:shd w:val="clear" w:color="000000" w:fill="FFFFFF"/>
            <w:noWrap/>
            <w:vAlign w:val="center"/>
            <w:hideMark/>
          </w:tcPr>
          <w:p w:rsidR="00131C91" w:rsidRPr="00131C91" w:rsidRDefault="00131C91" w:rsidP="00131C91">
            <w:pPr>
              <w:rPr>
                <w:rFonts w:ascii="Times New Roman" w:hAnsi="Times New Roman"/>
                <w:color w:val="000000"/>
                <w:lang w:val="es-AR" w:eastAsia="es-AR"/>
              </w:rPr>
            </w:pPr>
            <w:r w:rsidRPr="00131C91">
              <w:rPr>
                <w:rFonts w:ascii="Times New Roman" w:hAnsi="Times New Roman"/>
                <w:color w:val="000000"/>
                <w:lang w:val="es-AR" w:eastAsia="es-AR"/>
              </w:rPr>
              <w:t>Total</w:t>
            </w:r>
          </w:p>
        </w:tc>
        <w:tc>
          <w:tcPr>
            <w:tcW w:w="1598" w:type="dxa"/>
            <w:gridSpan w:val="2"/>
            <w:tcBorders>
              <w:top w:val="nil"/>
              <w:left w:val="nil"/>
              <w:bottom w:val="nil"/>
              <w:right w:val="nil"/>
            </w:tcBorders>
            <w:shd w:val="clear" w:color="000000" w:fill="FFFFFF"/>
            <w:noWrap/>
            <w:vAlign w:val="center"/>
            <w:hideMark/>
          </w:tcPr>
          <w:p w:rsidR="00406CAE" w:rsidRDefault="00406CAE" w:rsidP="00455FC7">
            <w:pPr>
              <w:jc w:val="center"/>
              <w:rPr>
                <w:rFonts w:ascii="Times New Roman" w:hAnsi="Times New Roman"/>
                <w:color w:val="000000"/>
                <w:lang w:val="es-AR" w:eastAsia="es-AR"/>
              </w:rPr>
            </w:pPr>
          </w:p>
        </w:tc>
        <w:tc>
          <w:tcPr>
            <w:tcW w:w="1237" w:type="dxa"/>
            <w:gridSpan w:val="2"/>
            <w:tcBorders>
              <w:top w:val="nil"/>
              <w:left w:val="nil"/>
              <w:bottom w:val="nil"/>
              <w:right w:val="nil"/>
            </w:tcBorders>
            <w:shd w:val="clear" w:color="000000" w:fill="FFFFFF"/>
            <w:noWrap/>
            <w:vAlign w:val="center"/>
            <w:hideMark/>
          </w:tcPr>
          <w:p w:rsidR="00406CAE" w:rsidRDefault="00406CAE" w:rsidP="00455FC7">
            <w:pPr>
              <w:jc w:val="center"/>
              <w:rPr>
                <w:rFonts w:ascii="Times New Roman" w:hAnsi="Times New Roman"/>
                <w:color w:val="000000"/>
                <w:lang w:val="es-AR" w:eastAsia="es-AR"/>
              </w:rPr>
            </w:pPr>
          </w:p>
        </w:tc>
        <w:tc>
          <w:tcPr>
            <w:tcW w:w="850" w:type="dxa"/>
            <w:tcBorders>
              <w:top w:val="nil"/>
              <w:left w:val="nil"/>
              <w:bottom w:val="nil"/>
              <w:right w:val="nil"/>
            </w:tcBorders>
            <w:shd w:val="clear" w:color="000000" w:fill="FFFFFF"/>
            <w:noWrap/>
            <w:vAlign w:val="center"/>
            <w:hideMark/>
          </w:tcPr>
          <w:p w:rsidR="00406CAE" w:rsidRDefault="00406CAE" w:rsidP="00455FC7">
            <w:pPr>
              <w:jc w:val="center"/>
              <w:rPr>
                <w:rFonts w:ascii="Times New Roman" w:hAnsi="Times New Roman"/>
                <w:color w:val="000000"/>
                <w:lang w:val="es-AR" w:eastAsia="es-AR"/>
              </w:rPr>
            </w:pPr>
          </w:p>
        </w:tc>
        <w:tc>
          <w:tcPr>
            <w:tcW w:w="1418" w:type="dxa"/>
            <w:tcBorders>
              <w:top w:val="nil"/>
              <w:left w:val="nil"/>
              <w:bottom w:val="nil"/>
              <w:right w:val="nil"/>
            </w:tcBorders>
            <w:shd w:val="clear" w:color="000000" w:fill="FFFFFF"/>
            <w:noWrap/>
            <w:vAlign w:val="center"/>
            <w:hideMark/>
          </w:tcPr>
          <w:p w:rsidR="00406CAE" w:rsidRDefault="00406CAE" w:rsidP="00455FC7">
            <w:pPr>
              <w:jc w:val="center"/>
              <w:rPr>
                <w:rFonts w:ascii="Times New Roman" w:hAnsi="Times New Roman"/>
                <w:color w:val="000000"/>
                <w:lang w:val="es-AR" w:eastAsia="es-AR"/>
              </w:rPr>
            </w:pPr>
          </w:p>
        </w:tc>
        <w:tc>
          <w:tcPr>
            <w:tcW w:w="1275" w:type="dxa"/>
            <w:tcBorders>
              <w:top w:val="nil"/>
              <w:left w:val="nil"/>
              <w:bottom w:val="nil"/>
              <w:right w:val="nil"/>
            </w:tcBorders>
            <w:shd w:val="clear" w:color="000000" w:fill="FFFFFF"/>
            <w:noWrap/>
            <w:vAlign w:val="center"/>
            <w:hideMark/>
          </w:tcPr>
          <w:p w:rsidR="00406CAE" w:rsidRDefault="00131C91" w:rsidP="00455FC7">
            <w:pPr>
              <w:jc w:val="center"/>
              <w:rPr>
                <w:rFonts w:ascii="Times New Roman" w:hAnsi="Times New Roman"/>
                <w:color w:val="000000"/>
                <w:lang w:val="es-AR" w:eastAsia="es-AR"/>
              </w:rPr>
            </w:pPr>
            <w:r w:rsidRPr="00131C91">
              <w:rPr>
                <w:rFonts w:ascii="Times New Roman" w:hAnsi="Times New Roman"/>
                <w:color w:val="000000"/>
                <w:lang w:val="es-AR" w:eastAsia="es-AR"/>
              </w:rPr>
              <w:t>1.493.385</w:t>
            </w:r>
          </w:p>
        </w:tc>
        <w:tc>
          <w:tcPr>
            <w:tcW w:w="1276" w:type="dxa"/>
            <w:tcBorders>
              <w:top w:val="nil"/>
              <w:left w:val="nil"/>
              <w:bottom w:val="nil"/>
              <w:right w:val="nil"/>
            </w:tcBorders>
            <w:shd w:val="clear" w:color="000000" w:fill="FFFFFF"/>
            <w:noWrap/>
            <w:vAlign w:val="center"/>
            <w:hideMark/>
          </w:tcPr>
          <w:p w:rsidR="00406CAE" w:rsidRDefault="00131C91" w:rsidP="00455FC7">
            <w:pPr>
              <w:jc w:val="center"/>
              <w:rPr>
                <w:rFonts w:ascii="Times New Roman" w:hAnsi="Times New Roman"/>
                <w:color w:val="000000"/>
                <w:lang w:val="es-AR" w:eastAsia="es-AR"/>
              </w:rPr>
            </w:pPr>
            <w:r w:rsidRPr="00131C91">
              <w:rPr>
                <w:rFonts w:ascii="Times New Roman" w:hAnsi="Times New Roman"/>
                <w:color w:val="000000"/>
                <w:lang w:val="es-AR" w:eastAsia="es-AR"/>
              </w:rPr>
              <w:t>528.060</w:t>
            </w:r>
          </w:p>
        </w:tc>
      </w:tr>
    </w:tbl>
    <w:p w:rsidR="00406CAE" w:rsidRPr="00455FC7" w:rsidRDefault="00406CAE" w:rsidP="00455FC7">
      <w:pPr>
        <w:jc w:val="both"/>
        <w:rPr>
          <w:rFonts w:ascii="Times New Roman" w:hAnsi="Times New Roman"/>
          <w:sz w:val="22"/>
          <w:szCs w:val="22"/>
          <w:lang w:val="es-ES_tradnl"/>
        </w:rPr>
      </w:pPr>
    </w:p>
    <w:p w:rsidR="00AF7FE9" w:rsidRDefault="00AF7FE9" w:rsidP="00AF7FE9">
      <w:pPr>
        <w:pStyle w:val="ListParagraph"/>
        <w:ind w:left="718"/>
        <w:jc w:val="both"/>
        <w:rPr>
          <w:rFonts w:ascii="Times New Roman" w:hAnsi="Times New Roman"/>
          <w:sz w:val="22"/>
          <w:szCs w:val="22"/>
          <w:lang w:val="es-ES_tradnl"/>
        </w:rPr>
      </w:pPr>
    </w:p>
    <w:p w:rsidR="00190143" w:rsidRDefault="00190143" w:rsidP="00190143">
      <w:pPr>
        <w:pStyle w:val="ListParagraph"/>
        <w:numPr>
          <w:ilvl w:val="1"/>
          <w:numId w:val="12"/>
        </w:numPr>
        <w:jc w:val="both"/>
        <w:rPr>
          <w:rFonts w:ascii="Times New Roman" w:hAnsi="Times New Roman"/>
          <w:sz w:val="22"/>
          <w:szCs w:val="22"/>
          <w:lang w:val="es-ES_tradnl"/>
        </w:rPr>
      </w:pPr>
      <w:r w:rsidRPr="00190143">
        <w:rPr>
          <w:rFonts w:ascii="Times New Roman" w:hAnsi="Times New Roman"/>
          <w:sz w:val="22"/>
          <w:szCs w:val="22"/>
          <w:lang w:val="es-ES_tradnl"/>
        </w:rPr>
        <w:lastRenderedPageBreak/>
        <w:t>La estimación</w:t>
      </w:r>
      <w:r w:rsidR="008451BF">
        <w:rPr>
          <w:rFonts w:ascii="Times New Roman" w:hAnsi="Times New Roman"/>
          <w:sz w:val="22"/>
          <w:szCs w:val="22"/>
          <w:lang w:val="es-ES_tradnl"/>
        </w:rPr>
        <w:t xml:space="preserve"> responde a los siguientes supuestos</w:t>
      </w:r>
      <w:r w:rsidRPr="00190143">
        <w:rPr>
          <w:rFonts w:ascii="Times New Roman" w:hAnsi="Times New Roman"/>
          <w:sz w:val="22"/>
          <w:szCs w:val="22"/>
          <w:lang w:val="es-ES_tradnl"/>
        </w:rPr>
        <w:t>. La r</w:t>
      </w:r>
      <w:r w:rsidR="00131C91">
        <w:rPr>
          <w:rFonts w:ascii="Times New Roman" w:hAnsi="Times New Roman"/>
          <w:sz w:val="22"/>
          <w:szCs w:val="22"/>
          <w:lang w:val="es-ES_tradnl"/>
        </w:rPr>
        <w:t>eferencia a la afectación histórica suge de las estadísticas de informes de SGR citados</w:t>
      </w:r>
      <w:r w:rsidR="006A10F1">
        <w:rPr>
          <w:rStyle w:val="FootnoteReference"/>
          <w:rFonts w:ascii="Times New Roman" w:hAnsi="Times New Roman"/>
          <w:sz w:val="22"/>
          <w:szCs w:val="22"/>
          <w:lang w:val="es-ES_tradnl"/>
        </w:rPr>
        <w:footnoteReference w:id="48"/>
      </w:r>
      <w:r w:rsidR="00131C91">
        <w:rPr>
          <w:rFonts w:ascii="Times New Roman" w:hAnsi="Times New Roman"/>
          <w:sz w:val="22"/>
          <w:szCs w:val="22"/>
          <w:lang w:val="es-ES_tradnl"/>
        </w:rPr>
        <w:t xml:space="preserve"> en </w:t>
      </w:r>
      <w:r w:rsidR="006A10F1">
        <w:rPr>
          <w:rFonts w:ascii="Times New Roman" w:hAnsi="Times New Roman"/>
          <w:sz w:val="22"/>
          <w:szCs w:val="22"/>
          <w:lang w:val="es-ES_tradnl"/>
        </w:rPr>
        <w:t xml:space="preserve">lo que respecta a </w:t>
      </w:r>
      <w:r w:rsidR="00131C91">
        <w:rPr>
          <w:rFonts w:ascii="Times New Roman" w:hAnsi="Times New Roman"/>
          <w:sz w:val="22"/>
          <w:szCs w:val="22"/>
          <w:lang w:val="es-ES_tradnl"/>
        </w:rPr>
        <w:t>su componente más importante (viviendas)</w:t>
      </w:r>
      <w:r w:rsidRPr="00190143">
        <w:rPr>
          <w:rFonts w:ascii="Times New Roman" w:hAnsi="Times New Roman"/>
          <w:sz w:val="22"/>
          <w:szCs w:val="22"/>
          <w:lang w:val="es-ES_tradnl"/>
        </w:rPr>
        <w:t xml:space="preserve">. </w:t>
      </w:r>
      <w:r w:rsidR="00131C91">
        <w:rPr>
          <w:rFonts w:ascii="Times New Roman" w:hAnsi="Times New Roman"/>
          <w:sz w:val="22"/>
          <w:szCs w:val="22"/>
          <w:lang w:val="es-ES_tradnl"/>
        </w:rPr>
        <w:t>E</w:t>
      </w:r>
      <w:r w:rsidRPr="00190143">
        <w:rPr>
          <w:rFonts w:ascii="Times New Roman" w:hAnsi="Times New Roman"/>
          <w:sz w:val="22"/>
          <w:szCs w:val="22"/>
          <w:lang w:val="es-ES_tradnl"/>
        </w:rPr>
        <w:t xml:space="preserve">n escuelas y centros de salud no se identificaron referencias técnicas </w:t>
      </w:r>
      <w:r w:rsidR="00131C91">
        <w:rPr>
          <w:rFonts w:ascii="Times New Roman" w:hAnsi="Times New Roman"/>
          <w:sz w:val="22"/>
          <w:szCs w:val="22"/>
          <w:lang w:val="es-ES_tradnl"/>
        </w:rPr>
        <w:t xml:space="preserve">rigurosas </w:t>
      </w:r>
      <w:r w:rsidRPr="00190143">
        <w:rPr>
          <w:rFonts w:ascii="Times New Roman" w:hAnsi="Times New Roman"/>
          <w:sz w:val="22"/>
          <w:szCs w:val="22"/>
          <w:lang w:val="es-ES_tradnl"/>
        </w:rPr>
        <w:t xml:space="preserve">para calcular una afectación, por lo que se adoptó </w:t>
      </w:r>
      <w:r w:rsidR="008B460B">
        <w:rPr>
          <w:rFonts w:ascii="Times New Roman" w:hAnsi="Times New Roman"/>
          <w:sz w:val="22"/>
          <w:szCs w:val="22"/>
          <w:lang w:val="es-ES_tradnl"/>
        </w:rPr>
        <w:t>el criterio</w:t>
      </w:r>
      <w:r w:rsidR="00131C91">
        <w:rPr>
          <w:rFonts w:ascii="Times New Roman" w:hAnsi="Times New Roman"/>
          <w:sz w:val="22"/>
          <w:szCs w:val="22"/>
          <w:lang w:val="es-ES_tradnl"/>
        </w:rPr>
        <w:t xml:space="preserve"> a partir de juicios de expertos (la opinión es que regularmente entre el 5 y 10% de las escuelas y centros de salud sufren los efectos del desbordamiento de ríos)</w:t>
      </w:r>
      <w:r>
        <w:rPr>
          <w:rFonts w:ascii="Times New Roman" w:hAnsi="Times New Roman"/>
          <w:sz w:val="22"/>
          <w:szCs w:val="22"/>
          <w:lang w:val="es-ES_tradnl"/>
        </w:rPr>
        <w:t>.</w:t>
      </w:r>
      <w:r w:rsidR="00131C91">
        <w:rPr>
          <w:rFonts w:ascii="Times New Roman" w:hAnsi="Times New Roman"/>
          <w:sz w:val="22"/>
          <w:szCs w:val="22"/>
          <w:lang w:val="es-ES_tradnl"/>
        </w:rPr>
        <w:t xml:space="preserve"> El costo unitario de los daños toma similares referencias que en el caso de los tsunami, aunque se estima que los efectos </w:t>
      </w:r>
      <w:r w:rsidR="009B2E82">
        <w:rPr>
          <w:rFonts w:ascii="Times New Roman" w:hAnsi="Times New Roman"/>
          <w:sz w:val="22"/>
          <w:szCs w:val="22"/>
          <w:lang w:val="es-ES_tradnl"/>
        </w:rPr>
        <w:t>podían ser de menor magnitud por la naturaleza del desastre, por lo que en el caso de Escuelas y Centros de salud la valoración aplicada es el 50% que la resultante de los estudios sobre el Terremoto de 2016. Las últimas dos columnas presentan el Costo total de los bienes muebles afectados y la Pérdida de Bienes evitada, respectivamente, Cómo se explicó previamente, e</w:t>
      </w:r>
      <w:r w:rsidR="009B2E82" w:rsidRPr="009B2E82">
        <w:rPr>
          <w:rFonts w:ascii="Times New Roman" w:hAnsi="Times New Roman"/>
          <w:sz w:val="22"/>
          <w:szCs w:val="22"/>
          <w:lang w:val="es-ES_tradnl"/>
        </w:rPr>
        <w:t xml:space="preserve">n el apartado </w:t>
      </w:r>
      <w:r w:rsidR="00081A23" w:rsidRPr="00455FC7">
        <w:rPr>
          <w:rFonts w:ascii="Times New Roman" w:hAnsi="Times New Roman"/>
          <w:i/>
          <w:sz w:val="22"/>
          <w:szCs w:val="22"/>
          <w:lang w:val="es-ES_tradnl"/>
        </w:rPr>
        <w:t xml:space="preserve">Parámetros para la cuantificación del efecto </w:t>
      </w:r>
      <w:r w:rsidR="008B460B">
        <w:rPr>
          <w:rFonts w:ascii="Times New Roman" w:hAnsi="Times New Roman"/>
          <w:i/>
          <w:sz w:val="22"/>
          <w:szCs w:val="22"/>
          <w:lang w:val="es-ES_tradnl"/>
        </w:rPr>
        <w:t xml:space="preserve">beneficio </w:t>
      </w:r>
      <w:r w:rsidR="00081A23" w:rsidRPr="00455FC7">
        <w:rPr>
          <w:rFonts w:ascii="Times New Roman" w:hAnsi="Times New Roman"/>
          <w:i/>
          <w:sz w:val="22"/>
          <w:szCs w:val="22"/>
          <w:lang w:val="es-ES_tradnl"/>
        </w:rPr>
        <w:t>del SAT</w:t>
      </w:r>
      <w:r w:rsidR="009B2E82" w:rsidRPr="009B2E82">
        <w:rPr>
          <w:rFonts w:ascii="Times New Roman" w:hAnsi="Times New Roman"/>
          <w:sz w:val="22"/>
          <w:szCs w:val="22"/>
          <w:lang w:val="es-ES_tradnl"/>
        </w:rPr>
        <w:t>, que se presenta más adelante en este Capítulo se expresan los fundamentos de la reducción esperada en términos de pérdida de bienes la cual se estimó en un 30% para bienes muebles del hogar y un 40% en bienes muebles y equipos desplazables de escuelas y centros de salud.</w:t>
      </w:r>
    </w:p>
    <w:p w:rsidR="00406CAE" w:rsidRPr="00455FC7" w:rsidRDefault="00406CAE" w:rsidP="00455FC7">
      <w:pPr>
        <w:pStyle w:val="ListParagraph"/>
        <w:ind w:left="718"/>
        <w:jc w:val="both"/>
        <w:rPr>
          <w:rFonts w:ascii="Times New Roman" w:hAnsi="Times New Roman"/>
          <w:sz w:val="22"/>
          <w:szCs w:val="22"/>
          <w:lang w:val="es-ES_tradnl"/>
        </w:rPr>
      </w:pPr>
    </w:p>
    <w:p w:rsidR="00172FBB" w:rsidRDefault="007C3376" w:rsidP="00172FBB">
      <w:pPr>
        <w:pStyle w:val="ListParagraph"/>
        <w:numPr>
          <w:ilvl w:val="1"/>
          <w:numId w:val="12"/>
        </w:numPr>
        <w:jc w:val="both"/>
        <w:rPr>
          <w:rFonts w:ascii="Times New Roman" w:hAnsi="Times New Roman"/>
          <w:sz w:val="22"/>
          <w:szCs w:val="22"/>
          <w:lang w:val="es-ES_tradnl"/>
        </w:rPr>
      </w:pPr>
      <w:r w:rsidRPr="000E18C2">
        <w:rPr>
          <w:rFonts w:ascii="Times New Roman" w:hAnsi="Times New Roman"/>
          <w:i/>
          <w:sz w:val="22"/>
          <w:szCs w:val="22"/>
          <w:lang w:val="es-ES"/>
        </w:rPr>
        <w:t>Efecto sobre la actividad económica.</w:t>
      </w:r>
      <w:r w:rsidRPr="000E18C2">
        <w:rPr>
          <w:rFonts w:ascii="Times New Roman" w:hAnsi="Times New Roman"/>
          <w:sz w:val="22"/>
          <w:szCs w:val="22"/>
          <w:lang w:val="es-ES"/>
        </w:rPr>
        <w:t xml:space="preserve">  Se asume que la mayor parte de </w:t>
      </w:r>
      <w:r w:rsidR="002810A4">
        <w:rPr>
          <w:rFonts w:ascii="Times New Roman" w:hAnsi="Times New Roman"/>
          <w:sz w:val="22"/>
          <w:szCs w:val="22"/>
          <w:lang w:val="es-ES"/>
        </w:rPr>
        <w:t>la</w:t>
      </w:r>
      <w:r w:rsidR="0095777A" w:rsidRPr="000E18C2">
        <w:rPr>
          <w:rFonts w:ascii="Times New Roman" w:hAnsi="Times New Roman"/>
          <w:sz w:val="22"/>
          <w:szCs w:val="22"/>
          <w:lang w:val="es-ES"/>
        </w:rPr>
        <w:t xml:space="preserve"> actividad comercial se distribuye a lo largo del país conforme a la dispersión poblacional.</w:t>
      </w:r>
      <w:r w:rsidR="000E18C2">
        <w:rPr>
          <w:rFonts w:ascii="Times New Roman" w:hAnsi="Times New Roman"/>
          <w:sz w:val="22"/>
          <w:szCs w:val="22"/>
          <w:lang w:val="es-ES"/>
        </w:rPr>
        <w:t xml:space="preserve"> </w:t>
      </w:r>
      <w:r w:rsidR="0095777A" w:rsidRPr="000E18C2">
        <w:rPr>
          <w:rFonts w:ascii="Times New Roman" w:hAnsi="Times New Roman"/>
          <w:sz w:val="22"/>
          <w:szCs w:val="22"/>
          <w:lang w:val="es-ES_tradnl"/>
        </w:rPr>
        <w:t xml:space="preserve">Por otra parte, </w:t>
      </w:r>
      <w:r w:rsidR="000E18C2" w:rsidRPr="000E18C2">
        <w:rPr>
          <w:rFonts w:ascii="Times New Roman" w:hAnsi="Times New Roman"/>
          <w:sz w:val="22"/>
          <w:szCs w:val="22"/>
          <w:lang w:val="es-ES_tradnl"/>
        </w:rPr>
        <w:t xml:space="preserve">se estima que </w:t>
      </w:r>
      <w:r w:rsidR="0095777A" w:rsidRPr="000E18C2">
        <w:rPr>
          <w:rFonts w:ascii="Times New Roman" w:hAnsi="Times New Roman"/>
          <w:sz w:val="22"/>
          <w:szCs w:val="22"/>
          <w:lang w:val="es-ES_tradnl"/>
        </w:rPr>
        <w:t>la economía agrícola regional sufre de exposición crónica a inundaciones: el 12,6% del área de la subcuenca de Chongón, 86,2% del área de la subcuenca de Portoviejo y 95,1% del área de la subcuenca de Chone son zonas agroproductivas susceptibles (INFOPLAN-IGM, 2009, citado en Clavijo y Peñaherrera, 2013). Vias de tránsito  afectadas alcanzan a 595 km en Esmeraldas y 1.197 km en Guayas, afectando la actividad productiva. Tierras  afectadas 43.000 has en Esmeraldas y 354.000 has en Guayas.</w:t>
      </w:r>
      <w:r w:rsidR="000E18C2" w:rsidRPr="000E18C2">
        <w:rPr>
          <w:rFonts w:ascii="Times New Roman" w:hAnsi="Times New Roman"/>
          <w:sz w:val="22"/>
          <w:szCs w:val="22"/>
          <w:lang w:val="es-ES_tradnl"/>
        </w:rPr>
        <w:t xml:space="preserve"> La distribución de las principales actividades económic</w:t>
      </w:r>
      <w:r w:rsidR="007244B1">
        <w:rPr>
          <w:rFonts w:ascii="Times New Roman" w:hAnsi="Times New Roman"/>
          <w:sz w:val="22"/>
          <w:szCs w:val="22"/>
          <w:lang w:val="es-ES_tradnl"/>
        </w:rPr>
        <w:t>a</w:t>
      </w:r>
      <w:r w:rsidR="000E18C2" w:rsidRPr="000E18C2">
        <w:rPr>
          <w:rFonts w:ascii="Times New Roman" w:hAnsi="Times New Roman"/>
          <w:sz w:val="22"/>
          <w:szCs w:val="22"/>
          <w:lang w:val="es-ES_tradnl"/>
        </w:rPr>
        <w:t xml:space="preserve">s en ambas </w:t>
      </w:r>
      <w:r w:rsidR="00172FBB">
        <w:rPr>
          <w:rFonts w:ascii="Times New Roman" w:hAnsi="Times New Roman"/>
          <w:sz w:val="22"/>
          <w:szCs w:val="22"/>
          <w:lang w:val="es-ES_tradnl"/>
        </w:rPr>
        <w:t xml:space="preserve"> Provincias se presenta en el siguiente cuadro.</w:t>
      </w:r>
    </w:p>
    <w:p w:rsidR="007244B1" w:rsidRDefault="007244B1" w:rsidP="007244B1">
      <w:pPr>
        <w:pStyle w:val="ListParagraph"/>
        <w:ind w:left="718"/>
        <w:jc w:val="both"/>
        <w:rPr>
          <w:rFonts w:ascii="Times New Roman" w:hAnsi="Times New Roman"/>
          <w:sz w:val="22"/>
          <w:szCs w:val="22"/>
          <w:lang w:val="es-ES_tradnl"/>
        </w:rPr>
      </w:pPr>
    </w:p>
    <w:p w:rsidR="00172FBB" w:rsidRDefault="00172FBB" w:rsidP="00172FBB">
      <w:pPr>
        <w:jc w:val="center"/>
        <w:rPr>
          <w:rFonts w:ascii="Times New Roman" w:hAnsi="Times New Roman"/>
          <w:sz w:val="22"/>
          <w:szCs w:val="22"/>
          <w:lang w:val="es-ES_tradnl"/>
        </w:rPr>
      </w:pPr>
      <w:r w:rsidRPr="008C1ABC">
        <w:rPr>
          <w:rFonts w:ascii="Times New Roman" w:hAnsi="Times New Roman"/>
          <w:b/>
          <w:lang w:val="es-AR"/>
        </w:rPr>
        <w:t xml:space="preserve">Tabla </w:t>
      </w:r>
      <w:r w:rsidR="00081A23" w:rsidRPr="008C1ABC">
        <w:rPr>
          <w:rFonts w:ascii="Times New Roman" w:hAnsi="Times New Roman"/>
          <w:b/>
        </w:rPr>
        <w:fldChar w:fldCharType="begin"/>
      </w:r>
      <w:r w:rsidRPr="008C1ABC">
        <w:rPr>
          <w:rFonts w:ascii="Times New Roman" w:hAnsi="Times New Roman"/>
          <w:b/>
          <w:lang w:val="es-AR"/>
        </w:rPr>
        <w:instrText xml:space="preserve"> SEQ Tabla \* ARABIC </w:instrText>
      </w:r>
      <w:r w:rsidR="00081A23" w:rsidRPr="008C1ABC">
        <w:rPr>
          <w:rFonts w:ascii="Times New Roman" w:hAnsi="Times New Roman"/>
          <w:b/>
        </w:rPr>
        <w:fldChar w:fldCharType="separate"/>
      </w:r>
      <w:r w:rsidR="008B460B">
        <w:rPr>
          <w:rFonts w:ascii="Times New Roman" w:hAnsi="Times New Roman"/>
          <w:b/>
          <w:noProof/>
          <w:lang w:val="es-AR"/>
        </w:rPr>
        <w:t>13</w:t>
      </w:r>
      <w:r w:rsidR="00081A23" w:rsidRPr="008C1ABC">
        <w:rPr>
          <w:rFonts w:ascii="Times New Roman" w:hAnsi="Times New Roman"/>
          <w:b/>
        </w:rPr>
        <w:fldChar w:fldCharType="end"/>
      </w:r>
      <w:r w:rsidR="00673163">
        <w:rPr>
          <w:rFonts w:ascii="Times New Roman" w:hAnsi="Times New Roman"/>
          <w:lang w:val="es-AR"/>
        </w:rPr>
        <w:t>. Principales actividades económica</w:t>
      </w:r>
      <w:r>
        <w:rPr>
          <w:rFonts w:ascii="Times New Roman" w:hAnsi="Times New Roman"/>
          <w:lang w:val="es-AR"/>
        </w:rPr>
        <w:t>s</w:t>
      </w:r>
      <w:r w:rsidR="00673163">
        <w:rPr>
          <w:rFonts w:ascii="Times New Roman" w:hAnsi="Times New Roman"/>
          <w:lang w:val="es-AR"/>
        </w:rPr>
        <w:t xml:space="preserve"> </w:t>
      </w:r>
      <w:r>
        <w:rPr>
          <w:rFonts w:ascii="Times New Roman" w:hAnsi="Times New Roman"/>
          <w:lang w:val="es-AR"/>
        </w:rPr>
        <w:t>en guayas y Manabí.</w:t>
      </w:r>
    </w:p>
    <w:tbl>
      <w:tblPr>
        <w:tblW w:w="8522" w:type="dxa"/>
        <w:tblInd w:w="53" w:type="dxa"/>
        <w:tblCellMar>
          <w:left w:w="70" w:type="dxa"/>
          <w:right w:w="70" w:type="dxa"/>
        </w:tblCellMar>
        <w:tblLook w:val="04A0" w:firstRow="1" w:lastRow="0" w:firstColumn="1" w:lastColumn="0" w:noHBand="0" w:noVBand="1"/>
      </w:tblPr>
      <w:tblGrid>
        <w:gridCol w:w="1000"/>
        <w:gridCol w:w="760"/>
        <w:gridCol w:w="733"/>
        <w:gridCol w:w="750"/>
        <w:gridCol w:w="1100"/>
        <w:gridCol w:w="920"/>
        <w:gridCol w:w="850"/>
        <w:gridCol w:w="1060"/>
        <w:gridCol w:w="733"/>
        <w:gridCol w:w="733"/>
      </w:tblGrid>
      <w:tr w:rsidR="00172FBB" w:rsidRPr="00172FBB" w:rsidTr="00172FBB">
        <w:trPr>
          <w:trHeight w:val="326"/>
        </w:trPr>
        <w:tc>
          <w:tcPr>
            <w:tcW w:w="9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2FBB" w:rsidRPr="00172FBB" w:rsidRDefault="00172FBB" w:rsidP="00172FBB">
            <w:pPr>
              <w:jc w:val="center"/>
              <w:rPr>
                <w:rFonts w:ascii="Times New Roman" w:hAnsi="Times New Roman"/>
                <w:color w:val="000000"/>
                <w:sz w:val="18"/>
                <w:szCs w:val="18"/>
                <w:lang w:val="es-AR" w:eastAsia="es-AR"/>
              </w:rPr>
            </w:pPr>
            <w:r w:rsidRPr="00172FBB">
              <w:rPr>
                <w:rFonts w:ascii="Times New Roman" w:hAnsi="Times New Roman"/>
                <w:color w:val="000000"/>
                <w:sz w:val="18"/>
                <w:szCs w:val="18"/>
                <w:lang w:val="es-AR" w:eastAsia="es-AR"/>
              </w:rPr>
              <w:t>Actividades</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rsidR="00172FBB" w:rsidRPr="00172FBB" w:rsidRDefault="00172FBB" w:rsidP="00172FBB">
            <w:pPr>
              <w:jc w:val="center"/>
              <w:rPr>
                <w:rFonts w:ascii="Times New Roman" w:hAnsi="Times New Roman"/>
                <w:color w:val="000000"/>
                <w:sz w:val="18"/>
                <w:szCs w:val="18"/>
                <w:lang w:val="es-AR" w:eastAsia="es-AR"/>
              </w:rPr>
            </w:pPr>
            <w:r w:rsidRPr="00172FBB">
              <w:rPr>
                <w:rFonts w:ascii="Times New Roman" w:hAnsi="Times New Roman"/>
                <w:color w:val="000000"/>
                <w:sz w:val="18"/>
                <w:szCs w:val="18"/>
                <w:lang w:val="es-AR" w:eastAsia="es-AR"/>
              </w:rPr>
              <w:t>Agropec</w:t>
            </w:r>
          </w:p>
        </w:tc>
        <w:tc>
          <w:tcPr>
            <w:tcW w:w="733" w:type="dxa"/>
            <w:tcBorders>
              <w:top w:val="single" w:sz="4" w:space="0" w:color="auto"/>
              <w:left w:val="nil"/>
              <w:bottom w:val="single" w:sz="4" w:space="0" w:color="auto"/>
              <w:right w:val="single" w:sz="4" w:space="0" w:color="auto"/>
            </w:tcBorders>
            <w:shd w:val="clear" w:color="000000" w:fill="FFFFFF"/>
            <w:noWrap/>
            <w:vAlign w:val="center"/>
            <w:hideMark/>
          </w:tcPr>
          <w:p w:rsidR="00172FBB" w:rsidRPr="00172FBB" w:rsidRDefault="00172FBB" w:rsidP="00172FBB">
            <w:pPr>
              <w:jc w:val="center"/>
              <w:rPr>
                <w:rFonts w:ascii="Times New Roman" w:hAnsi="Times New Roman"/>
                <w:color w:val="000000"/>
                <w:sz w:val="18"/>
                <w:szCs w:val="18"/>
                <w:lang w:val="es-AR" w:eastAsia="es-AR"/>
              </w:rPr>
            </w:pPr>
            <w:r w:rsidRPr="00172FBB">
              <w:rPr>
                <w:rFonts w:ascii="Times New Roman" w:hAnsi="Times New Roman"/>
                <w:color w:val="000000"/>
                <w:sz w:val="18"/>
                <w:szCs w:val="18"/>
                <w:lang w:val="es-AR" w:eastAsia="es-AR"/>
              </w:rPr>
              <w:t>Pesca</w:t>
            </w:r>
          </w:p>
        </w:tc>
        <w:tc>
          <w:tcPr>
            <w:tcW w:w="736" w:type="dxa"/>
            <w:tcBorders>
              <w:top w:val="single" w:sz="4" w:space="0" w:color="auto"/>
              <w:left w:val="nil"/>
              <w:bottom w:val="single" w:sz="4" w:space="0" w:color="auto"/>
              <w:right w:val="single" w:sz="4" w:space="0" w:color="auto"/>
            </w:tcBorders>
            <w:shd w:val="clear" w:color="000000" w:fill="FFFFFF"/>
            <w:noWrap/>
            <w:vAlign w:val="center"/>
            <w:hideMark/>
          </w:tcPr>
          <w:p w:rsidR="00172FBB" w:rsidRPr="00172FBB" w:rsidRDefault="00172FBB" w:rsidP="00172FBB">
            <w:pPr>
              <w:jc w:val="center"/>
              <w:rPr>
                <w:rFonts w:ascii="Times New Roman" w:hAnsi="Times New Roman"/>
                <w:color w:val="000000"/>
                <w:sz w:val="18"/>
                <w:szCs w:val="18"/>
                <w:lang w:val="es-AR" w:eastAsia="es-AR"/>
              </w:rPr>
            </w:pPr>
            <w:r w:rsidRPr="00172FBB">
              <w:rPr>
                <w:rFonts w:ascii="Times New Roman" w:hAnsi="Times New Roman"/>
                <w:color w:val="000000"/>
                <w:sz w:val="18"/>
                <w:szCs w:val="18"/>
                <w:lang w:val="es-AR" w:eastAsia="es-AR"/>
              </w:rPr>
              <w:t>Turismo</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172FBB" w:rsidRPr="00172FBB" w:rsidRDefault="00673163" w:rsidP="00172FBB">
            <w:pPr>
              <w:jc w:val="center"/>
              <w:rPr>
                <w:rFonts w:ascii="Times New Roman" w:hAnsi="Times New Roman"/>
                <w:color w:val="000000"/>
                <w:sz w:val="18"/>
                <w:szCs w:val="18"/>
                <w:lang w:val="es-AR" w:eastAsia="es-AR"/>
              </w:rPr>
            </w:pPr>
            <w:r w:rsidRPr="00172FBB">
              <w:rPr>
                <w:rFonts w:ascii="Times New Roman" w:hAnsi="Times New Roman"/>
                <w:color w:val="000000"/>
                <w:sz w:val="18"/>
                <w:szCs w:val="18"/>
                <w:lang w:val="es-AR" w:eastAsia="es-AR"/>
              </w:rPr>
              <w:t>Construcción</w:t>
            </w:r>
          </w:p>
        </w:tc>
        <w:tc>
          <w:tcPr>
            <w:tcW w:w="903" w:type="dxa"/>
            <w:tcBorders>
              <w:top w:val="single" w:sz="4" w:space="0" w:color="auto"/>
              <w:left w:val="nil"/>
              <w:bottom w:val="single" w:sz="4" w:space="0" w:color="auto"/>
              <w:right w:val="single" w:sz="4" w:space="0" w:color="auto"/>
            </w:tcBorders>
            <w:shd w:val="clear" w:color="000000" w:fill="FFFFFF"/>
            <w:noWrap/>
            <w:vAlign w:val="center"/>
            <w:hideMark/>
          </w:tcPr>
          <w:p w:rsidR="00172FBB" w:rsidRPr="00172FBB" w:rsidRDefault="00172FBB" w:rsidP="00172FBB">
            <w:pPr>
              <w:jc w:val="center"/>
              <w:rPr>
                <w:rFonts w:ascii="Times New Roman" w:hAnsi="Times New Roman"/>
                <w:color w:val="000000"/>
                <w:sz w:val="18"/>
                <w:szCs w:val="18"/>
                <w:lang w:val="es-AR" w:eastAsia="es-AR"/>
              </w:rPr>
            </w:pPr>
            <w:r w:rsidRPr="00172FBB">
              <w:rPr>
                <w:rFonts w:ascii="Times New Roman" w:hAnsi="Times New Roman"/>
                <w:color w:val="000000"/>
                <w:sz w:val="18"/>
                <w:szCs w:val="18"/>
                <w:lang w:val="es-AR" w:eastAsia="es-AR"/>
              </w:rPr>
              <w:t>Transporte</w:t>
            </w:r>
          </w:p>
        </w:tc>
        <w:tc>
          <w:tcPr>
            <w:tcW w:w="835" w:type="dxa"/>
            <w:tcBorders>
              <w:top w:val="single" w:sz="4" w:space="0" w:color="auto"/>
              <w:left w:val="nil"/>
              <w:bottom w:val="single" w:sz="4" w:space="0" w:color="auto"/>
              <w:right w:val="single" w:sz="4" w:space="0" w:color="auto"/>
            </w:tcBorders>
            <w:shd w:val="clear" w:color="000000" w:fill="FFFFFF"/>
            <w:noWrap/>
            <w:vAlign w:val="center"/>
            <w:hideMark/>
          </w:tcPr>
          <w:p w:rsidR="00172FBB" w:rsidRPr="00172FBB" w:rsidRDefault="00172FBB" w:rsidP="00172FBB">
            <w:pPr>
              <w:jc w:val="center"/>
              <w:rPr>
                <w:rFonts w:ascii="Times New Roman" w:hAnsi="Times New Roman"/>
                <w:color w:val="000000"/>
                <w:sz w:val="18"/>
                <w:szCs w:val="18"/>
                <w:lang w:val="es-AR" w:eastAsia="es-AR"/>
              </w:rPr>
            </w:pPr>
            <w:r w:rsidRPr="00172FBB">
              <w:rPr>
                <w:rFonts w:ascii="Times New Roman" w:hAnsi="Times New Roman"/>
                <w:color w:val="000000"/>
                <w:sz w:val="18"/>
                <w:szCs w:val="18"/>
                <w:lang w:val="es-AR" w:eastAsia="es-AR"/>
              </w:rPr>
              <w:t>Comercio</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172FBB" w:rsidRPr="00172FBB" w:rsidRDefault="00172FBB" w:rsidP="00172FBB">
            <w:pPr>
              <w:jc w:val="center"/>
              <w:rPr>
                <w:rFonts w:ascii="Times New Roman" w:hAnsi="Times New Roman"/>
                <w:color w:val="000000"/>
                <w:sz w:val="18"/>
                <w:szCs w:val="18"/>
                <w:lang w:val="es-AR" w:eastAsia="es-AR"/>
              </w:rPr>
            </w:pPr>
            <w:r w:rsidRPr="00172FBB">
              <w:rPr>
                <w:rFonts w:ascii="Times New Roman" w:hAnsi="Times New Roman"/>
                <w:color w:val="000000"/>
                <w:sz w:val="18"/>
                <w:szCs w:val="18"/>
                <w:lang w:val="es-AR" w:eastAsia="es-AR"/>
              </w:rPr>
              <w:t>Manufactura</w:t>
            </w:r>
          </w:p>
        </w:tc>
        <w:tc>
          <w:tcPr>
            <w:tcW w:w="733" w:type="dxa"/>
            <w:tcBorders>
              <w:top w:val="single" w:sz="4" w:space="0" w:color="auto"/>
              <w:left w:val="nil"/>
              <w:bottom w:val="single" w:sz="4" w:space="0" w:color="auto"/>
              <w:right w:val="single" w:sz="4" w:space="0" w:color="auto"/>
            </w:tcBorders>
            <w:shd w:val="clear" w:color="000000" w:fill="FFFFFF"/>
            <w:noWrap/>
            <w:vAlign w:val="center"/>
            <w:hideMark/>
          </w:tcPr>
          <w:p w:rsidR="00172FBB" w:rsidRPr="00172FBB" w:rsidRDefault="00172FBB" w:rsidP="002810A4">
            <w:pPr>
              <w:jc w:val="center"/>
              <w:rPr>
                <w:rFonts w:ascii="Times New Roman" w:hAnsi="Times New Roman"/>
                <w:color w:val="000000"/>
                <w:sz w:val="18"/>
                <w:szCs w:val="18"/>
                <w:lang w:val="es-AR" w:eastAsia="es-AR"/>
              </w:rPr>
            </w:pPr>
            <w:r w:rsidRPr="00172FBB">
              <w:rPr>
                <w:rFonts w:ascii="Times New Roman" w:hAnsi="Times New Roman"/>
                <w:color w:val="000000"/>
                <w:sz w:val="18"/>
                <w:szCs w:val="18"/>
                <w:lang w:val="es-AR" w:eastAsia="es-AR"/>
              </w:rPr>
              <w:t xml:space="preserve">Adm </w:t>
            </w:r>
            <w:r w:rsidR="002810A4" w:rsidRPr="00172FBB">
              <w:rPr>
                <w:rFonts w:ascii="Times New Roman" w:hAnsi="Times New Roman"/>
                <w:color w:val="000000"/>
                <w:sz w:val="18"/>
                <w:szCs w:val="18"/>
                <w:lang w:val="es-AR" w:eastAsia="es-AR"/>
              </w:rPr>
              <w:t>P</w:t>
            </w:r>
            <w:r w:rsidR="002810A4">
              <w:rPr>
                <w:rFonts w:ascii="Times New Roman" w:hAnsi="Times New Roman"/>
                <w:color w:val="000000"/>
                <w:sz w:val="18"/>
                <w:szCs w:val="18"/>
                <w:lang w:val="es-AR" w:eastAsia="es-AR"/>
              </w:rPr>
              <w:t>ú</w:t>
            </w:r>
            <w:r w:rsidR="002810A4" w:rsidRPr="00172FBB">
              <w:rPr>
                <w:rFonts w:ascii="Times New Roman" w:hAnsi="Times New Roman"/>
                <w:color w:val="000000"/>
                <w:sz w:val="18"/>
                <w:szCs w:val="18"/>
                <w:lang w:val="es-AR" w:eastAsia="es-AR"/>
              </w:rPr>
              <w:t>b</w:t>
            </w:r>
          </w:p>
        </w:tc>
        <w:tc>
          <w:tcPr>
            <w:tcW w:w="733" w:type="dxa"/>
            <w:tcBorders>
              <w:top w:val="single" w:sz="4" w:space="0" w:color="auto"/>
              <w:left w:val="nil"/>
              <w:bottom w:val="single" w:sz="4" w:space="0" w:color="auto"/>
              <w:right w:val="single" w:sz="4" w:space="0" w:color="auto"/>
            </w:tcBorders>
            <w:shd w:val="clear" w:color="000000" w:fill="FFFFFF"/>
            <w:noWrap/>
            <w:vAlign w:val="center"/>
            <w:hideMark/>
          </w:tcPr>
          <w:p w:rsidR="00172FBB" w:rsidRPr="00172FBB" w:rsidRDefault="00172FBB" w:rsidP="00172FBB">
            <w:pPr>
              <w:jc w:val="center"/>
              <w:rPr>
                <w:rFonts w:ascii="Times New Roman" w:hAnsi="Times New Roman"/>
                <w:color w:val="000000"/>
                <w:sz w:val="18"/>
                <w:szCs w:val="18"/>
                <w:lang w:val="es-AR" w:eastAsia="es-AR"/>
              </w:rPr>
            </w:pPr>
            <w:r w:rsidRPr="00172FBB">
              <w:rPr>
                <w:rFonts w:ascii="Times New Roman" w:hAnsi="Times New Roman"/>
                <w:color w:val="000000"/>
                <w:sz w:val="18"/>
                <w:szCs w:val="18"/>
                <w:lang w:val="es-AR" w:eastAsia="es-AR"/>
              </w:rPr>
              <w:t>Otros</w:t>
            </w:r>
          </w:p>
        </w:tc>
      </w:tr>
      <w:tr w:rsidR="00172FBB" w:rsidRPr="00172FBB" w:rsidTr="00172FBB">
        <w:trPr>
          <w:trHeight w:val="326"/>
        </w:trPr>
        <w:tc>
          <w:tcPr>
            <w:tcW w:w="982" w:type="dxa"/>
            <w:tcBorders>
              <w:top w:val="nil"/>
              <w:left w:val="nil"/>
              <w:bottom w:val="nil"/>
              <w:right w:val="nil"/>
            </w:tcBorders>
            <w:shd w:val="clear" w:color="000000" w:fill="FFFFFF"/>
            <w:noWrap/>
            <w:vAlign w:val="bottom"/>
            <w:hideMark/>
          </w:tcPr>
          <w:p w:rsidR="00172FBB" w:rsidRPr="00172FBB" w:rsidRDefault="00172FBB" w:rsidP="00172FBB">
            <w:pPr>
              <w:rPr>
                <w:rFonts w:ascii="Times New Roman" w:hAnsi="Times New Roman"/>
                <w:color w:val="000000"/>
                <w:sz w:val="18"/>
                <w:szCs w:val="18"/>
                <w:lang w:val="es-AR" w:eastAsia="es-AR"/>
              </w:rPr>
            </w:pPr>
            <w:r w:rsidRPr="00172FBB">
              <w:rPr>
                <w:rFonts w:ascii="Times New Roman" w:hAnsi="Times New Roman"/>
                <w:color w:val="000000"/>
                <w:sz w:val="18"/>
                <w:szCs w:val="18"/>
                <w:lang w:val="es-AR" w:eastAsia="es-AR"/>
              </w:rPr>
              <w:t>Guayas</w:t>
            </w:r>
          </w:p>
        </w:tc>
        <w:tc>
          <w:tcPr>
            <w:tcW w:w="746" w:type="dxa"/>
            <w:tcBorders>
              <w:top w:val="nil"/>
              <w:left w:val="nil"/>
              <w:bottom w:val="nil"/>
              <w:right w:val="nil"/>
            </w:tcBorders>
            <w:shd w:val="clear" w:color="000000" w:fill="FFFFFF"/>
            <w:noWrap/>
            <w:vAlign w:val="bottom"/>
            <w:hideMark/>
          </w:tcPr>
          <w:p w:rsidR="00172FBB" w:rsidRPr="00172FBB" w:rsidRDefault="00172FBB" w:rsidP="00172FBB">
            <w:pPr>
              <w:jc w:val="right"/>
              <w:rPr>
                <w:rFonts w:ascii="Times New Roman" w:hAnsi="Times New Roman"/>
                <w:color w:val="000000"/>
                <w:sz w:val="18"/>
                <w:szCs w:val="18"/>
                <w:lang w:val="es-AR" w:eastAsia="es-AR"/>
              </w:rPr>
            </w:pPr>
            <w:r w:rsidRPr="00172FBB">
              <w:rPr>
                <w:rFonts w:ascii="Times New Roman" w:hAnsi="Times New Roman"/>
                <w:color w:val="000000"/>
                <w:sz w:val="18"/>
                <w:szCs w:val="18"/>
                <w:lang w:val="es-AR" w:eastAsia="es-AR"/>
              </w:rPr>
              <w:t>11,5%</w:t>
            </w:r>
          </w:p>
        </w:tc>
        <w:tc>
          <w:tcPr>
            <w:tcW w:w="733" w:type="dxa"/>
            <w:tcBorders>
              <w:top w:val="nil"/>
              <w:left w:val="nil"/>
              <w:bottom w:val="nil"/>
              <w:right w:val="nil"/>
            </w:tcBorders>
            <w:shd w:val="clear" w:color="000000" w:fill="FFFFFF"/>
            <w:noWrap/>
            <w:vAlign w:val="bottom"/>
            <w:hideMark/>
          </w:tcPr>
          <w:p w:rsidR="00172FBB" w:rsidRPr="00172FBB" w:rsidRDefault="00172FBB" w:rsidP="00172FBB">
            <w:pPr>
              <w:jc w:val="right"/>
              <w:rPr>
                <w:rFonts w:ascii="Times New Roman" w:hAnsi="Times New Roman"/>
                <w:color w:val="000000"/>
                <w:sz w:val="18"/>
                <w:szCs w:val="18"/>
                <w:lang w:val="es-AR" w:eastAsia="es-AR"/>
              </w:rPr>
            </w:pPr>
            <w:r w:rsidRPr="00172FBB">
              <w:rPr>
                <w:rFonts w:ascii="Times New Roman" w:hAnsi="Times New Roman"/>
                <w:color w:val="000000"/>
                <w:sz w:val="18"/>
                <w:szCs w:val="18"/>
                <w:lang w:val="es-AR" w:eastAsia="es-AR"/>
              </w:rPr>
              <w:t>1,8%</w:t>
            </w:r>
          </w:p>
        </w:tc>
        <w:tc>
          <w:tcPr>
            <w:tcW w:w="736" w:type="dxa"/>
            <w:tcBorders>
              <w:top w:val="nil"/>
              <w:left w:val="nil"/>
              <w:bottom w:val="nil"/>
              <w:right w:val="nil"/>
            </w:tcBorders>
            <w:shd w:val="clear" w:color="000000" w:fill="FFFFFF"/>
            <w:noWrap/>
            <w:vAlign w:val="bottom"/>
            <w:hideMark/>
          </w:tcPr>
          <w:p w:rsidR="00172FBB" w:rsidRPr="00172FBB" w:rsidRDefault="00172FBB" w:rsidP="00172FBB">
            <w:pPr>
              <w:jc w:val="right"/>
              <w:rPr>
                <w:rFonts w:ascii="Times New Roman" w:hAnsi="Times New Roman"/>
                <w:color w:val="000000"/>
                <w:sz w:val="18"/>
                <w:szCs w:val="18"/>
                <w:lang w:val="es-AR" w:eastAsia="es-AR"/>
              </w:rPr>
            </w:pPr>
            <w:r w:rsidRPr="00172FBB">
              <w:rPr>
                <w:rFonts w:ascii="Times New Roman" w:hAnsi="Times New Roman"/>
                <w:color w:val="000000"/>
                <w:sz w:val="18"/>
                <w:szCs w:val="18"/>
                <w:lang w:val="es-AR" w:eastAsia="es-AR"/>
              </w:rPr>
              <w:t>6,3%</w:t>
            </w:r>
          </w:p>
        </w:tc>
        <w:tc>
          <w:tcPr>
            <w:tcW w:w="1080" w:type="dxa"/>
            <w:tcBorders>
              <w:top w:val="nil"/>
              <w:left w:val="nil"/>
              <w:bottom w:val="nil"/>
              <w:right w:val="nil"/>
            </w:tcBorders>
            <w:shd w:val="clear" w:color="000000" w:fill="FFFFFF"/>
            <w:noWrap/>
            <w:vAlign w:val="bottom"/>
            <w:hideMark/>
          </w:tcPr>
          <w:p w:rsidR="00172FBB" w:rsidRPr="00172FBB" w:rsidRDefault="00172FBB" w:rsidP="00172FBB">
            <w:pPr>
              <w:jc w:val="right"/>
              <w:rPr>
                <w:rFonts w:ascii="Times New Roman" w:hAnsi="Times New Roman"/>
                <w:color w:val="000000"/>
                <w:sz w:val="18"/>
                <w:szCs w:val="18"/>
                <w:lang w:val="es-AR" w:eastAsia="es-AR"/>
              </w:rPr>
            </w:pPr>
            <w:r w:rsidRPr="00172FBB">
              <w:rPr>
                <w:rFonts w:ascii="Times New Roman" w:hAnsi="Times New Roman"/>
                <w:color w:val="000000"/>
                <w:sz w:val="18"/>
                <w:szCs w:val="18"/>
                <w:lang w:val="es-AR" w:eastAsia="es-AR"/>
              </w:rPr>
              <w:t>6,9%</w:t>
            </w:r>
          </w:p>
        </w:tc>
        <w:tc>
          <w:tcPr>
            <w:tcW w:w="903" w:type="dxa"/>
            <w:tcBorders>
              <w:top w:val="nil"/>
              <w:left w:val="nil"/>
              <w:bottom w:val="nil"/>
              <w:right w:val="nil"/>
            </w:tcBorders>
            <w:shd w:val="clear" w:color="000000" w:fill="FFFFFF"/>
            <w:noWrap/>
            <w:vAlign w:val="bottom"/>
            <w:hideMark/>
          </w:tcPr>
          <w:p w:rsidR="00172FBB" w:rsidRPr="00172FBB" w:rsidRDefault="00172FBB" w:rsidP="00172FBB">
            <w:pPr>
              <w:jc w:val="right"/>
              <w:rPr>
                <w:rFonts w:ascii="Times New Roman" w:hAnsi="Times New Roman"/>
                <w:color w:val="000000"/>
                <w:sz w:val="18"/>
                <w:szCs w:val="18"/>
                <w:lang w:val="es-AR" w:eastAsia="es-AR"/>
              </w:rPr>
            </w:pPr>
            <w:r w:rsidRPr="00172FBB">
              <w:rPr>
                <w:rFonts w:ascii="Times New Roman" w:hAnsi="Times New Roman"/>
                <w:color w:val="000000"/>
                <w:sz w:val="18"/>
                <w:szCs w:val="18"/>
                <w:lang w:val="es-AR" w:eastAsia="es-AR"/>
              </w:rPr>
              <w:t>6,1%</w:t>
            </w:r>
          </w:p>
        </w:tc>
        <w:tc>
          <w:tcPr>
            <w:tcW w:w="835" w:type="dxa"/>
            <w:tcBorders>
              <w:top w:val="nil"/>
              <w:left w:val="nil"/>
              <w:bottom w:val="nil"/>
              <w:right w:val="nil"/>
            </w:tcBorders>
            <w:shd w:val="clear" w:color="000000" w:fill="FFFFFF"/>
            <w:noWrap/>
            <w:vAlign w:val="bottom"/>
            <w:hideMark/>
          </w:tcPr>
          <w:p w:rsidR="00172FBB" w:rsidRPr="00172FBB" w:rsidRDefault="00172FBB" w:rsidP="00172FBB">
            <w:pPr>
              <w:jc w:val="right"/>
              <w:rPr>
                <w:rFonts w:ascii="Times New Roman" w:hAnsi="Times New Roman"/>
                <w:color w:val="000000"/>
                <w:sz w:val="18"/>
                <w:szCs w:val="18"/>
                <w:lang w:val="es-AR" w:eastAsia="es-AR"/>
              </w:rPr>
            </w:pPr>
            <w:r w:rsidRPr="00172FBB">
              <w:rPr>
                <w:rFonts w:ascii="Times New Roman" w:hAnsi="Times New Roman"/>
                <w:color w:val="000000"/>
                <w:sz w:val="18"/>
                <w:szCs w:val="18"/>
                <w:lang w:val="es-AR" w:eastAsia="es-AR"/>
              </w:rPr>
              <w:t>16,1%</w:t>
            </w:r>
          </w:p>
        </w:tc>
        <w:tc>
          <w:tcPr>
            <w:tcW w:w="1041" w:type="dxa"/>
            <w:tcBorders>
              <w:top w:val="nil"/>
              <w:left w:val="nil"/>
              <w:bottom w:val="nil"/>
              <w:right w:val="nil"/>
            </w:tcBorders>
            <w:shd w:val="clear" w:color="000000" w:fill="FFFFFF"/>
            <w:noWrap/>
            <w:vAlign w:val="bottom"/>
            <w:hideMark/>
          </w:tcPr>
          <w:p w:rsidR="00172FBB" w:rsidRPr="00172FBB" w:rsidRDefault="00172FBB" w:rsidP="00172FBB">
            <w:pPr>
              <w:jc w:val="right"/>
              <w:rPr>
                <w:rFonts w:ascii="Times New Roman" w:hAnsi="Times New Roman"/>
                <w:color w:val="000000"/>
                <w:sz w:val="18"/>
                <w:szCs w:val="18"/>
                <w:lang w:val="es-AR" w:eastAsia="es-AR"/>
              </w:rPr>
            </w:pPr>
            <w:r w:rsidRPr="00172FBB">
              <w:rPr>
                <w:rFonts w:ascii="Times New Roman" w:hAnsi="Times New Roman"/>
                <w:color w:val="000000"/>
                <w:sz w:val="18"/>
                <w:szCs w:val="18"/>
                <w:lang w:val="es-AR" w:eastAsia="es-AR"/>
              </w:rPr>
              <w:t>11,6%</w:t>
            </w:r>
          </w:p>
        </w:tc>
        <w:tc>
          <w:tcPr>
            <w:tcW w:w="733" w:type="dxa"/>
            <w:tcBorders>
              <w:top w:val="nil"/>
              <w:left w:val="nil"/>
              <w:bottom w:val="nil"/>
              <w:right w:val="nil"/>
            </w:tcBorders>
            <w:shd w:val="clear" w:color="000000" w:fill="FFFFFF"/>
            <w:noWrap/>
            <w:vAlign w:val="bottom"/>
            <w:hideMark/>
          </w:tcPr>
          <w:p w:rsidR="00172FBB" w:rsidRPr="00172FBB" w:rsidRDefault="00172FBB" w:rsidP="00172FBB">
            <w:pPr>
              <w:jc w:val="right"/>
              <w:rPr>
                <w:rFonts w:ascii="Times New Roman" w:hAnsi="Times New Roman"/>
                <w:color w:val="000000"/>
                <w:sz w:val="18"/>
                <w:szCs w:val="18"/>
                <w:lang w:val="es-AR" w:eastAsia="es-AR"/>
              </w:rPr>
            </w:pPr>
            <w:r w:rsidRPr="00172FBB">
              <w:rPr>
                <w:rFonts w:ascii="Times New Roman" w:hAnsi="Times New Roman"/>
                <w:color w:val="000000"/>
                <w:sz w:val="18"/>
                <w:szCs w:val="18"/>
                <w:lang w:val="es-AR" w:eastAsia="es-AR"/>
              </w:rPr>
              <w:t>9,8%</w:t>
            </w:r>
          </w:p>
        </w:tc>
        <w:tc>
          <w:tcPr>
            <w:tcW w:w="733" w:type="dxa"/>
            <w:tcBorders>
              <w:top w:val="nil"/>
              <w:left w:val="nil"/>
              <w:bottom w:val="nil"/>
              <w:right w:val="nil"/>
            </w:tcBorders>
            <w:shd w:val="clear" w:color="000000" w:fill="FFFFFF"/>
            <w:noWrap/>
            <w:vAlign w:val="bottom"/>
            <w:hideMark/>
          </w:tcPr>
          <w:p w:rsidR="00172FBB" w:rsidRPr="00172FBB" w:rsidRDefault="00172FBB" w:rsidP="00172FBB">
            <w:pPr>
              <w:jc w:val="right"/>
              <w:rPr>
                <w:rFonts w:ascii="Times New Roman" w:hAnsi="Times New Roman"/>
                <w:color w:val="000000"/>
                <w:sz w:val="18"/>
                <w:szCs w:val="18"/>
                <w:lang w:val="es-AR" w:eastAsia="es-AR"/>
              </w:rPr>
            </w:pPr>
            <w:r w:rsidRPr="00172FBB">
              <w:rPr>
                <w:rFonts w:ascii="Times New Roman" w:hAnsi="Times New Roman"/>
                <w:color w:val="000000"/>
                <w:sz w:val="18"/>
                <w:szCs w:val="18"/>
                <w:lang w:val="es-AR" w:eastAsia="es-AR"/>
              </w:rPr>
              <w:t>29,9%</w:t>
            </w:r>
          </w:p>
        </w:tc>
      </w:tr>
      <w:tr w:rsidR="00172FBB" w:rsidRPr="00172FBB" w:rsidTr="00172FBB">
        <w:trPr>
          <w:trHeight w:val="326"/>
        </w:trPr>
        <w:tc>
          <w:tcPr>
            <w:tcW w:w="982" w:type="dxa"/>
            <w:tcBorders>
              <w:top w:val="nil"/>
              <w:left w:val="nil"/>
              <w:bottom w:val="nil"/>
              <w:right w:val="nil"/>
            </w:tcBorders>
            <w:shd w:val="clear" w:color="000000" w:fill="FFFFFF"/>
            <w:noWrap/>
            <w:vAlign w:val="bottom"/>
            <w:hideMark/>
          </w:tcPr>
          <w:p w:rsidR="00172FBB" w:rsidRPr="00172FBB" w:rsidRDefault="00172FBB" w:rsidP="00172FBB">
            <w:pPr>
              <w:rPr>
                <w:rFonts w:ascii="Times New Roman" w:hAnsi="Times New Roman"/>
                <w:color w:val="000000"/>
                <w:sz w:val="18"/>
                <w:szCs w:val="18"/>
                <w:lang w:val="es-AR" w:eastAsia="es-AR"/>
              </w:rPr>
            </w:pPr>
            <w:r w:rsidRPr="00172FBB">
              <w:rPr>
                <w:rFonts w:ascii="Times New Roman" w:hAnsi="Times New Roman"/>
                <w:color w:val="000000"/>
                <w:sz w:val="18"/>
                <w:szCs w:val="18"/>
                <w:lang w:val="es-AR" w:eastAsia="es-AR"/>
              </w:rPr>
              <w:t>Manabi</w:t>
            </w:r>
          </w:p>
        </w:tc>
        <w:tc>
          <w:tcPr>
            <w:tcW w:w="746" w:type="dxa"/>
            <w:tcBorders>
              <w:top w:val="nil"/>
              <w:left w:val="nil"/>
              <w:bottom w:val="nil"/>
              <w:right w:val="nil"/>
            </w:tcBorders>
            <w:shd w:val="clear" w:color="000000" w:fill="FFFFFF"/>
            <w:noWrap/>
            <w:vAlign w:val="bottom"/>
            <w:hideMark/>
          </w:tcPr>
          <w:p w:rsidR="00172FBB" w:rsidRPr="00172FBB" w:rsidRDefault="00172FBB" w:rsidP="00172FBB">
            <w:pPr>
              <w:jc w:val="right"/>
              <w:rPr>
                <w:rFonts w:ascii="Times New Roman" w:hAnsi="Times New Roman"/>
                <w:color w:val="000000"/>
                <w:sz w:val="18"/>
                <w:szCs w:val="18"/>
                <w:lang w:val="es-AR" w:eastAsia="es-AR"/>
              </w:rPr>
            </w:pPr>
            <w:r w:rsidRPr="00172FBB">
              <w:rPr>
                <w:rFonts w:ascii="Times New Roman" w:hAnsi="Times New Roman"/>
                <w:color w:val="000000"/>
                <w:sz w:val="18"/>
                <w:szCs w:val="18"/>
                <w:lang w:val="es-AR" w:eastAsia="es-AR"/>
              </w:rPr>
              <w:t>23,9%</w:t>
            </w:r>
          </w:p>
        </w:tc>
        <w:tc>
          <w:tcPr>
            <w:tcW w:w="733" w:type="dxa"/>
            <w:tcBorders>
              <w:top w:val="nil"/>
              <w:left w:val="nil"/>
              <w:bottom w:val="nil"/>
              <w:right w:val="nil"/>
            </w:tcBorders>
            <w:shd w:val="clear" w:color="000000" w:fill="FFFFFF"/>
            <w:noWrap/>
            <w:vAlign w:val="bottom"/>
            <w:hideMark/>
          </w:tcPr>
          <w:p w:rsidR="00172FBB" w:rsidRPr="00172FBB" w:rsidRDefault="00172FBB" w:rsidP="00172FBB">
            <w:pPr>
              <w:jc w:val="right"/>
              <w:rPr>
                <w:rFonts w:ascii="Times New Roman" w:hAnsi="Times New Roman"/>
                <w:color w:val="000000"/>
                <w:sz w:val="18"/>
                <w:szCs w:val="18"/>
                <w:lang w:val="es-AR" w:eastAsia="es-AR"/>
              </w:rPr>
            </w:pPr>
            <w:r w:rsidRPr="00172FBB">
              <w:rPr>
                <w:rFonts w:ascii="Times New Roman" w:hAnsi="Times New Roman"/>
                <w:color w:val="000000"/>
                <w:sz w:val="18"/>
                <w:szCs w:val="18"/>
                <w:lang w:val="es-AR" w:eastAsia="es-AR"/>
              </w:rPr>
              <w:t>6,8%</w:t>
            </w:r>
          </w:p>
        </w:tc>
        <w:tc>
          <w:tcPr>
            <w:tcW w:w="736" w:type="dxa"/>
            <w:tcBorders>
              <w:top w:val="nil"/>
              <w:left w:val="nil"/>
              <w:bottom w:val="nil"/>
              <w:right w:val="nil"/>
            </w:tcBorders>
            <w:shd w:val="clear" w:color="000000" w:fill="FFFFFF"/>
            <w:noWrap/>
            <w:vAlign w:val="bottom"/>
            <w:hideMark/>
          </w:tcPr>
          <w:p w:rsidR="00172FBB" w:rsidRPr="00172FBB" w:rsidRDefault="00172FBB" w:rsidP="00172FBB">
            <w:pPr>
              <w:jc w:val="right"/>
              <w:rPr>
                <w:rFonts w:ascii="Times New Roman" w:hAnsi="Times New Roman"/>
                <w:color w:val="000000"/>
                <w:sz w:val="18"/>
                <w:szCs w:val="18"/>
                <w:lang w:val="es-AR" w:eastAsia="es-AR"/>
              </w:rPr>
            </w:pPr>
            <w:r w:rsidRPr="00172FBB">
              <w:rPr>
                <w:rFonts w:ascii="Times New Roman" w:hAnsi="Times New Roman"/>
                <w:color w:val="000000"/>
                <w:sz w:val="18"/>
                <w:szCs w:val="18"/>
                <w:lang w:val="es-AR" w:eastAsia="es-AR"/>
              </w:rPr>
              <w:t>5,6%</w:t>
            </w:r>
          </w:p>
        </w:tc>
        <w:tc>
          <w:tcPr>
            <w:tcW w:w="1080" w:type="dxa"/>
            <w:tcBorders>
              <w:top w:val="nil"/>
              <w:left w:val="nil"/>
              <w:bottom w:val="nil"/>
              <w:right w:val="nil"/>
            </w:tcBorders>
            <w:shd w:val="clear" w:color="000000" w:fill="FFFFFF"/>
            <w:noWrap/>
            <w:vAlign w:val="bottom"/>
            <w:hideMark/>
          </w:tcPr>
          <w:p w:rsidR="00172FBB" w:rsidRPr="00172FBB" w:rsidRDefault="00172FBB" w:rsidP="00172FBB">
            <w:pPr>
              <w:jc w:val="right"/>
              <w:rPr>
                <w:rFonts w:ascii="Times New Roman" w:hAnsi="Times New Roman"/>
                <w:color w:val="000000"/>
                <w:sz w:val="18"/>
                <w:szCs w:val="18"/>
                <w:lang w:val="es-AR" w:eastAsia="es-AR"/>
              </w:rPr>
            </w:pPr>
            <w:r w:rsidRPr="00172FBB">
              <w:rPr>
                <w:rFonts w:ascii="Times New Roman" w:hAnsi="Times New Roman"/>
                <w:color w:val="000000"/>
                <w:sz w:val="18"/>
                <w:szCs w:val="18"/>
                <w:lang w:val="es-AR" w:eastAsia="es-AR"/>
              </w:rPr>
              <w:t>7,2%</w:t>
            </w:r>
          </w:p>
        </w:tc>
        <w:tc>
          <w:tcPr>
            <w:tcW w:w="903" w:type="dxa"/>
            <w:tcBorders>
              <w:top w:val="nil"/>
              <w:left w:val="nil"/>
              <w:bottom w:val="nil"/>
              <w:right w:val="nil"/>
            </w:tcBorders>
            <w:shd w:val="clear" w:color="000000" w:fill="FFFFFF"/>
            <w:noWrap/>
            <w:vAlign w:val="bottom"/>
            <w:hideMark/>
          </w:tcPr>
          <w:p w:rsidR="00172FBB" w:rsidRPr="00172FBB" w:rsidRDefault="00172FBB" w:rsidP="00172FBB">
            <w:pPr>
              <w:jc w:val="right"/>
              <w:rPr>
                <w:rFonts w:ascii="Times New Roman" w:hAnsi="Times New Roman"/>
                <w:color w:val="000000"/>
                <w:sz w:val="18"/>
                <w:szCs w:val="18"/>
                <w:lang w:val="es-AR" w:eastAsia="es-AR"/>
              </w:rPr>
            </w:pPr>
            <w:r w:rsidRPr="00172FBB">
              <w:rPr>
                <w:rFonts w:ascii="Times New Roman" w:hAnsi="Times New Roman"/>
                <w:color w:val="000000"/>
                <w:sz w:val="18"/>
                <w:szCs w:val="18"/>
                <w:lang w:val="es-AR" w:eastAsia="es-AR"/>
              </w:rPr>
              <w:t>3,6%</w:t>
            </w:r>
          </w:p>
        </w:tc>
        <w:tc>
          <w:tcPr>
            <w:tcW w:w="835" w:type="dxa"/>
            <w:tcBorders>
              <w:top w:val="nil"/>
              <w:left w:val="nil"/>
              <w:bottom w:val="nil"/>
              <w:right w:val="nil"/>
            </w:tcBorders>
            <w:shd w:val="clear" w:color="000000" w:fill="FFFFFF"/>
            <w:noWrap/>
            <w:vAlign w:val="bottom"/>
            <w:hideMark/>
          </w:tcPr>
          <w:p w:rsidR="00172FBB" w:rsidRPr="00172FBB" w:rsidRDefault="00172FBB" w:rsidP="00172FBB">
            <w:pPr>
              <w:jc w:val="right"/>
              <w:rPr>
                <w:rFonts w:ascii="Times New Roman" w:hAnsi="Times New Roman"/>
                <w:color w:val="000000"/>
                <w:sz w:val="18"/>
                <w:szCs w:val="18"/>
                <w:lang w:val="es-AR" w:eastAsia="es-AR"/>
              </w:rPr>
            </w:pPr>
            <w:r w:rsidRPr="00172FBB">
              <w:rPr>
                <w:rFonts w:ascii="Times New Roman" w:hAnsi="Times New Roman"/>
                <w:color w:val="000000"/>
                <w:sz w:val="18"/>
                <w:szCs w:val="18"/>
                <w:lang w:val="es-AR" w:eastAsia="es-AR"/>
              </w:rPr>
              <w:t>14,1%</w:t>
            </w:r>
          </w:p>
        </w:tc>
        <w:tc>
          <w:tcPr>
            <w:tcW w:w="1041" w:type="dxa"/>
            <w:tcBorders>
              <w:top w:val="nil"/>
              <w:left w:val="nil"/>
              <w:bottom w:val="nil"/>
              <w:right w:val="nil"/>
            </w:tcBorders>
            <w:shd w:val="clear" w:color="000000" w:fill="FFFFFF"/>
            <w:noWrap/>
            <w:vAlign w:val="bottom"/>
            <w:hideMark/>
          </w:tcPr>
          <w:p w:rsidR="00172FBB" w:rsidRPr="00172FBB" w:rsidRDefault="00172FBB" w:rsidP="00172FBB">
            <w:pPr>
              <w:jc w:val="right"/>
              <w:rPr>
                <w:rFonts w:ascii="Times New Roman" w:hAnsi="Times New Roman"/>
                <w:color w:val="000000"/>
                <w:sz w:val="18"/>
                <w:szCs w:val="18"/>
                <w:lang w:val="es-AR" w:eastAsia="es-AR"/>
              </w:rPr>
            </w:pPr>
            <w:r w:rsidRPr="00172FBB">
              <w:rPr>
                <w:rFonts w:ascii="Times New Roman" w:hAnsi="Times New Roman"/>
                <w:color w:val="000000"/>
                <w:sz w:val="18"/>
                <w:szCs w:val="18"/>
                <w:lang w:val="es-AR" w:eastAsia="es-AR"/>
              </w:rPr>
              <w:t>6,6%</w:t>
            </w:r>
          </w:p>
        </w:tc>
        <w:tc>
          <w:tcPr>
            <w:tcW w:w="733" w:type="dxa"/>
            <w:tcBorders>
              <w:top w:val="nil"/>
              <w:left w:val="nil"/>
              <w:bottom w:val="nil"/>
              <w:right w:val="nil"/>
            </w:tcBorders>
            <w:shd w:val="clear" w:color="000000" w:fill="FFFFFF"/>
            <w:noWrap/>
            <w:vAlign w:val="bottom"/>
            <w:hideMark/>
          </w:tcPr>
          <w:p w:rsidR="00172FBB" w:rsidRPr="00172FBB" w:rsidRDefault="00172FBB" w:rsidP="00172FBB">
            <w:pPr>
              <w:jc w:val="right"/>
              <w:rPr>
                <w:rFonts w:ascii="Times New Roman" w:hAnsi="Times New Roman"/>
                <w:color w:val="000000"/>
                <w:sz w:val="18"/>
                <w:szCs w:val="18"/>
                <w:lang w:val="es-AR" w:eastAsia="es-AR"/>
              </w:rPr>
            </w:pPr>
            <w:r w:rsidRPr="00172FBB">
              <w:rPr>
                <w:rFonts w:ascii="Times New Roman" w:hAnsi="Times New Roman"/>
                <w:color w:val="000000"/>
                <w:sz w:val="18"/>
                <w:szCs w:val="18"/>
                <w:lang w:val="es-AR" w:eastAsia="es-AR"/>
              </w:rPr>
              <w:t>11,6%</w:t>
            </w:r>
          </w:p>
        </w:tc>
        <w:tc>
          <w:tcPr>
            <w:tcW w:w="733" w:type="dxa"/>
            <w:tcBorders>
              <w:top w:val="nil"/>
              <w:left w:val="nil"/>
              <w:bottom w:val="nil"/>
              <w:right w:val="nil"/>
            </w:tcBorders>
            <w:shd w:val="clear" w:color="000000" w:fill="FFFFFF"/>
            <w:noWrap/>
            <w:vAlign w:val="bottom"/>
            <w:hideMark/>
          </w:tcPr>
          <w:p w:rsidR="00172FBB" w:rsidRPr="00172FBB" w:rsidRDefault="00172FBB" w:rsidP="00172FBB">
            <w:pPr>
              <w:jc w:val="right"/>
              <w:rPr>
                <w:rFonts w:ascii="Times New Roman" w:hAnsi="Times New Roman"/>
                <w:color w:val="000000"/>
                <w:sz w:val="18"/>
                <w:szCs w:val="18"/>
                <w:lang w:val="es-AR" w:eastAsia="es-AR"/>
              </w:rPr>
            </w:pPr>
            <w:r w:rsidRPr="00172FBB">
              <w:rPr>
                <w:rFonts w:ascii="Times New Roman" w:hAnsi="Times New Roman"/>
                <w:color w:val="000000"/>
                <w:sz w:val="18"/>
                <w:szCs w:val="18"/>
                <w:lang w:val="es-AR" w:eastAsia="es-AR"/>
              </w:rPr>
              <w:t>20,6%</w:t>
            </w:r>
          </w:p>
        </w:tc>
      </w:tr>
    </w:tbl>
    <w:p w:rsidR="00172FBB" w:rsidRPr="00172FBB" w:rsidRDefault="00172FBB" w:rsidP="00172FBB">
      <w:pPr>
        <w:jc w:val="both"/>
        <w:rPr>
          <w:rFonts w:ascii="Times New Roman" w:hAnsi="Times New Roman"/>
          <w:i/>
          <w:sz w:val="18"/>
          <w:szCs w:val="18"/>
          <w:lang w:val="es-ES_tradnl"/>
        </w:rPr>
      </w:pPr>
      <w:r w:rsidRPr="00172FBB">
        <w:rPr>
          <w:rFonts w:ascii="Times New Roman" w:hAnsi="Times New Roman"/>
          <w:i/>
          <w:sz w:val="18"/>
          <w:szCs w:val="18"/>
          <w:lang w:val="es-ES_tradnl"/>
        </w:rPr>
        <w:t xml:space="preserve">Fuente. Equipo Evaluador impacto Terremoto 2016 en </w:t>
      </w:r>
      <w:r w:rsidR="00673163" w:rsidRPr="00172FBB">
        <w:rPr>
          <w:rFonts w:ascii="Times New Roman" w:hAnsi="Times New Roman"/>
          <w:i/>
          <w:sz w:val="18"/>
          <w:szCs w:val="18"/>
          <w:lang w:val="es-ES_tradnl"/>
        </w:rPr>
        <w:t>base a</w:t>
      </w:r>
      <w:r w:rsidRPr="00172FBB">
        <w:rPr>
          <w:rFonts w:ascii="Times New Roman" w:hAnsi="Times New Roman"/>
          <w:i/>
          <w:sz w:val="18"/>
          <w:szCs w:val="18"/>
          <w:lang w:val="es-ES_tradnl"/>
        </w:rPr>
        <w:t xml:space="preserve"> encuesta de empleo ENEMDU 2015.</w:t>
      </w:r>
    </w:p>
    <w:p w:rsidR="00172FBB" w:rsidRDefault="00172FBB" w:rsidP="00172FBB">
      <w:pPr>
        <w:jc w:val="both"/>
        <w:rPr>
          <w:rFonts w:ascii="Times New Roman" w:hAnsi="Times New Roman"/>
          <w:sz w:val="22"/>
          <w:szCs w:val="22"/>
          <w:lang w:val="es-ES_tradnl"/>
        </w:rPr>
      </w:pPr>
    </w:p>
    <w:p w:rsidR="007B50B7" w:rsidRDefault="00172FBB" w:rsidP="00195306">
      <w:pPr>
        <w:pStyle w:val="ListParagraph"/>
        <w:numPr>
          <w:ilvl w:val="1"/>
          <w:numId w:val="12"/>
        </w:numPr>
        <w:jc w:val="both"/>
        <w:rPr>
          <w:rFonts w:ascii="Times New Roman" w:hAnsi="Times New Roman"/>
          <w:sz w:val="22"/>
          <w:szCs w:val="22"/>
          <w:lang w:val="es-ES_tradnl"/>
        </w:rPr>
      </w:pPr>
      <w:r w:rsidRPr="001F61A9">
        <w:rPr>
          <w:rFonts w:ascii="Times New Roman" w:hAnsi="Times New Roman"/>
          <w:sz w:val="22"/>
          <w:szCs w:val="22"/>
          <w:lang w:val="es-ES_tradnl"/>
        </w:rPr>
        <w:t xml:space="preserve">Los desbordamientos de ríos tienen un gran </w:t>
      </w:r>
      <w:r w:rsidR="00673163" w:rsidRPr="001F61A9">
        <w:rPr>
          <w:rFonts w:ascii="Times New Roman" w:hAnsi="Times New Roman"/>
          <w:sz w:val="22"/>
          <w:szCs w:val="22"/>
          <w:lang w:val="es-ES_tradnl"/>
        </w:rPr>
        <w:t>impacto en</w:t>
      </w:r>
      <w:r w:rsidRPr="001F61A9">
        <w:rPr>
          <w:rFonts w:ascii="Times New Roman" w:hAnsi="Times New Roman"/>
          <w:sz w:val="22"/>
          <w:szCs w:val="22"/>
          <w:lang w:val="es-ES_tradnl"/>
        </w:rPr>
        <w:t xml:space="preserve"> la actividad económica, en función de los efectos que se registran especialmente en los grupos de ocupación informal, que encuentran limitaciones para enfrentar sus efectos. </w:t>
      </w:r>
      <w:r w:rsidR="00673163" w:rsidRPr="001F61A9">
        <w:rPr>
          <w:rFonts w:ascii="Times New Roman" w:hAnsi="Times New Roman"/>
          <w:sz w:val="22"/>
          <w:szCs w:val="22"/>
          <w:lang w:val="es-ES_tradnl"/>
        </w:rPr>
        <w:t>Se estima que la población afectada por los desbordamientos es afectada en su capacidad de trabajo, o en la disponibilidad de bienes o recursos por lo que no puede desarrollar sus tareas habituales durante el tiempo en que dura la afectación por estos fenómenos</w:t>
      </w:r>
      <w:r w:rsidR="00673163">
        <w:rPr>
          <w:rFonts w:ascii="Times New Roman" w:hAnsi="Times New Roman"/>
          <w:sz w:val="22"/>
          <w:szCs w:val="22"/>
          <w:lang w:val="es-ES_tradnl"/>
        </w:rPr>
        <w:t xml:space="preserve"> a</w:t>
      </w:r>
      <w:r w:rsidR="00673163" w:rsidRPr="001F61A9">
        <w:rPr>
          <w:rFonts w:ascii="Times New Roman" w:hAnsi="Times New Roman"/>
          <w:sz w:val="22"/>
          <w:szCs w:val="22"/>
          <w:lang w:val="es-ES_tradnl"/>
        </w:rPr>
        <w:t xml:space="preserve">normales. </w:t>
      </w:r>
      <w:r w:rsidRPr="001F61A9">
        <w:rPr>
          <w:rFonts w:ascii="Times New Roman" w:hAnsi="Times New Roman"/>
          <w:sz w:val="22"/>
          <w:szCs w:val="22"/>
          <w:lang w:val="es-ES_tradnl"/>
        </w:rPr>
        <w:t xml:space="preserve">Los lapsos de tiempo en que los grupos de afectados quedan fuera de la actividad comercial pueden oscilar entre 15 y 30 días, conforme a la forma en que se manifiestan los desastres. Su efecto fue estimado </w:t>
      </w:r>
      <w:r w:rsidR="001F61A9" w:rsidRPr="001F61A9">
        <w:rPr>
          <w:rFonts w:ascii="Times New Roman" w:hAnsi="Times New Roman"/>
          <w:sz w:val="22"/>
          <w:szCs w:val="22"/>
          <w:lang w:val="es-ES_tradnl"/>
        </w:rPr>
        <w:t xml:space="preserve">de modo simplificado </w:t>
      </w:r>
      <w:r w:rsidRPr="001F61A9">
        <w:rPr>
          <w:rFonts w:ascii="Times New Roman" w:hAnsi="Times New Roman"/>
          <w:sz w:val="22"/>
          <w:szCs w:val="22"/>
          <w:lang w:val="es-ES_tradnl"/>
        </w:rPr>
        <w:t xml:space="preserve">en función </w:t>
      </w:r>
      <w:r w:rsidR="001F61A9" w:rsidRPr="001F61A9">
        <w:rPr>
          <w:rFonts w:ascii="Times New Roman" w:hAnsi="Times New Roman"/>
          <w:sz w:val="22"/>
          <w:szCs w:val="22"/>
          <w:lang w:val="es-ES_tradnl"/>
        </w:rPr>
        <w:t xml:space="preserve">del aporte individual al </w:t>
      </w:r>
      <w:r w:rsidR="002810A4">
        <w:rPr>
          <w:rFonts w:ascii="Times New Roman" w:hAnsi="Times New Roman"/>
          <w:sz w:val="22"/>
          <w:szCs w:val="22"/>
          <w:lang w:val="es-ES_tradnl"/>
        </w:rPr>
        <w:t>producto interno</w:t>
      </w:r>
      <w:r w:rsidR="002810A4" w:rsidRPr="001F61A9">
        <w:rPr>
          <w:rFonts w:ascii="Times New Roman" w:hAnsi="Times New Roman"/>
          <w:sz w:val="22"/>
          <w:szCs w:val="22"/>
          <w:lang w:val="es-ES_tradnl"/>
        </w:rPr>
        <w:t xml:space="preserve"> </w:t>
      </w:r>
      <w:r w:rsidR="001F61A9" w:rsidRPr="001F61A9">
        <w:rPr>
          <w:rFonts w:ascii="Times New Roman" w:hAnsi="Times New Roman"/>
          <w:sz w:val="22"/>
          <w:szCs w:val="22"/>
          <w:lang w:val="es-ES_tradnl"/>
        </w:rPr>
        <w:t xml:space="preserve">(PBI per capita) asumiendo una </w:t>
      </w:r>
      <w:r w:rsidR="002810A4" w:rsidRPr="001F61A9">
        <w:rPr>
          <w:rFonts w:ascii="Times New Roman" w:hAnsi="Times New Roman"/>
          <w:sz w:val="22"/>
          <w:szCs w:val="22"/>
          <w:lang w:val="es-ES_tradnl"/>
        </w:rPr>
        <w:t>p</w:t>
      </w:r>
      <w:r w:rsidR="002810A4">
        <w:rPr>
          <w:rFonts w:ascii="Times New Roman" w:hAnsi="Times New Roman"/>
          <w:sz w:val="22"/>
          <w:szCs w:val="22"/>
          <w:lang w:val="es-ES_tradnl"/>
        </w:rPr>
        <w:t>é</w:t>
      </w:r>
      <w:r w:rsidR="002810A4" w:rsidRPr="001F61A9">
        <w:rPr>
          <w:rFonts w:ascii="Times New Roman" w:hAnsi="Times New Roman"/>
          <w:sz w:val="22"/>
          <w:szCs w:val="22"/>
          <w:lang w:val="es-ES_tradnl"/>
        </w:rPr>
        <w:t xml:space="preserve">rdida </w:t>
      </w:r>
      <w:r w:rsidR="001F61A9" w:rsidRPr="001F61A9">
        <w:rPr>
          <w:rFonts w:ascii="Times New Roman" w:hAnsi="Times New Roman"/>
          <w:sz w:val="22"/>
          <w:szCs w:val="22"/>
          <w:lang w:val="es-ES_tradnl"/>
        </w:rPr>
        <w:t>monetari</w:t>
      </w:r>
      <w:r w:rsidR="001F61A9">
        <w:rPr>
          <w:rFonts w:ascii="Times New Roman" w:hAnsi="Times New Roman"/>
          <w:sz w:val="22"/>
          <w:szCs w:val="22"/>
          <w:lang w:val="es-ES_tradnl"/>
        </w:rPr>
        <w:t>a</w:t>
      </w:r>
      <w:r w:rsidR="001F61A9" w:rsidRPr="001F61A9">
        <w:rPr>
          <w:rFonts w:ascii="Times New Roman" w:hAnsi="Times New Roman"/>
          <w:sz w:val="22"/>
          <w:szCs w:val="22"/>
          <w:lang w:val="es-ES_tradnl"/>
        </w:rPr>
        <w:t xml:space="preserve"> equivalente al tiempo perdido </w:t>
      </w:r>
      <w:r w:rsidR="001F61A9">
        <w:rPr>
          <w:rFonts w:ascii="Times New Roman" w:hAnsi="Times New Roman"/>
          <w:sz w:val="22"/>
          <w:szCs w:val="22"/>
          <w:lang w:val="es-ES_tradnl"/>
        </w:rPr>
        <w:t xml:space="preserve">por el grupo de afectados valorizado (dado que la región es relativamente pobre se consideró que un PBI regional </w:t>
      </w:r>
      <w:r w:rsidR="002810A4">
        <w:rPr>
          <w:rFonts w:ascii="Times New Roman" w:hAnsi="Times New Roman"/>
          <w:sz w:val="22"/>
          <w:szCs w:val="22"/>
          <w:lang w:val="es-ES_tradnl"/>
        </w:rPr>
        <w:t>por habitante</w:t>
      </w:r>
      <w:r w:rsidR="001F61A9">
        <w:rPr>
          <w:rFonts w:ascii="Times New Roman" w:hAnsi="Times New Roman"/>
          <w:sz w:val="22"/>
          <w:szCs w:val="22"/>
          <w:lang w:val="es-ES_tradnl"/>
        </w:rPr>
        <w:t xml:space="preserve"> equivalente al 70% del promedio nacional).</w:t>
      </w:r>
      <w:r w:rsidR="007B50B7">
        <w:rPr>
          <w:rFonts w:ascii="Times New Roman" w:hAnsi="Times New Roman"/>
          <w:sz w:val="22"/>
          <w:szCs w:val="22"/>
          <w:lang w:val="es-ES_tradnl"/>
        </w:rPr>
        <w:t xml:space="preserve"> </w:t>
      </w:r>
      <w:r w:rsidR="008D1225">
        <w:rPr>
          <w:rFonts w:ascii="Times New Roman" w:hAnsi="Times New Roman"/>
          <w:sz w:val="22"/>
          <w:szCs w:val="22"/>
          <w:lang w:val="es-ES_tradnl"/>
        </w:rPr>
        <w:t xml:space="preserve"> El siguiente cuadro resume las premisas planteadas.</w:t>
      </w:r>
    </w:p>
    <w:p w:rsidR="00406CAE" w:rsidRPr="00455FC7" w:rsidRDefault="00406CAE" w:rsidP="00455FC7">
      <w:pPr>
        <w:jc w:val="both"/>
        <w:rPr>
          <w:rFonts w:ascii="Times New Roman" w:hAnsi="Times New Roman"/>
          <w:sz w:val="22"/>
          <w:szCs w:val="22"/>
          <w:lang w:val="es-ES_tradnl"/>
        </w:rPr>
      </w:pPr>
    </w:p>
    <w:p w:rsidR="008D1225" w:rsidRDefault="008D1225" w:rsidP="008D1225">
      <w:pPr>
        <w:ind w:left="718"/>
        <w:jc w:val="both"/>
        <w:rPr>
          <w:rFonts w:ascii="Times New Roman" w:hAnsi="Times New Roman"/>
          <w:sz w:val="22"/>
          <w:szCs w:val="22"/>
          <w:lang w:val="es-ES_tradnl"/>
        </w:rPr>
      </w:pPr>
      <w:r w:rsidRPr="00EB1098">
        <w:rPr>
          <w:rFonts w:ascii="Times New Roman" w:hAnsi="Times New Roman"/>
          <w:b/>
          <w:lang w:val="es-AR"/>
        </w:rPr>
        <w:lastRenderedPageBreak/>
        <w:t xml:space="preserve">Tabla </w:t>
      </w:r>
      <w:r w:rsidR="00081A23" w:rsidRPr="00EB1098">
        <w:rPr>
          <w:rFonts w:ascii="Times New Roman" w:hAnsi="Times New Roman"/>
          <w:b/>
        </w:rPr>
        <w:fldChar w:fldCharType="begin"/>
      </w:r>
      <w:r w:rsidRPr="00EB1098">
        <w:rPr>
          <w:rFonts w:ascii="Times New Roman" w:hAnsi="Times New Roman"/>
          <w:b/>
          <w:lang w:val="es-AR"/>
        </w:rPr>
        <w:instrText xml:space="preserve"> SEQ Tabla \* ARABIC </w:instrText>
      </w:r>
      <w:r w:rsidR="00081A23" w:rsidRPr="00EB1098">
        <w:rPr>
          <w:rFonts w:ascii="Times New Roman" w:hAnsi="Times New Roman"/>
          <w:b/>
        </w:rPr>
        <w:fldChar w:fldCharType="separate"/>
      </w:r>
      <w:r w:rsidR="004B1B6C">
        <w:rPr>
          <w:rFonts w:ascii="Times New Roman" w:hAnsi="Times New Roman"/>
          <w:b/>
          <w:noProof/>
          <w:lang w:val="es-AR"/>
        </w:rPr>
        <w:t>14</w:t>
      </w:r>
      <w:r w:rsidR="00081A23" w:rsidRPr="00EB1098">
        <w:rPr>
          <w:rFonts w:ascii="Times New Roman" w:hAnsi="Times New Roman"/>
          <w:b/>
        </w:rPr>
        <w:fldChar w:fldCharType="end"/>
      </w:r>
      <w:r w:rsidRPr="00EB1098">
        <w:rPr>
          <w:rFonts w:ascii="Times New Roman" w:hAnsi="Times New Roman"/>
          <w:lang w:val="es-AR"/>
        </w:rPr>
        <w:t xml:space="preserve">. </w:t>
      </w:r>
      <w:r>
        <w:rPr>
          <w:rFonts w:ascii="Times New Roman" w:hAnsi="Times New Roman"/>
          <w:lang w:val="es-AR"/>
        </w:rPr>
        <w:t>Desbordamiento de ríos – Efectos de corto plazo en la actividad</w:t>
      </w:r>
    </w:p>
    <w:tbl>
      <w:tblPr>
        <w:tblW w:w="8560" w:type="dxa"/>
        <w:tblInd w:w="65" w:type="dxa"/>
        <w:tblCellMar>
          <w:left w:w="70" w:type="dxa"/>
          <w:right w:w="70" w:type="dxa"/>
        </w:tblCellMar>
        <w:tblLook w:val="04A0" w:firstRow="1" w:lastRow="0" w:firstColumn="1" w:lastColumn="0" w:noHBand="0" w:noVBand="1"/>
      </w:tblPr>
      <w:tblGrid>
        <w:gridCol w:w="1300"/>
        <w:gridCol w:w="1420"/>
        <w:gridCol w:w="1480"/>
        <w:gridCol w:w="1480"/>
        <w:gridCol w:w="1460"/>
        <w:gridCol w:w="1420"/>
      </w:tblGrid>
      <w:tr w:rsidR="008D1225" w:rsidRPr="008D1225" w:rsidTr="008D1225">
        <w:trPr>
          <w:trHeight w:val="765"/>
        </w:trPr>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1225" w:rsidRPr="008D1225" w:rsidRDefault="008D1225" w:rsidP="008D1225">
            <w:pPr>
              <w:rPr>
                <w:rFonts w:ascii="Times New Roman" w:hAnsi="Times New Roman"/>
                <w:color w:val="000000"/>
                <w:lang w:val="es-AR" w:eastAsia="es-AR"/>
              </w:rPr>
            </w:pPr>
            <w:r w:rsidRPr="008D1225">
              <w:rPr>
                <w:rFonts w:ascii="Times New Roman" w:hAnsi="Times New Roman"/>
                <w:color w:val="000000"/>
                <w:lang w:val="es-AR" w:eastAsia="es-AR"/>
              </w:rPr>
              <w:t>Provincia</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8D1225" w:rsidRPr="008D1225" w:rsidRDefault="008D1225" w:rsidP="008D1225">
            <w:pPr>
              <w:jc w:val="center"/>
              <w:rPr>
                <w:rFonts w:ascii="Times New Roman" w:hAnsi="Times New Roman"/>
                <w:color w:val="000000"/>
                <w:lang w:val="es-AR" w:eastAsia="es-AR"/>
              </w:rPr>
            </w:pPr>
            <w:r w:rsidRPr="008D1225">
              <w:rPr>
                <w:rFonts w:ascii="Times New Roman" w:hAnsi="Times New Roman"/>
                <w:color w:val="000000"/>
                <w:lang w:val="es-AR" w:eastAsia="es-AR"/>
              </w:rPr>
              <w:t>Población Expuesta 2016</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8D1225" w:rsidRPr="008D1225" w:rsidRDefault="008D1225" w:rsidP="008D1225">
            <w:pPr>
              <w:jc w:val="center"/>
              <w:rPr>
                <w:rFonts w:ascii="Times New Roman" w:hAnsi="Times New Roman"/>
                <w:color w:val="000000"/>
                <w:lang w:val="es-AR" w:eastAsia="es-AR"/>
              </w:rPr>
            </w:pPr>
            <w:r w:rsidRPr="008D1225">
              <w:rPr>
                <w:rFonts w:ascii="Times New Roman" w:hAnsi="Times New Roman"/>
                <w:color w:val="000000"/>
                <w:lang w:val="es-AR" w:eastAsia="es-AR"/>
              </w:rPr>
              <w:t>Heridos/ Afectados (anual estimado)</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8D1225" w:rsidRPr="008D1225" w:rsidRDefault="008D1225" w:rsidP="008D1225">
            <w:pPr>
              <w:jc w:val="center"/>
              <w:rPr>
                <w:rFonts w:ascii="Times New Roman" w:hAnsi="Times New Roman"/>
                <w:color w:val="000000"/>
                <w:lang w:val="es-AR" w:eastAsia="es-AR"/>
              </w:rPr>
            </w:pPr>
            <w:r w:rsidRPr="008D1225">
              <w:rPr>
                <w:rFonts w:ascii="Times New Roman" w:hAnsi="Times New Roman"/>
                <w:color w:val="000000"/>
                <w:lang w:val="es-AR" w:eastAsia="es-AR"/>
              </w:rPr>
              <w:t>PBI Per Capita  (70% del valor anual)</w:t>
            </w:r>
          </w:p>
        </w:tc>
        <w:tc>
          <w:tcPr>
            <w:tcW w:w="1460" w:type="dxa"/>
            <w:tcBorders>
              <w:top w:val="single" w:sz="4" w:space="0" w:color="auto"/>
              <w:left w:val="nil"/>
              <w:bottom w:val="single" w:sz="4" w:space="0" w:color="auto"/>
              <w:right w:val="single" w:sz="4" w:space="0" w:color="auto"/>
            </w:tcBorders>
            <w:shd w:val="clear" w:color="000000" w:fill="FFFFFF"/>
            <w:vAlign w:val="center"/>
            <w:hideMark/>
          </w:tcPr>
          <w:p w:rsidR="008D1225" w:rsidRPr="008D1225" w:rsidRDefault="008D1225" w:rsidP="008D1225">
            <w:pPr>
              <w:jc w:val="center"/>
              <w:rPr>
                <w:rFonts w:ascii="Times New Roman" w:hAnsi="Times New Roman"/>
                <w:color w:val="000000"/>
                <w:lang w:val="es-AR" w:eastAsia="es-AR"/>
              </w:rPr>
            </w:pPr>
            <w:r w:rsidRPr="008D1225">
              <w:rPr>
                <w:rFonts w:ascii="Times New Roman" w:hAnsi="Times New Roman"/>
                <w:color w:val="000000"/>
                <w:lang w:val="es-AR" w:eastAsia="es-AR"/>
              </w:rPr>
              <w:t>Perdida estimada en 15 ds inanctividad</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8D1225" w:rsidRPr="008D1225" w:rsidRDefault="008D1225" w:rsidP="008D1225">
            <w:pPr>
              <w:jc w:val="center"/>
              <w:rPr>
                <w:rFonts w:ascii="Times New Roman" w:hAnsi="Times New Roman"/>
                <w:color w:val="000000"/>
                <w:lang w:val="es-AR" w:eastAsia="es-AR"/>
              </w:rPr>
            </w:pPr>
            <w:r w:rsidRPr="008D1225">
              <w:rPr>
                <w:rFonts w:ascii="Times New Roman" w:hAnsi="Times New Roman"/>
                <w:color w:val="000000"/>
                <w:lang w:val="es-AR" w:eastAsia="es-AR"/>
              </w:rPr>
              <w:t>Perdida evitada con SAT</w:t>
            </w:r>
          </w:p>
        </w:tc>
      </w:tr>
      <w:tr w:rsidR="008D1225" w:rsidRPr="008D1225" w:rsidTr="008D1225">
        <w:trPr>
          <w:trHeight w:val="300"/>
        </w:trPr>
        <w:tc>
          <w:tcPr>
            <w:tcW w:w="1300" w:type="dxa"/>
            <w:tcBorders>
              <w:top w:val="nil"/>
              <w:left w:val="nil"/>
              <w:bottom w:val="nil"/>
              <w:right w:val="nil"/>
            </w:tcBorders>
            <w:shd w:val="clear" w:color="000000" w:fill="FFFFFF"/>
            <w:noWrap/>
            <w:vAlign w:val="bottom"/>
            <w:hideMark/>
          </w:tcPr>
          <w:p w:rsidR="008D1225" w:rsidRPr="008D1225" w:rsidRDefault="008D1225" w:rsidP="008D1225">
            <w:pPr>
              <w:rPr>
                <w:rFonts w:ascii="Times New Roman" w:hAnsi="Times New Roman"/>
                <w:color w:val="000000"/>
                <w:lang w:val="es-AR" w:eastAsia="es-AR"/>
              </w:rPr>
            </w:pPr>
            <w:r w:rsidRPr="008D1225">
              <w:rPr>
                <w:rFonts w:ascii="Times New Roman" w:hAnsi="Times New Roman"/>
                <w:color w:val="000000"/>
                <w:lang w:val="es-AR" w:eastAsia="es-AR"/>
              </w:rPr>
              <w:t>Guayas</w:t>
            </w:r>
          </w:p>
        </w:tc>
        <w:tc>
          <w:tcPr>
            <w:tcW w:w="1420" w:type="dxa"/>
            <w:tcBorders>
              <w:top w:val="nil"/>
              <w:left w:val="nil"/>
              <w:bottom w:val="nil"/>
              <w:right w:val="nil"/>
            </w:tcBorders>
            <w:shd w:val="clear" w:color="000000" w:fill="FFFFFF"/>
            <w:noWrap/>
            <w:vAlign w:val="bottom"/>
            <w:hideMark/>
          </w:tcPr>
          <w:p w:rsidR="008D1225" w:rsidRPr="008D1225" w:rsidRDefault="008D1225" w:rsidP="008D1225">
            <w:pPr>
              <w:jc w:val="right"/>
              <w:rPr>
                <w:rFonts w:ascii="Times New Roman" w:hAnsi="Times New Roman"/>
                <w:color w:val="000000"/>
                <w:lang w:val="es-AR" w:eastAsia="es-AR"/>
              </w:rPr>
            </w:pPr>
            <w:r w:rsidRPr="008D1225">
              <w:rPr>
                <w:rFonts w:ascii="Times New Roman" w:hAnsi="Times New Roman"/>
                <w:color w:val="000000"/>
                <w:lang w:val="es-AR" w:eastAsia="es-AR"/>
              </w:rPr>
              <w:t>499.883</w:t>
            </w:r>
          </w:p>
        </w:tc>
        <w:tc>
          <w:tcPr>
            <w:tcW w:w="1480" w:type="dxa"/>
            <w:tcBorders>
              <w:top w:val="nil"/>
              <w:left w:val="nil"/>
              <w:bottom w:val="nil"/>
              <w:right w:val="nil"/>
            </w:tcBorders>
            <w:shd w:val="clear" w:color="000000" w:fill="FFFFFF"/>
            <w:noWrap/>
            <w:vAlign w:val="bottom"/>
            <w:hideMark/>
          </w:tcPr>
          <w:p w:rsidR="008D1225" w:rsidRPr="008D1225" w:rsidRDefault="008D1225" w:rsidP="008D1225">
            <w:pPr>
              <w:jc w:val="right"/>
              <w:rPr>
                <w:rFonts w:ascii="Times New Roman" w:hAnsi="Times New Roman"/>
                <w:color w:val="000000"/>
                <w:lang w:val="es-AR" w:eastAsia="es-AR"/>
              </w:rPr>
            </w:pPr>
            <w:r w:rsidRPr="008D1225">
              <w:rPr>
                <w:rFonts w:ascii="Times New Roman" w:hAnsi="Times New Roman"/>
                <w:color w:val="000000"/>
                <w:lang w:val="es-AR" w:eastAsia="es-AR"/>
              </w:rPr>
              <w:t>2.401</w:t>
            </w:r>
          </w:p>
        </w:tc>
        <w:tc>
          <w:tcPr>
            <w:tcW w:w="1480" w:type="dxa"/>
            <w:tcBorders>
              <w:top w:val="nil"/>
              <w:left w:val="nil"/>
              <w:bottom w:val="nil"/>
              <w:right w:val="nil"/>
            </w:tcBorders>
            <w:shd w:val="clear" w:color="000000" w:fill="FFFFFF"/>
            <w:noWrap/>
            <w:vAlign w:val="bottom"/>
            <w:hideMark/>
          </w:tcPr>
          <w:p w:rsidR="008D1225" w:rsidRPr="008D1225" w:rsidRDefault="008D1225" w:rsidP="008D1225">
            <w:pPr>
              <w:jc w:val="right"/>
              <w:rPr>
                <w:rFonts w:ascii="Times New Roman" w:hAnsi="Times New Roman"/>
                <w:color w:val="000000"/>
                <w:lang w:val="es-AR" w:eastAsia="es-AR"/>
              </w:rPr>
            </w:pPr>
            <w:r w:rsidRPr="008D1225">
              <w:rPr>
                <w:rFonts w:ascii="Times New Roman" w:hAnsi="Times New Roman"/>
                <w:color w:val="000000"/>
                <w:lang w:val="es-AR" w:eastAsia="es-AR"/>
              </w:rPr>
              <w:t>2.895</w:t>
            </w:r>
          </w:p>
        </w:tc>
        <w:tc>
          <w:tcPr>
            <w:tcW w:w="1460" w:type="dxa"/>
            <w:tcBorders>
              <w:top w:val="nil"/>
              <w:left w:val="nil"/>
              <w:bottom w:val="nil"/>
              <w:right w:val="nil"/>
            </w:tcBorders>
            <w:shd w:val="clear" w:color="000000" w:fill="FFFFFF"/>
            <w:noWrap/>
            <w:vAlign w:val="bottom"/>
            <w:hideMark/>
          </w:tcPr>
          <w:p w:rsidR="008D1225" w:rsidRPr="008D1225" w:rsidRDefault="008D1225" w:rsidP="008D1225">
            <w:pPr>
              <w:jc w:val="right"/>
              <w:rPr>
                <w:rFonts w:ascii="Times New Roman" w:hAnsi="Times New Roman"/>
                <w:color w:val="000000"/>
                <w:lang w:val="es-AR" w:eastAsia="es-AR"/>
              </w:rPr>
            </w:pPr>
            <w:r w:rsidRPr="008D1225">
              <w:rPr>
                <w:rFonts w:ascii="Times New Roman" w:hAnsi="Times New Roman"/>
                <w:color w:val="000000"/>
                <w:lang w:val="es-AR" w:eastAsia="es-AR"/>
              </w:rPr>
              <w:t>285.609</w:t>
            </w:r>
          </w:p>
        </w:tc>
        <w:tc>
          <w:tcPr>
            <w:tcW w:w="1420" w:type="dxa"/>
            <w:tcBorders>
              <w:top w:val="nil"/>
              <w:left w:val="nil"/>
              <w:bottom w:val="nil"/>
              <w:right w:val="nil"/>
            </w:tcBorders>
            <w:shd w:val="clear" w:color="000000" w:fill="FFFFFF"/>
            <w:noWrap/>
            <w:vAlign w:val="bottom"/>
            <w:hideMark/>
          </w:tcPr>
          <w:p w:rsidR="008D1225" w:rsidRPr="008D1225" w:rsidRDefault="008D1225" w:rsidP="008D1225">
            <w:pPr>
              <w:jc w:val="right"/>
              <w:rPr>
                <w:rFonts w:ascii="Times New Roman" w:hAnsi="Times New Roman"/>
                <w:color w:val="000000"/>
                <w:lang w:val="es-AR" w:eastAsia="es-AR"/>
              </w:rPr>
            </w:pPr>
            <w:r w:rsidRPr="008D1225">
              <w:rPr>
                <w:rFonts w:ascii="Times New Roman" w:hAnsi="Times New Roman"/>
                <w:color w:val="000000"/>
                <w:lang w:val="es-AR" w:eastAsia="es-AR"/>
              </w:rPr>
              <w:t>85.683</w:t>
            </w:r>
          </w:p>
        </w:tc>
      </w:tr>
      <w:tr w:rsidR="008D1225" w:rsidRPr="008D1225" w:rsidTr="008D1225">
        <w:trPr>
          <w:trHeight w:val="300"/>
        </w:trPr>
        <w:tc>
          <w:tcPr>
            <w:tcW w:w="1300" w:type="dxa"/>
            <w:tcBorders>
              <w:top w:val="nil"/>
              <w:left w:val="nil"/>
              <w:bottom w:val="nil"/>
              <w:right w:val="nil"/>
            </w:tcBorders>
            <w:shd w:val="clear" w:color="000000" w:fill="FFFFFF"/>
            <w:noWrap/>
            <w:vAlign w:val="bottom"/>
            <w:hideMark/>
          </w:tcPr>
          <w:p w:rsidR="008D1225" w:rsidRPr="008D1225" w:rsidRDefault="008D1225" w:rsidP="008D1225">
            <w:pPr>
              <w:rPr>
                <w:rFonts w:ascii="Times New Roman" w:hAnsi="Times New Roman"/>
                <w:color w:val="000000"/>
                <w:lang w:val="es-AR" w:eastAsia="es-AR"/>
              </w:rPr>
            </w:pPr>
            <w:r w:rsidRPr="008D1225">
              <w:rPr>
                <w:rFonts w:ascii="Times New Roman" w:hAnsi="Times New Roman"/>
                <w:color w:val="000000"/>
                <w:lang w:val="es-AR" w:eastAsia="es-AR"/>
              </w:rPr>
              <w:t>Manabí</w:t>
            </w:r>
          </w:p>
        </w:tc>
        <w:tc>
          <w:tcPr>
            <w:tcW w:w="1420" w:type="dxa"/>
            <w:tcBorders>
              <w:top w:val="nil"/>
              <w:left w:val="nil"/>
              <w:bottom w:val="nil"/>
              <w:right w:val="nil"/>
            </w:tcBorders>
            <w:shd w:val="clear" w:color="000000" w:fill="FFFFFF"/>
            <w:noWrap/>
            <w:vAlign w:val="bottom"/>
            <w:hideMark/>
          </w:tcPr>
          <w:p w:rsidR="008D1225" w:rsidRPr="008D1225" w:rsidRDefault="008D1225" w:rsidP="008D1225">
            <w:pPr>
              <w:jc w:val="right"/>
              <w:rPr>
                <w:rFonts w:ascii="Times New Roman" w:hAnsi="Times New Roman"/>
                <w:color w:val="000000"/>
                <w:lang w:val="es-AR" w:eastAsia="es-AR"/>
              </w:rPr>
            </w:pPr>
            <w:r w:rsidRPr="008D1225">
              <w:rPr>
                <w:rFonts w:ascii="Times New Roman" w:hAnsi="Times New Roman"/>
                <w:color w:val="000000"/>
                <w:lang w:val="es-AR" w:eastAsia="es-AR"/>
              </w:rPr>
              <w:t>221.573</w:t>
            </w:r>
          </w:p>
        </w:tc>
        <w:tc>
          <w:tcPr>
            <w:tcW w:w="1480" w:type="dxa"/>
            <w:tcBorders>
              <w:top w:val="nil"/>
              <w:left w:val="nil"/>
              <w:bottom w:val="nil"/>
              <w:right w:val="nil"/>
            </w:tcBorders>
            <w:shd w:val="clear" w:color="000000" w:fill="FFFFFF"/>
            <w:noWrap/>
            <w:vAlign w:val="bottom"/>
            <w:hideMark/>
          </w:tcPr>
          <w:p w:rsidR="008D1225" w:rsidRPr="008D1225" w:rsidRDefault="008D1225" w:rsidP="008D1225">
            <w:pPr>
              <w:jc w:val="right"/>
              <w:rPr>
                <w:rFonts w:ascii="Times New Roman" w:hAnsi="Times New Roman"/>
                <w:color w:val="000000"/>
                <w:lang w:val="es-AR" w:eastAsia="es-AR"/>
              </w:rPr>
            </w:pPr>
            <w:r w:rsidRPr="008D1225">
              <w:rPr>
                <w:rFonts w:ascii="Times New Roman" w:hAnsi="Times New Roman"/>
                <w:color w:val="000000"/>
                <w:lang w:val="es-AR" w:eastAsia="es-AR"/>
              </w:rPr>
              <w:t>1.064</w:t>
            </w:r>
          </w:p>
        </w:tc>
        <w:tc>
          <w:tcPr>
            <w:tcW w:w="1480" w:type="dxa"/>
            <w:tcBorders>
              <w:top w:val="nil"/>
              <w:left w:val="nil"/>
              <w:bottom w:val="nil"/>
              <w:right w:val="nil"/>
            </w:tcBorders>
            <w:shd w:val="clear" w:color="000000" w:fill="FFFFFF"/>
            <w:noWrap/>
            <w:vAlign w:val="bottom"/>
            <w:hideMark/>
          </w:tcPr>
          <w:p w:rsidR="008D1225" w:rsidRPr="008D1225" w:rsidRDefault="008D1225" w:rsidP="008D1225">
            <w:pPr>
              <w:jc w:val="right"/>
              <w:rPr>
                <w:rFonts w:ascii="Times New Roman" w:hAnsi="Times New Roman"/>
                <w:color w:val="000000"/>
                <w:lang w:val="es-AR" w:eastAsia="es-AR"/>
              </w:rPr>
            </w:pPr>
            <w:r w:rsidRPr="008D1225">
              <w:rPr>
                <w:rFonts w:ascii="Times New Roman" w:hAnsi="Times New Roman"/>
                <w:color w:val="000000"/>
                <w:lang w:val="es-AR" w:eastAsia="es-AR"/>
              </w:rPr>
              <w:t>2.895</w:t>
            </w:r>
          </w:p>
        </w:tc>
        <w:tc>
          <w:tcPr>
            <w:tcW w:w="1460" w:type="dxa"/>
            <w:tcBorders>
              <w:top w:val="nil"/>
              <w:left w:val="nil"/>
              <w:bottom w:val="nil"/>
              <w:right w:val="nil"/>
            </w:tcBorders>
            <w:shd w:val="clear" w:color="000000" w:fill="FFFFFF"/>
            <w:noWrap/>
            <w:vAlign w:val="bottom"/>
            <w:hideMark/>
          </w:tcPr>
          <w:p w:rsidR="008D1225" w:rsidRPr="008D1225" w:rsidRDefault="008D1225" w:rsidP="008D1225">
            <w:pPr>
              <w:jc w:val="right"/>
              <w:rPr>
                <w:rFonts w:ascii="Times New Roman" w:hAnsi="Times New Roman"/>
                <w:color w:val="000000"/>
                <w:lang w:val="es-AR" w:eastAsia="es-AR"/>
              </w:rPr>
            </w:pPr>
            <w:r w:rsidRPr="008D1225">
              <w:rPr>
                <w:rFonts w:ascii="Times New Roman" w:hAnsi="Times New Roman"/>
                <w:color w:val="000000"/>
                <w:lang w:val="es-AR" w:eastAsia="es-AR"/>
              </w:rPr>
              <w:t>126.597</w:t>
            </w:r>
          </w:p>
        </w:tc>
        <w:tc>
          <w:tcPr>
            <w:tcW w:w="1420" w:type="dxa"/>
            <w:tcBorders>
              <w:top w:val="nil"/>
              <w:left w:val="nil"/>
              <w:bottom w:val="nil"/>
              <w:right w:val="nil"/>
            </w:tcBorders>
            <w:shd w:val="clear" w:color="000000" w:fill="FFFFFF"/>
            <w:noWrap/>
            <w:vAlign w:val="bottom"/>
            <w:hideMark/>
          </w:tcPr>
          <w:p w:rsidR="008D1225" w:rsidRPr="008D1225" w:rsidRDefault="008D1225" w:rsidP="008D1225">
            <w:pPr>
              <w:jc w:val="right"/>
              <w:rPr>
                <w:rFonts w:ascii="Times New Roman" w:hAnsi="Times New Roman"/>
                <w:color w:val="000000"/>
                <w:lang w:val="es-AR" w:eastAsia="es-AR"/>
              </w:rPr>
            </w:pPr>
            <w:r w:rsidRPr="008D1225">
              <w:rPr>
                <w:rFonts w:ascii="Times New Roman" w:hAnsi="Times New Roman"/>
                <w:color w:val="000000"/>
                <w:lang w:val="es-AR" w:eastAsia="es-AR"/>
              </w:rPr>
              <w:t>37.979</w:t>
            </w:r>
          </w:p>
        </w:tc>
      </w:tr>
      <w:tr w:rsidR="008D1225" w:rsidRPr="008D1225" w:rsidTr="008D1225">
        <w:trPr>
          <w:trHeight w:val="300"/>
        </w:trPr>
        <w:tc>
          <w:tcPr>
            <w:tcW w:w="1300" w:type="dxa"/>
            <w:tcBorders>
              <w:top w:val="nil"/>
              <w:left w:val="nil"/>
              <w:bottom w:val="nil"/>
              <w:right w:val="nil"/>
            </w:tcBorders>
            <w:shd w:val="clear" w:color="000000" w:fill="FFFFFF"/>
            <w:noWrap/>
            <w:vAlign w:val="bottom"/>
            <w:hideMark/>
          </w:tcPr>
          <w:p w:rsidR="008D1225" w:rsidRPr="008D1225" w:rsidRDefault="008D1225" w:rsidP="008D1225">
            <w:pPr>
              <w:rPr>
                <w:rFonts w:ascii="Times New Roman" w:hAnsi="Times New Roman"/>
                <w:color w:val="000000"/>
                <w:lang w:val="es-AR" w:eastAsia="es-AR"/>
              </w:rPr>
            </w:pPr>
            <w:r w:rsidRPr="008D1225">
              <w:rPr>
                <w:rFonts w:ascii="Times New Roman" w:hAnsi="Times New Roman"/>
                <w:color w:val="000000"/>
                <w:lang w:val="es-AR" w:eastAsia="es-AR"/>
              </w:rPr>
              <w:t>Total</w:t>
            </w:r>
          </w:p>
        </w:tc>
        <w:tc>
          <w:tcPr>
            <w:tcW w:w="1420" w:type="dxa"/>
            <w:tcBorders>
              <w:top w:val="nil"/>
              <w:left w:val="nil"/>
              <w:bottom w:val="nil"/>
              <w:right w:val="nil"/>
            </w:tcBorders>
            <w:shd w:val="clear" w:color="000000" w:fill="FFFFFF"/>
            <w:noWrap/>
            <w:vAlign w:val="bottom"/>
            <w:hideMark/>
          </w:tcPr>
          <w:p w:rsidR="008D1225" w:rsidRPr="008D1225" w:rsidRDefault="008D1225" w:rsidP="008D1225">
            <w:pPr>
              <w:jc w:val="right"/>
              <w:rPr>
                <w:rFonts w:ascii="Times New Roman" w:hAnsi="Times New Roman"/>
                <w:color w:val="000000"/>
                <w:lang w:val="es-AR" w:eastAsia="es-AR"/>
              </w:rPr>
            </w:pPr>
            <w:r w:rsidRPr="008D1225">
              <w:rPr>
                <w:rFonts w:ascii="Times New Roman" w:hAnsi="Times New Roman"/>
                <w:color w:val="000000"/>
                <w:lang w:val="es-AR" w:eastAsia="es-AR"/>
              </w:rPr>
              <w:t>721.456</w:t>
            </w:r>
          </w:p>
        </w:tc>
        <w:tc>
          <w:tcPr>
            <w:tcW w:w="1480" w:type="dxa"/>
            <w:tcBorders>
              <w:top w:val="nil"/>
              <w:left w:val="nil"/>
              <w:bottom w:val="nil"/>
              <w:right w:val="nil"/>
            </w:tcBorders>
            <w:shd w:val="clear" w:color="000000" w:fill="FFFFFF"/>
            <w:noWrap/>
            <w:vAlign w:val="bottom"/>
            <w:hideMark/>
          </w:tcPr>
          <w:p w:rsidR="008D1225" w:rsidRPr="008D1225" w:rsidRDefault="008D1225" w:rsidP="008D1225">
            <w:pPr>
              <w:jc w:val="right"/>
              <w:rPr>
                <w:rFonts w:ascii="Times New Roman" w:hAnsi="Times New Roman"/>
                <w:color w:val="000000"/>
                <w:lang w:val="es-AR" w:eastAsia="es-AR"/>
              </w:rPr>
            </w:pPr>
            <w:r w:rsidRPr="008D1225">
              <w:rPr>
                <w:rFonts w:ascii="Times New Roman" w:hAnsi="Times New Roman"/>
                <w:color w:val="000000"/>
                <w:lang w:val="es-AR" w:eastAsia="es-AR"/>
              </w:rPr>
              <w:t>3.465</w:t>
            </w:r>
          </w:p>
        </w:tc>
        <w:tc>
          <w:tcPr>
            <w:tcW w:w="1480" w:type="dxa"/>
            <w:tcBorders>
              <w:top w:val="nil"/>
              <w:left w:val="nil"/>
              <w:bottom w:val="nil"/>
              <w:right w:val="nil"/>
            </w:tcBorders>
            <w:shd w:val="clear" w:color="000000" w:fill="FFFFFF"/>
            <w:noWrap/>
            <w:vAlign w:val="bottom"/>
            <w:hideMark/>
          </w:tcPr>
          <w:p w:rsidR="008D1225" w:rsidRPr="008D1225" w:rsidRDefault="008D1225" w:rsidP="008D1225">
            <w:pPr>
              <w:jc w:val="right"/>
              <w:rPr>
                <w:rFonts w:ascii="Times New Roman" w:hAnsi="Times New Roman"/>
                <w:color w:val="000000"/>
                <w:lang w:val="es-AR" w:eastAsia="es-AR"/>
              </w:rPr>
            </w:pPr>
            <w:r w:rsidRPr="008D1225">
              <w:rPr>
                <w:rFonts w:ascii="Times New Roman" w:hAnsi="Times New Roman"/>
                <w:color w:val="000000"/>
                <w:lang w:val="es-AR" w:eastAsia="es-AR"/>
              </w:rPr>
              <w:t>2.895</w:t>
            </w:r>
          </w:p>
        </w:tc>
        <w:tc>
          <w:tcPr>
            <w:tcW w:w="1460" w:type="dxa"/>
            <w:tcBorders>
              <w:top w:val="nil"/>
              <w:left w:val="nil"/>
              <w:bottom w:val="nil"/>
              <w:right w:val="nil"/>
            </w:tcBorders>
            <w:shd w:val="clear" w:color="000000" w:fill="FFFFFF"/>
            <w:noWrap/>
            <w:vAlign w:val="bottom"/>
            <w:hideMark/>
          </w:tcPr>
          <w:p w:rsidR="008D1225" w:rsidRPr="008D1225" w:rsidRDefault="008D1225" w:rsidP="008D1225">
            <w:pPr>
              <w:jc w:val="right"/>
              <w:rPr>
                <w:rFonts w:ascii="Times New Roman" w:hAnsi="Times New Roman"/>
                <w:color w:val="000000"/>
                <w:lang w:val="es-AR" w:eastAsia="es-AR"/>
              </w:rPr>
            </w:pPr>
            <w:r w:rsidRPr="008D1225">
              <w:rPr>
                <w:rFonts w:ascii="Times New Roman" w:hAnsi="Times New Roman"/>
                <w:color w:val="000000"/>
                <w:lang w:val="es-AR" w:eastAsia="es-AR"/>
              </w:rPr>
              <w:t>412.206</w:t>
            </w:r>
          </w:p>
        </w:tc>
        <w:tc>
          <w:tcPr>
            <w:tcW w:w="1420" w:type="dxa"/>
            <w:tcBorders>
              <w:top w:val="nil"/>
              <w:left w:val="nil"/>
              <w:bottom w:val="nil"/>
              <w:right w:val="nil"/>
            </w:tcBorders>
            <w:shd w:val="clear" w:color="000000" w:fill="FFFFFF"/>
            <w:noWrap/>
            <w:vAlign w:val="bottom"/>
            <w:hideMark/>
          </w:tcPr>
          <w:p w:rsidR="008D1225" w:rsidRPr="008D1225" w:rsidRDefault="008D1225" w:rsidP="008D1225">
            <w:pPr>
              <w:jc w:val="right"/>
              <w:rPr>
                <w:rFonts w:ascii="Times New Roman" w:hAnsi="Times New Roman"/>
                <w:color w:val="000000"/>
                <w:lang w:val="es-AR" w:eastAsia="es-AR"/>
              </w:rPr>
            </w:pPr>
            <w:r w:rsidRPr="008D1225">
              <w:rPr>
                <w:rFonts w:ascii="Times New Roman" w:hAnsi="Times New Roman"/>
                <w:color w:val="000000"/>
                <w:lang w:val="es-AR" w:eastAsia="es-AR"/>
              </w:rPr>
              <w:t>123.662</w:t>
            </w:r>
          </w:p>
        </w:tc>
      </w:tr>
    </w:tbl>
    <w:p w:rsidR="00406CAE" w:rsidRPr="00455FC7" w:rsidRDefault="00406CAE" w:rsidP="00455FC7">
      <w:pPr>
        <w:jc w:val="both"/>
        <w:rPr>
          <w:rFonts w:ascii="Times New Roman" w:hAnsi="Times New Roman"/>
          <w:sz w:val="22"/>
          <w:szCs w:val="22"/>
          <w:lang w:val="es-ES_tradnl"/>
        </w:rPr>
      </w:pPr>
    </w:p>
    <w:p w:rsidR="00406CAE" w:rsidRDefault="008D1225" w:rsidP="00455FC7">
      <w:pPr>
        <w:pStyle w:val="ListParagraph"/>
        <w:numPr>
          <w:ilvl w:val="1"/>
          <w:numId w:val="12"/>
        </w:numPr>
        <w:jc w:val="both"/>
        <w:rPr>
          <w:rFonts w:ascii="Times New Roman" w:hAnsi="Times New Roman"/>
          <w:bCs/>
          <w:sz w:val="22"/>
          <w:lang w:val="es-MX"/>
        </w:rPr>
      </w:pPr>
      <w:r w:rsidRPr="008D1225">
        <w:rPr>
          <w:rFonts w:ascii="Times New Roman" w:hAnsi="Times New Roman"/>
          <w:bCs/>
          <w:sz w:val="22"/>
          <w:lang w:val="es-MX"/>
        </w:rPr>
        <w:t>A partir de la población afectada por Desbordamiento de ríos definida previamente se asume una merma temporaria en su actividad regular,</w:t>
      </w:r>
      <w:r w:rsidR="00081A23" w:rsidRPr="00455FC7">
        <w:rPr>
          <w:lang w:val="es-ES_tradnl"/>
        </w:rPr>
        <w:t xml:space="preserve"> </w:t>
      </w:r>
      <w:r w:rsidRPr="008D1225">
        <w:rPr>
          <w:rFonts w:ascii="Times New Roman" w:hAnsi="Times New Roman"/>
          <w:bCs/>
          <w:sz w:val="22"/>
          <w:lang w:val="es-MX"/>
        </w:rPr>
        <w:t xml:space="preserve">La disminución o suspensión en la provisión de los servicios conduce generalmente a la pérdida de sus medios habituales de vida o subsistencia, tales como su fuente habitual de ingresos;o la falta o reducción en el acceso a bienes comerciales de uso cotidiano, </w:t>
      </w:r>
      <w:r w:rsidRPr="008D1225">
        <w:rPr>
          <w:rFonts w:ascii="Times New Roman" w:hAnsi="Times New Roman"/>
          <w:bCs/>
          <w:sz w:val="22"/>
          <w:lang w:val="es-ES_tradnl"/>
        </w:rPr>
        <w:t xml:space="preserve">de los bienes muebles afectados y la Pérdida de Bienes evitada, respectivamente, </w:t>
      </w:r>
      <w:r>
        <w:rPr>
          <w:rFonts w:ascii="Times New Roman" w:hAnsi="Times New Roman"/>
          <w:bCs/>
          <w:sz w:val="22"/>
          <w:lang w:val="es-ES_tradnl"/>
        </w:rPr>
        <w:t>Tal como se</w:t>
      </w:r>
      <w:r w:rsidRPr="008D1225">
        <w:rPr>
          <w:rFonts w:ascii="Times New Roman" w:hAnsi="Times New Roman"/>
          <w:bCs/>
          <w:sz w:val="22"/>
          <w:lang w:val="es-ES_tradnl"/>
        </w:rPr>
        <w:t xml:space="preserve"> exp</w:t>
      </w:r>
      <w:r>
        <w:rPr>
          <w:rFonts w:ascii="Times New Roman" w:hAnsi="Times New Roman"/>
          <w:bCs/>
          <w:sz w:val="22"/>
          <w:lang w:val="es-ES_tradnl"/>
        </w:rPr>
        <w:t>resó en los ejemplos previos</w:t>
      </w:r>
      <w:r w:rsidRPr="008D1225">
        <w:rPr>
          <w:rFonts w:ascii="Times New Roman" w:hAnsi="Times New Roman"/>
          <w:bCs/>
          <w:sz w:val="22"/>
          <w:lang w:val="es-ES_tradnl"/>
        </w:rPr>
        <w:t xml:space="preserve">, en el apartado </w:t>
      </w:r>
      <w:r w:rsidRPr="008D1225">
        <w:rPr>
          <w:rFonts w:ascii="Times New Roman" w:hAnsi="Times New Roman"/>
          <w:bCs/>
          <w:i/>
          <w:sz w:val="22"/>
          <w:lang w:val="es-ES_tradnl"/>
        </w:rPr>
        <w:t xml:space="preserve">Parámetros para la cuantificación del efecto </w:t>
      </w:r>
      <w:r w:rsidR="004E1481">
        <w:rPr>
          <w:rFonts w:ascii="Times New Roman" w:hAnsi="Times New Roman"/>
          <w:bCs/>
          <w:i/>
          <w:sz w:val="22"/>
          <w:lang w:val="es-ES_tradnl"/>
        </w:rPr>
        <w:t xml:space="preserve">beneficio </w:t>
      </w:r>
      <w:r w:rsidRPr="008D1225">
        <w:rPr>
          <w:rFonts w:ascii="Times New Roman" w:hAnsi="Times New Roman"/>
          <w:bCs/>
          <w:i/>
          <w:sz w:val="22"/>
          <w:lang w:val="es-ES_tradnl"/>
        </w:rPr>
        <w:t>del SAT</w:t>
      </w:r>
      <w:r w:rsidRPr="008D1225">
        <w:rPr>
          <w:rFonts w:ascii="Times New Roman" w:hAnsi="Times New Roman"/>
          <w:bCs/>
          <w:sz w:val="22"/>
          <w:lang w:val="es-ES_tradnl"/>
        </w:rPr>
        <w:t xml:space="preserve">, que se presenta más adelante en este Capítulo se </w:t>
      </w:r>
      <w:r>
        <w:rPr>
          <w:rFonts w:ascii="Times New Roman" w:hAnsi="Times New Roman"/>
          <w:bCs/>
          <w:sz w:val="22"/>
          <w:lang w:val="es-ES_tradnl"/>
        </w:rPr>
        <w:t>detallan</w:t>
      </w:r>
      <w:r w:rsidRPr="008D1225">
        <w:rPr>
          <w:rFonts w:ascii="Times New Roman" w:hAnsi="Times New Roman"/>
          <w:bCs/>
          <w:sz w:val="22"/>
          <w:lang w:val="es-ES_tradnl"/>
        </w:rPr>
        <w:t xml:space="preserve"> los fundamen</w:t>
      </w:r>
      <w:r>
        <w:rPr>
          <w:rFonts w:ascii="Times New Roman" w:hAnsi="Times New Roman"/>
          <w:bCs/>
          <w:sz w:val="22"/>
          <w:lang w:val="es-ES_tradnl"/>
        </w:rPr>
        <w:t xml:space="preserve">tos de la disminución proyectada </w:t>
      </w:r>
      <w:r w:rsidRPr="008D1225">
        <w:rPr>
          <w:rFonts w:ascii="Times New Roman" w:hAnsi="Times New Roman"/>
          <w:bCs/>
          <w:sz w:val="22"/>
          <w:lang w:val="es-ES_tradnl"/>
        </w:rPr>
        <w:t xml:space="preserve">de pérdida de </w:t>
      </w:r>
      <w:r>
        <w:rPr>
          <w:rFonts w:ascii="Times New Roman" w:hAnsi="Times New Roman"/>
          <w:bCs/>
          <w:sz w:val="22"/>
          <w:lang w:val="es-ES_tradnl"/>
        </w:rPr>
        <w:t>actividades comerciales, mejoría que</w:t>
      </w:r>
      <w:r w:rsidRPr="008D1225">
        <w:rPr>
          <w:rFonts w:ascii="Times New Roman" w:hAnsi="Times New Roman"/>
          <w:bCs/>
          <w:sz w:val="22"/>
          <w:lang w:val="es-ES_tradnl"/>
        </w:rPr>
        <w:t xml:space="preserve"> se estimó en un 30%</w:t>
      </w:r>
      <w:r>
        <w:rPr>
          <w:rFonts w:ascii="Times New Roman" w:hAnsi="Times New Roman"/>
          <w:bCs/>
          <w:sz w:val="22"/>
          <w:lang w:val="es-ES_tradnl"/>
        </w:rPr>
        <w:t xml:space="preserve"> del impacto</w:t>
      </w:r>
      <w:r w:rsidR="004E1481">
        <w:rPr>
          <w:rFonts w:ascii="Times New Roman" w:hAnsi="Times New Roman"/>
          <w:bCs/>
          <w:sz w:val="22"/>
          <w:lang w:val="es-ES_tradnl"/>
        </w:rPr>
        <w:t xml:space="preserve"> potencial</w:t>
      </w:r>
      <w:r w:rsidR="001203FA">
        <w:rPr>
          <w:rFonts w:ascii="Times New Roman" w:hAnsi="Times New Roman"/>
          <w:bCs/>
          <w:sz w:val="22"/>
          <w:lang w:val="es-ES_tradnl"/>
        </w:rPr>
        <w:t xml:space="preserve"> </w:t>
      </w:r>
      <w:r>
        <w:rPr>
          <w:rFonts w:ascii="Times New Roman" w:hAnsi="Times New Roman"/>
          <w:bCs/>
          <w:sz w:val="22"/>
          <w:lang w:val="es-ES_tradnl"/>
        </w:rPr>
        <w:t>Sin Proyecto.</w:t>
      </w:r>
    </w:p>
    <w:p w:rsidR="00406CAE" w:rsidRPr="00455FC7" w:rsidRDefault="00406CAE" w:rsidP="00455FC7">
      <w:pPr>
        <w:jc w:val="both"/>
        <w:rPr>
          <w:rFonts w:ascii="Times New Roman" w:hAnsi="Times New Roman"/>
          <w:sz w:val="22"/>
          <w:szCs w:val="22"/>
          <w:lang w:val="es-ES_tradnl"/>
        </w:rPr>
      </w:pPr>
    </w:p>
    <w:p w:rsidR="00111924" w:rsidRDefault="00111924" w:rsidP="00111924">
      <w:pPr>
        <w:pStyle w:val="Heading2"/>
        <w:jc w:val="left"/>
        <w:rPr>
          <w:b w:val="0"/>
          <w:sz w:val="24"/>
          <w:szCs w:val="24"/>
          <w:u w:val="single"/>
        </w:rPr>
      </w:pPr>
    </w:p>
    <w:p w:rsidR="0025457D" w:rsidRPr="00455FC7" w:rsidRDefault="00081A23" w:rsidP="00111924">
      <w:pPr>
        <w:pStyle w:val="Heading3"/>
        <w:rPr>
          <w:lang w:val="es-ES_tradnl"/>
        </w:rPr>
      </w:pPr>
      <w:bookmarkStart w:id="114" w:name="_Toc465929623"/>
      <w:bookmarkStart w:id="115" w:name="_Toc468199834"/>
      <w:r w:rsidRPr="00455FC7">
        <w:rPr>
          <w:lang w:val="es-ES_tradnl"/>
        </w:rPr>
        <w:t>Mejora en las condiciones de desarrollo.</w:t>
      </w:r>
      <w:bookmarkEnd w:id="114"/>
      <w:bookmarkEnd w:id="115"/>
    </w:p>
    <w:p w:rsidR="0025457D" w:rsidRPr="00485688" w:rsidRDefault="0025457D" w:rsidP="0025457D">
      <w:pPr>
        <w:rPr>
          <w:rFonts w:ascii="Times New Roman" w:hAnsi="Times New Roman"/>
          <w:sz w:val="22"/>
          <w:szCs w:val="22"/>
          <w:lang w:val="es-ES_tradnl"/>
        </w:rPr>
      </w:pPr>
      <w:r w:rsidRPr="00E0042E">
        <w:rPr>
          <w:lang w:val="es-ES_tradnl"/>
        </w:rPr>
        <w:tab/>
      </w:r>
    </w:p>
    <w:p w:rsidR="00FA7F8E" w:rsidRPr="00FA7F8E" w:rsidRDefault="0025457D" w:rsidP="00C455A0">
      <w:pPr>
        <w:numPr>
          <w:ilvl w:val="1"/>
          <w:numId w:val="12"/>
        </w:numPr>
        <w:jc w:val="both"/>
        <w:rPr>
          <w:rFonts w:ascii="Times New Roman" w:hAnsi="Times New Roman"/>
          <w:bCs/>
          <w:sz w:val="22"/>
          <w:lang w:val="es-ES_tradnl"/>
        </w:rPr>
      </w:pPr>
      <w:r w:rsidRPr="00A7148D">
        <w:rPr>
          <w:rFonts w:ascii="Times New Roman" w:hAnsi="Times New Roman"/>
          <w:bCs/>
          <w:i/>
          <w:sz w:val="22"/>
          <w:lang w:val="es-ES_tradnl"/>
        </w:rPr>
        <w:t>Introducción.</w:t>
      </w:r>
      <w:r w:rsidRPr="00FA7F8E">
        <w:rPr>
          <w:rFonts w:ascii="Times New Roman" w:hAnsi="Times New Roman"/>
          <w:bCs/>
          <w:sz w:val="22"/>
          <w:lang w:val="es-ES_tradnl"/>
        </w:rPr>
        <w:t xml:space="preserve"> </w:t>
      </w:r>
      <w:r w:rsidR="00FA7F8E" w:rsidRPr="00FA7F8E">
        <w:rPr>
          <w:rFonts w:ascii="Times New Roman" w:hAnsi="Times New Roman"/>
          <w:bCs/>
          <w:sz w:val="22"/>
          <w:lang w:val="es-ES_tradnl"/>
        </w:rPr>
        <w:t xml:space="preserve"> Una dificultad</w:t>
      </w:r>
      <w:r w:rsidR="001F61A9">
        <w:rPr>
          <w:rFonts w:ascii="Times New Roman" w:hAnsi="Times New Roman"/>
          <w:bCs/>
          <w:sz w:val="22"/>
          <w:lang w:val="es-ES_tradnl"/>
        </w:rPr>
        <w:t xml:space="preserve"> </w:t>
      </w:r>
      <w:r w:rsidR="0095777A">
        <w:rPr>
          <w:rFonts w:ascii="Times New Roman" w:hAnsi="Times New Roman"/>
          <w:bCs/>
          <w:sz w:val="22"/>
          <w:lang w:val="es-ES_tradnl"/>
        </w:rPr>
        <w:t>observada en estudios</w:t>
      </w:r>
      <w:r w:rsidR="00FA7F8E" w:rsidRPr="00FA7F8E">
        <w:rPr>
          <w:rFonts w:ascii="Times New Roman" w:hAnsi="Times New Roman"/>
          <w:bCs/>
          <w:sz w:val="22"/>
          <w:lang w:val="es-ES_tradnl"/>
        </w:rPr>
        <w:t xml:space="preserve"> ex post de los costos indirectos de los desastres radic</w:t>
      </w:r>
      <w:r w:rsidR="001F61A9">
        <w:rPr>
          <w:rFonts w:ascii="Times New Roman" w:hAnsi="Times New Roman"/>
          <w:bCs/>
          <w:sz w:val="22"/>
          <w:lang w:val="es-ES_tradnl"/>
        </w:rPr>
        <w:t>a</w:t>
      </w:r>
      <w:r w:rsidR="00FA7F8E" w:rsidRPr="00FA7F8E">
        <w:rPr>
          <w:rFonts w:ascii="Times New Roman" w:hAnsi="Times New Roman"/>
          <w:bCs/>
          <w:sz w:val="22"/>
          <w:lang w:val="es-ES_tradnl"/>
        </w:rPr>
        <w:t xml:space="preserve"> en la definición del escenario </w:t>
      </w:r>
      <w:r w:rsidR="001F61A9">
        <w:rPr>
          <w:rFonts w:ascii="Times New Roman" w:hAnsi="Times New Roman"/>
          <w:bCs/>
          <w:sz w:val="22"/>
          <w:lang w:val="es-ES_tradnl"/>
        </w:rPr>
        <w:t xml:space="preserve">hipotético </w:t>
      </w:r>
      <w:r w:rsidR="00FA7F8E" w:rsidRPr="00FA7F8E">
        <w:rPr>
          <w:rFonts w:ascii="Times New Roman" w:hAnsi="Times New Roman"/>
          <w:bCs/>
          <w:sz w:val="22"/>
          <w:lang w:val="es-ES_tradnl"/>
        </w:rPr>
        <w:t>de referencia. Establecer una comparación apropiada entre la trayectoria real observada (con impactos del desastre) con una</w:t>
      </w:r>
      <w:r w:rsidR="001F61A9">
        <w:rPr>
          <w:rFonts w:ascii="Times New Roman" w:hAnsi="Times New Roman"/>
          <w:bCs/>
          <w:sz w:val="22"/>
          <w:lang w:val="es-ES_tradnl"/>
        </w:rPr>
        <w:t xml:space="preserve"> </w:t>
      </w:r>
      <w:r w:rsidR="00FA7F8E" w:rsidRPr="00FA7F8E">
        <w:rPr>
          <w:rFonts w:ascii="Times New Roman" w:hAnsi="Times New Roman"/>
          <w:bCs/>
          <w:sz w:val="22"/>
          <w:lang w:val="es-ES_tradnl"/>
        </w:rPr>
        <w:t xml:space="preserve">trayectoria de referencia supuesta (escenario contrafactual) es muy compleja de definir </w:t>
      </w:r>
      <w:r w:rsidR="001F61A9">
        <w:rPr>
          <w:rFonts w:ascii="Times New Roman" w:hAnsi="Times New Roman"/>
          <w:bCs/>
          <w:sz w:val="22"/>
          <w:lang w:val="es-ES_tradnl"/>
        </w:rPr>
        <w:t>teniendo en cuenta que</w:t>
      </w:r>
      <w:r w:rsidR="00FA7F8E" w:rsidRPr="00FA7F8E">
        <w:rPr>
          <w:rFonts w:ascii="Times New Roman" w:hAnsi="Times New Roman"/>
          <w:bCs/>
          <w:sz w:val="22"/>
          <w:lang w:val="es-ES_tradnl"/>
        </w:rPr>
        <w:t xml:space="preserve"> varias líneas de </w:t>
      </w:r>
      <w:r w:rsidR="001F61A9">
        <w:rPr>
          <w:rFonts w:ascii="Times New Roman" w:hAnsi="Times New Roman"/>
          <w:bCs/>
          <w:sz w:val="22"/>
          <w:lang w:val="es-ES_tradnl"/>
        </w:rPr>
        <w:t>evolución</w:t>
      </w:r>
      <w:r w:rsidR="00FA7F8E" w:rsidRPr="00FA7F8E">
        <w:rPr>
          <w:rFonts w:ascii="Times New Roman" w:hAnsi="Times New Roman"/>
          <w:bCs/>
          <w:sz w:val="22"/>
          <w:lang w:val="es-ES_tradnl"/>
        </w:rPr>
        <w:t xml:space="preserve"> podr</w:t>
      </w:r>
      <w:r w:rsidR="001F61A9">
        <w:rPr>
          <w:rFonts w:ascii="Times New Roman" w:hAnsi="Times New Roman"/>
          <w:bCs/>
          <w:sz w:val="22"/>
          <w:lang w:val="es-ES_tradnl"/>
        </w:rPr>
        <w:t>ían</w:t>
      </w:r>
      <w:r w:rsidR="00FA7F8E" w:rsidRPr="00FA7F8E">
        <w:rPr>
          <w:rFonts w:ascii="Times New Roman" w:hAnsi="Times New Roman"/>
          <w:bCs/>
          <w:sz w:val="22"/>
          <w:lang w:val="es-ES_tradnl"/>
        </w:rPr>
        <w:t xml:space="preserve"> ser posibles. Por otra parte, la recuperación y la reconstrucción </w:t>
      </w:r>
      <w:r w:rsidR="001F61A9">
        <w:rPr>
          <w:rFonts w:ascii="Times New Roman" w:hAnsi="Times New Roman"/>
          <w:bCs/>
          <w:sz w:val="22"/>
          <w:lang w:val="es-ES_tradnl"/>
        </w:rPr>
        <w:t xml:space="preserve">por </w:t>
      </w:r>
      <w:r w:rsidR="00673163">
        <w:rPr>
          <w:rFonts w:ascii="Times New Roman" w:hAnsi="Times New Roman"/>
          <w:bCs/>
          <w:sz w:val="22"/>
          <w:lang w:val="es-ES_tradnl"/>
        </w:rPr>
        <w:t>sí</w:t>
      </w:r>
      <w:r w:rsidR="001F61A9">
        <w:rPr>
          <w:rFonts w:ascii="Times New Roman" w:hAnsi="Times New Roman"/>
          <w:bCs/>
          <w:sz w:val="22"/>
          <w:lang w:val="es-ES_tradnl"/>
        </w:rPr>
        <w:t xml:space="preserve"> mismas a</w:t>
      </w:r>
      <w:r w:rsidR="00FA7F8E" w:rsidRPr="00FA7F8E">
        <w:rPr>
          <w:rFonts w:ascii="Times New Roman" w:hAnsi="Times New Roman"/>
          <w:bCs/>
          <w:sz w:val="22"/>
          <w:lang w:val="es-ES_tradnl"/>
        </w:rPr>
        <w:t xml:space="preserve">lteran los escenarios de referencia. Por ejemplo, un desastre puede conducir a una extinción definitiva de las actividades económicas vulnerables en una región, debido a que estas actividades no pueden recuperarse, o porque pueden moverse a un lugar de </w:t>
      </w:r>
      <w:r w:rsidR="001F61A9">
        <w:rPr>
          <w:rFonts w:ascii="Times New Roman" w:hAnsi="Times New Roman"/>
          <w:bCs/>
          <w:sz w:val="22"/>
          <w:lang w:val="es-ES_tradnl"/>
        </w:rPr>
        <w:t xml:space="preserve">menor </w:t>
      </w:r>
      <w:r w:rsidR="00FA7F8E" w:rsidRPr="00FA7F8E">
        <w:rPr>
          <w:rFonts w:ascii="Times New Roman" w:hAnsi="Times New Roman"/>
          <w:bCs/>
          <w:sz w:val="22"/>
          <w:lang w:val="es-ES_tradnl"/>
        </w:rPr>
        <w:t xml:space="preserve">riesgo. En ese caso, el desastre no </w:t>
      </w:r>
      <w:r w:rsidR="001F61A9">
        <w:rPr>
          <w:rFonts w:ascii="Times New Roman" w:hAnsi="Times New Roman"/>
          <w:bCs/>
          <w:sz w:val="22"/>
          <w:lang w:val="es-ES_tradnl"/>
        </w:rPr>
        <w:t>sería</w:t>
      </w:r>
      <w:r w:rsidR="00FA7F8E" w:rsidRPr="00FA7F8E">
        <w:rPr>
          <w:rFonts w:ascii="Times New Roman" w:hAnsi="Times New Roman"/>
          <w:bCs/>
          <w:sz w:val="22"/>
          <w:lang w:val="es-ES_tradnl"/>
        </w:rPr>
        <w:t xml:space="preserve"> un evento temporal sino un shock permanente. Además, la reconstrucción se puede utilizar para desarrollar nuevos sectores económicos con mayor productividad, y conducir a una situación final que se pueden considerar más deseable que el escenario de referencia</w:t>
      </w:r>
      <w:r w:rsidR="00FA7F8E">
        <w:rPr>
          <w:rFonts w:ascii="Times New Roman" w:hAnsi="Times New Roman"/>
          <w:bCs/>
          <w:sz w:val="22"/>
          <w:lang w:val="es-ES_tradnl"/>
        </w:rPr>
        <w:t xml:space="preserve"> inicial proyectado</w:t>
      </w:r>
      <w:r w:rsidR="00FA7F8E">
        <w:rPr>
          <w:rStyle w:val="FootnoteReference"/>
          <w:rFonts w:ascii="Times New Roman" w:hAnsi="Times New Roman"/>
          <w:bCs/>
          <w:sz w:val="22"/>
          <w:lang w:val="es-ES_tradnl"/>
        </w:rPr>
        <w:footnoteReference w:id="49"/>
      </w:r>
      <w:r w:rsidR="00FA7F8E" w:rsidRPr="00FA7F8E">
        <w:rPr>
          <w:rFonts w:ascii="Times New Roman" w:hAnsi="Times New Roman"/>
          <w:bCs/>
          <w:sz w:val="22"/>
          <w:lang w:val="es-ES_tradnl"/>
        </w:rPr>
        <w:t>.</w:t>
      </w:r>
    </w:p>
    <w:p w:rsidR="00974C5C" w:rsidRPr="004D329F" w:rsidRDefault="004D329F" w:rsidP="00C455A0">
      <w:pPr>
        <w:numPr>
          <w:ilvl w:val="1"/>
          <w:numId w:val="12"/>
        </w:numPr>
        <w:jc w:val="both"/>
        <w:rPr>
          <w:rFonts w:ascii="Times New Roman" w:hAnsi="Times New Roman"/>
          <w:bCs/>
          <w:sz w:val="22"/>
          <w:lang w:val="es-ES_tradnl"/>
        </w:rPr>
      </w:pPr>
      <w:r>
        <w:rPr>
          <w:rFonts w:ascii="Times New Roman" w:hAnsi="Times New Roman"/>
          <w:bCs/>
          <w:sz w:val="22"/>
          <w:lang w:val="es-ES_tradnl"/>
        </w:rPr>
        <w:t xml:space="preserve">Existe </w:t>
      </w:r>
      <w:r w:rsidR="001F61A9">
        <w:rPr>
          <w:rFonts w:ascii="Times New Roman" w:hAnsi="Times New Roman"/>
          <w:bCs/>
          <w:sz w:val="22"/>
          <w:lang w:val="es-ES_tradnl"/>
        </w:rPr>
        <w:t xml:space="preserve">también </w:t>
      </w:r>
      <w:r w:rsidRPr="004D329F">
        <w:rPr>
          <w:rFonts w:ascii="Times New Roman" w:hAnsi="Times New Roman"/>
          <w:bCs/>
          <w:sz w:val="22"/>
          <w:lang w:val="es-ES_tradnl"/>
        </w:rPr>
        <w:t>la posibilidad de que reduc</w:t>
      </w:r>
      <w:r>
        <w:rPr>
          <w:rFonts w:ascii="Times New Roman" w:hAnsi="Times New Roman"/>
          <w:bCs/>
          <w:sz w:val="22"/>
          <w:lang w:val="es-ES_tradnl"/>
        </w:rPr>
        <w:t>ir la</w:t>
      </w:r>
      <w:r w:rsidRPr="004D329F">
        <w:rPr>
          <w:rFonts w:ascii="Times New Roman" w:hAnsi="Times New Roman"/>
          <w:bCs/>
          <w:sz w:val="22"/>
          <w:lang w:val="es-ES_tradnl"/>
        </w:rPr>
        <w:t>s pérdidas por desastres pued</w:t>
      </w:r>
      <w:r>
        <w:rPr>
          <w:rFonts w:ascii="Times New Roman" w:hAnsi="Times New Roman"/>
          <w:bCs/>
          <w:sz w:val="22"/>
          <w:lang w:val="es-ES_tradnl"/>
        </w:rPr>
        <w:t>a</w:t>
      </w:r>
      <w:r w:rsidR="00195306">
        <w:rPr>
          <w:rFonts w:ascii="Times New Roman" w:hAnsi="Times New Roman"/>
          <w:bCs/>
          <w:sz w:val="22"/>
          <w:lang w:val="es-ES_tradnl"/>
        </w:rPr>
        <w:t>n</w:t>
      </w:r>
      <w:r w:rsidRPr="004D329F">
        <w:rPr>
          <w:rFonts w:ascii="Times New Roman" w:hAnsi="Times New Roman"/>
          <w:bCs/>
          <w:sz w:val="22"/>
          <w:lang w:val="es-ES_tradnl"/>
        </w:rPr>
        <w:t xml:space="preserve"> conducir a un</w:t>
      </w:r>
      <w:r w:rsidR="00195306">
        <w:rPr>
          <w:rFonts w:ascii="Times New Roman" w:hAnsi="Times New Roman"/>
          <w:bCs/>
          <w:sz w:val="22"/>
          <w:lang w:val="es-ES_tradnl"/>
        </w:rPr>
        <w:t>a recuperación</w:t>
      </w:r>
      <w:r w:rsidRPr="004D329F">
        <w:rPr>
          <w:rFonts w:ascii="Times New Roman" w:hAnsi="Times New Roman"/>
          <w:bCs/>
          <w:sz w:val="22"/>
          <w:lang w:val="es-ES_tradnl"/>
        </w:rPr>
        <w:t xml:space="preserve"> económic</w:t>
      </w:r>
      <w:r w:rsidR="00195306">
        <w:rPr>
          <w:rFonts w:ascii="Times New Roman" w:hAnsi="Times New Roman"/>
          <w:bCs/>
          <w:sz w:val="22"/>
          <w:lang w:val="es-ES_tradnl"/>
        </w:rPr>
        <w:t>a</w:t>
      </w:r>
      <w:r w:rsidRPr="004D329F">
        <w:rPr>
          <w:rFonts w:ascii="Times New Roman" w:hAnsi="Times New Roman"/>
          <w:bCs/>
          <w:sz w:val="22"/>
          <w:lang w:val="es-ES_tradnl"/>
        </w:rPr>
        <w:t xml:space="preserve"> acelerad</w:t>
      </w:r>
      <w:r w:rsidR="00195306">
        <w:rPr>
          <w:rFonts w:ascii="Times New Roman" w:hAnsi="Times New Roman"/>
          <w:bCs/>
          <w:sz w:val="22"/>
          <w:lang w:val="es-ES_tradnl"/>
        </w:rPr>
        <w:t>a</w:t>
      </w:r>
      <w:r w:rsidRPr="004D329F">
        <w:rPr>
          <w:rFonts w:ascii="Times New Roman" w:hAnsi="Times New Roman"/>
          <w:bCs/>
          <w:sz w:val="22"/>
          <w:lang w:val="es-ES_tradnl"/>
        </w:rPr>
        <w:t xml:space="preserve"> (Hallegatte 2012). Este es un supuesto importante, ya que los desastres pueden tener consecuencias a largo plazo sobre el desarrollo infantil con grandes consecuencias sobre la productividad del trabajo y por lo tanto sobre el crecimiento y el bienestar. Por otra parte, los desastres conducen a las migraciones significativas (por ejemplo, Katrina en Nueva </w:t>
      </w:r>
      <w:r w:rsidR="002810A4" w:rsidRPr="004D329F">
        <w:rPr>
          <w:rFonts w:ascii="Times New Roman" w:hAnsi="Times New Roman"/>
          <w:bCs/>
          <w:sz w:val="22"/>
          <w:lang w:val="es-ES_tradnl"/>
        </w:rPr>
        <w:t>Orle</w:t>
      </w:r>
      <w:r w:rsidR="002810A4">
        <w:rPr>
          <w:rFonts w:ascii="Times New Roman" w:hAnsi="Times New Roman"/>
          <w:bCs/>
          <w:sz w:val="22"/>
          <w:lang w:val="es-ES_tradnl"/>
        </w:rPr>
        <w:t>á</w:t>
      </w:r>
      <w:r w:rsidR="002810A4" w:rsidRPr="004D329F">
        <w:rPr>
          <w:rFonts w:ascii="Times New Roman" w:hAnsi="Times New Roman"/>
          <w:bCs/>
          <w:sz w:val="22"/>
          <w:lang w:val="es-ES_tradnl"/>
        </w:rPr>
        <w:t>ns</w:t>
      </w:r>
      <w:r w:rsidRPr="004D329F">
        <w:rPr>
          <w:rFonts w:ascii="Times New Roman" w:hAnsi="Times New Roman"/>
          <w:bCs/>
          <w:sz w:val="22"/>
          <w:lang w:val="es-ES_tradnl"/>
        </w:rPr>
        <w:t xml:space="preserve">). Si </w:t>
      </w:r>
      <w:r w:rsidR="00195306">
        <w:rPr>
          <w:rFonts w:ascii="Times New Roman" w:hAnsi="Times New Roman"/>
          <w:bCs/>
          <w:sz w:val="22"/>
          <w:lang w:val="es-ES_tradnl"/>
        </w:rPr>
        <w:t xml:space="preserve">los </w:t>
      </w:r>
      <w:r w:rsidRPr="004D329F">
        <w:rPr>
          <w:rFonts w:ascii="Times New Roman" w:hAnsi="Times New Roman"/>
          <w:bCs/>
          <w:sz w:val="22"/>
          <w:lang w:val="es-ES_tradnl"/>
        </w:rPr>
        <w:t xml:space="preserve">desastres conducen a la migración </w:t>
      </w:r>
      <w:r w:rsidR="00195306">
        <w:rPr>
          <w:rFonts w:ascii="Times New Roman" w:hAnsi="Times New Roman"/>
          <w:bCs/>
          <w:sz w:val="22"/>
          <w:lang w:val="es-ES_tradnl"/>
        </w:rPr>
        <w:t xml:space="preserve"> externa puede generar c</w:t>
      </w:r>
      <w:r w:rsidRPr="004D329F">
        <w:rPr>
          <w:rFonts w:ascii="Times New Roman" w:hAnsi="Times New Roman"/>
          <w:bCs/>
          <w:sz w:val="22"/>
          <w:lang w:val="es-ES_tradnl"/>
        </w:rPr>
        <w:t>onsecuencias</w:t>
      </w:r>
      <w:r w:rsidR="00195306">
        <w:rPr>
          <w:rFonts w:ascii="Times New Roman" w:hAnsi="Times New Roman"/>
          <w:bCs/>
          <w:sz w:val="22"/>
          <w:lang w:val="es-ES_tradnl"/>
        </w:rPr>
        <w:t xml:space="preserve"> a largo plazo </w:t>
      </w:r>
      <w:r w:rsidRPr="004D329F">
        <w:rPr>
          <w:rFonts w:ascii="Times New Roman" w:hAnsi="Times New Roman"/>
          <w:bCs/>
          <w:sz w:val="22"/>
          <w:lang w:val="es-ES_tradnl"/>
        </w:rPr>
        <w:t xml:space="preserve"> sobre el crecimiento económico, sobre todo si, como sugiere el caso de Katrina</w:t>
      </w:r>
      <w:r w:rsidR="00195306">
        <w:rPr>
          <w:rFonts w:ascii="Times New Roman" w:hAnsi="Times New Roman"/>
          <w:bCs/>
          <w:sz w:val="22"/>
          <w:lang w:val="es-ES_tradnl"/>
        </w:rPr>
        <w:t xml:space="preserve"> los</w:t>
      </w:r>
      <w:r w:rsidRPr="004D329F">
        <w:rPr>
          <w:rFonts w:ascii="Times New Roman" w:hAnsi="Times New Roman"/>
          <w:bCs/>
          <w:sz w:val="22"/>
          <w:lang w:val="es-ES_tradnl"/>
        </w:rPr>
        <w:t xml:space="preserve"> trabajadores </w:t>
      </w:r>
      <w:r w:rsidR="00195306">
        <w:rPr>
          <w:rFonts w:ascii="Times New Roman" w:hAnsi="Times New Roman"/>
          <w:bCs/>
          <w:sz w:val="22"/>
          <w:lang w:val="es-ES_tradnl"/>
        </w:rPr>
        <w:t xml:space="preserve">altamente </w:t>
      </w:r>
      <w:r w:rsidRPr="004D329F">
        <w:rPr>
          <w:rFonts w:ascii="Times New Roman" w:hAnsi="Times New Roman"/>
          <w:bCs/>
          <w:sz w:val="22"/>
          <w:lang w:val="es-ES_tradnl"/>
        </w:rPr>
        <w:t>cualificados</w:t>
      </w:r>
      <w:r w:rsidR="00195306">
        <w:rPr>
          <w:rFonts w:ascii="Times New Roman" w:hAnsi="Times New Roman"/>
          <w:bCs/>
          <w:sz w:val="22"/>
          <w:lang w:val="es-ES_tradnl"/>
        </w:rPr>
        <w:t xml:space="preserve"> y </w:t>
      </w:r>
      <w:r w:rsidRPr="004D329F">
        <w:rPr>
          <w:rFonts w:ascii="Times New Roman" w:hAnsi="Times New Roman"/>
          <w:bCs/>
          <w:sz w:val="22"/>
          <w:lang w:val="es-ES_tradnl"/>
        </w:rPr>
        <w:t xml:space="preserve"> de alta productividad son más capaces de </w:t>
      </w:r>
      <w:r w:rsidR="00195306">
        <w:rPr>
          <w:rFonts w:ascii="Times New Roman" w:hAnsi="Times New Roman"/>
          <w:bCs/>
          <w:sz w:val="22"/>
          <w:lang w:val="es-ES_tradnl"/>
        </w:rPr>
        <w:t>encontrar otros trabajos</w:t>
      </w:r>
      <w:r w:rsidRPr="004D329F">
        <w:rPr>
          <w:rFonts w:ascii="Times New Roman" w:hAnsi="Times New Roman"/>
          <w:bCs/>
          <w:sz w:val="22"/>
          <w:lang w:val="es-ES_tradnl"/>
        </w:rPr>
        <w:t xml:space="preserve">. </w:t>
      </w:r>
      <w:r w:rsidR="00267B31">
        <w:rPr>
          <w:rFonts w:ascii="Times New Roman" w:hAnsi="Times New Roman"/>
          <w:bCs/>
          <w:sz w:val="22"/>
          <w:lang w:val="es-ES_tradnl"/>
        </w:rPr>
        <w:t>Algunos estudios</w:t>
      </w:r>
      <w:r w:rsidR="00267B31">
        <w:rPr>
          <w:rStyle w:val="FootnoteReference"/>
          <w:rFonts w:ascii="Times New Roman" w:hAnsi="Times New Roman"/>
          <w:bCs/>
          <w:sz w:val="22"/>
          <w:lang w:val="es-ES_tradnl"/>
        </w:rPr>
        <w:footnoteReference w:id="50"/>
      </w:r>
      <w:r w:rsidR="00267B31">
        <w:rPr>
          <w:rFonts w:ascii="Times New Roman" w:hAnsi="Times New Roman"/>
          <w:bCs/>
          <w:sz w:val="22"/>
          <w:lang w:val="es-ES_tradnl"/>
        </w:rPr>
        <w:t xml:space="preserve"> que </w:t>
      </w:r>
      <w:r w:rsidRPr="004D329F">
        <w:rPr>
          <w:rFonts w:ascii="Times New Roman" w:hAnsi="Times New Roman"/>
          <w:bCs/>
          <w:sz w:val="22"/>
          <w:lang w:val="es-ES_tradnl"/>
        </w:rPr>
        <w:t xml:space="preserve"> investiga</w:t>
      </w:r>
      <w:r w:rsidR="00267B31">
        <w:rPr>
          <w:rFonts w:ascii="Times New Roman" w:hAnsi="Times New Roman"/>
          <w:bCs/>
          <w:sz w:val="22"/>
          <w:lang w:val="es-ES_tradnl"/>
        </w:rPr>
        <w:t>n</w:t>
      </w:r>
      <w:r w:rsidRPr="004D329F">
        <w:rPr>
          <w:rFonts w:ascii="Times New Roman" w:hAnsi="Times New Roman"/>
          <w:bCs/>
          <w:sz w:val="22"/>
          <w:lang w:val="es-ES_tradnl"/>
        </w:rPr>
        <w:t xml:space="preserve"> este problema a través del impacto de hurac</w:t>
      </w:r>
      <w:r w:rsidR="00BA6A54">
        <w:rPr>
          <w:rFonts w:ascii="Times New Roman" w:hAnsi="Times New Roman"/>
          <w:bCs/>
          <w:sz w:val="22"/>
          <w:lang w:val="es-ES_tradnl"/>
        </w:rPr>
        <w:t xml:space="preserve">anes </w:t>
      </w:r>
      <w:r w:rsidRPr="004D329F">
        <w:rPr>
          <w:rFonts w:ascii="Times New Roman" w:hAnsi="Times New Roman"/>
          <w:bCs/>
          <w:sz w:val="22"/>
          <w:lang w:val="es-ES_tradnl"/>
        </w:rPr>
        <w:t>en el crecimiento a nivel de condado en los EE.UU</w:t>
      </w:r>
      <w:r w:rsidR="00267B31">
        <w:rPr>
          <w:rFonts w:ascii="Times New Roman" w:hAnsi="Times New Roman"/>
          <w:bCs/>
          <w:sz w:val="22"/>
          <w:lang w:val="es-ES_tradnl"/>
        </w:rPr>
        <w:t xml:space="preserve"> encontraron </w:t>
      </w:r>
      <w:r w:rsidRPr="004D329F">
        <w:rPr>
          <w:rFonts w:ascii="Times New Roman" w:hAnsi="Times New Roman"/>
          <w:bCs/>
          <w:sz w:val="22"/>
          <w:lang w:val="es-ES_tradnl"/>
        </w:rPr>
        <w:t xml:space="preserve"> </w:t>
      </w:r>
      <w:r w:rsidRPr="004D329F">
        <w:rPr>
          <w:rFonts w:ascii="Times New Roman" w:hAnsi="Times New Roman"/>
          <w:bCs/>
          <w:sz w:val="22"/>
          <w:lang w:val="es-ES_tradnl"/>
        </w:rPr>
        <w:lastRenderedPageBreak/>
        <w:t>que el crecimiento económ</w:t>
      </w:r>
      <w:r w:rsidR="00267B31">
        <w:rPr>
          <w:rFonts w:ascii="Times New Roman" w:hAnsi="Times New Roman"/>
          <w:bCs/>
          <w:sz w:val="22"/>
          <w:lang w:val="es-ES_tradnl"/>
        </w:rPr>
        <w:t>ico se redujo</w:t>
      </w:r>
      <w:r w:rsidRPr="004D329F">
        <w:rPr>
          <w:rFonts w:ascii="Times New Roman" w:hAnsi="Times New Roman"/>
          <w:bCs/>
          <w:sz w:val="22"/>
          <w:lang w:val="es-ES_tradnl"/>
        </w:rPr>
        <w:t xml:space="preserve"> en promedio un punto de 0,79% en los condados afectados por un huracán,  aument</w:t>
      </w:r>
      <w:r w:rsidR="00D24518">
        <w:rPr>
          <w:rFonts w:ascii="Times New Roman" w:hAnsi="Times New Roman"/>
          <w:bCs/>
          <w:sz w:val="22"/>
          <w:lang w:val="es-ES_tradnl"/>
        </w:rPr>
        <w:t>ando</w:t>
      </w:r>
      <w:r w:rsidRPr="004D329F">
        <w:rPr>
          <w:rFonts w:ascii="Times New Roman" w:hAnsi="Times New Roman"/>
          <w:bCs/>
          <w:sz w:val="22"/>
          <w:lang w:val="es-ES_tradnl"/>
        </w:rPr>
        <w:t xml:space="preserve"> sólo un 0,22% puntos al año siguiente, lo que sugiere la existencia</w:t>
      </w:r>
      <w:r w:rsidR="00A7148D">
        <w:rPr>
          <w:rFonts w:ascii="Times New Roman" w:hAnsi="Times New Roman"/>
          <w:bCs/>
          <w:sz w:val="22"/>
          <w:lang w:val="es-ES_tradnl"/>
        </w:rPr>
        <w:t xml:space="preserve"> de consecuencias a largo plazo</w:t>
      </w:r>
      <w:r w:rsidRPr="004D329F">
        <w:rPr>
          <w:rFonts w:ascii="Times New Roman" w:hAnsi="Times New Roman"/>
          <w:bCs/>
          <w:sz w:val="22"/>
          <w:lang w:val="es-ES_tradnl"/>
        </w:rPr>
        <w:t>.</w:t>
      </w:r>
    </w:p>
    <w:p w:rsidR="00974C5C" w:rsidRDefault="00974C5C" w:rsidP="00974C5C">
      <w:pPr>
        <w:pStyle w:val="ListParagraph"/>
        <w:rPr>
          <w:rFonts w:ascii="Times New Roman" w:hAnsi="Times New Roman"/>
          <w:bCs/>
          <w:sz w:val="22"/>
          <w:lang w:val="es-ES_tradnl"/>
        </w:rPr>
      </w:pPr>
    </w:p>
    <w:p w:rsidR="00A7148D" w:rsidRPr="00A7148D" w:rsidRDefault="00A7148D" w:rsidP="00C455A0">
      <w:pPr>
        <w:pStyle w:val="ListParagraph"/>
        <w:numPr>
          <w:ilvl w:val="1"/>
          <w:numId w:val="12"/>
        </w:numPr>
        <w:jc w:val="both"/>
        <w:rPr>
          <w:rFonts w:ascii="Times New Roman" w:hAnsi="Times New Roman"/>
          <w:sz w:val="22"/>
          <w:szCs w:val="22"/>
          <w:lang w:val="es-AR"/>
        </w:rPr>
      </w:pPr>
      <w:bookmarkStart w:id="116" w:name="_Toc296036123"/>
      <w:r w:rsidRPr="00A7148D">
        <w:rPr>
          <w:rFonts w:ascii="Times New Roman" w:hAnsi="Times New Roman"/>
          <w:i/>
          <w:sz w:val="22"/>
          <w:szCs w:val="22"/>
          <w:lang w:val="es-AR"/>
        </w:rPr>
        <w:t>Trampas de la Pobreza.</w:t>
      </w:r>
      <w:r w:rsidRPr="00A7148D">
        <w:rPr>
          <w:rFonts w:ascii="Times New Roman" w:hAnsi="Times New Roman"/>
          <w:sz w:val="22"/>
          <w:szCs w:val="22"/>
          <w:lang w:val="es-AR"/>
        </w:rPr>
        <w:t xml:space="preserve"> Luego de desastres en países en desarrollo los efectos negativos  tienden a perdurar, debido a la magnitud de los daños en relación con su producto interior bruto (Gurenko, 2004; Linnerooth-Bayer et al, 2005; EIRD / Banco Mundial, 2011). </w:t>
      </w:r>
      <w:r w:rsidR="00267B31">
        <w:rPr>
          <w:rFonts w:ascii="Times New Roman" w:hAnsi="Times New Roman"/>
          <w:sz w:val="22"/>
          <w:szCs w:val="22"/>
          <w:lang w:val="es-AR"/>
        </w:rPr>
        <w:t xml:space="preserve"> </w:t>
      </w:r>
      <w:r w:rsidRPr="00A7148D">
        <w:rPr>
          <w:rFonts w:ascii="Times New Roman" w:hAnsi="Times New Roman"/>
          <w:sz w:val="22"/>
          <w:szCs w:val="22"/>
          <w:lang w:val="es-AR"/>
        </w:rPr>
        <w:t xml:space="preserve">La condición  macroeconómica también se ha demostrado que es un factor importante en la forma en que se responden a los desastres. Un gran reto de las naciones en desarrollo frente a los desastres es que no sólo destruyen la infraestructura física a gran escala, sino que también afectan a un número desproporcionadamente alto de los individuos, en comparación frente a eventos similares en los países de la OCDE. Por último, en muchos países en desarrollo las medidas de reducción de riesgo no son apropiadas ni se utilizan seguros adecuados para protegerse de las consecuencias económicas de futuras catástrofes. Cuando los desastres se producen, los países pueden tener dificultades para lograr un desarrollo </w:t>
      </w:r>
      <w:r w:rsidR="00673163" w:rsidRPr="00A7148D">
        <w:rPr>
          <w:rFonts w:ascii="Times New Roman" w:hAnsi="Times New Roman"/>
          <w:sz w:val="22"/>
          <w:szCs w:val="22"/>
          <w:lang w:val="es-AR"/>
        </w:rPr>
        <w:t>sostenible</w:t>
      </w:r>
      <w:r w:rsidRPr="00A7148D">
        <w:rPr>
          <w:rFonts w:ascii="Times New Roman" w:hAnsi="Times New Roman"/>
          <w:sz w:val="22"/>
          <w:szCs w:val="22"/>
          <w:lang w:val="es-AR"/>
        </w:rPr>
        <w:t xml:space="preserve"> si los mismos afectan cultivos, infraestructura y servicios.  Como resultado, el proceso de reconstrucción tiende a ser lento y durante ese tiempo el capital financiero y humano se asignan a la reconstrucción del país, en lugar de ser utilizado para el desarrollo. </w:t>
      </w:r>
      <w:r w:rsidR="00267B31">
        <w:rPr>
          <w:rFonts w:ascii="Times New Roman" w:hAnsi="Times New Roman"/>
          <w:sz w:val="22"/>
          <w:szCs w:val="22"/>
          <w:lang w:val="es-AR"/>
        </w:rPr>
        <w:t>Adicionalmente, o</w:t>
      </w:r>
      <w:r w:rsidRPr="00A7148D">
        <w:rPr>
          <w:rFonts w:ascii="Times New Roman" w:hAnsi="Times New Roman"/>
          <w:sz w:val="22"/>
          <w:szCs w:val="22"/>
          <w:lang w:val="es-AR"/>
        </w:rPr>
        <w:t xml:space="preserve">tro desastre podría producirse antes de que la región haya tenido tiempo de recuperarse por completo de la anterior. Y así sucesivamente y así sucesivamente desastres repetidos han empujado a estos países en lo que se conoce como </w:t>
      </w:r>
      <w:r w:rsidR="002810A4">
        <w:rPr>
          <w:rFonts w:ascii="Times New Roman" w:hAnsi="Times New Roman"/>
          <w:sz w:val="22"/>
          <w:szCs w:val="22"/>
          <w:lang w:val="es-AR"/>
        </w:rPr>
        <w:t>t</w:t>
      </w:r>
      <w:r w:rsidR="002810A4" w:rsidRPr="00A7148D">
        <w:rPr>
          <w:rFonts w:ascii="Times New Roman" w:hAnsi="Times New Roman"/>
          <w:sz w:val="22"/>
          <w:szCs w:val="22"/>
          <w:lang w:val="es-AR"/>
        </w:rPr>
        <w:t xml:space="preserve">rampas </w:t>
      </w:r>
      <w:r w:rsidRPr="00A7148D">
        <w:rPr>
          <w:rFonts w:ascii="Times New Roman" w:hAnsi="Times New Roman"/>
          <w:sz w:val="22"/>
          <w:szCs w:val="22"/>
          <w:lang w:val="es-AR"/>
        </w:rPr>
        <w:t>de la pobreza.</w:t>
      </w:r>
    </w:p>
    <w:p w:rsidR="00A7148D" w:rsidRDefault="00A7148D" w:rsidP="00A7148D">
      <w:pPr>
        <w:pStyle w:val="ListParagraph"/>
        <w:rPr>
          <w:rFonts w:ascii="Times New Roman" w:hAnsi="Times New Roman"/>
          <w:bCs/>
          <w:sz w:val="22"/>
          <w:lang w:val="es-ES_tradnl"/>
        </w:rPr>
      </w:pPr>
    </w:p>
    <w:p w:rsidR="009E2821" w:rsidRPr="00A75D49" w:rsidRDefault="004D329F" w:rsidP="00C455A0">
      <w:pPr>
        <w:numPr>
          <w:ilvl w:val="1"/>
          <w:numId w:val="12"/>
        </w:numPr>
        <w:jc w:val="both"/>
        <w:rPr>
          <w:lang w:val="es-AR"/>
        </w:rPr>
      </w:pPr>
      <w:r>
        <w:rPr>
          <w:rFonts w:ascii="Times New Roman" w:hAnsi="Times New Roman"/>
          <w:bCs/>
          <w:sz w:val="22"/>
          <w:lang w:val="es-ES_tradnl"/>
        </w:rPr>
        <w:t>Un d</w:t>
      </w:r>
      <w:r w:rsidRPr="004D329F">
        <w:rPr>
          <w:rFonts w:ascii="Times New Roman" w:hAnsi="Times New Roman"/>
          <w:bCs/>
          <w:sz w:val="22"/>
          <w:lang w:val="es-ES_tradnl"/>
        </w:rPr>
        <w:t xml:space="preserve">esastre puede crear trampas de la pobreza mediante la destrucción de los activos y acabando con el ahorro. Estos impactos pueden empujar a los hogares </w:t>
      </w:r>
      <w:r w:rsidR="00A7148D">
        <w:rPr>
          <w:rFonts w:ascii="Times New Roman" w:hAnsi="Times New Roman"/>
          <w:bCs/>
          <w:sz w:val="22"/>
          <w:lang w:val="es-ES_tradnl"/>
        </w:rPr>
        <w:t>a</w:t>
      </w:r>
      <w:r w:rsidRPr="004D329F">
        <w:rPr>
          <w:rFonts w:ascii="Times New Roman" w:hAnsi="Times New Roman"/>
          <w:bCs/>
          <w:sz w:val="22"/>
          <w:lang w:val="es-ES_tradnl"/>
        </w:rPr>
        <w:t xml:space="preserve"> situaciones donde se reduce la productividad, por lo que es imposible para </w:t>
      </w:r>
      <w:r w:rsidR="00673163" w:rsidRPr="004D329F">
        <w:rPr>
          <w:rFonts w:ascii="Times New Roman" w:hAnsi="Times New Roman"/>
          <w:bCs/>
          <w:sz w:val="22"/>
          <w:lang w:val="es-ES_tradnl"/>
        </w:rPr>
        <w:t>los</w:t>
      </w:r>
      <w:r w:rsidR="00673163">
        <w:rPr>
          <w:rFonts w:ascii="Times New Roman" w:hAnsi="Times New Roman"/>
          <w:bCs/>
          <w:sz w:val="22"/>
          <w:lang w:val="es-ES_tradnl"/>
        </w:rPr>
        <w:t xml:space="preserve"> mismos</w:t>
      </w:r>
      <w:r w:rsidRPr="004D329F">
        <w:rPr>
          <w:rFonts w:ascii="Times New Roman" w:hAnsi="Times New Roman"/>
          <w:bCs/>
          <w:sz w:val="22"/>
          <w:lang w:val="es-ES_tradnl"/>
        </w:rPr>
        <w:t xml:space="preserve"> reconstruir sus ahorros y activos y v</w:t>
      </w:r>
      <w:r w:rsidR="00D24518">
        <w:rPr>
          <w:rFonts w:ascii="Times New Roman" w:hAnsi="Times New Roman"/>
          <w:bCs/>
          <w:sz w:val="22"/>
          <w:lang w:val="es-ES_tradnl"/>
        </w:rPr>
        <w:t xml:space="preserve">olver </w:t>
      </w:r>
      <w:r w:rsidRPr="004D329F">
        <w:rPr>
          <w:rFonts w:ascii="Times New Roman" w:hAnsi="Times New Roman"/>
          <w:bCs/>
          <w:sz w:val="22"/>
          <w:lang w:val="es-ES_tradnl"/>
        </w:rPr>
        <w:t xml:space="preserve">a los niveles </w:t>
      </w:r>
      <w:r w:rsidR="00D24518">
        <w:rPr>
          <w:rFonts w:ascii="Times New Roman" w:hAnsi="Times New Roman"/>
          <w:bCs/>
          <w:sz w:val="22"/>
          <w:lang w:val="es-ES_tradnl"/>
        </w:rPr>
        <w:t xml:space="preserve">previos </w:t>
      </w:r>
      <w:r w:rsidRPr="004D329F">
        <w:rPr>
          <w:rFonts w:ascii="Times New Roman" w:hAnsi="Times New Roman"/>
          <w:bCs/>
          <w:sz w:val="22"/>
          <w:lang w:val="es-ES_tradnl"/>
        </w:rPr>
        <w:t xml:space="preserve">de ingreso (Carter et al 2007, Dercon 2004, 2005, López y Servén 2009, Van den Berg 2010). </w:t>
      </w:r>
      <w:r w:rsidR="00267B31">
        <w:rPr>
          <w:rFonts w:ascii="Times New Roman" w:hAnsi="Times New Roman"/>
          <w:bCs/>
          <w:sz w:val="22"/>
          <w:lang w:val="es-ES_tradnl"/>
        </w:rPr>
        <w:t xml:space="preserve"> </w:t>
      </w:r>
      <w:r w:rsidRPr="004D329F">
        <w:rPr>
          <w:rFonts w:ascii="Times New Roman" w:hAnsi="Times New Roman"/>
          <w:bCs/>
          <w:sz w:val="22"/>
          <w:lang w:val="es-ES_tradnl"/>
        </w:rPr>
        <w:t xml:space="preserve">Estas </w:t>
      </w:r>
      <w:r w:rsidR="00A7148D">
        <w:rPr>
          <w:rFonts w:ascii="Times New Roman" w:hAnsi="Times New Roman"/>
          <w:bCs/>
          <w:sz w:val="22"/>
          <w:lang w:val="es-ES_tradnl"/>
        </w:rPr>
        <w:t xml:space="preserve">situaciones </w:t>
      </w:r>
      <w:r w:rsidRPr="004D329F">
        <w:rPr>
          <w:rFonts w:ascii="Times New Roman" w:hAnsi="Times New Roman"/>
          <w:bCs/>
          <w:sz w:val="22"/>
          <w:lang w:val="es-ES_tradnl"/>
        </w:rPr>
        <w:t xml:space="preserve"> a niv</w:t>
      </w:r>
      <w:r w:rsidR="00A7148D">
        <w:rPr>
          <w:rFonts w:ascii="Times New Roman" w:hAnsi="Times New Roman"/>
          <w:bCs/>
          <w:sz w:val="22"/>
          <w:lang w:val="es-ES_tradnl"/>
        </w:rPr>
        <w:t xml:space="preserve">el micro puede llegar incluso a acumular efectos </w:t>
      </w:r>
      <w:r w:rsidRPr="004D329F">
        <w:rPr>
          <w:rFonts w:ascii="Times New Roman" w:hAnsi="Times New Roman"/>
          <w:bCs/>
          <w:sz w:val="22"/>
          <w:lang w:val="es-ES_tradnl"/>
        </w:rPr>
        <w:t>a nivel macro, si las capacidades de inversión en una región no son suficientes para hacer frente a las necesidades de reconstrucción (Hallegatte et al 2007, Hallegatte y Dumas 2008)</w:t>
      </w:r>
      <w:r w:rsidR="003232D9">
        <w:rPr>
          <w:rFonts w:ascii="Times New Roman" w:hAnsi="Times New Roman"/>
          <w:bCs/>
          <w:sz w:val="22"/>
          <w:lang w:val="es-ES_tradnl"/>
        </w:rPr>
        <w:t>.</w:t>
      </w:r>
    </w:p>
    <w:p w:rsidR="00A75D49" w:rsidRDefault="00A75D49" w:rsidP="00A75D49">
      <w:pPr>
        <w:pStyle w:val="ListParagraph"/>
        <w:rPr>
          <w:lang w:val="es-AR"/>
        </w:rPr>
      </w:pPr>
    </w:p>
    <w:p w:rsidR="00A75D49" w:rsidRPr="00267B31" w:rsidRDefault="00A7148D" w:rsidP="00C455A0">
      <w:pPr>
        <w:numPr>
          <w:ilvl w:val="1"/>
          <w:numId w:val="12"/>
        </w:numPr>
        <w:jc w:val="both"/>
        <w:rPr>
          <w:rFonts w:ascii="Times New Roman" w:hAnsi="Times New Roman"/>
          <w:sz w:val="22"/>
          <w:szCs w:val="22"/>
          <w:lang w:val="es-AR"/>
        </w:rPr>
      </w:pPr>
      <w:r w:rsidRPr="00A7148D">
        <w:rPr>
          <w:rFonts w:ascii="Times New Roman" w:hAnsi="Times New Roman"/>
          <w:i/>
          <w:sz w:val="22"/>
          <w:szCs w:val="22"/>
          <w:lang w:val="es-AR"/>
        </w:rPr>
        <w:t>La situación en Ecuador</w:t>
      </w:r>
      <w:r>
        <w:rPr>
          <w:rFonts w:ascii="Times New Roman" w:hAnsi="Times New Roman"/>
          <w:sz w:val="22"/>
          <w:szCs w:val="22"/>
          <w:lang w:val="es-AR"/>
        </w:rPr>
        <w:t xml:space="preserve">. </w:t>
      </w:r>
      <w:r w:rsidR="00A75D49" w:rsidRPr="00A75D49">
        <w:rPr>
          <w:rFonts w:ascii="Times New Roman" w:hAnsi="Times New Roman"/>
          <w:sz w:val="22"/>
          <w:szCs w:val="22"/>
          <w:lang w:val="es-AR"/>
        </w:rPr>
        <w:t>La zona Norte de Esmeraldas constituye uno de los sectores más productivos de la  costa ecuatoriana por su exuberante vegetación, sus reliquias arqueológicas y por el desarrollo de las industrias maderera, pesquera, camaronera, comercio de mariscos y la naciente industria del ecoturismo. En la provincia de Manabí el 70% de las playas reciben todo el año turistas nacionales e internacionales, encontrándose una infraestructura hotelera y turística muy completa y desarrollada. Por esta razón existe también mayor cantidad de infraestructura física y población sujeta a alto riesgo para eventos marinos</w:t>
      </w:r>
      <w:r w:rsidR="00A75D49" w:rsidRPr="00A75D49">
        <w:rPr>
          <w:lang w:val="es-AR"/>
        </w:rPr>
        <w:t>.</w:t>
      </w:r>
      <w:r w:rsidR="00267B31">
        <w:rPr>
          <w:lang w:val="es-AR"/>
        </w:rPr>
        <w:t xml:space="preserve"> </w:t>
      </w:r>
      <w:r w:rsidR="00267B31" w:rsidRPr="00267B31">
        <w:rPr>
          <w:rFonts w:ascii="Times New Roman" w:hAnsi="Times New Roman"/>
          <w:sz w:val="22"/>
          <w:szCs w:val="22"/>
          <w:lang w:val="es-AR"/>
        </w:rPr>
        <w:t xml:space="preserve">El resto de las provincias presenta también un alto potencial de desarrollo. </w:t>
      </w:r>
      <w:r w:rsidR="00267B31">
        <w:rPr>
          <w:rFonts w:ascii="Times New Roman" w:hAnsi="Times New Roman"/>
          <w:sz w:val="22"/>
          <w:szCs w:val="22"/>
          <w:lang w:val="es-AR"/>
        </w:rPr>
        <w:t xml:space="preserve"> A los fines de una ponderación con fuentes más objetivas el presente análisis se </w:t>
      </w:r>
      <w:r w:rsidR="005E2636">
        <w:rPr>
          <w:rFonts w:ascii="Times New Roman" w:hAnsi="Times New Roman"/>
          <w:sz w:val="22"/>
          <w:szCs w:val="22"/>
          <w:lang w:val="es-AR"/>
        </w:rPr>
        <w:t xml:space="preserve">ha </w:t>
      </w:r>
      <w:r w:rsidR="00267B31">
        <w:rPr>
          <w:rFonts w:ascii="Times New Roman" w:hAnsi="Times New Roman"/>
          <w:sz w:val="22"/>
          <w:szCs w:val="22"/>
          <w:lang w:val="es-AR"/>
        </w:rPr>
        <w:t>concentr</w:t>
      </w:r>
      <w:r w:rsidR="005E2636">
        <w:rPr>
          <w:rFonts w:ascii="Times New Roman" w:hAnsi="Times New Roman"/>
          <w:sz w:val="22"/>
          <w:szCs w:val="22"/>
          <w:lang w:val="es-AR"/>
        </w:rPr>
        <w:t>ado</w:t>
      </w:r>
      <w:r w:rsidR="00267B31">
        <w:rPr>
          <w:rFonts w:ascii="Times New Roman" w:hAnsi="Times New Roman"/>
          <w:sz w:val="22"/>
          <w:szCs w:val="22"/>
          <w:lang w:val="es-AR"/>
        </w:rPr>
        <w:t xml:space="preserve"> en el plano de los daños directos de los desastres. Sin embargo, en la medida que el Sistema de Alerta temprana constituya un primer </w:t>
      </w:r>
      <w:proofErr w:type="gramStart"/>
      <w:r w:rsidR="00267B31">
        <w:rPr>
          <w:rFonts w:ascii="Times New Roman" w:hAnsi="Times New Roman"/>
          <w:sz w:val="22"/>
          <w:szCs w:val="22"/>
          <w:lang w:val="es-AR"/>
        </w:rPr>
        <w:t>paso</w:t>
      </w:r>
      <w:proofErr w:type="gramEnd"/>
      <w:r w:rsidR="00267B31">
        <w:rPr>
          <w:rFonts w:ascii="Times New Roman" w:hAnsi="Times New Roman"/>
          <w:sz w:val="22"/>
          <w:szCs w:val="22"/>
          <w:lang w:val="es-AR"/>
        </w:rPr>
        <w:t xml:space="preserve"> en una estrategia coordinada en integral en materia de desastres, y formando parte de un conjunto de  medidas de corte estructural </w:t>
      </w:r>
      <w:r w:rsidR="005E2636">
        <w:rPr>
          <w:rFonts w:ascii="Times New Roman" w:hAnsi="Times New Roman"/>
          <w:sz w:val="22"/>
          <w:szCs w:val="22"/>
          <w:lang w:val="es-AR"/>
        </w:rPr>
        <w:t>y no estructural, los beneficios en materia de desarrollo económico podrían ser significativos.</w:t>
      </w:r>
    </w:p>
    <w:p w:rsidR="00406CAE" w:rsidRPr="00455FC7" w:rsidRDefault="00406CAE" w:rsidP="00455FC7">
      <w:pPr>
        <w:pStyle w:val="Heading2"/>
        <w:jc w:val="left"/>
        <w:rPr>
          <w:sz w:val="24"/>
          <w:u w:val="single"/>
        </w:rPr>
      </w:pPr>
    </w:p>
    <w:p w:rsidR="003232D9" w:rsidRPr="00455FC7" w:rsidRDefault="00081A23" w:rsidP="00111924">
      <w:pPr>
        <w:pStyle w:val="Heading3"/>
        <w:rPr>
          <w:lang w:val="es-ES_tradnl"/>
        </w:rPr>
      </w:pPr>
      <w:bookmarkStart w:id="117" w:name="_Toc465929624"/>
      <w:bookmarkStart w:id="118" w:name="_Toc468199835"/>
      <w:r w:rsidRPr="00455FC7">
        <w:rPr>
          <w:lang w:val="es-ES_tradnl"/>
        </w:rPr>
        <w:t>Parámetros para la cuantificación del efecto-beneficio SAT</w:t>
      </w:r>
      <w:bookmarkEnd w:id="117"/>
      <w:bookmarkEnd w:id="118"/>
    </w:p>
    <w:p w:rsidR="003232D9" w:rsidRPr="004D329F" w:rsidRDefault="003232D9" w:rsidP="003232D9">
      <w:pPr>
        <w:jc w:val="both"/>
        <w:rPr>
          <w:lang w:val="es-AR"/>
        </w:rPr>
      </w:pPr>
    </w:p>
    <w:p w:rsidR="00466B91" w:rsidRDefault="00466B91" w:rsidP="00C455A0">
      <w:pPr>
        <w:numPr>
          <w:ilvl w:val="1"/>
          <w:numId w:val="12"/>
        </w:numPr>
        <w:jc w:val="both"/>
        <w:rPr>
          <w:rFonts w:ascii="Times New Roman" w:hAnsi="Times New Roman"/>
          <w:bCs/>
          <w:sz w:val="22"/>
          <w:lang w:val="es-ES_tradnl"/>
        </w:rPr>
      </w:pPr>
      <w:r w:rsidRPr="00466B91">
        <w:rPr>
          <w:rFonts w:ascii="Times New Roman" w:hAnsi="Times New Roman"/>
          <w:bCs/>
          <w:sz w:val="22"/>
          <w:lang w:val="es-ES_tradnl"/>
        </w:rPr>
        <w:lastRenderedPageBreak/>
        <w:t>No existen evidencias previas en Ecuador que permitan</w:t>
      </w:r>
      <w:r>
        <w:rPr>
          <w:rFonts w:ascii="Times New Roman" w:hAnsi="Times New Roman"/>
          <w:bCs/>
          <w:sz w:val="22"/>
          <w:lang w:val="es-ES_tradnl"/>
        </w:rPr>
        <w:t xml:space="preserve"> establecer con certeza en </w:t>
      </w:r>
      <w:r w:rsidR="00673163">
        <w:rPr>
          <w:rFonts w:ascii="Times New Roman" w:hAnsi="Times New Roman"/>
          <w:bCs/>
          <w:sz w:val="22"/>
          <w:lang w:val="es-ES_tradnl"/>
        </w:rPr>
        <w:t>qué</w:t>
      </w:r>
      <w:r>
        <w:rPr>
          <w:rFonts w:ascii="Times New Roman" w:hAnsi="Times New Roman"/>
          <w:bCs/>
          <w:sz w:val="22"/>
          <w:lang w:val="es-ES_tradnl"/>
        </w:rPr>
        <w:t xml:space="preserve"> medida la presencia del SAT permitirá reducir</w:t>
      </w:r>
      <w:r w:rsidR="00103190">
        <w:rPr>
          <w:rFonts w:ascii="Times New Roman" w:hAnsi="Times New Roman"/>
          <w:bCs/>
          <w:sz w:val="22"/>
          <w:lang w:val="es-ES_tradnl"/>
        </w:rPr>
        <w:t xml:space="preserve"> los eventuales daños </w:t>
      </w:r>
      <w:r w:rsidR="005E2636">
        <w:rPr>
          <w:rFonts w:ascii="Times New Roman" w:hAnsi="Times New Roman"/>
          <w:bCs/>
          <w:sz w:val="22"/>
          <w:lang w:val="es-ES_tradnl"/>
        </w:rPr>
        <w:t xml:space="preserve">que causarían </w:t>
      </w:r>
      <w:r w:rsidR="00103190">
        <w:rPr>
          <w:rFonts w:ascii="Times New Roman" w:hAnsi="Times New Roman"/>
          <w:bCs/>
          <w:sz w:val="22"/>
          <w:lang w:val="es-ES_tradnl"/>
        </w:rPr>
        <w:t xml:space="preserve"> las amenazas</w:t>
      </w:r>
      <w:r w:rsidR="005E2636">
        <w:rPr>
          <w:rFonts w:ascii="Times New Roman" w:hAnsi="Times New Roman"/>
          <w:bCs/>
          <w:sz w:val="22"/>
          <w:lang w:val="es-ES_tradnl"/>
        </w:rPr>
        <w:t xml:space="preserve"> consideradas para este análisis</w:t>
      </w:r>
      <w:r w:rsidR="00103190">
        <w:rPr>
          <w:rFonts w:ascii="Times New Roman" w:hAnsi="Times New Roman"/>
          <w:bCs/>
          <w:sz w:val="22"/>
          <w:lang w:val="es-ES_tradnl"/>
        </w:rPr>
        <w:t xml:space="preserve">. Ante esta limitación se exponen los antecedentes identificados que se </w:t>
      </w:r>
      <w:r w:rsidR="00673163">
        <w:rPr>
          <w:rFonts w:ascii="Times New Roman" w:hAnsi="Times New Roman"/>
          <w:bCs/>
          <w:sz w:val="22"/>
          <w:lang w:val="es-ES_tradnl"/>
        </w:rPr>
        <w:t>utilizan</w:t>
      </w:r>
      <w:r w:rsidR="00103190">
        <w:rPr>
          <w:rFonts w:ascii="Times New Roman" w:hAnsi="Times New Roman"/>
          <w:bCs/>
          <w:sz w:val="22"/>
          <w:lang w:val="es-ES_tradnl"/>
        </w:rPr>
        <w:t xml:space="preserve"> como fundamente en las valoraciones planteadas en este documento.</w:t>
      </w:r>
      <w:r>
        <w:rPr>
          <w:rFonts w:ascii="Times New Roman" w:hAnsi="Times New Roman"/>
          <w:bCs/>
          <w:sz w:val="22"/>
          <w:lang w:val="es-ES_tradnl"/>
        </w:rPr>
        <w:t xml:space="preserve"> </w:t>
      </w:r>
    </w:p>
    <w:p w:rsidR="005E2636" w:rsidRPr="00466B91" w:rsidRDefault="005E2636" w:rsidP="005E2636">
      <w:pPr>
        <w:ind w:left="718"/>
        <w:jc w:val="both"/>
        <w:rPr>
          <w:rFonts w:ascii="Times New Roman" w:hAnsi="Times New Roman"/>
          <w:bCs/>
          <w:sz w:val="22"/>
          <w:lang w:val="es-ES_tradnl"/>
        </w:rPr>
      </w:pPr>
    </w:p>
    <w:p w:rsidR="0042619F" w:rsidRPr="0042619F" w:rsidRDefault="00466B91" w:rsidP="00C455A0">
      <w:pPr>
        <w:pStyle w:val="ListParagraph"/>
        <w:numPr>
          <w:ilvl w:val="1"/>
          <w:numId w:val="12"/>
        </w:numPr>
        <w:jc w:val="both"/>
        <w:rPr>
          <w:rFonts w:ascii="Times New Roman" w:hAnsi="Times New Roman"/>
          <w:bCs/>
          <w:sz w:val="22"/>
          <w:lang w:val="es-ES_tradnl"/>
        </w:rPr>
      </w:pPr>
      <w:r w:rsidRPr="00276553">
        <w:rPr>
          <w:rFonts w:ascii="Times New Roman" w:hAnsi="Times New Roman"/>
          <w:bCs/>
          <w:i/>
          <w:sz w:val="22"/>
          <w:lang w:val="es-ES_tradnl"/>
        </w:rPr>
        <w:t xml:space="preserve">SAT orientado a </w:t>
      </w:r>
      <w:r w:rsidR="002810A4">
        <w:rPr>
          <w:rFonts w:ascii="Times New Roman" w:hAnsi="Times New Roman"/>
          <w:bCs/>
          <w:i/>
          <w:sz w:val="22"/>
          <w:lang w:val="es-ES_tradnl"/>
        </w:rPr>
        <w:t>t</w:t>
      </w:r>
      <w:r w:rsidR="002810A4" w:rsidRPr="00276553">
        <w:rPr>
          <w:rFonts w:ascii="Times New Roman" w:hAnsi="Times New Roman"/>
          <w:bCs/>
          <w:i/>
          <w:sz w:val="22"/>
          <w:lang w:val="es-ES_tradnl"/>
        </w:rPr>
        <w:t>sunamis</w:t>
      </w:r>
      <w:r w:rsidR="009A74C0" w:rsidRPr="0042619F">
        <w:rPr>
          <w:rFonts w:ascii="Times New Roman" w:hAnsi="Times New Roman"/>
          <w:bCs/>
          <w:sz w:val="22"/>
          <w:lang w:val="es-ES_tradnl"/>
        </w:rPr>
        <w:t xml:space="preserve">. </w:t>
      </w:r>
      <w:r w:rsidR="00103190" w:rsidRPr="0042619F">
        <w:rPr>
          <w:rFonts w:ascii="Times New Roman" w:hAnsi="Times New Roman"/>
          <w:bCs/>
          <w:sz w:val="22"/>
          <w:lang w:val="es-ES_tradnl"/>
        </w:rPr>
        <w:t>Los estudios técnicos reconocen la complejidad del reto</w:t>
      </w:r>
      <w:proofErr w:type="gramStart"/>
      <w:r w:rsidR="00103190" w:rsidRPr="0042619F">
        <w:rPr>
          <w:rFonts w:ascii="Times New Roman" w:hAnsi="Times New Roman"/>
          <w:bCs/>
          <w:sz w:val="22"/>
          <w:lang w:val="es-ES_tradnl"/>
        </w:rPr>
        <w:t xml:space="preserve">:  </w:t>
      </w:r>
      <w:r w:rsidR="002810A4">
        <w:rPr>
          <w:rFonts w:ascii="Times New Roman" w:hAnsi="Times New Roman"/>
          <w:bCs/>
          <w:sz w:val="22"/>
          <w:lang w:val="es-ES_tradnl"/>
        </w:rPr>
        <w:t>¿</w:t>
      </w:r>
      <w:proofErr w:type="gramEnd"/>
      <w:r w:rsidR="00103190" w:rsidRPr="0042619F">
        <w:rPr>
          <w:rFonts w:ascii="Times New Roman" w:hAnsi="Times New Roman"/>
          <w:bCs/>
          <w:sz w:val="22"/>
          <w:lang w:val="es-ES_tradnl"/>
        </w:rPr>
        <w:t xml:space="preserve">Cómo evaluar la reducción del daño que permitirá alcanzar el SAT si el daño aun sin existencia del sistema de alerta temprana no se conoce? La escasa frecuencia del evento hace más difícil la evaluación, ante la imposibilidad de identificar </w:t>
      </w:r>
      <w:r w:rsidR="00673163" w:rsidRPr="0042619F">
        <w:rPr>
          <w:rFonts w:ascii="Times New Roman" w:hAnsi="Times New Roman"/>
          <w:bCs/>
          <w:sz w:val="22"/>
          <w:lang w:val="es-ES_tradnl"/>
        </w:rPr>
        <w:t>contra factuales</w:t>
      </w:r>
      <w:r w:rsidR="00103190" w:rsidRPr="0042619F">
        <w:rPr>
          <w:rFonts w:ascii="Times New Roman" w:hAnsi="Times New Roman"/>
          <w:bCs/>
          <w:sz w:val="22"/>
          <w:lang w:val="es-ES_tradnl"/>
        </w:rPr>
        <w:t xml:space="preserve"> útiles para una comparación. </w:t>
      </w:r>
      <w:r w:rsidR="0042619F">
        <w:rPr>
          <w:rFonts w:ascii="Times New Roman" w:hAnsi="Times New Roman"/>
          <w:bCs/>
          <w:sz w:val="22"/>
          <w:lang w:val="es-ES_tradnl"/>
        </w:rPr>
        <w:t xml:space="preserve"> En materia de estudios sobre desastres, </w:t>
      </w:r>
      <w:r w:rsidR="002810A4">
        <w:rPr>
          <w:rFonts w:ascii="Times New Roman" w:hAnsi="Times New Roman"/>
          <w:bCs/>
          <w:sz w:val="22"/>
          <w:lang w:val="es-ES_tradnl"/>
        </w:rPr>
        <w:t>Paul (2009)</w:t>
      </w:r>
      <w:r w:rsidR="0042619F">
        <w:rPr>
          <w:rStyle w:val="FootnoteReference"/>
          <w:rFonts w:ascii="Times New Roman" w:hAnsi="Times New Roman"/>
          <w:bCs/>
          <w:sz w:val="22"/>
          <w:lang w:val="es-ES_tradnl"/>
        </w:rPr>
        <w:footnoteReference w:id="51"/>
      </w:r>
      <w:r w:rsidR="00276553">
        <w:rPr>
          <w:rFonts w:ascii="Times New Roman" w:hAnsi="Times New Roman"/>
          <w:bCs/>
          <w:sz w:val="22"/>
          <w:lang w:val="es-ES_tradnl"/>
        </w:rPr>
        <w:t xml:space="preserve"> analiza </w:t>
      </w:r>
      <w:r w:rsidR="002810A4">
        <w:rPr>
          <w:rFonts w:ascii="Times New Roman" w:hAnsi="Times New Roman"/>
          <w:bCs/>
          <w:sz w:val="22"/>
          <w:lang w:val="es-ES_tradnl"/>
        </w:rPr>
        <w:t xml:space="preserve">dos </w:t>
      </w:r>
      <w:r w:rsidR="00276553">
        <w:rPr>
          <w:rFonts w:ascii="Times New Roman" w:hAnsi="Times New Roman"/>
          <w:bCs/>
          <w:sz w:val="22"/>
          <w:lang w:val="es-ES_tradnl"/>
        </w:rPr>
        <w:t>desastres que considera similares acontecidos en Banglasdesh. E</w:t>
      </w:r>
      <w:r w:rsidR="0042619F" w:rsidRPr="0042619F">
        <w:rPr>
          <w:rFonts w:ascii="Times New Roman" w:hAnsi="Times New Roman"/>
          <w:bCs/>
          <w:sz w:val="22"/>
          <w:lang w:val="es-ES_tradnl"/>
        </w:rPr>
        <w:t>l huracán S</w:t>
      </w:r>
      <w:r w:rsidR="0042619F">
        <w:rPr>
          <w:rFonts w:ascii="Times New Roman" w:hAnsi="Times New Roman"/>
          <w:bCs/>
          <w:sz w:val="22"/>
          <w:lang w:val="es-ES_tradnl"/>
        </w:rPr>
        <w:t>idr</w:t>
      </w:r>
      <w:r w:rsidR="00276553">
        <w:rPr>
          <w:rFonts w:ascii="Times New Roman" w:hAnsi="Times New Roman"/>
          <w:bCs/>
          <w:sz w:val="22"/>
          <w:lang w:val="es-ES_tradnl"/>
        </w:rPr>
        <w:t xml:space="preserve">, más reciente, </w:t>
      </w:r>
      <w:r w:rsidR="0042619F">
        <w:rPr>
          <w:rFonts w:ascii="Times New Roman" w:hAnsi="Times New Roman"/>
          <w:bCs/>
          <w:sz w:val="22"/>
          <w:lang w:val="es-ES_tradnl"/>
        </w:rPr>
        <w:t xml:space="preserve"> causó </w:t>
      </w:r>
      <w:r w:rsidR="0042619F" w:rsidRPr="0042619F">
        <w:rPr>
          <w:rFonts w:ascii="Times New Roman" w:hAnsi="Times New Roman"/>
          <w:bCs/>
          <w:sz w:val="22"/>
          <w:lang w:val="es-ES_tradnl"/>
        </w:rPr>
        <w:t xml:space="preserve">alrededor de 3.400 muertes en 2007 </w:t>
      </w:r>
      <w:r w:rsidR="00276553">
        <w:rPr>
          <w:rFonts w:ascii="Times New Roman" w:hAnsi="Times New Roman"/>
          <w:bCs/>
          <w:sz w:val="22"/>
          <w:lang w:val="es-ES_tradnl"/>
        </w:rPr>
        <w:t xml:space="preserve"> mientras que otras tormentas </w:t>
      </w:r>
      <w:r w:rsidR="0042619F">
        <w:rPr>
          <w:rFonts w:ascii="Times New Roman" w:hAnsi="Times New Roman"/>
          <w:bCs/>
          <w:sz w:val="22"/>
          <w:lang w:val="es-ES_tradnl"/>
        </w:rPr>
        <w:t xml:space="preserve">previas </w:t>
      </w:r>
      <w:r w:rsidR="00276553">
        <w:rPr>
          <w:rFonts w:ascii="Times New Roman" w:hAnsi="Times New Roman"/>
          <w:bCs/>
          <w:sz w:val="22"/>
          <w:lang w:val="es-ES_tradnl"/>
        </w:rPr>
        <w:t xml:space="preserve">habían generado efectos mucho mayores </w:t>
      </w:r>
      <w:r w:rsidR="0042619F" w:rsidRPr="0042619F">
        <w:rPr>
          <w:rFonts w:ascii="Times New Roman" w:hAnsi="Times New Roman"/>
          <w:bCs/>
          <w:sz w:val="22"/>
          <w:lang w:val="es-ES_tradnl"/>
        </w:rPr>
        <w:t>(</w:t>
      </w:r>
      <w:r w:rsidR="00276553">
        <w:rPr>
          <w:rFonts w:ascii="Times New Roman" w:hAnsi="Times New Roman"/>
          <w:bCs/>
          <w:sz w:val="22"/>
          <w:lang w:val="es-ES_tradnl"/>
        </w:rPr>
        <w:t xml:space="preserve">el huracán </w:t>
      </w:r>
      <w:r w:rsidR="0042619F" w:rsidRPr="0042619F">
        <w:rPr>
          <w:rFonts w:ascii="Times New Roman" w:hAnsi="Times New Roman"/>
          <w:bCs/>
          <w:sz w:val="22"/>
          <w:lang w:val="es-ES_tradnl"/>
        </w:rPr>
        <w:t xml:space="preserve">Gorki mató a más de 140.000 personas en 1991). La  hipótesis explicativa </w:t>
      </w:r>
      <w:r w:rsidR="00276553">
        <w:rPr>
          <w:rFonts w:ascii="Times New Roman" w:hAnsi="Times New Roman"/>
          <w:bCs/>
          <w:sz w:val="22"/>
          <w:lang w:val="es-ES_tradnl"/>
        </w:rPr>
        <w:t xml:space="preserve"> incluyó que a partir d</w:t>
      </w:r>
      <w:r w:rsidR="0042619F" w:rsidRPr="0042619F">
        <w:rPr>
          <w:rFonts w:ascii="Times New Roman" w:hAnsi="Times New Roman"/>
          <w:bCs/>
          <w:sz w:val="22"/>
          <w:lang w:val="es-ES_tradnl"/>
        </w:rPr>
        <w:t xml:space="preserve">el buen pronóstico </w:t>
      </w:r>
      <w:r w:rsidR="00276553">
        <w:rPr>
          <w:rFonts w:ascii="Times New Roman" w:hAnsi="Times New Roman"/>
          <w:bCs/>
          <w:sz w:val="22"/>
          <w:lang w:val="es-ES_tradnl"/>
        </w:rPr>
        <w:t xml:space="preserve">meteorológico </w:t>
      </w:r>
      <w:r w:rsidR="0042619F" w:rsidRPr="0042619F">
        <w:rPr>
          <w:rFonts w:ascii="Times New Roman" w:hAnsi="Times New Roman"/>
          <w:bCs/>
          <w:sz w:val="22"/>
          <w:lang w:val="es-ES_tradnl"/>
        </w:rPr>
        <w:t>de la tormenta</w:t>
      </w:r>
      <w:r w:rsidR="00673163">
        <w:rPr>
          <w:rFonts w:ascii="Times New Roman" w:hAnsi="Times New Roman"/>
          <w:bCs/>
          <w:sz w:val="22"/>
          <w:lang w:val="es-ES_tradnl"/>
        </w:rPr>
        <w:t xml:space="preserve"> </w:t>
      </w:r>
      <w:r w:rsidR="00276553">
        <w:rPr>
          <w:rFonts w:ascii="Times New Roman" w:hAnsi="Times New Roman"/>
          <w:bCs/>
          <w:sz w:val="22"/>
          <w:lang w:val="es-ES_tradnl"/>
        </w:rPr>
        <w:t>se logr</w:t>
      </w:r>
      <w:r w:rsidR="00673163">
        <w:rPr>
          <w:rFonts w:ascii="Times New Roman" w:hAnsi="Times New Roman"/>
          <w:bCs/>
          <w:sz w:val="22"/>
          <w:lang w:val="es-ES_tradnl"/>
        </w:rPr>
        <w:t>ó</w:t>
      </w:r>
      <w:r w:rsidR="00276553">
        <w:rPr>
          <w:rFonts w:ascii="Times New Roman" w:hAnsi="Times New Roman"/>
          <w:bCs/>
          <w:sz w:val="22"/>
          <w:lang w:val="es-ES_tradnl"/>
        </w:rPr>
        <w:t xml:space="preserve"> </w:t>
      </w:r>
      <w:r w:rsidR="0042619F" w:rsidRPr="0042619F">
        <w:rPr>
          <w:rFonts w:ascii="Times New Roman" w:hAnsi="Times New Roman"/>
          <w:bCs/>
          <w:sz w:val="22"/>
          <w:lang w:val="es-ES_tradnl"/>
        </w:rPr>
        <w:t>publicar con prontitud el aviso, creando las condiciones para el buen uso de</w:t>
      </w:r>
      <w:r w:rsidR="00276553">
        <w:rPr>
          <w:rFonts w:ascii="Times New Roman" w:hAnsi="Times New Roman"/>
          <w:bCs/>
          <w:sz w:val="22"/>
          <w:lang w:val="es-ES_tradnl"/>
        </w:rPr>
        <w:t>l S</w:t>
      </w:r>
      <w:r w:rsidR="0042619F" w:rsidRPr="0042619F">
        <w:rPr>
          <w:rFonts w:ascii="Times New Roman" w:hAnsi="Times New Roman"/>
          <w:bCs/>
          <w:sz w:val="22"/>
          <w:lang w:val="es-ES_tradnl"/>
        </w:rPr>
        <w:t xml:space="preserve">istemas de </w:t>
      </w:r>
      <w:r w:rsidR="00276553">
        <w:rPr>
          <w:rFonts w:ascii="Times New Roman" w:hAnsi="Times New Roman"/>
          <w:bCs/>
          <w:sz w:val="22"/>
          <w:lang w:val="es-ES_tradnl"/>
        </w:rPr>
        <w:t>A</w:t>
      </w:r>
      <w:r w:rsidR="0042619F" w:rsidRPr="0042619F">
        <w:rPr>
          <w:rFonts w:ascii="Times New Roman" w:hAnsi="Times New Roman"/>
          <w:bCs/>
          <w:sz w:val="22"/>
          <w:lang w:val="es-ES_tradnl"/>
        </w:rPr>
        <w:t xml:space="preserve">lerta </w:t>
      </w:r>
      <w:r w:rsidR="00276553">
        <w:rPr>
          <w:rFonts w:ascii="Times New Roman" w:hAnsi="Times New Roman"/>
          <w:bCs/>
          <w:sz w:val="22"/>
          <w:lang w:val="es-ES_tradnl"/>
        </w:rPr>
        <w:t xml:space="preserve">Previa empleando la infraestructura </w:t>
      </w:r>
      <w:r w:rsidR="0042619F" w:rsidRPr="0042619F">
        <w:rPr>
          <w:rFonts w:ascii="Times New Roman" w:hAnsi="Times New Roman"/>
          <w:bCs/>
          <w:sz w:val="22"/>
          <w:lang w:val="es-ES_tradnl"/>
        </w:rPr>
        <w:t>de refugio</w:t>
      </w:r>
      <w:r w:rsidR="00276553">
        <w:rPr>
          <w:rFonts w:ascii="Times New Roman" w:hAnsi="Times New Roman"/>
          <w:bCs/>
          <w:sz w:val="22"/>
          <w:lang w:val="es-ES_tradnl"/>
        </w:rPr>
        <w:t xml:space="preserve"> y protocolos de prevención establecidos</w:t>
      </w:r>
      <w:r w:rsidR="0042619F" w:rsidRPr="0042619F">
        <w:rPr>
          <w:rFonts w:ascii="Times New Roman" w:hAnsi="Times New Roman"/>
          <w:bCs/>
          <w:sz w:val="22"/>
          <w:lang w:val="es-ES_tradnl"/>
        </w:rPr>
        <w:t>.</w:t>
      </w:r>
      <w:r w:rsidR="00276553">
        <w:rPr>
          <w:rFonts w:ascii="Times New Roman" w:hAnsi="Times New Roman"/>
          <w:bCs/>
          <w:sz w:val="22"/>
          <w:lang w:val="es-ES_tradnl"/>
        </w:rPr>
        <w:t xml:space="preserve"> Desde el análisis de los especialistas de gestión, se establece que las características de estas </w:t>
      </w:r>
      <w:r w:rsidR="00673163">
        <w:rPr>
          <w:rFonts w:ascii="Times New Roman" w:hAnsi="Times New Roman"/>
          <w:bCs/>
          <w:sz w:val="22"/>
          <w:lang w:val="es-ES_tradnl"/>
        </w:rPr>
        <w:t>amenazas</w:t>
      </w:r>
      <w:r w:rsidR="00276553">
        <w:rPr>
          <w:rFonts w:ascii="Times New Roman" w:hAnsi="Times New Roman"/>
          <w:bCs/>
          <w:sz w:val="22"/>
          <w:lang w:val="es-ES_tradnl"/>
        </w:rPr>
        <w:t xml:space="preserve"> normalmente ofrecen un escaso período de tiempo para aplicar las </w:t>
      </w:r>
      <w:r w:rsidR="00673163">
        <w:rPr>
          <w:rFonts w:ascii="Times New Roman" w:hAnsi="Times New Roman"/>
          <w:bCs/>
          <w:sz w:val="22"/>
          <w:lang w:val="es-ES_tradnl"/>
        </w:rPr>
        <w:t>estrategias</w:t>
      </w:r>
      <w:r w:rsidR="00276553">
        <w:rPr>
          <w:rFonts w:ascii="Times New Roman" w:hAnsi="Times New Roman"/>
          <w:bCs/>
          <w:sz w:val="22"/>
          <w:lang w:val="es-ES_tradnl"/>
        </w:rPr>
        <w:t xml:space="preserve"> que permitan minimizar los efectos negativos. Frente a esta situación las posibilidades de reducir daños en los bienes son sensiblemente menores que frente a otros fenómenos que se detectan con mayor </w:t>
      </w:r>
      <w:r w:rsidR="00673163">
        <w:rPr>
          <w:rFonts w:ascii="Times New Roman" w:hAnsi="Times New Roman"/>
          <w:bCs/>
          <w:sz w:val="22"/>
          <w:lang w:val="es-ES_tradnl"/>
        </w:rPr>
        <w:t>anticipación</w:t>
      </w:r>
      <w:r w:rsidR="00276553">
        <w:rPr>
          <w:rFonts w:ascii="Times New Roman" w:hAnsi="Times New Roman"/>
          <w:bCs/>
          <w:sz w:val="22"/>
          <w:lang w:val="es-ES_tradnl"/>
        </w:rPr>
        <w:t xml:space="preserve">. </w:t>
      </w:r>
    </w:p>
    <w:p w:rsidR="00103190" w:rsidRDefault="0061062E" w:rsidP="00276553">
      <w:pPr>
        <w:ind w:left="718"/>
        <w:jc w:val="both"/>
        <w:rPr>
          <w:bCs/>
          <w:sz w:val="22"/>
          <w:lang w:val="es-AR"/>
        </w:rPr>
      </w:pPr>
      <w:r w:rsidRPr="009A74C0">
        <w:rPr>
          <w:color w:val="4D4D4D"/>
          <w:lang w:val="es-AR" w:eastAsia="es-AR"/>
        </w:rPr>
        <w:t xml:space="preserve"> </w:t>
      </w:r>
    </w:p>
    <w:p w:rsidR="00103190" w:rsidRDefault="004E5EC3" w:rsidP="00C455A0">
      <w:pPr>
        <w:numPr>
          <w:ilvl w:val="1"/>
          <w:numId w:val="12"/>
        </w:numPr>
        <w:jc w:val="both"/>
        <w:rPr>
          <w:rFonts w:ascii="Times New Roman" w:hAnsi="Times New Roman"/>
          <w:bCs/>
          <w:sz w:val="22"/>
          <w:lang w:val="es-ES_tradnl"/>
        </w:rPr>
      </w:pPr>
      <w:r>
        <w:rPr>
          <w:rFonts w:ascii="Times New Roman" w:hAnsi="Times New Roman"/>
          <w:bCs/>
          <w:i/>
          <w:sz w:val="22"/>
          <w:lang w:val="es-ES_tradnl"/>
        </w:rPr>
        <w:t xml:space="preserve">SAT para </w:t>
      </w:r>
      <w:r w:rsidR="002810A4">
        <w:rPr>
          <w:rFonts w:ascii="Times New Roman" w:hAnsi="Times New Roman"/>
          <w:bCs/>
          <w:i/>
          <w:sz w:val="22"/>
          <w:lang w:val="es-ES_tradnl"/>
        </w:rPr>
        <w:t>d</w:t>
      </w:r>
      <w:r w:rsidR="002810A4" w:rsidRPr="004E5EC3">
        <w:rPr>
          <w:rFonts w:ascii="Times New Roman" w:hAnsi="Times New Roman"/>
          <w:bCs/>
          <w:i/>
          <w:sz w:val="22"/>
          <w:lang w:val="es-ES_tradnl"/>
        </w:rPr>
        <w:t xml:space="preserve">esbordamiento </w:t>
      </w:r>
      <w:r w:rsidR="00103190" w:rsidRPr="004E5EC3">
        <w:rPr>
          <w:rFonts w:ascii="Times New Roman" w:hAnsi="Times New Roman"/>
          <w:bCs/>
          <w:i/>
          <w:sz w:val="22"/>
          <w:lang w:val="es-ES_tradnl"/>
        </w:rPr>
        <w:t>de ríos.</w:t>
      </w:r>
      <w:r w:rsidR="00103190">
        <w:rPr>
          <w:rFonts w:ascii="Times New Roman" w:hAnsi="Times New Roman"/>
          <w:bCs/>
          <w:sz w:val="22"/>
          <w:lang w:val="es-ES_tradnl"/>
        </w:rPr>
        <w:t xml:space="preserve"> </w:t>
      </w:r>
      <w:r w:rsidR="00103190" w:rsidRPr="00103190">
        <w:rPr>
          <w:rFonts w:ascii="Times New Roman" w:hAnsi="Times New Roman"/>
          <w:bCs/>
          <w:sz w:val="22"/>
          <w:lang w:val="es-ES_tradnl"/>
        </w:rPr>
        <w:t>Existen algunos estudios</w:t>
      </w:r>
      <w:r w:rsidR="00103190">
        <w:rPr>
          <w:rFonts w:ascii="Times New Roman" w:hAnsi="Times New Roman"/>
          <w:bCs/>
          <w:sz w:val="22"/>
          <w:lang w:val="es-ES_tradnl"/>
        </w:rPr>
        <w:t xml:space="preserve"> en otras latitudes. P</w:t>
      </w:r>
      <w:r w:rsidR="00103190" w:rsidRPr="00103190">
        <w:rPr>
          <w:rFonts w:ascii="Times New Roman" w:hAnsi="Times New Roman"/>
          <w:bCs/>
          <w:sz w:val="22"/>
          <w:lang w:val="es-ES_tradnl"/>
        </w:rPr>
        <w:t>or ejemplo, la Comisión Internacional para la Protección del Rin ha estimado que las advertencias de inundaciones pueden ayudar a las empresas a evitar el 50-75% de las pérdidas por inundaciones (Comisión Internacional para la Protección del Rin, 2002).</w:t>
      </w:r>
    </w:p>
    <w:p w:rsidR="00A7148D" w:rsidRDefault="00A7148D" w:rsidP="00A7148D">
      <w:pPr>
        <w:pStyle w:val="ListParagraph"/>
        <w:rPr>
          <w:rFonts w:ascii="Times New Roman" w:hAnsi="Times New Roman"/>
          <w:bCs/>
          <w:sz w:val="22"/>
          <w:lang w:val="es-ES_tradnl"/>
        </w:rPr>
      </w:pPr>
    </w:p>
    <w:p w:rsidR="00A7148D" w:rsidRDefault="002810A4" w:rsidP="00C455A0">
      <w:pPr>
        <w:numPr>
          <w:ilvl w:val="1"/>
          <w:numId w:val="12"/>
        </w:numPr>
        <w:jc w:val="both"/>
        <w:rPr>
          <w:rFonts w:ascii="Times New Roman" w:hAnsi="Times New Roman"/>
          <w:bCs/>
          <w:sz w:val="22"/>
          <w:lang w:val="es-ES_tradnl"/>
        </w:rPr>
      </w:pPr>
      <w:r>
        <w:rPr>
          <w:rFonts w:ascii="Times New Roman" w:hAnsi="Times New Roman"/>
          <w:bCs/>
          <w:sz w:val="22"/>
          <w:lang w:val="es-ES_tradnl"/>
        </w:rPr>
        <w:t>Dos e</w:t>
      </w:r>
      <w:r w:rsidR="00A7148D">
        <w:rPr>
          <w:rFonts w:ascii="Times New Roman" w:hAnsi="Times New Roman"/>
          <w:bCs/>
          <w:sz w:val="22"/>
          <w:lang w:val="es-ES_tradnl"/>
        </w:rPr>
        <w:t>studios efectua</w:t>
      </w:r>
      <w:r w:rsidR="004C5317">
        <w:rPr>
          <w:rFonts w:ascii="Times New Roman" w:hAnsi="Times New Roman"/>
          <w:bCs/>
          <w:sz w:val="22"/>
          <w:lang w:val="es-ES_tradnl"/>
        </w:rPr>
        <w:t xml:space="preserve">dos en </w:t>
      </w:r>
      <w:r>
        <w:rPr>
          <w:rFonts w:ascii="Times New Roman" w:hAnsi="Times New Roman"/>
          <w:bCs/>
          <w:sz w:val="22"/>
          <w:lang w:val="es-ES_tradnl"/>
        </w:rPr>
        <w:t>Oceanía</w:t>
      </w:r>
      <w:r w:rsidR="005E2636">
        <w:rPr>
          <w:rStyle w:val="FootnoteReference"/>
          <w:rFonts w:ascii="Times New Roman" w:hAnsi="Times New Roman"/>
          <w:bCs/>
          <w:sz w:val="22"/>
          <w:lang w:val="es-ES_tradnl"/>
        </w:rPr>
        <w:footnoteReference w:id="52"/>
      </w:r>
      <w:r w:rsidR="004C5317">
        <w:rPr>
          <w:rFonts w:ascii="Times New Roman" w:hAnsi="Times New Roman"/>
          <w:bCs/>
          <w:sz w:val="22"/>
          <w:lang w:val="es-ES_tradnl"/>
        </w:rPr>
        <w:t xml:space="preserve"> brindan un soporte teórico</w:t>
      </w:r>
      <w:r w:rsidR="00A7148D">
        <w:rPr>
          <w:rFonts w:ascii="Times New Roman" w:hAnsi="Times New Roman"/>
          <w:bCs/>
          <w:sz w:val="22"/>
          <w:lang w:val="es-ES_tradnl"/>
        </w:rPr>
        <w:t xml:space="preserve"> adicional para ponderar los beneficios en términos del aporte del SAT frente al desbordamiento de ríos.</w:t>
      </w:r>
      <w:r w:rsidR="005E2636">
        <w:rPr>
          <w:rFonts w:ascii="Times New Roman" w:hAnsi="Times New Roman"/>
          <w:bCs/>
          <w:sz w:val="22"/>
          <w:lang w:val="es-ES_tradnl"/>
        </w:rPr>
        <w:t xml:space="preserve"> Estos trabajos </w:t>
      </w:r>
      <w:r w:rsidR="0068280C">
        <w:rPr>
          <w:rFonts w:ascii="Times New Roman" w:hAnsi="Times New Roman"/>
          <w:bCs/>
          <w:sz w:val="22"/>
          <w:lang w:val="es-ES_tradnl"/>
        </w:rPr>
        <w:t xml:space="preserve">exponen un análisis de los distintos efectos esperados sobre una gama de conceptos (personas, bienes, actividades), así como los efectos mínimo, máximo y promedio esperados.  </w:t>
      </w:r>
    </w:p>
    <w:p w:rsidR="007244B1" w:rsidRDefault="007244B1" w:rsidP="0068280C">
      <w:pPr>
        <w:jc w:val="both"/>
        <w:rPr>
          <w:rFonts w:ascii="Times New Roman" w:hAnsi="Times New Roman"/>
          <w:bCs/>
          <w:sz w:val="22"/>
          <w:lang w:val="es-ES_tradnl"/>
        </w:rPr>
      </w:pPr>
    </w:p>
    <w:p w:rsidR="00406CAE" w:rsidRDefault="00A7148D">
      <w:pPr>
        <w:ind w:firstLine="718"/>
        <w:jc w:val="center"/>
        <w:rPr>
          <w:rFonts w:ascii="Times New Roman" w:hAnsi="Times New Roman"/>
          <w:lang w:val="es-AR"/>
        </w:rPr>
      </w:pPr>
      <w:r w:rsidRPr="008C1ABC">
        <w:rPr>
          <w:rFonts w:ascii="Times New Roman" w:hAnsi="Times New Roman"/>
          <w:b/>
          <w:lang w:val="es-AR"/>
        </w:rPr>
        <w:t xml:space="preserve">Tabla </w:t>
      </w:r>
      <w:r w:rsidR="00081A23" w:rsidRPr="008C1ABC">
        <w:rPr>
          <w:rFonts w:ascii="Times New Roman" w:hAnsi="Times New Roman"/>
          <w:b/>
        </w:rPr>
        <w:fldChar w:fldCharType="begin"/>
      </w:r>
      <w:r w:rsidRPr="008C1ABC">
        <w:rPr>
          <w:rFonts w:ascii="Times New Roman" w:hAnsi="Times New Roman"/>
          <w:b/>
          <w:lang w:val="es-AR"/>
        </w:rPr>
        <w:instrText xml:space="preserve"> SEQ Tabla \* ARABIC </w:instrText>
      </w:r>
      <w:r w:rsidR="00081A23" w:rsidRPr="008C1ABC">
        <w:rPr>
          <w:rFonts w:ascii="Times New Roman" w:hAnsi="Times New Roman"/>
          <w:b/>
        </w:rPr>
        <w:fldChar w:fldCharType="separate"/>
      </w:r>
      <w:r w:rsidR="004B1B6C">
        <w:rPr>
          <w:rFonts w:ascii="Times New Roman" w:hAnsi="Times New Roman"/>
          <w:b/>
          <w:noProof/>
          <w:lang w:val="es-AR"/>
        </w:rPr>
        <w:t>15</w:t>
      </w:r>
      <w:r w:rsidR="00081A23" w:rsidRPr="008C1ABC">
        <w:rPr>
          <w:rFonts w:ascii="Times New Roman" w:hAnsi="Times New Roman"/>
          <w:b/>
        </w:rPr>
        <w:fldChar w:fldCharType="end"/>
      </w:r>
      <w:r>
        <w:rPr>
          <w:rFonts w:ascii="Times New Roman" w:hAnsi="Times New Roman"/>
          <w:lang w:val="es-AR"/>
        </w:rPr>
        <w:t>. Beneficios esperados de un Sistema de Alerta Temprana</w:t>
      </w:r>
      <w:r w:rsidR="00360CE0">
        <w:rPr>
          <w:rFonts w:ascii="Times New Roman" w:hAnsi="Times New Roman"/>
          <w:lang w:val="es-AR"/>
        </w:rPr>
        <w:t xml:space="preserve"> frente a desbordamiento de ríos</w:t>
      </w:r>
      <w:r>
        <w:rPr>
          <w:rFonts w:ascii="Times New Roman" w:hAnsi="Times New Roman"/>
          <w:lang w:val="es-AR"/>
        </w:rPr>
        <w:t>.</w:t>
      </w:r>
    </w:p>
    <w:p w:rsidR="008457D9" w:rsidRDefault="008457D9" w:rsidP="00A7148D">
      <w:pPr>
        <w:ind w:firstLine="718"/>
        <w:jc w:val="both"/>
        <w:rPr>
          <w:rFonts w:ascii="Times New Roman" w:hAnsi="Times New Roman"/>
          <w:lang w:val="es-AR"/>
        </w:rPr>
      </w:pPr>
    </w:p>
    <w:tbl>
      <w:tblPr>
        <w:tblW w:w="7640" w:type="dxa"/>
        <w:jc w:val="center"/>
        <w:tblInd w:w="55" w:type="dxa"/>
        <w:tblCellMar>
          <w:left w:w="70" w:type="dxa"/>
          <w:right w:w="70" w:type="dxa"/>
        </w:tblCellMar>
        <w:tblLook w:val="04A0" w:firstRow="1" w:lastRow="0" w:firstColumn="1" w:lastColumn="0" w:noHBand="0" w:noVBand="1"/>
      </w:tblPr>
      <w:tblGrid>
        <w:gridCol w:w="3400"/>
        <w:gridCol w:w="1060"/>
        <w:gridCol w:w="1011"/>
        <w:gridCol w:w="1060"/>
        <w:gridCol w:w="1109"/>
      </w:tblGrid>
      <w:tr w:rsidR="00A7148D" w:rsidRPr="00A7148D" w:rsidTr="00A7148D">
        <w:trPr>
          <w:trHeight w:val="300"/>
          <w:jc w:val="center"/>
        </w:trPr>
        <w:tc>
          <w:tcPr>
            <w:tcW w:w="3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148D" w:rsidRPr="00A7148D" w:rsidRDefault="00A7148D" w:rsidP="00A7148D">
            <w:pPr>
              <w:jc w:val="center"/>
              <w:rPr>
                <w:rFonts w:ascii="Times New Roman" w:hAnsi="Times New Roman"/>
                <w:color w:val="000000"/>
                <w:lang w:val="es-AR" w:eastAsia="es-AR"/>
              </w:rPr>
            </w:pPr>
            <w:r w:rsidRPr="00A7148D">
              <w:rPr>
                <w:rFonts w:ascii="Times New Roman" w:hAnsi="Times New Roman"/>
                <w:color w:val="000000"/>
                <w:lang w:val="es-AR" w:eastAsia="es-AR"/>
              </w:rPr>
              <w:t>Conceptos</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148D" w:rsidRPr="00A7148D" w:rsidRDefault="00A7148D" w:rsidP="00A7148D">
            <w:pPr>
              <w:jc w:val="center"/>
              <w:rPr>
                <w:rFonts w:ascii="Times New Roman" w:hAnsi="Times New Roman"/>
                <w:color w:val="000000"/>
                <w:lang w:val="es-AR" w:eastAsia="es-AR"/>
              </w:rPr>
            </w:pPr>
            <w:r w:rsidRPr="00A7148D">
              <w:rPr>
                <w:rFonts w:ascii="Times New Roman" w:hAnsi="Times New Roman"/>
                <w:color w:val="000000"/>
                <w:lang w:val="es-AR" w:eastAsia="es-AR"/>
              </w:rPr>
              <w:t>Impacto</w:t>
            </w:r>
          </w:p>
        </w:tc>
        <w:tc>
          <w:tcPr>
            <w:tcW w:w="3180" w:type="dxa"/>
            <w:gridSpan w:val="3"/>
            <w:tcBorders>
              <w:top w:val="single" w:sz="4" w:space="0" w:color="auto"/>
              <w:left w:val="nil"/>
              <w:bottom w:val="single" w:sz="4" w:space="0" w:color="auto"/>
              <w:right w:val="single" w:sz="4" w:space="0" w:color="auto"/>
            </w:tcBorders>
            <w:shd w:val="clear" w:color="auto" w:fill="auto"/>
            <w:vAlign w:val="bottom"/>
            <w:hideMark/>
          </w:tcPr>
          <w:p w:rsidR="00A7148D" w:rsidRPr="00A7148D" w:rsidRDefault="00A7148D" w:rsidP="00A7148D">
            <w:pPr>
              <w:jc w:val="center"/>
              <w:rPr>
                <w:rFonts w:ascii="Times New Roman" w:hAnsi="Times New Roman"/>
                <w:color w:val="000000"/>
                <w:lang w:val="es-AR" w:eastAsia="es-AR"/>
              </w:rPr>
            </w:pPr>
            <w:r w:rsidRPr="00A7148D">
              <w:rPr>
                <w:rFonts w:ascii="Times New Roman" w:hAnsi="Times New Roman"/>
                <w:color w:val="000000"/>
                <w:lang w:val="es-AR" w:eastAsia="es-AR"/>
              </w:rPr>
              <w:t>Efecto SAT</w:t>
            </w:r>
          </w:p>
        </w:tc>
      </w:tr>
      <w:tr w:rsidR="00A7148D" w:rsidRPr="00A7148D" w:rsidTr="00A7148D">
        <w:trPr>
          <w:trHeight w:val="300"/>
          <w:jc w:val="center"/>
        </w:trPr>
        <w:tc>
          <w:tcPr>
            <w:tcW w:w="3400" w:type="dxa"/>
            <w:vMerge/>
            <w:tcBorders>
              <w:top w:val="single" w:sz="4" w:space="0" w:color="auto"/>
              <w:left w:val="single" w:sz="4" w:space="0" w:color="auto"/>
              <w:bottom w:val="single" w:sz="4" w:space="0" w:color="auto"/>
              <w:right w:val="single" w:sz="4" w:space="0" w:color="auto"/>
            </w:tcBorders>
            <w:vAlign w:val="center"/>
            <w:hideMark/>
          </w:tcPr>
          <w:p w:rsidR="00A7148D" w:rsidRPr="00A7148D" w:rsidRDefault="00A7148D" w:rsidP="00A7148D">
            <w:pPr>
              <w:rPr>
                <w:rFonts w:ascii="Times New Roman" w:hAnsi="Times New Roman"/>
                <w:color w:val="000000"/>
                <w:lang w:val="es-AR" w:eastAsia="es-AR"/>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A7148D" w:rsidRPr="00A7148D" w:rsidRDefault="00A7148D" w:rsidP="00A7148D">
            <w:pPr>
              <w:rPr>
                <w:rFonts w:ascii="Times New Roman" w:hAnsi="Times New Roman"/>
                <w:color w:val="000000"/>
                <w:lang w:val="es-AR" w:eastAsia="es-AR"/>
              </w:rPr>
            </w:pPr>
          </w:p>
        </w:tc>
        <w:tc>
          <w:tcPr>
            <w:tcW w:w="1011" w:type="dxa"/>
            <w:tcBorders>
              <w:top w:val="nil"/>
              <w:left w:val="nil"/>
              <w:bottom w:val="single" w:sz="4" w:space="0" w:color="auto"/>
              <w:right w:val="single" w:sz="4" w:space="0" w:color="auto"/>
            </w:tcBorders>
            <w:shd w:val="clear" w:color="auto" w:fill="auto"/>
            <w:noWrap/>
            <w:vAlign w:val="bottom"/>
            <w:hideMark/>
          </w:tcPr>
          <w:p w:rsidR="00A7148D" w:rsidRPr="00A7148D" w:rsidRDefault="00A7148D" w:rsidP="00A7148D">
            <w:pPr>
              <w:jc w:val="center"/>
              <w:rPr>
                <w:rFonts w:ascii="Times New Roman" w:hAnsi="Times New Roman"/>
                <w:color w:val="000000"/>
                <w:lang w:val="es-AR" w:eastAsia="es-AR"/>
              </w:rPr>
            </w:pPr>
            <w:r w:rsidRPr="00A7148D">
              <w:rPr>
                <w:rFonts w:ascii="Times New Roman" w:hAnsi="Times New Roman"/>
                <w:color w:val="000000"/>
                <w:lang w:val="es-AR" w:eastAsia="es-AR"/>
              </w:rPr>
              <w:t xml:space="preserve">Mínimo </w:t>
            </w:r>
          </w:p>
        </w:tc>
        <w:tc>
          <w:tcPr>
            <w:tcW w:w="1060" w:type="dxa"/>
            <w:tcBorders>
              <w:top w:val="nil"/>
              <w:left w:val="nil"/>
              <w:bottom w:val="single" w:sz="4" w:space="0" w:color="auto"/>
              <w:right w:val="single" w:sz="4" w:space="0" w:color="auto"/>
            </w:tcBorders>
            <w:shd w:val="clear" w:color="auto" w:fill="auto"/>
            <w:noWrap/>
            <w:vAlign w:val="bottom"/>
            <w:hideMark/>
          </w:tcPr>
          <w:p w:rsidR="00A7148D" w:rsidRPr="00A7148D" w:rsidRDefault="00A7148D" w:rsidP="00A7148D">
            <w:pPr>
              <w:jc w:val="center"/>
              <w:rPr>
                <w:rFonts w:ascii="Times New Roman" w:hAnsi="Times New Roman"/>
                <w:color w:val="000000"/>
                <w:lang w:val="es-AR" w:eastAsia="es-AR"/>
              </w:rPr>
            </w:pPr>
            <w:r w:rsidRPr="00A7148D">
              <w:rPr>
                <w:rFonts w:ascii="Times New Roman" w:hAnsi="Times New Roman"/>
                <w:color w:val="000000"/>
                <w:lang w:val="es-AR" w:eastAsia="es-AR"/>
              </w:rPr>
              <w:t>Máximo</w:t>
            </w:r>
          </w:p>
        </w:tc>
        <w:tc>
          <w:tcPr>
            <w:tcW w:w="1109" w:type="dxa"/>
            <w:tcBorders>
              <w:top w:val="nil"/>
              <w:left w:val="nil"/>
              <w:bottom w:val="single" w:sz="4" w:space="0" w:color="auto"/>
              <w:right w:val="single" w:sz="4" w:space="0" w:color="auto"/>
            </w:tcBorders>
            <w:shd w:val="clear" w:color="auto" w:fill="auto"/>
            <w:noWrap/>
            <w:vAlign w:val="bottom"/>
            <w:hideMark/>
          </w:tcPr>
          <w:p w:rsidR="00A7148D" w:rsidRPr="00A7148D" w:rsidRDefault="00A7148D" w:rsidP="00A7148D">
            <w:pPr>
              <w:jc w:val="center"/>
              <w:rPr>
                <w:rFonts w:ascii="Times New Roman" w:hAnsi="Times New Roman"/>
                <w:color w:val="000000"/>
                <w:lang w:val="es-AR" w:eastAsia="es-AR"/>
              </w:rPr>
            </w:pPr>
            <w:r w:rsidRPr="00A7148D">
              <w:rPr>
                <w:rFonts w:ascii="Times New Roman" w:hAnsi="Times New Roman"/>
                <w:color w:val="000000"/>
                <w:lang w:val="es-AR" w:eastAsia="es-AR"/>
              </w:rPr>
              <w:t>Probable</w:t>
            </w:r>
          </w:p>
        </w:tc>
      </w:tr>
      <w:tr w:rsidR="00A7148D" w:rsidRPr="00A7148D" w:rsidTr="00A7148D">
        <w:trPr>
          <w:trHeight w:val="300"/>
          <w:jc w:val="center"/>
        </w:trPr>
        <w:tc>
          <w:tcPr>
            <w:tcW w:w="3400" w:type="dxa"/>
            <w:tcBorders>
              <w:top w:val="single" w:sz="4" w:space="0" w:color="auto"/>
              <w:left w:val="single" w:sz="4" w:space="0" w:color="auto"/>
              <w:bottom w:val="nil"/>
              <w:right w:val="nil"/>
            </w:tcBorders>
            <w:shd w:val="clear" w:color="000000" w:fill="FFFFFF"/>
            <w:noWrap/>
            <w:vAlign w:val="bottom"/>
            <w:hideMark/>
          </w:tcPr>
          <w:p w:rsidR="00A7148D" w:rsidRPr="00A7148D" w:rsidRDefault="00A7148D" w:rsidP="00A7148D">
            <w:pPr>
              <w:rPr>
                <w:rFonts w:ascii="Times New Roman" w:hAnsi="Times New Roman"/>
                <w:color w:val="000000"/>
                <w:lang w:val="es-AR" w:eastAsia="es-AR"/>
              </w:rPr>
            </w:pPr>
            <w:r w:rsidRPr="00A7148D">
              <w:rPr>
                <w:rFonts w:ascii="Times New Roman" w:hAnsi="Times New Roman"/>
                <w:color w:val="000000"/>
                <w:lang w:val="es-AR" w:eastAsia="es-AR"/>
              </w:rPr>
              <w:t>Daños personales</w:t>
            </w:r>
          </w:p>
        </w:tc>
        <w:tc>
          <w:tcPr>
            <w:tcW w:w="1060" w:type="dxa"/>
            <w:tcBorders>
              <w:top w:val="single" w:sz="4" w:space="0" w:color="auto"/>
              <w:left w:val="nil"/>
              <w:bottom w:val="nil"/>
              <w:right w:val="nil"/>
            </w:tcBorders>
            <w:shd w:val="clear" w:color="000000" w:fill="FFFFFF"/>
            <w:noWrap/>
            <w:vAlign w:val="bottom"/>
            <w:hideMark/>
          </w:tcPr>
          <w:p w:rsidR="00A7148D" w:rsidRPr="00A7148D" w:rsidRDefault="00A7148D" w:rsidP="00A7148D">
            <w:pPr>
              <w:rPr>
                <w:rFonts w:ascii="Times New Roman" w:hAnsi="Times New Roman"/>
                <w:color w:val="000000"/>
                <w:lang w:val="es-AR" w:eastAsia="es-AR"/>
              </w:rPr>
            </w:pPr>
            <w:r w:rsidRPr="00A7148D">
              <w:rPr>
                <w:rFonts w:ascii="Times New Roman" w:hAnsi="Times New Roman"/>
                <w:color w:val="000000"/>
                <w:lang w:val="es-AR" w:eastAsia="es-AR"/>
              </w:rPr>
              <w:t> </w:t>
            </w:r>
          </w:p>
        </w:tc>
        <w:tc>
          <w:tcPr>
            <w:tcW w:w="1011" w:type="dxa"/>
            <w:tcBorders>
              <w:top w:val="single" w:sz="4" w:space="0" w:color="auto"/>
              <w:left w:val="nil"/>
              <w:bottom w:val="nil"/>
              <w:right w:val="nil"/>
            </w:tcBorders>
            <w:shd w:val="clear" w:color="000000" w:fill="FFFFFF"/>
            <w:noWrap/>
            <w:vAlign w:val="bottom"/>
            <w:hideMark/>
          </w:tcPr>
          <w:p w:rsidR="00A7148D" w:rsidRPr="00A7148D" w:rsidRDefault="00A7148D" w:rsidP="00A7148D">
            <w:pPr>
              <w:rPr>
                <w:rFonts w:ascii="Times New Roman" w:hAnsi="Times New Roman"/>
                <w:color w:val="000000"/>
                <w:lang w:val="es-AR" w:eastAsia="es-AR"/>
              </w:rPr>
            </w:pPr>
            <w:r w:rsidRPr="00A7148D">
              <w:rPr>
                <w:rFonts w:ascii="Times New Roman" w:hAnsi="Times New Roman"/>
                <w:color w:val="000000"/>
                <w:lang w:val="es-AR" w:eastAsia="es-AR"/>
              </w:rPr>
              <w:t> </w:t>
            </w:r>
          </w:p>
        </w:tc>
        <w:tc>
          <w:tcPr>
            <w:tcW w:w="1060" w:type="dxa"/>
            <w:tcBorders>
              <w:top w:val="single" w:sz="4" w:space="0" w:color="auto"/>
              <w:left w:val="nil"/>
              <w:bottom w:val="nil"/>
              <w:right w:val="nil"/>
            </w:tcBorders>
            <w:shd w:val="clear" w:color="000000" w:fill="FFFFFF"/>
            <w:noWrap/>
            <w:vAlign w:val="bottom"/>
            <w:hideMark/>
          </w:tcPr>
          <w:p w:rsidR="00A7148D" w:rsidRPr="00A7148D" w:rsidRDefault="00A7148D" w:rsidP="00A7148D">
            <w:pPr>
              <w:rPr>
                <w:rFonts w:ascii="Times New Roman" w:hAnsi="Times New Roman"/>
                <w:color w:val="000000"/>
                <w:lang w:val="es-AR" w:eastAsia="es-AR"/>
              </w:rPr>
            </w:pPr>
            <w:r w:rsidRPr="00A7148D">
              <w:rPr>
                <w:rFonts w:ascii="Times New Roman" w:hAnsi="Times New Roman"/>
                <w:color w:val="000000"/>
                <w:lang w:val="es-AR" w:eastAsia="es-AR"/>
              </w:rPr>
              <w:t> </w:t>
            </w:r>
          </w:p>
        </w:tc>
        <w:tc>
          <w:tcPr>
            <w:tcW w:w="1109" w:type="dxa"/>
            <w:tcBorders>
              <w:top w:val="single" w:sz="4" w:space="0" w:color="auto"/>
              <w:left w:val="nil"/>
              <w:bottom w:val="nil"/>
              <w:right w:val="single" w:sz="4" w:space="0" w:color="auto"/>
            </w:tcBorders>
            <w:shd w:val="clear" w:color="000000" w:fill="FFFFFF"/>
            <w:noWrap/>
            <w:vAlign w:val="bottom"/>
            <w:hideMark/>
          </w:tcPr>
          <w:p w:rsidR="00A7148D" w:rsidRPr="00A7148D" w:rsidRDefault="00A7148D" w:rsidP="00A7148D">
            <w:pPr>
              <w:rPr>
                <w:rFonts w:ascii="Times New Roman" w:hAnsi="Times New Roman"/>
                <w:color w:val="000000"/>
                <w:lang w:val="es-AR" w:eastAsia="es-AR"/>
              </w:rPr>
            </w:pPr>
            <w:r w:rsidRPr="00A7148D">
              <w:rPr>
                <w:rFonts w:ascii="Times New Roman" w:hAnsi="Times New Roman"/>
                <w:color w:val="000000"/>
                <w:lang w:val="es-AR" w:eastAsia="es-AR"/>
              </w:rPr>
              <w:t> </w:t>
            </w:r>
          </w:p>
        </w:tc>
      </w:tr>
      <w:tr w:rsidR="00A7148D" w:rsidRPr="00A7148D" w:rsidTr="00A7148D">
        <w:trPr>
          <w:trHeight w:val="300"/>
          <w:jc w:val="center"/>
        </w:trPr>
        <w:tc>
          <w:tcPr>
            <w:tcW w:w="3400" w:type="dxa"/>
            <w:tcBorders>
              <w:top w:val="nil"/>
              <w:left w:val="single" w:sz="4" w:space="0" w:color="auto"/>
              <w:bottom w:val="nil"/>
              <w:right w:val="nil"/>
            </w:tcBorders>
            <w:shd w:val="clear" w:color="000000" w:fill="FFFFFF"/>
            <w:noWrap/>
            <w:vAlign w:val="bottom"/>
            <w:hideMark/>
          </w:tcPr>
          <w:p w:rsidR="00A7148D" w:rsidRPr="00A7148D" w:rsidRDefault="00A7148D" w:rsidP="00A7148D">
            <w:pPr>
              <w:ind w:firstLineChars="100" w:firstLine="200"/>
              <w:rPr>
                <w:rFonts w:ascii="Times New Roman" w:hAnsi="Times New Roman"/>
                <w:color w:val="000000"/>
                <w:lang w:val="es-AR" w:eastAsia="es-AR"/>
              </w:rPr>
            </w:pPr>
            <w:r w:rsidRPr="00A7148D">
              <w:rPr>
                <w:rFonts w:ascii="Times New Roman" w:hAnsi="Times New Roman"/>
                <w:color w:val="000000"/>
                <w:lang w:val="es-AR" w:eastAsia="es-AR"/>
              </w:rPr>
              <w:t>Costos de Atención médica</w:t>
            </w:r>
          </w:p>
        </w:tc>
        <w:tc>
          <w:tcPr>
            <w:tcW w:w="1060" w:type="dxa"/>
            <w:tcBorders>
              <w:top w:val="nil"/>
              <w:left w:val="nil"/>
              <w:bottom w:val="nil"/>
              <w:right w:val="nil"/>
            </w:tcBorders>
            <w:shd w:val="clear" w:color="000000" w:fill="FFFFFF"/>
            <w:noWrap/>
            <w:vAlign w:val="bottom"/>
            <w:hideMark/>
          </w:tcPr>
          <w:p w:rsidR="00A7148D" w:rsidRPr="00A7148D" w:rsidRDefault="00A7148D" w:rsidP="00A7148D">
            <w:pPr>
              <w:rPr>
                <w:rFonts w:ascii="Times New Roman" w:hAnsi="Times New Roman"/>
                <w:color w:val="000000"/>
                <w:lang w:val="es-AR" w:eastAsia="es-AR"/>
              </w:rPr>
            </w:pPr>
            <w:r w:rsidRPr="00A7148D">
              <w:rPr>
                <w:rFonts w:ascii="Times New Roman" w:hAnsi="Times New Roman"/>
                <w:color w:val="000000"/>
                <w:lang w:val="es-AR" w:eastAsia="es-AR"/>
              </w:rPr>
              <w:t>Alto</w:t>
            </w:r>
          </w:p>
        </w:tc>
        <w:tc>
          <w:tcPr>
            <w:tcW w:w="1011" w:type="dxa"/>
            <w:tcBorders>
              <w:top w:val="nil"/>
              <w:left w:val="nil"/>
              <w:bottom w:val="nil"/>
              <w:right w:val="nil"/>
            </w:tcBorders>
            <w:shd w:val="clear" w:color="000000" w:fill="FFFFFF"/>
            <w:noWrap/>
            <w:vAlign w:val="bottom"/>
            <w:hideMark/>
          </w:tcPr>
          <w:p w:rsidR="00A7148D" w:rsidRPr="00A7148D" w:rsidRDefault="00A7148D" w:rsidP="00A7148D">
            <w:pPr>
              <w:jc w:val="right"/>
              <w:rPr>
                <w:rFonts w:ascii="Times New Roman" w:hAnsi="Times New Roman"/>
                <w:color w:val="000000"/>
                <w:lang w:val="es-AR" w:eastAsia="es-AR"/>
              </w:rPr>
            </w:pPr>
            <w:r w:rsidRPr="00A7148D">
              <w:rPr>
                <w:rFonts w:ascii="Times New Roman" w:hAnsi="Times New Roman"/>
                <w:color w:val="000000"/>
                <w:lang w:val="es-AR" w:eastAsia="es-AR"/>
              </w:rPr>
              <w:t>10%</w:t>
            </w:r>
          </w:p>
        </w:tc>
        <w:tc>
          <w:tcPr>
            <w:tcW w:w="1060" w:type="dxa"/>
            <w:tcBorders>
              <w:top w:val="nil"/>
              <w:left w:val="nil"/>
              <w:bottom w:val="nil"/>
              <w:right w:val="nil"/>
            </w:tcBorders>
            <w:shd w:val="clear" w:color="000000" w:fill="FFFFFF"/>
            <w:noWrap/>
            <w:vAlign w:val="bottom"/>
            <w:hideMark/>
          </w:tcPr>
          <w:p w:rsidR="00A7148D" w:rsidRPr="00A7148D" w:rsidRDefault="00A7148D" w:rsidP="00A7148D">
            <w:pPr>
              <w:jc w:val="right"/>
              <w:rPr>
                <w:rFonts w:ascii="Times New Roman" w:hAnsi="Times New Roman"/>
                <w:color w:val="000000"/>
                <w:lang w:val="es-AR" w:eastAsia="es-AR"/>
              </w:rPr>
            </w:pPr>
            <w:r w:rsidRPr="00A7148D">
              <w:rPr>
                <w:rFonts w:ascii="Times New Roman" w:hAnsi="Times New Roman"/>
                <w:color w:val="000000"/>
                <w:lang w:val="es-AR" w:eastAsia="es-AR"/>
              </w:rPr>
              <w:t>50%</w:t>
            </w:r>
          </w:p>
        </w:tc>
        <w:tc>
          <w:tcPr>
            <w:tcW w:w="1109" w:type="dxa"/>
            <w:tcBorders>
              <w:top w:val="nil"/>
              <w:left w:val="nil"/>
              <w:bottom w:val="nil"/>
              <w:right w:val="single" w:sz="4" w:space="0" w:color="auto"/>
            </w:tcBorders>
            <w:shd w:val="clear" w:color="000000" w:fill="FFFFFF"/>
            <w:noWrap/>
            <w:vAlign w:val="bottom"/>
            <w:hideMark/>
          </w:tcPr>
          <w:p w:rsidR="00A7148D" w:rsidRPr="00A7148D" w:rsidRDefault="00A7148D" w:rsidP="00A7148D">
            <w:pPr>
              <w:jc w:val="right"/>
              <w:rPr>
                <w:rFonts w:ascii="Times New Roman" w:hAnsi="Times New Roman"/>
                <w:color w:val="000000"/>
                <w:lang w:val="es-AR" w:eastAsia="es-AR"/>
              </w:rPr>
            </w:pPr>
            <w:r w:rsidRPr="00A7148D">
              <w:rPr>
                <w:rFonts w:ascii="Times New Roman" w:hAnsi="Times New Roman"/>
                <w:color w:val="000000"/>
                <w:lang w:val="es-AR" w:eastAsia="es-AR"/>
              </w:rPr>
              <w:t>30%</w:t>
            </w:r>
          </w:p>
        </w:tc>
      </w:tr>
      <w:tr w:rsidR="00A7148D" w:rsidRPr="00A7148D" w:rsidTr="00A7148D">
        <w:trPr>
          <w:trHeight w:val="300"/>
          <w:jc w:val="center"/>
        </w:trPr>
        <w:tc>
          <w:tcPr>
            <w:tcW w:w="3400" w:type="dxa"/>
            <w:tcBorders>
              <w:top w:val="nil"/>
              <w:left w:val="single" w:sz="4" w:space="0" w:color="auto"/>
              <w:bottom w:val="nil"/>
              <w:right w:val="nil"/>
            </w:tcBorders>
            <w:shd w:val="clear" w:color="000000" w:fill="FFFFFF"/>
            <w:noWrap/>
            <w:vAlign w:val="bottom"/>
            <w:hideMark/>
          </w:tcPr>
          <w:p w:rsidR="00A7148D" w:rsidRPr="00A7148D" w:rsidRDefault="00A7148D" w:rsidP="00A7148D">
            <w:pPr>
              <w:ind w:firstLineChars="100" w:firstLine="200"/>
              <w:rPr>
                <w:rFonts w:ascii="Times New Roman" w:hAnsi="Times New Roman"/>
                <w:color w:val="000000"/>
                <w:lang w:val="es-AR" w:eastAsia="es-AR"/>
              </w:rPr>
            </w:pPr>
            <w:r w:rsidRPr="00A7148D">
              <w:rPr>
                <w:rFonts w:ascii="Times New Roman" w:hAnsi="Times New Roman"/>
                <w:color w:val="000000"/>
                <w:lang w:val="es-AR" w:eastAsia="es-AR"/>
              </w:rPr>
              <w:t>Pérdida objetos y bienes  personales</w:t>
            </w:r>
          </w:p>
        </w:tc>
        <w:tc>
          <w:tcPr>
            <w:tcW w:w="1060" w:type="dxa"/>
            <w:tcBorders>
              <w:top w:val="nil"/>
              <w:left w:val="nil"/>
              <w:bottom w:val="nil"/>
              <w:right w:val="nil"/>
            </w:tcBorders>
            <w:shd w:val="clear" w:color="000000" w:fill="FFFFFF"/>
            <w:noWrap/>
            <w:vAlign w:val="bottom"/>
            <w:hideMark/>
          </w:tcPr>
          <w:p w:rsidR="00A7148D" w:rsidRPr="00A7148D" w:rsidRDefault="00A7148D" w:rsidP="00A7148D">
            <w:pPr>
              <w:rPr>
                <w:rFonts w:ascii="Times New Roman" w:hAnsi="Times New Roman"/>
                <w:color w:val="000000"/>
                <w:lang w:val="es-AR" w:eastAsia="es-AR"/>
              </w:rPr>
            </w:pPr>
            <w:r w:rsidRPr="00A7148D">
              <w:rPr>
                <w:rFonts w:ascii="Times New Roman" w:hAnsi="Times New Roman"/>
                <w:color w:val="000000"/>
                <w:lang w:val="es-AR" w:eastAsia="es-AR"/>
              </w:rPr>
              <w:t>Alto</w:t>
            </w:r>
          </w:p>
        </w:tc>
        <w:tc>
          <w:tcPr>
            <w:tcW w:w="1011" w:type="dxa"/>
            <w:tcBorders>
              <w:top w:val="nil"/>
              <w:left w:val="nil"/>
              <w:bottom w:val="nil"/>
              <w:right w:val="nil"/>
            </w:tcBorders>
            <w:shd w:val="clear" w:color="000000" w:fill="FFFFFF"/>
            <w:noWrap/>
            <w:vAlign w:val="bottom"/>
            <w:hideMark/>
          </w:tcPr>
          <w:p w:rsidR="00A7148D" w:rsidRPr="00A7148D" w:rsidRDefault="00A7148D" w:rsidP="00A7148D">
            <w:pPr>
              <w:jc w:val="right"/>
              <w:rPr>
                <w:rFonts w:ascii="Times New Roman" w:hAnsi="Times New Roman"/>
                <w:color w:val="000000"/>
                <w:lang w:val="es-AR" w:eastAsia="es-AR"/>
              </w:rPr>
            </w:pPr>
            <w:r w:rsidRPr="00A7148D">
              <w:rPr>
                <w:rFonts w:ascii="Times New Roman" w:hAnsi="Times New Roman"/>
                <w:color w:val="000000"/>
                <w:lang w:val="es-AR" w:eastAsia="es-AR"/>
              </w:rPr>
              <w:t>20%</w:t>
            </w:r>
          </w:p>
        </w:tc>
        <w:tc>
          <w:tcPr>
            <w:tcW w:w="1060" w:type="dxa"/>
            <w:tcBorders>
              <w:top w:val="nil"/>
              <w:left w:val="nil"/>
              <w:bottom w:val="nil"/>
              <w:right w:val="nil"/>
            </w:tcBorders>
            <w:shd w:val="clear" w:color="000000" w:fill="FFFFFF"/>
            <w:noWrap/>
            <w:vAlign w:val="bottom"/>
            <w:hideMark/>
          </w:tcPr>
          <w:p w:rsidR="00A7148D" w:rsidRPr="00A7148D" w:rsidRDefault="00A7148D" w:rsidP="00A7148D">
            <w:pPr>
              <w:jc w:val="right"/>
              <w:rPr>
                <w:rFonts w:ascii="Times New Roman" w:hAnsi="Times New Roman"/>
                <w:color w:val="000000"/>
                <w:lang w:val="es-AR" w:eastAsia="es-AR"/>
              </w:rPr>
            </w:pPr>
            <w:r w:rsidRPr="00A7148D">
              <w:rPr>
                <w:rFonts w:ascii="Times New Roman" w:hAnsi="Times New Roman"/>
                <w:color w:val="000000"/>
                <w:lang w:val="es-AR" w:eastAsia="es-AR"/>
              </w:rPr>
              <w:t>55%</w:t>
            </w:r>
          </w:p>
        </w:tc>
        <w:tc>
          <w:tcPr>
            <w:tcW w:w="1109" w:type="dxa"/>
            <w:tcBorders>
              <w:top w:val="nil"/>
              <w:left w:val="nil"/>
              <w:bottom w:val="nil"/>
              <w:right w:val="single" w:sz="4" w:space="0" w:color="auto"/>
            </w:tcBorders>
            <w:shd w:val="clear" w:color="000000" w:fill="FFFFFF"/>
            <w:noWrap/>
            <w:vAlign w:val="bottom"/>
            <w:hideMark/>
          </w:tcPr>
          <w:p w:rsidR="00A7148D" w:rsidRPr="00A7148D" w:rsidRDefault="00A7148D" w:rsidP="00A7148D">
            <w:pPr>
              <w:jc w:val="right"/>
              <w:rPr>
                <w:rFonts w:ascii="Times New Roman" w:hAnsi="Times New Roman"/>
                <w:color w:val="000000"/>
                <w:lang w:val="es-AR" w:eastAsia="es-AR"/>
              </w:rPr>
            </w:pPr>
            <w:r w:rsidRPr="00A7148D">
              <w:rPr>
                <w:rFonts w:ascii="Times New Roman" w:hAnsi="Times New Roman"/>
                <w:color w:val="000000"/>
                <w:lang w:val="es-AR" w:eastAsia="es-AR"/>
              </w:rPr>
              <w:t>40%</w:t>
            </w:r>
          </w:p>
        </w:tc>
      </w:tr>
      <w:tr w:rsidR="00A7148D" w:rsidRPr="00A7148D" w:rsidTr="00A7148D">
        <w:trPr>
          <w:trHeight w:val="300"/>
          <w:jc w:val="center"/>
        </w:trPr>
        <w:tc>
          <w:tcPr>
            <w:tcW w:w="3400" w:type="dxa"/>
            <w:tcBorders>
              <w:top w:val="nil"/>
              <w:left w:val="single" w:sz="4" w:space="0" w:color="auto"/>
              <w:bottom w:val="nil"/>
              <w:right w:val="nil"/>
            </w:tcBorders>
            <w:shd w:val="clear" w:color="000000" w:fill="FFFFFF"/>
            <w:noWrap/>
            <w:vAlign w:val="bottom"/>
            <w:hideMark/>
          </w:tcPr>
          <w:p w:rsidR="00A7148D" w:rsidRPr="00A7148D" w:rsidRDefault="00A7148D" w:rsidP="00A7148D">
            <w:pPr>
              <w:ind w:firstLineChars="100" w:firstLine="200"/>
              <w:rPr>
                <w:rFonts w:ascii="Times New Roman" w:hAnsi="Times New Roman"/>
                <w:color w:val="000000"/>
                <w:lang w:val="es-AR" w:eastAsia="es-AR"/>
              </w:rPr>
            </w:pPr>
            <w:r w:rsidRPr="00A7148D">
              <w:rPr>
                <w:rFonts w:ascii="Times New Roman" w:hAnsi="Times New Roman"/>
                <w:color w:val="000000"/>
                <w:lang w:val="es-AR" w:eastAsia="es-AR"/>
              </w:rPr>
              <w:t xml:space="preserve">Costo de </w:t>
            </w:r>
            <w:r w:rsidR="00673163" w:rsidRPr="00A7148D">
              <w:rPr>
                <w:rFonts w:ascii="Times New Roman" w:hAnsi="Times New Roman"/>
                <w:color w:val="000000"/>
                <w:lang w:val="es-AR" w:eastAsia="es-AR"/>
              </w:rPr>
              <w:t>evacuación</w:t>
            </w:r>
          </w:p>
        </w:tc>
        <w:tc>
          <w:tcPr>
            <w:tcW w:w="1060" w:type="dxa"/>
            <w:tcBorders>
              <w:top w:val="nil"/>
              <w:left w:val="nil"/>
              <w:bottom w:val="nil"/>
              <w:right w:val="nil"/>
            </w:tcBorders>
            <w:shd w:val="clear" w:color="000000" w:fill="FFFFFF"/>
            <w:noWrap/>
            <w:vAlign w:val="bottom"/>
            <w:hideMark/>
          </w:tcPr>
          <w:p w:rsidR="00A7148D" w:rsidRPr="00A7148D" w:rsidRDefault="00A7148D" w:rsidP="00A7148D">
            <w:pPr>
              <w:rPr>
                <w:rFonts w:ascii="Times New Roman" w:hAnsi="Times New Roman"/>
                <w:color w:val="000000"/>
                <w:lang w:val="es-AR" w:eastAsia="es-AR"/>
              </w:rPr>
            </w:pPr>
            <w:r w:rsidRPr="00A7148D">
              <w:rPr>
                <w:rFonts w:ascii="Times New Roman" w:hAnsi="Times New Roman"/>
                <w:color w:val="000000"/>
                <w:lang w:val="es-AR" w:eastAsia="es-AR"/>
              </w:rPr>
              <w:t>Nulo</w:t>
            </w:r>
          </w:p>
        </w:tc>
        <w:tc>
          <w:tcPr>
            <w:tcW w:w="1011" w:type="dxa"/>
            <w:tcBorders>
              <w:top w:val="nil"/>
              <w:left w:val="nil"/>
              <w:bottom w:val="nil"/>
              <w:right w:val="nil"/>
            </w:tcBorders>
            <w:shd w:val="clear" w:color="000000" w:fill="FFFFFF"/>
            <w:noWrap/>
            <w:vAlign w:val="bottom"/>
            <w:hideMark/>
          </w:tcPr>
          <w:p w:rsidR="00A7148D" w:rsidRPr="00A7148D" w:rsidRDefault="00A7148D" w:rsidP="00A7148D">
            <w:pPr>
              <w:jc w:val="right"/>
              <w:rPr>
                <w:rFonts w:ascii="Times New Roman" w:hAnsi="Times New Roman"/>
                <w:color w:val="000000"/>
                <w:lang w:val="es-AR" w:eastAsia="es-AR"/>
              </w:rPr>
            </w:pPr>
            <w:r w:rsidRPr="00A7148D">
              <w:rPr>
                <w:rFonts w:ascii="Times New Roman" w:hAnsi="Times New Roman"/>
                <w:color w:val="000000"/>
                <w:lang w:val="es-AR" w:eastAsia="es-AR"/>
              </w:rPr>
              <w:t>0%</w:t>
            </w:r>
          </w:p>
        </w:tc>
        <w:tc>
          <w:tcPr>
            <w:tcW w:w="1060" w:type="dxa"/>
            <w:tcBorders>
              <w:top w:val="nil"/>
              <w:left w:val="nil"/>
              <w:bottom w:val="nil"/>
              <w:right w:val="nil"/>
            </w:tcBorders>
            <w:shd w:val="clear" w:color="000000" w:fill="FFFFFF"/>
            <w:noWrap/>
            <w:vAlign w:val="bottom"/>
            <w:hideMark/>
          </w:tcPr>
          <w:p w:rsidR="00A7148D" w:rsidRPr="00A7148D" w:rsidRDefault="00A7148D" w:rsidP="00A7148D">
            <w:pPr>
              <w:jc w:val="right"/>
              <w:rPr>
                <w:rFonts w:ascii="Times New Roman" w:hAnsi="Times New Roman"/>
                <w:color w:val="000000"/>
                <w:lang w:val="es-AR" w:eastAsia="es-AR"/>
              </w:rPr>
            </w:pPr>
            <w:r w:rsidRPr="00A7148D">
              <w:rPr>
                <w:rFonts w:ascii="Times New Roman" w:hAnsi="Times New Roman"/>
                <w:color w:val="000000"/>
                <w:lang w:val="es-AR" w:eastAsia="es-AR"/>
              </w:rPr>
              <w:t>0%</w:t>
            </w:r>
          </w:p>
        </w:tc>
        <w:tc>
          <w:tcPr>
            <w:tcW w:w="1109" w:type="dxa"/>
            <w:tcBorders>
              <w:top w:val="nil"/>
              <w:left w:val="nil"/>
              <w:bottom w:val="nil"/>
              <w:right w:val="single" w:sz="4" w:space="0" w:color="auto"/>
            </w:tcBorders>
            <w:shd w:val="clear" w:color="000000" w:fill="FFFFFF"/>
            <w:noWrap/>
            <w:vAlign w:val="bottom"/>
            <w:hideMark/>
          </w:tcPr>
          <w:p w:rsidR="00A7148D" w:rsidRPr="00A7148D" w:rsidRDefault="00A7148D" w:rsidP="00A7148D">
            <w:pPr>
              <w:jc w:val="right"/>
              <w:rPr>
                <w:rFonts w:ascii="Times New Roman" w:hAnsi="Times New Roman"/>
                <w:color w:val="000000"/>
                <w:lang w:val="es-AR" w:eastAsia="es-AR"/>
              </w:rPr>
            </w:pPr>
            <w:r w:rsidRPr="00A7148D">
              <w:rPr>
                <w:rFonts w:ascii="Times New Roman" w:hAnsi="Times New Roman"/>
                <w:color w:val="000000"/>
                <w:lang w:val="es-AR" w:eastAsia="es-AR"/>
              </w:rPr>
              <w:t>0%</w:t>
            </w:r>
          </w:p>
        </w:tc>
      </w:tr>
      <w:tr w:rsidR="00A7148D" w:rsidRPr="00A7148D" w:rsidTr="00A7148D">
        <w:trPr>
          <w:trHeight w:val="165"/>
          <w:jc w:val="center"/>
        </w:trPr>
        <w:tc>
          <w:tcPr>
            <w:tcW w:w="3400" w:type="dxa"/>
            <w:tcBorders>
              <w:top w:val="nil"/>
              <w:left w:val="single" w:sz="4" w:space="0" w:color="auto"/>
              <w:bottom w:val="nil"/>
              <w:right w:val="nil"/>
            </w:tcBorders>
            <w:shd w:val="clear" w:color="000000" w:fill="FFFFFF"/>
            <w:noWrap/>
            <w:vAlign w:val="bottom"/>
            <w:hideMark/>
          </w:tcPr>
          <w:p w:rsidR="00A7148D" w:rsidRPr="00A7148D" w:rsidRDefault="00A7148D" w:rsidP="00A7148D">
            <w:pPr>
              <w:rPr>
                <w:rFonts w:ascii="Times New Roman" w:hAnsi="Times New Roman"/>
                <w:color w:val="000000"/>
                <w:lang w:val="es-AR" w:eastAsia="es-AR"/>
              </w:rPr>
            </w:pPr>
            <w:r w:rsidRPr="00A7148D">
              <w:rPr>
                <w:rFonts w:ascii="Times New Roman" w:hAnsi="Times New Roman"/>
                <w:color w:val="000000"/>
                <w:lang w:val="es-AR" w:eastAsia="es-AR"/>
              </w:rPr>
              <w:t> </w:t>
            </w:r>
          </w:p>
        </w:tc>
        <w:tc>
          <w:tcPr>
            <w:tcW w:w="1060" w:type="dxa"/>
            <w:tcBorders>
              <w:top w:val="nil"/>
              <w:left w:val="nil"/>
              <w:bottom w:val="nil"/>
              <w:right w:val="nil"/>
            </w:tcBorders>
            <w:shd w:val="clear" w:color="000000" w:fill="FFFFFF"/>
            <w:noWrap/>
            <w:vAlign w:val="bottom"/>
            <w:hideMark/>
          </w:tcPr>
          <w:p w:rsidR="00A7148D" w:rsidRPr="00A7148D" w:rsidRDefault="00A7148D" w:rsidP="00A7148D">
            <w:pPr>
              <w:rPr>
                <w:rFonts w:ascii="Times New Roman" w:hAnsi="Times New Roman"/>
                <w:color w:val="000000"/>
                <w:lang w:val="es-AR" w:eastAsia="es-AR"/>
              </w:rPr>
            </w:pPr>
            <w:r w:rsidRPr="00A7148D">
              <w:rPr>
                <w:rFonts w:ascii="Times New Roman" w:hAnsi="Times New Roman"/>
                <w:color w:val="000000"/>
                <w:lang w:val="es-AR" w:eastAsia="es-AR"/>
              </w:rPr>
              <w:t> </w:t>
            </w:r>
          </w:p>
        </w:tc>
        <w:tc>
          <w:tcPr>
            <w:tcW w:w="1011" w:type="dxa"/>
            <w:tcBorders>
              <w:top w:val="nil"/>
              <w:left w:val="nil"/>
              <w:bottom w:val="nil"/>
              <w:right w:val="nil"/>
            </w:tcBorders>
            <w:shd w:val="clear" w:color="000000" w:fill="FFFFFF"/>
            <w:noWrap/>
            <w:vAlign w:val="bottom"/>
            <w:hideMark/>
          </w:tcPr>
          <w:p w:rsidR="00A7148D" w:rsidRPr="00A7148D" w:rsidRDefault="00A7148D" w:rsidP="00A7148D">
            <w:pPr>
              <w:rPr>
                <w:rFonts w:ascii="Times New Roman" w:hAnsi="Times New Roman"/>
                <w:color w:val="000000"/>
                <w:lang w:val="es-AR" w:eastAsia="es-AR"/>
              </w:rPr>
            </w:pPr>
            <w:r w:rsidRPr="00A7148D">
              <w:rPr>
                <w:rFonts w:ascii="Times New Roman" w:hAnsi="Times New Roman"/>
                <w:color w:val="000000"/>
                <w:lang w:val="es-AR" w:eastAsia="es-AR"/>
              </w:rPr>
              <w:t> </w:t>
            </w:r>
          </w:p>
        </w:tc>
        <w:tc>
          <w:tcPr>
            <w:tcW w:w="1060" w:type="dxa"/>
            <w:tcBorders>
              <w:top w:val="nil"/>
              <w:left w:val="nil"/>
              <w:bottom w:val="nil"/>
              <w:right w:val="nil"/>
            </w:tcBorders>
            <w:shd w:val="clear" w:color="000000" w:fill="FFFFFF"/>
            <w:noWrap/>
            <w:vAlign w:val="bottom"/>
            <w:hideMark/>
          </w:tcPr>
          <w:p w:rsidR="00A7148D" w:rsidRPr="00A7148D" w:rsidRDefault="00A7148D" w:rsidP="00A7148D">
            <w:pPr>
              <w:rPr>
                <w:rFonts w:ascii="Times New Roman" w:hAnsi="Times New Roman"/>
                <w:color w:val="000000"/>
                <w:lang w:val="es-AR" w:eastAsia="es-AR"/>
              </w:rPr>
            </w:pPr>
            <w:r w:rsidRPr="00A7148D">
              <w:rPr>
                <w:rFonts w:ascii="Times New Roman" w:hAnsi="Times New Roman"/>
                <w:color w:val="000000"/>
                <w:lang w:val="es-AR" w:eastAsia="es-AR"/>
              </w:rPr>
              <w:t> </w:t>
            </w:r>
          </w:p>
        </w:tc>
        <w:tc>
          <w:tcPr>
            <w:tcW w:w="1109" w:type="dxa"/>
            <w:tcBorders>
              <w:top w:val="nil"/>
              <w:left w:val="nil"/>
              <w:bottom w:val="nil"/>
              <w:right w:val="single" w:sz="4" w:space="0" w:color="auto"/>
            </w:tcBorders>
            <w:shd w:val="clear" w:color="000000" w:fill="FFFFFF"/>
            <w:noWrap/>
            <w:vAlign w:val="bottom"/>
            <w:hideMark/>
          </w:tcPr>
          <w:p w:rsidR="00A7148D" w:rsidRPr="00A7148D" w:rsidRDefault="00A7148D" w:rsidP="00A7148D">
            <w:pPr>
              <w:rPr>
                <w:rFonts w:ascii="Times New Roman" w:hAnsi="Times New Roman"/>
                <w:color w:val="000000"/>
                <w:lang w:val="es-AR" w:eastAsia="es-AR"/>
              </w:rPr>
            </w:pPr>
            <w:r w:rsidRPr="00A7148D">
              <w:rPr>
                <w:rFonts w:ascii="Times New Roman" w:hAnsi="Times New Roman"/>
                <w:color w:val="000000"/>
                <w:lang w:val="es-AR" w:eastAsia="es-AR"/>
              </w:rPr>
              <w:t> </w:t>
            </w:r>
          </w:p>
        </w:tc>
      </w:tr>
      <w:tr w:rsidR="00A7148D" w:rsidRPr="00A7148D" w:rsidTr="00A7148D">
        <w:trPr>
          <w:trHeight w:val="300"/>
          <w:jc w:val="center"/>
        </w:trPr>
        <w:tc>
          <w:tcPr>
            <w:tcW w:w="3400" w:type="dxa"/>
            <w:tcBorders>
              <w:top w:val="nil"/>
              <w:left w:val="single" w:sz="4" w:space="0" w:color="auto"/>
              <w:bottom w:val="nil"/>
              <w:right w:val="nil"/>
            </w:tcBorders>
            <w:shd w:val="clear" w:color="000000" w:fill="FFFFFF"/>
            <w:noWrap/>
            <w:vAlign w:val="bottom"/>
            <w:hideMark/>
          </w:tcPr>
          <w:p w:rsidR="00A7148D" w:rsidRPr="00A7148D" w:rsidRDefault="00A7148D" w:rsidP="00A7148D">
            <w:pPr>
              <w:rPr>
                <w:rFonts w:ascii="Times New Roman" w:hAnsi="Times New Roman"/>
                <w:color w:val="000000"/>
                <w:lang w:val="es-AR" w:eastAsia="es-AR"/>
              </w:rPr>
            </w:pPr>
            <w:r w:rsidRPr="00A7148D">
              <w:rPr>
                <w:rFonts w:ascii="Times New Roman" w:hAnsi="Times New Roman"/>
                <w:color w:val="000000"/>
                <w:lang w:val="es-AR" w:eastAsia="es-AR"/>
              </w:rPr>
              <w:t>Pérdidas en actividad</w:t>
            </w:r>
          </w:p>
        </w:tc>
        <w:tc>
          <w:tcPr>
            <w:tcW w:w="1060" w:type="dxa"/>
            <w:tcBorders>
              <w:top w:val="nil"/>
              <w:left w:val="nil"/>
              <w:bottom w:val="nil"/>
              <w:right w:val="nil"/>
            </w:tcBorders>
            <w:shd w:val="clear" w:color="000000" w:fill="FFFFFF"/>
            <w:noWrap/>
            <w:vAlign w:val="bottom"/>
            <w:hideMark/>
          </w:tcPr>
          <w:p w:rsidR="00A7148D" w:rsidRPr="00A7148D" w:rsidRDefault="00A7148D" w:rsidP="00A7148D">
            <w:pPr>
              <w:rPr>
                <w:rFonts w:ascii="Times New Roman" w:hAnsi="Times New Roman"/>
                <w:color w:val="000000"/>
                <w:lang w:val="es-AR" w:eastAsia="es-AR"/>
              </w:rPr>
            </w:pPr>
            <w:r w:rsidRPr="00A7148D">
              <w:rPr>
                <w:rFonts w:ascii="Times New Roman" w:hAnsi="Times New Roman"/>
                <w:color w:val="000000"/>
                <w:lang w:val="es-AR" w:eastAsia="es-AR"/>
              </w:rPr>
              <w:t> </w:t>
            </w:r>
          </w:p>
        </w:tc>
        <w:tc>
          <w:tcPr>
            <w:tcW w:w="1011" w:type="dxa"/>
            <w:tcBorders>
              <w:top w:val="nil"/>
              <w:left w:val="nil"/>
              <w:bottom w:val="nil"/>
              <w:right w:val="nil"/>
            </w:tcBorders>
            <w:shd w:val="clear" w:color="000000" w:fill="FFFFFF"/>
            <w:noWrap/>
            <w:vAlign w:val="bottom"/>
            <w:hideMark/>
          </w:tcPr>
          <w:p w:rsidR="00A7148D" w:rsidRPr="00A7148D" w:rsidRDefault="00A7148D" w:rsidP="00A7148D">
            <w:pPr>
              <w:rPr>
                <w:rFonts w:ascii="Times New Roman" w:hAnsi="Times New Roman"/>
                <w:color w:val="000000"/>
                <w:lang w:val="es-AR" w:eastAsia="es-AR"/>
              </w:rPr>
            </w:pPr>
            <w:r w:rsidRPr="00A7148D">
              <w:rPr>
                <w:rFonts w:ascii="Times New Roman" w:hAnsi="Times New Roman"/>
                <w:color w:val="000000"/>
                <w:lang w:val="es-AR" w:eastAsia="es-AR"/>
              </w:rPr>
              <w:t> </w:t>
            </w:r>
          </w:p>
        </w:tc>
        <w:tc>
          <w:tcPr>
            <w:tcW w:w="1060" w:type="dxa"/>
            <w:tcBorders>
              <w:top w:val="nil"/>
              <w:left w:val="nil"/>
              <w:bottom w:val="nil"/>
              <w:right w:val="nil"/>
            </w:tcBorders>
            <w:shd w:val="clear" w:color="000000" w:fill="FFFFFF"/>
            <w:noWrap/>
            <w:vAlign w:val="bottom"/>
            <w:hideMark/>
          </w:tcPr>
          <w:p w:rsidR="00A7148D" w:rsidRPr="00A7148D" w:rsidRDefault="00A7148D" w:rsidP="00A7148D">
            <w:pPr>
              <w:rPr>
                <w:rFonts w:ascii="Times New Roman" w:hAnsi="Times New Roman"/>
                <w:color w:val="000000"/>
                <w:lang w:val="es-AR" w:eastAsia="es-AR"/>
              </w:rPr>
            </w:pPr>
            <w:r w:rsidRPr="00A7148D">
              <w:rPr>
                <w:rFonts w:ascii="Times New Roman" w:hAnsi="Times New Roman"/>
                <w:color w:val="000000"/>
                <w:lang w:val="es-AR" w:eastAsia="es-AR"/>
              </w:rPr>
              <w:t> </w:t>
            </w:r>
          </w:p>
        </w:tc>
        <w:tc>
          <w:tcPr>
            <w:tcW w:w="1109" w:type="dxa"/>
            <w:tcBorders>
              <w:top w:val="nil"/>
              <w:left w:val="nil"/>
              <w:bottom w:val="nil"/>
              <w:right w:val="single" w:sz="4" w:space="0" w:color="auto"/>
            </w:tcBorders>
            <w:shd w:val="clear" w:color="000000" w:fill="FFFFFF"/>
            <w:noWrap/>
            <w:vAlign w:val="bottom"/>
            <w:hideMark/>
          </w:tcPr>
          <w:p w:rsidR="00A7148D" w:rsidRPr="00A7148D" w:rsidRDefault="00A7148D" w:rsidP="00A7148D">
            <w:pPr>
              <w:rPr>
                <w:rFonts w:ascii="Times New Roman" w:hAnsi="Times New Roman"/>
                <w:color w:val="000000"/>
                <w:lang w:val="es-AR" w:eastAsia="es-AR"/>
              </w:rPr>
            </w:pPr>
            <w:r w:rsidRPr="00A7148D">
              <w:rPr>
                <w:rFonts w:ascii="Times New Roman" w:hAnsi="Times New Roman"/>
                <w:color w:val="000000"/>
                <w:lang w:val="es-AR" w:eastAsia="es-AR"/>
              </w:rPr>
              <w:t> </w:t>
            </w:r>
          </w:p>
        </w:tc>
      </w:tr>
      <w:tr w:rsidR="00A7148D" w:rsidRPr="00A7148D" w:rsidTr="00A7148D">
        <w:trPr>
          <w:trHeight w:val="300"/>
          <w:jc w:val="center"/>
        </w:trPr>
        <w:tc>
          <w:tcPr>
            <w:tcW w:w="3400" w:type="dxa"/>
            <w:tcBorders>
              <w:top w:val="nil"/>
              <w:left w:val="single" w:sz="4" w:space="0" w:color="auto"/>
              <w:bottom w:val="nil"/>
              <w:right w:val="nil"/>
            </w:tcBorders>
            <w:shd w:val="clear" w:color="000000" w:fill="FFFFFF"/>
            <w:noWrap/>
            <w:vAlign w:val="bottom"/>
            <w:hideMark/>
          </w:tcPr>
          <w:p w:rsidR="00A7148D" w:rsidRPr="00A7148D" w:rsidRDefault="00A7148D" w:rsidP="00A7148D">
            <w:pPr>
              <w:ind w:firstLineChars="100" w:firstLine="200"/>
              <w:rPr>
                <w:rFonts w:ascii="Times New Roman" w:hAnsi="Times New Roman"/>
                <w:color w:val="000000"/>
                <w:lang w:val="es-AR" w:eastAsia="es-AR"/>
              </w:rPr>
            </w:pPr>
            <w:r w:rsidRPr="00A7148D">
              <w:rPr>
                <w:rFonts w:ascii="Times New Roman" w:hAnsi="Times New Roman"/>
                <w:color w:val="000000"/>
                <w:lang w:val="es-AR" w:eastAsia="es-AR"/>
              </w:rPr>
              <w:t>Compañías grandes</w:t>
            </w:r>
          </w:p>
        </w:tc>
        <w:tc>
          <w:tcPr>
            <w:tcW w:w="1060" w:type="dxa"/>
            <w:tcBorders>
              <w:top w:val="nil"/>
              <w:left w:val="nil"/>
              <w:bottom w:val="nil"/>
              <w:right w:val="nil"/>
            </w:tcBorders>
            <w:shd w:val="clear" w:color="000000" w:fill="FFFFFF"/>
            <w:noWrap/>
            <w:vAlign w:val="bottom"/>
            <w:hideMark/>
          </w:tcPr>
          <w:p w:rsidR="00A7148D" w:rsidRPr="00A7148D" w:rsidRDefault="00A7148D" w:rsidP="00A7148D">
            <w:pPr>
              <w:rPr>
                <w:rFonts w:ascii="Times New Roman" w:hAnsi="Times New Roman"/>
                <w:color w:val="000000"/>
                <w:lang w:val="es-AR" w:eastAsia="es-AR"/>
              </w:rPr>
            </w:pPr>
            <w:r w:rsidRPr="00A7148D">
              <w:rPr>
                <w:rFonts w:ascii="Times New Roman" w:hAnsi="Times New Roman"/>
                <w:color w:val="000000"/>
                <w:lang w:val="es-AR" w:eastAsia="es-AR"/>
              </w:rPr>
              <w:t>Medio</w:t>
            </w:r>
          </w:p>
        </w:tc>
        <w:tc>
          <w:tcPr>
            <w:tcW w:w="1011" w:type="dxa"/>
            <w:tcBorders>
              <w:top w:val="nil"/>
              <w:left w:val="nil"/>
              <w:bottom w:val="nil"/>
              <w:right w:val="nil"/>
            </w:tcBorders>
            <w:shd w:val="clear" w:color="000000" w:fill="FFFFFF"/>
            <w:noWrap/>
            <w:vAlign w:val="bottom"/>
            <w:hideMark/>
          </w:tcPr>
          <w:p w:rsidR="00A7148D" w:rsidRPr="00A7148D" w:rsidRDefault="00A7148D" w:rsidP="00A7148D">
            <w:pPr>
              <w:jc w:val="right"/>
              <w:rPr>
                <w:rFonts w:ascii="Times New Roman" w:hAnsi="Times New Roman"/>
                <w:color w:val="000000"/>
                <w:lang w:val="es-AR" w:eastAsia="es-AR"/>
              </w:rPr>
            </w:pPr>
            <w:r w:rsidRPr="00A7148D">
              <w:rPr>
                <w:rFonts w:ascii="Times New Roman" w:hAnsi="Times New Roman"/>
                <w:color w:val="000000"/>
                <w:lang w:val="es-AR" w:eastAsia="es-AR"/>
              </w:rPr>
              <w:t>10%</w:t>
            </w:r>
          </w:p>
        </w:tc>
        <w:tc>
          <w:tcPr>
            <w:tcW w:w="1060" w:type="dxa"/>
            <w:tcBorders>
              <w:top w:val="nil"/>
              <w:left w:val="nil"/>
              <w:bottom w:val="nil"/>
              <w:right w:val="nil"/>
            </w:tcBorders>
            <w:shd w:val="clear" w:color="000000" w:fill="FFFFFF"/>
            <w:noWrap/>
            <w:vAlign w:val="bottom"/>
            <w:hideMark/>
          </w:tcPr>
          <w:p w:rsidR="00A7148D" w:rsidRPr="00A7148D" w:rsidRDefault="00A7148D" w:rsidP="00A7148D">
            <w:pPr>
              <w:jc w:val="right"/>
              <w:rPr>
                <w:rFonts w:ascii="Times New Roman" w:hAnsi="Times New Roman"/>
                <w:color w:val="000000"/>
                <w:lang w:val="es-AR" w:eastAsia="es-AR"/>
              </w:rPr>
            </w:pPr>
            <w:r w:rsidRPr="00A7148D">
              <w:rPr>
                <w:rFonts w:ascii="Times New Roman" w:hAnsi="Times New Roman"/>
                <w:color w:val="000000"/>
                <w:lang w:val="es-AR" w:eastAsia="es-AR"/>
              </w:rPr>
              <w:t>50%</w:t>
            </w:r>
          </w:p>
        </w:tc>
        <w:tc>
          <w:tcPr>
            <w:tcW w:w="1109" w:type="dxa"/>
            <w:tcBorders>
              <w:top w:val="nil"/>
              <w:left w:val="nil"/>
              <w:bottom w:val="nil"/>
              <w:right w:val="single" w:sz="4" w:space="0" w:color="auto"/>
            </w:tcBorders>
            <w:shd w:val="clear" w:color="000000" w:fill="FFFFFF"/>
            <w:noWrap/>
            <w:vAlign w:val="bottom"/>
            <w:hideMark/>
          </w:tcPr>
          <w:p w:rsidR="00A7148D" w:rsidRPr="00A7148D" w:rsidRDefault="00A7148D" w:rsidP="00A7148D">
            <w:pPr>
              <w:jc w:val="right"/>
              <w:rPr>
                <w:rFonts w:ascii="Times New Roman" w:hAnsi="Times New Roman"/>
                <w:color w:val="000000"/>
                <w:lang w:val="es-AR" w:eastAsia="es-AR"/>
              </w:rPr>
            </w:pPr>
            <w:r w:rsidRPr="00A7148D">
              <w:rPr>
                <w:rFonts w:ascii="Times New Roman" w:hAnsi="Times New Roman"/>
                <w:color w:val="000000"/>
                <w:lang w:val="es-AR" w:eastAsia="es-AR"/>
              </w:rPr>
              <w:t>30%</w:t>
            </w:r>
          </w:p>
        </w:tc>
      </w:tr>
      <w:tr w:rsidR="00A7148D" w:rsidRPr="00A7148D" w:rsidTr="00A7148D">
        <w:trPr>
          <w:trHeight w:val="300"/>
          <w:jc w:val="center"/>
        </w:trPr>
        <w:tc>
          <w:tcPr>
            <w:tcW w:w="3400" w:type="dxa"/>
            <w:tcBorders>
              <w:top w:val="nil"/>
              <w:left w:val="single" w:sz="4" w:space="0" w:color="auto"/>
              <w:bottom w:val="nil"/>
              <w:right w:val="nil"/>
            </w:tcBorders>
            <w:shd w:val="clear" w:color="000000" w:fill="FFFFFF"/>
            <w:noWrap/>
            <w:vAlign w:val="bottom"/>
            <w:hideMark/>
          </w:tcPr>
          <w:p w:rsidR="00A7148D" w:rsidRPr="00A7148D" w:rsidRDefault="00A7148D" w:rsidP="00A7148D">
            <w:pPr>
              <w:ind w:firstLineChars="100" w:firstLine="200"/>
              <w:rPr>
                <w:rFonts w:ascii="Times New Roman" w:hAnsi="Times New Roman"/>
                <w:color w:val="000000"/>
                <w:lang w:val="es-AR" w:eastAsia="es-AR"/>
              </w:rPr>
            </w:pPr>
            <w:r w:rsidRPr="00A7148D">
              <w:rPr>
                <w:rFonts w:ascii="Times New Roman" w:hAnsi="Times New Roman"/>
                <w:color w:val="000000"/>
                <w:lang w:val="es-AR" w:eastAsia="es-AR"/>
              </w:rPr>
              <w:t>Compañías medianas</w:t>
            </w:r>
          </w:p>
        </w:tc>
        <w:tc>
          <w:tcPr>
            <w:tcW w:w="1060" w:type="dxa"/>
            <w:tcBorders>
              <w:top w:val="nil"/>
              <w:left w:val="nil"/>
              <w:bottom w:val="nil"/>
              <w:right w:val="nil"/>
            </w:tcBorders>
            <w:shd w:val="clear" w:color="000000" w:fill="FFFFFF"/>
            <w:noWrap/>
            <w:vAlign w:val="bottom"/>
            <w:hideMark/>
          </w:tcPr>
          <w:p w:rsidR="00A7148D" w:rsidRPr="00A7148D" w:rsidRDefault="00A7148D" w:rsidP="00A7148D">
            <w:pPr>
              <w:rPr>
                <w:rFonts w:ascii="Times New Roman" w:hAnsi="Times New Roman"/>
                <w:color w:val="000000"/>
                <w:lang w:val="es-AR" w:eastAsia="es-AR"/>
              </w:rPr>
            </w:pPr>
            <w:r w:rsidRPr="00A7148D">
              <w:rPr>
                <w:rFonts w:ascii="Times New Roman" w:hAnsi="Times New Roman"/>
                <w:color w:val="000000"/>
                <w:lang w:val="es-AR" w:eastAsia="es-AR"/>
              </w:rPr>
              <w:t>Medio</w:t>
            </w:r>
          </w:p>
        </w:tc>
        <w:tc>
          <w:tcPr>
            <w:tcW w:w="1011" w:type="dxa"/>
            <w:tcBorders>
              <w:top w:val="nil"/>
              <w:left w:val="nil"/>
              <w:bottom w:val="nil"/>
              <w:right w:val="nil"/>
            </w:tcBorders>
            <w:shd w:val="clear" w:color="000000" w:fill="FFFFFF"/>
            <w:noWrap/>
            <w:vAlign w:val="bottom"/>
            <w:hideMark/>
          </w:tcPr>
          <w:p w:rsidR="00A7148D" w:rsidRPr="00A7148D" w:rsidRDefault="00A7148D" w:rsidP="00A7148D">
            <w:pPr>
              <w:jc w:val="right"/>
              <w:rPr>
                <w:rFonts w:ascii="Times New Roman" w:hAnsi="Times New Roman"/>
                <w:color w:val="000000"/>
                <w:lang w:val="es-AR" w:eastAsia="es-AR"/>
              </w:rPr>
            </w:pPr>
            <w:r w:rsidRPr="00A7148D">
              <w:rPr>
                <w:rFonts w:ascii="Times New Roman" w:hAnsi="Times New Roman"/>
                <w:color w:val="000000"/>
                <w:lang w:val="es-AR" w:eastAsia="es-AR"/>
              </w:rPr>
              <w:t>20%</w:t>
            </w:r>
          </w:p>
        </w:tc>
        <w:tc>
          <w:tcPr>
            <w:tcW w:w="1060" w:type="dxa"/>
            <w:tcBorders>
              <w:top w:val="nil"/>
              <w:left w:val="nil"/>
              <w:bottom w:val="nil"/>
              <w:right w:val="nil"/>
            </w:tcBorders>
            <w:shd w:val="clear" w:color="000000" w:fill="FFFFFF"/>
            <w:noWrap/>
            <w:vAlign w:val="bottom"/>
            <w:hideMark/>
          </w:tcPr>
          <w:p w:rsidR="00A7148D" w:rsidRPr="00A7148D" w:rsidRDefault="00A7148D" w:rsidP="00A7148D">
            <w:pPr>
              <w:jc w:val="right"/>
              <w:rPr>
                <w:rFonts w:ascii="Times New Roman" w:hAnsi="Times New Roman"/>
                <w:color w:val="000000"/>
                <w:lang w:val="es-AR" w:eastAsia="es-AR"/>
              </w:rPr>
            </w:pPr>
            <w:r w:rsidRPr="00A7148D">
              <w:rPr>
                <w:rFonts w:ascii="Times New Roman" w:hAnsi="Times New Roman"/>
                <w:color w:val="000000"/>
                <w:lang w:val="es-AR" w:eastAsia="es-AR"/>
              </w:rPr>
              <w:t>40%</w:t>
            </w:r>
          </w:p>
        </w:tc>
        <w:tc>
          <w:tcPr>
            <w:tcW w:w="1109" w:type="dxa"/>
            <w:tcBorders>
              <w:top w:val="nil"/>
              <w:left w:val="nil"/>
              <w:bottom w:val="nil"/>
              <w:right w:val="single" w:sz="4" w:space="0" w:color="auto"/>
            </w:tcBorders>
            <w:shd w:val="clear" w:color="000000" w:fill="FFFFFF"/>
            <w:noWrap/>
            <w:vAlign w:val="bottom"/>
            <w:hideMark/>
          </w:tcPr>
          <w:p w:rsidR="00A7148D" w:rsidRPr="00A7148D" w:rsidRDefault="00A7148D" w:rsidP="00A7148D">
            <w:pPr>
              <w:jc w:val="right"/>
              <w:rPr>
                <w:rFonts w:ascii="Times New Roman" w:hAnsi="Times New Roman"/>
                <w:color w:val="000000"/>
                <w:lang w:val="es-AR" w:eastAsia="es-AR"/>
              </w:rPr>
            </w:pPr>
            <w:r w:rsidRPr="00A7148D">
              <w:rPr>
                <w:rFonts w:ascii="Times New Roman" w:hAnsi="Times New Roman"/>
                <w:color w:val="000000"/>
                <w:lang w:val="es-AR" w:eastAsia="es-AR"/>
              </w:rPr>
              <w:t>30%</w:t>
            </w:r>
          </w:p>
        </w:tc>
      </w:tr>
      <w:tr w:rsidR="00A7148D" w:rsidRPr="00A7148D" w:rsidTr="00A7148D">
        <w:trPr>
          <w:trHeight w:val="300"/>
          <w:jc w:val="center"/>
        </w:trPr>
        <w:tc>
          <w:tcPr>
            <w:tcW w:w="3400" w:type="dxa"/>
            <w:tcBorders>
              <w:top w:val="nil"/>
              <w:left w:val="single" w:sz="4" w:space="0" w:color="auto"/>
              <w:bottom w:val="nil"/>
              <w:right w:val="nil"/>
            </w:tcBorders>
            <w:shd w:val="clear" w:color="000000" w:fill="FFFFFF"/>
            <w:noWrap/>
            <w:vAlign w:val="bottom"/>
            <w:hideMark/>
          </w:tcPr>
          <w:p w:rsidR="00A7148D" w:rsidRPr="00A7148D" w:rsidRDefault="00A7148D" w:rsidP="00A7148D">
            <w:pPr>
              <w:ind w:firstLineChars="100" w:firstLine="200"/>
              <w:rPr>
                <w:rFonts w:ascii="Times New Roman" w:hAnsi="Times New Roman"/>
                <w:color w:val="000000"/>
                <w:lang w:val="es-AR" w:eastAsia="es-AR"/>
              </w:rPr>
            </w:pPr>
            <w:r w:rsidRPr="00A7148D">
              <w:rPr>
                <w:rFonts w:ascii="Times New Roman" w:hAnsi="Times New Roman"/>
                <w:color w:val="000000"/>
                <w:lang w:val="es-AR" w:eastAsia="es-AR"/>
              </w:rPr>
              <w:lastRenderedPageBreak/>
              <w:t>Compañías pequeñas</w:t>
            </w:r>
          </w:p>
        </w:tc>
        <w:tc>
          <w:tcPr>
            <w:tcW w:w="1060" w:type="dxa"/>
            <w:tcBorders>
              <w:top w:val="nil"/>
              <w:left w:val="nil"/>
              <w:bottom w:val="nil"/>
              <w:right w:val="nil"/>
            </w:tcBorders>
            <w:shd w:val="clear" w:color="000000" w:fill="FFFFFF"/>
            <w:noWrap/>
            <w:vAlign w:val="bottom"/>
            <w:hideMark/>
          </w:tcPr>
          <w:p w:rsidR="00A7148D" w:rsidRPr="00A7148D" w:rsidRDefault="00A7148D" w:rsidP="00A7148D">
            <w:pPr>
              <w:rPr>
                <w:rFonts w:ascii="Times New Roman" w:hAnsi="Times New Roman"/>
                <w:color w:val="000000"/>
                <w:lang w:val="es-AR" w:eastAsia="es-AR"/>
              </w:rPr>
            </w:pPr>
            <w:r w:rsidRPr="00A7148D">
              <w:rPr>
                <w:rFonts w:ascii="Times New Roman" w:hAnsi="Times New Roman"/>
                <w:color w:val="000000"/>
                <w:lang w:val="es-AR" w:eastAsia="es-AR"/>
              </w:rPr>
              <w:t>Medio</w:t>
            </w:r>
          </w:p>
        </w:tc>
        <w:tc>
          <w:tcPr>
            <w:tcW w:w="1011" w:type="dxa"/>
            <w:tcBorders>
              <w:top w:val="nil"/>
              <w:left w:val="nil"/>
              <w:bottom w:val="nil"/>
              <w:right w:val="nil"/>
            </w:tcBorders>
            <w:shd w:val="clear" w:color="000000" w:fill="FFFFFF"/>
            <w:noWrap/>
            <w:vAlign w:val="bottom"/>
            <w:hideMark/>
          </w:tcPr>
          <w:p w:rsidR="00A7148D" w:rsidRPr="00A7148D" w:rsidRDefault="00A7148D" w:rsidP="00A7148D">
            <w:pPr>
              <w:jc w:val="right"/>
              <w:rPr>
                <w:rFonts w:ascii="Times New Roman" w:hAnsi="Times New Roman"/>
                <w:color w:val="000000"/>
                <w:lang w:val="es-AR" w:eastAsia="es-AR"/>
              </w:rPr>
            </w:pPr>
            <w:r w:rsidRPr="00A7148D">
              <w:rPr>
                <w:rFonts w:ascii="Times New Roman" w:hAnsi="Times New Roman"/>
                <w:color w:val="000000"/>
                <w:lang w:val="es-AR" w:eastAsia="es-AR"/>
              </w:rPr>
              <w:t>20%</w:t>
            </w:r>
          </w:p>
        </w:tc>
        <w:tc>
          <w:tcPr>
            <w:tcW w:w="1060" w:type="dxa"/>
            <w:tcBorders>
              <w:top w:val="nil"/>
              <w:left w:val="nil"/>
              <w:bottom w:val="nil"/>
              <w:right w:val="nil"/>
            </w:tcBorders>
            <w:shd w:val="clear" w:color="000000" w:fill="FFFFFF"/>
            <w:noWrap/>
            <w:vAlign w:val="bottom"/>
            <w:hideMark/>
          </w:tcPr>
          <w:p w:rsidR="00A7148D" w:rsidRPr="00A7148D" w:rsidRDefault="00A7148D" w:rsidP="00A7148D">
            <w:pPr>
              <w:jc w:val="right"/>
              <w:rPr>
                <w:rFonts w:ascii="Times New Roman" w:hAnsi="Times New Roman"/>
                <w:color w:val="000000"/>
                <w:lang w:val="es-AR" w:eastAsia="es-AR"/>
              </w:rPr>
            </w:pPr>
            <w:r w:rsidRPr="00A7148D">
              <w:rPr>
                <w:rFonts w:ascii="Times New Roman" w:hAnsi="Times New Roman"/>
                <w:color w:val="000000"/>
                <w:lang w:val="es-AR" w:eastAsia="es-AR"/>
              </w:rPr>
              <w:t>60%</w:t>
            </w:r>
          </w:p>
        </w:tc>
        <w:tc>
          <w:tcPr>
            <w:tcW w:w="1109" w:type="dxa"/>
            <w:tcBorders>
              <w:top w:val="nil"/>
              <w:left w:val="nil"/>
              <w:bottom w:val="nil"/>
              <w:right w:val="single" w:sz="4" w:space="0" w:color="auto"/>
            </w:tcBorders>
            <w:shd w:val="clear" w:color="000000" w:fill="FFFFFF"/>
            <w:noWrap/>
            <w:vAlign w:val="bottom"/>
            <w:hideMark/>
          </w:tcPr>
          <w:p w:rsidR="00A7148D" w:rsidRPr="00A7148D" w:rsidRDefault="00A7148D" w:rsidP="00A7148D">
            <w:pPr>
              <w:jc w:val="right"/>
              <w:rPr>
                <w:rFonts w:ascii="Times New Roman" w:hAnsi="Times New Roman"/>
                <w:color w:val="000000"/>
                <w:lang w:val="es-AR" w:eastAsia="es-AR"/>
              </w:rPr>
            </w:pPr>
            <w:r w:rsidRPr="00A7148D">
              <w:rPr>
                <w:rFonts w:ascii="Times New Roman" w:hAnsi="Times New Roman"/>
                <w:color w:val="000000"/>
                <w:lang w:val="es-AR" w:eastAsia="es-AR"/>
              </w:rPr>
              <w:t>40%</w:t>
            </w:r>
          </w:p>
        </w:tc>
      </w:tr>
      <w:tr w:rsidR="00A7148D" w:rsidRPr="00A7148D" w:rsidTr="00A7148D">
        <w:trPr>
          <w:trHeight w:val="120"/>
          <w:jc w:val="center"/>
        </w:trPr>
        <w:tc>
          <w:tcPr>
            <w:tcW w:w="3400" w:type="dxa"/>
            <w:tcBorders>
              <w:top w:val="nil"/>
              <w:left w:val="single" w:sz="4" w:space="0" w:color="auto"/>
              <w:bottom w:val="nil"/>
              <w:right w:val="nil"/>
            </w:tcBorders>
            <w:shd w:val="clear" w:color="000000" w:fill="FFFFFF"/>
            <w:noWrap/>
            <w:vAlign w:val="bottom"/>
            <w:hideMark/>
          </w:tcPr>
          <w:p w:rsidR="00A7148D" w:rsidRPr="00A7148D" w:rsidRDefault="00A7148D" w:rsidP="00A7148D">
            <w:pPr>
              <w:rPr>
                <w:rFonts w:ascii="Times New Roman" w:hAnsi="Times New Roman"/>
                <w:color w:val="000000"/>
                <w:lang w:val="es-AR" w:eastAsia="es-AR"/>
              </w:rPr>
            </w:pPr>
            <w:r w:rsidRPr="00A7148D">
              <w:rPr>
                <w:rFonts w:ascii="Times New Roman" w:hAnsi="Times New Roman"/>
                <w:color w:val="000000"/>
                <w:lang w:val="es-AR" w:eastAsia="es-AR"/>
              </w:rPr>
              <w:t> </w:t>
            </w:r>
          </w:p>
        </w:tc>
        <w:tc>
          <w:tcPr>
            <w:tcW w:w="1060" w:type="dxa"/>
            <w:tcBorders>
              <w:top w:val="nil"/>
              <w:left w:val="nil"/>
              <w:bottom w:val="nil"/>
              <w:right w:val="nil"/>
            </w:tcBorders>
            <w:shd w:val="clear" w:color="000000" w:fill="FFFFFF"/>
            <w:noWrap/>
            <w:vAlign w:val="bottom"/>
            <w:hideMark/>
          </w:tcPr>
          <w:p w:rsidR="00A7148D" w:rsidRPr="00A7148D" w:rsidRDefault="00A7148D" w:rsidP="00A7148D">
            <w:pPr>
              <w:rPr>
                <w:rFonts w:ascii="Times New Roman" w:hAnsi="Times New Roman"/>
                <w:color w:val="000000"/>
                <w:lang w:val="es-AR" w:eastAsia="es-AR"/>
              </w:rPr>
            </w:pPr>
            <w:r w:rsidRPr="00A7148D">
              <w:rPr>
                <w:rFonts w:ascii="Times New Roman" w:hAnsi="Times New Roman"/>
                <w:color w:val="000000"/>
                <w:lang w:val="es-AR" w:eastAsia="es-AR"/>
              </w:rPr>
              <w:t> </w:t>
            </w:r>
          </w:p>
        </w:tc>
        <w:tc>
          <w:tcPr>
            <w:tcW w:w="1011" w:type="dxa"/>
            <w:tcBorders>
              <w:top w:val="nil"/>
              <w:left w:val="nil"/>
              <w:bottom w:val="nil"/>
              <w:right w:val="nil"/>
            </w:tcBorders>
            <w:shd w:val="clear" w:color="000000" w:fill="FFFFFF"/>
            <w:noWrap/>
            <w:vAlign w:val="bottom"/>
            <w:hideMark/>
          </w:tcPr>
          <w:p w:rsidR="00A7148D" w:rsidRPr="00A7148D" w:rsidRDefault="00A7148D" w:rsidP="00A7148D">
            <w:pPr>
              <w:rPr>
                <w:rFonts w:ascii="Times New Roman" w:hAnsi="Times New Roman"/>
                <w:color w:val="000000"/>
                <w:lang w:val="es-AR" w:eastAsia="es-AR"/>
              </w:rPr>
            </w:pPr>
            <w:r w:rsidRPr="00A7148D">
              <w:rPr>
                <w:rFonts w:ascii="Times New Roman" w:hAnsi="Times New Roman"/>
                <w:color w:val="000000"/>
                <w:lang w:val="es-AR" w:eastAsia="es-AR"/>
              </w:rPr>
              <w:t> </w:t>
            </w:r>
          </w:p>
        </w:tc>
        <w:tc>
          <w:tcPr>
            <w:tcW w:w="1060" w:type="dxa"/>
            <w:tcBorders>
              <w:top w:val="nil"/>
              <w:left w:val="nil"/>
              <w:bottom w:val="nil"/>
              <w:right w:val="nil"/>
            </w:tcBorders>
            <w:shd w:val="clear" w:color="000000" w:fill="FFFFFF"/>
            <w:noWrap/>
            <w:vAlign w:val="bottom"/>
            <w:hideMark/>
          </w:tcPr>
          <w:p w:rsidR="00A7148D" w:rsidRPr="00A7148D" w:rsidRDefault="00A7148D" w:rsidP="00A7148D">
            <w:pPr>
              <w:rPr>
                <w:rFonts w:ascii="Times New Roman" w:hAnsi="Times New Roman"/>
                <w:color w:val="000000"/>
                <w:lang w:val="es-AR" w:eastAsia="es-AR"/>
              </w:rPr>
            </w:pPr>
            <w:r w:rsidRPr="00A7148D">
              <w:rPr>
                <w:rFonts w:ascii="Times New Roman" w:hAnsi="Times New Roman"/>
                <w:color w:val="000000"/>
                <w:lang w:val="es-AR" w:eastAsia="es-AR"/>
              </w:rPr>
              <w:t> </w:t>
            </w:r>
          </w:p>
        </w:tc>
        <w:tc>
          <w:tcPr>
            <w:tcW w:w="1109" w:type="dxa"/>
            <w:tcBorders>
              <w:top w:val="nil"/>
              <w:left w:val="nil"/>
              <w:bottom w:val="nil"/>
              <w:right w:val="single" w:sz="4" w:space="0" w:color="auto"/>
            </w:tcBorders>
            <w:shd w:val="clear" w:color="000000" w:fill="FFFFFF"/>
            <w:noWrap/>
            <w:vAlign w:val="bottom"/>
            <w:hideMark/>
          </w:tcPr>
          <w:p w:rsidR="00A7148D" w:rsidRPr="00A7148D" w:rsidRDefault="00A7148D" w:rsidP="00A7148D">
            <w:pPr>
              <w:rPr>
                <w:rFonts w:ascii="Times New Roman" w:hAnsi="Times New Roman"/>
                <w:color w:val="000000"/>
                <w:lang w:val="es-AR" w:eastAsia="es-AR"/>
              </w:rPr>
            </w:pPr>
            <w:r w:rsidRPr="00A7148D">
              <w:rPr>
                <w:rFonts w:ascii="Times New Roman" w:hAnsi="Times New Roman"/>
                <w:color w:val="000000"/>
                <w:lang w:val="es-AR" w:eastAsia="es-AR"/>
              </w:rPr>
              <w:t> </w:t>
            </w:r>
          </w:p>
        </w:tc>
      </w:tr>
      <w:tr w:rsidR="00A7148D" w:rsidRPr="00A7148D" w:rsidTr="00A7148D">
        <w:trPr>
          <w:trHeight w:val="300"/>
          <w:jc w:val="center"/>
        </w:trPr>
        <w:tc>
          <w:tcPr>
            <w:tcW w:w="3400" w:type="dxa"/>
            <w:tcBorders>
              <w:top w:val="nil"/>
              <w:left w:val="single" w:sz="4" w:space="0" w:color="auto"/>
              <w:bottom w:val="nil"/>
              <w:right w:val="nil"/>
            </w:tcBorders>
            <w:shd w:val="clear" w:color="000000" w:fill="FFFFFF"/>
            <w:noWrap/>
            <w:vAlign w:val="bottom"/>
            <w:hideMark/>
          </w:tcPr>
          <w:p w:rsidR="00A7148D" w:rsidRPr="00A7148D" w:rsidRDefault="00A7148D" w:rsidP="00A7148D">
            <w:pPr>
              <w:rPr>
                <w:rFonts w:ascii="Times New Roman" w:hAnsi="Times New Roman"/>
                <w:color w:val="000000"/>
                <w:lang w:val="es-AR" w:eastAsia="es-AR"/>
              </w:rPr>
            </w:pPr>
            <w:r w:rsidRPr="00A7148D">
              <w:rPr>
                <w:rFonts w:ascii="Times New Roman" w:hAnsi="Times New Roman"/>
                <w:color w:val="000000"/>
                <w:lang w:val="es-AR" w:eastAsia="es-AR"/>
              </w:rPr>
              <w:t xml:space="preserve">Factores de producción </w:t>
            </w:r>
          </w:p>
        </w:tc>
        <w:tc>
          <w:tcPr>
            <w:tcW w:w="1060" w:type="dxa"/>
            <w:tcBorders>
              <w:top w:val="nil"/>
              <w:left w:val="nil"/>
              <w:bottom w:val="nil"/>
              <w:right w:val="nil"/>
            </w:tcBorders>
            <w:shd w:val="clear" w:color="000000" w:fill="FFFFFF"/>
            <w:noWrap/>
            <w:vAlign w:val="bottom"/>
            <w:hideMark/>
          </w:tcPr>
          <w:p w:rsidR="00A7148D" w:rsidRPr="00A7148D" w:rsidRDefault="00A7148D" w:rsidP="00A7148D">
            <w:pPr>
              <w:rPr>
                <w:rFonts w:ascii="Times New Roman" w:hAnsi="Times New Roman"/>
                <w:color w:val="000000"/>
                <w:lang w:val="es-AR" w:eastAsia="es-AR"/>
              </w:rPr>
            </w:pPr>
            <w:r w:rsidRPr="00A7148D">
              <w:rPr>
                <w:rFonts w:ascii="Times New Roman" w:hAnsi="Times New Roman"/>
                <w:color w:val="000000"/>
                <w:lang w:val="es-AR" w:eastAsia="es-AR"/>
              </w:rPr>
              <w:t> </w:t>
            </w:r>
          </w:p>
        </w:tc>
        <w:tc>
          <w:tcPr>
            <w:tcW w:w="1011" w:type="dxa"/>
            <w:tcBorders>
              <w:top w:val="nil"/>
              <w:left w:val="nil"/>
              <w:bottom w:val="nil"/>
              <w:right w:val="nil"/>
            </w:tcBorders>
            <w:shd w:val="clear" w:color="000000" w:fill="FFFFFF"/>
            <w:noWrap/>
            <w:vAlign w:val="bottom"/>
            <w:hideMark/>
          </w:tcPr>
          <w:p w:rsidR="00A7148D" w:rsidRPr="00A7148D" w:rsidRDefault="00A7148D" w:rsidP="00A7148D">
            <w:pPr>
              <w:rPr>
                <w:rFonts w:ascii="Times New Roman" w:hAnsi="Times New Roman"/>
                <w:color w:val="000000"/>
                <w:lang w:val="es-AR" w:eastAsia="es-AR"/>
              </w:rPr>
            </w:pPr>
            <w:r w:rsidRPr="00A7148D">
              <w:rPr>
                <w:rFonts w:ascii="Times New Roman" w:hAnsi="Times New Roman"/>
                <w:color w:val="000000"/>
                <w:lang w:val="es-AR" w:eastAsia="es-AR"/>
              </w:rPr>
              <w:t> </w:t>
            </w:r>
          </w:p>
        </w:tc>
        <w:tc>
          <w:tcPr>
            <w:tcW w:w="1060" w:type="dxa"/>
            <w:tcBorders>
              <w:top w:val="nil"/>
              <w:left w:val="nil"/>
              <w:bottom w:val="nil"/>
              <w:right w:val="nil"/>
            </w:tcBorders>
            <w:shd w:val="clear" w:color="000000" w:fill="FFFFFF"/>
            <w:noWrap/>
            <w:vAlign w:val="bottom"/>
            <w:hideMark/>
          </w:tcPr>
          <w:p w:rsidR="00A7148D" w:rsidRPr="00A7148D" w:rsidRDefault="00A7148D" w:rsidP="00A7148D">
            <w:pPr>
              <w:rPr>
                <w:rFonts w:ascii="Times New Roman" w:hAnsi="Times New Roman"/>
                <w:color w:val="000000"/>
                <w:lang w:val="es-AR" w:eastAsia="es-AR"/>
              </w:rPr>
            </w:pPr>
            <w:r w:rsidRPr="00A7148D">
              <w:rPr>
                <w:rFonts w:ascii="Times New Roman" w:hAnsi="Times New Roman"/>
                <w:color w:val="000000"/>
                <w:lang w:val="es-AR" w:eastAsia="es-AR"/>
              </w:rPr>
              <w:t> </w:t>
            </w:r>
          </w:p>
        </w:tc>
        <w:tc>
          <w:tcPr>
            <w:tcW w:w="1109" w:type="dxa"/>
            <w:tcBorders>
              <w:top w:val="nil"/>
              <w:left w:val="nil"/>
              <w:bottom w:val="nil"/>
              <w:right w:val="single" w:sz="4" w:space="0" w:color="auto"/>
            </w:tcBorders>
            <w:shd w:val="clear" w:color="000000" w:fill="FFFFFF"/>
            <w:noWrap/>
            <w:vAlign w:val="bottom"/>
            <w:hideMark/>
          </w:tcPr>
          <w:p w:rsidR="00A7148D" w:rsidRPr="00A7148D" w:rsidRDefault="00A7148D" w:rsidP="00A7148D">
            <w:pPr>
              <w:rPr>
                <w:rFonts w:ascii="Times New Roman" w:hAnsi="Times New Roman"/>
                <w:color w:val="000000"/>
                <w:lang w:val="es-AR" w:eastAsia="es-AR"/>
              </w:rPr>
            </w:pPr>
            <w:r w:rsidRPr="00A7148D">
              <w:rPr>
                <w:rFonts w:ascii="Times New Roman" w:hAnsi="Times New Roman"/>
                <w:color w:val="000000"/>
                <w:lang w:val="es-AR" w:eastAsia="es-AR"/>
              </w:rPr>
              <w:t> </w:t>
            </w:r>
          </w:p>
        </w:tc>
      </w:tr>
      <w:tr w:rsidR="00A7148D" w:rsidRPr="00A7148D" w:rsidTr="00A7148D">
        <w:trPr>
          <w:trHeight w:val="300"/>
          <w:jc w:val="center"/>
        </w:trPr>
        <w:tc>
          <w:tcPr>
            <w:tcW w:w="3400" w:type="dxa"/>
            <w:tcBorders>
              <w:top w:val="nil"/>
              <w:left w:val="single" w:sz="4" w:space="0" w:color="auto"/>
              <w:bottom w:val="nil"/>
              <w:right w:val="nil"/>
            </w:tcBorders>
            <w:shd w:val="clear" w:color="000000" w:fill="FFFFFF"/>
            <w:noWrap/>
            <w:vAlign w:val="bottom"/>
            <w:hideMark/>
          </w:tcPr>
          <w:p w:rsidR="00A7148D" w:rsidRPr="00A7148D" w:rsidRDefault="00A7148D" w:rsidP="00A7148D">
            <w:pPr>
              <w:ind w:firstLineChars="100" w:firstLine="200"/>
              <w:rPr>
                <w:rFonts w:ascii="Times New Roman" w:hAnsi="Times New Roman"/>
                <w:color w:val="000000"/>
                <w:lang w:val="es-AR" w:eastAsia="es-AR"/>
              </w:rPr>
            </w:pPr>
            <w:r w:rsidRPr="00A7148D">
              <w:rPr>
                <w:rFonts w:ascii="Times New Roman" w:hAnsi="Times New Roman"/>
                <w:color w:val="000000"/>
                <w:lang w:val="es-AR" w:eastAsia="es-AR"/>
              </w:rPr>
              <w:t>Tierras agrícolas</w:t>
            </w:r>
          </w:p>
        </w:tc>
        <w:tc>
          <w:tcPr>
            <w:tcW w:w="1060" w:type="dxa"/>
            <w:tcBorders>
              <w:top w:val="nil"/>
              <w:left w:val="nil"/>
              <w:bottom w:val="nil"/>
              <w:right w:val="nil"/>
            </w:tcBorders>
            <w:shd w:val="clear" w:color="000000" w:fill="FFFFFF"/>
            <w:noWrap/>
            <w:vAlign w:val="bottom"/>
            <w:hideMark/>
          </w:tcPr>
          <w:p w:rsidR="00A7148D" w:rsidRPr="00A7148D" w:rsidRDefault="00A7148D" w:rsidP="00A7148D">
            <w:pPr>
              <w:rPr>
                <w:rFonts w:ascii="Times New Roman" w:hAnsi="Times New Roman"/>
                <w:color w:val="000000"/>
                <w:lang w:val="es-AR" w:eastAsia="es-AR"/>
              </w:rPr>
            </w:pPr>
            <w:r w:rsidRPr="00A7148D">
              <w:rPr>
                <w:rFonts w:ascii="Times New Roman" w:hAnsi="Times New Roman"/>
                <w:color w:val="000000"/>
                <w:lang w:val="es-AR" w:eastAsia="es-AR"/>
              </w:rPr>
              <w:t>Nulo</w:t>
            </w:r>
          </w:p>
        </w:tc>
        <w:tc>
          <w:tcPr>
            <w:tcW w:w="1011" w:type="dxa"/>
            <w:tcBorders>
              <w:top w:val="nil"/>
              <w:left w:val="nil"/>
              <w:bottom w:val="nil"/>
              <w:right w:val="nil"/>
            </w:tcBorders>
            <w:shd w:val="clear" w:color="000000" w:fill="FFFFFF"/>
            <w:noWrap/>
            <w:vAlign w:val="bottom"/>
            <w:hideMark/>
          </w:tcPr>
          <w:p w:rsidR="00A7148D" w:rsidRPr="00A7148D" w:rsidRDefault="00A7148D" w:rsidP="00A7148D">
            <w:pPr>
              <w:jc w:val="right"/>
              <w:rPr>
                <w:rFonts w:ascii="Times New Roman" w:hAnsi="Times New Roman"/>
                <w:color w:val="000000"/>
                <w:lang w:val="es-AR" w:eastAsia="es-AR"/>
              </w:rPr>
            </w:pPr>
            <w:r w:rsidRPr="00A7148D">
              <w:rPr>
                <w:rFonts w:ascii="Times New Roman" w:hAnsi="Times New Roman"/>
                <w:color w:val="000000"/>
                <w:lang w:val="es-AR" w:eastAsia="es-AR"/>
              </w:rPr>
              <w:t>0%</w:t>
            </w:r>
          </w:p>
        </w:tc>
        <w:tc>
          <w:tcPr>
            <w:tcW w:w="1060" w:type="dxa"/>
            <w:tcBorders>
              <w:top w:val="nil"/>
              <w:left w:val="nil"/>
              <w:bottom w:val="nil"/>
              <w:right w:val="nil"/>
            </w:tcBorders>
            <w:shd w:val="clear" w:color="000000" w:fill="FFFFFF"/>
            <w:noWrap/>
            <w:vAlign w:val="bottom"/>
            <w:hideMark/>
          </w:tcPr>
          <w:p w:rsidR="00A7148D" w:rsidRPr="00A7148D" w:rsidRDefault="00A7148D" w:rsidP="00A7148D">
            <w:pPr>
              <w:jc w:val="right"/>
              <w:rPr>
                <w:rFonts w:ascii="Times New Roman" w:hAnsi="Times New Roman"/>
                <w:color w:val="000000"/>
                <w:lang w:val="es-AR" w:eastAsia="es-AR"/>
              </w:rPr>
            </w:pPr>
            <w:r w:rsidRPr="00A7148D">
              <w:rPr>
                <w:rFonts w:ascii="Times New Roman" w:hAnsi="Times New Roman"/>
                <w:color w:val="000000"/>
                <w:lang w:val="es-AR" w:eastAsia="es-AR"/>
              </w:rPr>
              <w:t>0%</w:t>
            </w:r>
          </w:p>
        </w:tc>
        <w:tc>
          <w:tcPr>
            <w:tcW w:w="1109" w:type="dxa"/>
            <w:tcBorders>
              <w:top w:val="nil"/>
              <w:left w:val="nil"/>
              <w:bottom w:val="nil"/>
              <w:right w:val="single" w:sz="4" w:space="0" w:color="auto"/>
            </w:tcBorders>
            <w:shd w:val="clear" w:color="000000" w:fill="FFFFFF"/>
            <w:noWrap/>
            <w:vAlign w:val="bottom"/>
            <w:hideMark/>
          </w:tcPr>
          <w:p w:rsidR="00A7148D" w:rsidRPr="00A7148D" w:rsidRDefault="00A7148D" w:rsidP="00A7148D">
            <w:pPr>
              <w:jc w:val="right"/>
              <w:rPr>
                <w:rFonts w:ascii="Times New Roman" w:hAnsi="Times New Roman"/>
                <w:color w:val="000000"/>
                <w:lang w:val="es-AR" w:eastAsia="es-AR"/>
              </w:rPr>
            </w:pPr>
            <w:r w:rsidRPr="00A7148D">
              <w:rPr>
                <w:rFonts w:ascii="Times New Roman" w:hAnsi="Times New Roman"/>
                <w:color w:val="000000"/>
                <w:lang w:val="es-AR" w:eastAsia="es-AR"/>
              </w:rPr>
              <w:t>0%</w:t>
            </w:r>
          </w:p>
        </w:tc>
      </w:tr>
      <w:tr w:rsidR="00A7148D" w:rsidRPr="00A7148D" w:rsidTr="00A7148D">
        <w:trPr>
          <w:trHeight w:val="300"/>
          <w:jc w:val="center"/>
        </w:trPr>
        <w:tc>
          <w:tcPr>
            <w:tcW w:w="3400" w:type="dxa"/>
            <w:tcBorders>
              <w:top w:val="nil"/>
              <w:left w:val="single" w:sz="4" w:space="0" w:color="auto"/>
              <w:bottom w:val="nil"/>
              <w:right w:val="nil"/>
            </w:tcBorders>
            <w:shd w:val="clear" w:color="000000" w:fill="FFFFFF"/>
            <w:noWrap/>
            <w:vAlign w:val="bottom"/>
            <w:hideMark/>
          </w:tcPr>
          <w:p w:rsidR="00A7148D" w:rsidRPr="00A7148D" w:rsidRDefault="00A7148D" w:rsidP="00A7148D">
            <w:pPr>
              <w:ind w:firstLineChars="100" w:firstLine="200"/>
              <w:rPr>
                <w:rFonts w:ascii="Times New Roman" w:hAnsi="Times New Roman"/>
                <w:color w:val="000000"/>
                <w:lang w:val="es-AR" w:eastAsia="es-AR"/>
              </w:rPr>
            </w:pPr>
            <w:r w:rsidRPr="00A7148D">
              <w:rPr>
                <w:rFonts w:ascii="Times New Roman" w:hAnsi="Times New Roman"/>
                <w:color w:val="000000"/>
                <w:lang w:val="es-AR" w:eastAsia="es-AR"/>
              </w:rPr>
              <w:t>Maquinarias y barcos</w:t>
            </w:r>
          </w:p>
        </w:tc>
        <w:tc>
          <w:tcPr>
            <w:tcW w:w="1060" w:type="dxa"/>
            <w:tcBorders>
              <w:top w:val="nil"/>
              <w:left w:val="nil"/>
              <w:bottom w:val="nil"/>
              <w:right w:val="nil"/>
            </w:tcBorders>
            <w:shd w:val="clear" w:color="000000" w:fill="FFFFFF"/>
            <w:noWrap/>
            <w:vAlign w:val="bottom"/>
            <w:hideMark/>
          </w:tcPr>
          <w:p w:rsidR="00A7148D" w:rsidRPr="00A7148D" w:rsidRDefault="00A7148D" w:rsidP="00A7148D">
            <w:pPr>
              <w:rPr>
                <w:rFonts w:ascii="Times New Roman" w:hAnsi="Times New Roman"/>
                <w:color w:val="000000"/>
                <w:lang w:val="es-AR" w:eastAsia="es-AR"/>
              </w:rPr>
            </w:pPr>
            <w:r w:rsidRPr="00A7148D">
              <w:rPr>
                <w:rFonts w:ascii="Times New Roman" w:hAnsi="Times New Roman"/>
                <w:color w:val="000000"/>
                <w:lang w:val="es-AR" w:eastAsia="es-AR"/>
              </w:rPr>
              <w:t>Medio-Bajo</w:t>
            </w:r>
          </w:p>
        </w:tc>
        <w:tc>
          <w:tcPr>
            <w:tcW w:w="1011" w:type="dxa"/>
            <w:tcBorders>
              <w:top w:val="nil"/>
              <w:left w:val="nil"/>
              <w:bottom w:val="nil"/>
              <w:right w:val="nil"/>
            </w:tcBorders>
            <w:shd w:val="clear" w:color="000000" w:fill="FFFFFF"/>
            <w:noWrap/>
            <w:vAlign w:val="bottom"/>
            <w:hideMark/>
          </w:tcPr>
          <w:p w:rsidR="00A7148D" w:rsidRPr="00A7148D" w:rsidRDefault="00A7148D" w:rsidP="00A7148D">
            <w:pPr>
              <w:jc w:val="right"/>
              <w:rPr>
                <w:rFonts w:ascii="Times New Roman" w:hAnsi="Times New Roman"/>
                <w:color w:val="000000"/>
                <w:lang w:val="es-AR" w:eastAsia="es-AR"/>
              </w:rPr>
            </w:pPr>
            <w:r w:rsidRPr="00A7148D">
              <w:rPr>
                <w:rFonts w:ascii="Times New Roman" w:hAnsi="Times New Roman"/>
                <w:color w:val="000000"/>
                <w:lang w:val="es-AR" w:eastAsia="es-AR"/>
              </w:rPr>
              <w:t>0%</w:t>
            </w:r>
          </w:p>
        </w:tc>
        <w:tc>
          <w:tcPr>
            <w:tcW w:w="1060" w:type="dxa"/>
            <w:tcBorders>
              <w:top w:val="nil"/>
              <w:left w:val="nil"/>
              <w:bottom w:val="nil"/>
              <w:right w:val="nil"/>
            </w:tcBorders>
            <w:shd w:val="clear" w:color="000000" w:fill="FFFFFF"/>
            <w:noWrap/>
            <w:vAlign w:val="bottom"/>
            <w:hideMark/>
          </w:tcPr>
          <w:p w:rsidR="00A7148D" w:rsidRPr="00A7148D" w:rsidRDefault="00A7148D" w:rsidP="00A7148D">
            <w:pPr>
              <w:jc w:val="right"/>
              <w:rPr>
                <w:rFonts w:ascii="Times New Roman" w:hAnsi="Times New Roman"/>
                <w:color w:val="000000"/>
                <w:lang w:val="es-AR" w:eastAsia="es-AR"/>
              </w:rPr>
            </w:pPr>
            <w:r w:rsidRPr="00A7148D">
              <w:rPr>
                <w:rFonts w:ascii="Times New Roman" w:hAnsi="Times New Roman"/>
                <w:color w:val="000000"/>
                <w:lang w:val="es-AR" w:eastAsia="es-AR"/>
              </w:rPr>
              <w:t>20%</w:t>
            </w:r>
          </w:p>
        </w:tc>
        <w:tc>
          <w:tcPr>
            <w:tcW w:w="1109" w:type="dxa"/>
            <w:tcBorders>
              <w:top w:val="nil"/>
              <w:left w:val="nil"/>
              <w:bottom w:val="nil"/>
              <w:right w:val="single" w:sz="4" w:space="0" w:color="auto"/>
            </w:tcBorders>
            <w:shd w:val="clear" w:color="000000" w:fill="FFFFFF"/>
            <w:noWrap/>
            <w:vAlign w:val="bottom"/>
            <w:hideMark/>
          </w:tcPr>
          <w:p w:rsidR="00A7148D" w:rsidRPr="00A7148D" w:rsidRDefault="00A7148D" w:rsidP="00A7148D">
            <w:pPr>
              <w:jc w:val="right"/>
              <w:rPr>
                <w:rFonts w:ascii="Times New Roman" w:hAnsi="Times New Roman"/>
                <w:color w:val="000000"/>
                <w:lang w:val="es-AR" w:eastAsia="es-AR"/>
              </w:rPr>
            </w:pPr>
            <w:r w:rsidRPr="00A7148D">
              <w:rPr>
                <w:rFonts w:ascii="Times New Roman" w:hAnsi="Times New Roman"/>
                <w:color w:val="000000"/>
                <w:lang w:val="es-AR" w:eastAsia="es-AR"/>
              </w:rPr>
              <w:t>10%</w:t>
            </w:r>
          </w:p>
        </w:tc>
      </w:tr>
      <w:tr w:rsidR="00A7148D" w:rsidRPr="00A7148D" w:rsidTr="00A7148D">
        <w:trPr>
          <w:trHeight w:val="180"/>
          <w:jc w:val="center"/>
        </w:trPr>
        <w:tc>
          <w:tcPr>
            <w:tcW w:w="3400" w:type="dxa"/>
            <w:tcBorders>
              <w:top w:val="nil"/>
              <w:left w:val="single" w:sz="4" w:space="0" w:color="auto"/>
              <w:bottom w:val="nil"/>
              <w:right w:val="nil"/>
            </w:tcBorders>
            <w:shd w:val="clear" w:color="000000" w:fill="FFFFFF"/>
            <w:noWrap/>
            <w:vAlign w:val="bottom"/>
            <w:hideMark/>
          </w:tcPr>
          <w:p w:rsidR="00A7148D" w:rsidRPr="00A7148D" w:rsidRDefault="00A7148D" w:rsidP="00A7148D">
            <w:pPr>
              <w:rPr>
                <w:rFonts w:ascii="Times New Roman" w:hAnsi="Times New Roman"/>
                <w:color w:val="000000"/>
                <w:lang w:val="es-AR" w:eastAsia="es-AR"/>
              </w:rPr>
            </w:pPr>
            <w:r w:rsidRPr="00A7148D">
              <w:rPr>
                <w:rFonts w:ascii="Times New Roman" w:hAnsi="Times New Roman"/>
                <w:color w:val="000000"/>
                <w:lang w:val="es-AR" w:eastAsia="es-AR"/>
              </w:rPr>
              <w:t> </w:t>
            </w:r>
          </w:p>
        </w:tc>
        <w:tc>
          <w:tcPr>
            <w:tcW w:w="1060" w:type="dxa"/>
            <w:tcBorders>
              <w:top w:val="nil"/>
              <w:left w:val="nil"/>
              <w:bottom w:val="nil"/>
              <w:right w:val="nil"/>
            </w:tcBorders>
            <w:shd w:val="clear" w:color="000000" w:fill="FFFFFF"/>
            <w:noWrap/>
            <w:vAlign w:val="bottom"/>
            <w:hideMark/>
          </w:tcPr>
          <w:p w:rsidR="00A7148D" w:rsidRPr="00A7148D" w:rsidRDefault="00A7148D" w:rsidP="00A7148D">
            <w:pPr>
              <w:rPr>
                <w:rFonts w:ascii="Times New Roman" w:hAnsi="Times New Roman"/>
                <w:color w:val="000000"/>
                <w:lang w:val="es-AR" w:eastAsia="es-AR"/>
              </w:rPr>
            </w:pPr>
            <w:r w:rsidRPr="00A7148D">
              <w:rPr>
                <w:rFonts w:ascii="Times New Roman" w:hAnsi="Times New Roman"/>
                <w:color w:val="000000"/>
                <w:lang w:val="es-AR" w:eastAsia="es-AR"/>
              </w:rPr>
              <w:t> </w:t>
            </w:r>
          </w:p>
        </w:tc>
        <w:tc>
          <w:tcPr>
            <w:tcW w:w="1011" w:type="dxa"/>
            <w:tcBorders>
              <w:top w:val="nil"/>
              <w:left w:val="nil"/>
              <w:bottom w:val="nil"/>
              <w:right w:val="nil"/>
            </w:tcBorders>
            <w:shd w:val="clear" w:color="000000" w:fill="FFFFFF"/>
            <w:noWrap/>
            <w:vAlign w:val="bottom"/>
            <w:hideMark/>
          </w:tcPr>
          <w:p w:rsidR="00A7148D" w:rsidRPr="00A7148D" w:rsidRDefault="00A7148D" w:rsidP="00A7148D">
            <w:pPr>
              <w:rPr>
                <w:rFonts w:ascii="Times New Roman" w:hAnsi="Times New Roman"/>
                <w:color w:val="000000"/>
                <w:lang w:val="es-AR" w:eastAsia="es-AR"/>
              </w:rPr>
            </w:pPr>
            <w:r w:rsidRPr="00A7148D">
              <w:rPr>
                <w:rFonts w:ascii="Times New Roman" w:hAnsi="Times New Roman"/>
                <w:color w:val="000000"/>
                <w:lang w:val="es-AR" w:eastAsia="es-AR"/>
              </w:rPr>
              <w:t> </w:t>
            </w:r>
          </w:p>
        </w:tc>
        <w:tc>
          <w:tcPr>
            <w:tcW w:w="1060" w:type="dxa"/>
            <w:tcBorders>
              <w:top w:val="nil"/>
              <w:left w:val="nil"/>
              <w:bottom w:val="nil"/>
              <w:right w:val="nil"/>
            </w:tcBorders>
            <w:shd w:val="clear" w:color="000000" w:fill="FFFFFF"/>
            <w:noWrap/>
            <w:vAlign w:val="bottom"/>
            <w:hideMark/>
          </w:tcPr>
          <w:p w:rsidR="00A7148D" w:rsidRPr="00A7148D" w:rsidRDefault="00A7148D" w:rsidP="00A7148D">
            <w:pPr>
              <w:rPr>
                <w:rFonts w:ascii="Times New Roman" w:hAnsi="Times New Roman"/>
                <w:color w:val="000000"/>
                <w:lang w:val="es-AR" w:eastAsia="es-AR"/>
              </w:rPr>
            </w:pPr>
            <w:r w:rsidRPr="00A7148D">
              <w:rPr>
                <w:rFonts w:ascii="Times New Roman" w:hAnsi="Times New Roman"/>
                <w:color w:val="000000"/>
                <w:lang w:val="es-AR" w:eastAsia="es-AR"/>
              </w:rPr>
              <w:t> </w:t>
            </w:r>
          </w:p>
        </w:tc>
        <w:tc>
          <w:tcPr>
            <w:tcW w:w="1109" w:type="dxa"/>
            <w:tcBorders>
              <w:top w:val="nil"/>
              <w:left w:val="nil"/>
              <w:bottom w:val="nil"/>
              <w:right w:val="single" w:sz="4" w:space="0" w:color="auto"/>
            </w:tcBorders>
            <w:shd w:val="clear" w:color="000000" w:fill="FFFFFF"/>
            <w:noWrap/>
            <w:vAlign w:val="bottom"/>
            <w:hideMark/>
          </w:tcPr>
          <w:p w:rsidR="00A7148D" w:rsidRPr="00A7148D" w:rsidRDefault="00A7148D" w:rsidP="00A7148D">
            <w:pPr>
              <w:rPr>
                <w:rFonts w:ascii="Times New Roman" w:hAnsi="Times New Roman"/>
                <w:color w:val="000000"/>
                <w:lang w:val="es-AR" w:eastAsia="es-AR"/>
              </w:rPr>
            </w:pPr>
            <w:r w:rsidRPr="00A7148D">
              <w:rPr>
                <w:rFonts w:ascii="Times New Roman" w:hAnsi="Times New Roman"/>
                <w:color w:val="000000"/>
                <w:lang w:val="es-AR" w:eastAsia="es-AR"/>
              </w:rPr>
              <w:t> </w:t>
            </w:r>
          </w:p>
        </w:tc>
      </w:tr>
      <w:tr w:rsidR="00A7148D" w:rsidRPr="00A7148D" w:rsidTr="00A7148D">
        <w:trPr>
          <w:trHeight w:val="300"/>
          <w:jc w:val="center"/>
        </w:trPr>
        <w:tc>
          <w:tcPr>
            <w:tcW w:w="3400" w:type="dxa"/>
            <w:tcBorders>
              <w:top w:val="nil"/>
              <w:left w:val="single" w:sz="4" w:space="0" w:color="auto"/>
              <w:bottom w:val="nil"/>
              <w:right w:val="nil"/>
            </w:tcBorders>
            <w:shd w:val="clear" w:color="000000" w:fill="FFFFFF"/>
            <w:noWrap/>
            <w:vAlign w:val="bottom"/>
            <w:hideMark/>
          </w:tcPr>
          <w:p w:rsidR="00A7148D" w:rsidRPr="00A7148D" w:rsidRDefault="00A7148D" w:rsidP="00A7148D">
            <w:pPr>
              <w:rPr>
                <w:rFonts w:ascii="Times New Roman" w:hAnsi="Times New Roman"/>
                <w:color w:val="000000"/>
                <w:lang w:val="es-AR" w:eastAsia="es-AR"/>
              </w:rPr>
            </w:pPr>
            <w:r w:rsidRPr="00A7148D">
              <w:rPr>
                <w:rFonts w:ascii="Times New Roman" w:hAnsi="Times New Roman"/>
                <w:color w:val="000000"/>
                <w:lang w:val="es-AR" w:eastAsia="es-AR"/>
              </w:rPr>
              <w:t>Afectación sector Público</w:t>
            </w:r>
          </w:p>
        </w:tc>
        <w:tc>
          <w:tcPr>
            <w:tcW w:w="1060" w:type="dxa"/>
            <w:tcBorders>
              <w:top w:val="nil"/>
              <w:left w:val="nil"/>
              <w:bottom w:val="nil"/>
              <w:right w:val="nil"/>
            </w:tcBorders>
            <w:shd w:val="clear" w:color="000000" w:fill="FFFFFF"/>
            <w:noWrap/>
            <w:vAlign w:val="bottom"/>
            <w:hideMark/>
          </w:tcPr>
          <w:p w:rsidR="00A7148D" w:rsidRPr="00A7148D" w:rsidRDefault="00A7148D" w:rsidP="00A7148D">
            <w:pPr>
              <w:rPr>
                <w:rFonts w:ascii="Times New Roman" w:hAnsi="Times New Roman"/>
                <w:color w:val="000000"/>
                <w:lang w:val="es-AR" w:eastAsia="es-AR"/>
              </w:rPr>
            </w:pPr>
            <w:r w:rsidRPr="00A7148D">
              <w:rPr>
                <w:rFonts w:ascii="Times New Roman" w:hAnsi="Times New Roman"/>
                <w:color w:val="000000"/>
                <w:lang w:val="es-AR" w:eastAsia="es-AR"/>
              </w:rPr>
              <w:t> </w:t>
            </w:r>
          </w:p>
        </w:tc>
        <w:tc>
          <w:tcPr>
            <w:tcW w:w="1011" w:type="dxa"/>
            <w:tcBorders>
              <w:top w:val="nil"/>
              <w:left w:val="nil"/>
              <w:bottom w:val="nil"/>
              <w:right w:val="nil"/>
            </w:tcBorders>
            <w:shd w:val="clear" w:color="000000" w:fill="FFFFFF"/>
            <w:noWrap/>
            <w:vAlign w:val="bottom"/>
            <w:hideMark/>
          </w:tcPr>
          <w:p w:rsidR="00A7148D" w:rsidRPr="00A7148D" w:rsidRDefault="00A7148D" w:rsidP="00A7148D">
            <w:pPr>
              <w:rPr>
                <w:rFonts w:ascii="Times New Roman" w:hAnsi="Times New Roman"/>
                <w:color w:val="000000"/>
                <w:lang w:val="es-AR" w:eastAsia="es-AR"/>
              </w:rPr>
            </w:pPr>
            <w:r w:rsidRPr="00A7148D">
              <w:rPr>
                <w:rFonts w:ascii="Times New Roman" w:hAnsi="Times New Roman"/>
                <w:color w:val="000000"/>
                <w:lang w:val="es-AR" w:eastAsia="es-AR"/>
              </w:rPr>
              <w:t> </w:t>
            </w:r>
          </w:p>
        </w:tc>
        <w:tc>
          <w:tcPr>
            <w:tcW w:w="1060" w:type="dxa"/>
            <w:tcBorders>
              <w:top w:val="nil"/>
              <w:left w:val="nil"/>
              <w:bottom w:val="nil"/>
              <w:right w:val="nil"/>
            </w:tcBorders>
            <w:shd w:val="clear" w:color="000000" w:fill="FFFFFF"/>
            <w:noWrap/>
            <w:vAlign w:val="bottom"/>
            <w:hideMark/>
          </w:tcPr>
          <w:p w:rsidR="00A7148D" w:rsidRPr="00A7148D" w:rsidRDefault="00A7148D" w:rsidP="00A7148D">
            <w:pPr>
              <w:rPr>
                <w:rFonts w:ascii="Times New Roman" w:hAnsi="Times New Roman"/>
                <w:color w:val="000000"/>
                <w:lang w:val="es-AR" w:eastAsia="es-AR"/>
              </w:rPr>
            </w:pPr>
            <w:r w:rsidRPr="00A7148D">
              <w:rPr>
                <w:rFonts w:ascii="Times New Roman" w:hAnsi="Times New Roman"/>
                <w:color w:val="000000"/>
                <w:lang w:val="es-AR" w:eastAsia="es-AR"/>
              </w:rPr>
              <w:t> </w:t>
            </w:r>
          </w:p>
        </w:tc>
        <w:tc>
          <w:tcPr>
            <w:tcW w:w="1109" w:type="dxa"/>
            <w:tcBorders>
              <w:top w:val="nil"/>
              <w:left w:val="nil"/>
              <w:bottom w:val="nil"/>
              <w:right w:val="single" w:sz="4" w:space="0" w:color="auto"/>
            </w:tcBorders>
            <w:shd w:val="clear" w:color="000000" w:fill="FFFFFF"/>
            <w:noWrap/>
            <w:vAlign w:val="bottom"/>
            <w:hideMark/>
          </w:tcPr>
          <w:p w:rsidR="00A7148D" w:rsidRPr="00A7148D" w:rsidRDefault="00A7148D" w:rsidP="00A7148D">
            <w:pPr>
              <w:rPr>
                <w:rFonts w:ascii="Times New Roman" w:hAnsi="Times New Roman"/>
                <w:color w:val="000000"/>
                <w:lang w:val="es-AR" w:eastAsia="es-AR"/>
              </w:rPr>
            </w:pPr>
            <w:r w:rsidRPr="00A7148D">
              <w:rPr>
                <w:rFonts w:ascii="Times New Roman" w:hAnsi="Times New Roman"/>
                <w:color w:val="000000"/>
                <w:lang w:val="es-AR" w:eastAsia="es-AR"/>
              </w:rPr>
              <w:t> </w:t>
            </w:r>
          </w:p>
        </w:tc>
      </w:tr>
      <w:tr w:rsidR="00A7148D" w:rsidRPr="00A7148D" w:rsidTr="00A7148D">
        <w:trPr>
          <w:trHeight w:val="300"/>
          <w:jc w:val="center"/>
        </w:trPr>
        <w:tc>
          <w:tcPr>
            <w:tcW w:w="3400" w:type="dxa"/>
            <w:tcBorders>
              <w:top w:val="nil"/>
              <w:left w:val="single" w:sz="4" w:space="0" w:color="auto"/>
              <w:bottom w:val="nil"/>
              <w:right w:val="nil"/>
            </w:tcBorders>
            <w:shd w:val="clear" w:color="000000" w:fill="FFFFFF"/>
            <w:noWrap/>
            <w:vAlign w:val="bottom"/>
            <w:hideMark/>
          </w:tcPr>
          <w:p w:rsidR="00A7148D" w:rsidRPr="00A7148D" w:rsidRDefault="00A7148D" w:rsidP="00A7148D">
            <w:pPr>
              <w:ind w:firstLineChars="100" w:firstLine="200"/>
              <w:rPr>
                <w:rFonts w:ascii="Times New Roman" w:hAnsi="Times New Roman"/>
                <w:color w:val="000000"/>
                <w:lang w:val="es-AR" w:eastAsia="es-AR"/>
              </w:rPr>
            </w:pPr>
            <w:r w:rsidRPr="00A7148D">
              <w:rPr>
                <w:rFonts w:ascii="Times New Roman" w:hAnsi="Times New Roman"/>
                <w:color w:val="000000"/>
                <w:lang w:val="es-AR" w:eastAsia="es-AR"/>
              </w:rPr>
              <w:t>Edificios</w:t>
            </w:r>
          </w:p>
        </w:tc>
        <w:tc>
          <w:tcPr>
            <w:tcW w:w="1060" w:type="dxa"/>
            <w:tcBorders>
              <w:top w:val="nil"/>
              <w:left w:val="nil"/>
              <w:bottom w:val="nil"/>
              <w:right w:val="nil"/>
            </w:tcBorders>
            <w:shd w:val="clear" w:color="000000" w:fill="FFFFFF"/>
            <w:noWrap/>
            <w:vAlign w:val="bottom"/>
            <w:hideMark/>
          </w:tcPr>
          <w:p w:rsidR="00A7148D" w:rsidRPr="00A7148D" w:rsidRDefault="00A7148D" w:rsidP="00A7148D">
            <w:pPr>
              <w:rPr>
                <w:rFonts w:ascii="Times New Roman" w:hAnsi="Times New Roman"/>
                <w:color w:val="000000"/>
                <w:lang w:val="es-AR" w:eastAsia="es-AR"/>
              </w:rPr>
            </w:pPr>
            <w:r w:rsidRPr="00A7148D">
              <w:rPr>
                <w:rFonts w:ascii="Times New Roman" w:hAnsi="Times New Roman"/>
                <w:color w:val="000000"/>
                <w:lang w:val="es-AR" w:eastAsia="es-AR"/>
              </w:rPr>
              <w:t>Bajo</w:t>
            </w:r>
          </w:p>
        </w:tc>
        <w:tc>
          <w:tcPr>
            <w:tcW w:w="1011" w:type="dxa"/>
            <w:tcBorders>
              <w:top w:val="nil"/>
              <w:left w:val="nil"/>
              <w:bottom w:val="nil"/>
              <w:right w:val="nil"/>
            </w:tcBorders>
            <w:shd w:val="clear" w:color="000000" w:fill="FFFFFF"/>
            <w:noWrap/>
            <w:vAlign w:val="bottom"/>
            <w:hideMark/>
          </w:tcPr>
          <w:p w:rsidR="00A7148D" w:rsidRPr="00A7148D" w:rsidRDefault="00A7148D" w:rsidP="00A7148D">
            <w:pPr>
              <w:jc w:val="right"/>
              <w:rPr>
                <w:rFonts w:ascii="Times New Roman" w:hAnsi="Times New Roman"/>
                <w:color w:val="000000"/>
                <w:lang w:val="es-AR" w:eastAsia="es-AR"/>
              </w:rPr>
            </w:pPr>
            <w:r w:rsidRPr="00A7148D">
              <w:rPr>
                <w:rFonts w:ascii="Times New Roman" w:hAnsi="Times New Roman"/>
                <w:color w:val="000000"/>
                <w:lang w:val="es-AR" w:eastAsia="es-AR"/>
              </w:rPr>
              <w:t>0%</w:t>
            </w:r>
          </w:p>
        </w:tc>
        <w:tc>
          <w:tcPr>
            <w:tcW w:w="1060" w:type="dxa"/>
            <w:tcBorders>
              <w:top w:val="nil"/>
              <w:left w:val="nil"/>
              <w:bottom w:val="nil"/>
              <w:right w:val="nil"/>
            </w:tcBorders>
            <w:shd w:val="clear" w:color="000000" w:fill="FFFFFF"/>
            <w:noWrap/>
            <w:vAlign w:val="bottom"/>
            <w:hideMark/>
          </w:tcPr>
          <w:p w:rsidR="00A7148D" w:rsidRPr="00A7148D" w:rsidRDefault="00A7148D" w:rsidP="00A7148D">
            <w:pPr>
              <w:jc w:val="right"/>
              <w:rPr>
                <w:rFonts w:ascii="Times New Roman" w:hAnsi="Times New Roman"/>
                <w:color w:val="000000"/>
                <w:lang w:val="es-AR" w:eastAsia="es-AR"/>
              </w:rPr>
            </w:pPr>
            <w:r w:rsidRPr="00A7148D">
              <w:rPr>
                <w:rFonts w:ascii="Times New Roman" w:hAnsi="Times New Roman"/>
                <w:color w:val="000000"/>
                <w:lang w:val="es-AR" w:eastAsia="es-AR"/>
              </w:rPr>
              <w:t>20%</w:t>
            </w:r>
          </w:p>
        </w:tc>
        <w:tc>
          <w:tcPr>
            <w:tcW w:w="1109" w:type="dxa"/>
            <w:tcBorders>
              <w:top w:val="nil"/>
              <w:left w:val="nil"/>
              <w:bottom w:val="nil"/>
              <w:right w:val="single" w:sz="4" w:space="0" w:color="auto"/>
            </w:tcBorders>
            <w:shd w:val="clear" w:color="000000" w:fill="FFFFFF"/>
            <w:noWrap/>
            <w:vAlign w:val="bottom"/>
            <w:hideMark/>
          </w:tcPr>
          <w:p w:rsidR="00A7148D" w:rsidRPr="00A7148D" w:rsidRDefault="00A7148D" w:rsidP="00A7148D">
            <w:pPr>
              <w:jc w:val="right"/>
              <w:rPr>
                <w:rFonts w:ascii="Times New Roman" w:hAnsi="Times New Roman"/>
                <w:color w:val="000000"/>
                <w:lang w:val="es-AR" w:eastAsia="es-AR"/>
              </w:rPr>
            </w:pPr>
            <w:r w:rsidRPr="00A7148D">
              <w:rPr>
                <w:rFonts w:ascii="Times New Roman" w:hAnsi="Times New Roman"/>
                <w:color w:val="000000"/>
                <w:lang w:val="es-AR" w:eastAsia="es-AR"/>
              </w:rPr>
              <w:t>10%</w:t>
            </w:r>
          </w:p>
        </w:tc>
      </w:tr>
      <w:tr w:rsidR="00A7148D" w:rsidRPr="00A7148D" w:rsidTr="00A7148D">
        <w:trPr>
          <w:trHeight w:val="300"/>
          <w:jc w:val="center"/>
        </w:trPr>
        <w:tc>
          <w:tcPr>
            <w:tcW w:w="3400" w:type="dxa"/>
            <w:tcBorders>
              <w:top w:val="nil"/>
              <w:left w:val="single" w:sz="4" w:space="0" w:color="auto"/>
              <w:bottom w:val="nil"/>
              <w:right w:val="nil"/>
            </w:tcBorders>
            <w:shd w:val="clear" w:color="000000" w:fill="FFFFFF"/>
            <w:noWrap/>
            <w:vAlign w:val="bottom"/>
            <w:hideMark/>
          </w:tcPr>
          <w:p w:rsidR="00A7148D" w:rsidRPr="00A7148D" w:rsidRDefault="00A7148D" w:rsidP="00A7148D">
            <w:pPr>
              <w:ind w:firstLineChars="100" w:firstLine="200"/>
              <w:rPr>
                <w:rFonts w:ascii="Times New Roman" w:hAnsi="Times New Roman"/>
                <w:color w:val="000000"/>
                <w:lang w:val="es-AR" w:eastAsia="es-AR"/>
              </w:rPr>
            </w:pPr>
            <w:r w:rsidRPr="00A7148D">
              <w:rPr>
                <w:rFonts w:ascii="Times New Roman" w:hAnsi="Times New Roman"/>
                <w:color w:val="000000"/>
                <w:lang w:val="es-AR" w:eastAsia="es-AR"/>
              </w:rPr>
              <w:t>Servicios de salud</w:t>
            </w:r>
          </w:p>
        </w:tc>
        <w:tc>
          <w:tcPr>
            <w:tcW w:w="1060" w:type="dxa"/>
            <w:tcBorders>
              <w:top w:val="nil"/>
              <w:left w:val="nil"/>
              <w:bottom w:val="nil"/>
              <w:right w:val="nil"/>
            </w:tcBorders>
            <w:shd w:val="clear" w:color="000000" w:fill="FFFFFF"/>
            <w:noWrap/>
            <w:vAlign w:val="bottom"/>
            <w:hideMark/>
          </w:tcPr>
          <w:p w:rsidR="00A7148D" w:rsidRPr="00A7148D" w:rsidRDefault="00A7148D" w:rsidP="00A7148D">
            <w:pPr>
              <w:rPr>
                <w:rFonts w:ascii="Times New Roman" w:hAnsi="Times New Roman"/>
                <w:color w:val="000000"/>
                <w:lang w:val="es-AR" w:eastAsia="es-AR"/>
              </w:rPr>
            </w:pPr>
            <w:r w:rsidRPr="00A7148D">
              <w:rPr>
                <w:rFonts w:ascii="Times New Roman" w:hAnsi="Times New Roman"/>
                <w:color w:val="000000"/>
                <w:lang w:val="es-AR" w:eastAsia="es-AR"/>
              </w:rPr>
              <w:t>Bajo</w:t>
            </w:r>
          </w:p>
        </w:tc>
        <w:tc>
          <w:tcPr>
            <w:tcW w:w="1011" w:type="dxa"/>
            <w:tcBorders>
              <w:top w:val="nil"/>
              <w:left w:val="nil"/>
              <w:bottom w:val="nil"/>
              <w:right w:val="nil"/>
            </w:tcBorders>
            <w:shd w:val="clear" w:color="000000" w:fill="FFFFFF"/>
            <w:noWrap/>
            <w:vAlign w:val="bottom"/>
            <w:hideMark/>
          </w:tcPr>
          <w:p w:rsidR="00A7148D" w:rsidRPr="00A7148D" w:rsidRDefault="00A7148D" w:rsidP="00A7148D">
            <w:pPr>
              <w:jc w:val="right"/>
              <w:rPr>
                <w:rFonts w:ascii="Times New Roman" w:hAnsi="Times New Roman"/>
                <w:color w:val="000000"/>
                <w:lang w:val="es-AR" w:eastAsia="es-AR"/>
              </w:rPr>
            </w:pPr>
            <w:r w:rsidRPr="00A7148D">
              <w:rPr>
                <w:rFonts w:ascii="Times New Roman" w:hAnsi="Times New Roman"/>
                <w:color w:val="000000"/>
                <w:lang w:val="es-AR" w:eastAsia="es-AR"/>
              </w:rPr>
              <w:t>25%</w:t>
            </w:r>
          </w:p>
        </w:tc>
        <w:tc>
          <w:tcPr>
            <w:tcW w:w="1060" w:type="dxa"/>
            <w:tcBorders>
              <w:top w:val="nil"/>
              <w:left w:val="nil"/>
              <w:bottom w:val="nil"/>
              <w:right w:val="nil"/>
            </w:tcBorders>
            <w:shd w:val="clear" w:color="000000" w:fill="FFFFFF"/>
            <w:noWrap/>
            <w:vAlign w:val="bottom"/>
            <w:hideMark/>
          </w:tcPr>
          <w:p w:rsidR="00A7148D" w:rsidRPr="00A7148D" w:rsidRDefault="00A7148D" w:rsidP="00A7148D">
            <w:pPr>
              <w:jc w:val="right"/>
              <w:rPr>
                <w:rFonts w:ascii="Times New Roman" w:hAnsi="Times New Roman"/>
                <w:color w:val="000000"/>
                <w:lang w:val="es-AR" w:eastAsia="es-AR"/>
              </w:rPr>
            </w:pPr>
            <w:r w:rsidRPr="00A7148D">
              <w:rPr>
                <w:rFonts w:ascii="Times New Roman" w:hAnsi="Times New Roman"/>
                <w:color w:val="000000"/>
                <w:lang w:val="es-AR" w:eastAsia="es-AR"/>
              </w:rPr>
              <w:t>50%</w:t>
            </w:r>
          </w:p>
        </w:tc>
        <w:tc>
          <w:tcPr>
            <w:tcW w:w="1109" w:type="dxa"/>
            <w:tcBorders>
              <w:top w:val="nil"/>
              <w:left w:val="nil"/>
              <w:bottom w:val="nil"/>
              <w:right w:val="single" w:sz="4" w:space="0" w:color="auto"/>
            </w:tcBorders>
            <w:shd w:val="clear" w:color="000000" w:fill="FFFFFF"/>
            <w:noWrap/>
            <w:vAlign w:val="bottom"/>
            <w:hideMark/>
          </w:tcPr>
          <w:p w:rsidR="00A7148D" w:rsidRPr="00A7148D" w:rsidRDefault="00A7148D" w:rsidP="00A7148D">
            <w:pPr>
              <w:jc w:val="right"/>
              <w:rPr>
                <w:rFonts w:ascii="Times New Roman" w:hAnsi="Times New Roman"/>
                <w:color w:val="000000"/>
                <w:lang w:val="es-AR" w:eastAsia="es-AR"/>
              </w:rPr>
            </w:pPr>
            <w:r w:rsidRPr="00A7148D">
              <w:rPr>
                <w:rFonts w:ascii="Times New Roman" w:hAnsi="Times New Roman"/>
                <w:color w:val="000000"/>
                <w:lang w:val="es-AR" w:eastAsia="es-AR"/>
              </w:rPr>
              <w:t>40%</w:t>
            </w:r>
          </w:p>
        </w:tc>
      </w:tr>
      <w:tr w:rsidR="00A7148D" w:rsidRPr="00A7148D" w:rsidTr="00A7148D">
        <w:trPr>
          <w:trHeight w:val="300"/>
          <w:jc w:val="center"/>
        </w:trPr>
        <w:tc>
          <w:tcPr>
            <w:tcW w:w="3400" w:type="dxa"/>
            <w:tcBorders>
              <w:top w:val="nil"/>
              <w:left w:val="single" w:sz="4" w:space="0" w:color="auto"/>
              <w:bottom w:val="nil"/>
              <w:right w:val="nil"/>
            </w:tcBorders>
            <w:shd w:val="clear" w:color="000000" w:fill="FFFFFF"/>
            <w:noWrap/>
            <w:vAlign w:val="bottom"/>
            <w:hideMark/>
          </w:tcPr>
          <w:p w:rsidR="00A7148D" w:rsidRPr="00A7148D" w:rsidRDefault="00A7148D" w:rsidP="00A7148D">
            <w:pPr>
              <w:ind w:firstLineChars="100" w:firstLine="200"/>
              <w:rPr>
                <w:rFonts w:ascii="Times New Roman" w:hAnsi="Times New Roman"/>
                <w:color w:val="000000"/>
                <w:lang w:val="es-AR" w:eastAsia="es-AR"/>
              </w:rPr>
            </w:pPr>
            <w:r w:rsidRPr="00A7148D">
              <w:rPr>
                <w:rFonts w:ascii="Times New Roman" w:hAnsi="Times New Roman"/>
                <w:color w:val="000000"/>
                <w:lang w:val="es-AR" w:eastAsia="es-AR"/>
              </w:rPr>
              <w:t>Establecimientos de enseñanza</w:t>
            </w:r>
          </w:p>
        </w:tc>
        <w:tc>
          <w:tcPr>
            <w:tcW w:w="1060" w:type="dxa"/>
            <w:tcBorders>
              <w:top w:val="nil"/>
              <w:left w:val="nil"/>
              <w:bottom w:val="nil"/>
              <w:right w:val="nil"/>
            </w:tcBorders>
            <w:shd w:val="clear" w:color="000000" w:fill="FFFFFF"/>
            <w:noWrap/>
            <w:vAlign w:val="bottom"/>
            <w:hideMark/>
          </w:tcPr>
          <w:p w:rsidR="00A7148D" w:rsidRPr="00A7148D" w:rsidRDefault="00A7148D" w:rsidP="00A7148D">
            <w:pPr>
              <w:rPr>
                <w:rFonts w:ascii="Times New Roman" w:hAnsi="Times New Roman"/>
                <w:color w:val="000000"/>
                <w:lang w:val="es-AR" w:eastAsia="es-AR"/>
              </w:rPr>
            </w:pPr>
            <w:r w:rsidRPr="00A7148D">
              <w:rPr>
                <w:rFonts w:ascii="Times New Roman" w:hAnsi="Times New Roman"/>
                <w:color w:val="000000"/>
                <w:lang w:val="es-AR" w:eastAsia="es-AR"/>
              </w:rPr>
              <w:t>Bajo</w:t>
            </w:r>
          </w:p>
        </w:tc>
        <w:tc>
          <w:tcPr>
            <w:tcW w:w="1011" w:type="dxa"/>
            <w:tcBorders>
              <w:top w:val="nil"/>
              <w:left w:val="nil"/>
              <w:bottom w:val="nil"/>
              <w:right w:val="nil"/>
            </w:tcBorders>
            <w:shd w:val="clear" w:color="000000" w:fill="FFFFFF"/>
            <w:noWrap/>
            <w:vAlign w:val="bottom"/>
            <w:hideMark/>
          </w:tcPr>
          <w:p w:rsidR="00A7148D" w:rsidRPr="00A7148D" w:rsidRDefault="00A7148D" w:rsidP="00A7148D">
            <w:pPr>
              <w:jc w:val="right"/>
              <w:rPr>
                <w:rFonts w:ascii="Times New Roman" w:hAnsi="Times New Roman"/>
                <w:color w:val="000000"/>
                <w:lang w:val="es-AR" w:eastAsia="es-AR"/>
              </w:rPr>
            </w:pPr>
            <w:r w:rsidRPr="00A7148D">
              <w:rPr>
                <w:rFonts w:ascii="Times New Roman" w:hAnsi="Times New Roman"/>
                <w:color w:val="000000"/>
                <w:lang w:val="es-AR" w:eastAsia="es-AR"/>
              </w:rPr>
              <w:t>25%</w:t>
            </w:r>
          </w:p>
        </w:tc>
        <w:tc>
          <w:tcPr>
            <w:tcW w:w="1060" w:type="dxa"/>
            <w:tcBorders>
              <w:top w:val="nil"/>
              <w:left w:val="nil"/>
              <w:bottom w:val="nil"/>
              <w:right w:val="nil"/>
            </w:tcBorders>
            <w:shd w:val="clear" w:color="000000" w:fill="FFFFFF"/>
            <w:noWrap/>
            <w:vAlign w:val="bottom"/>
            <w:hideMark/>
          </w:tcPr>
          <w:p w:rsidR="00A7148D" w:rsidRPr="00A7148D" w:rsidRDefault="00A7148D" w:rsidP="00A7148D">
            <w:pPr>
              <w:jc w:val="right"/>
              <w:rPr>
                <w:rFonts w:ascii="Times New Roman" w:hAnsi="Times New Roman"/>
                <w:color w:val="000000"/>
                <w:lang w:val="es-AR" w:eastAsia="es-AR"/>
              </w:rPr>
            </w:pPr>
            <w:r w:rsidRPr="00A7148D">
              <w:rPr>
                <w:rFonts w:ascii="Times New Roman" w:hAnsi="Times New Roman"/>
                <w:color w:val="000000"/>
                <w:lang w:val="es-AR" w:eastAsia="es-AR"/>
              </w:rPr>
              <w:t>50%</w:t>
            </w:r>
          </w:p>
        </w:tc>
        <w:tc>
          <w:tcPr>
            <w:tcW w:w="1109" w:type="dxa"/>
            <w:tcBorders>
              <w:top w:val="nil"/>
              <w:left w:val="nil"/>
              <w:bottom w:val="nil"/>
              <w:right w:val="single" w:sz="4" w:space="0" w:color="auto"/>
            </w:tcBorders>
            <w:shd w:val="clear" w:color="000000" w:fill="FFFFFF"/>
            <w:noWrap/>
            <w:vAlign w:val="bottom"/>
            <w:hideMark/>
          </w:tcPr>
          <w:p w:rsidR="00A7148D" w:rsidRPr="00A7148D" w:rsidRDefault="00A7148D" w:rsidP="00A7148D">
            <w:pPr>
              <w:jc w:val="right"/>
              <w:rPr>
                <w:rFonts w:ascii="Times New Roman" w:hAnsi="Times New Roman"/>
                <w:color w:val="000000"/>
                <w:lang w:val="es-AR" w:eastAsia="es-AR"/>
              </w:rPr>
            </w:pPr>
            <w:r w:rsidRPr="00A7148D">
              <w:rPr>
                <w:rFonts w:ascii="Times New Roman" w:hAnsi="Times New Roman"/>
                <w:color w:val="000000"/>
                <w:lang w:val="es-AR" w:eastAsia="es-AR"/>
              </w:rPr>
              <w:t>40%</w:t>
            </w:r>
          </w:p>
        </w:tc>
      </w:tr>
      <w:tr w:rsidR="00A7148D" w:rsidRPr="00A7148D" w:rsidTr="00A7148D">
        <w:trPr>
          <w:trHeight w:val="300"/>
          <w:jc w:val="center"/>
        </w:trPr>
        <w:tc>
          <w:tcPr>
            <w:tcW w:w="3400" w:type="dxa"/>
            <w:tcBorders>
              <w:top w:val="nil"/>
              <w:left w:val="single" w:sz="4" w:space="0" w:color="auto"/>
              <w:bottom w:val="nil"/>
              <w:right w:val="nil"/>
            </w:tcBorders>
            <w:shd w:val="clear" w:color="000000" w:fill="FFFFFF"/>
            <w:noWrap/>
            <w:vAlign w:val="bottom"/>
            <w:hideMark/>
          </w:tcPr>
          <w:p w:rsidR="00A7148D" w:rsidRPr="00A7148D" w:rsidRDefault="00A7148D" w:rsidP="00A7148D">
            <w:pPr>
              <w:ind w:firstLineChars="100" w:firstLine="200"/>
              <w:rPr>
                <w:rFonts w:ascii="Times New Roman" w:hAnsi="Times New Roman"/>
                <w:color w:val="000000"/>
                <w:lang w:val="es-AR" w:eastAsia="es-AR"/>
              </w:rPr>
            </w:pPr>
            <w:r w:rsidRPr="00A7148D">
              <w:rPr>
                <w:rFonts w:ascii="Times New Roman" w:hAnsi="Times New Roman"/>
                <w:color w:val="000000"/>
                <w:lang w:val="es-AR" w:eastAsia="es-AR"/>
              </w:rPr>
              <w:t>Costos de coordinación</w:t>
            </w:r>
          </w:p>
        </w:tc>
        <w:tc>
          <w:tcPr>
            <w:tcW w:w="1060" w:type="dxa"/>
            <w:tcBorders>
              <w:top w:val="nil"/>
              <w:left w:val="nil"/>
              <w:bottom w:val="nil"/>
              <w:right w:val="nil"/>
            </w:tcBorders>
            <w:shd w:val="clear" w:color="000000" w:fill="FFFFFF"/>
            <w:noWrap/>
            <w:vAlign w:val="bottom"/>
            <w:hideMark/>
          </w:tcPr>
          <w:p w:rsidR="00A7148D" w:rsidRPr="00A7148D" w:rsidRDefault="00A7148D" w:rsidP="00A7148D">
            <w:pPr>
              <w:rPr>
                <w:rFonts w:ascii="Times New Roman" w:hAnsi="Times New Roman"/>
                <w:color w:val="000000"/>
                <w:lang w:val="es-AR" w:eastAsia="es-AR"/>
              </w:rPr>
            </w:pPr>
            <w:r w:rsidRPr="00A7148D">
              <w:rPr>
                <w:rFonts w:ascii="Times New Roman" w:hAnsi="Times New Roman"/>
                <w:color w:val="000000"/>
                <w:lang w:val="es-AR" w:eastAsia="es-AR"/>
              </w:rPr>
              <w:t>Medio</w:t>
            </w:r>
          </w:p>
        </w:tc>
        <w:tc>
          <w:tcPr>
            <w:tcW w:w="1011" w:type="dxa"/>
            <w:tcBorders>
              <w:top w:val="nil"/>
              <w:left w:val="nil"/>
              <w:bottom w:val="nil"/>
              <w:right w:val="nil"/>
            </w:tcBorders>
            <w:shd w:val="clear" w:color="000000" w:fill="FFFFFF"/>
            <w:noWrap/>
            <w:vAlign w:val="bottom"/>
            <w:hideMark/>
          </w:tcPr>
          <w:p w:rsidR="00A7148D" w:rsidRPr="00A7148D" w:rsidRDefault="00A7148D" w:rsidP="00A7148D">
            <w:pPr>
              <w:jc w:val="right"/>
              <w:rPr>
                <w:rFonts w:ascii="Times New Roman" w:hAnsi="Times New Roman"/>
                <w:color w:val="000000"/>
                <w:lang w:val="es-AR" w:eastAsia="es-AR"/>
              </w:rPr>
            </w:pPr>
            <w:r w:rsidRPr="00A7148D">
              <w:rPr>
                <w:rFonts w:ascii="Times New Roman" w:hAnsi="Times New Roman"/>
                <w:color w:val="000000"/>
                <w:lang w:val="es-AR" w:eastAsia="es-AR"/>
              </w:rPr>
              <w:t>30%</w:t>
            </w:r>
          </w:p>
        </w:tc>
        <w:tc>
          <w:tcPr>
            <w:tcW w:w="1060" w:type="dxa"/>
            <w:tcBorders>
              <w:top w:val="nil"/>
              <w:left w:val="nil"/>
              <w:bottom w:val="nil"/>
              <w:right w:val="nil"/>
            </w:tcBorders>
            <w:shd w:val="clear" w:color="000000" w:fill="FFFFFF"/>
            <w:noWrap/>
            <w:vAlign w:val="bottom"/>
            <w:hideMark/>
          </w:tcPr>
          <w:p w:rsidR="00A7148D" w:rsidRPr="00A7148D" w:rsidRDefault="00A7148D" w:rsidP="00A7148D">
            <w:pPr>
              <w:jc w:val="right"/>
              <w:rPr>
                <w:rFonts w:ascii="Times New Roman" w:hAnsi="Times New Roman"/>
                <w:color w:val="000000"/>
                <w:lang w:val="es-AR" w:eastAsia="es-AR"/>
              </w:rPr>
            </w:pPr>
            <w:r w:rsidRPr="00A7148D">
              <w:rPr>
                <w:rFonts w:ascii="Times New Roman" w:hAnsi="Times New Roman"/>
                <w:color w:val="000000"/>
                <w:lang w:val="es-AR" w:eastAsia="es-AR"/>
              </w:rPr>
              <w:t>90%</w:t>
            </w:r>
          </w:p>
        </w:tc>
        <w:tc>
          <w:tcPr>
            <w:tcW w:w="1109" w:type="dxa"/>
            <w:tcBorders>
              <w:top w:val="nil"/>
              <w:left w:val="nil"/>
              <w:bottom w:val="nil"/>
              <w:right w:val="single" w:sz="4" w:space="0" w:color="auto"/>
            </w:tcBorders>
            <w:shd w:val="clear" w:color="000000" w:fill="FFFFFF"/>
            <w:noWrap/>
            <w:vAlign w:val="bottom"/>
            <w:hideMark/>
          </w:tcPr>
          <w:p w:rsidR="00A7148D" w:rsidRPr="00A7148D" w:rsidRDefault="00A7148D" w:rsidP="00A7148D">
            <w:pPr>
              <w:jc w:val="right"/>
              <w:rPr>
                <w:rFonts w:ascii="Times New Roman" w:hAnsi="Times New Roman"/>
                <w:color w:val="000000"/>
                <w:lang w:val="es-AR" w:eastAsia="es-AR"/>
              </w:rPr>
            </w:pPr>
            <w:r w:rsidRPr="00A7148D">
              <w:rPr>
                <w:rFonts w:ascii="Times New Roman" w:hAnsi="Times New Roman"/>
                <w:color w:val="000000"/>
                <w:lang w:val="es-AR" w:eastAsia="es-AR"/>
              </w:rPr>
              <w:t>60%</w:t>
            </w:r>
          </w:p>
        </w:tc>
      </w:tr>
      <w:tr w:rsidR="00A7148D" w:rsidRPr="00A7148D" w:rsidTr="00A7148D">
        <w:trPr>
          <w:trHeight w:val="135"/>
          <w:jc w:val="center"/>
        </w:trPr>
        <w:tc>
          <w:tcPr>
            <w:tcW w:w="3400" w:type="dxa"/>
            <w:tcBorders>
              <w:top w:val="nil"/>
              <w:left w:val="single" w:sz="4" w:space="0" w:color="auto"/>
              <w:bottom w:val="nil"/>
              <w:right w:val="nil"/>
            </w:tcBorders>
            <w:shd w:val="clear" w:color="000000" w:fill="FFFFFF"/>
            <w:noWrap/>
            <w:vAlign w:val="bottom"/>
            <w:hideMark/>
          </w:tcPr>
          <w:p w:rsidR="00A7148D" w:rsidRPr="00A7148D" w:rsidRDefault="00A7148D" w:rsidP="00A7148D">
            <w:pPr>
              <w:rPr>
                <w:rFonts w:ascii="Times New Roman" w:hAnsi="Times New Roman"/>
                <w:color w:val="000000"/>
                <w:lang w:val="es-AR" w:eastAsia="es-AR"/>
              </w:rPr>
            </w:pPr>
            <w:r w:rsidRPr="00A7148D">
              <w:rPr>
                <w:rFonts w:ascii="Times New Roman" w:hAnsi="Times New Roman"/>
                <w:color w:val="000000"/>
                <w:lang w:val="es-AR" w:eastAsia="es-AR"/>
              </w:rPr>
              <w:t> </w:t>
            </w:r>
          </w:p>
        </w:tc>
        <w:tc>
          <w:tcPr>
            <w:tcW w:w="1060" w:type="dxa"/>
            <w:tcBorders>
              <w:top w:val="nil"/>
              <w:left w:val="nil"/>
              <w:bottom w:val="nil"/>
              <w:right w:val="nil"/>
            </w:tcBorders>
            <w:shd w:val="clear" w:color="000000" w:fill="FFFFFF"/>
            <w:noWrap/>
            <w:vAlign w:val="bottom"/>
            <w:hideMark/>
          </w:tcPr>
          <w:p w:rsidR="00A7148D" w:rsidRPr="00A7148D" w:rsidRDefault="00A7148D" w:rsidP="00A7148D">
            <w:pPr>
              <w:rPr>
                <w:rFonts w:ascii="Times New Roman" w:hAnsi="Times New Roman"/>
                <w:color w:val="000000"/>
                <w:lang w:val="es-AR" w:eastAsia="es-AR"/>
              </w:rPr>
            </w:pPr>
            <w:r w:rsidRPr="00A7148D">
              <w:rPr>
                <w:rFonts w:ascii="Times New Roman" w:hAnsi="Times New Roman"/>
                <w:color w:val="000000"/>
                <w:lang w:val="es-AR" w:eastAsia="es-AR"/>
              </w:rPr>
              <w:t> </w:t>
            </w:r>
          </w:p>
        </w:tc>
        <w:tc>
          <w:tcPr>
            <w:tcW w:w="1011" w:type="dxa"/>
            <w:tcBorders>
              <w:top w:val="nil"/>
              <w:left w:val="nil"/>
              <w:bottom w:val="nil"/>
              <w:right w:val="nil"/>
            </w:tcBorders>
            <w:shd w:val="clear" w:color="000000" w:fill="FFFFFF"/>
            <w:noWrap/>
            <w:vAlign w:val="bottom"/>
            <w:hideMark/>
          </w:tcPr>
          <w:p w:rsidR="00A7148D" w:rsidRPr="00A7148D" w:rsidRDefault="00A7148D" w:rsidP="00A7148D">
            <w:pPr>
              <w:rPr>
                <w:rFonts w:ascii="Times New Roman" w:hAnsi="Times New Roman"/>
                <w:color w:val="000000"/>
                <w:lang w:val="es-AR" w:eastAsia="es-AR"/>
              </w:rPr>
            </w:pPr>
            <w:r w:rsidRPr="00A7148D">
              <w:rPr>
                <w:rFonts w:ascii="Times New Roman" w:hAnsi="Times New Roman"/>
                <w:color w:val="000000"/>
                <w:lang w:val="es-AR" w:eastAsia="es-AR"/>
              </w:rPr>
              <w:t> </w:t>
            </w:r>
          </w:p>
        </w:tc>
        <w:tc>
          <w:tcPr>
            <w:tcW w:w="1060" w:type="dxa"/>
            <w:tcBorders>
              <w:top w:val="nil"/>
              <w:left w:val="nil"/>
              <w:bottom w:val="nil"/>
              <w:right w:val="nil"/>
            </w:tcBorders>
            <w:shd w:val="clear" w:color="000000" w:fill="FFFFFF"/>
            <w:noWrap/>
            <w:vAlign w:val="bottom"/>
            <w:hideMark/>
          </w:tcPr>
          <w:p w:rsidR="00A7148D" w:rsidRPr="00A7148D" w:rsidRDefault="00A7148D" w:rsidP="00A7148D">
            <w:pPr>
              <w:rPr>
                <w:rFonts w:ascii="Times New Roman" w:hAnsi="Times New Roman"/>
                <w:color w:val="000000"/>
                <w:lang w:val="es-AR" w:eastAsia="es-AR"/>
              </w:rPr>
            </w:pPr>
            <w:r w:rsidRPr="00A7148D">
              <w:rPr>
                <w:rFonts w:ascii="Times New Roman" w:hAnsi="Times New Roman"/>
                <w:color w:val="000000"/>
                <w:lang w:val="es-AR" w:eastAsia="es-AR"/>
              </w:rPr>
              <w:t> </w:t>
            </w:r>
          </w:p>
        </w:tc>
        <w:tc>
          <w:tcPr>
            <w:tcW w:w="1109" w:type="dxa"/>
            <w:tcBorders>
              <w:top w:val="nil"/>
              <w:left w:val="nil"/>
              <w:bottom w:val="nil"/>
              <w:right w:val="single" w:sz="4" w:space="0" w:color="auto"/>
            </w:tcBorders>
            <w:shd w:val="clear" w:color="000000" w:fill="FFFFFF"/>
            <w:noWrap/>
            <w:vAlign w:val="bottom"/>
            <w:hideMark/>
          </w:tcPr>
          <w:p w:rsidR="00A7148D" w:rsidRPr="00A7148D" w:rsidRDefault="00A7148D" w:rsidP="00A7148D">
            <w:pPr>
              <w:rPr>
                <w:rFonts w:ascii="Times New Roman" w:hAnsi="Times New Roman"/>
                <w:color w:val="000000"/>
                <w:lang w:val="es-AR" w:eastAsia="es-AR"/>
              </w:rPr>
            </w:pPr>
            <w:r w:rsidRPr="00A7148D">
              <w:rPr>
                <w:rFonts w:ascii="Times New Roman" w:hAnsi="Times New Roman"/>
                <w:color w:val="000000"/>
                <w:lang w:val="es-AR" w:eastAsia="es-AR"/>
              </w:rPr>
              <w:t> </w:t>
            </w:r>
          </w:p>
        </w:tc>
      </w:tr>
      <w:tr w:rsidR="00A7148D" w:rsidRPr="00A7148D" w:rsidTr="00A7148D">
        <w:trPr>
          <w:trHeight w:val="300"/>
          <w:jc w:val="center"/>
        </w:trPr>
        <w:tc>
          <w:tcPr>
            <w:tcW w:w="3400" w:type="dxa"/>
            <w:tcBorders>
              <w:top w:val="nil"/>
              <w:left w:val="single" w:sz="4" w:space="0" w:color="auto"/>
              <w:bottom w:val="nil"/>
              <w:right w:val="nil"/>
            </w:tcBorders>
            <w:shd w:val="clear" w:color="000000" w:fill="FFFFFF"/>
            <w:noWrap/>
            <w:vAlign w:val="bottom"/>
            <w:hideMark/>
          </w:tcPr>
          <w:p w:rsidR="00A7148D" w:rsidRPr="00A7148D" w:rsidRDefault="00A7148D" w:rsidP="00A7148D">
            <w:pPr>
              <w:rPr>
                <w:rFonts w:ascii="Times New Roman" w:hAnsi="Times New Roman"/>
                <w:color w:val="000000"/>
                <w:lang w:val="es-AR" w:eastAsia="es-AR"/>
              </w:rPr>
            </w:pPr>
            <w:r w:rsidRPr="00A7148D">
              <w:rPr>
                <w:rFonts w:ascii="Times New Roman" w:hAnsi="Times New Roman"/>
                <w:color w:val="000000"/>
                <w:lang w:val="es-AR" w:eastAsia="es-AR"/>
              </w:rPr>
              <w:t>Otras pérdidas</w:t>
            </w:r>
          </w:p>
        </w:tc>
        <w:tc>
          <w:tcPr>
            <w:tcW w:w="4240" w:type="dxa"/>
            <w:gridSpan w:val="4"/>
            <w:tcBorders>
              <w:top w:val="nil"/>
              <w:left w:val="nil"/>
              <w:bottom w:val="nil"/>
              <w:right w:val="single" w:sz="4" w:space="0" w:color="auto"/>
            </w:tcBorders>
            <w:shd w:val="clear" w:color="000000" w:fill="FFFFFF"/>
            <w:noWrap/>
            <w:vAlign w:val="bottom"/>
            <w:hideMark/>
          </w:tcPr>
          <w:p w:rsidR="00A7148D" w:rsidRPr="00A7148D" w:rsidRDefault="00A7148D" w:rsidP="00A7148D">
            <w:pPr>
              <w:rPr>
                <w:rFonts w:ascii="Times New Roman" w:hAnsi="Times New Roman"/>
                <w:color w:val="000000"/>
                <w:lang w:val="es-AR" w:eastAsia="es-AR"/>
              </w:rPr>
            </w:pPr>
            <w:r w:rsidRPr="00A7148D">
              <w:rPr>
                <w:rFonts w:ascii="Times New Roman" w:hAnsi="Times New Roman"/>
                <w:color w:val="000000"/>
                <w:lang w:val="es-AR" w:eastAsia="es-AR"/>
              </w:rPr>
              <w:t>Pérdida de oportunidades educacionales</w:t>
            </w:r>
          </w:p>
        </w:tc>
      </w:tr>
      <w:tr w:rsidR="00A7148D" w:rsidRPr="006F6989" w:rsidTr="00A7148D">
        <w:trPr>
          <w:trHeight w:val="300"/>
          <w:jc w:val="center"/>
        </w:trPr>
        <w:tc>
          <w:tcPr>
            <w:tcW w:w="3400" w:type="dxa"/>
            <w:tcBorders>
              <w:top w:val="nil"/>
              <w:left w:val="single" w:sz="4" w:space="0" w:color="auto"/>
              <w:bottom w:val="single" w:sz="4" w:space="0" w:color="auto"/>
              <w:right w:val="nil"/>
            </w:tcBorders>
            <w:shd w:val="clear" w:color="000000" w:fill="FFFFFF"/>
            <w:noWrap/>
            <w:vAlign w:val="bottom"/>
            <w:hideMark/>
          </w:tcPr>
          <w:p w:rsidR="00A7148D" w:rsidRPr="00A7148D" w:rsidRDefault="00A7148D" w:rsidP="00A7148D">
            <w:pPr>
              <w:rPr>
                <w:rFonts w:ascii="Times New Roman" w:hAnsi="Times New Roman"/>
                <w:color w:val="000000"/>
                <w:lang w:val="es-AR" w:eastAsia="es-AR"/>
              </w:rPr>
            </w:pPr>
            <w:r w:rsidRPr="00A7148D">
              <w:rPr>
                <w:rFonts w:ascii="Times New Roman" w:hAnsi="Times New Roman"/>
                <w:color w:val="000000"/>
                <w:lang w:val="es-AR" w:eastAsia="es-AR"/>
              </w:rPr>
              <w:t> </w:t>
            </w:r>
          </w:p>
        </w:tc>
        <w:tc>
          <w:tcPr>
            <w:tcW w:w="3131" w:type="dxa"/>
            <w:gridSpan w:val="3"/>
            <w:tcBorders>
              <w:top w:val="nil"/>
              <w:left w:val="nil"/>
              <w:bottom w:val="single" w:sz="4" w:space="0" w:color="auto"/>
              <w:right w:val="nil"/>
            </w:tcBorders>
            <w:shd w:val="clear" w:color="000000" w:fill="FFFFFF"/>
            <w:noWrap/>
            <w:vAlign w:val="bottom"/>
            <w:hideMark/>
          </w:tcPr>
          <w:p w:rsidR="00A7148D" w:rsidRPr="00A7148D" w:rsidRDefault="00A7148D" w:rsidP="00A7148D">
            <w:pPr>
              <w:rPr>
                <w:rFonts w:ascii="Times New Roman" w:hAnsi="Times New Roman"/>
                <w:color w:val="000000"/>
                <w:lang w:val="es-AR" w:eastAsia="es-AR"/>
              </w:rPr>
            </w:pPr>
            <w:r w:rsidRPr="00A7148D">
              <w:rPr>
                <w:rFonts w:ascii="Times New Roman" w:hAnsi="Times New Roman"/>
                <w:color w:val="000000"/>
                <w:lang w:val="es-AR" w:eastAsia="es-AR"/>
              </w:rPr>
              <w:t>Efectos traumáticos de largo plazo</w:t>
            </w:r>
          </w:p>
        </w:tc>
        <w:tc>
          <w:tcPr>
            <w:tcW w:w="1109" w:type="dxa"/>
            <w:tcBorders>
              <w:top w:val="nil"/>
              <w:left w:val="nil"/>
              <w:bottom w:val="single" w:sz="4" w:space="0" w:color="auto"/>
              <w:right w:val="single" w:sz="4" w:space="0" w:color="auto"/>
            </w:tcBorders>
            <w:shd w:val="clear" w:color="000000" w:fill="FFFFFF"/>
            <w:noWrap/>
            <w:vAlign w:val="bottom"/>
            <w:hideMark/>
          </w:tcPr>
          <w:p w:rsidR="00A7148D" w:rsidRPr="00A7148D" w:rsidRDefault="00A7148D" w:rsidP="00A7148D">
            <w:pPr>
              <w:rPr>
                <w:rFonts w:ascii="Times New Roman" w:hAnsi="Times New Roman"/>
                <w:color w:val="000000"/>
                <w:lang w:val="es-AR" w:eastAsia="es-AR"/>
              </w:rPr>
            </w:pPr>
            <w:r w:rsidRPr="00A7148D">
              <w:rPr>
                <w:rFonts w:ascii="Times New Roman" w:hAnsi="Times New Roman"/>
                <w:color w:val="000000"/>
                <w:lang w:val="es-AR" w:eastAsia="es-AR"/>
              </w:rPr>
              <w:t> </w:t>
            </w:r>
          </w:p>
        </w:tc>
      </w:tr>
    </w:tbl>
    <w:p w:rsidR="00A7148D" w:rsidRPr="005E2636" w:rsidRDefault="00A7148D" w:rsidP="004E5EC3">
      <w:pPr>
        <w:jc w:val="both"/>
        <w:rPr>
          <w:rFonts w:ascii="Times New Roman" w:hAnsi="Times New Roman"/>
          <w:bCs/>
          <w:i/>
          <w:lang w:val="es-ES_tradnl"/>
        </w:rPr>
      </w:pPr>
      <w:r w:rsidRPr="00837476">
        <w:rPr>
          <w:rFonts w:ascii="Times New Roman" w:hAnsi="Times New Roman"/>
          <w:bCs/>
          <w:i/>
        </w:rPr>
        <w:t xml:space="preserve">Fuente: Fiji Technical Report An economic analysis for early flood warning in Navua. </w:t>
      </w:r>
      <w:r w:rsidRPr="005E2636">
        <w:rPr>
          <w:rFonts w:ascii="Times New Roman" w:hAnsi="Times New Roman"/>
          <w:bCs/>
          <w:i/>
          <w:lang w:val="es-ES_tradnl"/>
        </w:rPr>
        <w:t>SOPAC Project Report 2008.</w:t>
      </w:r>
    </w:p>
    <w:p w:rsidR="00A7148D" w:rsidRPr="00103190" w:rsidRDefault="00A7148D" w:rsidP="00A7148D">
      <w:pPr>
        <w:jc w:val="both"/>
        <w:rPr>
          <w:rFonts w:ascii="Times New Roman" w:hAnsi="Times New Roman"/>
          <w:bCs/>
          <w:sz w:val="22"/>
          <w:lang w:val="es-ES_tradnl"/>
        </w:rPr>
      </w:pPr>
    </w:p>
    <w:p w:rsidR="00466B91" w:rsidRPr="004C5317" w:rsidRDefault="0044003B" w:rsidP="00C455A0">
      <w:pPr>
        <w:numPr>
          <w:ilvl w:val="1"/>
          <w:numId w:val="12"/>
        </w:numPr>
        <w:jc w:val="both"/>
        <w:rPr>
          <w:rFonts w:ascii="Times New Roman" w:hAnsi="Times New Roman"/>
          <w:bCs/>
          <w:sz w:val="22"/>
          <w:lang w:val="es-ES_tradnl"/>
        </w:rPr>
      </w:pPr>
      <w:r>
        <w:rPr>
          <w:rFonts w:ascii="Times New Roman" w:hAnsi="Times New Roman"/>
          <w:bCs/>
          <w:sz w:val="22"/>
          <w:lang w:val="es-ES_tradnl"/>
        </w:rPr>
        <w:t>Un trabajo sobre beneficios de los SATs</w:t>
      </w:r>
      <w:r>
        <w:rPr>
          <w:rStyle w:val="FootnoteReference"/>
          <w:rFonts w:ascii="Times New Roman" w:hAnsi="Times New Roman"/>
          <w:bCs/>
          <w:sz w:val="22"/>
          <w:lang w:val="es-ES_tradnl"/>
        </w:rPr>
        <w:footnoteReference w:id="53"/>
      </w:r>
      <w:r>
        <w:rPr>
          <w:rFonts w:ascii="Times New Roman" w:hAnsi="Times New Roman"/>
          <w:bCs/>
          <w:sz w:val="22"/>
          <w:lang w:val="es-ES_tradnl"/>
        </w:rPr>
        <w:t xml:space="preserve"> establece que las alertas emitidas con anterioridad pueden permitir a la gente proteger no solo su integridad física sino también sus propiedades y aún la infraestructura. Por ejemplo operadores pueden proceder a ajustar niveles </w:t>
      </w:r>
      <w:r w:rsidR="00673163">
        <w:rPr>
          <w:rFonts w:ascii="Times New Roman" w:hAnsi="Times New Roman"/>
          <w:bCs/>
          <w:sz w:val="22"/>
          <w:lang w:val="es-ES_tradnl"/>
        </w:rPr>
        <w:t>de agua</w:t>
      </w:r>
      <w:r>
        <w:rPr>
          <w:rFonts w:ascii="Times New Roman" w:hAnsi="Times New Roman"/>
          <w:bCs/>
          <w:sz w:val="22"/>
          <w:lang w:val="es-ES_tradnl"/>
        </w:rPr>
        <w:t xml:space="preserve"> de presas o embalses, autoridades locales pueden </w:t>
      </w:r>
      <w:r w:rsidR="00673163">
        <w:rPr>
          <w:rFonts w:ascii="Times New Roman" w:hAnsi="Times New Roman"/>
          <w:bCs/>
          <w:sz w:val="22"/>
          <w:lang w:val="es-ES_tradnl"/>
        </w:rPr>
        <w:t>posicionar</w:t>
      </w:r>
      <w:r>
        <w:rPr>
          <w:rFonts w:ascii="Times New Roman" w:hAnsi="Times New Roman"/>
          <w:bCs/>
          <w:sz w:val="22"/>
          <w:lang w:val="es-ES_tradnl"/>
        </w:rPr>
        <w:t xml:space="preserve"> equipamiento de emergencia y aún los hospitales pueden organizar </w:t>
      </w:r>
      <w:r w:rsidR="00673163">
        <w:rPr>
          <w:rFonts w:ascii="Times New Roman" w:hAnsi="Times New Roman"/>
          <w:bCs/>
          <w:sz w:val="22"/>
          <w:lang w:val="es-ES_tradnl"/>
        </w:rPr>
        <w:t>desplazamientos</w:t>
      </w:r>
      <w:r>
        <w:rPr>
          <w:rFonts w:ascii="Times New Roman" w:hAnsi="Times New Roman"/>
          <w:bCs/>
          <w:sz w:val="22"/>
          <w:lang w:val="es-ES_tradnl"/>
        </w:rPr>
        <w:t xml:space="preserve"> internos de equipamiento vulnerable. En </w:t>
      </w:r>
      <w:r w:rsidR="00673163">
        <w:rPr>
          <w:rFonts w:ascii="Times New Roman" w:hAnsi="Times New Roman"/>
          <w:bCs/>
          <w:sz w:val="22"/>
          <w:lang w:val="es-ES_tradnl"/>
        </w:rPr>
        <w:t>general</w:t>
      </w:r>
      <w:r>
        <w:rPr>
          <w:rFonts w:ascii="Times New Roman" w:hAnsi="Times New Roman"/>
          <w:bCs/>
          <w:sz w:val="22"/>
          <w:lang w:val="es-ES_tradnl"/>
        </w:rPr>
        <w:t xml:space="preserve"> cuando más largo es el tiempo desde la advertencia hasta la llegada del fenómeno mayor es la protección de activos</w:t>
      </w:r>
      <w:r>
        <w:rPr>
          <w:rStyle w:val="FootnoteReference"/>
          <w:rFonts w:ascii="Times New Roman" w:hAnsi="Times New Roman"/>
          <w:bCs/>
          <w:sz w:val="22"/>
          <w:lang w:val="es-ES_tradnl"/>
        </w:rPr>
        <w:footnoteReference w:id="54"/>
      </w:r>
      <w:r>
        <w:rPr>
          <w:rFonts w:ascii="Times New Roman" w:hAnsi="Times New Roman"/>
          <w:bCs/>
          <w:sz w:val="22"/>
          <w:lang w:val="es-ES_tradnl"/>
        </w:rPr>
        <w:t xml:space="preserve">. </w:t>
      </w:r>
      <w:r w:rsidR="00177E5A">
        <w:rPr>
          <w:rFonts w:ascii="Times New Roman" w:hAnsi="Times New Roman"/>
          <w:bCs/>
          <w:sz w:val="22"/>
          <w:lang w:val="es-ES_tradnl"/>
        </w:rPr>
        <w:t xml:space="preserve">El trabajo afirma que sin dudas los SATs han reducido </w:t>
      </w:r>
      <w:r w:rsidR="00673163">
        <w:rPr>
          <w:rFonts w:ascii="Times New Roman" w:hAnsi="Times New Roman"/>
          <w:bCs/>
          <w:sz w:val="22"/>
          <w:lang w:val="es-ES_tradnl"/>
        </w:rPr>
        <w:t>sustancialmente</w:t>
      </w:r>
      <w:r w:rsidR="00177E5A">
        <w:rPr>
          <w:rFonts w:ascii="Times New Roman" w:hAnsi="Times New Roman"/>
          <w:bCs/>
          <w:sz w:val="22"/>
          <w:lang w:val="es-ES_tradnl"/>
        </w:rPr>
        <w:t xml:space="preserve"> el número de muertes y heridos, así como los daños al patrimonio, refiriendo a estudios en </w:t>
      </w:r>
      <w:r w:rsidR="002810A4">
        <w:rPr>
          <w:rFonts w:ascii="Times New Roman" w:hAnsi="Times New Roman"/>
          <w:bCs/>
          <w:sz w:val="22"/>
          <w:lang w:val="es-ES_tradnl"/>
        </w:rPr>
        <w:t xml:space="preserve">EE.UU. </w:t>
      </w:r>
      <w:r w:rsidR="00177E5A">
        <w:rPr>
          <w:rFonts w:ascii="Times New Roman" w:hAnsi="Times New Roman"/>
          <w:bCs/>
          <w:sz w:val="22"/>
          <w:lang w:val="es-ES_tradnl"/>
        </w:rPr>
        <w:t>que determinaron la disminución de un 45% en la mortalidad y un 40% en el número de heridos. Otras referencias a evaluaciones en Europa (inundaciones en el Rin entre 1992 y 1995) determinaron reducciones dramáticas en la mortalidad y baja del 50% en costos económicos por daños</w:t>
      </w:r>
      <w:r w:rsidR="00177E5A">
        <w:rPr>
          <w:rStyle w:val="FootnoteReference"/>
          <w:rFonts w:ascii="Times New Roman" w:hAnsi="Times New Roman"/>
          <w:bCs/>
          <w:sz w:val="22"/>
          <w:lang w:val="es-ES_tradnl"/>
        </w:rPr>
        <w:footnoteReference w:id="55"/>
      </w:r>
      <w:r w:rsidR="00177E5A">
        <w:rPr>
          <w:rFonts w:ascii="Times New Roman" w:hAnsi="Times New Roman"/>
          <w:bCs/>
          <w:sz w:val="22"/>
          <w:lang w:val="es-ES_tradnl"/>
        </w:rPr>
        <w:t>.</w:t>
      </w:r>
    </w:p>
    <w:p w:rsidR="00AD78F4" w:rsidRDefault="00AD78F4" w:rsidP="00AD78F4">
      <w:pPr>
        <w:ind w:left="720"/>
        <w:jc w:val="both"/>
        <w:rPr>
          <w:rFonts w:ascii="Times New Roman" w:hAnsi="Times New Roman"/>
          <w:sz w:val="22"/>
          <w:szCs w:val="22"/>
          <w:lang w:val="es-ES"/>
        </w:rPr>
      </w:pPr>
      <w:bookmarkStart w:id="119" w:name="_Toc465929625"/>
    </w:p>
    <w:p w:rsidR="00AD78F4" w:rsidRDefault="00AD78F4" w:rsidP="00AD78F4">
      <w:pPr>
        <w:numPr>
          <w:ilvl w:val="1"/>
          <w:numId w:val="24"/>
        </w:numPr>
        <w:jc w:val="both"/>
        <w:rPr>
          <w:rFonts w:ascii="Times New Roman" w:hAnsi="Times New Roman"/>
          <w:sz w:val="22"/>
          <w:szCs w:val="22"/>
          <w:lang w:val="es-ES"/>
        </w:rPr>
      </w:pPr>
      <w:r>
        <w:rPr>
          <w:rFonts w:ascii="Times New Roman" w:hAnsi="Times New Roman"/>
          <w:sz w:val="22"/>
          <w:szCs w:val="22"/>
          <w:lang w:val="es-ES"/>
        </w:rPr>
        <w:t>Los principales conceptos de beneficio valorizado se resumen en la siguiente tabla, la cual incluye su cuantificación.</w:t>
      </w:r>
    </w:p>
    <w:p w:rsidR="00AD78F4" w:rsidRDefault="00AD78F4" w:rsidP="00AD78F4">
      <w:pPr>
        <w:jc w:val="both"/>
        <w:rPr>
          <w:rFonts w:ascii="Times New Roman" w:hAnsi="Times New Roman"/>
          <w:sz w:val="22"/>
          <w:szCs w:val="22"/>
          <w:lang w:val="es-ES"/>
        </w:rPr>
      </w:pPr>
    </w:p>
    <w:p w:rsidR="00AD78F4" w:rsidRPr="008E6524" w:rsidRDefault="00AD78F4" w:rsidP="00AD78F4">
      <w:pPr>
        <w:jc w:val="both"/>
        <w:rPr>
          <w:rFonts w:ascii="Times New Roman" w:hAnsi="Times New Roman"/>
          <w:sz w:val="22"/>
          <w:szCs w:val="22"/>
          <w:lang w:val="es-AR"/>
        </w:rPr>
      </w:pPr>
      <w:r w:rsidRPr="008E6524">
        <w:rPr>
          <w:rFonts w:ascii="Times New Roman" w:hAnsi="Times New Roman"/>
          <w:b/>
          <w:lang w:val="es-AR"/>
        </w:rPr>
        <w:t xml:space="preserve">Tabla </w:t>
      </w:r>
      <w:r w:rsidR="00081A23" w:rsidRPr="008E6524">
        <w:rPr>
          <w:rFonts w:ascii="Times New Roman" w:hAnsi="Times New Roman"/>
          <w:b/>
        </w:rPr>
        <w:fldChar w:fldCharType="begin"/>
      </w:r>
      <w:r w:rsidRPr="008E6524">
        <w:rPr>
          <w:rFonts w:ascii="Times New Roman" w:hAnsi="Times New Roman"/>
          <w:b/>
          <w:lang w:val="es-AR"/>
        </w:rPr>
        <w:instrText xml:space="preserve"> SEQ Tabla \* ARABIC </w:instrText>
      </w:r>
      <w:r w:rsidR="00081A23" w:rsidRPr="008E6524">
        <w:rPr>
          <w:rFonts w:ascii="Times New Roman" w:hAnsi="Times New Roman"/>
          <w:b/>
        </w:rPr>
        <w:fldChar w:fldCharType="separate"/>
      </w:r>
      <w:r>
        <w:rPr>
          <w:rFonts w:ascii="Times New Roman" w:hAnsi="Times New Roman"/>
          <w:b/>
          <w:noProof/>
          <w:lang w:val="es-AR"/>
        </w:rPr>
        <w:t>14</w:t>
      </w:r>
      <w:r w:rsidR="00081A23" w:rsidRPr="008E6524">
        <w:rPr>
          <w:rFonts w:ascii="Times New Roman" w:hAnsi="Times New Roman"/>
          <w:b/>
        </w:rPr>
        <w:fldChar w:fldCharType="end"/>
      </w:r>
      <w:r w:rsidRPr="008E6524">
        <w:rPr>
          <w:rFonts w:ascii="Times New Roman" w:hAnsi="Times New Roman"/>
          <w:sz w:val="22"/>
          <w:szCs w:val="22"/>
          <w:lang w:val="es-AR"/>
        </w:rPr>
        <w:t xml:space="preserve">.  </w:t>
      </w:r>
      <w:r>
        <w:rPr>
          <w:rFonts w:ascii="Times New Roman" w:hAnsi="Times New Roman"/>
          <w:sz w:val="22"/>
          <w:szCs w:val="22"/>
          <w:lang w:val="es-AR"/>
        </w:rPr>
        <w:t xml:space="preserve">Beneficios computados </w:t>
      </w:r>
      <w:r w:rsidRPr="008E6524">
        <w:rPr>
          <w:rFonts w:ascii="Times New Roman" w:hAnsi="Times New Roman"/>
          <w:sz w:val="22"/>
          <w:szCs w:val="22"/>
          <w:lang w:val="es-AR"/>
        </w:rPr>
        <w:t>en</w:t>
      </w:r>
      <w:r>
        <w:rPr>
          <w:rFonts w:ascii="Times New Roman" w:hAnsi="Times New Roman"/>
          <w:sz w:val="22"/>
          <w:szCs w:val="22"/>
          <w:lang w:val="es-AR"/>
        </w:rPr>
        <w:t xml:space="preserve"> el</w:t>
      </w:r>
      <w:r w:rsidRPr="008E6524">
        <w:rPr>
          <w:rFonts w:ascii="Times New Roman" w:hAnsi="Times New Roman"/>
          <w:sz w:val="22"/>
          <w:szCs w:val="22"/>
          <w:lang w:val="es-AR"/>
        </w:rPr>
        <w:t xml:space="preserve"> análisis económico –Conceptos y valor en US</w:t>
      </w:r>
      <w:r>
        <w:rPr>
          <w:rFonts w:ascii="Times New Roman" w:hAnsi="Times New Roman"/>
          <w:sz w:val="22"/>
          <w:szCs w:val="22"/>
          <w:lang w:val="es-AR"/>
        </w:rPr>
        <w:t>$</w:t>
      </w:r>
      <w:r w:rsidRPr="008E6524">
        <w:rPr>
          <w:rFonts w:ascii="Times New Roman" w:hAnsi="Times New Roman"/>
          <w:sz w:val="22"/>
          <w:szCs w:val="22"/>
          <w:lang w:val="es-AR"/>
        </w:rPr>
        <w:t>.</w:t>
      </w:r>
    </w:p>
    <w:tbl>
      <w:tblPr>
        <w:tblW w:w="8355" w:type="dxa"/>
        <w:tblCellMar>
          <w:left w:w="70" w:type="dxa"/>
          <w:right w:w="70" w:type="dxa"/>
        </w:tblCellMar>
        <w:tblLook w:val="04A0" w:firstRow="1" w:lastRow="0" w:firstColumn="1" w:lastColumn="0" w:noHBand="0" w:noVBand="1"/>
      </w:tblPr>
      <w:tblGrid>
        <w:gridCol w:w="65"/>
        <w:gridCol w:w="3735"/>
        <w:gridCol w:w="65"/>
        <w:gridCol w:w="1415"/>
        <w:gridCol w:w="65"/>
        <w:gridCol w:w="1495"/>
        <w:gridCol w:w="65"/>
        <w:gridCol w:w="1385"/>
        <w:gridCol w:w="65"/>
      </w:tblGrid>
      <w:tr w:rsidR="00AD78F4" w:rsidRPr="001E46FA" w:rsidTr="00406CAE">
        <w:trPr>
          <w:gridBefore w:val="1"/>
          <w:wBefore w:w="65" w:type="dxa"/>
          <w:trHeight w:val="300"/>
        </w:trPr>
        <w:tc>
          <w:tcPr>
            <w:tcW w:w="38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78F4" w:rsidRPr="001E46FA" w:rsidRDefault="00AD78F4" w:rsidP="00406CAE">
            <w:pPr>
              <w:jc w:val="center"/>
              <w:rPr>
                <w:rFonts w:ascii="Times New Roman" w:hAnsi="Times New Roman"/>
                <w:color w:val="000000"/>
                <w:lang w:val="es-AR" w:eastAsia="es-AR"/>
              </w:rPr>
            </w:pPr>
            <w:r w:rsidRPr="001E46FA">
              <w:rPr>
                <w:rFonts w:ascii="Times New Roman" w:hAnsi="Times New Roman"/>
                <w:color w:val="000000"/>
                <w:lang w:val="es-AR" w:eastAsia="es-AR"/>
              </w:rPr>
              <w:t>Beneficios proyectados</w:t>
            </w:r>
          </w:p>
        </w:tc>
        <w:tc>
          <w:tcPr>
            <w:tcW w:w="14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D78F4" w:rsidRPr="001E46FA" w:rsidRDefault="00AD78F4" w:rsidP="00406CAE">
            <w:pPr>
              <w:jc w:val="center"/>
              <w:rPr>
                <w:rFonts w:ascii="Times New Roman" w:hAnsi="Times New Roman"/>
                <w:color w:val="000000"/>
                <w:lang w:val="es-AR" w:eastAsia="es-AR"/>
              </w:rPr>
            </w:pPr>
            <w:r w:rsidRPr="001E46FA">
              <w:rPr>
                <w:rFonts w:ascii="Times New Roman" w:hAnsi="Times New Roman"/>
                <w:color w:val="000000"/>
                <w:lang w:val="es-AR" w:eastAsia="es-AR"/>
              </w:rPr>
              <w:t>Período</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D78F4" w:rsidRPr="001E46FA" w:rsidRDefault="00AD78F4" w:rsidP="00406CAE">
            <w:pPr>
              <w:jc w:val="center"/>
              <w:rPr>
                <w:rFonts w:ascii="Times New Roman" w:hAnsi="Times New Roman"/>
                <w:color w:val="000000"/>
                <w:lang w:val="es-AR" w:eastAsia="es-AR"/>
              </w:rPr>
            </w:pPr>
            <w:r w:rsidRPr="001E46FA">
              <w:rPr>
                <w:rFonts w:ascii="Times New Roman" w:hAnsi="Times New Roman"/>
                <w:color w:val="000000"/>
                <w:lang w:val="es-AR" w:eastAsia="es-AR"/>
              </w:rPr>
              <w:t>Monto US$000</w:t>
            </w:r>
          </w:p>
        </w:tc>
        <w:tc>
          <w:tcPr>
            <w:tcW w:w="14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D78F4" w:rsidRPr="001E46FA" w:rsidRDefault="00AD78F4" w:rsidP="00406CAE">
            <w:pPr>
              <w:jc w:val="center"/>
              <w:rPr>
                <w:rFonts w:ascii="Times New Roman" w:hAnsi="Times New Roman"/>
                <w:color w:val="000000"/>
                <w:lang w:val="es-AR" w:eastAsia="es-AR"/>
              </w:rPr>
            </w:pPr>
            <w:r w:rsidRPr="001E46FA">
              <w:rPr>
                <w:rFonts w:ascii="Times New Roman" w:hAnsi="Times New Roman"/>
                <w:color w:val="000000"/>
                <w:lang w:val="es-AR" w:eastAsia="es-AR"/>
              </w:rPr>
              <w:t>VAN US$ 000</w:t>
            </w:r>
          </w:p>
        </w:tc>
      </w:tr>
      <w:tr w:rsidR="00AD78F4" w:rsidRPr="001E46FA" w:rsidTr="00406CAE">
        <w:trPr>
          <w:gridBefore w:val="1"/>
          <w:wBefore w:w="65" w:type="dxa"/>
          <w:trHeight w:val="300"/>
        </w:trPr>
        <w:tc>
          <w:tcPr>
            <w:tcW w:w="3800" w:type="dxa"/>
            <w:gridSpan w:val="2"/>
            <w:tcBorders>
              <w:top w:val="nil"/>
              <w:left w:val="nil"/>
              <w:bottom w:val="single" w:sz="4" w:space="0" w:color="auto"/>
              <w:right w:val="nil"/>
            </w:tcBorders>
            <w:shd w:val="clear" w:color="000000" w:fill="FFFFFF"/>
            <w:noWrap/>
            <w:vAlign w:val="center"/>
            <w:hideMark/>
          </w:tcPr>
          <w:p w:rsidR="00AD78F4" w:rsidRPr="001E46FA" w:rsidRDefault="00AD78F4" w:rsidP="00406CAE">
            <w:pPr>
              <w:rPr>
                <w:rFonts w:ascii="Times New Roman" w:hAnsi="Times New Roman"/>
                <w:color w:val="000000"/>
                <w:sz w:val="18"/>
                <w:szCs w:val="18"/>
                <w:lang w:val="es-AR" w:eastAsia="es-AR"/>
              </w:rPr>
            </w:pPr>
            <w:r w:rsidRPr="001E46FA">
              <w:rPr>
                <w:rFonts w:ascii="Times New Roman" w:hAnsi="Times New Roman"/>
                <w:color w:val="000000"/>
                <w:sz w:val="18"/>
                <w:szCs w:val="18"/>
                <w:lang w:val="es-AR" w:eastAsia="es-AR"/>
              </w:rPr>
              <w:t>Amenaza tsunami</w:t>
            </w:r>
          </w:p>
        </w:tc>
        <w:tc>
          <w:tcPr>
            <w:tcW w:w="1480" w:type="dxa"/>
            <w:gridSpan w:val="2"/>
            <w:tcBorders>
              <w:top w:val="nil"/>
              <w:left w:val="nil"/>
              <w:bottom w:val="single" w:sz="4" w:space="0" w:color="auto"/>
              <w:right w:val="nil"/>
            </w:tcBorders>
            <w:shd w:val="clear" w:color="000000" w:fill="FFFFFF"/>
            <w:noWrap/>
            <w:vAlign w:val="center"/>
            <w:hideMark/>
          </w:tcPr>
          <w:p w:rsidR="00AD78F4" w:rsidRPr="001E46FA" w:rsidRDefault="00AD78F4" w:rsidP="00406CAE">
            <w:pPr>
              <w:jc w:val="center"/>
              <w:rPr>
                <w:rFonts w:ascii="Times New Roman" w:hAnsi="Times New Roman"/>
                <w:color w:val="000000"/>
                <w:lang w:val="es-AR" w:eastAsia="es-AR"/>
              </w:rPr>
            </w:pPr>
          </w:p>
        </w:tc>
        <w:tc>
          <w:tcPr>
            <w:tcW w:w="1560" w:type="dxa"/>
            <w:gridSpan w:val="2"/>
            <w:tcBorders>
              <w:top w:val="nil"/>
              <w:left w:val="nil"/>
              <w:bottom w:val="single" w:sz="4" w:space="0" w:color="auto"/>
              <w:right w:val="nil"/>
            </w:tcBorders>
            <w:shd w:val="clear" w:color="000000" w:fill="FFFFFF"/>
            <w:noWrap/>
            <w:vAlign w:val="center"/>
            <w:hideMark/>
          </w:tcPr>
          <w:p w:rsidR="00AD78F4" w:rsidRPr="001E46FA" w:rsidRDefault="00AD78F4" w:rsidP="00406CAE">
            <w:pPr>
              <w:jc w:val="center"/>
              <w:rPr>
                <w:rFonts w:ascii="Times New Roman" w:hAnsi="Times New Roman"/>
                <w:color w:val="000000"/>
                <w:lang w:val="es-AR" w:eastAsia="es-AR"/>
              </w:rPr>
            </w:pPr>
            <w:r w:rsidRPr="001E46FA">
              <w:rPr>
                <w:rFonts w:ascii="Times New Roman" w:hAnsi="Times New Roman"/>
                <w:color w:val="000000"/>
                <w:lang w:val="es-AR" w:eastAsia="es-AR"/>
              </w:rPr>
              <w:t>115.900</w:t>
            </w:r>
          </w:p>
        </w:tc>
        <w:tc>
          <w:tcPr>
            <w:tcW w:w="1450" w:type="dxa"/>
            <w:gridSpan w:val="2"/>
            <w:tcBorders>
              <w:top w:val="nil"/>
              <w:left w:val="nil"/>
              <w:bottom w:val="single" w:sz="4" w:space="0" w:color="auto"/>
              <w:right w:val="nil"/>
            </w:tcBorders>
            <w:shd w:val="clear" w:color="000000" w:fill="FFFFFF"/>
            <w:noWrap/>
            <w:vAlign w:val="center"/>
            <w:hideMark/>
          </w:tcPr>
          <w:p w:rsidR="00AD78F4" w:rsidRPr="001E46FA" w:rsidRDefault="00AD78F4" w:rsidP="00406CAE">
            <w:pPr>
              <w:jc w:val="center"/>
              <w:rPr>
                <w:rFonts w:ascii="Times New Roman" w:hAnsi="Times New Roman"/>
                <w:color w:val="000000"/>
                <w:lang w:val="es-AR" w:eastAsia="es-AR"/>
              </w:rPr>
            </w:pPr>
            <w:r w:rsidRPr="001E46FA">
              <w:rPr>
                <w:rFonts w:ascii="Times New Roman" w:hAnsi="Times New Roman"/>
                <w:color w:val="000000"/>
                <w:lang w:val="es-AR" w:eastAsia="es-AR"/>
              </w:rPr>
              <w:t>33.224</w:t>
            </w:r>
          </w:p>
        </w:tc>
      </w:tr>
      <w:tr w:rsidR="00AD78F4" w:rsidRPr="001E46FA" w:rsidTr="00406CAE">
        <w:trPr>
          <w:gridBefore w:val="1"/>
          <w:wBefore w:w="65" w:type="dxa"/>
          <w:trHeight w:val="300"/>
        </w:trPr>
        <w:tc>
          <w:tcPr>
            <w:tcW w:w="3800" w:type="dxa"/>
            <w:gridSpan w:val="2"/>
            <w:tcBorders>
              <w:top w:val="nil"/>
              <w:left w:val="nil"/>
              <w:bottom w:val="nil"/>
              <w:right w:val="nil"/>
            </w:tcBorders>
            <w:shd w:val="clear" w:color="000000" w:fill="FFFFFF"/>
            <w:noWrap/>
            <w:vAlign w:val="center"/>
            <w:hideMark/>
          </w:tcPr>
          <w:p w:rsidR="00AD78F4" w:rsidRPr="001E46FA" w:rsidRDefault="00AD78F4" w:rsidP="00406CAE">
            <w:pPr>
              <w:rPr>
                <w:rFonts w:ascii="Times New Roman" w:hAnsi="Times New Roman"/>
                <w:color w:val="000000"/>
                <w:sz w:val="18"/>
                <w:szCs w:val="18"/>
                <w:lang w:val="es-AR" w:eastAsia="es-AR"/>
              </w:rPr>
            </w:pPr>
            <w:r w:rsidRPr="001E46FA">
              <w:rPr>
                <w:rFonts w:ascii="Times New Roman" w:hAnsi="Times New Roman"/>
                <w:color w:val="000000"/>
                <w:sz w:val="18"/>
                <w:szCs w:val="18"/>
                <w:lang w:val="es-AR" w:eastAsia="es-AR"/>
              </w:rPr>
              <w:t>Reducción en pérdida humanas (vidas+heridos)</w:t>
            </w:r>
          </w:p>
        </w:tc>
        <w:tc>
          <w:tcPr>
            <w:tcW w:w="1480" w:type="dxa"/>
            <w:gridSpan w:val="2"/>
            <w:tcBorders>
              <w:top w:val="nil"/>
              <w:left w:val="nil"/>
              <w:bottom w:val="nil"/>
              <w:right w:val="nil"/>
            </w:tcBorders>
            <w:shd w:val="clear" w:color="000000" w:fill="FFFFFF"/>
            <w:noWrap/>
            <w:vAlign w:val="center"/>
            <w:hideMark/>
          </w:tcPr>
          <w:p w:rsidR="00AD78F4" w:rsidRPr="001E46FA" w:rsidRDefault="00AD78F4" w:rsidP="00406CAE">
            <w:pPr>
              <w:jc w:val="center"/>
              <w:rPr>
                <w:rFonts w:ascii="Times New Roman" w:hAnsi="Times New Roman"/>
                <w:color w:val="000000"/>
                <w:lang w:val="es-AR" w:eastAsia="es-AR"/>
              </w:rPr>
            </w:pPr>
            <w:r w:rsidRPr="001E46FA">
              <w:rPr>
                <w:rFonts w:ascii="Times New Roman" w:hAnsi="Times New Roman"/>
                <w:color w:val="000000"/>
                <w:lang w:val="es-AR" w:eastAsia="es-AR"/>
              </w:rPr>
              <w:t>Años 4 a 20</w:t>
            </w:r>
          </w:p>
        </w:tc>
        <w:tc>
          <w:tcPr>
            <w:tcW w:w="1560" w:type="dxa"/>
            <w:gridSpan w:val="2"/>
            <w:tcBorders>
              <w:top w:val="nil"/>
              <w:left w:val="nil"/>
              <w:bottom w:val="nil"/>
              <w:right w:val="nil"/>
            </w:tcBorders>
            <w:shd w:val="clear" w:color="000000" w:fill="FFFFFF"/>
            <w:noWrap/>
            <w:vAlign w:val="center"/>
            <w:hideMark/>
          </w:tcPr>
          <w:p w:rsidR="00AD78F4" w:rsidRPr="001E46FA" w:rsidRDefault="00AD78F4" w:rsidP="00406CAE">
            <w:pPr>
              <w:jc w:val="center"/>
              <w:rPr>
                <w:rFonts w:ascii="Times New Roman" w:hAnsi="Times New Roman"/>
                <w:color w:val="000000"/>
                <w:lang w:val="es-AR" w:eastAsia="es-AR"/>
              </w:rPr>
            </w:pPr>
            <w:r w:rsidRPr="001E46FA">
              <w:rPr>
                <w:rFonts w:ascii="Times New Roman" w:hAnsi="Times New Roman"/>
                <w:color w:val="000000"/>
                <w:lang w:val="es-AR" w:eastAsia="es-AR"/>
              </w:rPr>
              <w:t>114.806</w:t>
            </w:r>
          </w:p>
        </w:tc>
        <w:tc>
          <w:tcPr>
            <w:tcW w:w="1450" w:type="dxa"/>
            <w:gridSpan w:val="2"/>
            <w:tcBorders>
              <w:top w:val="nil"/>
              <w:left w:val="nil"/>
              <w:bottom w:val="nil"/>
              <w:right w:val="nil"/>
            </w:tcBorders>
            <w:shd w:val="clear" w:color="000000" w:fill="FFFFFF"/>
            <w:noWrap/>
            <w:vAlign w:val="center"/>
            <w:hideMark/>
          </w:tcPr>
          <w:p w:rsidR="00AD78F4" w:rsidRPr="001E46FA" w:rsidRDefault="00AD78F4" w:rsidP="00406CAE">
            <w:pPr>
              <w:jc w:val="center"/>
              <w:rPr>
                <w:rFonts w:ascii="Times New Roman" w:hAnsi="Times New Roman"/>
                <w:color w:val="000000"/>
                <w:lang w:val="es-AR" w:eastAsia="es-AR"/>
              </w:rPr>
            </w:pPr>
            <w:r w:rsidRPr="001E46FA">
              <w:rPr>
                <w:rFonts w:ascii="Times New Roman" w:hAnsi="Times New Roman"/>
                <w:color w:val="000000"/>
                <w:lang w:val="es-AR" w:eastAsia="es-AR"/>
              </w:rPr>
              <w:t>32.911</w:t>
            </w:r>
          </w:p>
        </w:tc>
      </w:tr>
      <w:tr w:rsidR="00AD78F4" w:rsidRPr="001E46FA" w:rsidTr="00406CAE">
        <w:trPr>
          <w:gridBefore w:val="1"/>
          <w:wBefore w:w="65" w:type="dxa"/>
          <w:trHeight w:val="300"/>
        </w:trPr>
        <w:tc>
          <w:tcPr>
            <w:tcW w:w="3800" w:type="dxa"/>
            <w:gridSpan w:val="2"/>
            <w:tcBorders>
              <w:top w:val="nil"/>
              <w:left w:val="nil"/>
              <w:bottom w:val="nil"/>
              <w:right w:val="nil"/>
            </w:tcBorders>
            <w:shd w:val="clear" w:color="000000" w:fill="FFFFFF"/>
            <w:noWrap/>
            <w:vAlign w:val="center"/>
            <w:hideMark/>
          </w:tcPr>
          <w:p w:rsidR="00AD78F4" w:rsidRPr="001E46FA" w:rsidRDefault="00AD78F4" w:rsidP="00406CAE">
            <w:pPr>
              <w:rPr>
                <w:rFonts w:ascii="Times New Roman" w:hAnsi="Times New Roman"/>
                <w:color w:val="000000"/>
                <w:sz w:val="18"/>
                <w:szCs w:val="18"/>
                <w:lang w:val="es-AR" w:eastAsia="es-AR"/>
              </w:rPr>
            </w:pPr>
            <w:r w:rsidRPr="001E46FA">
              <w:rPr>
                <w:rFonts w:ascii="Times New Roman" w:hAnsi="Times New Roman"/>
                <w:color w:val="000000"/>
                <w:sz w:val="18"/>
                <w:szCs w:val="18"/>
                <w:lang w:val="es-AR" w:eastAsia="es-AR"/>
              </w:rPr>
              <w:t>Disminución afectación de bienes</w:t>
            </w:r>
          </w:p>
        </w:tc>
        <w:tc>
          <w:tcPr>
            <w:tcW w:w="1480" w:type="dxa"/>
            <w:gridSpan w:val="2"/>
            <w:tcBorders>
              <w:top w:val="nil"/>
              <w:left w:val="nil"/>
              <w:bottom w:val="nil"/>
              <w:right w:val="nil"/>
            </w:tcBorders>
            <w:shd w:val="clear" w:color="000000" w:fill="FFFFFF"/>
            <w:noWrap/>
            <w:vAlign w:val="center"/>
            <w:hideMark/>
          </w:tcPr>
          <w:p w:rsidR="00AD78F4" w:rsidRPr="001E46FA" w:rsidRDefault="00AD78F4" w:rsidP="00406CAE">
            <w:pPr>
              <w:jc w:val="center"/>
              <w:rPr>
                <w:rFonts w:ascii="Times New Roman" w:hAnsi="Times New Roman"/>
                <w:color w:val="000000"/>
                <w:lang w:val="es-AR" w:eastAsia="es-AR"/>
              </w:rPr>
            </w:pPr>
            <w:r w:rsidRPr="001E46FA">
              <w:rPr>
                <w:rFonts w:ascii="Times New Roman" w:hAnsi="Times New Roman"/>
                <w:color w:val="000000"/>
                <w:lang w:val="es-AR" w:eastAsia="es-AR"/>
              </w:rPr>
              <w:t>Años 4 a 20</w:t>
            </w:r>
          </w:p>
        </w:tc>
        <w:tc>
          <w:tcPr>
            <w:tcW w:w="1560" w:type="dxa"/>
            <w:gridSpan w:val="2"/>
            <w:tcBorders>
              <w:top w:val="nil"/>
              <w:left w:val="nil"/>
              <w:bottom w:val="nil"/>
              <w:right w:val="nil"/>
            </w:tcBorders>
            <w:shd w:val="clear" w:color="000000" w:fill="FFFFFF"/>
            <w:noWrap/>
            <w:vAlign w:val="center"/>
            <w:hideMark/>
          </w:tcPr>
          <w:p w:rsidR="00AD78F4" w:rsidRPr="001E46FA" w:rsidRDefault="00AD78F4" w:rsidP="00406CAE">
            <w:pPr>
              <w:jc w:val="center"/>
              <w:rPr>
                <w:rFonts w:ascii="Times New Roman" w:hAnsi="Times New Roman"/>
                <w:color w:val="000000"/>
                <w:lang w:val="es-AR" w:eastAsia="es-AR"/>
              </w:rPr>
            </w:pPr>
            <w:r w:rsidRPr="001E46FA">
              <w:rPr>
                <w:rFonts w:ascii="Times New Roman" w:hAnsi="Times New Roman"/>
                <w:color w:val="000000"/>
                <w:lang w:val="es-AR" w:eastAsia="es-AR"/>
              </w:rPr>
              <w:t>1.094</w:t>
            </w:r>
          </w:p>
        </w:tc>
        <w:tc>
          <w:tcPr>
            <w:tcW w:w="1450" w:type="dxa"/>
            <w:gridSpan w:val="2"/>
            <w:tcBorders>
              <w:top w:val="nil"/>
              <w:left w:val="nil"/>
              <w:bottom w:val="nil"/>
              <w:right w:val="nil"/>
            </w:tcBorders>
            <w:shd w:val="clear" w:color="000000" w:fill="FFFFFF"/>
            <w:noWrap/>
            <w:vAlign w:val="center"/>
            <w:hideMark/>
          </w:tcPr>
          <w:p w:rsidR="00AD78F4" w:rsidRPr="001E46FA" w:rsidRDefault="00AD78F4" w:rsidP="00406CAE">
            <w:pPr>
              <w:jc w:val="center"/>
              <w:rPr>
                <w:rFonts w:ascii="Times New Roman" w:hAnsi="Times New Roman"/>
                <w:color w:val="000000"/>
                <w:lang w:val="es-AR" w:eastAsia="es-AR"/>
              </w:rPr>
            </w:pPr>
            <w:r w:rsidRPr="001E46FA">
              <w:rPr>
                <w:rFonts w:ascii="Times New Roman" w:hAnsi="Times New Roman"/>
                <w:color w:val="000000"/>
                <w:lang w:val="es-AR" w:eastAsia="es-AR"/>
              </w:rPr>
              <w:t>314</w:t>
            </w:r>
          </w:p>
        </w:tc>
      </w:tr>
      <w:tr w:rsidR="00AD78F4" w:rsidRPr="001E46FA" w:rsidTr="00406CAE">
        <w:trPr>
          <w:gridBefore w:val="1"/>
          <w:wBefore w:w="65" w:type="dxa"/>
          <w:trHeight w:val="300"/>
        </w:trPr>
        <w:tc>
          <w:tcPr>
            <w:tcW w:w="3800" w:type="dxa"/>
            <w:gridSpan w:val="2"/>
            <w:tcBorders>
              <w:top w:val="nil"/>
              <w:left w:val="nil"/>
              <w:bottom w:val="nil"/>
              <w:right w:val="nil"/>
            </w:tcBorders>
            <w:shd w:val="clear" w:color="000000" w:fill="FFFFFF"/>
            <w:noWrap/>
            <w:vAlign w:val="center"/>
            <w:hideMark/>
          </w:tcPr>
          <w:p w:rsidR="00AD78F4" w:rsidRPr="001E46FA" w:rsidRDefault="00AD78F4" w:rsidP="00406CAE">
            <w:pPr>
              <w:rPr>
                <w:rFonts w:ascii="Times New Roman" w:hAnsi="Times New Roman"/>
                <w:color w:val="000000"/>
                <w:sz w:val="18"/>
                <w:szCs w:val="18"/>
                <w:lang w:val="es-AR" w:eastAsia="es-AR"/>
              </w:rPr>
            </w:pPr>
            <w:r w:rsidRPr="001E46FA">
              <w:rPr>
                <w:rFonts w:ascii="Times New Roman" w:hAnsi="Times New Roman"/>
                <w:color w:val="000000"/>
                <w:sz w:val="18"/>
                <w:szCs w:val="18"/>
                <w:lang w:val="es-AR" w:eastAsia="es-AR"/>
              </w:rPr>
              <w:t>Desarrollo económico a largo plazo</w:t>
            </w:r>
          </w:p>
        </w:tc>
        <w:tc>
          <w:tcPr>
            <w:tcW w:w="1480" w:type="dxa"/>
            <w:gridSpan w:val="2"/>
            <w:tcBorders>
              <w:top w:val="nil"/>
              <w:left w:val="nil"/>
              <w:bottom w:val="nil"/>
              <w:right w:val="nil"/>
            </w:tcBorders>
            <w:shd w:val="clear" w:color="000000" w:fill="FFFFFF"/>
            <w:noWrap/>
            <w:vAlign w:val="center"/>
            <w:hideMark/>
          </w:tcPr>
          <w:p w:rsidR="00AD78F4" w:rsidRPr="001E46FA" w:rsidRDefault="00AD78F4" w:rsidP="00406CAE">
            <w:pPr>
              <w:jc w:val="center"/>
              <w:rPr>
                <w:rFonts w:ascii="Times New Roman" w:hAnsi="Times New Roman"/>
                <w:color w:val="000000"/>
                <w:lang w:val="es-AR" w:eastAsia="es-AR"/>
              </w:rPr>
            </w:pPr>
            <w:r w:rsidRPr="001E46FA">
              <w:rPr>
                <w:rFonts w:ascii="Times New Roman" w:hAnsi="Times New Roman"/>
                <w:color w:val="000000"/>
                <w:lang w:val="es-AR" w:eastAsia="es-AR"/>
              </w:rPr>
              <w:t>No computado</w:t>
            </w:r>
          </w:p>
        </w:tc>
        <w:tc>
          <w:tcPr>
            <w:tcW w:w="1560" w:type="dxa"/>
            <w:gridSpan w:val="2"/>
            <w:tcBorders>
              <w:top w:val="nil"/>
              <w:left w:val="nil"/>
              <w:bottom w:val="nil"/>
              <w:right w:val="nil"/>
            </w:tcBorders>
            <w:shd w:val="clear" w:color="000000" w:fill="FFFFFF"/>
            <w:noWrap/>
            <w:vAlign w:val="center"/>
            <w:hideMark/>
          </w:tcPr>
          <w:p w:rsidR="00AD78F4" w:rsidRPr="001E46FA" w:rsidRDefault="00AD78F4" w:rsidP="00406CAE">
            <w:pPr>
              <w:jc w:val="center"/>
              <w:rPr>
                <w:rFonts w:ascii="Times New Roman" w:hAnsi="Times New Roman"/>
                <w:color w:val="000000"/>
                <w:lang w:val="es-AR" w:eastAsia="es-AR"/>
              </w:rPr>
            </w:pPr>
            <w:r w:rsidRPr="001E46FA">
              <w:rPr>
                <w:rFonts w:ascii="Times New Roman" w:hAnsi="Times New Roman"/>
                <w:color w:val="000000"/>
                <w:lang w:val="es-AR" w:eastAsia="es-AR"/>
              </w:rPr>
              <w:t>0</w:t>
            </w:r>
          </w:p>
        </w:tc>
        <w:tc>
          <w:tcPr>
            <w:tcW w:w="1450" w:type="dxa"/>
            <w:gridSpan w:val="2"/>
            <w:tcBorders>
              <w:top w:val="nil"/>
              <w:left w:val="nil"/>
              <w:bottom w:val="nil"/>
              <w:right w:val="nil"/>
            </w:tcBorders>
            <w:shd w:val="clear" w:color="000000" w:fill="FFFFFF"/>
            <w:noWrap/>
            <w:vAlign w:val="center"/>
            <w:hideMark/>
          </w:tcPr>
          <w:p w:rsidR="00AD78F4" w:rsidRPr="001E46FA" w:rsidRDefault="00AD78F4" w:rsidP="00406CAE">
            <w:pPr>
              <w:jc w:val="center"/>
              <w:rPr>
                <w:rFonts w:ascii="Times New Roman" w:hAnsi="Times New Roman"/>
                <w:color w:val="000000"/>
                <w:sz w:val="22"/>
                <w:szCs w:val="22"/>
                <w:lang w:val="es-AR" w:eastAsia="es-AR"/>
              </w:rPr>
            </w:pPr>
            <w:r w:rsidRPr="001E46FA">
              <w:rPr>
                <w:rFonts w:ascii="Times New Roman" w:hAnsi="Times New Roman"/>
                <w:color w:val="000000"/>
                <w:sz w:val="22"/>
                <w:szCs w:val="22"/>
                <w:lang w:val="es-AR" w:eastAsia="es-AR"/>
              </w:rPr>
              <w:t>0</w:t>
            </w:r>
          </w:p>
        </w:tc>
      </w:tr>
      <w:tr w:rsidR="00AD78F4" w:rsidRPr="001E46FA" w:rsidTr="00406CAE">
        <w:trPr>
          <w:gridBefore w:val="1"/>
          <w:wBefore w:w="65" w:type="dxa"/>
          <w:trHeight w:val="300"/>
        </w:trPr>
        <w:tc>
          <w:tcPr>
            <w:tcW w:w="3800" w:type="dxa"/>
            <w:gridSpan w:val="2"/>
            <w:tcBorders>
              <w:top w:val="nil"/>
              <w:left w:val="nil"/>
              <w:bottom w:val="nil"/>
              <w:right w:val="nil"/>
            </w:tcBorders>
            <w:shd w:val="clear" w:color="000000" w:fill="FFFFFF"/>
            <w:noWrap/>
            <w:vAlign w:val="center"/>
            <w:hideMark/>
          </w:tcPr>
          <w:p w:rsidR="00AD78F4" w:rsidRPr="001E46FA" w:rsidRDefault="00AD78F4" w:rsidP="00406CAE">
            <w:pPr>
              <w:rPr>
                <w:rFonts w:ascii="Times New Roman" w:hAnsi="Times New Roman"/>
                <w:color w:val="000000"/>
                <w:sz w:val="18"/>
                <w:szCs w:val="18"/>
                <w:lang w:val="es-AR" w:eastAsia="es-AR"/>
              </w:rPr>
            </w:pPr>
          </w:p>
        </w:tc>
        <w:tc>
          <w:tcPr>
            <w:tcW w:w="1480" w:type="dxa"/>
            <w:gridSpan w:val="2"/>
            <w:tcBorders>
              <w:top w:val="nil"/>
              <w:left w:val="nil"/>
              <w:bottom w:val="nil"/>
              <w:right w:val="nil"/>
            </w:tcBorders>
            <w:shd w:val="clear" w:color="000000" w:fill="FFFFFF"/>
            <w:noWrap/>
            <w:vAlign w:val="center"/>
            <w:hideMark/>
          </w:tcPr>
          <w:p w:rsidR="00AD78F4" w:rsidRPr="001E46FA" w:rsidRDefault="00AD78F4" w:rsidP="00406CAE">
            <w:pPr>
              <w:jc w:val="center"/>
              <w:rPr>
                <w:rFonts w:ascii="Times New Roman" w:hAnsi="Times New Roman"/>
                <w:color w:val="000000"/>
                <w:lang w:val="es-AR" w:eastAsia="es-AR"/>
              </w:rPr>
            </w:pPr>
          </w:p>
        </w:tc>
        <w:tc>
          <w:tcPr>
            <w:tcW w:w="1560" w:type="dxa"/>
            <w:gridSpan w:val="2"/>
            <w:tcBorders>
              <w:top w:val="nil"/>
              <w:left w:val="nil"/>
              <w:bottom w:val="nil"/>
              <w:right w:val="nil"/>
            </w:tcBorders>
            <w:shd w:val="clear" w:color="000000" w:fill="FFFFFF"/>
            <w:noWrap/>
            <w:vAlign w:val="center"/>
            <w:hideMark/>
          </w:tcPr>
          <w:p w:rsidR="00AD78F4" w:rsidRPr="001E46FA" w:rsidRDefault="00AD78F4" w:rsidP="00406CAE">
            <w:pPr>
              <w:jc w:val="center"/>
              <w:rPr>
                <w:rFonts w:ascii="Times New Roman" w:hAnsi="Times New Roman"/>
                <w:color w:val="000000"/>
                <w:lang w:val="es-AR" w:eastAsia="es-AR"/>
              </w:rPr>
            </w:pPr>
          </w:p>
        </w:tc>
        <w:tc>
          <w:tcPr>
            <w:tcW w:w="1450" w:type="dxa"/>
            <w:gridSpan w:val="2"/>
            <w:tcBorders>
              <w:top w:val="nil"/>
              <w:left w:val="nil"/>
              <w:bottom w:val="nil"/>
              <w:right w:val="nil"/>
            </w:tcBorders>
            <w:shd w:val="clear" w:color="000000" w:fill="FFFFFF"/>
            <w:noWrap/>
            <w:vAlign w:val="center"/>
            <w:hideMark/>
          </w:tcPr>
          <w:p w:rsidR="00AD78F4" w:rsidRPr="001E46FA" w:rsidRDefault="00AD78F4" w:rsidP="00406CAE">
            <w:pPr>
              <w:jc w:val="center"/>
              <w:rPr>
                <w:rFonts w:ascii="Times New Roman" w:hAnsi="Times New Roman"/>
                <w:color w:val="000000"/>
                <w:lang w:val="es-AR" w:eastAsia="es-AR"/>
              </w:rPr>
            </w:pPr>
          </w:p>
        </w:tc>
      </w:tr>
      <w:tr w:rsidR="00AD78F4" w:rsidRPr="001E46FA" w:rsidTr="00406CAE">
        <w:trPr>
          <w:gridBefore w:val="1"/>
          <w:wBefore w:w="65" w:type="dxa"/>
          <w:trHeight w:val="300"/>
        </w:trPr>
        <w:tc>
          <w:tcPr>
            <w:tcW w:w="3800" w:type="dxa"/>
            <w:gridSpan w:val="2"/>
            <w:tcBorders>
              <w:top w:val="nil"/>
              <w:left w:val="nil"/>
              <w:bottom w:val="single" w:sz="4" w:space="0" w:color="auto"/>
              <w:right w:val="nil"/>
            </w:tcBorders>
            <w:shd w:val="clear" w:color="000000" w:fill="FFFFFF"/>
            <w:noWrap/>
            <w:vAlign w:val="center"/>
            <w:hideMark/>
          </w:tcPr>
          <w:p w:rsidR="00AD78F4" w:rsidRPr="001E46FA" w:rsidRDefault="00AD78F4" w:rsidP="00406CAE">
            <w:pPr>
              <w:rPr>
                <w:rFonts w:ascii="Times New Roman" w:hAnsi="Times New Roman"/>
                <w:color w:val="000000"/>
                <w:sz w:val="18"/>
                <w:szCs w:val="18"/>
                <w:lang w:val="es-AR" w:eastAsia="es-AR"/>
              </w:rPr>
            </w:pPr>
            <w:r w:rsidRPr="001E46FA">
              <w:rPr>
                <w:rFonts w:ascii="Times New Roman" w:hAnsi="Times New Roman"/>
                <w:color w:val="000000"/>
                <w:sz w:val="18"/>
                <w:szCs w:val="18"/>
                <w:lang w:val="es-AR" w:eastAsia="es-AR"/>
              </w:rPr>
              <w:t>Amenaza desborde de ríos</w:t>
            </w:r>
          </w:p>
        </w:tc>
        <w:tc>
          <w:tcPr>
            <w:tcW w:w="1480" w:type="dxa"/>
            <w:gridSpan w:val="2"/>
            <w:tcBorders>
              <w:top w:val="nil"/>
              <w:left w:val="nil"/>
              <w:bottom w:val="single" w:sz="4" w:space="0" w:color="auto"/>
              <w:right w:val="nil"/>
            </w:tcBorders>
            <w:shd w:val="clear" w:color="000000" w:fill="FFFFFF"/>
            <w:noWrap/>
            <w:vAlign w:val="center"/>
            <w:hideMark/>
          </w:tcPr>
          <w:p w:rsidR="00AD78F4" w:rsidRPr="001E46FA" w:rsidRDefault="00AD78F4" w:rsidP="00406CAE">
            <w:pPr>
              <w:jc w:val="center"/>
              <w:rPr>
                <w:rFonts w:ascii="Times New Roman" w:hAnsi="Times New Roman"/>
                <w:color w:val="000000"/>
                <w:lang w:val="es-AR" w:eastAsia="es-AR"/>
              </w:rPr>
            </w:pPr>
          </w:p>
        </w:tc>
        <w:tc>
          <w:tcPr>
            <w:tcW w:w="1560" w:type="dxa"/>
            <w:gridSpan w:val="2"/>
            <w:tcBorders>
              <w:top w:val="nil"/>
              <w:left w:val="nil"/>
              <w:bottom w:val="single" w:sz="4" w:space="0" w:color="auto"/>
              <w:right w:val="nil"/>
            </w:tcBorders>
            <w:shd w:val="clear" w:color="000000" w:fill="FFFFFF"/>
            <w:noWrap/>
            <w:vAlign w:val="center"/>
            <w:hideMark/>
          </w:tcPr>
          <w:p w:rsidR="00AD78F4" w:rsidRPr="001E46FA" w:rsidRDefault="00AD78F4" w:rsidP="00406CAE">
            <w:pPr>
              <w:jc w:val="center"/>
              <w:rPr>
                <w:rFonts w:ascii="Times New Roman" w:hAnsi="Times New Roman"/>
                <w:color w:val="000000"/>
                <w:lang w:val="es-AR" w:eastAsia="es-AR"/>
              </w:rPr>
            </w:pPr>
            <w:r w:rsidRPr="001E46FA">
              <w:rPr>
                <w:rFonts w:ascii="Times New Roman" w:hAnsi="Times New Roman"/>
                <w:color w:val="000000"/>
                <w:lang w:val="es-AR" w:eastAsia="es-AR"/>
              </w:rPr>
              <w:t>25.446</w:t>
            </w:r>
          </w:p>
        </w:tc>
        <w:tc>
          <w:tcPr>
            <w:tcW w:w="1450" w:type="dxa"/>
            <w:gridSpan w:val="2"/>
            <w:tcBorders>
              <w:top w:val="nil"/>
              <w:left w:val="nil"/>
              <w:bottom w:val="single" w:sz="4" w:space="0" w:color="auto"/>
              <w:right w:val="nil"/>
            </w:tcBorders>
            <w:shd w:val="clear" w:color="000000" w:fill="FFFFFF"/>
            <w:noWrap/>
            <w:vAlign w:val="center"/>
            <w:hideMark/>
          </w:tcPr>
          <w:p w:rsidR="00AD78F4" w:rsidRPr="001E46FA" w:rsidRDefault="00AD78F4" w:rsidP="00406CAE">
            <w:pPr>
              <w:jc w:val="center"/>
              <w:rPr>
                <w:rFonts w:ascii="Times New Roman" w:hAnsi="Times New Roman"/>
                <w:color w:val="000000"/>
                <w:lang w:val="es-AR" w:eastAsia="es-AR"/>
              </w:rPr>
            </w:pPr>
            <w:r w:rsidRPr="001E46FA">
              <w:rPr>
                <w:rFonts w:ascii="Times New Roman" w:hAnsi="Times New Roman"/>
                <w:color w:val="000000"/>
                <w:lang w:val="es-AR" w:eastAsia="es-AR"/>
              </w:rPr>
              <w:t>8.148</w:t>
            </w:r>
          </w:p>
        </w:tc>
      </w:tr>
      <w:tr w:rsidR="00AD78F4" w:rsidRPr="001E46FA" w:rsidTr="00406CAE">
        <w:trPr>
          <w:gridAfter w:val="1"/>
          <w:wAfter w:w="65" w:type="dxa"/>
          <w:trHeight w:val="300"/>
        </w:trPr>
        <w:tc>
          <w:tcPr>
            <w:tcW w:w="3800" w:type="dxa"/>
            <w:gridSpan w:val="2"/>
            <w:tcBorders>
              <w:top w:val="nil"/>
              <w:left w:val="nil"/>
              <w:bottom w:val="nil"/>
              <w:right w:val="nil"/>
            </w:tcBorders>
            <w:shd w:val="clear" w:color="000000" w:fill="FFFFFF"/>
            <w:noWrap/>
            <w:vAlign w:val="center"/>
            <w:hideMark/>
          </w:tcPr>
          <w:p w:rsidR="00AD78F4" w:rsidRPr="001E46FA" w:rsidRDefault="00AD78F4" w:rsidP="00406CAE">
            <w:pPr>
              <w:rPr>
                <w:rFonts w:ascii="Times New Roman" w:hAnsi="Times New Roman"/>
                <w:color w:val="000000"/>
                <w:sz w:val="18"/>
                <w:szCs w:val="18"/>
                <w:lang w:val="es-AR" w:eastAsia="es-AR"/>
              </w:rPr>
            </w:pPr>
            <w:r w:rsidRPr="001E46FA">
              <w:rPr>
                <w:rFonts w:ascii="Times New Roman" w:hAnsi="Times New Roman"/>
                <w:color w:val="000000"/>
                <w:sz w:val="18"/>
                <w:szCs w:val="18"/>
                <w:lang w:val="es-AR" w:eastAsia="es-AR"/>
              </w:rPr>
              <w:lastRenderedPageBreak/>
              <w:t>Reducción en pérdida humanas (vidas+heridos)</w:t>
            </w:r>
          </w:p>
        </w:tc>
        <w:tc>
          <w:tcPr>
            <w:tcW w:w="1480" w:type="dxa"/>
            <w:gridSpan w:val="2"/>
            <w:tcBorders>
              <w:top w:val="nil"/>
              <w:left w:val="nil"/>
              <w:bottom w:val="nil"/>
              <w:right w:val="nil"/>
            </w:tcBorders>
            <w:shd w:val="clear" w:color="000000" w:fill="FFFFFF"/>
            <w:noWrap/>
            <w:vAlign w:val="center"/>
            <w:hideMark/>
          </w:tcPr>
          <w:p w:rsidR="00AD78F4" w:rsidRPr="001E46FA" w:rsidRDefault="00AD78F4" w:rsidP="00406CAE">
            <w:pPr>
              <w:jc w:val="center"/>
              <w:rPr>
                <w:rFonts w:ascii="Times New Roman" w:hAnsi="Times New Roman"/>
                <w:color w:val="000000"/>
                <w:lang w:val="es-AR" w:eastAsia="es-AR"/>
              </w:rPr>
            </w:pPr>
            <w:r w:rsidRPr="001E46FA">
              <w:rPr>
                <w:rFonts w:ascii="Times New Roman" w:hAnsi="Times New Roman"/>
                <w:color w:val="000000"/>
                <w:lang w:val="es-AR" w:eastAsia="es-AR"/>
              </w:rPr>
              <w:t>Años 4 a 20</w:t>
            </w:r>
          </w:p>
        </w:tc>
        <w:tc>
          <w:tcPr>
            <w:tcW w:w="1560" w:type="dxa"/>
            <w:gridSpan w:val="2"/>
            <w:tcBorders>
              <w:top w:val="nil"/>
              <w:left w:val="nil"/>
              <w:bottom w:val="nil"/>
              <w:right w:val="nil"/>
            </w:tcBorders>
            <w:shd w:val="clear" w:color="000000" w:fill="FFFFFF"/>
            <w:noWrap/>
            <w:vAlign w:val="center"/>
            <w:hideMark/>
          </w:tcPr>
          <w:p w:rsidR="00AD78F4" w:rsidRPr="001E46FA" w:rsidRDefault="00AD78F4" w:rsidP="00406CAE">
            <w:pPr>
              <w:jc w:val="center"/>
              <w:rPr>
                <w:rFonts w:ascii="Times New Roman" w:hAnsi="Times New Roman"/>
                <w:color w:val="000000"/>
                <w:lang w:val="es-AR" w:eastAsia="es-AR"/>
              </w:rPr>
            </w:pPr>
            <w:r w:rsidRPr="001E46FA">
              <w:rPr>
                <w:rFonts w:ascii="Times New Roman" w:hAnsi="Times New Roman"/>
                <w:color w:val="000000"/>
                <w:lang w:val="es-AR" w:eastAsia="es-AR"/>
              </w:rPr>
              <w:t>15.475</w:t>
            </w:r>
          </w:p>
        </w:tc>
        <w:tc>
          <w:tcPr>
            <w:tcW w:w="1450" w:type="dxa"/>
            <w:gridSpan w:val="2"/>
            <w:tcBorders>
              <w:top w:val="nil"/>
              <w:left w:val="nil"/>
              <w:bottom w:val="nil"/>
              <w:right w:val="nil"/>
            </w:tcBorders>
            <w:shd w:val="clear" w:color="000000" w:fill="FFFFFF"/>
            <w:noWrap/>
            <w:vAlign w:val="center"/>
            <w:hideMark/>
          </w:tcPr>
          <w:p w:rsidR="00AD78F4" w:rsidRPr="001E46FA" w:rsidRDefault="00AD78F4" w:rsidP="00406CAE">
            <w:pPr>
              <w:jc w:val="center"/>
              <w:rPr>
                <w:rFonts w:ascii="Times New Roman" w:hAnsi="Times New Roman"/>
                <w:color w:val="000000"/>
                <w:lang w:val="es-AR" w:eastAsia="es-AR"/>
              </w:rPr>
            </w:pPr>
            <w:r w:rsidRPr="001E46FA">
              <w:rPr>
                <w:rFonts w:ascii="Times New Roman" w:hAnsi="Times New Roman"/>
                <w:color w:val="000000"/>
                <w:lang w:val="es-AR" w:eastAsia="es-AR"/>
              </w:rPr>
              <w:t>4.436</w:t>
            </w:r>
          </w:p>
        </w:tc>
      </w:tr>
      <w:tr w:rsidR="00AD78F4" w:rsidRPr="001E46FA" w:rsidTr="00406CAE">
        <w:trPr>
          <w:gridAfter w:val="1"/>
          <w:wAfter w:w="65" w:type="dxa"/>
          <w:trHeight w:val="300"/>
        </w:trPr>
        <w:tc>
          <w:tcPr>
            <w:tcW w:w="3800" w:type="dxa"/>
            <w:gridSpan w:val="2"/>
            <w:tcBorders>
              <w:top w:val="nil"/>
              <w:left w:val="nil"/>
              <w:bottom w:val="nil"/>
              <w:right w:val="nil"/>
            </w:tcBorders>
            <w:shd w:val="clear" w:color="000000" w:fill="FFFFFF"/>
            <w:noWrap/>
            <w:vAlign w:val="center"/>
            <w:hideMark/>
          </w:tcPr>
          <w:p w:rsidR="00AD78F4" w:rsidRPr="001E46FA" w:rsidRDefault="00AD78F4" w:rsidP="00406CAE">
            <w:pPr>
              <w:rPr>
                <w:rFonts w:ascii="Times New Roman" w:hAnsi="Times New Roman"/>
                <w:color w:val="000000"/>
                <w:sz w:val="18"/>
                <w:szCs w:val="18"/>
                <w:lang w:val="es-AR" w:eastAsia="es-AR"/>
              </w:rPr>
            </w:pPr>
            <w:r w:rsidRPr="001E46FA">
              <w:rPr>
                <w:rFonts w:ascii="Times New Roman" w:hAnsi="Times New Roman"/>
                <w:color w:val="000000"/>
                <w:sz w:val="18"/>
                <w:szCs w:val="18"/>
                <w:lang w:val="es-AR" w:eastAsia="es-AR"/>
              </w:rPr>
              <w:t>Disminución afectación de bienes</w:t>
            </w:r>
          </w:p>
        </w:tc>
        <w:tc>
          <w:tcPr>
            <w:tcW w:w="1480" w:type="dxa"/>
            <w:gridSpan w:val="2"/>
            <w:tcBorders>
              <w:top w:val="nil"/>
              <w:left w:val="nil"/>
              <w:bottom w:val="nil"/>
              <w:right w:val="nil"/>
            </w:tcBorders>
            <w:shd w:val="clear" w:color="000000" w:fill="FFFFFF"/>
            <w:noWrap/>
            <w:vAlign w:val="center"/>
            <w:hideMark/>
          </w:tcPr>
          <w:p w:rsidR="00AD78F4" w:rsidRPr="001E46FA" w:rsidRDefault="00AD78F4" w:rsidP="00406CAE">
            <w:pPr>
              <w:jc w:val="center"/>
              <w:rPr>
                <w:rFonts w:ascii="Times New Roman" w:hAnsi="Times New Roman"/>
                <w:color w:val="000000"/>
                <w:lang w:val="es-AR" w:eastAsia="es-AR"/>
              </w:rPr>
            </w:pPr>
            <w:r w:rsidRPr="001E46FA">
              <w:rPr>
                <w:rFonts w:ascii="Times New Roman" w:hAnsi="Times New Roman"/>
                <w:color w:val="000000"/>
                <w:lang w:val="es-AR" w:eastAsia="es-AR"/>
              </w:rPr>
              <w:t>Años 4 a 20</w:t>
            </w:r>
          </w:p>
        </w:tc>
        <w:tc>
          <w:tcPr>
            <w:tcW w:w="1560" w:type="dxa"/>
            <w:gridSpan w:val="2"/>
            <w:tcBorders>
              <w:top w:val="nil"/>
              <w:left w:val="nil"/>
              <w:bottom w:val="nil"/>
              <w:right w:val="nil"/>
            </w:tcBorders>
            <w:shd w:val="clear" w:color="000000" w:fill="FFFFFF"/>
            <w:noWrap/>
            <w:vAlign w:val="center"/>
            <w:hideMark/>
          </w:tcPr>
          <w:p w:rsidR="00AD78F4" w:rsidRPr="001E46FA" w:rsidRDefault="00AD78F4" w:rsidP="00406CAE">
            <w:pPr>
              <w:jc w:val="center"/>
              <w:rPr>
                <w:rFonts w:ascii="Times New Roman" w:hAnsi="Times New Roman"/>
                <w:color w:val="000000"/>
                <w:lang w:val="es-AR" w:eastAsia="es-AR"/>
              </w:rPr>
            </w:pPr>
            <w:r w:rsidRPr="001E46FA">
              <w:rPr>
                <w:rFonts w:ascii="Times New Roman" w:hAnsi="Times New Roman"/>
                <w:color w:val="000000"/>
                <w:lang w:val="es-AR" w:eastAsia="es-AR"/>
              </w:rPr>
              <w:t>1</w:t>
            </w:r>
            <w:r>
              <w:rPr>
                <w:rFonts w:ascii="Times New Roman" w:hAnsi="Times New Roman"/>
                <w:color w:val="000000"/>
                <w:lang w:val="es-AR" w:eastAsia="es-AR"/>
              </w:rPr>
              <w:t>0.498</w:t>
            </w:r>
          </w:p>
        </w:tc>
        <w:tc>
          <w:tcPr>
            <w:tcW w:w="1450" w:type="dxa"/>
            <w:gridSpan w:val="2"/>
            <w:tcBorders>
              <w:top w:val="nil"/>
              <w:left w:val="nil"/>
              <w:bottom w:val="nil"/>
              <w:right w:val="nil"/>
            </w:tcBorders>
            <w:shd w:val="clear" w:color="000000" w:fill="FFFFFF"/>
            <w:noWrap/>
            <w:vAlign w:val="center"/>
            <w:hideMark/>
          </w:tcPr>
          <w:p w:rsidR="00AD78F4" w:rsidRPr="001E46FA" w:rsidRDefault="00AD78F4" w:rsidP="00406CAE">
            <w:pPr>
              <w:jc w:val="center"/>
              <w:rPr>
                <w:rFonts w:ascii="Times New Roman" w:hAnsi="Times New Roman"/>
                <w:color w:val="000000"/>
                <w:lang w:val="es-AR" w:eastAsia="es-AR"/>
              </w:rPr>
            </w:pPr>
            <w:r w:rsidRPr="001E46FA">
              <w:rPr>
                <w:rFonts w:ascii="Times New Roman" w:hAnsi="Times New Roman"/>
                <w:color w:val="000000"/>
                <w:lang w:val="es-AR" w:eastAsia="es-AR"/>
              </w:rPr>
              <w:t>3.</w:t>
            </w:r>
            <w:r>
              <w:rPr>
                <w:rFonts w:ascii="Times New Roman" w:hAnsi="Times New Roman"/>
                <w:color w:val="000000"/>
                <w:lang w:val="es-AR" w:eastAsia="es-AR"/>
              </w:rPr>
              <w:t>009</w:t>
            </w:r>
          </w:p>
        </w:tc>
      </w:tr>
      <w:tr w:rsidR="00AD78F4" w:rsidRPr="001E46FA" w:rsidTr="00406CAE">
        <w:trPr>
          <w:gridAfter w:val="1"/>
          <w:wAfter w:w="65" w:type="dxa"/>
          <w:trHeight w:val="300"/>
        </w:trPr>
        <w:tc>
          <w:tcPr>
            <w:tcW w:w="3800" w:type="dxa"/>
            <w:gridSpan w:val="2"/>
            <w:tcBorders>
              <w:top w:val="nil"/>
              <w:left w:val="nil"/>
              <w:bottom w:val="nil"/>
              <w:right w:val="nil"/>
            </w:tcBorders>
            <w:shd w:val="clear" w:color="000000" w:fill="FFFFFF"/>
            <w:noWrap/>
            <w:vAlign w:val="center"/>
            <w:hideMark/>
          </w:tcPr>
          <w:p w:rsidR="00AD78F4" w:rsidRPr="001E46FA" w:rsidRDefault="00AD78F4" w:rsidP="00406CAE">
            <w:pPr>
              <w:rPr>
                <w:rFonts w:ascii="Times New Roman" w:hAnsi="Times New Roman"/>
                <w:color w:val="000000"/>
                <w:sz w:val="18"/>
                <w:szCs w:val="18"/>
                <w:lang w:val="es-AR" w:eastAsia="es-AR"/>
              </w:rPr>
            </w:pPr>
            <w:r>
              <w:rPr>
                <w:rFonts w:ascii="Times New Roman" w:hAnsi="Times New Roman"/>
                <w:color w:val="000000"/>
                <w:sz w:val="18"/>
                <w:szCs w:val="18"/>
                <w:lang w:val="es-AR" w:eastAsia="es-AR"/>
              </w:rPr>
              <w:t>Reducción de actividad de corto plazo</w:t>
            </w:r>
          </w:p>
        </w:tc>
        <w:tc>
          <w:tcPr>
            <w:tcW w:w="1480" w:type="dxa"/>
            <w:gridSpan w:val="2"/>
            <w:tcBorders>
              <w:top w:val="nil"/>
              <w:left w:val="nil"/>
              <w:bottom w:val="nil"/>
              <w:right w:val="nil"/>
            </w:tcBorders>
            <w:shd w:val="clear" w:color="000000" w:fill="FFFFFF"/>
            <w:noWrap/>
            <w:vAlign w:val="center"/>
            <w:hideMark/>
          </w:tcPr>
          <w:p w:rsidR="00AD78F4" w:rsidRPr="001E46FA" w:rsidRDefault="00AD78F4" w:rsidP="00406CAE">
            <w:pPr>
              <w:jc w:val="center"/>
              <w:rPr>
                <w:rFonts w:ascii="Times New Roman" w:hAnsi="Times New Roman"/>
                <w:color w:val="000000"/>
                <w:lang w:val="es-AR" w:eastAsia="es-AR"/>
              </w:rPr>
            </w:pPr>
            <w:r w:rsidRPr="001E46FA">
              <w:rPr>
                <w:rFonts w:ascii="Times New Roman" w:hAnsi="Times New Roman"/>
                <w:color w:val="000000"/>
                <w:lang w:val="es-AR" w:eastAsia="es-AR"/>
              </w:rPr>
              <w:t>Años 4 a 20</w:t>
            </w:r>
          </w:p>
        </w:tc>
        <w:tc>
          <w:tcPr>
            <w:tcW w:w="1560" w:type="dxa"/>
            <w:gridSpan w:val="2"/>
            <w:tcBorders>
              <w:top w:val="nil"/>
              <w:left w:val="nil"/>
              <w:bottom w:val="nil"/>
              <w:right w:val="nil"/>
            </w:tcBorders>
            <w:shd w:val="clear" w:color="000000" w:fill="FFFFFF"/>
            <w:noWrap/>
            <w:vAlign w:val="center"/>
            <w:hideMark/>
          </w:tcPr>
          <w:p w:rsidR="00AD78F4" w:rsidRPr="001E46FA" w:rsidRDefault="00AD78F4" w:rsidP="00406CAE">
            <w:pPr>
              <w:jc w:val="center"/>
              <w:rPr>
                <w:rFonts w:ascii="Times New Roman" w:hAnsi="Times New Roman"/>
                <w:color w:val="000000"/>
                <w:lang w:val="es-AR" w:eastAsia="es-AR"/>
              </w:rPr>
            </w:pPr>
            <w:r>
              <w:rPr>
                <w:rFonts w:ascii="Times New Roman" w:hAnsi="Times New Roman"/>
                <w:color w:val="000000"/>
                <w:lang w:val="es-AR" w:eastAsia="es-AR"/>
              </w:rPr>
              <w:t>2.451</w:t>
            </w:r>
          </w:p>
        </w:tc>
        <w:tc>
          <w:tcPr>
            <w:tcW w:w="1450" w:type="dxa"/>
            <w:gridSpan w:val="2"/>
            <w:tcBorders>
              <w:top w:val="nil"/>
              <w:left w:val="nil"/>
              <w:bottom w:val="nil"/>
              <w:right w:val="nil"/>
            </w:tcBorders>
            <w:shd w:val="clear" w:color="000000" w:fill="FFFFFF"/>
            <w:noWrap/>
            <w:vAlign w:val="center"/>
            <w:hideMark/>
          </w:tcPr>
          <w:p w:rsidR="00AD78F4" w:rsidRPr="001E46FA" w:rsidRDefault="00AD78F4" w:rsidP="00406CAE">
            <w:pPr>
              <w:jc w:val="center"/>
              <w:rPr>
                <w:rFonts w:ascii="Times New Roman" w:hAnsi="Times New Roman"/>
                <w:color w:val="000000"/>
                <w:lang w:val="es-AR" w:eastAsia="es-AR"/>
              </w:rPr>
            </w:pPr>
            <w:r>
              <w:rPr>
                <w:rFonts w:ascii="Times New Roman" w:hAnsi="Times New Roman"/>
                <w:color w:val="000000"/>
                <w:lang w:val="es-AR" w:eastAsia="es-AR"/>
              </w:rPr>
              <w:t>703</w:t>
            </w:r>
          </w:p>
        </w:tc>
      </w:tr>
      <w:tr w:rsidR="00AD78F4" w:rsidRPr="001E46FA" w:rsidTr="00406CAE">
        <w:trPr>
          <w:gridAfter w:val="1"/>
          <w:wAfter w:w="65" w:type="dxa"/>
          <w:trHeight w:val="300"/>
        </w:trPr>
        <w:tc>
          <w:tcPr>
            <w:tcW w:w="3800" w:type="dxa"/>
            <w:gridSpan w:val="2"/>
            <w:tcBorders>
              <w:top w:val="nil"/>
              <w:left w:val="nil"/>
              <w:bottom w:val="nil"/>
              <w:right w:val="nil"/>
            </w:tcBorders>
            <w:shd w:val="clear" w:color="000000" w:fill="FFFFFF"/>
            <w:noWrap/>
            <w:vAlign w:val="center"/>
            <w:hideMark/>
          </w:tcPr>
          <w:p w:rsidR="00AD78F4" w:rsidRPr="001E46FA" w:rsidRDefault="00AD78F4" w:rsidP="00406CAE">
            <w:pPr>
              <w:rPr>
                <w:rFonts w:ascii="Times New Roman" w:hAnsi="Times New Roman"/>
                <w:color w:val="000000"/>
                <w:sz w:val="18"/>
                <w:szCs w:val="18"/>
                <w:lang w:val="es-AR" w:eastAsia="es-AR"/>
              </w:rPr>
            </w:pPr>
            <w:r w:rsidRPr="001E46FA">
              <w:rPr>
                <w:rFonts w:ascii="Times New Roman" w:hAnsi="Times New Roman"/>
                <w:color w:val="000000"/>
                <w:sz w:val="18"/>
                <w:szCs w:val="18"/>
                <w:lang w:val="es-AR" w:eastAsia="es-AR"/>
              </w:rPr>
              <w:t>Desarrollo económico a largo plazo</w:t>
            </w:r>
          </w:p>
        </w:tc>
        <w:tc>
          <w:tcPr>
            <w:tcW w:w="1480" w:type="dxa"/>
            <w:gridSpan w:val="2"/>
            <w:tcBorders>
              <w:top w:val="nil"/>
              <w:left w:val="nil"/>
              <w:bottom w:val="nil"/>
              <w:right w:val="nil"/>
            </w:tcBorders>
            <w:shd w:val="clear" w:color="000000" w:fill="FFFFFF"/>
            <w:noWrap/>
            <w:vAlign w:val="center"/>
            <w:hideMark/>
          </w:tcPr>
          <w:p w:rsidR="00AD78F4" w:rsidRPr="001E46FA" w:rsidRDefault="00AD78F4" w:rsidP="00406CAE">
            <w:pPr>
              <w:jc w:val="center"/>
              <w:rPr>
                <w:rFonts w:ascii="Times New Roman" w:hAnsi="Times New Roman"/>
                <w:color w:val="000000"/>
                <w:lang w:val="es-AR" w:eastAsia="es-AR"/>
              </w:rPr>
            </w:pPr>
            <w:r w:rsidRPr="001E46FA">
              <w:rPr>
                <w:rFonts w:ascii="Times New Roman" w:hAnsi="Times New Roman"/>
                <w:color w:val="000000"/>
                <w:lang w:val="es-AR" w:eastAsia="es-AR"/>
              </w:rPr>
              <w:t>No computado</w:t>
            </w:r>
          </w:p>
        </w:tc>
        <w:tc>
          <w:tcPr>
            <w:tcW w:w="1560" w:type="dxa"/>
            <w:gridSpan w:val="2"/>
            <w:tcBorders>
              <w:top w:val="nil"/>
              <w:left w:val="nil"/>
              <w:bottom w:val="nil"/>
              <w:right w:val="nil"/>
            </w:tcBorders>
            <w:shd w:val="clear" w:color="000000" w:fill="FFFFFF"/>
            <w:noWrap/>
            <w:vAlign w:val="center"/>
            <w:hideMark/>
          </w:tcPr>
          <w:p w:rsidR="00AD78F4" w:rsidRPr="001E46FA" w:rsidRDefault="00AD78F4" w:rsidP="00406CAE">
            <w:pPr>
              <w:jc w:val="center"/>
              <w:rPr>
                <w:rFonts w:ascii="Times New Roman" w:hAnsi="Times New Roman"/>
                <w:color w:val="000000"/>
                <w:lang w:val="es-AR" w:eastAsia="es-AR"/>
              </w:rPr>
            </w:pPr>
            <w:r w:rsidRPr="001E46FA">
              <w:rPr>
                <w:rFonts w:ascii="Times New Roman" w:hAnsi="Times New Roman"/>
                <w:color w:val="000000"/>
                <w:lang w:val="es-AR" w:eastAsia="es-AR"/>
              </w:rPr>
              <w:t>0</w:t>
            </w:r>
          </w:p>
        </w:tc>
        <w:tc>
          <w:tcPr>
            <w:tcW w:w="1450" w:type="dxa"/>
            <w:gridSpan w:val="2"/>
            <w:tcBorders>
              <w:top w:val="nil"/>
              <w:left w:val="nil"/>
              <w:bottom w:val="nil"/>
              <w:right w:val="nil"/>
            </w:tcBorders>
            <w:shd w:val="clear" w:color="000000" w:fill="FFFFFF"/>
            <w:noWrap/>
            <w:vAlign w:val="center"/>
            <w:hideMark/>
          </w:tcPr>
          <w:p w:rsidR="00AD78F4" w:rsidRPr="001E46FA" w:rsidRDefault="00AD78F4" w:rsidP="00406CAE">
            <w:pPr>
              <w:jc w:val="center"/>
              <w:rPr>
                <w:rFonts w:ascii="Times New Roman" w:hAnsi="Times New Roman"/>
                <w:color w:val="000000"/>
                <w:lang w:val="es-AR" w:eastAsia="es-AR"/>
              </w:rPr>
            </w:pPr>
            <w:r w:rsidRPr="001E46FA">
              <w:rPr>
                <w:rFonts w:ascii="Times New Roman" w:hAnsi="Times New Roman"/>
                <w:color w:val="000000"/>
                <w:lang w:val="es-AR" w:eastAsia="es-AR"/>
              </w:rPr>
              <w:t>0</w:t>
            </w:r>
          </w:p>
        </w:tc>
      </w:tr>
    </w:tbl>
    <w:p w:rsidR="00AD78F4" w:rsidRDefault="00AD78F4" w:rsidP="00AD78F4">
      <w:pPr>
        <w:jc w:val="both"/>
        <w:rPr>
          <w:rFonts w:ascii="Times New Roman" w:hAnsi="Times New Roman"/>
          <w:sz w:val="22"/>
          <w:szCs w:val="22"/>
          <w:lang w:val="es-ES"/>
        </w:rPr>
      </w:pPr>
    </w:p>
    <w:p w:rsidR="00AD78F4" w:rsidRDefault="00AD78F4" w:rsidP="00AD78F4">
      <w:pPr>
        <w:numPr>
          <w:ilvl w:val="1"/>
          <w:numId w:val="24"/>
        </w:numPr>
        <w:ind w:left="720"/>
        <w:jc w:val="both"/>
        <w:rPr>
          <w:rFonts w:ascii="Times New Roman" w:hAnsi="Times New Roman"/>
          <w:sz w:val="22"/>
          <w:szCs w:val="22"/>
          <w:lang w:val="es-ES"/>
        </w:rPr>
      </w:pPr>
      <w:r>
        <w:rPr>
          <w:rFonts w:ascii="Times New Roman" w:hAnsi="Times New Roman"/>
          <w:sz w:val="22"/>
          <w:szCs w:val="22"/>
          <w:lang w:val="es-ES"/>
        </w:rPr>
        <w:t xml:space="preserve"> El criterio para determinar los beneficios esperados responde a la combinación de los conceptos antes expuestos. Determinada la magnitud física (humana) del impacto máximo esperado se establece su valoración económica. Sin embargo, cabe considerar que ese sería el efecto determinado o proyectado dentro de un rango de ocurrencia de 500 años. Por ello, su ponderación a los fines del Flujo de fondos del Programa computa la probabilidad correspondiente a ese impacto (p 1:500) y establece una magnitud aplicable al período de 1 año. A partir de este último valor, que representa la magnitud anual del daño en caso de que el evento se registrara de modo efectivo, surgen la estimación de los ahorros (es decir la reducción de las pérdidas esperadas) que surgirían al funcionar de modo eficiente el SAT, también en base anual. Similar criterio se aplica a los distintos conceptos en ambas amenazas consideradas</w:t>
      </w:r>
      <w:r>
        <w:rPr>
          <w:rStyle w:val="FootnoteReference"/>
          <w:rFonts w:ascii="Times New Roman" w:hAnsi="Times New Roman"/>
          <w:sz w:val="22"/>
          <w:szCs w:val="22"/>
          <w:lang w:val="es-ES"/>
        </w:rPr>
        <w:footnoteReference w:id="56"/>
      </w:r>
      <w:r>
        <w:rPr>
          <w:rFonts w:ascii="Times New Roman" w:hAnsi="Times New Roman"/>
          <w:sz w:val="22"/>
          <w:szCs w:val="22"/>
          <w:lang w:val="es-ES"/>
        </w:rPr>
        <w:t>.</w:t>
      </w:r>
    </w:p>
    <w:p w:rsidR="00AD78F4" w:rsidRDefault="00AD78F4" w:rsidP="00AD78F4">
      <w:pPr>
        <w:ind w:left="720"/>
        <w:jc w:val="both"/>
        <w:rPr>
          <w:rFonts w:ascii="Times New Roman" w:hAnsi="Times New Roman"/>
          <w:sz w:val="22"/>
          <w:szCs w:val="22"/>
          <w:lang w:val="es-ES"/>
        </w:rPr>
      </w:pPr>
    </w:p>
    <w:p w:rsidR="00AD78F4" w:rsidRDefault="00AD78F4" w:rsidP="00AD78F4">
      <w:pPr>
        <w:numPr>
          <w:ilvl w:val="1"/>
          <w:numId w:val="24"/>
        </w:numPr>
        <w:ind w:left="720"/>
        <w:jc w:val="both"/>
        <w:rPr>
          <w:rFonts w:ascii="Times New Roman" w:hAnsi="Times New Roman"/>
          <w:sz w:val="22"/>
          <w:szCs w:val="22"/>
          <w:lang w:val="es-ES"/>
        </w:rPr>
      </w:pPr>
      <w:r>
        <w:rPr>
          <w:rFonts w:ascii="Times New Roman" w:hAnsi="Times New Roman"/>
          <w:sz w:val="22"/>
          <w:szCs w:val="22"/>
          <w:lang w:val="es-ES"/>
        </w:rPr>
        <w:t xml:space="preserve">Cómo puede observarse el 80% de los beneficios esperados provienen de ahorros vinculados a la amenaza tsunami. Adicionalmente, cabe destacar que en el caso del tsunami este </w:t>
      </w:r>
      <w:r w:rsidRPr="003B4DB9">
        <w:rPr>
          <w:rFonts w:ascii="Times New Roman" w:hAnsi="Times New Roman"/>
          <w:sz w:val="22"/>
          <w:szCs w:val="22"/>
          <w:lang w:val="es-ES"/>
        </w:rPr>
        <w:t xml:space="preserve">normalmente ofrece un escaso período de tiempo para aplicar estrategias </w:t>
      </w:r>
      <w:r>
        <w:rPr>
          <w:rFonts w:ascii="Times New Roman" w:hAnsi="Times New Roman"/>
          <w:sz w:val="22"/>
          <w:szCs w:val="22"/>
          <w:lang w:val="es-ES"/>
        </w:rPr>
        <w:t xml:space="preserve">de difusión </w:t>
      </w:r>
      <w:r w:rsidRPr="003B4DB9">
        <w:rPr>
          <w:rFonts w:ascii="Times New Roman" w:hAnsi="Times New Roman"/>
          <w:sz w:val="22"/>
          <w:szCs w:val="22"/>
          <w:lang w:val="es-ES"/>
        </w:rPr>
        <w:t xml:space="preserve">que permitan minimizar los efectos negativos. </w:t>
      </w:r>
      <w:r>
        <w:rPr>
          <w:rFonts w:ascii="Times New Roman" w:hAnsi="Times New Roman"/>
          <w:sz w:val="22"/>
          <w:szCs w:val="22"/>
          <w:lang w:val="es-ES"/>
        </w:rPr>
        <w:t>Los beneficios se relacionan prioritariamente  al plano humano (vidas y heridos). Frente a estas condiciones l</w:t>
      </w:r>
      <w:r w:rsidRPr="003B4DB9">
        <w:rPr>
          <w:rFonts w:ascii="Times New Roman" w:hAnsi="Times New Roman"/>
          <w:sz w:val="22"/>
          <w:szCs w:val="22"/>
          <w:lang w:val="es-ES"/>
        </w:rPr>
        <w:t xml:space="preserve">as posibilidades de reducir daños en los bienes son sensiblemente menores que frente a otros fenómenos que se </w:t>
      </w:r>
      <w:r>
        <w:rPr>
          <w:rFonts w:ascii="Times New Roman" w:hAnsi="Times New Roman"/>
          <w:sz w:val="22"/>
          <w:szCs w:val="22"/>
          <w:lang w:val="es-ES"/>
        </w:rPr>
        <w:t>detectan con mayor anticipación</w:t>
      </w:r>
      <w:r w:rsidRPr="003B4DB9">
        <w:rPr>
          <w:rFonts w:ascii="Times New Roman" w:hAnsi="Times New Roman"/>
          <w:sz w:val="22"/>
          <w:szCs w:val="22"/>
          <w:lang w:val="es-ES"/>
        </w:rPr>
        <w:t>.</w:t>
      </w:r>
      <w:r>
        <w:rPr>
          <w:rFonts w:ascii="Times New Roman" w:hAnsi="Times New Roman"/>
          <w:sz w:val="22"/>
          <w:szCs w:val="22"/>
          <w:lang w:val="es-ES"/>
        </w:rPr>
        <w:t xml:space="preserve"> Distinto es el caso de desbordamiento de ríos, donde el lapso de tiempo entre la detección y la presencia del fenómeno es más amplio (en general) lo que permite desplazar activos o tomar acciones que reduzcan los impactos.</w:t>
      </w:r>
    </w:p>
    <w:bookmarkEnd w:id="119"/>
    <w:p w:rsidR="001F0832" w:rsidRDefault="001F0832" w:rsidP="001F0832">
      <w:pPr>
        <w:pStyle w:val="ListParagraph"/>
        <w:rPr>
          <w:rFonts w:ascii="Times New Roman" w:hAnsi="Times New Roman"/>
          <w:bCs/>
          <w:sz w:val="22"/>
          <w:lang w:val="es-AR"/>
        </w:rPr>
      </w:pPr>
    </w:p>
    <w:p w:rsidR="001F0832" w:rsidRPr="001F0832" w:rsidRDefault="001F0832" w:rsidP="001F0832">
      <w:pPr>
        <w:ind w:left="718"/>
        <w:jc w:val="both"/>
        <w:rPr>
          <w:rFonts w:ascii="Times New Roman" w:hAnsi="Times New Roman"/>
          <w:bCs/>
          <w:sz w:val="22"/>
          <w:lang w:val="es-AR"/>
        </w:rPr>
      </w:pPr>
    </w:p>
    <w:p w:rsidR="000513F8" w:rsidRDefault="000513F8" w:rsidP="00C95815">
      <w:pPr>
        <w:pStyle w:val="Heading1"/>
        <w:numPr>
          <w:ilvl w:val="0"/>
          <w:numId w:val="7"/>
        </w:numPr>
        <w:jc w:val="left"/>
      </w:pPr>
      <w:bookmarkStart w:id="120" w:name="_Toc296036125"/>
      <w:bookmarkStart w:id="121" w:name="_Toc465929626"/>
      <w:bookmarkStart w:id="122" w:name="_Toc468199836"/>
      <w:bookmarkEnd w:id="116"/>
      <w:r>
        <w:t xml:space="preserve">Costos </w:t>
      </w:r>
      <w:bookmarkEnd w:id="120"/>
      <w:r w:rsidR="00137636">
        <w:t>económicos</w:t>
      </w:r>
      <w:bookmarkEnd w:id="121"/>
      <w:bookmarkEnd w:id="122"/>
    </w:p>
    <w:p w:rsidR="000513F8" w:rsidRDefault="000513F8" w:rsidP="000513F8">
      <w:pPr>
        <w:rPr>
          <w:lang w:val="es-ES_tradnl"/>
        </w:rPr>
      </w:pPr>
    </w:p>
    <w:p w:rsidR="00406CAE" w:rsidRPr="00406CAE" w:rsidRDefault="00406CAE" w:rsidP="00406CAE">
      <w:pPr>
        <w:pStyle w:val="ListParagraph"/>
        <w:numPr>
          <w:ilvl w:val="0"/>
          <w:numId w:val="24"/>
        </w:numPr>
        <w:jc w:val="both"/>
        <w:rPr>
          <w:rFonts w:ascii="Times New Roman" w:hAnsi="Times New Roman"/>
          <w:vanish/>
          <w:sz w:val="22"/>
          <w:szCs w:val="22"/>
          <w:lang w:val="es-AR"/>
        </w:rPr>
      </w:pPr>
    </w:p>
    <w:p w:rsidR="00150F38" w:rsidRDefault="00137636" w:rsidP="00406CAE">
      <w:pPr>
        <w:numPr>
          <w:ilvl w:val="1"/>
          <w:numId w:val="24"/>
        </w:numPr>
        <w:jc w:val="both"/>
        <w:rPr>
          <w:rFonts w:ascii="Times New Roman" w:hAnsi="Times New Roman"/>
          <w:sz w:val="22"/>
          <w:lang w:val="es-ES_tradnl"/>
        </w:rPr>
      </w:pPr>
      <w:r>
        <w:rPr>
          <w:rFonts w:ascii="Times New Roman" w:hAnsi="Times New Roman"/>
          <w:sz w:val="22"/>
          <w:szCs w:val="22"/>
          <w:lang w:val="es-AR"/>
        </w:rPr>
        <w:t xml:space="preserve">La Tabla </w:t>
      </w:r>
      <w:r w:rsidR="000C2E55">
        <w:rPr>
          <w:rFonts w:ascii="Times New Roman" w:hAnsi="Times New Roman"/>
          <w:sz w:val="22"/>
          <w:szCs w:val="22"/>
          <w:lang w:val="es-AR"/>
        </w:rPr>
        <w:t>1</w:t>
      </w:r>
      <w:r w:rsidR="004B1B6C">
        <w:rPr>
          <w:rFonts w:ascii="Times New Roman" w:hAnsi="Times New Roman"/>
          <w:sz w:val="22"/>
          <w:szCs w:val="22"/>
          <w:lang w:val="es-AR"/>
        </w:rPr>
        <w:t>7</w:t>
      </w:r>
      <w:r w:rsidR="000513F8">
        <w:rPr>
          <w:rFonts w:ascii="Times New Roman" w:hAnsi="Times New Roman"/>
          <w:sz w:val="22"/>
          <w:szCs w:val="22"/>
          <w:lang w:val="es-AR"/>
        </w:rPr>
        <w:t xml:space="preserve"> expone las inversiones por Componente:</w:t>
      </w:r>
    </w:p>
    <w:p w:rsidR="008457D9" w:rsidRDefault="008457D9" w:rsidP="0031378A">
      <w:pPr>
        <w:pStyle w:val="ListParagraph"/>
        <w:ind w:left="432"/>
        <w:jc w:val="center"/>
        <w:rPr>
          <w:rFonts w:ascii="Times New Roman" w:hAnsi="Times New Roman"/>
          <w:b/>
          <w:lang w:val="es-AR"/>
        </w:rPr>
      </w:pPr>
    </w:p>
    <w:p w:rsidR="00CA7712" w:rsidRDefault="00CA7712" w:rsidP="0031378A">
      <w:pPr>
        <w:pStyle w:val="ListParagraph"/>
        <w:ind w:left="432"/>
        <w:jc w:val="center"/>
        <w:rPr>
          <w:rFonts w:ascii="Times New Roman" w:hAnsi="Times New Roman"/>
          <w:sz w:val="22"/>
          <w:szCs w:val="22"/>
          <w:lang w:val="es-AR"/>
        </w:rPr>
      </w:pPr>
      <w:r w:rsidRPr="00FA218A">
        <w:rPr>
          <w:rFonts w:ascii="Times New Roman" w:hAnsi="Times New Roman"/>
          <w:b/>
          <w:lang w:val="es-AR"/>
        </w:rPr>
        <w:t xml:space="preserve">Tabla </w:t>
      </w:r>
      <w:r w:rsidR="00081A23" w:rsidRPr="00FA218A">
        <w:rPr>
          <w:rFonts w:ascii="Times New Roman" w:hAnsi="Times New Roman"/>
          <w:b/>
        </w:rPr>
        <w:fldChar w:fldCharType="begin"/>
      </w:r>
      <w:r w:rsidRPr="00FA218A">
        <w:rPr>
          <w:rFonts w:ascii="Times New Roman" w:hAnsi="Times New Roman"/>
          <w:b/>
          <w:lang w:val="es-AR"/>
        </w:rPr>
        <w:instrText xml:space="preserve"> SEQ Tabla \* ARABIC </w:instrText>
      </w:r>
      <w:r w:rsidR="00081A23" w:rsidRPr="00FA218A">
        <w:rPr>
          <w:rFonts w:ascii="Times New Roman" w:hAnsi="Times New Roman"/>
          <w:b/>
        </w:rPr>
        <w:fldChar w:fldCharType="separate"/>
      </w:r>
      <w:r w:rsidR="004B1B6C">
        <w:rPr>
          <w:rFonts w:ascii="Times New Roman" w:hAnsi="Times New Roman"/>
          <w:b/>
          <w:noProof/>
          <w:lang w:val="es-AR"/>
        </w:rPr>
        <w:t>17</w:t>
      </w:r>
      <w:r w:rsidR="00081A23" w:rsidRPr="00FA218A">
        <w:rPr>
          <w:rFonts w:ascii="Times New Roman" w:hAnsi="Times New Roman"/>
          <w:b/>
        </w:rPr>
        <w:fldChar w:fldCharType="end"/>
      </w:r>
      <w:r w:rsidRPr="008B2A79">
        <w:rPr>
          <w:rFonts w:ascii="Times New Roman" w:hAnsi="Times New Roman"/>
          <w:sz w:val="22"/>
          <w:szCs w:val="22"/>
          <w:lang w:val="es-AR"/>
        </w:rPr>
        <w:t>.</w:t>
      </w:r>
      <w:r>
        <w:rPr>
          <w:rFonts w:ascii="Times New Roman" w:hAnsi="Times New Roman"/>
          <w:sz w:val="22"/>
          <w:szCs w:val="22"/>
          <w:lang w:val="es-AR"/>
        </w:rPr>
        <w:t xml:space="preserve">  </w:t>
      </w:r>
      <w:r w:rsidRPr="00CA7712">
        <w:rPr>
          <w:rFonts w:ascii="Times New Roman" w:hAnsi="Times New Roman"/>
          <w:sz w:val="22"/>
          <w:szCs w:val="22"/>
          <w:lang w:val="es-AR"/>
        </w:rPr>
        <w:t xml:space="preserve">Inversiones previstas del </w:t>
      </w:r>
      <w:r w:rsidR="00137636">
        <w:rPr>
          <w:rFonts w:ascii="Times New Roman" w:hAnsi="Times New Roman"/>
          <w:sz w:val="22"/>
          <w:szCs w:val="22"/>
          <w:lang w:val="es-AR"/>
        </w:rPr>
        <w:t>p</w:t>
      </w:r>
      <w:r w:rsidR="00137636" w:rsidRPr="00CA7712">
        <w:rPr>
          <w:rFonts w:ascii="Times New Roman" w:hAnsi="Times New Roman"/>
          <w:sz w:val="22"/>
          <w:szCs w:val="22"/>
          <w:lang w:val="es-AR"/>
        </w:rPr>
        <w:t xml:space="preserve">rograma </w:t>
      </w:r>
      <w:r w:rsidRPr="00CA7712">
        <w:rPr>
          <w:rFonts w:ascii="Times New Roman" w:hAnsi="Times New Roman"/>
          <w:sz w:val="22"/>
          <w:szCs w:val="22"/>
          <w:lang w:val="es-AR"/>
        </w:rPr>
        <w:t>– valores en USD</w:t>
      </w:r>
    </w:p>
    <w:p w:rsidR="008457D9" w:rsidRDefault="008457D9" w:rsidP="0031378A">
      <w:pPr>
        <w:pStyle w:val="ListParagraph"/>
        <w:ind w:left="432"/>
        <w:jc w:val="center"/>
        <w:rPr>
          <w:rFonts w:ascii="Times New Roman" w:hAnsi="Times New Roman"/>
          <w:sz w:val="22"/>
          <w:szCs w:val="22"/>
          <w:lang w:val="es-AR"/>
        </w:rPr>
      </w:pPr>
    </w:p>
    <w:tbl>
      <w:tblPr>
        <w:tblW w:w="8334" w:type="dxa"/>
        <w:tblInd w:w="65" w:type="dxa"/>
        <w:tblCellMar>
          <w:left w:w="70" w:type="dxa"/>
          <w:right w:w="70" w:type="dxa"/>
        </w:tblCellMar>
        <w:tblLook w:val="04A0" w:firstRow="1" w:lastRow="0" w:firstColumn="1" w:lastColumn="0" w:noHBand="0" w:noVBand="1"/>
      </w:tblPr>
      <w:tblGrid>
        <w:gridCol w:w="4546"/>
        <w:gridCol w:w="1240"/>
        <w:gridCol w:w="1257"/>
        <w:gridCol w:w="1291"/>
      </w:tblGrid>
      <w:tr w:rsidR="0028504E" w:rsidRPr="00993E41" w:rsidTr="00993E41">
        <w:trPr>
          <w:trHeight w:val="438"/>
        </w:trPr>
        <w:tc>
          <w:tcPr>
            <w:tcW w:w="454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93E41" w:rsidRPr="00455FC7" w:rsidRDefault="00993E41" w:rsidP="00993E41">
            <w:pPr>
              <w:jc w:val="center"/>
              <w:rPr>
                <w:rFonts w:ascii="Times New Roman" w:hAnsi="Times New Roman"/>
                <w:b/>
                <w:color w:val="000000"/>
                <w:lang w:val="es-AR"/>
              </w:rPr>
            </w:pPr>
            <w:r w:rsidRPr="00993E41">
              <w:rPr>
                <w:rFonts w:ascii="Times New Roman" w:hAnsi="Times New Roman"/>
                <w:b/>
                <w:bCs/>
                <w:color w:val="000000"/>
                <w:lang w:val="es-AR" w:eastAsia="es-AR"/>
              </w:rPr>
              <w:t>Componente</w:t>
            </w:r>
          </w:p>
        </w:tc>
        <w:tc>
          <w:tcPr>
            <w:tcW w:w="1240" w:type="dxa"/>
            <w:tcBorders>
              <w:top w:val="single" w:sz="4" w:space="0" w:color="auto"/>
              <w:left w:val="nil"/>
              <w:bottom w:val="single" w:sz="4" w:space="0" w:color="auto"/>
              <w:right w:val="single" w:sz="4" w:space="0" w:color="auto"/>
            </w:tcBorders>
            <w:shd w:val="clear" w:color="000000" w:fill="BFBFBF"/>
            <w:vAlign w:val="center"/>
            <w:hideMark/>
          </w:tcPr>
          <w:p w:rsidR="00993E41" w:rsidRPr="00455FC7" w:rsidRDefault="00993E41" w:rsidP="00993E41">
            <w:pPr>
              <w:jc w:val="center"/>
              <w:rPr>
                <w:rFonts w:ascii="Times New Roman" w:hAnsi="Times New Roman"/>
                <w:b/>
                <w:color w:val="000000"/>
                <w:lang w:val="es-AR"/>
              </w:rPr>
            </w:pPr>
            <w:r w:rsidRPr="00993E41">
              <w:rPr>
                <w:rFonts w:ascii="Times New Roman" w:hAnsi="Times New Roman"/>
                <w:b/>
                <w:bCs/>
                <w:color w:val="000000"/>
                <w:lang w:val="es-AR" w:eastAsia="es-AR"/>
              </w:rPr>
              <w:t xml:space="preserve">BID </w:t>
            </w:r>
          </w:p>
        </w:tc>
        <w:tc>
          <w:tcPr>
            <w:tcW w:w="1257" w:type="dxa"/>
            <w:tcBorders>
              <w:top w:val="single" w:sz="4" w:space="0" w:color="auto"/>
              <w:left w:val="nil"/>
              <w:bottom w:val="single" w:sz="4" w:space="0" w:color="auto"/>
              <w:right w:val="single" w:sz="4" w:space="0" w:color="auto"/>
            </w:tcBorders>
            <w:shd w:val="clear" w:color="000000" w:fill="BFBFBF"/>
            <w:vAlign w:val="center"/>
            <w:hideMark/>
          </w:tcPr>
          <w:p w:rsidR="00993E41" w:rsidRPr="00993E41" w:rsidRDefault="00993E41" w:rsidP="00993E41">
            <w:pPr>
              <w:jc w:val="center"/>
              <w:rPr>
                <w:rFonts w:ascii="Times New Roman" w:hAnsi="Times New Roman"/>
                <w:b/>
                <w:bCs/>
                <w:color w:val="000000"/>
                <w:lang w:val="es-AR" w:eastAsia="es-AR"/>
              </w:rPr>
            </w:pPr>
            <w:r w:rsidRPr="00993E41">
              <w:rPr>
                <w:rFonts w:ascii="Times New Roman" w:hAnsi="Times New Roman"/>
                <w:b/>
                <w:bCs/>
                <w:color w:val="000000"/>
                <w:lang w:val="es-AR" w:eastAsia="es-AR"/>
              </w:rPr>
              <w:t>CP</w:t>
            </w:r>
          </w:p>
        </w:tc>
        <w:tc>
          <w:tcPr>
            <w:tcW w:w="1291" w:type="dxa"/>
            <w:tcBorders>
              <w:top w:val="single" w:sz="4" w:space="0" w:color="auto"/>
              <w:left w:val="nil"/>
              <w:bottom w:val="single" w:sz="4" w:space="0" w:color="auto"/>
              <w:right w:val="single" w:sz="4" w:space="0" w:color="auto"/>
            </w:tcBorders>
            <w:shd w:val="clear" w:color="000000" w:fill="BFBFBF"/>
            <w:vAlign w:val="center"/>
            <w:hideMark/>
          </w:tcPr>
          <w:p w:rsidR="00993E41" w:rsidRPr="00993E41" w:rsidRDefault="00993E41" w:rsidP="00993E41">
            <w:pPr>
              <w:jc w:val="center"/>
              <w:rPr>
                <w:rFonts w:ascii="Times New Roman" w:hAnsi="Times New Roman"/>
                <w:b/>
                <w:bCs/>
                <w:color w:val="000000"/>
                <w:lang w:val="es-AR" w:eastAsia="es-AR"/>
              </w:rPr>
            </w:pPr>
            <w:r w:rsidRPr="00993E41">
              <w:rPr>
                <w:rFonts w:ascii="Times New Roman" w:hAnsi="Times New Roman"/>
                <w:b/>
                <w:bCs/>
                <w:color w:val="000000"/>
                <w:lang w:val="es-AR" w:eastAsia="es-AR"/>
              </w:rPr>
              <w:t>Total</w:t>
            </w:r>
          </w:p>
        </w:tc>
      </w:tr>
      <w:tr w:rsidR="00993E41" w:rsidRPr="00993E41" w:rsidTr="00455FC7">
        <w:trPr>
          <w:trHeight w:val="574"/>
        </w:trPr>
        <w:tc>
          <w:tcPr>
            <w:tcW w:w="4546" w:type="dxa"/>
            <w:tcBorders>
              <w:top w:val="nil"/>
              <w:left w:val="single" w:sz="4" w:space="0" w:color="auto"/>
              <w:bottom w:val="single" w:sz="4" w:space="0" w:color="auto"/>
              <w:right w:val="single" w:sz="4" w:space="0" w:color="auto"/>
            </w:tcBorders>
            <w:shd w:val="clear" w:color="auto" w:fill="auto"/>
            <w:vAlign w:val="center"/>
            <w:hideMark/>
          </w:tcPr>
          <w:p w:rsidR="00993E41" w:rsidRPr="00455FC7" w:rsidRDefault="00993E41" w:rsidP="00993E41">
            <w:pPr>
              <w:rPr>
                <w:rFonts w:ascii="Times New Roman" w:hAnsi="Times New Roman"/>
                <w:b/>
                <w:color w:val="000000"/>
                <w:lang w:val="es-AR"/>
              </w:rPr>
            </w:pPr>
            <w:r w:rsidRPr="00993E41">
              <w:rPr>
                <w:rFonts w:ascii="Times New Roman" w:hAnsi="Times New Roman"/>
                <w:b/>
                <w:bCs/>
                <w:color w:val="000000"/>
                <w:lang w:val="es-AR" w:eastAsia="es-AR"/>
              </w:rPr>
              <w:t>Componente</w:t>
            </w:r>
            <w:r w:rsidR="00081A23" w:rsidRPr="00455FC7">
              <w:rPr>
                <w:rFonts w:ascii="Times New Roman" w:hAnsi="Times New Roman"/>
                <w:b/>
                <w:color w:val="000000"/>
                <w:lang w:val="es-AR"/>
              </w:rPr>
              <w:t xml:space="preserve"> 1. </w:t>
            </w:r>
            <w:r w:rsidRPr="00993E41">
              <w:rPr>
                <w:rFonts w:ascii="Times New Roman" w:hAnsi="Times New Roman"/>
                <w:color w:val="000000"/>
                <w:lang w:val="es-AR" w:eastAsia="es-AR"/>
              </w:rPr>
              <w:t>Fortalecimiento</w:t>
            </w:r>
            <w:r w:rsidR="00081A23" w:rsidRPr="00455FC7">
              <w:rPr>
                <w:rFonts w:ascii="Times New Roman" w:hAnsi="Times New Roman"/>
                <w:color w:val="000000"/>
                <w:lang w:val="es-AR"/>
              </w:rPr>
              <w:t xml:space="preserve"> de </w:t>
            </w:r>
            <w:r w:rsidRPr="00993E41">
              <w:rPr>
                <w:rFonts w:ascii="Times New Roman" w:hAnsi="Times New Roman"/>
                <w:color w:val="000000"/>
                <w:lang w:val="es-AR" w:eastAsia="es-AR"/>
              </w:rPr>
              <w:t>la red nacional</w:t>
            </w:r>
            <w:r w:rsidR="00081A23" w:rsidRPr="00455FC7">
              <w:rPr>
                <w:rFonts w:ascii="Times New Roman" w:hAnsi="Times New Roman"/>
                <w:color w:val="000000"/>
                <w:lang w:val="es-AR"/>
              </w:rPr>
              <w:t xml:space="preserve"> de </w:t>
            </w:r>
            <w:r w:rsidRPr="00993E41">
              <w:rPr>
                <w:rFonts w:ascii="Times New Roman" w:hAnsi="Times New Roman"/>
                <w:color w:val="000000"/>
                <w:lang w:val="es-AR" w:eastAsia="es-AR"/>
              </w:rPr>
              <w:t>monitoreo y pronóstico</w:t>
            </w:r>
          </w:p>
        </w:tc>
        <w:tc>
          <w:tcPr>
            <w:tcW w:w="1240" w:type="dxa"/>
            <w:tcBorders>
              <w:top w:val="nil"/>
              <w:left w:val="nil"/>
              <w:bottom w:val="single" w:sz="4" w:space="0" w:color="auto"/>
              <w:right w:val="single" w:sz="4" w:space="0" w:color="auto"/>
            </w:tcBorders>
            <w:shd w:val="clear" w:color="auto" w:fill="auto"/>
            <w:vAlign w:val="center"/>
            <w:hideMark/>
          </w:tcPr>
          <w:p w:rsidR="00993E41" w:rsidRPr="00993E41" w:rsidRDefault="00993E41" w:rsidP="00111924">
            <w:pPr>
              <w:jc w:val="right"/>
              <w:rPr>
                <w:rFonts w:ascii="Times New Roman" w:hAnsi="Times New Roman"/>
                <w:color w:val="000000"/>
                <w:lang w:val="es-AR" w:eastAsia="es-AR"/>
              </w:rPr>
            </w:pPr>
            <w:r w:rsidRPr="00993E41">
              <w:rPr>
                <w:rFonts w:ascii="Times New Roman" w:hAnsi="Times New Roman"/>
                <w:color w:val="000000"/>
                <w:lang w:val="es-AR" w:eastAsia="es-AR"/>
              </w:rPr>
              <w:t>$4</w:t>
            </w:r>
            <w:r w:rsidR="00111924">
              <w:rPr>
                <w:rFonts w:ascii="Times New Roman" w:hAnsi="Times New Roman"/>
                <w:color w:val="000000"/>
                <w:lang w:val="es-AR" w:eastAsia="es-AR"/>
              </w:rPr>
              <w:t>.680.</w:t>
            </w:r>
            <w:r w:rsidRPr="00993E41">
              <w:rPr>
                <w:rFonts w:ascii="Times New Roman" w:hAnsi="Times New Roman"/>
                <w:color w:val="000000"/>
                <w:lang w:val="es-AR" w:eastAsia="es-AR"/>
              </w:rPr>
              <w:t>000</w:t>
            </w:r>
          </w:p>
        </w:tc>
        <w:tc>
          <w:tcPr>
            <w:tcW w:w="1257" w:type="dxa"/>
            <w:tcBorders>
              <w:top w:val="nil"/>
              <w:left w:val="nil"/>
              <w:bottom w:val="single" w:sz="4" w:space="0" w:color="auto"/>
              <w:right w:val="single" w:sz="4" w:space="0" w:color="auto"/>
            </w:tcBorders>
            <w:shd w:val="clear" w:color="auto" w:fill="auto"/>
            <w:vAlign w:val="center"/>
            <w:hideMark/>
          </w:tcPr>
          <w:p w:rsidR="00993E41" w:rsidRPr="00993E41" w:rsidRDefault="00993E41" w:rsidP="00111924">
            <w:pPr>
              <w:jc w:val="right"/>
              <w:rPr>
                <w:rFonts w:ascii="Times New Roman" w:hAnsi="Times New Roman"/>
                <w:color w:val="000000"/>
                <w:lang w:val="es-AR" w:eastAsia="es-AR"/>
              </w:rPr>
            </w:pPr>
            <w:r w:rsidRPr="00993E41">
              <w:rPr>
                <w:rFonts w:ascii="Times New Roman" w:hAnsi="Times New Roman"/>
                <w:color w:val="000000"/>
                <w:lang w:val="es-AR" w:eastAsia="es-AR"/>
              </w:rPr>
              <w:t>$ 673</w:t>
            </w:r>
            <w:r w:rsidR="00111924">
              <w:rPr>
                <w:rFonts w:ascii="Times New Roman" w:hAnsi="Times New Roman"/>
                <w:color w:val="000000"/>
                <w:lang w:val="es-AR" w:eastAsia="es-AR"/>
              </w:rPr>
              <w:t>.</w:t>
            </w:r>
            <w:r w:rsidRPr="00993E41">
              <w:rPr>
                <w:rFonts w:ascii="Times New Roman" w:hAnsi="Times New Roman"/>
                <w:color w:val="000000"/>
                <w:lang w:val="es-AR" w:eastAsia="es-AR"/>
              </w:rPr>
              <w:t>70</w:t>
            </w:r>
            <w:r w:rsidR="00111924">
              <w:rPr>
                <w:rFonts w:ascii="Times New Roman" w:hAnsi="Times New Roman"/>
                <w:color w:val="000000"/>
                <w:lang w:val="es-AR" w:eastAsia="es-AR"/>
              </w:rPr>
              <w:t>0</w:t>
            </w:r>
          </w:p>
        </w:tc>
        <w:tc>
          <w:tcPr>
            <w:tcW w:w="1291" w:type="dxa"/>
            <w:tcBorders>
              <w:top w:val="nil"/>
              <w:left w:val="nil"/>
              <w:bottom w:val="single" w:sz="4" w:space="0" w:color="auto"/>
              <w:right w:val="single" w:sz="4" w:space="0" w:color="auto"/>
            </w:tcBorders>
            <w:shd w:val="clear" w:color="auto" w:fill="auto"/>
            <w:vAlign w:val="center"/>
            <w:hideMark/>
          </w:tcPr>
          <w:p w:rsidR="00993E41" w:rsidRPr="00455FC7" w:rsidRDefault="00993E41" w:rsidP="00111924">
            <w:pPr>
              <w:jc w:val="right"/>
              <w:rPr>
                <w:rFonts w:ascii="Times New Roman" w:hAnsi="Times New Roman"/>
                <w:color w:val="000000"/>
                <w:lang w:val="es-AR"/>
              </w:rPr>
            </w:pPr>
            <w:r w:rsidRPr="00993E41">
              <w:rPr>
                <w:rFonts w:ascii="Times New Roman" w:hAnsi="Times New Roman"/>
                <w:color w:val="000000"/>
                <w:lang w:val="es-AR" w:eastAsia="es-AR"/>
              </w:rPr>
              <w:t>$5</w:t>
            </w:r>
            <w:r w:rsidR="00111924">
              <w:rPr>
                <w:rFonts w:ascii="Times New Roman" w:hAnsi="Times New Roman"/>
                <w:color w:val="000000"/>
                <w:lang w:val="es-AR" w:eastAsia="es-AR"/>
              </w:rPr>
              <w:t>.</w:t>
            </w:r>
            <w:r w:rsidRPr="00993E41">
              <w:rPr>
                <w:rFonts w:ascii="Times New Roman" w:hAnsi="Times New Roman"/>
                <w:color w:val="000000"/>
                <w:lang w:val="es-AR" w:eastAsia="es-AR"/>
              </w:rPr>
              <w:t>353</w:t>
            </w:r>
            <w:r w:rsidR="00111924">
              <w:rPr>
                <w:rFonts w:ascii="Times New Roman" w:hAnsi="Times New Roman"/>
                <w:color w:val="000000"/>
                <w:lang w:val="es-AR" w:eastAsia="es-AR"/>
              </w:rPr>
              <w:t>.</w:t>
            </w:r>
            <w:r w:rsidRPr="00993E41">
              <w:rPr>
                <w:rFonts w:ascii="Times New Roman" w:hAnsi="Times New Roman"/>
                <w:color w:val="000000"/>
                <w:lang w:val="es-AR" w:eastAsia="es-AR"/>
              </w:rPr>
              <w:t>700</w:t>
            </w:r>
          </w:p>
        </w:tc>
      </w:tr>
      <w:tr w:rsidR="00993E41" w:rsidRPr="00993E41" w:rsidTr="00455FC7">
        <w:trPr>
          <w:trHeight w:val="634"/>
        </w:trPr>
        <w:tc>
          <w:tcPr>
            <w:tcW w:w="4546" w:type="dxa"/>
            <w:tcBorders>
              <w:top w:val="nil"/>
              <w:left w:val="single" w:sz="4" w:space="0" w:color="auto"/>
              <w:bottom w:val="single" w:sz="4" w:space="0" w:color="auto"/>
              <w:right w:val="single" w:sz="4" w:space="0" w:color="auto"/>
            </w:tcBorders>
            <w:shd w:val="clear" w:color="auto" w:fill="auto"/>
            <w:vAlign w:val="center"/>
            <w:hideMark/>
          </w:tcPr>
          <w:p w:rsidR="00993E41" w:rsidRPr="00455FC7" w:rsidRDefault="00993E41" w:rsidP="00993E41">
            <w:pPr>
              <w:rPr>
                <w:rFonts w:ascii="Times New Roman" w:hAnsi="Times New Roman"/>
                <w:b/>
                <w:color w:val="000000"/>
                <w:lang w:val="es-AR"/>
              </w:rPr>
            </w:pPr>
            <w:r w:rsidRPr="00993E41">
              <w:rPr>
                <w:rFonts w:ascii="Times New Roman" w:hAnsi="Times New Roman"/>
                <w:b/>
                <w:bCs/>
                <w:color w:val="000000"/>
                <w:lang w:val="es-AR" w:eastAsia="es-AR"/>
              </w:rPr>
              <w:t>Componente</w:t>
            </w:r>
            <w:r w:rsidR="00081A23" w:rsidRPr="00455FC7">
              <w:rPr>
                <w:rFonts w:ascii="Times New Roman" w:hAnsi="Times New Roman"/>
                <w:b/>
                <w:color w:val="000000"/>
                <w:lang w:val="es-AR"/>
              </w:rPr>
              <w:t xml:space="preserve"> 2. </w:t>
            </w:r>
            <w:r w:rsidR="00081A23" w:rsidRPr="00455FC7">
              <w:rPr>
                <w:rFonts w:ascii="Times New Roman" w:hAnsi="Times New Roman"/>
                <w:color w:val="000000"/>
                <w:lang w:val="es-AR"/>
              </w:rPr>
              <w:t xml:space="preserve">Fortalecimiento </w:t>
            </w:r>
            <w:r w:rsidRPr="00993E41">
              <w:rPr>
                <w:rFonts w:ascii="Times New Roman" w:hAnsi="Times New Roman"/>
                <w:color w:val="000000"/>
                <w:lang w:val="es-AR" w:eastAsia="es-AR"/>
              </w:rPr>
              <w:t xml:space="preserve">del sistema de emisión de alertas y de </w:t>
            </w:r>
            <w:r w:rsidR="00081A23" w:rsidRPr="00455FC7">
              <w:rPr>
                <w:rFonts w:ascii="Times New Roman" w:hAnsi="Times New Roman"/>
                <w:color w:val="000000"/>
                <w:lang w:val="es-AR"/>
              </w:rPr>
              <w:t xml:space="preserve">capacidad </w:t>
            </w:r>
            <w:r w:rsidRPr="00993E41">
              <w:rPr>
                <w:rFonts w:ascii="Times New Roman" w:hAnsi="Times New Roman"/>
                <w:color w:val="000000"/>
                <w:lang w:val="es-AR" w:eastAsia="es-AR"/>
              </w:rPr>
              <w:t xml:space="preserve">reactiva </w:t>
            </w:r>
            <w:r w:rsidR="00081A23" w:rsidRPr="00455FC7">
              <w:rPr>
                <w:rFonts w:ascii="Times New Roman" w:hAnsi="Times New Roman"/>
                <w:color w:val="000000"/>
                <w:lang w:val="es-AR"/>
              </w:rPr>
              <w:t>comunitaria</w:t>
            </w:r>
          </w:p>
        </w:tc>
        <w:tc>
          <w:tcPr>
            <w:tcW w:w="1240" w:type="dxa"/>
            <w:tcBorders>
              <w:top w:val="nil"/>
              <w:left w:val="nil"/>
              <w:bottom w:val="single" w:sz="4" w:space="0" w:color="auto"/>
              <w:right w:val="single" w:sz="4" w:space="0" w:color="auto"/>
            </w:tcBorders>
            <w:shd w:val="clear" w:color="auto" w:fill="auto"/>
            <w:vAlign w:val="center"/>
            <w:hideMark/>
          </w:tcPr>
          <w:p w:rsidR="00993E41" w:rsidRPr="00993E41" w:rsidRDefault="00111924" w:rsidP="0048336C">
            <w:pPr>
              <w:jc w:val="right"/>
              <w:rPr>
                <w:rFonts w:ascii="Times New Roman" w:hAnsi="Times New Roman"/>
                <w:color w:val="000000"/>
                <w:lang w:val="es-AR" w:eastAsia="es-AR"/>
              </w:rPr>
            </w:pPr>
            <w:r>
              <w:rPr>
                <w:rFonts w:ascii="Times New Roman" w:hAnsi="Times New Roman"/>
                <w:color w:val="000000"/>
                <w:lang w:val="es-AR" w:eastAsia="es-AR"/>
              </w:rPr>
              <w:t>$8.0</w:t>
            </w:r>
            <w:r w:rsidR="0048336C">
              <w:rPr>
                <w:rFonts w:ascii="Times New Roman" w:hAnsi="Times New Roman"/>
                <w:color w:val="000000"/>
                <w:lang w:val="es-AR" w:eastAsia="es-AR"/>
              </w:rPr>
              <w:t>35</w:t>
            </w:r>
            <w:r>
              <w:rPr>
                <w:rFonts w:ascii="Times New Roman" w:hAnsi="Times New Roman"/>
                <w:color w:val="000000"/>
                <w:lang w:val="es-AR" w:eastAsia="es-AR"/>
              </w:rPr>
              <w:t>.</w:t>
            </w:r>
            <w:r w:rsidR="0048336C">
              <w:rPr>
                <w:rFonts w:ascii="Times New Roman" w:hAnsi="Times New Roman"/>
                <w:color w:val="000000"/>
                <w:lang w:val="es-AR" w:eastAsia="es-AR"/>
              </w:rPr>
              <w:t>40</w:t>
            </w:r>
            <w:r w:rsidR="00993E41" w:rsidRPr="00993E41">
              <w:rPr>
                <w:rFonts w:ascii="Times New Roman" w:hAnsi="Times New Roman"/>
                <w:color w:val="000000"/>
                <w:lang w:val="es-AR" w:eastAsia="es-AR"/>
              </w:rPr>
              <w:t>0</w:t>
            </w:r>
          </w:p>
        </w:tc>
        <w:tc>
          <w:tcPr>
            <w:tcW w:w="1257" w:type="dxa"/>
            <w:tcBorders>
              <w:top w:val="nil"/>
              <w:left w:val="nil"/>
              <w:bottom w:val="single" w:sz="4" w:space="0" w:color="auto"/>
              <w:right w:val="single" w:sz="4" w:space="0" w:color="auto"/>
            </w:tcBorders>
            <w:shd w:val="clear" w:color="auto" w:fill="auto"/>
            <w:vAlign w:val="center"/>
            <w:hideMark/>
          </w:tcPr>
          <w:p w:rsidR="00993E41" w:rsidRPr="00993E41" w:rsidRDefault="00993E41" w:rsidP="0048336C">
            <w:pPr>
              <w:jc w:val="right"/>
              <w:rPr>
                <w:rFonts w:ascii="Times New Roman" w:hAnsi="Times New Roman"/>
                <w:color w:val="000000"/>
                <w:lang w:val="es-AR" w:eastAsia="es-AR"/>
              </w:rPr>
            </w:pPr>
            <w:r w:rsidRPr="00993E41">
              <w:rPr>
                <w:rFonts w:ascii="Times New Roman" w:hAnsi="Times New Roman"/>
                <w:color w:val="000000"/>
                <w:lang w:val="es-AR" w:eastAsia="es-AR"/>
              </w:rPr>
              <w:t>$1</w:t>
            </w:r>
            <w:r w:rsidR="00111924">
              <w:rPr>
                <w:rFonts w:ascii="Times New Roman" w:hAnsi="Times New Roman"/>
                <w:color w:val="000000"/>
                <w:lang w:val="es-AR" w:eastAsia="es-AR"/>
              </w:rPr>
              <w:t>.</w:t>
            </w:r>
            <w:r w:rsidRPr="00993E41">
              <w:rPr>
                <w:rFonts w:ascii="Times New Roman" w:hAnsi="Times New Roman"/>
                <w:color w:val="000000"/>
                <w:lang w:val="es-AR" w:eastAsia="es-AR"/>
              </w:rPr>
              <w:t>6</w:t>
            </w:r>
            <w:r w:rsidR="0048336C">
              <w:rPr>
                <w:rFonts w:ascii="Times New Roman" w:hAnsi="Times New Roman"/>
                <w:color w:val="000000"/>
                <w:lang w:val="es-AR" w:eastAsia="es-AR"/>
              </w:rPr>
              <w:t>71.556</w:t>
            </w:r>
          </w:p>
        </w:tc>
        <w:tc>
          <w:tcPr>
            <w:tcW w:w="1291" w:type="dxa"/>
            <w:tcBorders>
              <w:top w:val="nil"/>
              <w:left w:val="nil"/>
              <w:bottom w:val="single" w:sz="4" w:space="0" w:color="auto"/>
              <w:right w:val="single" w:sz="4" w:space="0" w:color="auto"/>
            </w:tcBorders>
            <w:shd w:val="clear" w:color="auto" w:fill="auto"/>
            <w:vAlign w:val="center"/>
            <w:hideMark/>
          </w:tcPr>
          <w:p w:rsidR="00993E41" w:rsidRPr="00455FC7" w:rsidRDefault="00993E41" w:rsidP="0048336C">
            <w:pPr>
              <w:jc w:val="right"/>
              <w:rPr>
                <w:rFonts w:ascii="Times New Roman" w:hAnsi="Times New Roman"/>
                <w:color w:val="000000"/>
                <w:lang w:val="es-AR"/>
              </w:rPr>
            </w:pPr>
            <w:r w:rsidRPr="00993E41">
              <w:rPr>
                <w:rFonts w:ascii="Times New Roman" w:hAnsi="Times New Roman"/>
                <w:color w:val="000000"/>
                <w:lang w:val="es-AR" w:eastAsia="es-AR"/>
              </w:rPr>
              <w:t>$</w:t>
            </w:r>
            <w:r w:rsidR="00081A23" w:rsidRPr="00455FC7">
              <w:rPr>
                <w:rFonts w:ascii="Times New Roman" w:hAnsi="Times New Roman"/>
                <w:color w:val="000000"/>
                <w:lang w:val="es-AR"/>
              </w:rPr>
              <w:t>9.</w:t>
            </w:r>
            <w:r w:rsidR="0048336C">
              <w:rPr>
                <w:rFonts w:ascii="Times New Roman" w:hAnsi="Times New Roman"/>
                <w:color w:val="000000"/>
                <w:lang w:val="es-AR"/>
              </w:rPr>
              <w:t>706.956</w:t>
            </w:r>
          </w:p>
        </w:tc>
      </w:tr>
      <w:tr w:rsidR="00993E41" w:rsidRPr="00993E41" w:rsidTr="00455FC7">
        <w:trPr>
          <w:trHeight w:val="529"/>
        </w:trPr>
        <w:tc>
          <w:tcPr>
            <w:tcW w:w="4546" w:type="dxa"/>
            <w:tcBorders>
              <w:top w:val="nil"/>
              <w:left w:val="single" w:sz="4" w:space="0" w:color="auto"/>
              <w:bottom w:val="single" w:sz="4" w:space="0" w:color="auto"/>
              <w:right w:val="single" w:sz="4" w:space="0" w:color="auto"/>
            </w:tcBorders>
            <w:shd w:val="clear" w:color="auto" w:fill="auto"/>
            <w:vAlign w:val="center"/>
            <w:hideMark/>
          </w:tcPr>
          <w:p w:rsidR="00993E41" w:rsidRPr="00455FC7" w:rsidRDefault="00993E41" w:rsidP="00993E41">
            <w:pPr>
              <w:rPr>
                <w:rFonts w:ascii="Times New Roman" w:hAnsi="Times New Roman"/>
                <w:color w:val="000000"/>
                <w:lang w:val="es-AR"/>
              </w:rPr>
            </w:pPr>
            <w:r w:rsidRPr="00993E41">
              <w:rPr>
                <w:rFonts w:ascii="Times New Roman" w:hAnsi="Times New Roman"/>
                <w:color w:val="000000"/>
                <w:lang w:val="es-AR" w:eastAsia="es-AR"/>
              </w:rPr>
              <w:t>Gestión, administración, auditorias y evaluación del programa</w:t>
            </w:r>
          </w:p>
        </w:tc>
        <w:tc>
          <w:tcPr>
            <w:tcW w:w="1240" w:type="dxa"/>
            <w:tcBorders>
              <w:top w:val="nil"/>
              <w:left w:val="nil"/>
              <w:bottom w:val="single" w:sz="4" w:space="0" w:color="auto"/>
              <w:right w:val="single" w:sz="4" w:space="0" w:color="auto"/>
            </w:tcBorders>
            <w:shd w:val="clear" w:color="auto" w:fill="auto"/>
            <w:vAlign w:val="center"/>
            <w:hideMark/>
          </w:tcPr>
          <w:p w:rsidR="00993E41" w:rsidRPr="00455FC7" w:rsidRDefault="00993E41" w:rsidP="0048336C">
            <w:pPr>
              <w:jc w:val="right"/>
              <w:rPr>
                <w:rFonts w:ascii="Times New Roman" w:hAnsi="Times New Roman"/>
                <w:color w:val="000000"/>
                <w:lang w:val="es-AR"/>
              </w:rPr>
            </w:pPr>
            <w:r w:rsidRPr="00993E41">
              <w:rPr>
                <w:rFonts w:ascii="Times New Roman" w:hAnsi="Times New Roman"/>
                <w:color w:val="000000"/>
                <w:lang w:val="es-AR" w:eastAsia="es-AR"/>
              </w:rPr>
              <w:t xml:space="preserve">$ </w:t>
            </w:r>
            <w:r w:rsidR="0048336C">
              <w:rPr>
                <w:rFonts w:ascii="Times New Roman" w:hAnsi="Times New Roman"/>
                <w:color w:val="000000"/>
                <w:lang w:val="es-AR" w:eastAsia="es-AR"/>
              </w:rPr>
              <w:t>84.600</w:t>
            </w:r>
          </w:p>
        </w:tc>
        <w:tc>
          <w:tcPr>
            <w:tcW w:w="1257" w:type="dxa"/>
            <w:tcBorders>
              <w:top w:val="nil"/>
              <w:left w:val="nil"/>
              <w:bottom w:val="single" w:sz="4" w:space="0" w:color="auto"/>
              <w:right w:val="single" w:sz="4" w:space="0" w:color="auto"/>
            </w:tcBorders>
            <w:shd w:val="clear" w:color="auto" w:fill="auto"/>
            <w:vAlign w:val="center"/>
            <w:hideMark/>
          </w:tcPr>
          <w:p w:rsidR="00993E41" w:rsidRPr="00993E41" w:rsidRDefault="00993E41" w:rsidP="0048336C">
            <w:pPr>
              <w:jc w:val="right"/>
              <w:rPr>
                <w:rFonts w:ascii="Times New Roman" w:hAnsi="Times New Roman"/>
                <w:color w:val="000000"/>
                <w:lang w:val="es-AR" w:eastAsia="es-AR"/>
              </w:rPr>
            </w:pPr>
            <w:r w:rsidRPr="00993E41">
              <w:rPr>
                <w:rFonts w:ascii="Times New Roman" w:hAnsi="Times New Roman"/>
                <w:color w:val="000000"/>
                <w:lang w:val="es-AR" w:eastAsia="es-AR"/>
              </w:rPr>
              <w:t>$ 1</w:t>
            </w:r>
            <w:r w:rsidR="0048336C">
              <w:rPr>
                <w:rFonts w:ascii="Times New Roman" w:hAnsi="Times New Roman"/>
                <w:color w:val="000000"/>
                <w:lang w:val="es-AR" w:eastAsia="es-AR"/>
              </w:rPr>
              <w:t>54.744</w:t>
            </w:r>
          </w:p>
        </w:tc>
        <w:tc>
          <w:tcPr>
            <w:tcW w:w="1291" w:type="dxa"/>
            <w:tcBorders>
              <w:top w:val="nil"/>
              <w:left w:val="nil"/>
              <w:bottom w:val="single" w:sz="4" w:space="0" w:color="auto"/>
              <w:right w:val="single" w:sz="4" w:space="0" w:color="auto"/>
            </w:tcBorders>
            <w:shd w:val="clear" w:color="auto" w:fill="auto"/>
            <w:vAlign w:val="center"/>
            <w:hideMark/>
          </w:tcPr>
          <w:p w:rsidR="00993E41" w:rsidRPr="00993E41" w:rsidRDefault="00993E41" w:rsidP="0048336C">
            <w:pPr>
              <w:jc w:val="right"/>
              <w:rPr>
                <w:rFonts w:ascii="Times New Roman" w:hAnsi="Times New Roman"/>
                <w:color w:val="000000"/>
                <w:lang w:val="es-AR" w:eastAsia="es-AR"/>
              </w:rPr>
            </w:pPr>
            <w:r w:rsidRPr="00993E41">
              <w:rPr>
                <w:rFonts w:ascii="Times New Roman" w:hAnsi="Times New Roman"/>
                <w:color w:val="000000"/>
                <w:lang w:val="es-AR" w:eastAsia="es-AR"/>
              </w:rPr>
              <w:t>$ 2</w:t>
            </w:r>
            <w:r w:rsidR="0048336C">
              <w:rPr>
                <w:rFonts w:ascii="Times New Roman" w:hAnsi="Times New Roman"/>
                <w:color w:val="000000"/>
                <w:lang w:val="es-AR" w:eastAsia="es-AR"/>
              </w:rPr>
              <w:t>39.344</w:t>
            </w:r>
          </w:p>
        </w:tc>
      </w:tr>
      <w:tr w:rsidR="00993E41" w:rsidRPr="00993E41" w:rsidTr="00455FC7">
        <w:trPr>
          <w:trHeight w:val="453"/>
        </w:trPr>
        <w:tc>
          <w:tcPr>
            <w:tcW w:w="4546" w:type="dxa"/>
            <w:tcBorders>
              <w:top w:val="nil"/>
              <w:left w:val="single" w:sz="4" w:space="0" w:color="auto"/>
              <w:bottom w:val="single" w:sz="4" w:space="0" w:color="auto"/>
              <w:right w:val="single" w:sz="4" w:space="0" w:color="auto"/>
            </w:tcBorders>
            <w:shd w:val="clear" w:color="000000" w:fill="D9D9D9"/>
            <w:vAlign w:val="center"/>
            <w:hideMark/>
          </w:tcPr>
          <w:p w:rsidR="00406CAE" w:rsidRPr="00455FC7" w:rsidRDefault="00081A23" w:rsidP="00455FC7">
            <w:pPr>
              <w:jc w:val="center"/>
              <w:rPr>
                <w:rFonts w:ascii="Times New Roman" w:hAnsi="Times New Roman"/>
                <w:color w:val="000000"/>
                <w:lang w:val="es-AR"/>
              </w:rPr>
            </w:pPr>
            <w:r w:rsidRPr="00455FC7">
              <w:rPr>
                <w:rFonts w:ascii="Times New Roman" w:hAnsi="Times New Roman"/>
                <w:color w:val="000000"/>
                <w:lang w:val="es-AR"/>
              </w:rPr>
              <w:lastRenderedPageBreak/>
              <w:t>Total</w:t>
            </w:r>
          </w:p>
        </w:tc>
        <w:tc>
          <w:tcPr>
            <w:tcW w:w="1240" w:type="dxa"/>
            <w:tcBorders>
              <w:top w:val="nil"/>
              <w:left w:val="nil"/>
              <w:bottom w:val="single" w:sz="4" w:space="0" w:color="auto"/>
              <w:right w:val="single" w:sz="4" w:space="0" w:color="auto"/>
            </w:tcBorders>
            <w:shd w:val="clear" w:color="auto" w:fill="auto"/>
            <w:vAlign w:val="center"/>
            <w:hideMark/>
          </w:tcPr>
          <w:p w:rsidR="00993E41" w:rsidRPr="00993E41" w:rsidRDefault="00993E41" w:rsidP="00111924">
            <w:pPr>
              <w:jc w:val="right"/>
              <w:rPr>
                <w:rFonts w:ascii="Times New Roman" w:hAnsi="Times New Roman"/>
                <w:color w:val="000000"/>
                <w:lang w:val="es-AR" w:eastAsia="es-AR"/>
              </w:rPr>
            </w:pPr>
            <w:r w:rsidRPr="00993E41">
              <w:rPr>
                <w:rFonts w:ascii="Times New Roman" w:hAnsi="Times New Roman"/>
                <w:color w:val="000000"/>
                <w:lang w:val="es-AR" w:eastAsia="es-AR"/>
              </w:rPr>
              <w:t>$12</w:t>
            </w:r>
            <w:r w:rsidR="00111924">
              <w:rPr>
                <w:rFonts w:ascii="Times New Roman" w:hAnsi="Times New Roman"/>
                <w:color w:val="000000"/>
                <w:lang w:val="es-AR" w:eastAsia="es-AR"/>
              </w:rPr>
              <w:t>.</w:t>
            </w:r>
            <w:r w:rsidRPr="00993E41">
              <w:rPr>
                <w:rFonts w:ascii="Times New Roman" w:hAnsi="Times New Roman"/>
                <w:color w:val="000000"/>
                <w:lang w:val="es-AR" w:eastAsia="es-AR"/>
              </w:rPr>
              <w:t>800</w:t>
            </w:r>
            <w:r w:rsidR="00111924">
              <w:rPr>
                <w:rFonts w:ascii="Times New Roman" w:hAnsi="Times New Roman"/>
                <w:color w:val="000000"/>
                <w:lang w:val="es-AR" w:eastAsia="es-AR"/>
              </w:rPr>
              <w:t>.</w:t>
            </w:r>
            <w:r w:rsidRPr="00993E41">
              <w:rPr>
                <w:rFonts w:ascii="Times New Roman" w:hAnsi="Times New Roman"/>
                <w:color w:val="000000"/>
                <w:lang w:val="es-AR" w:eastAsia="es-AR"/>
              </w:rPr>
              <w:t>000</w:t>
            </w:r>
          </w:p>
        </w:tc>
        <w:tc>
          <w:tcPr>
            <w:tcW w:w="1257" w:type="dxa"/>
            <w:tcBorders>
              <w:top w:val="nil"/>
              <w:left w:val="nil"/>
              <w:bottom w:val="single" w:sz="4" w:space="0" w:color="auto"/>
              <w:right w:val="single" w:sz="4" w:space="0" w:color="auto"/>
            </w:tcBorders>
            <w:shd w:val="clear" w:color="auto" w:fill="auto"/>
            <w:vAlign w:val="center"/>
            <w:hideMark/>
          </w:tcPr>
          <w:p w:rsidR="00993E41" w:rsidRPr="00993E41" w:rsidRDefault="00993E41" w:rsidP="00111924">
            <w:pPr>
              <w:jc w:val="right"/>
              <w:rPr>
                <w:rFonts w:ascii="Times New Roman" w:hAnsi="Times New Roman"/>
                <w:color w:val="000000"/>
                <w:lang w:val="es-AR" w:eastAsia="es-AR"/>
              </w:rPr>
            </w:pPr>
            <w:r w:rsidRPr="00993E41">
              <w:rPr>
                <w:rFonts w:ascii="Times New Roman" w:hAnsi="Times New Roman"/>
                <w:color w:val="000000"/>
                <w:lang w:val="es-AR" w:eastAsia="es-AR"/>
              </w:rPr>
              <w:t>$2</w:t>
            </w:r>
            <w:r w:rsidR="00111924">
              <w:rPr>
                <w:rFonts w:ascii="Times New Roman" w:hAnsi="Times New Roman"/>
                <w:color w:val="000000"/>
                <w:lang w:val="es-AR" w:eastAsia="es-AR"/>
              </w:rPr>
              <w:t>.500.</w:t>
            </w:r>
            <w:r w:rsidRPr="00993E41">
              <w:rPr>
                <w:rFonts w:ascii="Times New Roman" w:hAnsi="Times New Roman"/>
                <w:color w:val="000000"/>
                <w:lang w:val="es-AR" w:eastAsia="es-AR"/>
              </w:rPr>
              <w:t>000</w:t>
            </w:r>
          </w:p>
        </w:tc>
        <w:tc>
          <w:tcPr>
            <w:tcW w:w="1291" w:type="dxa"/>
            <w:tcBorders>
              <w:top w:val="nil"/>
              <w:left w:val="nil"/>
              <w:bottom w:val="single" w:sz="4" w:space="0" w:color="auto"/>
              <w:right w:val="single" w:sz="4" w:space="0" w:color="auto"/>
            </w:tcBorders>
            <w:shd w:val="clear" w:color="auto" w:fill="auto"/>
            <w:vAlign w:val="center"/>
            <w:hideMark/>
          </w:tcPr>
          <w:p w:rsidR="00993E41" w:rsidRPr="00455FC7" w:rsidRDefault="00993E41" w:rsidP="00111924">
            <w:pPr>
              <w:jc w:val="right"/>
              <w:rPr>
                <w:rFonts w:ascii="Times New Roman" w:hAnsi="Times New Roman"/>
                <w:color w:val="000000"/>
                <w:lang w:val="es-AR"/>
              </w:rPr>
            </w:pPr>
            <w:r w:rsidRPr="00993E41">
              <w:rPr>
                <w:rFonts w:ascii="Times New Roman" w:hAnsi="Times New Roman"/>
                <w:color w:val="000000"/>
                <w:lang w:val="es-AR" w:eastAsia="es-AR"/>
              </w:rPr>
              <w:t>$</w:t>
            </w:r>
            <w:r w:rsidR="00081A23" w:rsidRPr="00455FC7">
              <w:rPr>
                <w:rFonts w:ascii="Times New Roman" w:hAnsi="Times New Roman"/>
                <w:color w:val="000000"/>
                <w:lang w:val="es-AR"/>
              </w:rPr>
              <w:t>15.</w:t>
            </w:r>
            <w:r w:rsidRPr="00993E41">
              <w:rPr>
                <w:rFonts w:ascii="Times New Roman" w:hAnsi="Times New Roman"/>
                <w:color w:val="000000"/>
                <w:lang w:val="es-AR" w:eastAsia="es-AR"/>
              </w:rPr>
              <w:t>300</w:t>
            </w:r>
            <w:r w:rsidR="00081A23" w:rsidRPr="00455FC7">
              <w:rPr>
                <w:rFonts w:ascii="Times New Roman" w:hAnsi="Times New Roman"/>
                <w:color w:val="000000"/>
                <w:lang w:val="es-AR"/>
              </w:rPr>
              <w:t>.000</w:t>
            </w:r>
          </w:p>
        </w:tc>
      </w:tr>
    </w:tbl>
    <w:p w:rsidR="00993E41" w:rsidRPr="00160FB3" w:rsidRDefault="00160FB3" w:rsidP="00160FB3">
      <w:pPr>
        <w:pStyle w:val="ListParagraph"/>
        <w:ind w:left="432"/>
        <w:rPr>
          <w:rFonts w:ascii="Times New Roman" w:hAnsi="Times New Roman"/>
          <w:i/>
          <w:lang w:val="es-AR"/>
        </w:rPr>
      </w:pPr>
      <w:r w:rsidRPr="00160FB3">
        <w:rPr>
          <w:rFonts w:ascii="Times New Roman" w:hAnsi="Times New Roman"/>
          <w:i/>
          <w:lang w:val="es-AR"/>
        </w:rPr>
        <w:t>Fuente. Presupuesto del Programa</w:t>
      </w:r>
    </w:p>
    <w:p w:rsidR="008608D2" w:rsidRDefault="008608D2" w:rsidP="0031378A">
      <w:pPr>
        <w:pStyle w:val="ListParagraph"/>
        <w:ind w:left="432"/>
        <w:jc w:val="center"/>
        <w:rPr>
          <w:rFonts w:ascii="Times New Roman" w:hAnsi="Times New Roman"/>
          <w:bCs/>
          <w:sz w:val="22"/>
          <w:lang w:val="es-AR"/>
        </w:rPr>
      </w:pPr>
    </w:p>
    <w:p w:rsidR="00150F38" w:rsidRDefault="000513F8" w:rsidP="00AD78F4">
      <w:pPr>
        <w:numPr>
          <w:ilvl w:val="1"/>
          <w:numId w:val="24"/>
        </w:numPr>
        <w:jc w:val="both"/>
        <w:rPr>
          <w:rFonts w:ascii="Times New Roman" w:hAnsi="Times New Roman"/>
          <w:sz w:val="22"/>
          <w:lang w:val="es-ES_tradnl"/>
        </w:rPr>
      </w:pPr>
      <w:r>
        <w:rPr>
          <w:rFonts w:ascii="Times New Roman" w:hAnsi="Times New Roman"/>
          <w:sz w:val="22"/>
          <w:szCs w:val="22"/>
          <w:lang w:val="es-AR"/>
        </w:rPr>
        <w:t>Se observa que el componente de mayor relevancia es</w:t>
      </w:r>
      <w:r w:rsidR="00CE0DA1">
        <w:rPr>
          <w:rFonts w:ascii="Times New Roman" w:hAnsi="Times New Roman"/>
          <w:sz w:val="22"/>
          <w:szCs w:val="22"/>
          <w:lang w:val="es-AR"/>
        </w:rPr>
        <w:t xml:space="preserve"> el </w:t>
      </w:r>
      <w:r w:rsidR="00684270">
        <w:rPr>
          <w:rFonts w:ascii="Times New Roman" w:hAnsi="Times New Roman"/>
          <w:sz w:val="22"/>
          <w:szCs w:val="22"/>
          <w:lang w:val="es-AR"/>
        </w:rPr>
        <w:t>Fortalecimiento de</w:t>
      </w:r>
      <w:r w:rsidR="000C24CD">
        <w:rPr>
          <w:rFonts w:ascii="Times New Roman" w:hAnsi="Times New Roman"/>
          <w:sz w:val="22"/>
          <w:szCs w:val="22"/>
          <w:lang w:val="es-AR"/>
        </w:rPr>
        <w:t>l sistema de remisión de alertas y de</w:t>
      </w:r>
      <w:r w:rsidR="00684270">
        <w:rPr>
          <w:rFonts w:ascii="Times New Roman" w:hAnsi="Times New Roman"/>
          <w:sz w:val="22"/>
          <w:szCs w:val="22"/>
          <w:lang w:val="es-AR"/>
        </w:rPr>
        <w:t xml:space="preserve"> </w:t>
      </w:r>
      <w:r w:rsidR="001F0832">
        <w:rPr>
          <w:rFonts w:ascii="Times New Roman" w:hAnsi="Times New Roman"/>
          <w:sz w:val="22"/>
          <w:szCs w:val="22"/>
          <w:lang w:val="es-AR"/>
        </w:rPr>
        <w:t xml:space="preserve">la </w:t>
      </w:r>
      <w:r w:rsidR="00137636">
        <w:rPr>
          <w:rFonts w:ascii="Times New Roman" w:hAnsi="Times New Roman"/>
          <w:sz w:val="22"/>
          <w:szCs w:val="22"/>
          <w:lang w:val="es-AR"/>
        </w:rPr>
        <w:t xml:space="preserve">capacidad </w:t>
      </w:r>
      <w:r w:rsidR="000C24CD">
        <w:rPr>
          <w:rFonts w:ascii="Times New Roman" w:hAnsi="Times New Roman"/>
          <w:sz w:val="22"/>
          <w:szCs w:val="22"/>
          <w:lang w:val="es-AR"/>
        </w:rPr>
        <w:t xml:space="preserve">reactiva </w:t>
      </w:r>
      <w:r w:rsidR="00137636">
        <w:rPr>
          <w:rFonts w:ascii="Times New Roman" w:hAnsi="Times New Roman"/>
          <w:sz w:val="22"/>
          <w:szCs w:val="22"/>
          <w:lang w:val="es-AR"/>
        </w:rPr>
        <w:t xml:space="preserve">comunitaria </w:t>
      </w:r>
      <w:r w:rsidR="00B03440">
        <w:rPr>
          <w:rFonts w:ascii="Times New Roman" w:hAnsi="Times New Roman"/>
          <w:sz w:val="22"/>
          <w:szCs w:val="22"/>
          <w:lang w:val="es-AR"/>
        </w:rPr>
        <w:t>frente a eventos de amenazas</w:t>
      </w:r>
      <w:r w:rsidR="001F0832">
        <w:rPr>
          <w:rFonts w:ascii="Times New Roman" w:hAnsi="Times New Roman"/>
          <w:sz w:val="22"/>
          <w:szCs w:val="22"/>
          <w:lang w:val="es-AR"/>
        </w:rPr>
        <w:t xml:space="preserve"> </w:t>
      </w:r>
      <w:r>
        <w:rPr>
          <w:rFonts w:ascii="Times New Roman" w:hAnsi="Times New Roman"/>
          <w:sz w:val="22"/>
          <w:szCs w:val="22"/>
          <w:lang w:val="es-AR"/>
        </w:rPr>
        <w:t xml:space="preserve">representando el </w:t>
      </w:r>
      <w:r w:rsidR="00684270">
        <w:rPr>
          <w:rFonts w:ascii="Times New Roman" w:hAnsi="Times New Roman"/>
          <w:sz w:val="22"/>
          <w:szCs w:val="22"/>
          <w:lang w:val="es-AR"/>
        </w:rPr>
        <w:t>6</w:t>
      </w:r>
      <w:r w:rsidR="001F0832">
        <w:rPr>
          <w:rFonts w:ascii="Times New Roman" w:hAnsi="Times New Roman"/>
          <w:sz w:val="22"/>
          <w:szCs w:val="22"/>
          <w:lang w:val="es-AR"/>
        </w:rPr>
        <w:t>3</w:t>
      </w:r>
      <w:r w:rsidR="00137636">
        <w:rPr>
          <w:rFonts w:ascii="Times New Roman" w:hAnsi="Times New Roman"/>
          <w:sz w:val="22"/>
          <w:szCs w:val="22"/>
          <w:lang w:val="es-AR"/>
        </w:rPr>
        <w:t>,</w:t>
      </w:r>
      <w:r w:rsidR="001F0832">
        <w:rPr>
          <w:rFonts w:ascii="Times New Roman" w:hAnsi="Times New Roman"/>
          <w:sz w:val="22"/>
          <w:szCs w:val="22"/>
          <w:lang w:val="es-AR"/>
        </w:rPr>
        <w:t>3</w:t>
      </w:r>
      <w:r>
        <w:rPr>
          <w:rFonts w:ascii="Times New Roman" w:hAnsi="Times New Roman"/>
          <w:sz w:val="22"/>
          <w:szCs w:val="22"/>
          <w:lang w:val="es-AR"/>
        </w:rPr>
        <w:t xml:space="preserve">% de la inversión prevista, seguido por </w:t>
      </w:r>
      <w:r w:rsidR="00684270">
        <w:rPr>
          <w:rFonts w:ascii="Times New Roman" w:hAnsi="Times New Roman"/>
          <w:sz w:val="22"/>
          <w:szCs w:val="22"/>
          <w:lang w:val="es-AR"/>
        </w:rPr>
        <w:t xml:space="preserve">el Fortalecimiento de </w:t>
      </w:r>
      <w:r w:rsidR="00B03440">
        <w:rPr>
          <w:rFonts w:ascii="Times New Roman" w:hAnsi="Times New Roman"/>
          <w:sz w:val="22"/>
          <w:szCs w:val="22"/>
          <w:lang w:val="es-AR"/>
        </w:rPr>
        <w:t xml:space="preserve">la Red </w:t>
      </w:r>
      <w:r w:rsidR="00137636">
        <w:rPr>
          <w:rFonts w:ascii="Times New Roman" w:hAnsi="Times New Roman"/>
          <w:sz w:val="22"/>
          <w:szCs w:val="22"/>
          <w:lang w:val="es-AR"/>
        </w:rPr>
        <w:t xml:space="preserve">Nacional </w:t>
      </w:r>
      <w:r w:rsidR="00B03440">
        <w:rPr>
          <w:rFonts w:ascii="Times New Roman" w:hAnsi="Times New Roman"/>
          <w:sz w:val="22"/>
          <w:szCs w:val="22"/>
          <w:lang w:val="es-AR"/>
        </w:rPr>
        <w:t>de Monitoreo y el Sistema de Remisión de Alerta Temprana</w:t>
      </w:r>
      <w:r w:rsidR="00684270">
        <w:rPr>
          <w:rFonts w:ascii="Times New Roman" w:hAnsi="Times New Roman"/>
          <w:sz w:val="22"/>
          <w:szCs w:val="22"/>
          <w:lang w:val="es-AR"/>
        </w:rPr>
        <w:t xml:space="preserve"> con  el</w:t>
      </w:r>
      <w:r w:rsidR="00EB7792">
        <w:rPr>
          <w:rFonts w:ascii="Times New Roman" w:hAnsi="Times New Roman"/>
          <w:sz w:val="22"/>
          <w:szCs w:val="22"/>
          <w:lang w:val="es-AR"/>
        </w:rPr>
        <w:t xml:space="preserve"> </w:t>
      </w:r>
      <w:r>
        <w:rPr>
          <w:rFonts w:ascii="Times New Roman" w:hAnsi="Times New Roman"/>
          <w:sz w:val="22"/>
          <w:szCs w:val="22"/>
          <w:lang w:val="es-AR"/>
        </w:rPr>
        <w:t>3</w:t>
      </w:r>
      <w:r w:rsidR="00B03440">
        <w:rPr>
          <w:rFonts w:ascii="Times New Roman" w:hAnsi="Times New Roman"/>
          <w:sz w:val="22"/>
          <w:szCs w:val="22"/>
          <w:lang w:val="es-AR"/>
        </w:rPr>
        <w:t>5</w:t>
      </w:r>
      <w:r w:rsidR="00137636">
        <w:rPr>
          <w:rFonts w:ascii="Times New Roman" w:hAnsi="Times New Roman"/>
          <w:sz w:val="22"/>
          <w:szCs w:val="22"/>
          <w:lang w:val="es-AR"/>
        </w:rPr>
        <w:t>,</w:t>
      </w:r>
      <w:r w:rsidR="000C24CD">
        <w:rPr>
          <w:rFonts w:ascii="Times New Roman" w:hAnsi="Times New Roman"/>
          <w:sz w:val="22"/>
          <w:szCs w:val="22"/>
          <w:lang w:val="es-AR"/>
        </w:rPr>
        <w:t>1</w:t>
      </w:r>
      <w:r w:rsidR="00E70B27">
        <w:rPr>
          <w:rFonts w:ascii="Times New Roman" w:hAnsi="Times New Roman"/>
          <w:sz w:val="22"/>
          <w:szCs w:val="22"/>
          <w:lang w:val="es-AR"/>
        </w:rPr>
        <w:t xml:space="preserve">%). Los </w:t>
      </w:r>
      <w:r w:rsidR="008608D2">
        <w:rPr>
          <w:rFonts w:ascii="Times New Roman" w:hAnsi="Times New Roman"/>
          <w:sz w:val="22"/>
          <w:szCs w:val="22"/>
          <w:lang w:val="es-AR"/>
        </w:rPr>
        <w:t xml:space="preserve"> gastos de administración y evaluación </w:t>
      </w:r>
      <w:r w:rsidR="00E70B27">
        <w:rPr>
          <w:rFonts w:ascii="Times New Roman" w:hAnsi="Times New Roman"/>
          <w:sz w:val="22"/>
          <w:szCs w:val="22"/>
          <w:lang w:val="es-AR"/>
        </w:rPr>
        <w:t>representan el</w:t>
      </w:r>
      <w:r w:rsidR="00B03440">
        <w:rPr>
          <w:rFonts w:ascii="Times New Roman" w:hAnsi="Times New Roman"/>
          <w:sz w:val="22"/>
          <w:szCs w:val="22"/>
          <w:lang w:val="es-AR"/>
        </w:rPr>
        <w:t xml:space="preserve"> 1</w:t>
      </w:r>
      <w:r w:rsidR="00137636">
        <w:rPr>
          <w:rFonts w:ascii="Times New Roman" w:hAnsi="Times New Roman"/>
          <w:sz w:val="22"/>
          <w:szCs w:val="22"/>
          <w:lang w:val="es-AR"/>
        </w:rPr>
        <w:t>,</w:t>
      </w:r>
      <w:r w:rsidR="000C24CD">
        <w:rPr>
          <w:rFonts w:ascii="Times New Roman" w:hAnsi="Times New Roman"/>
          <w:sz w:val="22"/>
          <w:szCs w:val="22"/>
          <w:lang w:val="es-AR"/>
        </w:rPr>
        <w:t>6</w:t>
      </w:r>
      <w:r w:rsidR="00B03440">
        <w:rPr>
          <w:rFonts w:ascii="Times New Roman" w:hAnsi="Times New Roman"/>
          <w:sz w:val="22"/>
          <w:szCs w:val="22"/>
          <w:lang w:val="es-AR"/>
        </w:rPr>
        <w:t>%</w:t>
      </w:r>
      <w:r w:rsidR="000C24CD">
        <w:rPr>
          <w:rFonts w:ascii="Times New Roman" w:hAnsi="Times New Roman"/>
          <w:sz w:val="22"/>
          <w:szCs w:val="22"/>
          <w:lang w:val="es-AR"/>
        </w:rPr>
        <w:t xml:space="preserve"> restante</w:t>
      </w:r>
      <w:r w:rsidR="00B03440">
        <w:rPr>
          <w:rFonts w:ascii="Times New Roman" w:hAnsi="Times New Roman"/>
          <w:sz w:val="22"/>
          <w:szCs w:val="22"/>
          <w:lang w:val="es-AR"/>
        </w:rPr>
        <w:t xml:space="preserve">. </w:t>
      </w:r>
    </w:p>
    <w:p w:rsidR="00406CAE" w:rsidRDefault="00406CAE" w:rsidP="00455FC7">
      <w:pPr>
        <w:ind w:left="142"/>
        <w:jc w:val="both"/>
        <w:rPr>
          <w:rFonts w:ascii="Times New Roman" w:hAnsi="Times New Roman"/>
          <w:sz w:val="22"/>
          <w:lang w:val="es-ES_tradnl"/>
        </w:rPr>
      </w:pPr>
    </w:p>
    <w:p w:rsidR="00C7489D" w:rsidRDefault="00C7489D" w:rsidP="00AD78F4">
      <w:pPr>
        <w:numPr>
          <w:ilvl w:val="1"/>
          <w:numId w:val="24"/>
        </w:numPr>
        <w:jc w:val="both"/>
        <w:rPr>
          <w:rFonts w:ascii="Times New Roman" w:hAnsi="Times New Roman"/>
          <w:sz w:val="22"/>
          <w:lang w:val="es-ES_tradnl"/>
        </w:rPr>
      </w:pPr>
      <w:r w:rsidRPr="00C7489D">
        <w:rPr>
          <w:rFonts w:ascii="Times New Roman" w:hAnsi="Times New Roman"/>
          <w:sz w:val="22"/>
          <w:lang w:val="es-ES_tradnl"/>
        </w:rPr>
        <w:t xml:space="preserve">Para la identificación y valuación de costos económicos, existen varias consideraciones importantes. En primer lugar, se </w:t>
      </w:r>
      <w:r w:rsidR="008005CB">
        <w:rPr>
          <w:rFonts w:ascii="Times New Roman" w:hAnsi="Times New Roman"/>
          <w:sz w:val="22"/>
          <w:lang w:val="es-ES_tradnl"/>
        </w:rPr>
        <w:t xml:space="preserve">consideran </w:t>
      </w:r>
      <w:r w:rsidRPr="00C7489D">
        <w:rPr>
          <w:rFonts w:ascii="Times New Roman" w:hAnsi="Times New Roman"/>
          <w:sz w:val="22"/>
          <w:lang w:val="es-ES_tradnl"/>
        </w:rPr>
        <w:t>todos los costos de carácter incremental (de inversión u operación y mantenimiento) que estén asociados a los resultado</w:t>
      </w:r>
      <w:r w:rsidR="008005CB">
        <w:rPr>
          <w:rFonts w:ascii="Times New Roman" w:hAnsi="Times New Roman"/>
          <w:sz w:val="22"/>
          <w:lang w:val="es-ES_tradnl"/>
        </w:rPr>
        <w:t>s que se espera obtener con el P</w:t>
      </w:r>
      <w:r w:rsidRPr="00C7489D">
        <w:rPr>
          <w:rFonts w:ascii="Times New Roman" w:hAnsi="Times New Roman"/>
          <w:sz w:val="22"/>
          <w:lang w:val="es-ES_tradnl"/>
        </w:rPr>
        <w:t>rograma, aun las acciones necesarias p</w:t>
      </w:r>
      <w:r w:rsidR="008005CB">
        <w:rPr>
          <w:rFonts w:ascii="Times New Roman" w:hAnsi="Times New Roman"/>
          <w:sz w:val="22"/>
          <w:lang w:val="es-ES_tradnl"/>
        </w:rPr>
        <w:t>udieran ser</w:t>
      </w:r>
      <w:r w:rsidRPr="00C7489D">
        <w:rPr>
          <w:rFonts w:ascii="Times New Roman" w:hAnsi="Times New Roman"/>
          <w:sz w:val="22"/>
          <w:lang w:val="es-ES_tradnl"/>
        </w:rPr>
        <w:t xml:space="preserve"> financi</w:t>
      </w:r>
      <w:r w:rsidR="008005CB">
        <w:rPr>
          <w:rFonts w:ascii="Times New Roman" w:hAnsi="Times New Roman"/>
          <w:sz w:val="22"/>
          <w:lang w:val="es-ES_tradnl"/>
        </w:rPr>
        <w:t>adas</w:t>
      </w:r>
      <w:r w:rsidRPr="00C7489D">
        <w:rPr>
          <w:rFonts w:ascii="Times New Roman" w:hAnsi="Times New Roman"/>
          <w:sz w:val="22"/>
          <w:lang w:val="es-ES_tradnl"/>
        </w:rPr>
        <w:t xml:space="preserve"> con recursos </w:t>
      </w:r>
      <w:r w:rsidR="008005CB">
        <w:rPr>
          <w:rFonts w:ascii="Times New Roman" w:hAnsi="Times New Roman"/>
          <w:sz w:val="22"/>
          <w:lang w:val="es-ES_tradnl"/>
        </w:rPr>
        <w:t>de otras fuentes de financiamiento</w:t>
      </w:r>
      <w:r w:rsidRPr="00C7489D">
        <w:rPr>
          <w:rFonts w:ascii="Times New Roman" w:hAnsi="Times New Roman"/>
          <w:sz w:val="22"/>
          <w:lang w:val="es-ES_tradnl"/>
        </w:rPr>
        <w:t xml:space="preserve"> (definidos como costos de obras o acciones complementarias). </w:t>
      </w:r>
      <w:r>
        <w:rPr>
          <w:rFonts w:ascii="Times New Roman" w:hAnsi="Times New Roman"/>
          <w:sz w:val="22"/>
          <w:lang w:val="es-ES_tradnl"/>
        </w:rPr>
        <w:t xml:space="preserve">Los costos de inversión </w:t>
      </w:r>
      <w:r w:rsidR="00BD28E7">
        <w:rPr>
          <w:rFonts w:ascii="Times New Roman" w:hAnsi="Times New Roman"/>
          <w:sz w:val="22"/>
          <w:lang w:val="es-ES_tradnl"/>
        </w:rPr>
        <w:t>son de carácter económico, por lo que no incluyen sus componentes impositivos.</w:t>
      </w:r>
      <w:r>
        <w:rPr>
          <w:rFonts w:ascii="Times New Roman" w:hAnsi="Times New Roman"/>
          <w:sz w:val="22"/>
          <w:lang w:val="es-ES_tradnl"/>
        </w:rPr>
        <w:t xml:space="preserve"> </w:t>
      </w:r>
      <w:r w:rsidR="007C2A4B">
        <w:rPr>
          <w:rFonts w:ascii="Times New Roman" w:hAnsi="Times New Roman"/>
          <w:sz w:val="22"/>
          <w:lang w:val="es-ES_tradnl"/>
        </w:rPr>
        <w:t>La siguiente tabla resume los costos aplicados en el análisis.</w:t>
      </w:r>
    </w:p>
    <w:p w:rsidR="007C2A4B" w:rsidRDefault="007C2A4B">
      <w:pPr>
        <w:jc w:val="both"/>
        <w:rPr>
          <w:rFonts w:ascii="Times New Roman" w:hAnsi="Times New Roman"/>
          <w:sz w:val="22"/>
          <w:lang w:val="es-ES_tradnl"/>
        </w:rPr>
      </w:pPr>
    </w:p>
    <w:p w:rsidR="008457D9" w:rsidRDefault="007C2A4B" w:rsidP="00046E2C">
      <w:pPr>
        <w:jc w:val="center"/>
        <w:rPr>
          <w:rFonts w:ascii="Times New Roman" w:hAnsi="Times New Roman"/>
          <w:sz w:val="22"/>
          <w:szCs w:val="22"/>
          <w:lang w:val="es-AR"/>
        </w:rPr>
      </w:pPr>
      <w:r w:rsidRPr="00FA218A">
        <w:rPr>
          <w:rFonts w:ascii="Times New Roman" w:hAnsi="Times New Roman"/>
          <w:b/>
          <w:lang w:val="es-AR"/>
        </w:rPr>
        <w:t xml:space="preserve">Tabla </w:t>
      </w:r>
      <w:r w:rsidR="00081A23" w:rsidRPr="00FA218A">
        <w:rPr>
          <w:rFonts w:ascii="Times New Roman" w:hAnsi="Times New Roman"/>
          <w:b/>
        </w:rPr>
        <w:fldChar w:fldCharType="begin"/>
      </w:r>
      <w:r w:rsidRPr="00FA218A">
        <w:rPr>
          <w:rFonts w:ascii="Times New Roman" w:hAnsi="Times New Roman"/>
          <w:b/>
          <w:lang w:val="es-AR"/>
        </w:rPr>
        <w:instrText xml:space="preserve"> SEQ Tabla \* ARABIC </w:instrText>
      </w:r>
      <w:r w:rsidR="00081A23" w:rsidRPr="00FA218A">
        <w:rPr>
          <w:rFonts w:ascii="Times New Roman" w:hAnsi="Times New Roman"/>
          <w:b/>
        </w:rPr>
        <w:fldChar w:fldCharType="separate"/>
      </w:r>
      <w:r w:rsidR="00046E2C">
        <w:rPr>
          <w:rFonts w:ascii="Times New Roman" w:hAnsi="Times New Roman"/>
          <w:b/>
          <w:noProof/>
          <w:lang w:val="es-AR"/>
        </w:rPr>
        <w:t>17</w:t>
      </w:r>
      <w:r w:rsidR="00081A23" w:rsidRPr="00FA218A">
        <w:rPr>
          <w:rFonts w:ascii="Times New Roman" w:hAnsi="Times New Roman"/>
          <w:b/>
        </w:rPr>
        <w:fldChar w:fldCharType="end"/>
      </w:r>
      <w:r w:rsidRPr="008B2A79">
        <w:rPr>
          <w:rFonts w:ascii="Times New Roman" w:hAnsi="Times New Roman"/>
          <w:sz w:val="22"/>
          <w:szCs w:val="22"/>
          <w:lang w:val="es-AR"/>
        </w:rPr>
        <w:t>.</w:t>
      </w:r>
      <w:r>
        <w:rPr>
          <w:rFonts w:ascii="Times New Roman" w:hAnsi="Times New Roman"/>
          <w:sz w:val="22"/>
          <w:szCs w:val="22"/>
          <w:lang w:val="es-AR"/>
        </w:rPr>
        <w:t xml:space="preserve">  Costos económicos aplicados en análisis económico –Conceptos y</w:t>
      </w:r>
      <w:r w:rsidRPr="00CA7712">
        <w:rPr>
          <w:rFonts w:ascii="Times New Roman" w:hAnsi="Times New Roman"/>
          <w:sz w:val="22"/>
          <w:szCs w:val="22"/>
          <w:lang w:val="es-AR"/>
        </w:rPr>
        <w:t xml:space="preserve"> valor en USD</w:t>
      </w:r>
    </w:p>
    <w:p w:rsidR="007C2A4B" w:rsidRDefault="007C2A4B">
      <w:pPr>
        <w:jc w:val="both"/>
        <w:rPr>
          <w:rFonts w:ascii="Times New Roman" w:hAnsi="Times New Roman"/>
          <w:sz w:val="22"/>
          <w:szCs w:val="22"/>
          <w:lang w:val="es-AR"/>
        </w:rPr>
      </w:pPr>
      <w:r>
        <w:rPr>
          <w:rFonts w:ascii="Times New Roman" w:hAnsi="Times New Roman"/>
          <w:sz w:val="22"/>
          <w:szCs w:val="22"/>
          <w:lang w:val="es-AR"/>
        </w:rPr>
        <w:t>.</w:t>
      </w:r>
    </w:p>
    <w:tbl>
      <w:tblPr>
        <w:tblW w:w="8590" w:type="dxa"/>
        <w:tblInd w:w="65" w:type="dxa"/>
        <w:tblCellMar>
          <w:left w:w="70" w:type="dxa"/>
          <w:right w:w="70" w:type="dxa"/>
        </w:tblCellMar>
        <w:tblLook w:val="04A0" w:firstRow="1" w:lastRow="0" w:firstColumn="1" w:lastColumn="0" w:noHBand="0" w:noVBand="1"/>
      </w:tblPr>
      <w:tblGrid>
        <w:gridCol w:w="4100"/>
        <w:gridCol w:w="1480"/>
        <w:gridCol w:w="1560"/>
        <w:gridCol w:w="1450"/>
      </w:tblGrid>
      <w:tr w:rsidR="00CB57A9" w:rsidRPr="00CB57A9" w:rsidTr="00CB57A9">
        <w:trPr>
          <w:trHeight w:val="300"/>
        </w:trPr>
        <w:tc>
          <w:tcPr>
            <w:tcW w:w="4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57A9" w:rsidRPr="00CB57A9" w:rsidRDefault="009F4B82" w:rsidP="00CB57A9">
            <w:pPr>
              <w:rPr>
                <w:rFonts w:ascii="Times New Roman" w:hAnsi="Times New Roman"/>
                <w:color w:val="000000"/>
                <w:lang w:val="es-AR" w:eastAsia="es-AR"/>
              </w:rPr>
            </w:pPr>
            <w:r>
              <w:rPr>
                <w:rFonts w:ascii="Times New Roman" w:hAnsi="Times New Roman"/>
                <w:sz w:val="22"/>
                <w:szCs w:val="22"/>
                <w:lang w:val="es-AR"/>
              </w:rPr>
              <w:t xml:space="preserve"> </w:t>
            </w:r>
            <w:r w:rsidR="00CB57A9" w:rsidRPr="00CB57A9">
              <w:rPr>
                <w:rFonts w:ascii="Times New Roman" w:hAnsi="Times New Roman"/>
                <w:color w:val="000000"/>
                <w:lang w:val="es-AR" w:eastAsia="es-AR"/>
              </w:rPr>
              <w:t>Costos de Inversión</w:t>
            </w:r>
          </w:p>
        </w:tc>
        <w:tc>
          <w:tcPr>
            <w:tcW w:w="1480" w:type="dxa"/>
            <w:tcBorders>
              <w:top w:val="single" w:sz="4" w:space="0" w:color="auto"/>
              <w:left w:val="nil"/>
              <w:bottom w:val="single" w:sz="4" w:space="0" w:color="auto"/>
              <w:right w:val="single" w:sz="4" w:space="0" w:color="auto"/>
            </w:tcBorders>
            <w:shd w:val="clear" w:color="000000" w:fill="FFFFFF"/>
            <w:noWrap/>
            <w:vAlign w:val="center"/>
            <w:hideMark/>
          </w:tcPr>
          <w:p w:rsidR="00CB57A9" w:rsidRPr="00CB57A9" w:rsidRDefault="00CB57A9" w:rsidP="00CB57A9">
            <w:pPr>
              <w:jc w:val="center"/>
              <w:rPr>
                <w:rFonts w:ascii="Times New Roman" w:hAnsi="Times New Roman"/>
                <w:color w:val="000000"/>
                <w:lang w:val="es-AR" w:eastAsia="es-AR"/>
              </w:rPr>
            </w:pPr>
            <w:r w:rsidRPr="00CB57A9">
              <w:rPr>
                <w:rFonts w:ascii="Times New Roman" w:hAnsi="Times New Roman"/>
                <w:color w:val="000000"/>
                <w:lang w:val="es-AR" w:eastAsia="es-AR"/>
              </w:rPr>
              <w:t>A Ejecutar</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CB57A9" w:rsidRPr="00CB57A9" w:rsidRDefault="00CB57A9" w:rsidP="00CB57A9">
            <w:pPr>
              <w:jc w:val="center"/>
              <w:rPr>
                <w:rFonts w:ascii="Times New Roman" w:hAnsi="Times New Roman"/>
                <w:color w:val="000000"/>
                <w:lang w:val="es-AR" w:eastAsia="es-AR"/>
              </w:rPr>
            </w:pPr>
            <w:r w:rsidRPr="00CB57A9">
              <w:rPr>
                <w:rFonts w:ascii="Times New Roman" w:hAnsi="Times New Roman"/>
                <w:color w:val="000000"/>
                <w:lang w:val="es-AR" w:eastAsia="es-AR"/>
              </w:rPr>
              <w:t>Monto US$000</w:t>
            </w:r>
          </w:p>
        </w:tc>
        <w:tc>
          <w:tcPr>
            <w:tcW w:w="1450" w:type="dxa"/>
            <w:tcBorders>
              <w:top w:val="single" w:sz="4" w:space="0" w:color="auto"/>
              <w:left w:val="nil"/>
              <w:bottom w:val="single" w:sz="4" w:space="0" w:color="auto"/>
              <w:right w:val="single" w:sz="4" w:space="0" w:color="auto"/>
            </w:tcBorders>
            <w:shd w:val="clear" w:color="000000" w:fill="FFFFFF"/>
            <w:noWrap/>
            <w:vAlign w:val="center"/>
            <w:hideMark/>
          </w:tcPr>
          <w:p w:rsidR="00CB57A9" w:rsidRPr="00CB57A9" w:rsidRDefault="00CB57A9" w:rsidP="00CB57A9">
            <w:pPr>
              <w:jc w:val="center"/>
              <w:rPr>
                <w:rFonts w:ascii="Times New Roman" w:hAnsi="Times New Roman"/>
                <w:color w:val="000000"/>
                <w:lang w:val="es-AR" w:eastAsia="es-AR"/>
              </w:rPr>
            </w:pPr>
            <w:r w:rsidRPr="00CB57A9">
              <w:rPr>
                <w:rFonts w:ascii="Times New Roman" w:hAnsi="Times New Roman"/>
                <w:color w:val="000000"/>
                <w:lang w:val="es-AR" w:eastAsia="es-AR"/>
              </w:rPr>
              <w:t>VAN US$ 000</w:t>
            </w:r>
          </w:p>
        </w:tc>
      </w:tr>
      <w:tr w:rsidR="00CB57A9" w:rsidRPr="00CB57A9" w:rsidTr="00CB57A9">
        <w:trPr>
          <w:trHeight w:val="300"/>
        </w:trPr>
        <w:tc>
          <w:tcPr>
            <w:tcW w:w="4100" w:type="dxa"/>
            <w:tcBorders>
              <w:top w:val="nil"/>
              <w:left w:val="nil"/>
              <w:bottom w:val="single" w:sz="4" w:space="0" w:color="auto"/>
              <w:right w:val="nil"/>
            </w:tcBorders>
            <w:shd w:val="clear" w:color="000000" w:fill="FFFFFF"/>
            <w:noWrap/>
            <w:vAlign w:val="center"/>
            <w:hideMark/>
          </w:tcPr>
          <w:p w:rsidR="00CB57A9" w:rsidRPr="00CB57A9" w:rsidRDefault="00CB57A9" w:rsidP="00CB57A9">
            <w:pPr>
              <w:rPr>
                <w:rFonts w:ascii="Times New Roman" w:hAnsi="Times New Roman"/>
                <w:color w:val="000000"/>
                <w:sz w:val="18"/>
                <w:szCs w:val="18"/>
                <w:lang w:val="es-AR" w:eastAsia="es-AR"/>
              </w:rPr>
            </w:pPr>
            <w:r>
              <w:rPr>
                <w:rFonts w:ascii="Times New Roman" w:hAnsi="Times New Roman"/>
                <w:color w:val="000000"/>
                <w:sz w:val="18"/>
                <w:szCs w:val="18"/>
                <w:lang w:val="es-AR" w:eastAsia="es-AR"/>
              </w:rPr>
              <w:t>Comp 1.</w:t>
            </w:r>
            <w:r w:rsidRPr="00CB57A9">
              <w:rPr>
                <w:rFonts w:ascii="Times New Roman" w:hAnsi="Times New Roman"/>
                <w:color w:val="000000"/>
                <w:sz w:val="18"/>
                <w:szCs w:val="18"/>
                <w:lang w:val="es-AR" w:eastAsia="es-AR"/>
              </w:rPr>
              <w:t>Red de monitoreo y Pronóstico</w:t>
            </w:r>
          </w:p>
        </w:tc>
        <w:tc>
          <w:tcPr>
            <w:tcW w:w="1480" w:type="dxa"/>
            <w:tcBorders>
              <w:top w:val="nil"/>
              <w:left w:val="nil"/>
              <w:bottom w:val="single" w:sz="4" w:space="0" w:color="auto"/>
              <w:right w:val="nil"/>
            </w:tcBorders>
            <w:shd w:val="clear" w:color="000000" w:fill="FFFFFF"/>
            <w:noWrap/>
            <w:vAlign w:val="center"/>
            <w:hideMark/>
          </w:tcPr>
          <w:p w:rsidR="00CB57A9" w:rsidRPr="00CB57A9" w:rsidRDefault="00CB57A9" w:rsidP="00CB57A9">
            <w:pPr>
              <w:jc w:val="center"/>
              <w:rPr>
                <w:rFonts w:ascii="Times New Roman" w:hAnsi="Times New Roman"/>
                <w:color w:val="000000"/>
                <w:lang w:val="es-AR" w:eastAsia="es-AR"/>
              </w:rPr>
            </w:pPr>
          </w:p>
        </w:tc>
        <w:tc>
          <w:tcPr>
            <w:tcW w:w="1560" w:type="dxa"/>
            <w:tcBorders>
              <w:top w:val="nil"/>
              <w:left w:val="nil"/>
              <w:bottom w:val="single" w:sz="4" w:space="0" w:color="auto"/>
              <w:right w:val="nil"/>
            </w:tcBorders>
            <w:shd w:val="clear" w:color="000000" w:fill="FFFFFF"/>
            <w:noWrap/>
            <w:vAlign w:val="center"/>
            <w:hideMark/>
          </w:tcPr>
          <w:p w:rsidR="00CB57A9" w:rsidRPr="00111924" w:rsidRDefault="00CB57A9" w:rsidP="00111924">
            <w:pPr>
              <w:jc w:val="center"/>
              <w:rPr>
                <w:rFonts w:ascii="Times New Roman" w:hAnsi="Times New Roman"/>
                <w:color w:val="000000"/>
                <w:u w:val="single"/>
                <w:lang w:val="es-AR" w:eastAsia="es-AR"/>
              </w:rPr>
            </w:pPr>
            <w:r w:rsidRPr="00111924">
              <w:rPr>
                <w:rFonts w:ascii="Times New Roman" w:hAnsi="Times New Roman"/>
                <w:color w:val="000000"/>
                <w:u w:val="single"/>
                <w:lang w:val="es-AR" w:eastAsia="es-AR"/>
              </w:rPr>
              <w:t>4.6</w:t>
            </w:r>
            <w:r w:rsidR="00111924" w:rsidRPr="00111924">
              <w:rPr>
                <w:rFonts w:ascii="Times New Roman" w:hAnsi="Times New Roman"/>
                <w:color w:val="000000"/>
                <w:u w:val="single"/>
                <w:lang w:val="es-AR" w:eastAsia="es-AR"/>
              </w:rPr>
              <w:t>80</w:t>
            </w:r>
          </w:p>
        </w:tc>
        <w:tc>
          <w:tcPr>
            <w:tcW w:w="1450" w:type="dxa"/>
            <w:tcBorders>
              <w:top w:val="nil"/>
              <w:left w:val="nil"/>
              <w:bottom w:val="single" w:sz="4" w:space="0" w:color="auto"/>
              <w:right w:val="nil"/>
            </w:tcBorders>
            <w:shd w:val="clear" w:color="000000" w:fill="FFFFFF"/>
            <w:noWrap/>
            <w:vAlign w:val="center"/>
            <w:hideMark/>
          </w:tcPr>
          <w:p w:rsidR="00CB57A9" w:rsidRPr="00111924" w:rsidRDefault="00CB57A9" w:rsidP="00A11F7E">
            <w:pPr>
              <w:jc w:val="center"/>
              <w:rPr>
                <w:rFonts w:ascii="Times New Roman" w:hAnsi="Times New Roman"/>
                <w:color w:val="000000"/>
                <w:u w:val="single"/>
                <w:lang w:val="es-AR" w:eastAsia="es-AR"/>
              </w:rPr>
            </w:pPr>
            <w:r w:rsidRPr="00111924">
              <w:rPr>
                <w:rFonts w:ascii="Times New Roman" w:hAnsi="Times New Roman"/>
                <w:color w:val="000000"/>
                <w:u w:val="single"/>
                <w:lang w:val="es-AR" w:eastAsia="es-AR"/>
              </w:rPr>
              <w:t>3.9</w:t>
            </w:r>
            <w:r w:rsidR="00A11F7E">
              <w:rPr>
                <w:rFonts w:ascii="Times New Roman" w:hAnsi="Times New Roman"/>
                <w:color w:val="000000"/>
                <w:u w:val="single"/>
                <w:lang w:val="es-AR" w:eastAsia="es-AR"/>
              </w:rPr>
              <w:t>60</w:t>
            </w:r>
          </w:p>
        </w:tc>
      </w:tr>
      <w:tr w:rsidR="00CB57A9" w:rsidRPr="00CB57A9" w:rsidTr="00CB57A9">
        <w:trPr>
          <w:trHeight w:val="300"/>
        </w:trPr>
        <w:tc>
          <w:tcPr>
            <w:tcW w:w="4100" w:type="dxa"/>
            <w:tcBorders>
              <w:top w:val="nil"/>
              <w:left w:val="nil"/>
              <w:bottom w:val="nil"/>
              <w:right w:val="nil"/>
            </w:tcBorders>
            <w:shd w:val="clear" w:color="000000" w:fill="FFFFFF"/>
            <w:noWrap/>
            <w:vAlign w:val="center"/>
            <w:hideMark/>
          </w:tcPr>
          <w:p w:rsidR="00CB57A9" w:rsidRPr="00CB57A9" w:rsidRDefault="00CB57A9" w:rsidP="00CB57A9">
            <w:pPr>
              <w:rPr>
                <w:rFonts w:ascii="Times New Roman" w:hAnsi="Times New Roman"/>
                <w:color w:val="000000"/>
                <w:sz w:val="18"/>
                <w:szCs w:val="18"/>
                <w:lang w:val="es-AR" w:eastAsia="es-AR"/>
              </w:rPr>
            </w:pPr>
            <w:r w:rsidRPr="00CB57A9">
              <w:rPr>
                <w:rFonts w:ascii="Times New Roman" w:hAnsi="Times New Roman"/>
                <w:color w:val="000000"/>
                <w:sz w:val="18"/>
                <w:szCs w:val="18"/>
                <w:lang w:val="es-AR" w:eastAsia="es-AR"/>
              </w:rPr>
              <w:t>Estaciones hidrológicas/meteorológicas</w:t>
            </w:r>
          </w:p>
        </w:tc>
        <w:tc>
          <w:tcPr>
            <w:tcW w:w="1480" w:type="dxa"/>
            <w:tcBorders>
              <w:top w:val="nil"/>
              <w:left w:val="nil"/>
              <w:bottom w:val="nil"/>
              <w:right w:val="nil"/>
            </w:tcBorders>
            <w:shd w:val="clear" w:color="000000" w:fill="FFFFFF"/>
            <w:noWrap/>
            <w:vAlign w:val="center"/>
            <w:hideMark/>
          </w:tcPr>
          <w:p w:rsidR="00CB57A9" w:rsidRPr="00CB57A9" w:rsidRDefault="00CB57A9" w:rsidP="00CB57A9">
            <w:pPr>
              <w:jc w:val="center"/>
              <w:rPr>
                <w:rFonts w:ascii="Times New Roman" w:hAnsi="Times New Roman"/>
                <w:color w:val="000000"/>
                <w:lang w:val="es-AR" w:eastAsia="es-AR"/>
              </w:rPr>
            </w:pPr>
            <w:r w:rsidRPr="00CB57A9">
              <w:rPr>
                <w:rFonts w:ascii="Times New Roman" w:hAnsi="Times New Roman"/>
                <w:color w:val="000000"/>
                <w:lang w:val="es-AR" w:eastAsia="es-AR"/>
              </w:rPr>
              <w:t>Años 1 a 3</w:t>
            </w:r>
          </w:p>
        </w:tc>
        <w:tc>
          <w:tcPr>
            <w:tcW w:w="1560" w:type="dxa"/>
            <w:tcBorders>
              <w:top w:val="nil"/>
              <w:left w:val="nil"/>
              <w:bottom w:val="nil"/>
              <w:right w:val="nil"/>
            </w:tcBorders>
            <w:shd w:val="clear" w:color="000000" w:fill="FFFFFF"/>
            <w:noWrap/>
            <w:vAlign w:val="center"/>
            <w:hideMark/>
          </w:tcPr>
          <w:p w:rsidR="00CB57A9" w:rsidRPr="00111924" w:rsidRDefault="00CB57A9" w:rsidP="00CB57A9">
            <w:pPr>
              <w:jc w:val="center"/>
              <w:rPr>
                <w:rFonts w:ascii="Times New Roman" w:hAnsi="Times New Roman"/>
                <w:color w:val="000000"/>
                <w:lang w:val="es-AR" w:eastAsia="es-AR"/>
              </w:rPr>
            </w:pPr>
            <w:r w:rsidRPr="00111924">
              <w:rPr>
                <w:rFonts w:ascii="Times New Roman" w:hAnsi="Times New Roman"/>
                <w:color w:val="000000"/>
                <w:lang w:val="es-AR" w:eastAsia="es-AR"/>
              </w:rPr>
              <w:t>692</w:t>
            </w:r>
          </w:p>
        </w:tc>
        <w:tc>
          <w:tcPr>
            <w:tcW w:w="1450" w:type="dxa"/>
            <w:tcBorders>
              <w:top w:val="nil"/>
              <w:left w:val="nil"/>
              <w:bottom w:val="nil"/>
              <w:right w:val="nil"/>
            </w:tcBorders>
            <w:shd w:val="clear" w:color="000000" w:fill="FFFFFF"/>
            <w:noWrap/>
            <w:vAlign w:val="center"/>
            <w:hideMark/>
          </w:tcPr>
          <w:p w:rsidR="00CB57A9" w:rsidRPr="00111924" w:rsidRDefault="00CB57A9" w:rsidP="00CB57A9">
            <w:pPr>
              <w:jc w:val="center"/>
              <w:rPr>
                <w:rFonts w:ascii="Times New Roman" w:hAnsi="Times New Roman"/>
                <w:color w:val="000000"/>
                <w:lang w:val="es-AR" w:eastAsia="es-AR"/>
              </w:rPr>
            </w:pPr>
            <w:r w:rsidRPr="00111924">
              <w:rPr>
                <w:rFonts w:ascii="Times New Roman" w:hAnsi="Times New Roman"/>
                <w:color w:val="000000"/>
                <w:lang w:val="es-AR" w:eastAsia="es-AR"/>
              </w:rPr>
              <w:t>585</w:t>
            </w:r>
          </w:p>
        </w:tc>
      </w:tr>
      <w:tr w:rsidR="00CB57A9" w:rsidRPr="00CB57A9" w:rsidTr="00CB57A9">
        <w:trPr>
          <w:trHeight w:val="300"/>
        </w:trPr>
        <w:tc>
          <w:tcPr>
            <w:tcW w:w="4100" w:type="dxa"/>
            <w:tcBorders>
              <w:top w:val="nil"/>
              <w:left w:val="nil"/>
              <w:bottom w:val="nil"/>
              <w:right w:val="nil"/>
            </w:tcBorders>
            <w:shd w:val="clear" w:color="000000" w:fill="FFFFFF"/>
            <w:noWrap/>
            <w:vAlign w:val="center"/>
            <w:hideMark/>
          </w:tcPr>
          <w:p w:rsidR="00CB57A9" w:rsidRPr="00CB57A9" w:rsidRDefault="00CB57A9" w:rsidP="00CB57A9">
            <w:pPr>
              <w:rPr>
                <w:rFonts w:ascii="Times New Roman" w:hAnsi="Times New Roman"/>
                <w:color w:val="000000"/>
                <w:sz w:val="18"/>
                <w:szCs w:val="18"/>
                <w:lang w:val="es-AR" w:eastAsia="es-AR"/>
              </w:rPr>
            </w:pPr>
            <w:r w:rsidRPr="00CB57A9">
              <w:rPr>
                <w:rFonts w:ascii="Times New Roman" w:hAnsi="Times New Roman"/>
                <w:color w:val="000000"/>
                <w:sz w:val="18"/>
                <w:szCs w:val="18"/>
                <w:lang w:val="es-AR" w:eastAsia="es-AR"/>
              </w:rPr>
              <w:t>Estaciones riesgo sísmico</w:t>
            </w:r>
          </w:p>
        </w:tc>
        <w:tc>
          <w:tcPr>
            <w:tcW w:w="1480" w:type="dxa"/>
            <w:tcBorders>
              <w:top w:val="nil"/>
              <w:left w:val="nil"/>
              <w:bottom w:val="nil"/>
              <w:right w:val="nil"/>
            </w:tcBorders>
            <w:shd w:val="clear" w:color="000000" w:fill="FFFFFF"/>
            <w:noWrap/>
            <w:vAlign w:val="center"/>
            <w:hideMark/>
          </w:tcPr>
          <w:p w:rsidR="00CB57A9" w:rsidRPr="00CB57A9" w:rsidRDefault="00CB57A9" w:rsidP="00CB57A9">
            <w:pPr>
              <w:jc w:val="center"/>
              <w:rPr>
                <w:rFonts w:ascii="Times New Roman" w:hAnsi="Times New Roman"/>
                <w:color w:val="000000"/>
                <w:lang w:val="es-AR" w:eastAsia="es-AR"/>
              </w:rPr>
            </w:pPr>
            <w:r w:rsidRPr="00CB57A9">
              <w:rPr>
                <w:rFonts w:ascii="Times New Roman" w:hAnsi="Times New Roman"/>
                <w:color w:val="000000"/>
                <w:lang w:val="es-AR" w:eastAsia="es-AR"/>
              </w:rPr>
              <w:t>Años 1 a 3</w:t>
            </w:r>
          </w:p>
        </w:tc>
        <w:tc>
          <w:tcPr>
            <w:tcW w:w="1560" w:type="dxa"/>
            <w:tcBorders>
              <w:top w:val="nil"/>
              <w:left w:val="nil"/>
              <w:bottom w:val="nil"/>
              <w:right w:val="nil"/>
            </w:tcBorders>
            <w:shd w:val="clear" w:color="000000" w:fill="FFFFFF"/>
            <w:noWrap/>
            <w:vAlign w:val="center"/>
            <w:hideMark/>
          </w:tcPr>
          <w:p w:rsidR="00CB57A9" w:rsidRPr="00111924" w:rsidRDefault="00CB57A9" w:rsidP="00CB57A9">
            <w:pPr>
              <w:jc w:val="center"/>
              <w:rPr>
                <w:rFonts w:ascii="Times New Roman" w:hAnsi="Times New Roman"/>
                <w:color w:val="000000"/>
                <w:lang w:val="es-AR" w:eastAsia="es-AR"/>
              </w:rPr>
            </w:pPr>
            <w:r w:rsidRPr="00111924">
              <w:rPr>
                <w:rFonts w:ascii="Times New Roman" w:hAnsi="Times New Roman"/>
                <w:color w:val="000000"/>
                <w:lang w:val="es-AR" w:eastAsia="es-AR"/>
              </w:rPr>
              <w:t>1.030</w:t>
            </w:r>
          </w:p>
        </w:tc>
        <w:tc>
          <w:tcPr>
            <w:tcW w:w="1450" w:type="dxa"/>
            <w:tcBorders>
              <w:top w:val="nil"/>
              <w:left w:val="nil"/>
              <w:bottom w:val="nil"/>
              <w:right w:val="nil"/>
            </w:tcBorders>
            <w:shd w:val="clear" w:color="000000" w:fill="FFFFFF"/>
            <w:noWrap/>
            <w:vAlign w:val="center"/>
            <w:hideMark/>
          </w:tcPr>
          <w:p w:rsidR="00CB57A9" w:rsidRPr="00111924" w:rsidRDefault="00CB57A9" w:rsidP="00CB57A9">
            <w:pPr>
              <w:jc w:val="center"/>
              <w:rPr>
                <w:rFonts w:ascii="Times New Roman" w:hAnsi="Times New Roman"/>
                <w:color w:val="000000"/>
                <w:lang w:val="es-AR" w:eastAsia="es-AR"/>
              </w:rPr>
            </w:pPr>
            <w:r w:rsidRPr="00111924">
              <w:rPr>
                <w:rFonts w:ascii="Times New Roman" w:hAnsi="Times New Roman"/>
                <w:color w:val="000000"/>
                <w:lang w:val="es-AR" w:eastAsia="es-AR"/>
              </w:rPr>
              <w:t>872</w:t>
            </w:r>
          </w:p>
        </w:tc>
      </w:tr>
      <w:tr w:rsidR="00CB57A9" w:rsidRPr="00CB57A9" w:rsidTr="00CB57A9">
        <w:trPr>
          <w:trHeight w:val="300"/>
        </w:trPr>
        <w:tc>
          <w:tcPr>
            <w:tcW w:w="4100" w:type="dxa"/>
            <w:tcBorders>
              <w:top w:val="nil"/>
              <w:left w:val="nil"/>
              <w:bottom w:val="nil"/>
              <w:right w:val="nil"/>
            </w:tcBorders>
            <w:shd w:val="clear" w:color="000000" w:fill="FFFFFF"/>
            <w:noWrap/>
            <w:vAlign w:val="center"/>
            <w:hideMark/>
          </w:tcPr>
          <w:p w:rsidR="00CB57A9" w:rsidRPr="00CB57A9" w:rsidRDefault="00CB57A9" w:rsidP="00CB57A9">
            <w:pPr>
              <w:rPr>
                <w:rFonts w:ascii="Times New Roman" w:hAnsi="Times New Roman"/>
                <w:color w:val="000000"/>
                <w:sz w:val="18"/>
                <w:szCs w:val="18"/>
                <w:lang w:val="es-AR" w:eastAsia="es-AR"/>
              </w:rPr>
            </w:pPr>
            <w:r w:rsidRPr="00CB57A9">
              <w:rPr>
                <w:rFonts w:ascii="Times New Roman" w:hAnsi="Times New Roman"/>
                <w:color w:val="000000"/>
                <w:sz w:val="18"/>
                <w:szCs w:val="18"/>
                <w:lang w:val="es-AR" w:eastAsia="es-AR"/>
              </w:rPr>
              <w:t>Sistema boyas y software oceanográfico</w:t>
            </w:r>
          </w:p>
        </w:tc>
        <w:tc>
          <w:tcPr>
            <w:tcW w:w="1480" w:type="dxa"/>
            <w:tcBorders>
              <w:top w:val="nil"/>
              <w:left w:val="nil"/>
              <w:bottom w:val="nil"/>
              <w:right w:val="nil"/>
            </w:tcBorders>
            <w:shd w:val="clear" w:color="000000" w:fill="FFFFFF"/>
            <w:noWrap/>
            <w:vAlign w:val="center"/>
            <w:hideMark/>
          </w:tcPr>
          <w:p w:rsidR="00CB57A9" w:rsidRPr="00CB57A9" w:rsidRDefault="00CB57A9" w:rsidP="00CB57A9">
            <w:pPr>
              <w:jc w:val="center"/>
              <w:rPr>
                <w:rFonts w:ascii="Times New Roman" w:hAnsi="Times New Roman"/>
                <w:color w:val="000000"/>
                <w:lang w:val="es-AR" w:eastAsia="es-AR"/>
              </w:rPr>
            </w:pPr>
            <w:r w:rsidRPr="00CB57A9">
              <w:rPr>
                <w:rFonts w:ascii="Times New Roman" w:hAnsi="Times New Roman"/>
                <w:color w:val="000000"/>
                <w:lang w:val="es-AR" w:eastAsia="es-AR"/>
              </w:rPr>
              <w:t>Años 1 a 3</w:t>
            </w:r>
          </w:p>
        </w:tc>
        <w:tc>
          <w:tcPr>
            <w:tcW w:w="1560" w:type="dxa"/>
            <w:tcBorders>
              <w:top w:val="nil"/>
              <w:left w:val="nil"/>
              <w:bottom w:val="nil"/>
              <w:right w:val="nil"/>
            </w:tcBorders>
            <w:shd w:val="clear" w:color="000000" w:fill="FFFFFF"/>
            <w:noWrap/>
            <w:vAlign w:val="center"/>
            <w:hideMark/>
          </w:tcPr>
          <w:p w:rsidR="00CB57A9" w:rsidRPr="00111924" w:rsidRDefault="00111924" w:rsidP="00CB57A9">
            <w:pPr>
              <w:jc w:val="center"/>
              <w:rPr>
                <w:rFonts w:ascii="Times New Roman" w:hAnsi="Times New Roman"/>
                <w:color w:val="000000"/>
                <w:lang w:val="es-AR" w:eastAsia="es-AR"/>
              </w:rPr>
            </w:pPr>
            <w:r w:rsidRPr="00111924">
              <w:rPr>
                <w:rFonts w:ascii="Times New Roman" w:hAnsi="Times New Roman"/>
                <w:color w:val="000000"/>
                <w:lang w:val="es-AR" w:eastAsia="es-AR"/>
              </w:rPr>
              <w:t>2.953</w:t>
            </w:r>
          </w:p>
        </w:tc>
        <w:tc>
          <w:tcPr>
            <w:tcW w:w="1450" w:type="dxa"/>
            <w:tcBorders>
              <w:top w:val="nil"/>
              <w:left w:val="nil"/>
              <w:bottom w:val="nil"/>
              <w:right w:val="nil"/>
            </w:tcBorders>
            <w:shd w:val="clear" w:color="000000" w:fill="FFFFFF"/>
            <w:noWrap/>
            <w:vAlign w:val="center"/>
            <w:hideMark/>
          </w:tcPr>
          <w:p w:rsidR="00CB57A9" w:rsidRPr="00111924" w:rsidRDefault="00CB57A9" w:rsidP="00CB57A9">
            <w:pPr>
              <w:jc w:val="center"/>
              <w:rPr>
                <w:rFonts w:ascii="Times New Roman" w:hAnsi="Times New Roman"/>
                <w:color w:val="000000"/>
                <w:lang w:val="es-AR" w:eastAsia="es-AR"/>
              </w:rPr>
            </w:pPr>
            <w:r w:rsidRPr="00111924">
              <w:rPr>
                <w:rFonts w:ascii="Times New Roman" w:hAnsi="Times New Roman"/>
                <w:color w:val="000000"/>
                <w:lang w:val="es-AR" w:eastAsia="es-AR"/>
              </w:rPr>
              <w:t>2.498</w:t>
            </w:r>
          </w:p>
        </w:tc>
      </w:tr>
      <w:tr w:rsidR="00CB57A9" w:rsidRPr="00CB57A9" w:rsidTr="00CB57A9">
        <w:trPr>
          <w:trHeight w:val="300"/>
        </w:trPr>
        <w:tc>
          <w:tcPr>
            <w:tcW w:w="4100" w:type="dxa"/>
            <w:tcBorders>
              <w:top w:val="nil"/>
              <w:left w:val="nil"/>
              <w:right w:val="nil"/>
            </w:tcBorders>
            <w:shd w:val="clear" w:color="000000" w:fill="FFFFFF"/>
            <w:noWrap/>
            <w:vAlign w:val="center"/>
            <w:hideMark/>
          </w:tcPr>
          <w:p w:rsidR="00CB57A9" w:rsidRPr="00CB57A9" w:rsidRDefault="00CB57A9" w:rsidP="00CB57A9">
            <w:pPr>
              <w:rPr>
                <w:rFonts w:ascii="Times New Roman" w:hAnsi="Times New Roman"/>
                <w:color w:val="000000"/>
                <w:sz w:val="18"/>
                <w:szCs w:val="18"/>
                <w:lang w:val="es-AR" w:eastAsia="es-AR"/>
              </w:rPr>
            </w:pPr>
            <w:r w:rsidRPr="00CB57A9">
              <w:rPr>
                <w:rFonts w:ascii="Times New Roman" w:hAnsi="Times New Roman"/>
                <w:color w:val="000000"/>
                <w:sz w:val="18"/>
                <w:szCs w:val="18"/>
                <w:lang w:val="es-AR" w:eastAsia="es-AR"/>
              </w:rPr>
              <w:t>Otras menores</w:t>
            </w:r>
          </w:p>
        </w:tc>
        <w:tc>
          <w:tcPr>
            <w:tcW w:w="1480" w:type="dxa"/>
            <w:tcBorders>
              <w:top w:val="nil"/>
              <w:left w:val="nil"/>
              <w:right w:val="nil"/>
            </w:tcBorders>
            <w:shd w:val="clear" w:color="000000" w:fill="FFFFFF"/>
            <w:noWrap/>
            <w:vAlign w:val="center"/>
            <w:hideMark/>
          </w:tcPr>
          <w:p w:rsidR="00CB57A9" w:rsidRPr="00CB57A9" w:rsidRDefault="00CB57A9" w:rsidP="00CB57A9">
            <w:pPr>
              <w:jc w:val="center"/>
              <w:rPr>
                <w:rFonts w:ascii="Times New Roman" w:hAnsi="Times New Roman"/>
                <w:color w:val="000000"/>
                <w:lang w:val="es-AR" w:eastAsia="es-AR"/>
              </w:rPr>
            </w:pPr>
            <w:r w:rsidRPr="00CB57A9">
              <w:rPr>
                <w:rFonts w:ascii="Times New Roman" w:hAnsi="Times New Roman"/>
                <w:color w:val="000000"/>
                <w:lang w:val="es-AR" w:eastAsia="es-AR"/>
              </w:rPr>
              <w:t>Años 1 a 3</w:t>
            </w:r>
          </w:p>
        </w:tc>
        <w:tc>
          <w:tcPr>
            <w:tcW w:w="1560" w:type="dxa"/>
            <w:tcBorders>
              <w:top w:val="nil"/>
              <w:left w:val="nil"/>
              <w:right w:val="nil"/>
            </w:tcBorders>
            <w:shd w:val="clear" w:color="000000" w:fill="FFFFFF"/>
            <w:noWrap/>
            <w:vAlign w:val="center"/>
            <w:hideMark/>
          </w:tcPr>
          <w:p w:rsidR="00CB57A9" w:rsidRPr="00111924" w:rsidRDefault="00A11F7E" w:rsidP="00A11F7E">
            <w:pPr>
              <w:jc w:val="center"/>
              <w:rPr>
                <w:rFonts w:ascii="Times New Roman" w:hAnsi="Times New Roman"/>
                <w:color w:val="000000"/>
                <w:lang w:val="es-AR" w:eastAsia="es-AR"/>
              </w:rPr>
            </w:pPr>
            <w:r>
              <w:rPr>
                <w:rFonts w:ascii="Times New Roman" w:hAnsi="Times New Roman"/>
                <w:color w:val="000000"/>
                <w:lang w:val="es-AR" w:eastAsia="es-AR"/>
              </w:rPr>
              <w:t>6</w:t>
            </w:r>
          </w:p>
        </w:tc>
        <w:tc>
          <w:tcPr>
            <w:tcW w:w="1450" w:type="dxa"/>
            <w:tcBorders>
              <w:top w:val="nil"/>
              <w:left w:val="nil"/>
              <w:right w:val="nil"/>
            </w:tcBorders>
            <w:shd w:val="clear" w:color="000000" w:fill="FFFFFF"/>
            <w:noWrap/>
            <w:vAlign w:val="center"/>
            <w:hideMark/>
          </w:tcPr>
          <w:p w:rsidR="00CB57A9" w:rsidRPr="00111924" w:rsidRDefault="00A11F7E" w:rsidP="00A11F7E">
            <w:pPr>
              <w:jc w:val="center"/>
              <w:rPr>
                <w:rFonts w:ascii="Times New Roman" w:hAnsi="Times New Roman"/>
                <w:color w:val="000000"/>
                <w:lang w:val="es-AR" w:eastAsia="es-AR"/>
              </w:rPr>
            </w:pPr>
            <w:r>
              <w:rPr>
                <w:rFonts w:ascii="Times New Roman" w:hAnsi="Times New Roman"/>
                <w:color w:val="000000"/>
                <w:lang w:val="es-AR" w:eastAsia="es-AR"/>
              </w:rPr>
              <w:t>5</w:t>
            </w:r>
          </w:p>
        </w:tc>
      </w:tr>
      <w:tr w:rsidR="00CB57A9" w:rsidRPr="00CB57A9" w:rsidTr="00CB57A9">
        <w:trPr>
          <w:trHeight w:val="345"/>
        </w:trPr>
        <w:tc>
          <w:tcPr>
            <w:tcW w:w="4100" w:type="dxa"/>
            <w:tcBorders>
              <w:top w:val="nil"/>
              <w:left w:val="nil"/>
              <w:bottom w:val="single" w:sz="4" w:space="0" w:color="auto"/>
              <w:right w:val="nil"/>
            </w:tcBorders>
            <w:shd w:val="clear" w:color="000000" w:fill="FFFFFF"/>
            <w:noWrap/>
            <w:vAlign w:val="center"/>
            <w:hideMark/>
          </w:tcPr>
          <w:p w:rsidR="00CB57A9" w:rsidRPr="00CB57A9" w:rsidRDefault="00CB57A9" w:rsidP="00CB57A9">
            <w:pPr>
              <w:rPr>
                <w:rFonts w:ascii="Times New Roman" w:hAnsi="Times New Roman"/>
                <w:color w:val="000000"/>
                <w:sz w:val="18"/>
                <w:szCs w:val="18"/>
                <w:u w:val="single"/>
                <w:lang w:val="es-AR" w:eastAsia="es-AR"/>
              </w:rPr>
            </w:pPr>
            <w:r>
              <w:rPr>
                <w:rFonts w:ascii="Times New Roman" w:hAnsi="Times New Roman"/>
                <w:color w:val="000000"/>
                <w:sz w:val="18"/>
                <w:szCs w:val="18"/>
                <w:u w:val="single"/>
                <w:lang w:val="es-AR" w:eastAsia="es-AR"/>
              </w:rPr>
              <w:t xml:space="preserve">Comp. 2 </w:t>
            </w:r>
            <w:r w:rsidRPr="00CB57A9">
              <w:rPr>
                <w:rFonts w:ascii="Times New Roman" w:hAnsi="Times New Roman"/>
                <w:color w:val="000000"/>
                <w:sz w:val="18"/>
                <w:szCs w:val="18"/>
                <w:u w:val="single"/>
                <w:lang w:val="es-AR" w:eastAsia="es-AR"/>
              </w:rPr>
              <w:t>Sistema emisión alertas y capacidad reactiva</w:t>
            </w:r>
          </w:p>
        </w:tc>
        <w:tc>
          <w:tcPr>
            <w:tcW w:w="1480" w:type="dxa"/>
            <w:tcBorders>
              <w:top w:val="nil"/>
              <w:left w:val="nil"/>
              <w:bottom w:val="single" w:sz="4" w:space="0" w:color="auto"/>
              <w:right w:val="nil"/>
            </w:tcBorders>
            <w:shd w:val="clear" w:color="000000" w:fill="FFFFFF"/>
            <w:noWrap/>
            <w:vAlign w:val="center"/>
            <w:hideMark/>
          </w:tcPr>
          <w:p w:rsidR="00CB57A9" w:rsidRPr="00CB57A9" w:rsidRDefault="00CB57A9" w:rsidP="00CB57A9">
            <w:pPr>
              <w:jc w:val="center"/>
              <w:rPr>
                <w:rFonts w:ascii="Times New Roman" w:hAnsi="Times New Roman"/>
                <w:color w:val="000000"/>
                <w:u w:val="single"/>
                <w:lang w:val="es-AR" w:eastAsia="es-AR"/>
              </w:rPr>
            </w:pPr>
          </w:p>
        </w:tc>
        <w:tc>
          <w:tcPr>
            <w:tcW w:w="1560" w:type="dxa"/>
            <w:tcBorders>
              <w:top w:val="nil"/>
              <w:left w:val="nil"/>
              <w:bottom w:val="single" w:sz="4" w:space="0" w:color="auto"/>
              <w:right w:val="nil"/>
            </w:tcBorders>
            <w:shd w:val="clear" w:color="000000" w:fill="FFFFFF"/>
            <w:noWrap/>
            <w:vAlign w:val="center"/>
            <w:hideMark/>
          </w:tcPr>
          <w:p w:rsidR="00CB57A9" w:rsidRPr="00111924" w:rsidRDefault="00CB57A9" w:rsidP="00A11F7E">
            <w:pPr>
              <w:jc w:val="center"/>
              <w:rPr>
                <w:rFonts w:ascii="Times New Roman" w:hAnsi="Times New Roman"/>
                <w:color w:val="000000"/>
                <w:u w:val="single"/>
                <w:lang w:val="es-AR" w:eastAsia="es-AR"/>
              </w:rPr>
            </w:pPr>
            <w:r w:rsidRPr="00111924">
              <w:rPr>
                <w:rFonts w:ascii="Times New Roman" w:hAnsi="Times New Roman"/>
                <w:color w:val="000000"/>
                <w:u w:val="single"/>
                <w:lang w:val="es-AR" w:eastAsia="es-AR"/>
              </w:rPr>
              <w:t>8.4</w:t>
            </w:r>
            <w:r w:rsidR="00A11F7E">
              <w:rPr>
                <w:rFonts w:ascii="Times New Roman" w:hAnsi="Times New Roman"/>
                <w:color w:val="000000"/>
                <w:u w:val="single"/>
                <w:lang w:val="es-AR" w:eastAsia="es-AR"/>
              </w:rPr>
              <w:t>33</w:t>
            </w:r>
          </w:p>
        </w:tc>
        <w:tc>
          <w:tcPr>
            <w:tcW w:w="1450" w:type="dxa"/>
            <w:tcBorders>
              <w:top w:val="nil"/>
              <w:left w:val="nil"/>
              <w:bottom w:val="single" w:sz="4" w:space="0" w:color="auto"/>
              <w:right w:val="nil"/>
            </w:tcBorders>
            <w:shd w:val="clear" w:color="000000" w:fill="FFFFFF"/>
            <w:noWrap/>
            <w:vAlign w:val="center"/>
            <w:hideMark/>
          </w:tcPr>
          <w:p w:rsidR="00CB57A9" w:rsidRPr="00111924" w:rsidRDefault="00CB57A9" w:rsidP="00CB57A9">
            <w:pPr>
              <w:jc w:val="center"/>
              <w:rPr>
                <w:rFonts w:ascii="Times New Roman" w:hAnsi="Times New Roman"/>
                <w:color w:val="000000"/>
                <w:u w:val="single"/>
                <w:lang w:val="es-AR" w:eastAsia="es-AR"/>
              </w:rPr>
            </w:pPr>
            <w:r w:rsidRPr="00111924">
              <w:rPr>
                <w:rFonts w:ascii="Times New Roman" w:hAnsi="Times New Roman"/>
                <w:color w:val="000000"/>
                <w:u w:val="single"/>
                <w:lang w:val="es-AR" w:eastAsia="es-AR"/>
              </w:rPr>
              <w:t>7.114</w:t>
            </w:r>
          </w:p>
        </w:tc>
      </w:tr>
      <w:tr w:rsidR="00CB57A9" w:rsidRPr="00CB57A9" w:rsidTr="00CB57A9">
        <w:trPr>
          <w:trHeight w:val="300"/>
        </w:trPr>
        <w:tc>
          <w:tcPr>
            <w:tcW w:w="4100" w:type="dxa"/>
            <w:tcBorders>
              <w:top w:val="single" w:sz="4" w:space="0" w:color="auto"/>
              <w:left w:val="nil"/>
              <w:bottom w:val="nil"/>
              <w:right w:val="nil"/>
            </w:tcBorders>
            <w:shd w:val="clear" w:color="000000" w:fill="FFFFFF"/>
            <w:noWrap/>
            <w:vAlign w:val="center"/>
            <w:hideMark/>
          </w:tcPr>
          <w:p w:rsidR="00CB57A9" w:rsidRPr="00CB57A9" w:rsidRDefault="00CB57A9" w:rsidP="00CB57A9">
            <w:pPr>
              <w:rPr>
                <w:rFonts w:ascii="Times New Roman" w:hAnsi="Times New Roman"/>
                <w:color w:val="000000"/>
                <w:sz w:val="18"/>
                <w:szCs w:val="18"/>
                <w:lang w:val="es-AR" w:eastAsia="es-AR"/>
              </w:rPr>
            </w:pPr>
            <w:r w:rsidRPr="00CB57A9">
              <w:rPr>
                <w:rFonts w:ascii="Times New Roman" w:hAnsi="Times New Roman"/>
                <w:color w:val="000000"/>
                <w:sz w:val="18"/>
                <w:szCs w:val="18"/>
                <w:lang w:val="es-AR" w:eastAsia="es-AR"/>
              </w:rPr>
              <w:t>Sirenas Comunitarias y Video vigilancia</w:t>
            </w:r>
          </w:p>
        </w:tc>
        <w:tc>
          <w:tcPr>
            <w:tcW w:w="1480" w:type="dxa"/>
            <w:tcBorders>
              <w:top w:val="single" w:sz="4" w:space="0" w:color="auto"/>
              <w:left w:val="nil"/>
              <w:bottom w:val="nil"/>
              <w:right w:val="nil"/>
            </w:tcBorders>
            <w:shd w:val="clear" w:color="000000" w:fill="FFFFFF"/>
            <w:noWrap/>
            <w:vAlign w:val="center"/>
            <w:hideMark/>
          </w:tcPr>
          <w:p w:rsidR="00CB57A9" w:rsidRPr="00CB57A9" w:rsidRDefault="00CB57A9" w:rsidP="00CB57A9">
            <w:pPr>
              <w:jc w:val="center"/>
              <w:rPr>
                <w:rFonts w:ascii="Times New Roman" w:hAnsi="Times New Roman"/>
                <w:color w:val="000000"/>
                <w:lang w:val="es-AR" w:eastAsia="es-AR"/>
              </w:rPr>
            </w:pPr>
            <w:r w:rsidRPr="00CB57A9">
              <w:rPr>
                <w:rFonts w:ascii="Times New Roman" w:hAnsi="Times New Roman"/>
                <w:color w:val="000000"/>
                <w:lang w:val="es-AR" w:eastAsia="es-AR"/>
              </w:rPr>
              <w:t>Años 1 a 3</w:t>
            </w:r>
          </w:p>
        </w:tc>
        <w:tc>
          <w:tcPr>
            <w:tcW w:w="1560" w:type="dxa"/>
            <w:tcBorders>
              <w:top w:val="single" w:sz="4" w:space="0" w:color="auto"/>
              <w:left w:val="nil"/>
              <w:bottom w:val="nil"/>
              <w:right w:val="nil"/>
            </w:tcBorders>
            <w:shd w:val="clear" w:color="000000" w:fill="FFFFFF"/>
            <w:noWrap/>
            <w:vAlign w:val="center"/>
            <w:hideMark/>
          </w:tcPr>
          <w:p w:rsidR="00CB57A9" w:rsidRPr="00CB57A9" w:rsidRDefault="00CB57A9" w:rsidP="00CB57A9">
            <w:pPr>
              <w:jc w:val="center"/>
              <w:rPr>
                <w:rFonts w:ascii="Times New Roman" w:hAnsi="Times New Roman"/>
                <w:color w:val="000000"/>
                <w:sz w:val="22"/>
                <w:szCs w:val="22"/>
                <w:lang w:val="es-AR" w:eastAsia="es-AR"/>
              </w:rPr>
            </w:pPr>
            <w:r w:rsidRPr="00CB57A9">
              <w:rPr>
                <w:rFonts w:ascii="Times New Roman" w:hAnsi="Times New Roman"/>
                <w:color w:val="000000"/>
                <w:sz w:val="22"/>
                <w:szCs w:val="22"/>
                <w:lang w:val="es-AR" w:eastAsia="es-AR"/>
              </w:rPr>
              <w:t>3.555</w:t>
            </w:r>
          </w:p>
        </w:tc>
        <w:tc>
          <w:tcPr>
            <w:tcW w:w="1450" w:type="dxa"/>
            <w:tcBorders>
              <w:top w:val="single" w:sz="4" w:space="0" w:color="auto"/>
              <w:left w:val="nil"/>
              <w:bottom w:val="nil"/>
              <w:right w:val="nil"/>
            </w:tcBorders>
            <w:shd w:val="clear" w:color="000000" w:fill="FFFFFF"/>
            <w:noWrap/>
            <w:vAlign w:val="center"/>
            <w:hideMark/>
          </w:tcPr>
          <w:p w:rsidR="00CB57A9" w:rsidRPr="00CB57A9" w:rsidRDefault="00CB57A9" w:rsidP="00CB57A9">
            <w:pPr>
              <w:jc w:val="center"/>
              <w:rPr>
                <w:rFonts w:ascii="Times New Roman" w:hAnsi="Times New Roman"/>
                <w:color w:val="000000"/>
                <w:lang w:val="es-AR" w:eastAsia="es-AR"/>
              </w:rPr>
            </w:pPr>
            <w:r w:rsidRPr="00CB57A9">
              <w:rPr>
                <w:rFonts w:ascii="Times New Roman" w:hAnsi="Times New Roman"/>
                <w:color w:val="000000"/>
                <w:lang w:val="es-AR" w:eastAsia="es-AR"/>
              </w:rPr>
              <w:t>3.008</w:t>
            </w:r>
          </w:p>
        </w:tc>
      </w:tr>
      <w:tr w:rsidR="00CB57A9" w:rsidRPr="00CB57A9" w:rsidTr="00CB57A9">
        <w:trPr>
          <w:trHeight w:val="300"/>
        </w:trPr>
        <w:tc>
          <w:tcPr>
            <w:tcW w:w="4100" w:type="dxa"/>
            <w:tcBorders>
              <w:top w:val="nil"/>
              <w:left w:val="nil"/>
              <w:bottom w:val="nil"/>
              <w:right w:val="nil"/>
            </w:tcBorders>
            <w:shd w:val="clear" w:color="000000" w:fill="FFFFFF"/>
            <w:noWrap/>
            <w:vAlign w:val="center"/>
            <w:hideMark/>
          </w:tcPr>
          <w:p w:rsidR="00CB57A9" w:rsidRPr="00CB57A9" w:rsidRDefault="00CB57A9" w:rsidP="00CB57A9">
            <w:pPr>
              <w:rPr>
                <w:rFonts w:ascii="Times New Roman" w:hAnsi="Times New Roman"/>
                <w:color w:val="000000"/>
                <w:sz w:val="18"/>
                <w:szCs w:val="18"/>
                <w:lang w:val="es-AR" w:eastAsia="es-AR"/>
              </w:rPr>
            </w:pPr>
            <w:r w:rsidRPr="00CB57A9">
              <w:rPr>
                <w:rFonts w:ascii="Times New Roman" w:hAnsi="Times New Roman"/>
                <w:color w:val="000000"/>
                <w:sz w:val="18"/>
                <w:szCs w:val="18"/>
                <w:lang w:val="es-AR" w:eastAsia="es-AR"/>
              </w:rPr>
              <w:t>Equipo Radio comunicación Bomberos</w:t>
            </w:r>
          </w:p>
        </w:tc>
        <w:tc>
          <w:tcPr>
            <w:tcW w:w="1480" w:type="dxa"/>
            <w:tcBorders>
              <w:top w:val="nil"/>
              <w:left w:val="nil"/>
              <w:bottom w:val="nil"/>
              <w:right w:val="nil"/>
            </w:tcBorders>
            <w:shd w:val="clear" w:color="000000" w:fill="FFFFFF"/>
            <w:noWrap/>
            <w:vAlign w:val="center"/>
            <w:hideMark/>
          </w:tcPr>
          <w:p w:rsidR="00CB57A9" w:rsidRPr="00CB57A9" w:rsidRDefault="00CB57A9" w:rsidP="00CB57A9">
            <w:pPr>
              <w:jc w:val="center"/>
              <w:rPr>
                <w:rFonts w:ascii="Times New Roman" w:hAnsi="Times New Roman"/>
                <w:color w:val="000000"/>
                <w:lang w:val="es-AR" w:eastAsia="es-AR"/>
              </w:rPr>
            </w:pPr>
            <w:r w:rsidRPr="00CB57A9">
              <w:rPr>
                <w:rFonts w:ascii="Times New Roman" w:hAnsi="Times New Roman"/>
                <w:color w:val="000000"/>
                <w:lang w:val="es-AR" w:eastAsia="es-AR"/>
              </w:rPr>
              <w:t>Años 1 a 3</w:t>
            </w:r>
          </w:p>
        </w:tc>
        <w:tc>
          <w:tcPr>
            <w:tcW w:w="1560" w:type="dxa"/>
            <w:tcBorders>
              <w:top w:val="nil"/>
              <w:left w:val="nil"/>
              <w:bottom w:val="nil"/>
              <w:right w:val="nil"/>
            </w:tcBorders>
            <w:shd w:val="clear" w:color="000000" w:fill="FFFFFF"/>
            <w:noWrap/>
            <w:vAlign w:val="center"/>
            <w:hideMark/>
          </w:tcPr>
          <w:p w:rsidR="00CB57A9" w:rsidRPr="00111924" w:rsidRDefault="00CB57A9" w:rsidP="00CB57A9">
            <w:pPr>
              <w:jc w:val="center"/>
              <w:rPr>
                <w:rFonts w:ascii="Times New Roman" w:hAnsi="Times New Roman"/>
                <w:color w:val="000000"/>
                <w:lang w:val="es-AR" w:eastAsia="es-AR"/>
              </w:rPr>
            </w:pPr>
            <w:r w:rsidRPr="00111924">
              <w:rPr>
                <w:rFonts w:ascii="Times New Roman" w:hAnsi="Times New Roman"/>
                <w:color w:val="000000"/>
                <w:lang w:val="es-AR" w:eastAsia="es-AR"/>
              </w:rPr>
              <w:t>1.638</w:t>
            </w:r>
          </w:p>
        </w:tc>
        <w:tc>
          <w:tcPr>
            <w:tcW w:w="1450" w:type="dxa"/>
            <w:tcBorders>
              <w:top w:val="nil"/>
              <w:left w:val="nil"/>
              <w:bottom w:val="nil"/>
              <w:right w:val="nil"/>
            </w:tcBorders>
            <w:shd w:val="clear" w:color="000000" w:fill="FFFFFF"/>
            <w:noWrap/>
            <w:vAlign w:val="center"/>
            <w:hideMark/>
          </w:tcPr>
          <w:p w:rsidR="00CB57A9" w:rsidRPr="00111924" w:rsidRDefault="00CB57A9" w:rsidP="00CB57A9">
            <w:pPr>
              <w:jc w:val="center"/>
              <w:rPr>
                <w:rFonts w:ascii="Times New Roman" w:hAnsi="Times New Roman"/>
                <w:color w:val="000000"/>
                <w:lang w:val="es-AR" w:eastAsia="es-AR"/>
              </w:rPr>
            </w:pPr>
            <w:r w:rsidRPr="00111924">
              <w:rPr>
                <w:rFonts w:ascii="Times New Roman" w:hAnsi="Times New Roman"/>
                <w:color w:val="000000"/>
                <w:lang w:val="es-AR" w:eastAsia="es-AR"/>
              </w:rPr>
              <w:t>1.386</w:t>
            </w:r>
          </w:p>
        </w:tc>
      </w:tr>
      <w:tr w:rsidR="00CB57A9" w:rsidRPr="00CB57A9" w:rsidTr="00CB57A9">
        <w:trPr>
          <w:trHeight w:val="300"/>
        </w:trPr>
        <w:tc>
          <w:tcPr>
            <w:tcW w:w="4100" w:type="dxa"/>
            <w:tcBorders>
              <w:top w:val="nil"/>
              <w:left w:val="nil"/>
              <w:bottom w:val="nil"/>
              <w:right w:val="nil"/>
            </w:tcBorders>
            <w:shd w:val="clear" w:color="000000" w:fill="FFFFFF"/>
            <w:noWrap/>
            <w:vAlign w:val="center"/>
            <w:hideMark/>
          </w:tcPr>
          <w:p w:rsidR="00CB57A9" w:rsidRPr="00CB57A9" w:rsidRDefault="00CB57A9" w:rsidP="00CB57A9">
            <w:pPr>
              <w:rPr>
                <w:rFonts w:ascii="Times New Roman" w:hAnsi="Times New Roman"/>
                <w:color w:val="000000"/>
                <w:sz w:val="18"/>
                <w:szCs w:val="18"/>
                <w:lang w:val="es-AR" w:eastAsia="es-AR"/>
              </w:rPr>
            </w:pPr>
            <w:r w:rsidRPr="00CB57A9">
              <w:rPr>
                <w:rFonts w:ascii="Times New Roman" w:hAnsi="Times New Roman"/>
                <w:color w:val="000000"/>
                <w:sz w:val="18"/>
                <w:szCs w:val="18"/>
                <w:lang w:val="es-AR" w:eastAsia="es-AR"/>
              </w:rPr>
              <w:t>Señalética , Luminaria y Plan Evacuación</w:t>
            </w:r>
          </w:p>
        </w:tc>
        <w:tc>
          <w:tcPr>
            <w:tcW w:w="1480" w:type="dxa"/>
            <w:tcBorders>
              <w:top w:val="nil"/>
              <w:left w:val="nil"/>
              <w:bottom w:val="nil"/>
              <w:right w:val="nil"/>
            </w:tcBorders>
            <w:shd w:val="clear" w:color="000000" w:fill="FFFFFF"/>
            <w:noWrap/>
            <w:vAlign w:val="center"/>
            <w:hideMark/>
          </w:tcPr>
          <w:p w:rsidR="00CB57A9" w:rsidRPr="00CB57A9" w:rsidRDefault="00CB57A9" w:rsidP="00CB57A9">
            <w:pPr>
              <w:jc w:val="center"/>
              <w:rPr>
                <w:rFonts w:ascii="Times New Roman" w:hAnsi="Times New Roman"/>
                <w:color w:val="000000"/>
                <w:lang w:val="es-AR" w:eastAsia="es-AR"/>
              </w:rPr>
            </w:pPr>
            <w:r w:rsidRPr="00CB57A9">
              <w:rPr>
                <w:rFonts w:ascii="Times New Roman" w:hAnsi="Times New Roman"/>
                <w:color w:val="000000"/>
                <w:lang w:val="es-AR" w:eastAsia="es-AR"/>
              </w:rPr>
              <w:t>Años 1 a 3</w:t>
            </w:r>
          </w:p>
        </w:tc>
        <w:tc>
          <w:tcPr>
            <w:tcW w:w="1560" w:type="dxa"/>
            <w:tcBorders>
              <w:top w:val="nil"/>
              <w:left w:val="nil"/>
              <w:bottom w:val="nil"/>
              <w:right w:val="nil"/>
            </w:tcBorders>
            <w:shd w:val="clear" w:color="000000" w:fill="FFFFFF"/>
            <w:noWrap/>
            <w:vAlign w:val="center"/>
            <w:hideMark/>
          </w:tcPr>
          <w:p w:rsidR="00CB57A9" w:rsidRPr="00111924" w:rsidRDefault="00CB57A9" w:rsidP="00CB57A9">
            <w:pPr>
              <w:jc w:val="center"/>
              <w:rPr>
                <w:rFonts w:ascii="Times New Roman" w:hAnsi="Times New Roman"/>
                <w:color w:val="000000"/>
                <w:lang w:val="es-AR" w:eastAsia="es-AR"/>
              </w:rPr>
            </w:pPr>
            <w:r w:rsidRPr="00111924">
              <w:rPr>
                <w:rFonts w:ascii="Times New Roman" w:hAnsi="Times New Roman"/>
                <w:color w:val="000000"/>
                <w:lang w:val="es-AR" w:eastAsia="es-AR"/>
              </w:rPr>
              <w:t>2.490</w:t>
            </w:r>
          </w:p>
        </w:tc>
        <w:tc>
          <w:tcPr>
            <w:tcW w:w="1450" w:type="dxa"/>
            <w:tcBorders>
              <w:top w:val="nil"/>
              <w:left w:val="nil"/>
              <w:bottom w:val="nil"/>
              <w:right w:val="nil"/>
            </w:tcBorders>
            <w:shd w:val="clear" w:color="000000" w:fill="FFFFFF"/>
            <w:noWrap/>
            <w:vAlign w:val="center"/>
            <w:hideMark/>
          </w:tcPr>
          <w:p w:rsidR="00CB57A9" w:rsidRPr="00111924" w:rsidRDefault="00CB57A9" w:rsidP="00CB57A9">
            <w:pPr>
              <w:jc w:val="center"/>
              <w:rPr>
                <w:rFonts w:ascii="Times New Roman" w:hAnsi="Times New Roman"/>
                <w:color w:val="000000"/>
                <w:lang w:val="es-AR" w:eastAsia="es-AR"/>
              </w:rPr>
            </w:pPr>
            <w:r w:rsidRPr="00111924">
              <w:rPr>
                <w:rFonts w:ascii="Times New Roman" w:hAnsi="Times New Roman"/>
                <w:color w:val="000000"/>
                <w:lang w:val="es-AR" w:eastAsia="es-AR"/>
              </w:rPr>
              <w:t>2.107</w:t>
            </w:r>
          </w:p>
        </w:tc>
      </w:tr>
      <w:tr w:rsidR="00CB57A9" w:rsidRPr="00CB57A9" w:rsidTr="00CB57A9">
        <w:trPr>
          <w:trHeight w:val="300"/>
        </w:trPr>
        <w:tc>
          <w:tcPr>
            <w:tcW w:w="4100" w:type="dxa"/>
            <w:tcBorders>
              <w:top w:val="nil"/>
              <w:left w:val="nil"/>
              <w:bottom w:val="nil"/>
              <w:right w:val="nil"/>
            </w:tcBorders>
            <w:shd w:val="clear" w:color="000000" w:fill="FFFFFF"/>
            <w:noWrap/>
            <w:vAlign w:val="center"/>
            <w:hideMark/>
          </w:tcPr>
          <w:p w:rsidR="00CB57A9" w:rsidRPr="00CB57A9" w:rsidRDefault="00CB57A9" w:rsidP="00CB57A9">
            <w:pPr>
              <w:rPr>
                <w:rFonts w:ascii="Times New Roman" w:hAnsi="Times New Roman"/>
                <w:color w:val="000000"/>
                <w:sz w:val="18"/>
                <w:szCs w:val="18"/>
                <w:lang w:val="es-AR" w:eastAsia="es-AR"/>
              </w:rPr>
            </w:pPr>
            <w:r w:rsidRPr="00CB57A9">
              <w:rPr>
                <w:rFonts w:ascii="Times New Roman" w:hAnsi="Times New Roman"/>
                <w:color w:val="000000"/>
                <w:sz w:val="18"/>
                <w:szCs w:val="18"/>
                <w:lang w:val="es-AR" w:eastAsia="es-AR"/>
              </w:rPr>
              <w:t>Ejecución simulacros</w:t>
            </w:r>
          </w:p>
        </w:tc>
        <w:tc>
          <w:tcPr>
            <w:tcW w:w="1480" w:type="dxa"/>
            <w:tcBorders>
              <w:top w:val="nil"/>
              <w:left w:val="nil"/>
              <w:bottom w:val="nil"/>
              <w:right w:val="nil"/>
            </w:tcBorders>
            <w:shd w:val="clear" w:color="000000" w:fill="FFFFFF"/>
            <w:noWrap/>
            <w:vAlign w:val="center"/>
            <w:hideMark/>
          </w:tcPr>
          <w:p w:rsidR="00CB57A9" w:rsidRPr="00CB57A9" w:rsidRDefault="00CB57A9" w:rsidP="00CB57A9">
            <w:pPr>
              <w:jc w:val="center"/>
              <w:rPr>
                <w:rFonts w:ascii="Times New Roman" w:hAnsi="Times New Roman"/>
                <w:color w:val="000000"/>
                <w:lang w:val="es-AR" w:eastAsia="es-AR"/>
              </w:rPr>
            </w:pPr>
            <w:r w:rsidRPr="00CB57A9">
              <w:rPr>
                <w:rFonts w:ascii="Times New Roman" w:hAnsi="Times New Roman"/>
                <w:color w:val="000000"/>
                <w:lang w:val="es-AR" w:eastAsia="es-AR"/>
              </w:rPr>
              <w:t>Años 1 a 3</w:t>
            </w:r>
          </w:p>
        </w:tc>
        <w:tc>
          <w:tcPr>
            <w:tcW w:w="1560" w:type="dxa"/>
            <w:tcBorders>
              <w:top w:val="nil"/>
              <w:left w:val="nil"/>
              <w:bottom w:val="nil"/>
              <w:right w:val="nil"/>
            </w:tcBorders>
            <w:shd w:val="clear" w:color="000000" w:fill="FFFFFF"/>
            <w:noWrap/>
            <w:vAlign w:val="center"/>
            <w:hideMark/>
          </w:tcPr>
          <w:p w:rsidR="00CB57A9" w:rsidRPr="00111924" w:rsidRDefault="00CB57A9" w:rsidP="00A11F7E">
            <w:pPr>
              <w:jc w:val="center"/>
              <w:rPr>
                <w:rFonts w:ascii="Times New Roman" w:hAnsi="Times New Roman"/>
                <w:color w:val="000000"/>
                <w:lang w:val="es-AR" w:eastAsia="es-AR"/>
              </w:rPr>
            </w:pPr>
            <w:r w:rsidRPr="00111924">
              <w:rPr>
                <w:rFonts w:ascii="Times New Roman" w:hAnsi="Times New Roman"/>
                <w:color w:val="000000"/>
                <w:lang w:val="es-AR" w:eastAsia="es-AR"/>
              </w:rPr>
              <w:t>7</w:t>
            </w:r>
            <w:r w:rsidR="00A11F7E">
              <w:rPr>
                <w:rFonts w:ascii="Times New Roman" w:hAnsi="Times New Roman"/>
                <w:color w:val="000000"/>
                <w:lang w:val="es-AR" w:eastAsia="es-AR"/>
              </w:rPr>
              <w:t>50</w:t>
            </w:r>
          </w:p>
        </w:tc>
        <w:tc>
          <w:tcPr>
            <w:tcW w:w="1450" w:type="dxa"/>
            <w:tcBorders>
              <w:top w:val="nil"/>
              <w:left w:val="nil"/>
              <w:bottom w:val="nil"/>
              <w:right w:val="nil"/>
            </w:tcBorders>
            <w:shd w:val="clear" w:color="000000" w:fill="FFFFFF"/>
            <w:noWrap/>
            <w:vAlign w:val="center"/>
            <w:hideMark/>
          </w:tcPr>
          <w:p w:rsidR="00CB57A9" w:rsidRPr="00111924" w:rsidRDefault="00CB57A9" w:rsidP="00CB57A9">
            <w:pPr>
              <w:jc w:val="center"/>
              <w:rPr>
                <w:rFonts w:ascii="Times New Roman" w:hAnsi="Times New Roman"/>
                <w:color w:val="000000"/>
                <w:lang w:val="es-AR" w:eastAsia="es-AR"/>
              </w:rPr>
            </w:pPr>
            <w:r w:rsidRPr="00111924">
              <w:rPr>
                <w:rFonts w:ascii="Times New Roman" w:hAnsi="Times New Roman"/>
                <w:color w:val="000000"/>
                <w:lang w:val="es-AR" w:eastAsia="es-AR"/>
              </w:rPr>
              <w:t>613</w:t>
            </w:r>
          </w:p>
        </w:tc>
      </w:tr>
      <w:tr w:rsidR="00CB57A9" w:rsidRPr="00CB57A9" w:rsidTr="00CB57A9">
        <w:trPr>
          <w:trHeight w:val="300"/>
        </w:trPr>
        <w:tc>
          <w:tcPr>
            <w:tcW w:w="4100" w:type="dxa"/>
            <w:tcBorders>
              <w:top w:val="nil"/>
              <w:left w:val="nil"/>
              <w:bottom w:val="nil"/>
              <w:right w:val="nil"/>
            </w:tcBorders>
            <w:shd w:val="clear" w:color="000000" w:fill="FFFFFF"/>
            <w:noWrap/>
            <w:vAlign w:val="center"/>
            <w:hideMark/>
          </w:tcPr>
          <w:p w:rsidR="00CB57A9" w:rsidRPr="00CB57A9" w:rsidRDefault="00CB57A9" w:rsidP="00CB57A9">
            <w:pPr>
              <w:rPr>
                <w:rFonts w:ascii="Times New Roman" w:hAnsi="Times New Roman"/>
                <w:color w:val="000000"/>
                <w:sz w:val="18"/>
                <w:szCs w:val="18"/>
                <w:lang w:val="es-AR" w:eastAsia="es-AR"/>
              </w:rPr>
            </w:pPr>
          </w:p>
        </w:tc>
        <w:tc>
          <w:tcPr>
            <w:tcW w:w="1480" w:type="dxa"/>
            <w:tcBorders>
              <w:top w:val="nil"/>
              <w:left w:val="nil"/>
              <w:bottom w:val="nil"/>
              <w:right w:val="nil"/>
            </w:tcBorders>
            <w:shd w:val="clear" w:color="000000" w:fill="FFFFFF"/>
            <w:noWrap/>
            <w:vAlign w:val="center"/>
            <w:hideMark/>
          </w:tcPr>
          <w:p w:rsidR="00CB57A9" w:rsidRPr="00CB57A9" w:rsidRDefault="00CB57A9" w:rsidP="00CB57A9">
            <w:pPr>
              <w:jc w:val="center"/>
              <w:rPr>
                <w:rFonts w:ascii="Times New Roman" w:hAnsi="Times New Roman"/>
                <w:color w:val="000000"/>
                <w:lang w:val="es-AR" w:eastAsia="es-AR"/>
              </w:rPr>
            </w:pPr>
          </w:p>
        </w:tc>
        <w:tc>
          <w:tcPr>
            <w:tcW w:w="1560" w:type="dxa"/>
            <w:tcBorders>
              <w:top w:val="nil"/>
              <w:left w:val="nil"/>
              <w:bottom w:val="nil"/>
              <w:right w:val="nil"/>
            </w:tcBorders>
            <w:shd w:val="clear" w:color="000000" w:fill="FFFFFF"/>
            <w:noWrap/>
            <w:vAlign w:val="center"/>
            <w:hideMark/>
          </w:tcPr>
          <w:p w:rsidR="00CB57A9" w:rsidRPr="00CB57A9" w:rsidRDefault="00CB57A9" w:rsidP="00CB57A9">
            <w:pPr>
              <w:jc w:val="center"/>
              <w:rPr>
                <w:rFonts w:ascii="Times New Roman" w:hAnsi="Times New Roman"/>
                <w:color w:val="000000"/>
                <w:lang w:val="es-AR" w:eastAsia="es-AR"/>
              </w:rPr>
            </w:pPr>
          </w:p>
        </w:tc>
        <w:tc>
          <w:tcPr>
            <w:tcW w:w="1450" w:type="dxa"/>
            <w:tcBorders>
              <w:top w:val="nil"/>
              <w:left w:val="nil"/>
              <w:bottom w:val="nil"/>
              <w:right w:val="nil"/>
            </w:tcBorders>
            <w:shd w:val="clear" w:color="000000" w:fill="FFFFFF"/>
            <w:noWrap/>
            <w:vAlign w:val="center"/>
            <w:hideMark/>
          </w:tcPr>
          <w:p w:rsidR="00CB57A9" w:rsidRPr="00CB57A9" w:rsidRDefault="00CB57A9" w:rsidP="00CB57A9">
            <w:pPr>
              <w:jc w:val="center"/>
              <w:rPr>
                <w:rFonts w:ascii="Times New Roman" w:hAnsi="Times New Roman"/>
                <w:color w:val="000000"/>
                <w:lang w:val="es-AR" w:eastAsia="es-AR"/>
              </w:rPr>
            </w:pPr>
          </w:p>
        </w:tc>
      </w:tr>
      <w:tr w:rsidR="00CB57A9" w:rsidRPr="00CB57A9" w:rsidTr="00CB57A9">
        <w:trPr>
          <w:trHeight w:val="300"/>
        </w:trPr>
        <w:tc>
          <w:tcPr>
            <w:tcW w:w="4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57A9" w:rsidRPr="00CB57A9" w:rsidRDefault="00CB57A9" w:rsidP="00CB57A9">
            <w:pPr>
              <w:rPr>
                <w:rFonts w:ascii="Times New Roman" w:hAnsi="Times New Roman"/>
                <w:color w:val="000000"/>
                <w:lang w:val="es-AR" w:eastAsia="es-AR"/>
              </w:rPr>
            </w:pPr>
            <w:r w:rsidRPr="00CB57A9">
              <w:rPr>
                <w:rFonts w:ascii="Times New Roman" w:hAnsi="Times New Roman"/>
                <w:color w:val="000000"/>
                <w:lang w:val="es-AR" w:eastAsia="es-AR"/>
              </w:rPr>
              <w:t>Costos Operación y Mantenimiento</w:t>
            </w:r>
            <w:r w:rsidR="002343C2">
              <w:rPr>
                <w:rFonts w:ascii="Times New Roman" w:hAnsi="Times New Roman"/>
                <w:color w:val="000000"/>
                <w:lang w:val="es-AR" w:eastAsia="es-AR"/>
              </w:rPr>
              <w:t xml:space="preserve"> Recurrentes</w:t>
            </w:r>
          </w:p>
        </w:tc>
        <w:tc>
          <w:tcPr>
            <w:tcW w:w="1480" w:type="dxa"/>
            <w:tcBorders>
              <w:top w:val="single" w:sz="4" w:space="0" w:color="auto"/>
              <w:left w:val="nil"/>
              <w:bottom w:val="single" w:sz="4" w:space="0" w:color="auto"/>
              <w:right w:val="single" w:sz="4" w:space="0" w:color="auto"/>
            </w:tcBorders>
            <w:shd w:val="clear" w:color="000000" w:fill="FFFFFF"/>
            <w:noWrap/>
            <w:vAlign w:val="center"/>
            <w:hideMark/>
          </w:tcPr>
          <w:p w:rsidR="00CB57A9" w:rsidRPr="00CB57A9" w:rsidRDefault="00CB57A9" w:rsidP="00CB57A9">
            <w:pPr>
              <w:jc w:val="center"/>
              <w:rPr>
                <w:rFonts w:ascii="Times New Roman" w:hAnsi="Times New Roman"/>
                <w:color w:val="000000"/>
                <w:lang w:val="es-AR" w:eastAsia="es-AR"/>
              </w:rPr>
            </w:pPr>
            <w:r w:rsidRPr="00CB57A9">
              <w:rPr>
                <w:rFonts w:ascii="Times New Roman" w:hAnsi="Times New Roman"/>
                <w:color w:val="000000"/>
                <w:lang w:val="es-AR" w:eastAsia="es-AR"/>
              </w:rPr>
              <w:t>A incurrir</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CB57A9" w:rsidRPr="00CB57A9" w:rsidRDefault="00CB57A9" w:rsidP="00CB57A9">
            <w:pPr>
              <w:jc w:val="center"/>
              <w:rPr>
                <w:rFonts w:ascii="Times New Roman" w:hAnsi="Times New Roman"/>
                <w:color w:val="000000"/>
                <w:lang w:val="es-AR" w:eastAsia="es-AR"/>
              </w:rPr>
            </w:pPr>
            <w:r w:rsidRPr="00CB57A9">
              <w:rPr>
                <w:rFonts w:ascii="Times New Roman" w:hAnsi="Times New Roman"/>
                <w:color w:val="000000"/>
                <w:lang w:val="es-AR" w:eastAsia="es-AR"/>
              </w:rPr>
              <w:t>Monto US$000</w:t>
            </w:r>
          </w:p>
        </w:tc>
        <w:tc>
          <w:tcPr>
            <w:tcW w:w="1450" w:type="dxa"/>
            <w:tcBorders>
              <w:top w:val="single" w:sz="4" w:space="0" w:color="auto"/>
              <w:left w:val="nil"/>
              <w:bottom w:val="single" w:sz="4" w:space="0" w:color="auto"/>
              <w:right w:val="single" w:sz="4" w:space="0" w:color="auto"/>
            </w:tcBorders>
            <w:shd w:val="clear" w:color="000000" w:fill="FFFFFF"/>
            <w:noWrap/>
            <w:vAlign w:val="center"/>
            <w:hideMark/>
          </w:tcPr>
          <w:p w:rsidR="00CB57A9" w:rsidRPr="00CB57A9" w:rsidRDefault="00CB57A9" w:rsidP="00CB57A9">
            <w:pPr>
              <w:jc w:val="center"/>
              <w:rPr>
                <w:rFonts w:ascii="Times New Roman" w:hAnsi="Times New Roman"/>
                <w:color w:val="000000"/>
                <w:lang w:val="es-AR" w:eastAsia="es-AR"/>
              </w:rPr>
            </w:pPr>
            <w:r w:rsidRPr="00CB57A9">
              <w:rPr>
                <w:rFonts w:ascii="Times New Roman" w:hAnsi="Times New Roman"/>
                <w:color w:val="000000"/>
                <w:lang w:val="es-AR" w:eastAsia="es-AR"/>
              </w:rPr>
              <w:t>VAN US$ 000</w:t>
            </w:r>
          </w:p>
        </w:tc>
      </w:tr>
      <w:tr w:rsidR="00CB57A9" w:rsidRPr="00CB57A9" w:rsidTr="00CB57A9">
        <w:trPr>
          <w:trHeight w:val="300"/>
        </w:trPr>
        <w:tc>
          <w:tcPr>
            <w:tcW w:w="4100" w:type="dxa"/>
            <w:tcBorders>
              <w:top w:val="nil"/>
              <w:left w:val="nil"/>
              <w:bottom w:val="nil"/>
              <w:right w:val="nil"/>
            </w:tcBorders>
            <w:shd w:val="clear" w:color="000000" w:fill="FFFFFF"/>
            <w:noWrap/>
            <w:vAlign w:val="center"/>
            <w:hideMark/>
          </w:tcPr>
          <w:p w:rsidR="00CB57A9" w:rsidRPr="00CB57A9" w:rsidRDefault="00CB57A9" w:rsidP="00CB57A9">
            <w:pPr>
              <w:rPr>
                <w:rFonts w:ascii="Times New Roman" w:hAnsi="Times New Roman"/>
                <w:color w:val="000000"/>
                <w:sz w:val="18"/>
                <w:szCs w:val="18"/>
                <w:lang w:val="es-AR" w:eastAsia="es-AR"/>
              </w:rPr>
            </w:pPr>
            <w:r w:rsidRPr="00CB57A9">
              <w:rPr>
                <w:rFonts w:ascii="Times New Roman" w:hAnsi="Times New Roman"/>
                <w:color w:val="000000"/>
                <w:sz w:val="18"/>
                <w:szCs w:val="18"/>
                <w:lang w:val="es-AR" w:eastAsia="es-AR"/>
              </w:rPr>
              <w:t>Conectividad y Operación equipos</w:t>
            </w:r>
          </w:p>
        </w:tc>
        <w:tc>
          <w:tcPr>
            <w:tcW w:w="1480" w:type="dxa"/>
            <w:tcBorders>
              <w:top w:val="nil"/>
              <w:left w:val="nil"/>
              <w:bottom w:val="nil"/>
              <w:right w:val="nil"/>
            </w:tcBorders>
            <w:shd w:val="clear" w:color="000000" w:fill="FFFFFF"/>
            <w:noWrap/>
            <w:vAlign w:val="center"/>
            <w:hideMark/>
          </w:tcPr>
          <w:p w:rsidR="00CB57A9" w:rsidRPr="00CB57A9" w:rsidRDefault="00CB57A9" w:rsidP="00CB57A9">
            <w:pPr>
              <w:jc w:val="center"/>
              <w:rPr>
                <w:rFonts w:ascii="Times New Roman" w:hAnsi="Times New Roman"/>
                <w:color w:val="000000"/>
                <w:lang w:val="es-AR" w:eastAsia="es-AR"/>
              </w:rPr>
            </w:pPr>
            <w:r w:rsidRPr="00CB57A9">
              <w:rPr>
                <w:rFonts w:ascii="Times New Roman" w:hAnsi="Times New Roman"/>
                <w:color w:val="000000"/>
                <w:lang w:val="es-AR" w:eastAsia="es-AR"/>
              </w:rPr>
              <w:t>Años 3 a 20</w:t>
            </w:r>
          </w:p>
        </w:tc>
        <w:tc>
          <w:tcPr>
            <w:tcW w:w="1560" w:type="dxa"/>
            <w:tcBorders>
              <w:top w:val="nil"/>
              <w:left w:val="nil"/>
              <w:bottom w:val="nil"/>
              <w:right w:val="nil"/>
            </w:tcBorders>
            <w:shd w:val="clear" w:color="000000" w:fill="FFFFFF"/>
            <w:noWrap/>
            <w:vAlign w:val="center"/>
            <w:hideMark/>
          </w:tcPr>
          <w:p w:rsidR="00CB57A9" w:rsidRPr="00CB57A9" w:rsidRDefault="00CB57A9" w:rsidP="00CB57A9">
            <w:pPr>
              <w:jc w:val="center"/>
              <w:rPr>
                <w:rFonts w:ascii="Times New Roman" w:hAnsi="Times New Roman"/>
                <w:color w:val="000000"/>
                <w:lang w:val="es-AR" w:eastAsia="es-AR"/>
              </w:rPr>
            </w:pPr>
            <w:r w:rsidRPr="00CB57A9">
              <w:rPr>
                <w:rFonts w:ascii="Times New Roman" w:hAnsi="Times New Roman"/>
                <w:color w:val="000000"/>
                <w:lang w:val="es-AR" w:eastAsia="es-AR"/>
              </w:rPr>
              <w:t>11.864</w:t>
            </w:r>
          </w:p>
        </w:tc>
        <w:tc>
          <w:tcPr>
            <w:tcW w:w="1450" w:type="dxa"/>
            <w:tcBorders>
              <w:top w:val="nil"/>
              <w:left w:val="nil"/>
              <w:bottom w:val="nil"/>
              <w:right w:val="nil"/>
            </w:tcBorders>
            <w:shd w:val="clear" w:color="000000" w:fill="FFFFFF"/>
            <w:noWrap/>
            <w:vAlign w:val="center"/>
            <w:hideMark/>
          </w:tcPr>
          <w:p w:rsidR="00CB57A9" w:rsidRPr="00CB57A9" w:rsidRDefault="00CB57A9" w:rsidP="00CB57A9">
            <w:pPr>
              <w:jc w:val="center"/>
              <w:rPr>
                <w:rFonts w:ascii="Times New Roman" w:hAnsi="Times New Roman"/>
                <w:color w:val="000000"/>
                <w:lang w:val="es-AR" w:eastAsia="es-AR"/>
              </w:rPr>
            </w:pPr>
            <w:r w:rsidRPr="00CB57A9">
              <w:rPr>
                <w:rFonts w:ascii="Times New Roman" w:hAnsi="Times New Roman"/>
                <w:color w:val="000000"/>
                <w:lang w:val="es-AR" w:eastAsia="es-AR"/>
              </w:rPr>
              <w:t>3.868</w:t>
            </w:r>
          </w:p>
        </w:tc>
      </w:tr>
      <w:tr w:rsidR="00CB57A9" w:rsidRPr="00CB57A9" w:rsidTr="00CB57A9">
        <w:trPr>
          <w:trHeight w:val="300"/>
        </w:trPr>
        <w:tc>
          <w:tcPr>
            <w:tcW w:w="4100" w:type="dxa"/>
            <w:tcBorders>
              <w:top w:val="nil"/>
              <w:left w:val="nil"/>
              <w:bottom w:val="nil"/>
              <w:right w:val="nil"/>
            </w:tcBorders>
            <w:shd w:val="clear" w:color="000000" w:fill="FFFFFF"/>
            <w:noWrap/>
            <w:vAlign w:val="center"/>
            <w:hideMark/>
          </w:tcPr>
          <w:p w:rsidR="00CB57A9" w:rsidRPr="00CB57A9" w:rsidRDefault="00CB57A9" w:rsidP="00CB57A9">
            <w:pPr>
              <w:rPr>
                <w:rFonts w:ascii="Times New Roman" w:hAnsi="Times New Roman"/>
                <w:color w:val="000000"/>
                <w:sz w:val="18"/>
                <w:szCs w:val="18"/>
                <w:lang w:val="es-AR" w:eastAsia="es-AR"/>
              </w:rPr>
            </w:pPr>
            <w:r w:rsidRPr="00CB57A9">
              <w:rPr>
                <w:rFonts w:ascii="Times New Roman" w:hAnsi="Times New Roman"/>
                <w:color w:val="000000"/>
                <w:sz w:val="18"/>
                <w:szCs w:val="18"/>
                <w:lang w:val="es-AR" w:eastAsia="es-AR"/>
              </w:rPr>
              <w:t>Adquisición equipamiento reposición</w:t>
            </w:r>
          </w:p>
        </w:tc>
        <w:tc>
          <w:tcPr>
            <w:tcW w:w="1480" w:type="dxa"/>
            <w:tcBorders>
              <w:top w:val="nil"/>
              <w:left w:val="nil"/>
              <w:bottom w:val="nil"/>
              <w:right w:val="nil"/>
            </w:tcBorders>
            <w:shd w:val="clear" w:color="000000" w:fill="FFFFFF"/>
            <w:noWrap/>
            <w:vAlign w:val="center"/>
            <w:hideMark/>
          </w:tcPr>
          <w:p w:rsidR="00CB57A9" w:rsidRPr="00CB57A9" w:rsidRDefault="00CB57A9" w:rsidP="00CB57A9">
            <w:pPr>
              <w:jc w:val="center"/>
              <w:rPr>
                <w:rFonts w:ascii="Times New Roman" w:hAnsi="Times New Roman"/>
                <w:color w:val="000000"/>
                <w:lang w:val="es-AR" w:eastAsia="es-AR"/>
              </w:rPr>
            </w:pPr>
            <w:r w:rsidRPr="00CB57A9">
              <w:rPr>
                <w:rFonts w:ascii="Times New Roman" w:hAnsi="Times New Roman"/>
                <w:color w:val="000000"/>
                <w:lang w:val="es-AR" w:eastAsia="es-AR"/>
              </w:rPr>
              <w:t>Años 4 a 20</w:t>
            </w:r>
          </w:p>
        </w:tc>
        <w:tc>
          <w:tcPr>
            <w:tcW w:w="1560" w:type="dxa"/>
            <w:tcBorders>
              <w:top w:val="nil"/>
              <w:left w:val="nil"/>
              <w:bottom w:val="nil"/>
              <w:right w:val="nil"/>
            </w:tcBorders>
            <w:shd w:val="clear" w:color="000000" w:fill="FFFFFF"/>
            <w:noWrap/>
            <w:vAlign w:val="center"/>
            <w:hideMark/>
          </w:tcPr>
          <w:p w:rsidR="00CB57A9" w:rsidRPr="00CB57A9" w:rsidRDefault="00CB57A9" w:rsidP="00CB57A9">
            <w:pPr>
              <w:jc w:val="center"/>
              <w:rPr>
                <w:rFonts w:ascii="Times New Roman" w:hAnsi="Times New Roman"/>
                <w:color w:val="000000"/>
                <w:lang w:val="es-AR" w:eastAsia="es-AR"/>
              </w:rPr>
            </w:pPr>
            <w:r w:rsidRPr="00CB57A9">
              <w:rPr>
                <w:rFonts w:ascii="Times New Roman" w:hAnsi="Times New Roman"/>
                <w:color w:val="000000"/>
                <w:lang w:val="es-AR" w:eastAsia="es-AR"/>
              </w:rPr>
              <w:t>16.782</w:t>
            </w:r>
          </w:p>
        </w:tc>
        <w:tc>
          <w:tcPr>
            <w:tcW w:w="1450" w:type="dxa"/>
            <w:tcBorders>
              <w:top w:val="nil"/>
              <w:left w:val="nil"/>
              <w:bottom w:val="nil"/>
              <w:right w:val="nil"/>
            </w:tcBorders>
            <w:shd w:val="clear" w:color="000000" w:fill="FFFFFF"/>
            <w:noWrap/>
            <w:vAlign w:val="center"/>
            <w:hideMark/>
          </w:tcPr>
          <w:p w:rsidR="00CB57A9" w:rsidRPr="00CB57A9" w:rsidRDefault="00CB57A9" w:rsidP="00CB57A9">
            <w:pPr>
              <w:jc w:val="center"/>
              <w:rPr>
                <w:rFonts w:ascii="Times New Roman" w:hAnsi="Times New Roman"/>
                <w:color w:val="000000"/>
                <w:lang w:val="es-AR" w:eastAsia="es-AR"/>
              </w:rPr>
            </w:pPr>
            <w:r w:rsidRPr="00CB57A9">
              <w:rPr>
                <w:rFonts w:ascii="Times New Roman" w:hAnsi="Times New Roman"/>
                <w:color w:val="000000"/>
                <w:lang w:val="es-AR" w:eastAsia="es-AR"/>
              </w:rPr>
              <w:t>5.003</w:t>
            </w:r>
          </w:p>
        </w:tc>
      </w:tr>
      <w:tr w:rsidR="00CB57A9" w:rsidRPr="00CB57A9" w:rsidTr="00CB57A9">
        <w:trPr>
          <w:trHeight w:val="300"/>
        </w:trPr>
        <w:tc>
          <w:tcPr>
            <w:tcW w:w="4100" w:type="dxa"/>
            <w:tcBorders>
              <w:top w:val="nil"/>
              <w:left w:val="nil"/>
              <w:bottom w:val="nil"/>
              <w:right w:val="nil"/>
            </w:tcBorders>
            <w:shd w:val="clear" w:color="000000" w:fill="FFFFFF"/>
            <w:noWrap/>
            <w:vAlign w:val="center"/>
            <w:hideMark/>
          </w:tcPr>
          <w:p w:rsidR="00CB57A9" w:rsidRPr="00CB57A9" w:rsidRDefault="00CB57A9" w:rsidP="00CB57A9">
            <w:pPr>
              <w:rPr>
                <w:rFonts w:ascii="Times New Roman" w:hAnsi="Times New Roman"/>
                <w:color w:val="000000"/>
                <w:sz w:val="18"/>
                <w:szCs w:val="18"/>
                <w:lang w:val="es-AR" w:eastAsia="es-AR"/>
              </w:rPr>
            </w:pPr>
            <w:r w:rsidRPr="00CB57A9">
              <w:rPr>
                <w:rFonts w:ascii="Times New Roman" w:hAnsi="Times New Roman"/>
                <w:color w:val="000000"/>
                <w:sz w:val="18"/>
                <w:szCs w:val="18"/>
                <w:lang w:val="es-AR" w:eastAsia="es-AR"/>
              </w:rPr>
              <w:t>Otros generales</w:t>
            </w:r>
          </w:p>
        </w:tc>
        <w:tc>
          <w:tcPr>
            <w:tcW w:w="1480" w:type="dxa"/>
            <w:tcBorders>
              <w:top w:val="nil"/>
              <w:left w:val="nil"/>
              <w:bottom w:val="nil"/>
              <w:right w:val="nil"/>
            </w:tcBorders>
            <w:shd w:val="clear" w:color="000000" w:fill="FFFFFF"/>
            <w:noWrap/>
            <w:vAlign w:val="center"/>
            <w:hideMark/>
          </w:tcPr>
          <w:p w:rsidR="00CB57A9" w:rsidRPr="00CB57A9" w:rsidRDefault="00CB57A9" w:rsidP="00CB57A9">
            <w:pPr>
              <w:jc w:val="center"/>
              <w:rPr>
                <w:rFonts w:ascii="Times New Roman" w:hAnsi="Times New Roman"/>
                <w:color w:val="000000"/>
                <w:lang w:val="es-AR" w:eastAsia="es-AR"/>
              </w:rPr>
            </w:pPr>
            <w:r w:rsidRPr="00CB57A9">
              <w:rPr>
                <w:rFonts w:ascii="Times New Roman" w:hAnsi="Times New Roman"/>
                <w:color w:val="000000"/>
                <w:lang w:val="es-AR" w:eastAsia="es-AR"/>
              </w:rPr>
              <w:t>Años 3 a 20</w:t>
            </w:r>
          </w:p>
        </w:tc>
        <w:tc>
          <w:tcPr>
            <w:tcW w:w="1560" w:type="dxa"/>
            <w:tcBorders>
              <w:top w:val="nil"/>
              <w:left w:val="nil"/>
              <w:bottom w:val="nil"/>
              <w:right w:val="nil"/>
            </w:tcBorders>
            <w:shd w:val="clear" w:color="000000" w:fill="FFFFFF"/>
            <w:noWrap/>
            <w:vAlign w:val="center"/>
            <w:hideMark/>
          </w:tcPr>
          <w:p w:rsidR="00CB57A9" w:rsidRPr="00CB57A9" w:rsidRDefault="00CB57A9" w:rsidP="00CB57A9">
            <w:pPr>
              <w:jc w:val="center"/>
              <w:rPr>
                <w:rFonts w:ascii="Times New Roman" w:hAnsi="Times New Roman"/>
                <w:color w:val="000000"/>
                <w:lang w:val="es-AR" w:eastAsia="es-AR"/>
              </w:rPr>
            </w:pPr>
            <w:r w:rsidRPr="00CB57A9">
              <w:rPr>
                <w:rFonts w:ascii="Times New Roman" w:hAnsi="Times New Roman"/>
                <w:color w:val="000000"/>
                <w:lang w:val="es-AR" w:eastAsia="es-AR"/>
              </w:rPr>
              <w:t>1.186</w:t>
            </w:r>
          </w:p>
        </w:tc>
        <w:tc>
          <w:tcPr>
            <w:tcW w:w="1450" w:type="dxa"/>
            <w:tcBorders>
              <w:top w:val="nil"/>
              <w:left w:val="nil"/>
              <w:bottom w:val="nil"/>
              <w:right w:val="nil"/>
            </w:tcBorders>
            <w:shd w:val="clear" w:color="000000" w:fill="FFFFFF"/>
            <w:noWrap/>
            <w:vAlign w:val="center"/>
            <w:hideMark/>
          </w:tcPr>
          <w:p w:rsidR="00CB57A9" w:rsidRPr="00CB57A9" w:rsidRDefault="00CB57A9" w:rsidP="00CB57A9">
            <w:pPr>
              <w:jc w:val="center"/>
              <w:rPr>
                <w:rFonts w:ascii="Times New Roman" w:hAnsi="Times New Roman"/>
                <w:color w:val="000000"/>
                <w:lang w:val="es-AR" w:eastAsia="es-AR"/>
              </w:rPr>
            </w:pPr>
            <w:r w:rsidRPr="00CB57A9">
              <w:rPr>
                <w:rFonts w:ascii="Times New Roman" w:hAnsi="Times New Roman"/>
                <w:color w:val="000000"/>
                <w:lang w:val="es-AR" w:eastAsia="es-AR"/>
              </w:rPr>
              <w:t>387</w:t>
            </w:r>
          </w:p>
        </w:tc>
      </w:tr>
      <w:tr w:rsidR="00CB57A9" w:rsidRPr="00CB57A9" w:rsidTr="00CB57A9">
        <w:trPr>
          <w:trHeight w:val="300"/>
        </w:trPr>
        <w:tc>
          <w:tcPr>
            <w:tcW w:w="4100" w:type="dxa"/>
            <w:tcBorders>
              <w:top w:val="nil"/>
              <w:left w:val="nil"/>
              <w:bottom w:val="nil"/>
              <w:right w:val="nil"/>
            </w:tcBorders>
            <w:shd w:val="clear" w:color="000000" w:fill="FFFFFF"/>
            <w:noWrap/>
            <w:vAlign w:val="center"/>
            <w:hideMark/>
          </w:tcPr>
          <w:p w:rsidR="001203FA" w:rsidRDefault="001203FA" w:rsidP="00CB57A9">
            <w:pPr>
              <w:rPr>
                <w:rFonts w:ascii="Times New Roman" w:hAnsi="Times New Roman"/>
                <w:color w:val="000000"/>
                <w:sz w:val="18"/>
                <w:szCs w:val="18"/>
                <w:lang w:val="es-AR" w:eastAsia="es-AR"/>
              </w:rPr>
            </w:pPr>
          </w:p>
          <w:p w:rsidR="00CB57A9" w:rsidRPr="00CB57A9" w:rsidRDefault="00CB57A9" w:rsidP="00CB57A9">
            <w:pPr>
              <w:rPr>
                <w:rFonts w:ascii="Times New Roman" w:hAnsi="Times New Roman"/>
                <w:color w:val="000000"/>
                <w:sz w:val="18"/>
                <w:szCs w:val="18"/>
                <w:lang w:val="es-AR" w:eastAsia="es-AR"/>
              </w:rPr>
            </w:pPr>
            <w:r w:rsidRPr="00CB57A9">
              <w:rPr>
                <w:rFonts w:ascii="Times New Roman" w:hAnsi="Times New Roman"/>
                <w:color w:val="000000"/>
                <w:sz w:val="18"/>
                <w:szCs w:val="18"/>
                <w:lang w:val="es-AR" w:eastAsia="es-AR"/>
              </w:rPr>
              <w:t>Otros Costos</w:t>
            </w:r>
          </w:p>
        </w:tc>
        <w:tc>
          <w:tcPr>
            <w:tcW w:w="1480" w:type="dxa"/>
            <w:tcBorders>
              <w:top w:val="nil"/>
              <w:left w:val="nil"/>
              <w:bottom w:val="nil"/>
              <w:right w:val="nil"/>
            </w:tcBorders>
            <w:shd w:val="clear" w:color="000000" w:fill="FFFFFF"/>
            <w:noWrap/>
            <w:vAlign w:val="center"/>
            <w:hideMark/>
          </w:tcPr>
          <w:p w:rsidR="00CB57A9" w:rsidRPr="00CB57A9" w:rsidRDefault="00CB57A9" w:rsidP="00CB57A9">
            <w:pPr>
              <w:jc w:val="center"/>
              <w:rPr>
                <w:rFonts w:ascii="Times New Roman" w:hAnsi="Times New Roman"/>
                <w:color w:val="000000"/>
                <w:lang w:val="es-AR" w:eastAsia="es-AR"/>
              </w:rPr>
            </w:pPr>
          </w:p>
        </w:tc>
        <w:tc>
          <w:tcPr>
            <w:tcW w:w="1560" w:type="dxa"/>
            <w:tcBorders>
              <w:top w:val="nil"/>
              <w:left w:val="nil"/>
              <w:bottom w:val="nil"/>
              <w:right w:val="nil"/>
            </w:tcBorders>
            <w:shd w:val="clear" w:color="000000" w:fill="FFFFFF"/>
            <w:noWrap/>
            <w:vAlign w:val="center"/>
            <w:hideMark/>
          </w:tcPr>
          <w:p w:rsidR="00CB57A9" w:rsidRPr="00CB57A9" w:rsidRDefault="00CB57A9" w:rsidP="00CB57A9">
            <w:pPr>
              <w:jc w:val="center"/>
              <w:rPr>
                <w:rFonts w:ascii="Calibri" w:hAnsi="Calibri"/>
                <w:color w:val="000000"/>
                <w:lang w:val="es-AR" w:eastAsia="es-AR"/>
              </w:rPr>
            </w:pPr>
          </w:p>
        </w:tc>
        <w:tc>
          <w:tcPr>
            <w:tcW w:w="1450" w:type="dxa"/>
            <w:tcBorders>
              <w:top w:val="nil"/>
              <w:left w:val="nil"/>
              <w:bottom w:val="nil"/>
              <w:right w:val="nil"/>
            </w:tcBorders>
            <w:shd w:val="clear" w:color="000000" w:fill="FFFFFF"/>
            <w:noWrap/>
            <w:vAlign w:val="center"/>
            <w:hideMark/>
          </w:tcPr>
          <w:p w:rsidR="00CB57A9" w:rsidRPr="00CB57A9" w:rsidRDefault="00CB57A9" w:rsidP="00CB57A9">
            <w:pPr>
              <w:jc w:val="center"/>
              <w:rPr>
                <w:rFonts w:ascii="Calibri" w:hAnsi="Calibri"/>
                <w:color w:val="000000"/>
                <w:lang w:val="es-AR" w:eastAsia="es-AR"/>
              </w:rPr>
            </w:pPr>
          </w:p>
        </w:tc>
      </w:tr>
      <w:tr w:rsidR="00CB57A9" w:rsidRPr="00CB57A9" w:rsidTr="00CB57A9">
        <w:trPr>
          <w:trHeight w:val="300"/>
        </w:trPr>
        <w:tc>
          <w:tcPr>
            <w:tcW w:w="4100" w:type="dxa"/>
            <w:tcBorders>
              <w:top w:val="nil"/>
              <w:left w:val="nil"/>
              <w:bottom w:val="nil"/>
              <w:right w:val="nil"/>
            </w:tcBorders>
            <w:shd w:val="clear" w:color="000000" w:fill="FFFFFF"/>
            <w:noWrap/>
            <w:vAlign w:val="center"/>
            <w:hideMark/>
          </w:tcPr>
          <w:p w:rsidR="00CB57A9" w:rsidRPr="00CB57A9" w:rsidRDefault="00CB57A9" w:rsidP="00CB57A9">
            <w:pPr>
              <w:ind w:firstLineChars="100" w:firstLine="180"/>
              <w:rPr>
                <w:rFonts w:ascii="Times New Roman" w:hAnsi="Times New Roman"/>
                <w:color w:val="000000"/>
                <w:sz w:val="18"/>
                <w:szCs w:val="18"/>
                <w:lang w:val="es-AR" w:eastAsia="es-AR"/>
              </w:rPr>
            </w:pPr>
            <w:r w:rsidRPr="00CB57A9">
              <w:rPr>
                <w:rFonts w:ascii="Times New Roman" w:hAnsi="Times New Roman"/>
                <w:color w:val="000000"/>
                <w:sz w:val="18"/>
                <w:szCs w:val="18"/>
                <w:lang w:val="es-AR" w:eastAsia="es-AR"/>
              </w:rPr>
              <w:t>Costo Alerta Fallidas</w:t>
            </w:r>
          </w:p>
        </w:tc>
        <w:tc>
          <w:tcPr>
            <w:tcW w:w="1480" w:type="dxa"/>
            <w:tcBorders>
              <w:top w:val="nil"/>
              <w:left w:val="nil"/>
              <w:bottom w:val="nil"/>
              <w:right w:val="nil"/>
            </w:tcBorders>
            <w:shd w:val="clear" w:color="000000" w:fill="FFFFFF"/>
            <w:noWrap/>
            <w:vAlign w:val="center"/>
            <w:hideMark/>
          </w:tcPr>
          <w:p w:rsidR="00CB57A9" w:rsidRPr="00CB57A9" w:rsidRDefault="00CB57A9" w:rsidP="00CB57A9">
            <w:pPr>
              <w:jc w:val="center"/>
              <w:rPr>
                <w:rFonts w:ascii="Times New Roman" w:hAnsi="Times New Roman"/>
                <w:color w:val="000000"/>
                <w:lang w:val="es-AR" w:eastAsia="es-AR"/>
              </w:rPr>
            </w:pPr>
            <w:r w:rsidRPr="00CB57A9">
              <w:rPr>
                <w:rFonts w:ascii="Times New Roman" w:hAnsi="Times New Roman"/>
                <w:color w:val="000000"/>
                <w:lang w:val="es-AR" w:eastAsia="es-AR"/>
              </w:rPr>
              <w:t>Años 3 a 20</w:t>
            </w:r>
          </w:p>
        </w:tc>
        <w:tc>
          <w:tcPr>
            <w:tcW w:w="1560" w:type="dxa"/>
            <w:tcBorders>
              <w:top w:val="nil"/>
              <w:left w:val="nil"/>
              <w:bottom w:val="nil"/>
              <w:right w:val="nil"/>
            </w:tcBorders>
            <w:shd w:val="clear" w:color="000000" w:fill="FFFFFF"/>
            <w:noWrap/>
            <w:vAlign w:val="center"/>
            <w:hideMark/>
          </w:tcPr>
          <w:p w:rsidR="00CB57A9" w:rsidRPr="00CB57A9" w:rsidRDefault="00CB57A9" w:rsidP="00CB57A9">
            <w:pPr>
              <w:jc w:val="center"/>
              <w:rPr>
                <w:rFonts w:ascii="Times New Roman" w:hAnsi="Times New Roman"/>
                <w:color w:val="000000"/>
                <w:lang w:val="es-AR" w:eastAsia="es-AR"/>
              </w:rPr>
            </w:pPr>
            <w:r>
              <w:rPr>
                <w:rFonts w:ascii="Times New Roman" w:hAnsi="Times New Roman"/>
                <w:color w:val="000000"/>
                <w:lang w:val="es-AR" w:eastAsia="es-AR"/>
              </w:rPr>
              <w:t>921</w:t>
            </w:r>
          </w:p>
        </w:tc>
        <w:tc>
          <w:tcPr>
            <w:tcW w:w="1450" w:type="dxa"/>
            <w:tcBorders>
              <w:top w:val="nil"/>
              <w:left w:val="nil"/>
              <w:bottom w:val="nil"/>
              <w:right w:val="nil"/>
            </w:tcBorders>
            <w:shd w:val="clear" w:color="000000" w:fill="FFFFFF"/>
            <w:noWrap/>
            <w:vAlign w:val="center"/>
            <w:hideMark/>
          </w:tcPr>
          <w:p w:rsidR="00CB57A9" w:rsidRPr="00CB57A9" w:rsidRDefault="00CB57A9" w:rsidP="00CB57A9">
            <w:pPr>
              <w:jc w:val="center"/>
              <w:rPr>
                <w:rFonts w:ascii="Times New Roman" w:hAnsi="Times New Roman"/>
                <w:color w:val="000000"/>
                <w:lang w:val="es-AR" w:eastAsia="es-AR"/>
              </w:rPr>
            </w:pPr>
            <w:r>
              <w:rPr>
                <w:rFonts w:ascii="Times New Roman" w:hAnsi="Times New Roman"/>
                <w:color w:val="000000"/>
                <w:lang w:val="es-AR" w:eastAsia="es-AR"/>
              </w:rPr>
              <w:t>273</w:t>
            </w:r>
          </w:p>
        </w:tc>
      </w:tr>
      <w:tr w:rsidR="00CB57A9" w:rsidRPr="00CB57A9" w:rsidTr="00CB57A9">
        <w:trPr>
          <w:trHeight w:val="300"/>
        </w:trPr>
        <w:tc>
          <w:tcPr>
            <w:tcW w:w="4100" w:type="dxa"/>
            <w:tcBorders>
              <w:top w:val="nil"/>
              <w:left w:val="nil"/>
              <w:bottom w:val="nil"/>
              <w:right w:val="nil"/>
            </w:tcBorders>
            <w:shd w:val="clear" w:color="000000" w:fill="FFFFFF"/>
            <w:noWrap/>
            <w:vAlign w:val="center"/>
            <w:hideMark/>
          </w:tcPr>
          <w:p w:rsidR="00CB57A9" w:rsidRPr="00CB57A9" w:rsidRDefault="00CB57A9" w:rsidP="00CB57A9">
            <w:pPr>
              <w:ind w:firstLineChars="100" w:firstLine="180"/>
              <w:rPr>
                <w:rFonts w:ascii="Times New Roman" w:hAnsi="Times New Roman"/>
                <w:color w:val="000000"/>
                <w:sz w:val="18"/>
                <w:szCs w:val="18"/>
                <w:lang w:val="es-AR" w:eastAsia="es-AR"/>
              </w:rPr>
            </w:pPr>
            <w:r w:rsidRPr="00CB57A9">
              <w:rPr>
                <w:rFonts w:ascii="Times New Roman" w:hAnsi="Times New Roman"/>
                <w:color w:val="000000"/>
                <w:sz w:val="18"/>
                <w:szCs w:val="18"/>
                <w:lang w:val="es-AR" w:eastAsia="es-AR"/>
              </w:rPr>
              <w:t>Monitoreo y Evaluación</w:t>
            </w:r>
          </w:p>
        </w:tc>
        <w:tc>
          <w:tcPr>
            <w:tcW w:w="1480" w:type="dxa"/>
            <w:tcBorders>
              <w:top w:val="nil"/>
              <w:left w:val="nil"/>
              <w:bottom w:val="nil"/>
              <w:right w:val="nil"/>
            </w:tcBorders>
            <w:shd w:val="clear" w:color="000000" w:fill="FFFFFF"/>
            <w:noWrap/>
            <w:vAlign w:val="center"/>
            <w:hideMark/>
          </w:tcPr>
          <w:p w:rsidR="00CB57A9" w:rsidRPr="00CB57A9" w:rsidRDefault="00CB57A9" w:rsidP="00CB57A9">
            <w:pPr>
              <w:jc w:val="center"/>
              <w:rPr>
                <w:rFonts w:ascii="Times New Roman" w:hAnsi="Times New Roman"/>
                <w:color w:val="000000"/>
                <w:lang w:val="es-AR" w:eastAsia="es-AR"/>
              </w:rPr>
            </w:pPr>
            <w:r w:rsidRPr="00CB57A9">
              <w:rPr>
                <w:rFonts w:ascii="Times New Roman" w:hAnsi="Times New Roman"/>
                <w:color w:val="000000"/>
                <w:lang w:val="es-AR" w:eastAsia="es-AR"/>
              </w:rPr>
              <w:t>Años 1 a 3</w:t>
            </w:r>
          </w:p>
        </w:tc>
        <w:tc>
          <w:tcPr>
            <w:tcW w:w="1560" w:type="dxa"/>
            <w:tcBorders>
              <w:top w:val="nil"/>
              <w:left w:val="nil"/>
              <w:bottom w:val="nil"/>
              <w:right w:val="nil"/>
            </w:tcBorders>
            <w:shd w:val="clear" w:color="000000" w:fill="FFFFFF"/>
            <w:noWrap/>
            <w:vAlign w:val="center"/>
            <w:hideMark/>
          </w:tcPr>
          <w:p w:rsidR="00CB57A9" w:rsidRPr="00CB57A9" w:rsidRDefault="00CB57A9" w:rsidP="00A11F7E">
            <w:pPr>
              <w:jc w:val="center"/>
              <w:rPr>
                <w:rFonts w:ascii="Times New Roman" w:hAnsi="Times New Roman"/>
                <w:color w:val="000000"/>
                <w:lang w:val="es-AR" w:eastAsia="es-AR"/>
              </w:rPr>
            </w:pPr>
            <w:r w:rsidRPr="00CB57A9">
              <w:rPr>
                <w:rFonts w:ascii="Times New Roman" w:hAnsi="Times New Roman"/>
                <w:color w:val="000000"/>
                <w:lang w:val="es-AR" w:eastAsia="es-AR"/>
              </w:rPr>
              <w:t>2</w:t>
            </w:r>
            <w:r w:rsidR="00A11F7E">
              <w:rPr>
                <w:rFonts w:ascii="Times New Roman" w:hAnsi="Times New Roman"/>
                <w:color w:val="000000"/>
                <w:lang w:val="es-AR" w:eastAsia="es-AR"/>
              </w:rPr>
              <w:t>39</w:t>
            </w:r>
          </w:p>
        </w:tc>
        <w:tc>
          <w:tcPr>
            <w:tcW w:w="1450" w:type="dxa"/>
            <w:tcBorders>
              <w:top w:val="nil"/>
              <w:left w:val="nil"/>
              <w:bottom w:val="nil"/>
              <w:right w:val="nil"/>
            </w:tcBorders>
            <w:shd w:val="clear" w:color="000000" w:fill="FFFFFF"/>
            <w:noWrap/>
            <w:vAlign w:val="center"/>
            <w:hideMark/>
          </w:tcPr>
          <w:p w:rsidR="00CB57A9" w:rsidRPr="00CB57A9" w:rsidRDefault="00A11F7E" w:rsidP="00A11F7E">
            <w:pPr>
              <w:jc w:val="center"/>
              <w:rPr>
                <w:rFonts w:ascii="Times New Roman" w:hAnsi="Times New Roman"/>
                <w:color w:val="000000"/>
                <w:lang w:val="es-AR" w:eastAsia="es-AR"/>
              </w:rPr>
            </w:pPr>
            <w:r>
              <w:rPr>
                <w:rFonts w:ascii="Times New Roman" w:hAnsi="Times New Roman"/>
                <w:color w:val="000000"/>
                <w:lang w:val="es-AR" w:eastAsia="es-AR"/>
              </w:rPr>
              <w:t>192</w:t>
            </w:r>
          </w:p>
        </w:tc>
      </w:tr>
    </w:tbl>
    <w:p w:rsidR="007C2A4B" w:rsidRDefault="007C2A4B">
      <w:pPr>
        <w:jc w:val="both"/>
        <w:rPr>
          <w:rFonts w:ascii="Times New Roman" w:hAnsi="Times New Roman"/>
          <w:sz w:val="22"/>
          <w:szCs w:val="22"/>
          <w:lang w:val="es-AR"/>
        </w:rPr>
      </w:pPr>
    </w:p>
    <w:p w:rsidR="007C2A4B" w:rsidRDefault="007C2A4B">
      <w:pPr>
        <w:jc w:val="both"/>
        <w:rPr>
          <w:rFonts w:ascii="Times New Roman" w:hAnsi="Times New Roman"/>
          <w:sz w:val="22"/>
          <w:lang w:val="es-ES_tradnl"/>
        </w:rPr>
      </w:pPr>
    </w:p>
    <w:p w:rsidR="007C2A4B" w:rsidRDefault="00CB57A9" w:rsidP="00AD78F4">
      <w:pPr>
        <w:numPr>
          <w:ilvl w:val="1"/>
          <w:numId w:val="24"/>
        </w:numPr>
        <w:jc w:val="both"/>
        <w:rPr>
          <w:rFonts w:ascii="Times New Roman" w:hAnsi="Times New Roman"/>
          <w:sz w:val="22"/>
          <w:lang w:val="es-ES_tradnl"/>
        </w:rPr>
      </w:pPr>
      <w:r>
        <w:rPr>
          <w:rFonts w:ascii="Times New Roman" w:hAnsi="Times New Roman"/>
          <w:sz w:val="22"/>
          <w:lang w:val="es-ES_tradnl"/>
        </w:rPr>
        <w:t>Se detallan los principales conceptos enunciados correspondientes a las inversiones antes detalladas. Dado que se consideran únicamente costos econ</w:t>
      </w:r>
      <w:r w:rsidR="002343C2">
        <w:rPr>
          <w:rFonts w:ascii="Times New Roman" w:hAnsi="Times New Roman"/>
          <w:sz w:val="22"/>
          <w:lang w:val="es-ES_tradnl"/>
        </w:rPr>
        <w:t>ómicos, el Impuesto al V</w:t>
      </w:r>
      <w:r>
        <w:rPr>
          <w:rFonts w:ascii="Times New Roman" w:hAnsi="Times New Roman"/>
          <w:sz w:val="22"/>
          <w:lang w:val="es-ES_tradnl"/>
        </w:rPr>
        <w:t>alor Agregado (14</w:t>
      </w:r>
      <w:r w:rsidR="002343C2">
        <w:rPr>
          <w:rFonts w:ascii="Times New Roman" w:hAnsi="Times New Roman"/>
          <w:sz w:val="22"/>
          <w:lang w:val="es-ES_tradnl"/>
        </w:rPr>
        <w:t>%</w:t>
      </w:r>
      <w:r>
        <w:rPr>
          <w:rFonts w:ascii="Times New Roman" w:hAnsi="Times New Roman"/>
          <w:sz w:val="22"/>
          <w:lang w:val="es-ES_tradnl"/>
        </w:rPr>
        <w:t xml:space="preserve"> de</w:t>
      </w:r>
      <w:r w:rsidR="002343C2">
        <w:rPr>
          <w:rFonts w:ascii="Times New Roman" w:hAnsi="Times New Roman"/>
          <w:sz w:val="22"/>
          <w:lang w:val="es-ES_tradnl"/>
        </w:rPr>
        <w:t>l importe de</w:t>
      </w:r>
      <w:r>
        <w:rPr>
          <w:rFonts w:ascii="Times New Roman" w:hAnsi="Times New Roman"/>
          <w:sz w:val="22"/>
          <w:lang w:val="es-ES_tradnl"/>
        </w:rPr>
        <w:t xml:space="preserve"> las adquisiciones</w:t>
      </w:r>
      <w:r w:rsidR="002343C2">
        <w:rPr>
          <w:rFonts w:ascii="Times New Roman" w:hAnsi="Times New Roman"/>
          <w:sz w:val="22"/>
          <w:lang w:val="es-ES_tradnl"/>
        </w:rPr>
        <w:t>, que será financiado entre otros conceptos por el GdE</w:t>
      </w:r>
      <w:r>
        <w:rPr>
          <w:rFonts w:ascii="Times New Roman" w:hAnsi="Times New Roman"/>
          <w:sz w:val="22"/>
          <w:lang w:val="es-ES_tradnl"/>
        </w:rPr>
        <w:t>)</w:t>
      </w:r>
      <w:r w:rsidR="002343C2">
        <w:rPr>
          <w:rFonts w:ascii="Times New Roman" w:hAnsi="Times New Roman"/>
          <w:sz w:val="22"/>
          <w:lang w:val="es-ES_tradnl"/>
        </w:rPr>
        <w:t xml:space="preserve"> no forma parte de los Costos de Inversión utilizados para los cálculos de rentabilidad. Se presentan los datos en función de la sumatoria de los costos previstos año por año (el detalle año por año se expone en el Anexo E), así </w:t>
      </w:r>
      <w:r w:rsidR="002343C2">
        <w:rPr>
          <w:rFonts w:ascii="Times New Roman" w:hAnsi="Times New Roman"/>
          <w:sz w:val="22"/>
          <w:lang w:val="es-ES_tradnl"/>
        </w:rPr>
        <w:lastRenderedPageBreak/>
        <w:t>como su VAN (d=12%) para una comparación conceptual más homogénea de la relevancia de los distintos conceptos de costo computados.</w:t>
      </w:r>
    </w:p>
    <w:p w:rsidR="00406CAE" w:rsidRDefault="00406CAE" w:rsidP="00455FC7">
      <w:pPr>
        <w:ind w:left="718"/>
        <w:jc w:val="both"/>
        <w:rPr>
          <w:rFonts w:ascii="Times New Roman" w:hAnsi="Times New Roman"/>
          <w:sz w:val="22"/>
          <w:lang w:val="es-ES_tradnl"/>
        </w:rPr>
      </w:pPr>
    </w:p>
    <w:p w:rsidR="002343C2" w:rsidRDefault="002343C2" w:rsidP="00AD78F4">
      <w:pPr>
        <w:numPr>
          <w:ilvl w:val="1"/>
          <w:numId w:val="24"/>
        </w:numPr>
        <w:jc w:val="both"/>
        <w:rPr>
          <w:rFonts w:ascii="Times New Roman" w:hAnsi="Times New Roman"/>
          <w:sz w:val="22"/>
          <w:lang w:val="es-ES_tradnl"/>
        </w:rPr>
      </w:pPr>
      <w:r w:rsidRPr="00732C03">
        <w:rPr>
          <w:rFonts w:ascii="Times New Roman" w:hAnsi="Times New Roman"/>
          <w:sz w:val="22"/>
          <w:lang w:val="es-ES_tradnl"/>
        </w:rPr>
        <w:t>De</w:t>
      </w:r>
      <w:r>
        <w:rPr>
          <w:rFonts w:ascii="Times New Roman" w:hAnsi="Times New Roman"/>
          <w:sz w:val="22"/>
          <w:lang w:val="es-ES_tradnl"/>
        </w:rPr>
        <w:t xml:space="preserve">ntro del Componente 1 las principales inversiones son: i)  </w:t>
      </w:r>
      <w:r w:rsidRPr="00B03440">
        <w:rPr>
          <w:rFonts w:ascii="Times New Roman" w:hAnsi="Times New Roman"/>
          <w:sz w:val="22"/>
          <w:lang w:val="es-ES_tradnl"/>
        </w:rPr>
        <w:t xml:space="preserve">adquisición e instalación de estaciones hidrológicas y meteorológicas; (ii) adquisición e instalación de estaciones nuevas en las zonas de alto riesgo sísmico (específicamente en la región Costa); </w:t>
      </w:r>
      <w:r>
        <w:rPr>
          <w:rFonts w:ascii="Times New Roman" w:hAnsi="Times New Roman"/>
          <w:sz w:val="22"/>
          <w:lang w:val="es-ES_tradnl"/>
        </w:rPr>
        <w:t xml:space="preserve">y </w:t>
      </w:r>
      <w:r w:rsidRPr="00B03440">
        <w:rPr>
          <w:rFonts w:ascii="Times New Roman" w:hAnsi="Times New Roman"/>
          <w:sz w:val="22"/>
          <w:lang w:val="es-ES_tradnl"/>
        </w:rPr>
        <w:t>(iii) adquisición e instalación de boyas y software para monitorear</w:t>
      </w:r>
      <w:r>
        <w:rPr>
          <w:rFonts w:ascii="Times New Roman" w:hAnsi="Times New Roman"/>
          <w:sz w:val="22"/>
          <w:lang w:val="es-ES_tradnl"/>
        </w:rPr>
        <w:t xml:space="preserve"> las condiciones oceanográficas</w:t>
      </w:r>
      <w:r w:rsidRPr="00732C03">
        <w:rPr>
          <w:rFonts w:ascii="Times New Roman" w:hAnsi="Times New Roman"/>
          <w:sz w:val="22"/>
          <w:lang w:val="es-ES_tradnl"/>
        </w:rPr>
        <w:t>.</w:t>
      </w:r>
      <w:r>
        <w:rPr>
          <w:rFonts w:ascii="Times New Roman" w:hAnsi="Times New Roman"/>
          <w:sz w:val="22"/>
          <w:lang w:val="es-ES_tradnl"/>
        </w:rPr>
        <w:t xml:space="preserve"> </w:t>
      </w:r>
    </w:p>
    <w:p w:rsidR="002343C2" w:rsidRDefault="002343C2" w:rsidP="00AD78F4">
      <w:pPr>
        <w:numPr>
          <w:ilvl w:val="1"/>
          <w:numId w:val="24"/>
        </w:numPr>
        <w:jc w:val="both"/>
        <w:rPr>
          <w:rFonts w:ascii="Times New Roman" w:hAnsi="Times New Roman"/>
          <w:sz w:val="22"/>
          <w:lang w:val="es-ES_tradnl"/>
        </w:rPr>
      </w:pPr>
      <w:r>
        <w:rPr>
          <w:rFonts w:ascii="Times New Roman" w:hAnsi="Times New Roman"/>
          <w:sz w:val="22"/>
          <w:lang w:val="es-ES_tradnl"/>
        </w:rPr>
        <w:t xml:space="preserve">En el Componente 2, se prevén las siguientes actividades: (i) </w:t>
      </w:r>
      <w:r w:rsidRPr="00B03440">
        <w:rPr>
          <w:rFonts w:ascii="Times New Roman" w:hAnsi="Times New Roman"/>
          <w:sz w:val="22"/>
          <w:lang w:val="es-ES_tradnl"/>
        </w:rPr>
        <w:t>adquirir e instalar</w:t>
      </w:r>
      <w:r>
        <w:rPr>
          <w:rFonts w:ascii="Times New Roman" w:hAnsi="Times New Roman"/>
          <w:sz w:val="22"/>
          <w:lang w:val="es-ES_tradnl"/>
        </w:rPr>
        <w:t xml:space="preserve"> </w:t>
      </w:r>
      <w:r w:rsidRPr="00B03440">
        <w:rPr>
          <w:rFonts w:ascii="Times New Roman" w:hAnsi="Times New Roman"/>
          <w:sz w:val="22"/>
          <w:lang w:val="es-ES_tradnl"/>
        </w:rPr>
        <w:t>sirenas comunitarias con la cámara vigilancia y monitoreo  del SAT para (a) tsunamis en 40 comunidades y (b) desbordamiento</w:t>
      </w:r>
      <w:r>
        <w:rPr>
          <w:rFonts w:ascii="Times New Roman" w:hAnsi="Times New Roman"/>
          <w:sz w:val="22"/>
          <w:lang w:val="es-ES_tradnl"/>
        </w:rPr>
        <w:t>s de ríos en 5 comunidades;  (ii) adquirir e instalar</w:t>
      </w:r>
      <w:r w:rsidRPr="00B03440">
        <w:rPr>
          <w:rFonts w:ascii="Times New Roman" w:hAnsi="Times New Roman"/>
          <w:sz w:val="22"/>
          <w:lang w:val="es-ES_tradnl"/>
        </w:rPr>
        <w:t xml:space="preserve"> equipos de radio-comun</w:t>
      </w:r>
      <w:r>
        <w:rPr>
          <w:rFonts w:ascii="Times New Roman" w:hAnsi="Times New Roman"/>
          <w:sz w:val="22"/>
          <w:lang w:val="es-ES_tradnl"/>
        </w:rPr>
        <w:t xml:space="preserve">icación del cuerpo de bomberos; </w:t>
      </w:r>
      <w:r w:rsidRPr="00B03440">
        <w:rPr>
          <w:rFonts w:ascii="Times New Roman" w:hAnsi="Times New Roman"/>
          <w:sz w:val="22"/>
          <w:lang w:val="es-ES_tradnl"/>
        </w:rPr>
        <w:t xml:space="preserve"> (iii) </w:t>
      </w:r>
      <w:r>
        <w:rPr>
          <w:rFonts w:ascii="Times New Roman" w:hAnsi="Times New Roman"/>
          <w:sz w:val="22"/>
          <w:lang w:val="es-ES_tradnl"/>
        </w:rPr>
        <w:t>p</w:t>
      </w:r>
      <w:r w:rsidRPr="00B03440">
        <w:rPr>
          <w:rFonts w:ascii="Times New Roman" w:hAnsi="Times New Roman"/>
          <w:sz w:val="22"/>
          <w:lang w:val="es-ES_tradnl"/>
        </w:rPr>
        <w:t>re</w:t>
      </w:r>
      <w:r>
        <w:rPr>
          <w:rFonts w:ascii="Times New Roman" w:hAnsi="Times New Roman"/>
          <w:sz w:val="22"/>
          <w:lang w:val="es-ES_tradnl"/>
        </w:rPr>
        <w:t xml:space="preserve">parar un </w:t>
      </w:r>
      <w:r w:rsidRPr="00B03440">
        <w:rPr>
          <w:rFonts w:ascii="Times New Roman" w:hAnsi="Times New Roman"/>
          <w:sz w:val="22"/>
          <w:lang w:val="es-ES_tradnl"/>
        </w:rPr>
        <w:t>plan de evacuación e instalación de señaléticas y luminaria de emergencia</w:t>
      </w:r>
      <w:r>
        <w:rPr>
          <w:rFonts w:ascii="Times New Roman" w:hAnsi="Times New Roman"/>
          <w:sz w:val="22"/>
          <w:lang w:val="es-ES_tradnl"/>
        </w:rPr>
        <w:t>; y</w:t>
      </w:r>
      <w:r w:rsidRPr="00B03440">
        <w:rPr>
          <w:rFonts w:ascii="Times New Roman" w:hAnsi="Times New Roman"/>
          <w:sz w:val="22"/>
          <w:lang w:val="es-ES_tradnl"/>
        </w:rPr>
        <w:t xml:space="preserve"> (iv)</w:t>
      </w:r>
      <w:r>
        <w:rPr>
          <w:rFonts w:ascii="Times New Roman" w:hAnsi="Times New Roman"/>
          <w:sz w:val="22"/>
          <w:lang w:val="es-ES_tradnl"/>
        </w:rPr>
        <w:t xml:space="preserve"> realizar simulacros en las áreas de intervención.</w:t>
      </w:r>
    </w:p>
    <w:p w:rsidR="00406CAE" w:rsidRDefault="00406CAE" w:rsidP="00455FC7">
      <w:pPr>
        <w:ind w:left="718"/>
        <w:jc w:val="both"/>
        <w:rPr>
          <w:rFonts w:ascii="Times New Roman" w:hAnsi="Times New Roman"/>
          <w:sz w:val="22"/>
          <w:lang w:val="es-ES_tradnl"/>
        </w:rPr>
      </w:pPr>
    </w:p>
    <w:p w:rsidR="00B03440" w:rsidRDefault="00B03440" w:rsidP="00AD78F4">
      <w:pPr>
        <w:numPr>
          <w:ilvl w:val="1"/>
          <w:numId w:val="24"/>
        </w:numPr>
        <w:jc w:val="both"/>
        <w:rPr>
          <w:rFonts w:ascii="Times New Roman" w:hAnsi="Times New Roman"/>
          <w:sz w:val="22"/>
          <w:lang w:val="es-ES_tradnl"/>
        </w:rPr>
      </w:pPr>
      <w:r w:rsidRPr="00C7489D">
        <w:rPr>
          <w:rFonts w:ascii="Times New Roman" w:hAnsi="Times New Roman"/>
          <w:sz w:val="22"/>
          <w:lang w:val="es-ES_tradnl"/>
        </w:rPr>
        <w:t>A partir de la incorporación de</w:t>
      </w:r>
      <w:r w:rsidR="00732C03" w:rsidRPr="00C7489D">
        <w:rPr>
          <w:rFonts w:ascii="Times New Roman" w:hAnsi="Times New Roman"/>
          <w:sz w:val="22"/>
          <w:lang w:val="es-ES_tradnl"/>
        </w:rPr>
        <w:t xml:space="preserve"> la infraestructura y equipamiento</w:t>
      </w:r>
      <w:r w:rsidRPr="00C7489D">
        <w:rPr>
          <w:rFonts w:ascii="Times New Roman" w:hAnsi="Times New Roman"/>
          <w:sz w:val="22"/>
          <w:lang w:val="es-ES_tradnl"/>
        </w:rPr>
        <w:t xml:space="preserve"> específico</w:t>
      </w:r>
      <w:r w:rsidR="00732C03" w:rsidRPr="00C7489D">
        <w:rPr>
          <w:rFonts w:ascii="Times New Roman" w:hAnsi="Times New Roman"/>
          <w:sz w:val="22"/>
          <w:lang w:val="es-ES_tradnl"/>
        </w:rPr>
        <w:t>,</w:t>
      </w:r>
      <w:r w:rsidRPr="00C7489D">
        <w:rPr>
          <w:rFonts w:ascii="Times New Roman" w:hAnsi="Times New Roman"/>
          <w:sz w:val="22"/>
          <w:lang w:val="es-ES_tradnl"/>
        </w:rPr>
        <w:t xml:space="preserve"> se requiere establecer los costos incrementales para su operación </w:t>
      </w:r>
      <w:r w:rsidR="00C7489D" w:rsidRPr="00C7489D">
        <w:rPr>
          <w:rFonts w:ascii="Times New Roman" w:hAnsi="Times New Roman"/>
          <w:sz w:val="22"/>
          <w:lang w:val="es-ES_tradnl"/>
        </w:rPr>
        <w:t xml:space="preserve">y mantenimiento, así como la reposición de aquellos cuya </w:t>
      </w:r>
      <w:r w:rsidR="00732C03" w:rsidRPr="00C7489D">
        <w:rPr>
          <w:rFonts w:ascii="Times New Roman" w:hAnsi="Times New Roman"/>
          <w:sz w:val="22"/>
          <w:lang w:val="es-ES_tradnl"/>
        </w:rPr>
        <w:t xml:space="preserve">vida útil </w:t>
      </w:r>
      <w:r w:rsidR="00C7489D" w:rsidRPr="00C7489D">
        <w:rPr>
          <w:rFonts w:ascii="Times New Roman" w:hAnsi="Times New Roman"/>
          <w:sz w:val="22"/>
          <w:lang w:val="es-ES_tradnl"/>
        </w:rPr>
        <w:t xml:space="preserve">no alcance al horizonte del Programa, planteado en 5 años. </w:t>
      </w:r>
      <w:r w:rsidR="002343C2">
        <w:rPr>
          <w:rFonts w:ascii="Times New Roman" w:hAnsi="Times New Roman"/>
          <w:sz w:val="22"/>
          <w:lang w:val="es-ES_tradnl"/>
        </w:rPr>
        <w:t xml:space="preserve">El horizonte de funcionamiento del SAT bajo su esquema actual ha sido estimado en 20 años, por lo que se prevé los gastos necesarios para mantener su operatividad a pleno por ese período. </w:t>
      </w:r>
      <w:r w:rsidR="00C7489D" w:rsidRPr="00C7489D">
        <w:rPr>
          <w:rFonts w:ascii="Times New Roman" w:hAnsi="Times New Roman"/>
          <w:sz w:val="22"/>
          <w:lang w:val="es-ES_tradnl"/>
        </w:rPr>
        <w:t>Parte de los equipos podrían sufrir riesgo de obsolescenci</w:t>
      </w:r>
      <w:r w:rsidR="00C7489D">
        <w:rPr>
          <w:rFonts w:ascii="Times New Roman" w:hAnsi="Times New Roman"/>
          <w:sz w:val="22"/>
          <w:lang w:val="es-ES_tradnl"/>
        </w:rPr>
        <w:t>a</w:t>
      </w:r>
      <w:r w:rsidR="008005CB">
        <w:rPr>
          <w:rFonts w:ascii="Times New Roman" w:hAnsi="Times New Roman"/>
          <w:sz w:val="22"/>
          <w:lang w:val="es-ES_tradnl"/>
        </w:rPr>
        <w:t>, por lo que se ha previsto su reinversión</w:t>
      </w:r>
      <w:r w:rsidR="00C7489D" w:rsidRPr="00C7489D">
        <w:rPr>
          <w:rStyle w:val="FootnoteReference"/>
          <w:rFonts w:ascii="Times New Roman" w:hAnsi="Times New Roman"/>
          <w:sz w:val="22"/>
          <w:lang w:val="es-ES_tradnl"/>
        </w:rPr>
        <w:footnoteReference w:id="57"/>
      </w:r>
      <w:r w:rsidR="00C7489D" w:rsidRPr="00C7489D">
        <w:rPr>
          <w:rFonts w:ascii="Times New Roman" w:hAnsi="Times New Roman"/>
          <w:sz w:val="22"/>
          <w:lang w:val="es-ES_tradnl"/>
        </w:rPr>
        <w:t>.</w:t>
      </w:r>
      <w:r w:rsidR="002343C2">
        <w:rPr>
          <w:rFonts w:ascii="Times New Roman" w:hAnsi="Times New Roman"/>
          <w:sz w:val="22"/>
          <w:lang w:val="es-ES_tradnl"/>
        </w:rPr>
        <w:t xml:space="preserve"> </w:t>
      </w:r>
    </w:p>
    <w:p w:rsidR="00C7489D" w:rsidRDefault="00C7489D" w:rsidP="00C7489D">
      <w:pPr>
        <w:pStyle w:val="ListParagraph"/>
        <w:rPr>
          <w:rFonts w:ascii="Times New Roman" w:hAnsi="Times New Roman"/>
          <w:sz w:val="22"/>
          <w:lang w:val="es-ES_tradnl"/>
        </w:rPr>
      </w:pPr>
    </w:p>
    <w:p w:rsidR="00AF3017" w:rsidRDefault="00AF3017" w:rsidP="00C7489D">
      <w:pPr>
        <w:pStyle w:val="ListParagraph"/>
        <w:rPr>
          <w:rFonts w:ascii="Times New Roman" w:hAnsi="Times New Roman"/>
          <w:sz w:val="22"/>
          <w:lang w:val="es-ES_tradnl"/>
        </w:rPr>
      </w:pPr>
      <w:r w:rsidRPr="00FA218A">
        <w:rPr>
          <w:rFonts w:ascii="Times New Roman" w:hAnsi="Times New Roman"/>
          <w:b/>
          <w:lang w:val="es-AR"/>
        </w:rPr>
        <w:t xml:space="preserve">Tabla </w:t>
      </w:r>
      <w:r w:rsidR="00081A23" w:rsidRPr="00FA218A">
        <w:rPr>
          <w:rFonts w:ascii="Times New Roman" w:hAnsi="Times New Roman"/>
          <w:b/>
        </w:rPr>
        <w:fldChar w:fldCharType="begin"/>
      </w:r>
      <w:r w:rsidRPr="00FA218A">
        <w:rPr>
          <w:rFonts w:ascii="Times New Roman" w:hAnsi="Times New Roman"/>
          <w:b/>
          <w:lang w:val="es-AR"/>
        </w:rPr>
        <w:instrText xml:space="preserve"> SEQ Tabla \* ARABIC </w:instrText>
      </w:r>
      <w:r w:rsidR="00081A23" w:rsidRPr="00FA218A">
        <w:rPr>
          <w:rFonts w:ascii="Times New Roman" w:hAnsi="Times New Roman"/>
          <w:b/>
        </w:rPr>
        <w:fldChar w:fldCharType="separate"/>
      </w:r>
      <w:r w:rsidR="004B1B6C">
        <w:rPr>
          <w:rFonts w:ascii="Times New Roman" w:hAnsi="Times New Roman"/>
          <w:b/>
          <w:noProof/>
          <w:lang w:val="es-AR"/>
        </w:rPr>
        <w:t>19</w:t>
      </w:r>
      <w:r w:rsidR="00081A23" w:rsidRPr="00FA218A">
        <w:rPr>
          <w:rFonts w:ascii="Times New Roman" w:hAnsi="Times New Roman"/>
          <w:b/>
        </w:rPr>
        <w:fldChar w:fldCharType="end"/>
      </w:r>
      <w:r w:rsidRPr="008B2A79">
        <w:rPr>
          <w:rFonts w:ascii="Times New Roman" w:hAnsi="Times New Roman"/>
          <w:sz w:val="22"/>
          <w:szCs w:val="22"/>
          <w:lang w:val="es-AR"/>
        </w:rPr>
        <w:t>.</w:t>
      </w:r>
      <w:r>
        <w:rPr>
          <w:rFonts w:ascii="Times New Roman" w:hAnsi="Times New Roman"/>
          <w:sz w:val="22"/>
          <w:szCs w:val="22"/>
          <w:lang w:val="es-AR"/>
        </w:rPr>
        <w:t xml:space="preserve">  </w:t>
      </w:r>
      <w:r w:rsidR="00046E2C">
        <w:rPr>
          <w:rFonts w:ascii="Times New Roman" w:hAnsi="Times New Roman"/>
          <w:sz w:val="22"/>
          <w:szCs w:val="22"/>
          <w:lang w:val="es-AR"/>
        </w:rPr>
        <w:t>Costos de operación y mantenimiento – Previsión anual en US$</w:t>
      </w:r>
    </w:p>
    <w:tbl>
      <w:tblPr>
        <w:tblW w:w="8600" w:type="dxa"/>
        <w:tblInd w:w="65" w:type="dxa"/>
        <w:tblCellMar>
          <w:left w:w="70" w:type="dxa"/>
          <w:right w:w="70" w:type="dxa"/>
        </w:tblCellMar>
        <w:tblLook w:val="04A0" w:firstRow="1" w:lastRow="0" w:firstColumn="1" w:lastColumn="0" w:noHBand="0" w:noVBand="1"/>
      </w:tblPr>
      <w:tblGrid>
        <w:gridCol w:w="3600"/>
        <w:gridCol w:w="1000"/>
        <w:gridCol w:w="1000"/>
        <w:gridCol w:w="1000"/>
        <w:gridCol w:w="1000"/>
        <w:gridCol w:w="1000"/>
      </w:tblGrid>
      <w:tr w:rsidR="00AF3017" w:rsidRPr="00AF3017" w:rsidTr="00AF3017">
        <w:trPr>
          <w:trHeight w:val="315"/>
        </w:trPr>
        <w:tc>
          <w:tcPr>
            <w:tcW w:w="36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3017" w:rsidRPr="00AF3017" w:rsidRDefault="00AF3017" w:rsidP="00AF3017">
            <w:pPr>
              <w:rPr>
                <w:rFonts w:ascii="Times New Roman" w:hAnsi="Times New Roman"/>
                <w:color w:val="000000"/>
                <w:lang w:val="es-AR" w:eastAsia="es-AR"/>
              </w:rPr>
            </w:pPr>
            <w:r w:rsidRPr="00AF3017">
              <w:rPr>
                <w:rFonts w:ascii="Times New Roman" w:hAnsi="Times New Roman"/>
                <w:color w:val="000000"/>
                <w:lang w:val="es-AR" w:eastAsia="es-AR"/>
              </w:rPr>
              <w:t>Costos Operación y Mantenimiento</w:t>
            </w:r>
          </w:p>
        </w:tc>
        <w:tc>
          <w:tcPr>
            <w:tcW w:w="1000" w:type="dxa"/>
            <w:tcBorders>
              <w:top w:val="single" w:sz="4" w:space="0" w:color="auto"/>
              <w:left w:val="nil"/>
              <w:bottom w:val="single" w:sz="4" w:space="0" w:color="auto"/>
              <w:right w:val="single" w:sz="4" w:space="0" w:color="auto"/>
            </w:tcBorders>
            <w:shd w:val="clear" w:color="000000" w:fill="FFFFFF"/>
            <w:noWrap/>
            <w:vAlign w:val="bottom"/>
            <w:hideMark/>
          </w:tcPr>
          <w:p w:rsidR="00AF3017" w:rsidRPr="00AF3017" w:rsidRDefault="00AF3017" w:rsidP="00AF3017">
            <w:pPr>
              <w:jc w:val="center"/>
              <w:rPr>
                <w:rFonts w:ascii="Times New Roman" w:hAnsi="Times New Roman"/>
                <w:color w:val="000000"/>
                <w:lang w:val="es-AR" w:eastAsia="es-AR"/>
              </w:rPr>
            </w:pPr>
            <w:r w:rsidRPr="00AF3017">
              <w:rPr>
                <w:rFonts w:ascii="Times New Roman" w:hAnsi="Times New Roman"/>
                <w:color w:val="000000"/>
                <w:lang w:val="es-AR" w:eastAsia="es-AR"/>
              </w:rPr>
              <w:t xml:space="preserve"> Año 1 </w:t>
            </w:r>
          </w:p>
        </w:tc>
        <w:tc>
          <w:tcPr>
            <w:tcW w:w="1000" w:type="dxa"/>
            <w:tcBorders>
              <w:top w:val="single" w:sz="4" w:space="0" w:color="auto"/>
              <w:left w:val="nil"/>
              <w:bottom w:val="single" w:sz="4" w:space="0" w:color="auto"/>
              <w:right w:val="single" w:sz="4" w:space="0" w:color="auto"/>
            </w:tcBorders>
            <w:shd w:val="clear" w:color="000000" w:fill="FFFFFF"/>
            <w:noWrap/>
            <w:vAlign w:val="bottom"/>
            <w:hideMark/>
          </w:tcPr>
          <w:p w:rsidR="00AF3017" w:rsidRPr="00AF3017" w:rsidRDefault="00AF3017" w:rsidP="00AF3017">
            <w:pPr>
              <w:jc w:val="center"/>
              <w:rPr>
                <w:rFonts w:ascii="Times New Roman" w:hAnsi="Times New Roman"/>
                <w:color w:val="000000"/>
                <w:lang w:val="es-AR" w:eastAsia="es-AR"/>
              </w:rPr>
            </w:pPr>
            <w:r w:rsidRPr="00AF3017">
              <w:rPr>
                <w:rFonts w:ascii="Times New Roman" w:hAnsi="Times New Roman"/>
                <w:color w:val="000000"/>
                <w:lang w:val="es-AR" w:eastAsia="es-AR"/>
              </w:rPr>
              <w:t>Año 2</w:t>
            </w:r>
          </w:p>
        </w:tc>
        <w:tc>
          <w:tcPr>
            <w:tcW w:w="1000" w:type="dxa"/>
            <w:tcBorders>
              <w:top w:val="single" w:sz="4" w:space="0" w:color="auto"/>
              <w:left w:val="nil"/>
              <w:bottom w:val="single" w:sz="4" w:space="0" w:color="auto"/>
              <w:right w:val="single" w:sz="4" w:space="0" w:color="auto"/>
            </w:tcBorders>
            <w:shd w:val="clear" w:color="000000" w:fill="FFFFFF"/>
            <w:noWrap/>
            <w:vAlign w:val="bottom"/>
            <w:hideMark/>
          </w:tcPr>
          <w:p w:rsidR="00AF3017" w:rsidRPr="00AF3017" w:rsidRDefault="00AF3017" w:rsidP="00AF3017">
            <w:pPr>
              <w:jc w:val="center"/>
              <w:rPr>
                <w:rFonts w:ascii="Times New Roman" w:hAnsi="Times New Roman"/>
                <w:color w:val="000000"/>
                <w:lang w:val="es-AR" w:eastAsia="es-AR"/>
              </w:rPr>
            </w:pPr>
            <w:r w:rsidRPr="00AF3017">
              <w:rPr>
                <w:rFonts w:ascii="Times New Roman" w:hAnsi="Times New Roman"/>
                <w:color w:val="000000"/>
                <w:lang w:val="es-AR" w:eastAsia="es-AR"/>
              </w:rPr>
              <w:t>Año 3</w:t>
            </w:r>
          </w:p>
        </w:tc>
        <w:tc>
          <w:tcPr>
            <w:tcW w:w="1000" w:type="dxa"/>
            <w:tcBorders>
              <w:top w:val="single" w:sz="4" w:space="0" w:color="auto"/>
              <w:left w:val="nil"/>
              <w:bottom w:val="single" w:sz="4" w:space="0" w:color="auto"/>
              <w:right w:val="single" w:sz="4" w:space="0" w:color="auto"/>
            </w:tcBorders>
            <w:shd w:val="clear" w:color="000000" w:fill="FFFFFF"/>
            <w:noWrap/>
            <w:vAlign w:val="bottom"/>
            <w:hideMark/>
          </w:tcPr>
          <w:p w:rsidR="00AF3017" w:rsidRPr="00AF3017" w:rsidRDefault="00AF3017" w:rsidP="00AF3017">
            <w:pPr>
              <w:jc w:val="center"/>
              <w:rPr>
                <w:rFonts w:ascii="Times New Roman" w:hAnsi="Times New Roman"/>
                <w:color w:val="000000"/>
                <w:lang w:val="es-AR" w:eastAsia="es-AR"/>
              </w:rPr>
            </w:pPr>
            <w:r w:rsidRPr="00AF3017">
              <w:rPr>
                <w:rFonts w:ascii="Times New Roman" w:hAnsi="Times New Roman"/>
                <w:color w:val="000000"/>
                <w:lang w:val="es-AR" w:eastAsia="es-AR"/>
              </w:rPr>
              <w:t>Año 4</w:t>
            </w:r>
          </w:p>
        </w:tc>
        <w:tc>
          <w:tcPr>
            <w:tcW w:w="1000" w:type="dxa"/>
            <w:tcBorders>
              <w:top w:val="single" w:sz="4" w:space="0" w:color="auto"/>
              <w:left w:val="nil"/>
              <w:bottom w:val="single" w:sz="4" w:space="0" w:color="auto"/>
              <w:right w:val="single" w:sz="4" w:space="0" w:color="auto"/>
            </w:tcBorders>
            <w:shd w:val="clear" w:color="000000" w:fill="FFFFFF"/>
            <w:noWrap/>
            <w:vAlign w:val="bottom"/>
            <w:hideMark/>
          </w:tcPr>
          <w:p w:rsidR="00AF3017" w:rsidRPr="00AF3017" w:rsidRDefault="00AF3017" w:rsidP="00AF3017">
            <w:pPr>
              <w:jc w:val="center"/>
              <w:rPr>
                <w:rFonts w:ascii="Times New Roman" w:hAnsi="Times New Roman"/>
                <w:color w:val="000000"/>
                <w:lang w:val="es-AR" w:eastAsia="es-AR"/>
              </w:rPr>
            </w:pPr>
            <w:r w:rsidRPr="00AF3017">
              <w:rPr>
                <w:rFonts w:ascii="Times New Roman" w:hAnsi="Times New Roman"/>
                <w:color w:val="000000"/>
                <w:lang w:val="es-AR" w:eastAsia="es-AR"/>
              </w:rPr>
              <w:t>Año 5-20</w:t>
            </w:r>
          </w:p>
        </w:tc>
      </w:tr>
      <w:tr w:rsidR="00AF3017" w:rsidRPr="00AF3017" w:rsidTr="00455FC7">
        <w:trPr>
          <w:trHeight w:val="315"/>
        </w:trPr>
        <w:tc>
          <w:tcPr>
            <w:tcW w:w="3600" w:type="dxa"/>
            <w:tcBorders>
              <w:top w:val="nil"/>
              <w:left w:val="nil"/>
              <w:bottom w:val="nil"/>
              <w:right w:val="nil"/>
            </w:tcBorders>
            <w:shd w:val="clear" w:color="000000" w:fill="FFFFFF"/>
            <w:noWrap/>
            <w:vAlign w:val="center"/>
            <w:hideMark/>
          </w:tcPr>
          <w:p w:rsidR="00AF3017" w:rsidRPr="00AF3017" w:rsidRDefault="00AF3017" w:rsidP="00AF3017">
            <w:pPr>
              <w:rPr>
                <w:rFonts w:ascii="Times New Roman" w:hAnsi="Times New Roman"/>
                <w:color w:val="000000"/>
                <w:sz w:val="18"/>
                <w:szCs w:val="18"/>
                <w:lang w:val="es-AR" w:eastAsia="es-AR"/>
              </w:rPr>
            </w:pPr>
            <w:r w:rsidRPr="00AF3017">
              <w:rPr>
                <w:rFonts w:ascii="Times New Roman" w:hAnsi="Times New Roman"/>
                <w:color w:val="000000"/>
                <w:sz w:val="18"/>
                <w:szCs w:val="18"/>
                <w:lang w:val="es-AR" w:eastAsia="es-AR"/>
              </w:rPr>
              <w:t>Conectividad y Operación equipos</w:t>
            </w:r>
          </w:p>
        </w:tc>
        <w:tc>
          <w:tcPr>
            <w:tcW w:w="1000" w:type="dxa"/>
            <w:tcBorders>
              <w:top w:val="nil"/>
              <w:left w:val="nil"/>
              <w:bottom w:val="nil"/>
              <w:right w:val="nil"/>
            </w:tcBorders>
            <w:shd w:val="clear" w:color="000000" w:fill="FFFFFF"/>
            <w:noWrap/>
            <w:vAlign w:val="center"/>
            <w:hideMark/>
          </w:tcPr>
          <w:p w:rsidR="00AF3017" w:rsidRPr="00AF3017" w:rsidRDefault="00AF3017" w:rsidP="00AF3017">
            <w:pPr>
              <w:jc w:val="center"/>
              <w:rPr>
                <w:rFonts w:ascii="Times New Roman" w:hAnsi="Times New Roman"/>
                <w:color w:val="000000"/>
                <w:lang w:val="es-AR" w:eastAsia="es-AR"/>
              </w:rPr>
            </w:pPr>
            <w:r w:rsidRPr="00AF3017">
              <w:rPr>
                <w:rFonts w:ascii="Times New Roman" w:hAnsi="Times New Roman"/>
                <w:color w:val="000000"/>
                <w:lang w:val="es-AR" w:eastAsia="es-AR"/>
              </w:rPr>
              <w:t>-</w:t>
            </w:r>
          </w:p>
        </w:tc>
        <w:tc>
          <w:tcPr>
            <w:tcW w:w="1000" w:type="dxa"/>
            <w:tcBorders>
              <w:top w:val="nil"/>
              <w:left w:val="nil"/>
              <w:bottom w:val="nil"/>
              <w:right w:val="nil"/>
            </w:tcBorders>
            <w:shd w:val="clear" w:color="000000" w:fill="FFFFFF"/>
            <w:noWrap/>
            <w:vAlign w:val="center"/>
            <w:hideMark/>
          </w:tcPr>
          <w:p w:rsidR="00406CAE" w:rsidRDefault="00AF3017" w:rsidP="00455FC7">
            <w:pPr>
              <w:jc w:val="center"/>
              <w:rPr>
                <w:rFonts w:ascii="Times New Roman" w:hAnsi="Times New Roman"/>
                <w:color w:val="000000"/>
                <w:lang w:val="es-AR" w:eastAsia="es-AR"/>
              </w:rPr>
            </w:pPr>
            <w:r w:rsidRPr="00AF3017">
              <w:rPr>
                <w:rFonts w:ascii="Times New Roman" w:hAnsi="Times New Roman"/>
                <w:color w:val="000000"/>
                <w:lang w:val="es-AR" w:eastAsia="es-AR"/>
              </w:rPr>
              <w:t>-296</w:t>
            </w:r>
          </w:p>
        </w:tc>
        <w:tc>
          <w:tcPr>
            <w:tcW w:w="1000" w:type="dxa"/>
            <w:tcBorders>
              <w:top w:val="nil"/>
              <w:left w:val="nil"/>
              <w:bottom w:val="nil"/>
              <w:right w:val="nil"/>
            </w:tcBorders>
            <w:shd w:val="clear" w:color="000000" w:fill="FFFFFF"/>
            <w:noWrap/>
            <w:vAlign w:val="center"/>
            <w:hideMark/>
          </w:tcPr>
          <w:p w:rsidR="00406CAE" w:rsidRDefault="00AF3017" w:rsidP="00455FC7">
            <w:pPr>
              <w:jc w:val="center"/>
              <w:rPr>
                <w:rFonts w:ascii="Times New Roman" w:hAnsi="Times New Roman"/>
                <w:color w:val="000000"/>
                <w:lang w:val="es-AR" w:eastAsia="es-AR"/>
              </w:rPr>
            </w:pPr>
            <w:r w:rsidRPr="00AF3017">
              <w:rPr>
                <w:rFonts w:ascii="Times New Roman" w:hAnsi="Times New Roman"/>
                <w:color w:val="000000"/>
                <w:lang w:val="es-AR" w:eastAsia="es-AR"/>
              </w:rPr>
              <w:t>-444</w:t>
            </w:r>
          </w:p>
        </w:tc>
        <w:tc>
          <w:tcPr>
            <w:tcW w:w="1000" w:type="dxa"/>
            <w:tcBorders>
              <w:top w:val="nil"/>
              <w:left w:val="nil"/>
              <w:bottom w:val="nil"/>
              <w:right w:val="nil"/>
            </w:tcBorders>
            <w:shd w:val="clear" w:color="000000" w:fill="FFFFFF"/>
            <w:noWrap/>
            <w:vAlign w:val="center"/>
            <w:hideMark/>
          </w:tcPr>
          <w:p w:rsidR="00406CAE" w:rsidRDefault="00AF3017" w:rsidP="00455FC7">
            <w:pPr>
              <w:jc w:val="center"/>
              <w:rPr>
                <w:rFonts w:ascii="Times New Roman" w:hAnsi="Times New Roman"/>
                <w:color w:val="000000"/>
                <w:lang w:val="es-AR" w:eastAsia="es-AR"/>
              </w:rPr>
            </w:pPr>
            <w:r w:rsidRPr="00AF3017">
              <w:rPr>
                <w:rFonts w:ascii="Times New Roman" w:hAnsi="Times New Roman"/>
                <w:color w:val="000000"/>
                <w:lang w:val="es-AR" w:eastAsia="es-AR"/>
              </w:rPr>
              <w:t>-654</w:t>
            </w:r>
          </w:p>
        </w:tc>
        <w:tc>
          <w:tcPr>
            <w:tcW w:w="1000" w:type="dxa"/>
            <w:tcBorders>
              <w:top w:val="nil"/>
              <w:left w:val="nil"/>
              <w:bottom w:val="nil"/>
              <w:right w:val="nil"/>
            </w:tcBorders>
            <w:shd w:val="clear" w:color="000000" w:fill="FFFFFF"/>
            <w:noWrap/>
            <w:vAlign w:val="center"/>
            <w:hideMark/>
          </w:tcPr>
          <w:p w:rsidR="00406CAE" w:rsidRDefault="00AF3017" w:rsidP="00455FC7">
            <w:pPr>
              <w:jc w:val="center"/>
              <w:rPr>
                <w:rFonts w:ascii="Times New Roman" w:hAnsi="Times New Roman"/>
                <w:color w:val="000000"/>
                <w:lang w:val="es-AR" w:eastAsia="es-AR"/>
              </w:rPr>
            </w:pPr>
            <w:r w:rsidRPr="00AF3017">
              <w:rPr>
                <w:rFonts w:ascii="Times New Roman" w:hAnsi="Times New Roman"/>
                <w:color w:val="000000"/>
                <w:lang w:val="es-AR" w:eastAsia="es-AR"/>
              </w:rPr>
              <w:t>-654</w:t>
            </w:r>
          </w:p>
        </w:tc>
      </w:tr>
      <w:tr w:rsidR="00AF3017" w:rsidRPr="00AF3017" w:rsidTr="00455FC7">
        <w:trPr>
          <w:trHeight w:val="315"/>
        </w:trPr>
        <w:tc>
          <w:tcPr>
            <w:tcW w:w="3600" w:type="dxa"/>
            <w:tcBorders>
              <w:top w:val="nil"/>
              <w:left w:val="nil"/>
              <w:bottom w:val="nil"/>
              <w:right w:val="nil"/>
            </w:tcBorders>
            <w:shd w:val="clear" w:color="000000" w:fill="FFFFFF"/>
            <w:noWrap/>
            <w:vAlign w:val="center"/>
            <w:hideMark/>
          </w:tcPr>
          <w:p w:rsidR="00AF3017" w:rsidRPr="00AF3017" w:rsidRDefault="00AF3017" w:rsidP="00AF3017">
            <w:pPr>
              <w:rPr>
                <w:rFonts w:ascii="Times New Roman" w:hAnsi="Times New Roman"/>
                <w:color w:val="000000"/>
                <w:sz w:val="18"/>
                <w:szCs w:val="18"/>
                <w:lang w:val="es-AR" w:eastAsia="es-AR"/>
              </w:rPr>
            </w:pPr>
            <w:r w:rsidRPr="00AF3017">
              <w:rPr>
                <w:rFonts w:ascii="Times New Roman" w:hAnsi="Times New Roman"/>
                <w:color w:val="000000"/>
                <w:sz w:val="18"/>
                <w:szCs w:val="18"/>
                <w:lang w:val="es-AR" w:eastAsia="es-AR"/>
              </w:rPr>
              <w:t>Adquisición equipamiento reposición</w:t>
            </w:r>
          </w:p>
        </w:tc>
        <w:tc>
          <w:tcPr>
            <w:tcW w:w="1000" w:type="dxa"/>
            <w:tcBorders>
              <w:top w:val="nil"/>
              <w:left w:val="nil"/>
              <w:bottom w:val="nil"/>
              <w:right w:val="nil"/>
            </w:tcBorders>
            <w:shd w:val="clear" w:color="000000" w:fill="FFFFFF"/>
            <w:noWrap/>
            <w:vAlign w:val="center"/>
            <w:hideMark/>
          </w:tcPr>
          <w:p w:rsidR="00AF3017" w:rsidRPr="00AF3017" w:rsidRDefault="00AF3017" w:rsidP="00AF3017">
            <w:pPr>
              <w:jc w:val="center"/>
              <w:rPr>
                <w:rFonts w:ascii="Times New Roman" w:hAnsi="Times New Roman"/>
                <w:color w:val="000000"/>
                <w:lang w:val="es-AR" w:eastAsia="es-AR"/>
              </w:rPr>
            </w:pPr>
            <w:r w:rsidRPr="00AF3017">
              <w:rPr>
                <w:rFonts w:ascii="Times New Roman" w:hAnsi="Times New Roman"/>
                <w:color w:val="000000"/>
                <w:lang w:val="es-AR" w:eastAsia="es-AR"/>
              </w:rPr>
              <w:t>-</w:t>
            </w:r>
          </w:p>
        </w:tc>
        <w:tc>
          <w:tcPr>
            <w:tcW w:w="1000" w:type="dxa"/>
            <w:tcBorders>
              <w:top w:val="nil"/>
              <w:left w:val="nil"/>
              <w:bottom w:val="nil"/>
              <w:right w:val="nil"/>
            </w:tcBorders>
            <w:shd w:val="clear" w:color="000000" w:fill="FFFFFF"/>
            <w:noWrap/>
            <w:vAlign w:val="center"/>
            <w:hideMark/>
          </w:tcPr>
          <w:p w:rsidR="00406CAE" w:rsidRDefault="00AF3017" w:rsidP="00455FC7">
            <w:pPr>
              <w:jc w:val="center"/>
              <w:rPr>
                <w:rFonts w:ascii="Times New Roman" w:hAnsi="Times New Roman"/>
                <w:color w:val="000000"/>
                <w:lang w:val="es-AR" w:eastAsia="es-AR"/>
              </w:rPr>
            </w:pPr>
            <w:r w:rsidRPr="00AF3017">
              <w:rPr>
                <w:rFonts w:ascii="Times New Roman" w:hAnsi="Times New Roman"/>
                <w:color w:val="000000"/>
                <w:lang w:val="es-AR" w:eastAsia="es-AR"/>
              </w:rPr>
              <w:t>0</w:t>
            </w:r>
          </w:p>
        </w:tc>
        <w:tc>
          <w:tcPr>
            <w:tcW w:w="1000" w:type="dxa"/>
            <w:tcBorders>
              <w:top w:val="nil"/>
              <w:left w:val="nil"/>
              <w:bottom w:val="nil"/>
              <w:right w:val="nil"/>
            </w:tcBorders>
            <w:shd w:val="clear" w:color="000000" w:fill="FFFFFF"/>
            <w:noWrap/>
            <w:vAlign w:val="center"/>
            <w:hideMark/>
          </w:tcPr>
          <w:p w:rsidR="00406CAE" w:rsidRDefault="00AF3017" w:rsidP="00455FC7">
            <w:pPr>
              <w:jc w:val="center"/>
              <w:rPr>
                <w:rFonts w:ascii="Times New Roman" w:hAnsi="Times New Roman"/>
                <w:color w:val="000000"/>
                <w:lang w:val="es-AR" w:eastAsia="es-AR"/>
              </w:rPr>
            </w:pPr>
            <w:r w:rsidRPr="00AF3017">
              <w:rPr>
                <w:rFonts w:ascii="Times New Roman" w:hAnsi="Times New Roman"/>
                <w:color w:val="000000"/>
                <w:lang w:val="es-AR" w:eastAsia="es-AR"/>
              </w:rPr>
              <w:t>-</w:t>
            </w:r>
          </w:p>
        </w:tc>
        <w:tc>
          <w:tcPr>
            <w:tcW w:w="1000" w:type="dxa"/>
            <w:tcBorders>
              <w:top w:val="nil"/>
              <w:left w:val="nil"/>
              <w:bottom w:val="nil"/>
              <w:right w:val="nil"/>
            </w:tcBorders>
            <w:shd w:val="clear" w:color="000000" w:fill="FFFFFF"/>
            <w:noWrap/>
            <w:vAlign w:val="center"/>
            <w:hideMark/>
          </w:tcPr>
          <w:p w:rsidR="00406CAE" w:rsidRDefault="00AF3017" w:rsidP="00455FC7">
            <w:pPr>
              <w:jc w:val="center"/>
              <w:rPr>
                <w:rFonts w:ascii="Times New Roman" w:hAnsi="Times New Roman"/>
                <w:color w:val="000000"/>
                <w:lang w:val="es-AR" w:eastAsia="es-AR"/>
              </w:rPr>
            </w:pPr>
            <w:r w:rsidRPr="00AF3017">
              <w:rPr>
                <w:rFonts w:ascii="Times New Roman" w:hAnsi="Times New Roman"/>
                <w:color w:val="000000"/>
                <w:lang w:val="es-AR" w:eastAsia="es-AR"/>
              </w:rPr>
              <w:t>-987</w:t>
            </w:r>
          </w:p>
        </w:tc>
        <w:tc>
          <w:tcPr>
            <w:tcW w:w="1000" w:type="dxa"/>
            <w:tcBorders>
              <w:top w:val="nil"/>
              <w:left w:val="nil"/>
              <w:bottom w:val="nil"/>
              <w:right w:val="nil"/>
            </w:tcBorders>
            <w:shd w:val="clear" w:color="000000" w:fill="FFFFFF"/>
            <w:noWrap/>
            <w:vAlign w:val="center"/>
            <w:hideMark/>
          </w:tcPr>
          <w:p w:rsidR="00406CAE" w:rsidRDefault="00AF3017" w:rsidP="00455FC7">
            <w:pPr>
              <w:jc w:val="center"/>
              <w:rPr>
                <w:rFonts w:ascii="Times New Roman" w:hAnsi="Times New Roman"/>
                <w:color w:val="000000"/>
                <w:lang w:val="es-AR" w:eastAsia="es-AR"/>
              </w:rPr>
            </w:pPr>
            <w:r w:rsidRPr="00AF3017">
              <w:rPr>
                <w:rFonts w:ascii="Times New Roman" w:hAnsi="Times New Roman"/>
                <w:color w:val="000000"/>
                <w:lang w:val="es-AR" w:eastAsia="es-AR"/>
              </w:rPr>
              <w:t>-987</w:t>
            </w:r>
          </w:p>
        </w:tc>
      </w:tr>
      <w:tr w:rsidR="00AF3017" w:rsidRPr="00AF3017" w:rsidTr="00455FC7">
        <w:trPr>
          <w:trHeight w:val="315"/>
        </w:trPr>
        <w:tc>
          <w:tcPr>
            <w:tcW w:w="3600" w:type="dxa"/>
            <w:tcBorders>
              <w:top w:val="nil"/>
              <w:left w:val="nil"/>
              <w:bottom w:val="nil"/>
              <w:right w:val="nil"/>
            </w:tcBorders>
            <w:shd w:val="clear" w:color="000000" w:fill="FFFFFF"/>
            <w:noWrap/>
            <w:vAlign w:val="center"/>
            <w:hideMark/>
          </w:tcPr>
          <w:p w:rsidR="00AF3017" w:rsidRPr="00AF3017" w:rsidRDefault="00AF3017" w:rsidP="00AF3017">
            <w:pPr>
              <w:rPr>
                <w:rFonts w:ascii="Times New Roman" w:hAnsi="Times New Roman"/>
                <w:color w:val="000000"/>
                <w:sz w:val="18"/>
                <w:szCs w:val="18"/>
                <w:lang w:val="es-AR" w:eastAsia="es-AR"/>
              </w:rPr>
            </w:pPr>
            <w:r w:rsidRPr="00AF3017">
              <w:rPr>
                <w:rFonts w:ascii="Times New Roman" w:hAnsi="Times New Roman"/>
                <w:color w:val="000000"/>
                <w:sz w:val="18"/>
                <w:szCs w:val="18"/>
                <w:lang w:val="es-AR" w:eastAsia="es-AR"/>
              </w:rPr>
              <w:t>Otros generales</w:t>
            </w:r>
          </w:p>
        </w:tc>
        <w:tc>
          <w:tcPr>
            <w:tcW w:w="1000" w:type="dxa"/>
            <w:tcBorders>
              <w:top w:val="nil"/>
              <w:left w:val="nil"/>
              <w:bottom w:val="nil"/>
              <w:right w:val="nil"/>
            </w:tcBorders>
            <w:shd w:val="clear" w:color="000000" w:fill="FFFFFF"/>
            <w:noWrap/>
            <w:vAlign w:val="center"/>
            <w:hideMark/>
          </w:tcPr>
          <w:p w:rsidR="00AF3017" w:rsidRPr="00AF3017" w:rsidRDefault="00AF3017" w:rsidP="00AF3017">
            <w:pPr>
              <w:jc w:val="center"/>
              <w:rPr>
                <w:rFonts w:ascii="Times New Roman" w:hAnsi="Times New Roman"/>
                <w:color w:val="000000"/>
                <w:lang w:val="es-AR" w:eastAsia="es-AR"/>
              </w:rPr>
            </w:pPr>
            <w:r w:rsidRPr="00AF3017">
              <w:rPr>
                <w:rFonts w:ascii="Times New Roman" w:hAnsi="Times New Roman"/>
                <w:color w:val="000000"/>
                <w:lang w:val="es-AR" w:eastAsia="es-AR"/>
              </w:rPr>
              <w:t>-</w:t>
            </w:r>
          </w:p>
        </w:tc>
        <w:tc>
          <w:tcPr>
            <w:tcW w:w="1000" w:type="dxa"/>
            <w:tcBorders>
              <w:top w:val="nil"/>
              <w:left w:val="nil"/>
              <w:bottom w:val="nil"/>
              <w:right w:val="nil"/>
            </w:tcBorders>
            <w:shd w:val="clear" w:color="000000" w:fill="FFFFFF"/>
            <w:noWrap/>
            <w:vAlign w:val="center"/>
            <w:hideMark/>
          </w:tcPr>
          <w:p w:rsidR="00406CAE" w:rsidRDefault="00AF3017" w:rsidP="00455FC7">
            <w:pPr>
              <w:jc w:val="center"/>
              <w:rPr>
                <w:rFonts w:ascii="Times New Roman" w:hAnsi="Times New Roman"/>
                <w:color w:val="000000"/>
                <w:lang w:val="es-AR" w:eastAsia="es-AR"/>
              </w:rPr>
            </w:pPr>
            <w:r w:rsidRPr="00AF3017">
              <w:rPr>
                <w:rFonts w:ascii="Times New Roman" w:hAnsi="Times New Roman"/>
                <w:color w:val="000000"/>
                <w:lang w:val="es-AR" w:eastAsia="es-AR"/>
              </w:rPr>
              <w:t>-30</w:t>
            </w:r>
          </w:p>
        </w:tc>
        <w:tc>
          <w:tcPr>
            <w:tcW w:w="1000" w:type="dxa"/>
            <w:tcBorders>
              <w:top w:val="nil"/>
              <w:left w:val="nil"/>
              <w:bottom w:val="nil"/>
              <w:right w:val="nil"/>
            </w:tcBorders>
            <w:shd w:val="clear" w:color="000000" w:fill="FFFFFF"/>
            <w:noWrap/>
            <w:vAlign w:val="center"/>
            <w:hideMark/>
          </w:tcPr>
          <w:p w:rsidR="00406CAE" w:rsidRDefault="00AF3017" w:rsidP="00455FC7">
            <w:pPr>
              <w:jc w:val="center"/>
              <w:rPr>
                <w:rFonts w:ascii="Times New Roman" w:hAnsi="Times New Roman"/>
                <w:color w:val="000000"/>
                <w:lang w:val="es-AR" w:eastAsia="es-AR"/>
              </w:rPr>
            </w:pPr>
            <w:r w:rsidRPr="00AF3017">
              <w:rPr>
                <w:rFonts w:ascii="Times New Roman" w:hAnsi="Times New Roman"/>
                <w:color w:val="000000"/>
                <w:lang w:val="es-AR" w:eastAsia="es-AR"/>
              </w:rPr>
              <w:t>-44</w:t>
            </w:r>
          </w:p>
        </w:tc>
        <w:tc>
          <w:tcPr>
            <w:tcW w:w="1000" w:type="dxa"/>
            <w:tcBorders>
              <w:top w:val="nil"/>
              <w:left w:val="nil"/>
              <w:bottom w:val="nil"/>
              <w:right w:val="nil"/>
            </w:tcBorders>
            <w:shd w:val="clear" w:color="000000" w:fill="FFFFFF"/>
            <w:noWrap/>
            <w:vAlign w:val="center"/>
            <w:hideMark/>
          </w:tcPr>
          <w:p w:rsidR="00406CAE" w:rsidRDefault="00AF3017" w:rsidP="00455FC7">
            <w:pPr>
              <w:jc w:val="center"/>
              <w:rPr>
                <w:rFonts w:ascii="Times New Roman" w:hAnsi="Times New Roman"/>
                <w:color w:val="000000"/>
                <w:lang w:val="es-AR" w:eastAsia="es-AR"/>
              </w:rPr>
            </w:pPr>
            <w:r w:rsidRPr="00AF3017">
              <w:rPr>
                <w:rFonts w:ascii="Times New Roman" w:hAnsi="Times New Roman"/>
                <w:color w:val="000000"/>
                <w:lang w:val="es-AR" w:eastAsia="es-AR"/>
              </w:rPr>
              <w:t>-65</w:t>
            </w:r>
          </w:p>
        </w:tc>
        <w:tc>
          <w:tcPr>
            <w:tcW w:w="1000" w:type="dxa"/>
            <w:tcBorders>
              <w:top w:val="nil"/>
              <w:left w:val="nil"/>
              <w:bottom w:val="nil"/>
              <w:right w:val="nil"/>
            </w:tcBorders>
            <w:shd w:val="clear" w:color="000000" w:fill="FFFFFF"/>
            <w:noWrap/>
            <w:vAlign w:val="center"/>
            <w:hideMark/>
          </w:tcPr>
          <w:p w:rsidR="00406CAE" w:rsidRDefault="00AF3017" w:rsidP="00455FC7">
            <w:pPr>
              <w:jc w:val="center"/>
              <w:rPr>
                <w:rFonts w:ascii="Times New Roman" w:hAnsi="Times New Roman"/>
                <w:color w:val="000000"/>
                <w:lang w:val="es-AR" w:eastAsia="es-AR"/>
              </w:rPr>
            </w:pPr>
            <w:r w:rsidRPr="00AF3017">
              <w:rPr>
                <w:rFonts w:ascii="Times New Roman" w:hAnsi="Times New Roman"/>
                <w:color w:val="000000"/>
                <w:lang w:val="es-AR" w:eastAsia="es-AR"/>
              </w:rPr>
              <w:t>-65</w:t>
            </w:r>
          </w:p>
        </w:tc>
      </w:tr>
    </w:tbl>
    <w:p w:rsidR="00AF3017" w:rsidRDefault="00AF3017" w:rsidP="00C7489D">
      <w:pPr>
        <w:pStyle w:val="ListParagraph"/>
        <w:rPr>
          <w:rFonts w:ascii="Times New Roman" w:hAnsi="Times New Roman"/>
          <w:sz w:val="22"/>
          <w:lang w:val="es-ES_tradnl"/>
        </w:rPr>
      </w:pPr>
    </w:p>
    <w:p w:rsidR="00AF3017" w:rsidRDefault="00AF3017" w:rsidP="00C7489D">
      <w:pPr>
        <w:pStyle w:val="ListParagraph"/>
        <w:rPr>
          <w:rFonts w:ascii="Times New Roman" w:hAnsi="Times New Roman"/>
          <w:sz w:val="22"/>
          <w:lang w:val="es-ES_tradnl"/>
        </w:rPr>
      </w:pPr>
    </w:p>
    <w:p w:rsidR="001203FA" w:rsidRPr="001203FA" w:rsidRDefault="00C7489D" w:rsidP="00AD78F4">
      <w:pPr>
        <w:numPr>
          <w:ilvl w:val="1"/>
          <w:numId w:val="24"/>
        </w:numPr>
        <w:jc w:val="both"/>
        <w:rPr>
          <w:rFonts w:ascii="Times New Roman" w:hAnsi="Times New Roman"/>
          <w:b/>
          <w:sz w:val="22"/>
          <w:lang w:val="es-ES_tradnl"/>
        </w:rPr>
      </w:pPr>
      <w:r w:rsidRPr="00C7489D">
        <w:rPr>
          <w:rFonts w:ascii="Times New Roman" w:hAnsi="Times New Roman"/>
          <w:sz w:val="22"/>
          <w:lang w:val="es-ES_tradnl"/>
        </w:rPr>
        <w:t xml:space="preserve">Los costos de operación que han sido contabilizados a los fines de este ejercicio incluyen: a) cargos de conectividad y operación de equipos, b) una provisión imputada anualmente que para reponer el 100% del equipamiento adquirido en 10 años y c) otros costos eventuales por un 10%  del </w:t>
      </w:r>
      <w:r w:rsidR="00673163" w:rsidRPr="00C7489D">
        <w:rPr>
          <w:rFonts w:ascii="Times New Roman" w:hAnsi="Times New Roman"/>
          <w:sz w:val="22"/>
          <w:lang w:val="es-ES_tradnl"/>
        </w:rPr>
        <w:t>cálculo</w:t>
      </w:r>
      <w:r w:rsidRPr="00C7489D">
        <w:rPr>
          <w:rFonts w:ascii="Times New Roman" w:hAnsi="Times New Roman"/>
          <w:sz w:val="22"/>
          <w:lang w:val="es-ES_tradnl"/>
        </w:rPr>
        <w:t xml:space="preserve"> básico. </w:t>
      </w:r>
      <w:r w:rsidR="00A11F7E">
        <w:rPr>
          <w:rFonts w:ascii="Times New Roman" w:hAnsi="Times New Roman"/>
          <w:sz w:val="22"/>
          <w:lang w:val="es-ES_tradnl"/>
        </w:rPr>
        <w:t xml:space="preserve">Estos conceptos comienzan a ser computados a partir del año 2, cuando una parte de los activos es incorporado. </w:t>
      </w:r>
      <w:r w:rsidRPr="00C7489D">
        <w:rPr>
          <w:rFonts w:ascii="Times New Roman" w:hAnsi="Times New Roman"/>
          <w:sz w:val="22"/>
          <w:lang w:val="es-ES_tradnl"/>
        </w:rPr>
        <w:t xml:space="preserve">El mantenimiento de la previsión de estas erogaciones más allá de los </w:t>
      </w:r>
      <w:r w:rsidR="002343C2">
        <w:rPr>
          <w:rFonts w:ascii="Times New Roman" w:hAnsi="Times New Roman"/>
          <w:sz w:val="22"/>
          <w:lang w:val="es-ES_tradnl"/>
        </w:rPr>
        <w:t>3</w:t>
      </w:r>
      <w:r w:rsidRPr="00C7489D">
        <w:rPr>
          <w:rFonts w:ascii="Times New Roman" w:hAnsi="Times New Roman"/>
          <w:sz w:val="22"/>
          <w:lang w:val="es-ES_tradnl"/>
        </w:rPr>
        <w:t xml:space="preserve"> años previstos para la intervención reviste importancia en su carácter de costos necesarios para garantizar la sostenibilidad futura del planteo general.</w:t>
      </w:r>
      <w:r>
        <w:rPr>
          <w:rFonts w:ascii="Times New Roman" w:hAnsi="Times New Roman"/>
          <w:sz w:val="22"/>
          <w:lang w:val="es-ES_tradnl"/>
        </w:rPr>
        <w:t xml:space="preserve"> </w:t>
      </w:r>
      <w:r w:rsidR="00A11F7E">
        <w:rPr>
          <w:rFonts w:ascii="Times New Roman" w:hAnsi="Times New Roman"/>
          <w:sz w:val="22"/>
          <w:lang w:val="es-ES_tradnl"/>
        </w:rPr>
        <w:t xml:space="preserve">A partir del año 5 se asumen constantes a lo largo del horizonte de vida del Programa. </w:t>
      </w:r>
      <w:r w:rsidRPr="00C7489D">
        <w:rPr>
          <w:rFonts w:ascii="Times New Roman" w:hAnsi="Times New Roman"/>
          <w:sz w:val="22"/>
          <w:lang w:val="es-ES_tradnl"/>
        </w:rPr>
        <w:t xml:space="preserve">En estos conceptos </w:t>
      </w:r>
      <w:r>
        <w:rPr>
          <w:rFonts w:ascii="Times New Roman" w:hAnsi="Times New Roman"/>
          <w:sz w:val="22"/>
          <w:lang w:val="es-ES_tradnl"/>
        </w:rPr>
        <w:t>debería</w:t>
      </w:r>
      <w:r w:rsidRPr="00C7489D">
        <w:rPr>
          <w:rFonts w:ascii="Times New Roman" w:hAnsi="Times New Roman"/>
          <w:sz w:val="22"/>
          <w:lang w:val="es-ES_tradnl"/>
        </w:rPr>
        <w:t xml:space="preserve"> incorpora</w:t>
      </w:r>
      <w:r>
        <w:rPr>
          <w:rFonts w:ascii="Times New Roman" w:hAnsi="Times New Roman"/>
          <w:sz w:val="22"/>
          <w:lang w:val="es-ES_tradnl"/>
        </w:rPr>
        <w:t>rse</w:t>
      </w:r>
      <w:r w:rsidRPr="00C7489D">
        <w:rPr>
          <w:rFonts w:ascii="Times New Roman" w:hAnsi="Times New Roman"/>
          <w:sz w:val="22"/>
          <w:lang w:val="es-ES_tradnl"/>
        </w:rPr>
        <w:t xml:space="preserve"> </w:t>
      </w:r>
      <w:r>
        <w:rPr>
          <w:rFonts w:ascii="Times New Roman" w:hAnsi="Times New Roman"/>
          <w:sz w:val="22"/>
          <w:lang w:val="es-ES_tradnl"/>
        </w:rPr>
        <w:t xml:space="preserve"> </w:t>
      </w:r>
      <w:r w:rsidRPr="00C7489D">
        <w:rPr>
          <w:rFonts w:ascii="Times New Roman" w:hAnsi="Times New Roman"/>
          <w:sz w:val="22"/>
          <w:lang w:val="es-ES_tradnl"/>
        </w:rPr>
        <w:t>el personal que deb</w:t>
      </w:r>
      <w:r>
        <w:rPr>
          <w:rFonts w:ascii="Times New Roman" w:hAnsi="Times New Roman"/>
          <w:sz w:val="22"/>
          <w:lang w:val="es-ES_tradnl"/>
        </w:rPr>
        <w:t>iera</w:t>
      </w:r>
      <w:r w:rsidRPr="00C7489D">
        <w:rPr>
          <w:rFonts w:ascii="Times New Roman" w:hAnsi="Times New Roman"/>
          <w:sz w:val="22"/>
          <w:lang w:val="es-ES_tradnl"/>
        </w:rPr>
        <w:t xml:space="preserve"> ser contratado por las áreas públicas participantes que revista un carácter adicional a las posiciones existentes</w:t>
      </w:r>
      <w:r>
        <w:rPr>
          <w:rFonts w:ascii="Times New Roman" w:hAnsi="Times New Roman"/>
          <w:sz w:val="22"/>
          <w:lang w:val="es-ES_tradnl"/>
        </w:rPr>
        <w:t xml:space="preserve"> (esto fue estimado como no necesario por los equipos del GdE</w:t>
      </w:r>
      <w:r w:rsidR="002343C2">
        <w:rPr>
          <w:rFonts w:ascii="Times New Roman" w:hAnsi="Times New Roman"/>
          <w:sz w:val="22"/>
          <w:lang w:val="es-ES_tradnl"/>
        </w:rPr>
        <w:t xml:space="preserve"> por lo que no se proyectan mayores gastos en personal</w:t>
      </w:r>
      <w:r>
        <w:rPr>
          <w:rFonts w:ascii="Times New Roman" w:hAnsi="Times New Roman"/>
          <w:sz w:val="22"/>
          <w:lang w:val="es-ES_tradnl"/>
        </w:rPr>
        <w:t>)</w:t>
      </w:r>
      <w:r w:rsidRPr="00C7489D">
        <w:rPr>
          <w:rFonts w:ascii="Times New Roman" w:hAnsi="Times New Roman"/>
          <w:sz w:val="22"/>
          <w:lang w:val="es-ES_tradnl"/>
        </w:rPr>
        <w:t xml:space="preserve">. </w:t>
      </w:r>
      <w:r w:rsidR="008005CB">
        <w:rPr>
          <w:rFonts w:ascii="Times New Roman" w:hAnsi="Times New Roman"/>
          <w:sz w:val="22"/>
          <w:lang w:val="es-ES_tradnl"/>
        </w:rPr>
        <w:t>De esta forma, se concluye que</w:t>
      </w:r>
      <w:r w:rsidR="008005CB" w:rsidRPr="0004749C">
        <w:rPr>
          <w:rFonts w:ascii="Times New Roman" w:hAnsi="Times New Roman"/>
          <w:sz w:val="22"/>
          <w:szCs w:val="22"/>
          <w:lang w:val="es-AR"/>
        </w:rPr>
        <w:t xml:space="preserve"> el cambio en las c</w:t>
      </w:r>
      <w:r w:rsidR="008005CB">
        <w:rPr>
          <w:rFonts w:ascii="Times New Roman" w:hAnsi="Times New Roman"/>
          <w:sz w:val="22"/>
          <w:szCs w:val="22"/>
          <w:lang w:val="es-AR"/>
        </w:rPr>
        <w:t xml:space="preserve">apacidades del servicio de alerta </w:t>
      </w:r>
      <w:r w:rsidR="008005CB" w:rsidRPr="0004749C">
        <w:rPr>
          <w:rFonts w:ascii="Times New Roman" w:hAnsi="Times New Roman"/>
          <w:sz w:val="22"/>
          <w:szCs w:val="22"/>
          <w:lang w:val="es-AR"/>
        </w:rPr>
        <w:t xml:space="preserve"> será acompañada con un acrecentamiento de los costos recurrentes.</w:t>
      </w:r>
      <w:r w:rsidR="008005CB">
        <w:rPr>
          <w:rFonts w:ascii="Times New Roman" w:hAnsi="Times New Roman"/>
          <w:sz w:val="22"/>
          <w:szCs w:val="22"/>
          <w:lang w:val="es-AR"/>
        </w:rPr>
        <w:t xml:space="preserve"> Con posterioridad a la finalización de la intervención, esta estructura de gastos (en diversas Instituciones que operan de modo coordinado) deberá ser sostenida a los fines de continuar manteniendo las condiciones para materializar los beneficios previstos.</w:t>
      </w:r>
    </w:p>
    <w:p w:rsidR="00732C03" w:rsidRDefault="00732C03" w:rsidP="00732C03">
      <w:pPr>
        <w:pStyle w:val="ListParagraph"/>
        <w:rPr>
          <w:rFonts w:ascii="Times New Roman" w:hAnsi="Times New Roman"/>
          <w:sz w:val="22"/>
          <w:lang w:val="es-ES_tradnl"/>
        </w:rPr>
      </w:pPr>
    </w:p>
    <w:p w:rsidR="001203FA" w:rsidRPr="00AF3017" w:rsidRDefault="00081A23" w:rsidP="00AD78F4">
      <w:pPr>
        <w:numPr>
          <w:ilvl w:val="1"/>
          <w:numId w:val="24"/>
        </w:numPr>
        <w:jc w:val="both"/>
        <w:rPr>
          <w:rFonts w:ascii="Times New Roman" w:hAnsi="Times New Roman"/>
          <w:sz w:val="22"/>
          <w:lang w:val="es-ES_tradnl"/>
        </w:rPr>
      </w:pPr>
      <w:r w:rsidRPr="00455FC7">
        <w:rPr>
          <w:rFonts w:ascii="Times New Roman" w:hAnsi="Times New Roman"/>
          <w:i/>
          <w:sz w:val="22"/>
          <w:lang w:val="es-ES_tradnl"/>
        </w:rPr>
        <w:lastRenderedPageBreak/>
        <w:t>Costo económico de las alertas fallidas:</w:t>
      </w:r>
      <w:r w:rsidR="001203FA" w:rsidRPr="001203FA">
        <w:rPr>
          <w:rFonts w:ascii="Times New Roman" w:hAnsi="Times New Roman"/>
          <w:sz w:val="22"/>
          <w:lang w:val="es-ES_tradnl"/>
        </w:rPr>
        <w:t xml:space="preserve"> .Existen experiencias que determinan una posibilidad cierta de que el  Programa emita una alerta fallida. Sobre esto se verifican algunas referencias en la literatura, como un trabajo de CENAPRED  México, expresa que debido a la complejidad de los fenómenos que origina la alerta, inherentemente tienen factores de incertidumbre, por lo que en ocasiones pueden generar sobre-alertamientos o alertas inoportunas.  Existen amplias referencias de alertas fallidas pero no existe un patrón estadístico que </w:t>
      </w:r>
      <w:r w:rsidR="001203FA" w:rsidRPr="00AF3017">
        <w:rPr>
          <w:rFonts w:ascii="Times New Roman" w:hAnsi="Times New Roman"/>
          <w:sz w:val="22"/>
          <w:lang w:val="es-ES_tradnl"/>
        </w:rPr>
        <w:t xml:space="preserve">brinde evidencia rigurosa de su cantidad o probabilidad de ocurrencia por tipo de desastre. </w:t>
      </w:r>
    </w:p>
    <w:p w:rsidR="00406CAE" w:rsidRDefault="00406CAE" w:rsidP="00455FC7">
      <w:pPr>
        <w:ind w:left="718"/>
        <w:jc w:val="both"/>
        <w:rPr>
          <w:rFonts w:ascii="Times New Roman" w:hAnsi="Times New Roman"/>
          <w:sz w:val="22"/>
          <w:lang w:val="es-ES_tradnl"/>
        </w:rPr>
      </w:pPr>
    </w:p>
    <w:p w:rsidR="001203FA" w:rsidRPr="001203FA" w:rsidRDefault="001203FA" w:rsidP="00AD78F4">
      <w:pPr>
        <w:numPr>
          <w:ilvl w:val="1"/>
          <w:numId w:val="24"/>
        </w:numPr>
        <w:jc w:val="both"/>
        <w:rPr>
          <w:rFonts w:ascii="Times New Roman" w:hAnsi="Times New Roman"/>
          <w:sz w:val="22"/>
          <w:lang w:val="es-ES_tradnl"/>
        </w:rPr>
      </w:pPr>
      <w:r w:rsidRPr="001203FA">
        <w:rPr>
          <w:rFonts w:ascii="Times New Roman" w:hAnsi="Times New Roman"/>
          <w:sz w:val="22"/>
          <w:lang w:val="es-ES_tradnl"/>
        </w:rPr>
        <w:t xml:space="preserve">Objetivo de minimización de falsas alarmas. A medida que los sistemas de alerta crecen en cobertura geográfica y sofisticación, también aumentan las probabilidades de emitir falsas alarmas. Si bien proporcionan una práctica invalorable, las altas tasas de falsas alarmas pueden socavar la confianza pública, generar resistencia al sistema, diluir el impacto de las alertas y reducir la credibilidad de futuras advertencias. En 2007, una alarma local de tsunami fue lanzada equivocadamente en Aceh, Indonesia, causando pánico masivo y lesiones en los residentes que buscaban refugio (aún se llegó a cuestionar el sistema inutilizando equipos de alerta, causando vulnerabilidades innecesarias).  En 2014 un terremoto de 8,7 en la escala de Richter, que golpeó la costa de Indonesia, dio lugar a la activación del Sistema de Alerta Temprana de Tsunamis del Pacífico, pero no hubo tsunamis significativos. Una manera de reducir las falsas alarmas es combinar los datos técnicos con otros indicadores locales fiables sobre los peligros (comportamiento animal o cambios en la vegetación), para verificar los modelos científicos de amenazas. </w:t>
      </w:r>
    </w:p>
    <w:p w:rsidR="00406CAE" w:rsidRDefault="00406CAE" w:rsidP="00455FC7">
      <w:pPr>
        <w:ind w:left="718"/>
        <w:jc w:val="both"/>
        <w:rPr>
          <w:rFonts w:ascii="Times New Roman" w:hAnsi="Times New Roman"/>
          <w:sz w:val="22"/>
          <w:lang w:val="es-ES_tradnl"/>
        </w:rPr>
      </w:pPr>
    </w:p>
    <w:p w:rsidR="001203FA" w:rsidRDefault="001203FA" w:rsidP="00AD78F4">
      <w:pPr>
        <w:numPr>
          <w:ilvl w:val="1"/>
          <w:numId w:val="24"/>
        </w:numPr>
        <w:jc w:val="both"/>
        <w:rPr>
          <w:rFonts w:ascii="Times New Roman" w:hAnsi="Times New Roman"/>
          <w:sz w:val="22"/>
          <w:lang w:val="es-ES_tradnl"/>
        </w:rPr>
      </w:pPr>
      <w:r w:rsidRPr="001203FA">
        <w:rPr>
          <w:rFonts w:ascii="Times New Roman" w:hAnsi="Times New Roman"/>
          <w:sz w:val="22"/>
          <w:lang w:val="es-ES_tradnl"/>
        </w:rPr>
        <w:t xml:space="preserve">En materia de inundaciones, es importante destacar que los beneficios de las previsiones dependen en gran medida y de manera no lineal de su precisión y la confianza de la población. Por ejemplo, si fuera posible predecir exactamente las riadas, incluyendo su ubicación, sería posible evacuar planificadamente las zonas de riesgo y reducir las pérdidas humanas a cero sin costosas inversiones en protección contra inundaciones. Pero la decisión de evacuar no se suele efectuar si la probabilidad de falsa alarma es demasiado alta (o si el área de advertencia es demasiado grande). Frente algunas evacuaciones innecesarias la confianza en el sistema de alerta puede desaparecer y con ello se convierte en inútil. Este problema se ilustra con el caso de Nueva Orleáns, que había sido evacuada dos veces innecesariamente (por huracán George en 1998 e Ivan en 2004), lo que determinó que fuera más difícil convencer a los habitantes a abandonar la ciudad antes del huracán Katrina. Si el riesgo de falsa alarma se vuelve lo suficientemente bajo como para crear y mantener la confianza y permitir medidas significativas de prevención ante los desastres, una mejora limitada en la precisión de las previsiones de este modo puede dar lugar a un  aumento de su valor social.  </w:t>
      </w:r>
    </w:p>
    <w:p w:rsidR="00AF3017" w:rsidRPr="001203FA" w:rsidRDefault="00AF3017" w:rsidP="00046E2C">
      <w:pPr>
        <w:ind w:left="718"/>
        <w:jc w:val="both"/>
        <w:rPr>
          <w:rFonts w:ascii="Times New Roman" w:hAnsi="Times New Roman"/>
          <w:sz w:val="22"/>
          <w:lang w:val="es-ES_tradnl"/>
        </w:rPr>
      </w:pPr>
      <w:r w:rsidRPr="00FA218A">
        <w:rPr>
          <w:rFonts w:ascii="Times New Roman" w:hAnsi="Times New Roman"/>
          <w:b/>
          <w:lang w:val="es-AR"/>
        </w:rPr>
        <w:t xml:space="preserve">Tabla </w:t>
      </w:r>
      <w:r w:rsidR="00081A23" w:rsidRPr="00FA218A">
        <w:rPr>
          <w:rFonts w:ascii="Times New Roman" w:hAnsi="Times New Roman"/>
          <w:b/>
        </w:rPr>
        <w:fldChar w:fldCharType="begin"/>
      </w:r>
      <w:r w:rsidRPr="00FA218A">
        <w:rPr>
          <w:rFonts w:ascii="Times New Roman" w:hAnsi="Times New Roman"/>
          <w:b/>
          <w:lang w:val="es-AR"/>
        </w:rPr>
        <w:instrText xml:space="preserve"> SEQ Tabla \* ARABIC </w:instrText>
      </w:r>
      <w:r w:rsidR="00081A23" w:rsidRPr="00FA218A">
        <w:rPr>
          <w:rFonts w:ascii="Times New Roman" w:hAnsi="Times New Roman"/>
          <w:b/>
        </w:rPr>
        <w:fldChar w:fldCharType="separate"/>
      </w:r>
      <w:r w:rsidR="004B1B6C">
        <w:rPr>
          <w:rFonts w:ascii="Times New Roman" w:hAnsi="Times New Roman"/>
          <w:b/>
          <w:noProof/>
          <w:lang w:val="es-AR"/>
        </w:rPr>
        <w:t>20</w:t>
      </w:r>
      <w:r w:rsidR="00081A23" w:rsidRPr="00FA218A">
        <w:rPr>
          <w:rFonts w:ascii="Times New Roman" w:hAnsi="Times New Roman"/>
          <w:b/>
        </w:rPr>
        <w:fldChar w:fldCharType="end"/>
      </w:r>
      <w:r w:rsidRPr="008B2A79">
        <w:rPr>
          <w:rFonts w:ascii="Times New Roman" w:hAnsi="Times New Roman"/>
          <w:sz w:val="22"/>
          <w:szCs w:val="22"/>
          <w:lang w:val="es-AR"/>
        </w:rPr>
        <w:t>.</w:t>
      </w:r>
      <w:r>
        <w:rPr>
          <w:rFonts w:ascii="Times New Roman" w:hAnsi="Times New Roman"/>
          <w:sz w:val="22"/>
          <w:szCs w:val="22"/>
          <w:lang w:val="es-AR"/>
        </w:rPr>
        <w:t xml:space="preserve">  </w:t>
      </w:r>
      <w:r w:rsidR="00046E2C">
        <w:rPr>
          <w:rFonts w:ascii="Times New Roman" w:hAnsi="Times New Roman"/>
          <w:sz w:val="22"/>
          <w:szCs w:val="22"/>
          <w:lang w:val="es-AR"/>
        </w:rPr>
        <w:t>Preevisión de costos por alertas fallidas de tsunami</w:t>
      </w:r>
    </w:p>
    <w:tbl>
      <w:tblPr>
        <w:tblW w:w="7700" w:type="dxa"/>
        <w:tblInd w:w="720" w:type="dxa"/>
        <w:tblCellMar>
          <w:left w:w="70" w:type="dxa"/>
          <w:right w:w="70" w:type="dxa"/>
        </w:tblCellMar>
        <w:tblLook w:val="04A0" w:firstRow="1" w:lastRow="0" w:firstColumn="1" w:lastColumn="0" w:noHBand="0" w:noVBand="1"/>
      </w:tblPr>
      <w:tblGrid>
        <w:gridCol w:w="3800"/>
        <w:gridCol w:w="1300"/>
        <w:gridCol w:w="1300"/>
        <w:gridCol w:w="1300"/>
      </w:tblGrid>
      <w:tr w:rsidR="00AF3017" w:rsidRPr="00AF3017" w:rsidTr="00455FC7">
        <w:trPr>
          <w:trHeight w:val="615"/>
        </w:trPr>
        <w:tc>
          <w:tcPr>
            <w:tcW w:w="38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F3017" w:rsidRPr="00AF3017" w:rsidRDefault="00AF3017" w:rsidP="00AF3017">
            <w:pPr>
              <w:rPr>
                <w:rFonts w:ascii="Times New Roman" w:hAnsi="Times New Roman"/>
                <w:color w:val="000000"/>
                <w:lang w:val="es-AR" w:eastAsia="es-AR"/>
              </w:rPr>
            </w:pPr>
            <w:r w:rsidRPr="00AF3017">
              <w:rPr>
                <w:rFonts w:ascii="Times New Roman" w:hAnsi="Times New Roman"/>
                <w:color w:val="000000"/>
                <w:lang w:val="es-AR" w:eastAsia="es-AR"/>
              </w:rPr>
              <w:t>Costos Alerta Fallida</w:t>
            </w:r>
          </w:p>
        </w:tc>
        <w:tc>
          <w:tcPr>
            <w:tcW w:w="1300" w:type="dxa"/>
            <w:tcBorders>
              <w:top w:val="single" w:sz="4" w:space="0" w:color="auto"/>
              <w:left w:val="nil"/>
              <w:bottom w:val="single" w:sz="4" w:space="0" w:color="auto"/>
              <w:right w:val="single" w:sz="4" w:space="0" w:color="auto"/>
            </w:tcBorders>
            <w:shd w:val="clear" w:color="000000" w:fill="FFFFFF"/>
            <w:vAlign w:val="bottom"/>
            <w:hideMark/>
          </w:tcPr>
          <w:p w:rsidR="00AF3017" w:rsidRPr="00AF3017" w:rsidRDefault="00AF3017" w:rsidP="00AF3017">
            <w:pPr>
              <w:jc w:val="center"/>
              <w:rPr>
                <w:rFonts w:ascii="Times New Roman" w:hAnsi="Times New Roman"/>
                <w:color w:val="000000"/>
                <w:lang w:val="es-AR" w:eastAsia="es-AR"/>
              </w:rPr>
            </w:pPr>
            <w:r w:rsidRPr="00AF3017">
              <w:rPr>
                <w:rFonts w:ascii="Times New Roman" w:hAnsi="Times New Roman"/>
                <w:color w:val="000000"/>
                <w:lang w:val="es-AR" w:eastAsia="es-AR"/>
              </w:rPr>
              <w:t xml:space="preserve"> Poblacion afectada </w:t>
            </w: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AF3017" w:rsidRPr="00AF3017" w:rsidRDefault="00AF3017" w:rsidP="00AF3017">
            <w:pPr>
              <w:jc w:val="center"/>
              <w:rPr>
                <w:rFonts w:ascii="Times New Roman" w:hAnsi="Times New Roman"/>
                <w:color w:val="000000"/>
                <w:lang w:val="es-AR" w:eastAsia="es-AR"/>
              </w:rPr>
            </w:pPr>
            <w:r w:rsidRPr="00AF3017">
              <w:rPr>
                <w:rFonts w:ascii="Times New Roman" w:hAnsi="Times New Roman"/>
                <w:color w:val="000000"/>
                <w:lang w:val="es-AR" w:eastAsia="es-AR"/>
              </w:rPr>
              <w:t>Frecuencia</w:t>
            </w:r>
          </w:p>
        </w:tc>
        <w:tc>
          <w:tcPr>
            <w:tcW w:w="1300" w:type="dxa"/>
            <w:tcBorders>
              <w:top w:val="single" w:sz="4" w:space="0" w:color="auto"/>
              <w:left w:val="nil"/>
              <w:bottom w:val="single" w:sz="4" w:space="0" w:color="auto"/>
              <w:right w:val="single" w:sz="4" w:space="0" w:color="auto"/>
            </w:tcBorders>
            <w:shd w:val="clear" w:color="000000" w:fill="FFFFFF"/>
            <w:vAlign w:val="bottom"/>
            <w:hideMark/>
          </w:tcPr>
          <w:p w:rsidR="00AF3017" w:rsidRPr="00AF3017" w:rsidRDefault="00AF3017" w:rsidP="00AF3017">
            <w:pPr>
              <w:jc w:val="center"/>
              <w:rPr>
                <w:rFonts w:ascii="Times New Roman" w:hAnsi="Times New Roman"/>
                <w:color w:val="000000"/>
                <w:lang w:val="es-AR" w:eastAsia="es-AR"/>
              </w:rPr>
            </w:pPr>
            <w:r w:rsidRPr="00AF3017">
              <w:rPr>
                <w:rFonts w:ascii="Times New Roman" w:hAnsi="Times New Roman"/>
                <w:color w:val="000000"/>
                <w:lang w:val="es-AR" w:eastAsia="es-AR"/>
              </w:rPr>
              <w:t>Costo inactividad</w:t>
            </w:r>
          </w:p>
        </w:tc>
      </w:tr>
      <w:tr w:rsidR="00AF3017" w:rsidRPr="00AF3017" w:rsidTr="00455FC7">
        <w:trPr>
          <w:trHeight w:val="315"/>
        </w:trPr>
        <w:tc>
          <w:tcPr>
            <w:tcW w:w="3800" w:type="dxa"/>
            <w:tcBorders>
              <w:top w:val="nil"/>
              <w:left w:val="nil"/>
              <w:bottom w:val="nil"/>
              <w:right w:val="nil"/>
            </w:tcBorders>
            <w:shd w:val="clear" w:color="000000" w:fill="FFFFFF"/>
            <w:noWrap/>
            <w:vAlign w:val="center"/>
            <w:hideMark/>
          </w:tcPr>
          <w:p w:rsidR="00AF3017" w:rsidRPr="00455FC7" w:rsidRDefault="00081A23" w:rsidP="00AF3017">
            <w:pPr>
              <w:rPr>
                <w:rFonts w:ascii="Times New Roman" w:hAnsi="Times New Roman"/>
                <w:color w:val="000000"/>
                <w:lang w:val="es-AR" w:eastAsia="es-AR"/>
              </w:rPr>
            </w:pPr>
            <w:r w:rsidRPr="00455FC7">
              <w:rPr>
                <w:rFonts w:ascii="Times New Roman" w:hAnsi="Times New Roman"/>
                <w:color w:val="000000"/>
                <w:lang w:val="es-AR" w:eastAsia="es-AR"/>
              </w:rPr>
              <w:t>Costos económicos de actividad</w:t>
            </w:r>
          </w:p>
        </w:tc>
        <w:tc>
          <w:tcPr>
            <w:tcW w:w="1300" w:type="dxa"/>
            <w:tcBorders>
              <w:top w:val="nil"/>
              <w:left w:val="nil"/>
              <w:bottom w:val="nil"/>
              <w:right w:val="nil"/>
            </w:tcBorders>
            <w:shd w:val="clear" w:color="000000" w:fill="FFFFFF"/>
            <w:noWrap/>
            <w:vAlign w:val="center"/>
            <w:hideMark/>
          </w:tcPr>
          <w:p w:rsidR="00AF3017" w:rsidRPr="00AF3017" w:rsidRDefault="00AF3017" w:rsidP="00AF3017">
            <w:pPr>
              <w:jc w:val="center"/>
              <w:rPr>
                <w:rFonts w:ascii="Times New Roman" w:hAnsi="Times New Roman"/>
                <w:color w:val="000000"/>
                <w:lang w:val="es-AR" w:eastAsia="es-AR"/>
              </w:rPr>
            </w:pPr>
            <w:r w:rsidRPr="00AF3017">
              <w:rPr>
                <w:rFonts w:ascii="Times New Roman" w:hAnsi="Times New Roman"/>
                <w:color w:val="000000"/>
                <w:lang w:val="es-AR" w:eastAsia="es-AR"/>
              </w:rPr>
              <w:t>42.026</w:t>
            </w:r>
          </w:p>
        </w:tc>
        <w:tc>
          <w:tcPr>
            <w:tcW w:w="1300" w:type="dxa"/>
            <w:tcBorders>
              <w:top w:val="nil"/>
              <w:left w:val="nil"/>
              <w:bottom w:val="nil"/>
              <w:right w:val="nil"/>
            </w:tcBorders>
            <w:shd w:val="clear" w:color="000000" w:fill="FFFFFF"/>
            <w:noWrap/>
            <w:vAlign w:val="center"/>
            <w:hideMark/>
          </w:tcPr>
          <w:p w:rsidR="00406CAE" w:rsidRDefault="00AF3017" w:rsidP="00455FC7">
            <w:pPr>
              <w:jc w:val="center"/>
              <w:rPr>
                <w:rFonts w:ascii="Times New Roman" w:hAnsi="Times New Roman"/>
                <w:color w:val="000000"/>
                <w:lang w:val="es-AR" w:eastAsia="es-AR"/>
              </w:rPr>
            </w:pPr>
            <w:r w:rsidRPr="00AF3017">
              <w:rPr>
                <w:rFonts w:ascii="Times New Roman" w:hAnsi="Times New Roman"/>
                <w:color w:val="000000"/>
                <w:lang w:val="es-AR" w:eastAsia="es-AR"/>
              </w:rPr>
              <w:t>1 en 14 años</w:t>
            </w:r>
          </w:p>
        </w:tc>
        <w:tc>
          <w:tcPr>
            <w:tcW w:w="1300" w:type="dxa"/>
            <w:tcBorders>
              <w:top w:val="nil"/>
              <w:left w:val="nil"/>
              <w:bottom w:val="nil"/>
              <w:right w:val="nil"/>
            </w:tcBorders>
            <w:shd w:val="clear" w:color="000000" w:fill="FFFFFF"/>
            <w:noWrap/>
            <w:vAlign w:val="center"/>
            <w:hideMark/>
          </w:tcPr>
          <w:p w:rsidR="00406CAE" w:rsidRDefault="00AF3017" w:rsidP="00455FC7">
            <w:pPr>
              <w:jc w:val="center"/>
              <w:rPr>
                <w:rFonts w:ascii="Times New Roman" w:hAnsi="Times New Roman"/>
                <w:color w:val="000000"/>
                <w:lang w:val="es-AR" w:eastAsia="es-AR"/>
              </w:rPr>
            </w:pPr>
            <w:r w:rsidRPr="00AF3017">
              <w:rPr>
                <w:rFonts w:ascii="Times New Roman" w:hAnsi="Times New Roman"/>
                <w:color w:val="000000"/>
                <w:lang w:val="es-AR" w:eastAsia="es-AR"/>
              </w:rPr>
              <w:t>476.195</w:t>
            </w:r>
          </w:p>
        </w:tc>
      </w:tr>
      <w:tr w:rsidR="00AF3017" w:rsidRPr="00AF3017" w:rsidTr="00455FC7">
        <w:trPr>
          <w:trHeight w:val="315"/>
        </w:trPr>
        <w:tc>
          <w:tcPr>
            <w:tcW w:w="3800" w:type="dxa"/>
            <w:tcBorders>
              <w:top w:val="nil"/>
              <w:left w:val="nil"/>
              <w:bottom w:val="nil"/>
              <w:right w:val="nil"/>
            </w:tcBorders>
            <w:shd w:val="clear" w:color="000000" w:fill="FFFFFF"/>
            <w:noWrap/>
            <w:vAlign w:val="center"/>
            <w:hideMark/>
          </w:tcPr>
          <w:p w:rsidR="00AF3017" w:rsidRPr="00455FC7" w:rsidRDefault="00081A23" w:rsidP="00AF3017">
            <w:pPr>
              <w:rPr>
                <w:rFonts w:ascii="Times New Roman" w:hAnsi="Times New Roman"/>
                <w:color w:val="000000"/>
                <w:lang w:val="es-AR" w:eastAsia="es-AR"/>
              </w:rPr>
            </w:pPr>
            <w:r w:rsidRPr="00455FC7">
              <w:rPr>
                <w:rFonts w:ascii="Times New Roman" w:hAnsi="Times New Roman"/>
                <w:color w:val="000000"/>
                <w:lang w:val="es-AR" w:eastAsia="es-AR"/>
              </w:rPr>
              <w:t>Costo de gestión y movilización Gobierno</w:t>
            </w:r>
          </w:p>
        </w:tc>
        <w:tc>
          <w:tcPr>
            <w:tcW w:w="1300" w:type="dxa"/>
            <w:tcBorders>
              <w:top w:val="nil"/>
              <w:left w:val="nil"/>
              <w:bottom w:val="nil"/>
              <w:right w:val="nil"/>
            </w:tcBorders>
            <w:shd w:val="clear" w:color="000000" w:fill="FFFFFF"/>
            <w:noWrap/>
            <w:vAlign w:val="center"/>
            <w:hideMark/>
          </w:tcPr>
          <w:p w:rsidR="00AF3017" w:rsidRPr="00AF3017" w:rsidRDefault="00AF3017" w:rsidP="00AF3017">
            <w:pPr>
              <w:jc w:val="center"/>
              <w:rPr>
                <w:rFonts w:ascii="Times New Roman" w:hAnsi="Times New Roman"/>
                <w:color w:val="000000"/>
                <w:lang w:val="es-AR" w:eastAsia="es-AR"/>
              </w:rPr>
            </w:pPr>
            <w:r w:rsidRPr="00AF3017">
              <w:rPr>
                <w:rFonts w:ascii="Times New Roman" w:hAnsi="Times New Roman"/>
                <w:color w:val="000000"/>
                <w:lang w:val="es-AR" w:eastAsia="es-AR"/>
              </w:rPr>
              <w:t>-</w:t>
            </w:r>
          </w:p>
        </w:tc>
        <w:tc>
          <w:tcPr>
            <w:tcW w:w="1300" w:type="dxa"/>
            <w:tcBorders>
              <w:top w:val="nil"/>
              <w:left w:val="nil"/>
              <w:bottom w:val="nil"/>
              <w:right w:val="nil"/>
            </w:tcBorders>
            <w:shd w:val="clear" w:color="000000" w:fill="FFFFFF"/>
            <w:noWrap/>
            <w:vAlign w:val="center"/>
            <w:hideMark/>
          </w:tcPr>
          <w:p w:rsidR="00406CAE" w:rsidRDefault="00406CAE" w:rsidP="00455FC7">
            <w:pPr>
              <w:jc w:val="center"/>
              <w:rPr>
                <w:rFonts w:ascii="Times New Roman" w:hAnsi="Times New Roman"/>
                <w:color w:val="000000"/>
                <w:lang w:val="es-AR" w:eastAsia="es-AR"/>
              </w:rPr>
            </w:pPr>
          </w:p>
        </w:tc>
        <w:tc>
          <w:tcPr>
            <w:tcW w:w="1300" w:type="dxa"/>
            <w:tcBorders>
              <w:top w:val="nil"/>
              <w:left w:val="nil"/>
              <w:bottom w:val="nil"/>
              <w:right w:val="nil"/>
            </w:tcBorders>
            <w:shd w:val="clear" w:color="000000" w:fill="FFFFFF"/>
            <w:noWrap/>
            <w:vAlign w:val="center"/>
            <w:hideMark/>
          </w:tcPr>
          <w:p w:rsidR="00406CAE" w:rsidRDefault="00AF3017" w:rsidP="00455FC7">
            <w:pPr>
              <w:jc w:val="center"/>
              <w:rPr>
                <w:rFonts w:ascii="Times New Roman" w:hAnsi="Times New Roman"/>
                <w:color w:val="000000"/>
                <w:lang w:val="es-AR" w:eastAsia="es-AR"/>
              </w:rPr>
            </w:pPr>
            <w:r w:rsidRPr="00AF3017">
              <w:rPr>
                <w:rFonts w:ascii="Times New Roman" w:hAnsi="Times New Roman"/>
                <w:color w:val="000000"/>
                <w:lang w:val="es-AR" w:eastAsia="es-AR"/>
              </w:rPr>
              <w:t>100.000</w:t>
            </w:r>
          </w:p>
        </w:tc>
      </w:tr>
      <w:tr w:rsidR="00AF3017" w:rsidRPr="00AF3017" w:rsidTr="00455FC7">
        <w:trPr>
          <w:trHeight w:val="315"/>
        </w:trPr>
        <w:tc>
          <w:tcPr>
            <w:tcW w:w="3800" w:type="dxa"/>
            <w:tcBorders>
              <w:top w:val="nil"/>
              <w:left w:val="nil"/>
              <w:bottom w:val="nil"/>
              <w:right w:val="nil"/>
            </w:tcBorders>
            <w:shd w:val="clear" w:color="000000" w:fill="FFFFFF"/>
            <w:noWrap/>
            <w:vAlign w:val="center"/>
            <w:hideMark/>
          </w:tcPr>
          <w:p w:rsidR="00AF3017" w:rsidRPr="00455FC7" w:rsidRDefault="00081A23" w:rsidP="00AF3017">
            <w:pPr>
              <w:rPr>
                <w:rFonts w:ascii="Times New Roman" w:hAnsi="Times New Roman"/>
                <w:color w:val="000000"/>
                <w:lang w:val="es-AR" w:eastAsia="es-AR"/>
              </w:rPr>
            </w:pPr>
            <w:r w:rsidRPr="00455FC7">
              <w:rPr>
                <w:rFonts w:ascii="Times New Roman" w:hAnsi="Times New Roman"/>
                <w:color w:val="000000"/>
                <w:lang w:val="es-AR" w:eastAsia="es-AR"/>
              </w:rPr>
              <w:t xml:space="preserve">Costo total </w:t>
            </w:r>
            <w:r w:rsidR="00046E2C">
              <w:rPr>
                <w:rFonts w:ascii="Times New Roman" w:hAnsi="Times New Roman"/>
                <w:color w:val="000000"/>
                <w:lang w:val="es-AR" w:eastAsia="es-AR"/>
              </w:rPr>
              <w:t xml:space="preserve">de cada </w:t>
            </w:r>
            <w:r w:rsidRPr="00455FC7">
              <w:rPr>
                <w:rFonts w:ascii="Times New Roman" w:hAnsi="Times New Roman"/>
                <w:color w:val="000000"/>
                <w:lang w:val="es-AR" w:eastAsia="es-AR"/>
              </w:rPr>
              <w:t>alerta fallida</w:t>
            </w:r>
          </w:p>
        </w:tc>
        <w:tc>
          <w:tcPr>
            <w:tcW w:w="1300" w:type="dxa"/>
            <w:tcBorders>
              <w:top w:val="nil"/>
              <w:left w:val="nil"/>
              <w:bottom w:val="nil"/>
              <w:right w:val="nil"/>
            </w:tcBorders>
            <w:shd w:val="clear" w:color="000000" w:fill="FFFFFF"/>
            <w:noWrap/>
            <w:vAlign w:val="center"/>
            <w:hideMark/>
          </w:tcPr>
          <w:p w:rsidR="00AF3017" w:rsidRPr="00AF3017" w:rsidRDefault="00AF3017" w:rsidP="00AF3017">
            <w:pPr>
              <w:jc w:val="center"/>
              <w:rPr>
                <w:rFonts w:ascii="Times New Roman" w:hAnsi="Times New Roman"/>
                <w:color w:val="000000"/>
                <w:lang w:val="es-AR" w:eastAsia="es-AR"/>
              </w:rPr>
            </w:pPr>
          </w:p>
        </w:tc>
        <w:tc>
          <w:tcPr>
            <w:tcW w:w="1300" w:type="dxa"/>
            <w:tcBorders>
              <w:top w:val="nil"/>
              <w:left w:val="nil"/>
              <w:bottom w:val="nil"/>
              <w:right w:val="nil"/>
            </w:tcBorders>
            <w:shd w:val="clear" w:color="000000" w:fill="FFFFFF"/>
            <w:noWrap/>
            <w:vAlign w:val="center"/>
            <w:hideMark/>
          </w:tcPr>
          <w:p w:rsidR="00406CAE" w:rsidRDefault="00406CAE" w:rsidP="00455FC7">
            <w:pPr>
              <w:jc w:val="center"/>
              <w:rPr>
                <w:rFonts w:ascii="Times New Roman" w:hAnsi="Times New Roman"/>
                <w:color w:val="000000"/>
                <w:lang w:val="es-AR" w:eastAsia="es-AR"/>
              </w:rPr>
            </w:pPr>
          </w:p>
        </w:tc>
        <w:tc>
          <w:tcPr>
            <w:tcW w:w="1300" w:type="dxa"/>
            <w:tcBorders>
              <w:top w:val="nil"/>
              <w:left w:val="nil"/>
              <w:bottom w:val="nil"/>
              <w:right w:val="nil"/>
            </w:tcBorders>
            <w:shd w:val="clear" w:color="000000" w:fill="FFFFFF"/>
            <w:noWrap/>
            <w:vAlign w:val="center"/>
            <w:hideMark/>
          </w:tcPr>
          <w:p w:rsidR="00406CAE" w:rsidRDefault="00AF3017" w:rsidP="00455FC7">
            <w:pPr>
              <w:jc w:val="center"/>
              <w:rPr>
                <w:rFonts w:ascii="Times New Roman" w:hAnsi="Times New Roman"/>
                <w:color w:val="000000"/>
                <w:lang w:val="es-AR" w:eastAsia="es-AR"/>
              </w:rPr>
            </w:pPr>
            <w:r w:rsidRPr="00AF3017">
              <w:rPr>
                <w:rFonts w:ascii="Times New Roman" w:hAnsi="Times New Roman"/>
                <w:color w:val="000000"/>
                <w:lang w:val="es-AR" w:eastAsia="es-AR"/>
              </w:rPr>
              <w:t>576.195</w:t>
            </w:r>
          </w:p>
        </w:tc>
      </w:tr>
    </w:tbl>
    <w:p w:rsidR="00406CAE" w:rsidRDefault="00406CAE" w:rsidP="00455FC7">
      <w:pPr>
        <w:jc w:val="both"/>
        <w:rPr>
          <w:rFonts w:ascii="Times New Roman" w:hAnsi="Times New Roman"/>
          <w:sz w:val="22"/>
          <w:lang w:val="es-ES_tradnl"/>
        </w:rPr>
      </w:pPr>
    </w:p>
    <w:p w:rsidR="001203FA" w:rsidRPr="001203FA" w:rsidRDefault="001203FA" w:rsidP="00AD78F4">
      <w:pPr>
        <w:numPr>
          <w:ilvl w:val="1"/>
          <w:numId w:val="24"/>
        </w:numPr>
        <w:jc w:val="both"/>
        <w:rPr>
          <w:rFonts w:ascii="Times New Roman" w:hAnsi="Times New Roman"/>
          <w:sz w:val="22"/>
          <w:lang w:val="es-ES_tradnl"/>
        </w:rPr>
      </w:pPr>
      <w:r w:rsidRPr="001203FA">
        <w:rPr>
          <w:rFonts w:ascii="Times New Roman" w:hAnsi="Times New Roman"/>
          <w:sz w:val="22"/>
          <w:lang w:val="es-ES_tradnl"/>
        </w:rPr>
        <w:t xml:space="preserve">A los fines de calcular un costo adicional eventual (anunciar una alerta que genera movimiento de personas y recursos pero luego no ocurre  el desastre) se consideran dos aspectos. Por una parte existe el costo técnico ligado al  Programa de acciones complementarias que se asocian al alerta  determinado por su alcance (personas movilizadas con respecto a la dimensión de las poblaciones potencialmente bajo </w:t>
      </w:r>
      <w:r w:rsidRPr="001203FA">
        <w:rPr>
          <w:rFonts w:ascii="Times New Roman" w:hAnsi="Times New Roman"/>
          <w:sz w:val="22"/>
          <w:lang w:val="es-ES_tradnl"/>
        </w:rPr>
        <w:lastRenderedPageBreak/>
        <w:t>amenaza), los gastos efectivamente ligados a recursos terrestres y aéreos, costos  de activación de utilización de albergues y refugios temporales,  así como otros costos y conclusiones generales</w:t>
      </w:r>
      <w:r w:rsidR="00046E2C">
        <w:rPr>
          <w:rFonts w:ascii="Times New Roman" w:hAnsi="Times New Roman"/>
          <w:sz w:val="22"/>
          <w:lang w:val="es-ES_tradnl"/>
        </w:rPr>
        <w:t xml:space="preserve"> (estos gastos se han calculado en función de actividades de simulacro efectuadas previamente por el GdE en las áreas de interés, las cuales alcanzaron entre US$ 50.000 y 100.000 por ejercicio)</w:t>
      </w:r>
      <w:r w:rsidRPr="001203FA">
        <w:rPr>
          <w:rFonts w:ascii="Times New Roman" w:hAnsi="Times New Roman"/>
          <w:sz w:val="22"/>
          <w:lang w:val="es-ES_tradnl"/>
        </w:rPr>
        <w:t>. Adicionalmente, se computa una pérdida económica en términos de Costo de Oportunidad, en razón de que las personas movilizadas dejaron de realizar sus actividades productivas habituales. Se ha estimado el número de  alertas fallidas en función de la detección de sismos</w:t>
      </w:r>
      <w:r w:rsidR="00046E2C">
        <w:rPr>
          <w:rFonts w:ascii="Times New Roman" w:hAnsi="Times New Roman"/>
          <w:sz w:val="22"/>
          <w:lang w:val="es-ES_tradnl"/>
        </w:rPr>
        <w:t xml:space="preserve"> del último siglo</w:t>
      </w:r>
      <w:r w:rsidRPr="001203FA">
        <w:rPr>
          <w:rFonts w:ascii="Times New Roman" w:hAnsi="Times New Roman"/>
          <w:sz w:val="22"/>
          <w:lang w:val="es-ES_tradnl"/>
        </w:rPr>
        <w:t xml:space="preserve"> (algunos podrían no traer un tsunami pero probablemente disparen el protocolo de advertencia</w:t>
      </w:r>
      <w:r w:rsidR="00046E2C">
        <w:rPr>
          <w:rFonts w:ascii="Times New Roman" w:hAnsi="Times New Roman"/>
          <w:sz w:val="22"/>
          <w:lang w:val="es-ES_tradnl"/>
        </w:rPr>
        <w:t>)</w:t>
      </w:r>
      <w:r w:rsidRPr="001203FA">
        <w:rPr>
          <w:rFonts w:ascii="Times New Roman" w:hAnsi="Times New Roman"/>
          <w:sz w:val="22"/>
          <w:lang w:val="es-ES_tradnl"/>
        </w:rPr>
        <w:t xml:space="preserve">.  </w:t>
      </w:r>
      <w:r w:rsidR="00046E2C">
        <w:rPr>
          <w:rFonts w:ascii="Times New Roman" w:hAnsi="Times New Roman"/>
          <w:sz w:val="22"/>
          <w:lang w:val="es-ES_tradnl"/>
        </w:rPr>
        <w:t>Es decir que se considera que estos costos serán soportados por la economía o incurridos por el GdE una vez cada 14 años.</w:t>
      </w:r>
    </w:p>
    <w:p w:rsidR="00406CAE" w:rsidRDefault="00406CAE" w:rsidP="00455FC7">
      <w:pPr>
        <w:ind w:left="718"/>
        <w:jc w:val="both"/>
        <w:rPr>
          <w:rFonts w:ascii="Times New Roman" w:hAnsi="Times New Roman"/>
          <w:sz w:val="22"/>
          <w:lang w:val="es-ES_tradnl"/>
        </w:rPr>
      </w:pPr>
    </w:p>
    <w:p w:rsidR="00150F38" w:rsidRDefault="000513F8" w:rsidP="00AD78F4">
      <w:pPr>
        <w:numPr>
          <w:ilvl w:val="1"/>
          <w:numId w:val="24"/>
        </w:numPr>
        <w:jc w:val="both"/>
        <w:rPr>
          <w:rFonts w:ascii="Times New Roman" w:hAnsi="Times New Roman"/>
          <w:sz w:val="22"/>
          <w:lang w:val="es-ES_tradnl"/>
        </w:rPr>
      </w:pPr>
      <w:r>
        <w:rPr>
          <w:rFonts w:ascii="Times New Roman" w:hAnsi="Times New Roman"/>
          <w:sz w:val="22"/>
          <w:lang w:val="es-ES_tradnl"/>
        </w:rPr>
        <w:t>Asimismo, se han estimado los costos de operación de la Unidad Ejecutora del Programa y los pertinentes a tareas de fiscalización y control externo (incluyendo auditorías, informes de Evaluación de Medio Término</w:t>
      </w:r>
      <w:r w:rsidR="00C7489D">
        <w:rPr>
          <w:rFonts w:ascii="Times New Roman" w:hAnsi="Times New Roman"/>
          <w:sz w:val="22"/>
          <w:lang w:val="es-ES_tradnl"/>
        </w:rPr>
        <w:t xml:space="preserve">  y</w:t>
      </w:r>
      <w:r>
        <w:rPr>
          <w:rFonts w:ascii="Times New Roman" w:hAnsi="Times New Roman"/>
          <w:sz w:val="22"/>
          <w:lang w:val="es-ES_tradnl"/>
        </w:rPr>
        <w:t xml:space="preserve"> Evaluación Final) los cuales han sido incorporado en los Flujos de Fondos del Programa a los efectos de est</w:t>
      </w:r>
      <w:r w:rsidR="00993854">
        <w:rPr>
          <w:rFonts w:ascii="Times New Roman" w:hAnsi="Times New Roman"/>
          <w:sz w:val="22"/>
          <w:lang w:val="es-ES_tradnl"/>
        </w:rPr>
        <w:t>imar los indicadores de retorno.</w:t>
      </w:r>
    </w:p>
    <w:p w:rsidR="00AE08BC" w:rsidRPr="00AE08BC" w:rsidRDefault="0004749C" w:rsidP="008005CB">
      <w:pPr>
        <w:ind w:left="718"/>
        <w:jc w:val="both"/>
        <w:rPr>
          <w:lang w:val="es-ES_tradnl"/>
        </w:rPr>
      </w:pPr>
      <w:r>
        <w:rPr>
          <w:rFonts w:ascii="Times New Roman" w:hAnsi="Times New Roman"/>
          <w:sz w:val="22"/>
          <w:szCs w:val="22"/>
          <w:lang w:val="es-AR"/>
        </w:rPr>
        <w:t xml:space="preserve"> </w:t>
      </w:r>
    </w:p>
    <w:p w:rsidR="000513F8" w:rsidRPr="00EC1B3E" w:rsidRDefault="000513F8" w:rsidP="000513F8">
      <w:pPr>
        <w:rPr>
          <w:lang w:val="es-ES_tradnl"/>
        </w:rPr>
      </w:pPr>
    </w:p>
    <w:p w:rsidR="00B85393" w:rsidRDefault="00B85393">
      <w:pPr>
        <w:rPr>
          <w:rFonts w:ascii="Times New Roman" w:hAnsi="Times New Roman"/>
          <w:b/>
          <w:bCs/>
          <w:i/>
          <w:iCs/>
          <w:sz w:val="22"/>
          <w:szCs w:val="22"/>
          <w:lang w:val="es-ES_tradnl"/>
        </w:rPr>
      </w:pPr>
      <w:bookmarkStart w:id="123" w:name="_Toc296036126"/>
    </w:p>
    <w:p w:rsidR="000513F8" w:rsidRDefault="000513F8" w:rsidP="00C95815">
      <w:pPr>
        <w:pStyle w:val="Heading1"/>
        <w:numPr>
          <w:ilvl w:val="0"/>
          <w:numId w:val="7"/>
        </w:numPr>
        <w:jc w:val="left"/>
      </w:pPr>
      <w:bookmarkStart w:id="124" w:name="_Toc465929627"/>
      <w:bookmarkStart w:id="125" w:name="_Toc468199837"/>
      <w:r>
        <w:t>Retorno Económico del Programa</w:t>
      </w:r>
      <w:bookmarkEnd w:id="123"/>
      <w:bookmarkEnd w:id="124"/>
      <w:bookmarkEnd w:id="125"/>
    </w:p>
    <w:p w:rsidR="000513F8" w:rsidRDefault="000513F8" w:rsidP="000513F8">
      <w:pPr>
        <w:pStyle w:val="Heading3"/>
        <w:rPr>
          <w:lang w:val="es-ES_tradnl"/>
        </w:rPr>
      </w:pPr>
      <w:bookmarkStart w:id="126" w:name="_Resultados_de_la"/>
      <w:bookmarkStart w:id="127" w:name="_Toc296036127"/>
      <w:bookmarkStart w:id="128" w:name="_Toc465929628"/>
      <w:bookmarkStart w:id="129" w:name="_Toc468199838"/>
      <w:bookmarkEnd w:id="126"/>
      <w:r>
        <w:rPr>
          <w:lang w:val="es-ES_tradnl"/>
        </w:rPr>
        <w:t xml:space="preserve">Resultados de la </w:t>
      </w:r>
      <w:r w:rsidR="00137636">
        <w:rPr>
          <w:lang w:val="es-ES_tradnl"/>
        </w:rPr>
        <w:t>evaluación</w:t>
      </w:r>
      <w:r>
        <w:rPr>
          <w:lang w:val="es-ES_tradnl"/>
        </w:rPr>
        <w:t>.</w:t>
      </w:r>
      <w:bookmarkEnd w:id="127"/>
      <w:bookmarkEnd w:id="128"/>
      <w:bookmarkEnd w:id="129"/>
    </w:p>
    <w:p w:rsidR="000513F8" w:rsidRPr="001B601F" w:rsidRDefault="000513F8" w:rsidP="00C93F2E">
      <w:pPr>
        <w:pStyle w:val="ListParagraph"/>
        <w:ind w:left="432"/>
        <w:jc w:val="both"/>
        <w:rPr>
          <w:rFonts w:ascii="Times New Roman" w:hAnsi="Times New Roman"/>
          <w:vanish/>
          <w:sz w:val="22"/>
          <w:szCs w:val="22"/>
          <w:lang w:val="es-AR"/>
        </w:rPr>
      </w:pPr>
    </w:p>
    <w:p w:rsidR="000513F8" w:rsidRDefault="000513F8" w:rsidP="000513F8">
      <w:pPr>
        <w:ind w:left="718"/>
        <w:jc w:val="both"/>
        <w:rPr>
          <w:rFonts w:ascii="Times New Roman" w:hAnsi="Times New Roman"/>
          <w:sz w:val="22"/>
          <w:szCs w:val="22"/>
          <w:lang w:val="es-AR"/>
        </w:rPr>
      </w:pPr>
    </w:p>
    <w:p w:rsidR="00150F38" w:rsidRDefault="00150F38" w:rsidP="00AD78F4">
      <w:pPr>
        <w:pStyle w:val="ListParagraph"/>
        <w:numPr>
          <w:ilvl w:val="0"/>
          <w:numId w:val="24"/>
        </w:numPr>
        <w:jc w:val="both"/>
        <w:rPr>
          <w:rFonts w:ascii="Times New Roman" w:hAnsi="Times New Roman"/>
          <w:vanish/>
          <w:sz w:val="22"/>
          <w:szCs w:val="22"/>
          <w:lang w:val="es-ES_tradnl"/>
        </w:rPr>
      </w:pPr>
    </w:p>
    <w:p w:rsidR="00C02BEC" w:rsidRPr="00C02BEC" w:rsidRDefault="00C02BEC" w:rsidP="00AD78F4">
      <w:pPr>
        <w:numPr>
          <w:ilvl w:val="1"/>
          <w:numId w:val="24"/>
        </w:numPr>
        <w:jc w:val="both"/>
        <w:rPr>
          <w:rFonts w:ascii="Times New Roman" w:hAnsi="Times New Roman"/>
          <w:sz w:val="22"/>
          <w:szCs w:val="22"/>
          <w:lang w:val="es-AR"/>
        </w:rPr>
      </w:pPr>
      <w:r w:rsidRPr="00C02BEC">
        <w:rPr>
          <w:rFonts w:ascii="Times New Roman" w:hAnsi="Times New Roman"/>
          <w:sz w:val="22"/>
          <w:szCs w:val="22"/>
          <w:lang w:val="es-AR"/>
        </w:rPr>
        <w:t xml:space="preserve">El análisis del retorno de las  inversiones en el </w:t>
      </w:r>
      <w:r w:rsidR="003C6A31">
        <w:rPr>
          <w:rFonts w:ascii="Times New Roman" w:hAnsi="Times New Roman" w:hint="eastAsia"/>
          <w:sz w:val="22"/>
          <w:szCs w:val="22"/>
          <w:lang w:val="es-AR" w:eastAsia="ja-JP"/>
        </w:rPr>
        <w:t xml:space="preserve"> Programa </w:t>
      </w:r>
      <w:r w:rsidRPr="00C02BEC">
        <w:rPr>
          <w:rFonts w:ascii="Times New Roman" w:hAnsi="Times New Roman"/>
          <w:sz w:val="22"/>
          <w:szCs w:val="22"/>
          <w:lang w:val="es-AR"/>
        </w:rPr>
        <w:t>se articula sobre los siguientes supuestos principales:</w:t>
      </w:r>
    </w:p>
    <w:p w:rsidR="00C02BEC" w:rsidRPr="00C02BEC" w:rsidRDefault="00C02BEC" w:rsidP="00C95815">
      <w:pPr>
        <w:numPr>
          <w:ilvl w:val="1"/>
          <w:numId w:val="14"/>
        </w:numPr>
        <w:jc w:val="both"/>
        <w:rPr>
          <w:rFonts w:ascii="Times New Roman" w:hAnsi="Times New Roman"/>
          <w:sz w:val="22"/>
          <w:szCs w:val="22"/>
          <w:lang w:val="es-AR"/>
        </w:rPr>
      </w:pPr>
      <w:r w:rsidRPr="00C02BEC">
        <w:rPr>
          <w:rFonts w:ascii="Times New Roman" w:hAnsi="Times New Roman"/>
          <w:sz w:val="22"/>
          <w:szCs w:val="22"/>
          <w:lang w:val="es-AR"/>
        </w:rPr>
        <w:t>La probabilidad de ocurrencia de</w:t>
      </w:r>
      <w:r w:rsidR="00416632">
        <w:rPr>
          <w:rFonts w:ascii="Times New Roman" w:hAnsi="Times New Roman"/>
          <w:sz w:val="22"/>
          <w:szCs w:val="22"/>
          <w:lang w:val="es-AR"/>
        </w:rPr>
        <w:t xml:space="preserve"> </w:t>
      </w:r>
      <w:r w:rsidR="00B85393">
        <w:rPr>
          <w:rFonts w:ascii="Times New Roman" w:hAnsi="Times New Roman"/>
          <w:sz w:val="22"/>
          <w:szCs w:val="22"/>
          <w:lang w:val="es-AR"/>
        </w:rPr>
        <w:t xml:space="preserve">un tsunami, amenaza </w:t>
      </w:r>
      <w:r w:rsidRPr="00C02BEC">
        <w:rPr>
          <w:rFonts w:ascii="Times New Roman" w:hAnsi="Times New Roman"/>
          <w:sz w:val="22"/>
          <w:szCs w:val="22"/>
          <w:lang w:val="es-AR"/>
        </w:rPr>
        <w:t>sobre l</w:t>
      </w:r>
      <w:r w:rsidR="00B85393">
        <w:rPr>
          <w:rFonts w:ascii="Times New Roman" w:hAnsi="Times New Roman"/>
          <w:sz w:val="22"/>
          <w:szCs w:val="22"/>
          <w:lang w:val="es-AR"/>
        </w:rPr>
        <w:t>a</w:t>
      </w:r>
      <w:r w:rsidRPr="00C02BEC">
        <w:rPr>
          <w:rFonts w:ascii="Times New Roman" w:hAnsi="Times New Roman"/>
          <w:sz w:val="22"/>
          <w:szCs w:val="22"/>
          <w:lang w:val="es-AR"/>
        </w:rPr>
        <w:t xml:space="preserve"> cual opera el </w:t>
      </w:r>
      <w:r w:rsidR="003C6A31">
        <w:rPr>
          <w:rFonts w:ascii="Times New Roman" w:hAnsi="Times New Roman" w:hint="eastAsia"/>
          <w:sz w:val="22"/>
          <w:szCs w:val="22"/>
          <w:lang w:val="es-AR" w:eastAsia="ja-JP"/>
        </w:rPr>
        <w:t xml:space="preserve"> Programa</w:t>
      </w:r>
      <w:r w:rsidRPr="00C02BEC">
        <w:rPr>
          <w:rFonts w:ascii="Times New Roman" w:hAnsi="Times New Roman"/>
          <w:sz w:val="22"/>
          <w:szCs w:val="22"/>
          <w:lang w:val="es-AR"/>
        </w:rPr>
        <w:t>,  conforme a l</w:t>
      </w:r>
      <w:r w:rsidR="00B85393">
        <w:rPr>
          <w:rFonts w:ascii="Times New Roman" w:hAnsi="Times New Roman"/>
          <w:sz w:val="22"/>
          <w:szCs w:val="22"/>
          <w:lang w:val="es-AR"/>
        </w:rPr>
        <w:t xml:space="preserve">as referencias </w:t>
      </w:r>
      <w:r w:rsidRPr="00C02BEC">
        <w:rPr>
          <w:rFonts w:ascii="Times New Roman" w:hAnsi="Times New Roman"/>
          <w:sz w:val="22"/>
          <w:szCs w:val="22"/>
          <w:lang w:val="es-AR"/>
        </w:rPr>
        <w:t xml:space="preserve"> técnic</w:t>
      </w:r>
      <w:r w:rsidR="00B85393">
        <w:rPr>
          <w:rFonts w:ascii="Times New Roman" w:hAnsi="Times New Roman"/>
          <w:sz w:val="22"/>
          <w:szCs w:val="22"/>
          <w:lang w:val="es-AR"/>
        </w:rPr>
        <w:t>as,</w:t>
      </w:r>
      <w:r w:rsidRPr="00C02BEC">
        <w:rPr>
          <w:rFonts w:ascii="Times New Roman" w:hAnsi="Times New Roman"/>
          <w:sz w:val="22"/>
          <w:szCs w:val="22"/>
          <w:lang w:val="es-AR"/>
        </w:rPr>
        <w:t xml:space="preserve"> se ubica en</w:t>
      </w:r>
      <w:r w:rsidR="00B85393">
        <w:rPr>
          <w:rFonts w:ascii="Times New Roman" w:hAnsi="Times New Roman"/>
          <w:sz w:val="22"/>
          <w:szCs w:val="22"/>
          <w:lang w:val="es-AR"/>
        </w:rPr>
        <w:t xml:space="preserve"> un 10%</w:t>
      </w:r>
      <w:r w:rsidRPr="00C02BEC">
        <w:rPr>
          <w:rFonts w:ascii="Times New Roman" w:hAnsi="Times New Roman"/>
          <w:sz w:val="22"/>
          <w:szCs w:val="22"/>
          <w:lang w:val="es-AR"/>
        </w:rPr>
        <w:t xml:space="preserve"> para </w:t>
      </w:r>
      <w:r w:rsidR="00557633">
        <w:rPr>
          <w:rFonts w:ascii="Times New Roman" w:hAnsi="Times New Roman"/>
          <w:sz w:val="22"/>
          <w:szCs w:val="22"/>
          <w:lang w:val="es-AR"/>
        </w:rPr>
        <w:t>un</w:t>
      </w:r>
      <w:r w:rsidR="00B85393">
        <w:rPr>
          <w:rFonts w:ascii="Times New Roman" w:hAnsi="Times New Roman"/>
          <w:sz w:val="22"/>
          <w:szCs w:val="22"/>
          <w:lang w:val="es-AR"/>
        </w:rPr>
        <w:t xml:space="preserve"> período de 5</w:t>
      </w:r>
      <w:r w:rsidRPr="00C02BEC">
        <w:rPr>
          <w:rFonts w:ascii="Times New Roman" w:hAnsi="Times New Roman"/>
          <w:sz w:val="22"/>
          <w:szCs w:val="22"/>
          <w:lang w:val="es-AR"/>
        </w:rPr>
        <w:t>0 años.</w:t>
      </w:r>
    </w:p>
    <w:p w:rsidR="00C02BEC" w:rsidRPr="00C02BEC" w:rsidRDefault="00C02BEC" w:rsidP="00C95815">
      <w:pPr>
        <w:numPr>
          <w:ilvl w:val="1"/>
          <w:numId w:val="14"/>
        </w:numPr>
        <w:jc w:val="both"/>
        <w:rPr>
          <w:rFonts w:ascii="Times New Roman" w:hAnsi="Times New Roman"/>
          <w:sz w:val="22"/>
          <w:szCs w:val="22"/>
          <w:lang w:val="es-AR"/>
        </w:rPr>
      </w:pPr>
      <w:r w:rsidRPr="00C02BEC">
        <w:rPr>
          <w:rFonts w:ascii="Times New Roman" w:hAnsi="Times New Roman"/>
          <w:sz w:val="22"/>
          <w:szCs w:val="22"/>
          <w:lang w:val="es-AR"/>
        </w:rPr>
        <w:t>La dimensión de las áreas expuestas a las amenazas naturales engloban a 1.0</w:t>
      </w:r>
      <w:r w:rsidR="00CD4869">
        <w:rPr>
          <w:rFonts w:ascii="Times New Roman" w:hAnsi="Times New Roman"/>
          <w:sz w:val="22"/>
          <w:szCs w:val="22"/>
          <w:lang w:val="es-AR"/>
        </w:rPr>
        <w:t>39</w:t>
      </w:r>
      <w:r w:rsidRPr="00C02BEC">
        <w:rPr>
          <w:rFonts w:ascii="Times New Roman" w:hAnsi="Times New Roman"/>
          <w:sz w:val="22"/>
          <w:szCs w:val="22"/>
          <w:lang w:val="es-AR"/>
        </w:rPr>
        <w:t xml:space="preserve">.000 habitantes bajo alto </w:t>
      </w:r>
      <w:r w:rsidR="00673163" w:rsidRPr="00C02BEC">
        <w:rPr>
          <w:rFonts w:ascii="Times New Roman" w:hAnsi="Times New Roman"/>
          <w:sz w:val="22"/>
          <w:szCs w:val="22"/>
          <w:lang w:val="es-AR"/>
        </w:rPr>
        <w:t>riesgo</w:t>
      </w:r>
      <w:r w:rsidR="00673163">
        <w:rPr>
          <w:rFonts w:ascii="Times New Roman" w:hAnsi="Times New Roman"/>
          <w:sz w:val="22"/>
          <w:szCs w:val="22"/>
          <w:lang w:val="es-AR"/>
        </w:rPr>
        <w:t xml:space="preserve"> de</w:t>
      </w:r>
      <w:r w:rsidR="003874DE">
        <w:rPr>
          <w:rFonts w:ascii="Times New Roman" w:hAnsi="Times New Roman"/>
          <w:sz w:val="22"/>
          <w:szCs w:val="22"/>
          <w:lang w:val="es-AR"/>
        </w:rPr>
        <w:t xml:space="preserve"> tsunami </w:t>
      </w:r>
      <w:r w:rsidRPr="00C02BEC">
        <w:rPr>
          <w:rFonts w:ascii="Times New Roman" w:hAnsi="Times New Roman"/>
          <w:sz w:val="22"/>
          <w:szCs w:val="22"/>
          <w:lang w:val="es-AR"/>
        </w:rPr>
        <w:t xml:space="preserve"> en las </w:t>
      </w:r>
      <w:r w:rsidR="003874DE">
        <w:rPr>
          <w:rFonts w:ascii="Times New Roman" w:hAnsi="Times New Roman"/>
          <w:sz w:val="22"/>
          <w:szCs w:val="22"/>
          <w:lang w:val="es-AR"/>
        </w:rPr>
        <w:t>6 provincias de la zona costera y 721.456 pobladores expuestos a desbordamiento de ríos en las Provincias de Guayas y Manabí.</w:t>
      </w:r>
    </w:p>
    <w:p w:rsidR="00C02BEC" w:rsidRDefault="00C02BEC" w:rsidP="00C95815">
      <w:pPr>
        <w:numPr>
          <w:ilvl w:val="1"/>
          <w:numId w:val="14"/>
        </w:numPr>
        <w:jc w:val="both"/>
        <w:rPr>
          <w:rFonts w:ascii="Times New Roman" w:hAnsi="Times New Roman"/>
          <w:sz w:val="22"/>
          <w:szCs w:val="22"/>
          <w:lang w:val="es-AR"/>
        </w:rPr>
      </w:pPr>
      <w:r w:rsidRPr="00C02BEC">
        <w:rPr>
          <w:rFonts w:ascii="Times New Roman" w:hAnsi="Times New Roman"/>
          <w:sz w:val="22"/>
          <w:szCs w:val="22"/>
          <w:lang w:val="es-AR"/>
        </w:rPr>
        <w:t>Los niveles de vulnerabilidad de las regiones expuestas se consideran altos, por lo que los  impactos de los eventos planteados (</w:t>
      </w:r>
      <w:r w:rsidR="00137636">
        <w:rPr>
          <w:rFonts w:ascii="Times New Roman" w:hAnsi="Times New Roman"/>
          <w:sz w:val="22"/>
          <w:szCs w:val="22"/>
          <w:lang w:val="es-AR"/>
        </w:rPr>
        <w:t>t</w:t>
      </w:r>
      <w:r w:rsidR="00137636" w:rsidRPr="00C02BEC">
        <w:rPr>
          <w:rFonts w:ascii="Times New Roman" w:hAnsi="Times New Roman"/>
          <w:sz w:val="22"/>
          <w:szCs w:val="22"/>
          <w:lang w:val="es-AR"/>
        </w:rPr>
        <w:t xml:space="preserve">sunami  </w:t>
      </w:r>
      <w:r w:rsidRPr="00C02BEC">
        <w:rPr>
          <w:rFonts w:ascii="Times New Roman" w:hAnsi="Times New Roman"/>
          <w:sz w:val="22"/>
          <w:szCs w:val="22"/>
          <w:lang w:val="es-AR"/>
        </w:rPr>
        <w:t xml:space="preserve">y </w:t>
      </w:r>
      <w:r w:rsidR="00137636">
        <w:rPr>
          <w:rFonts w:ascii="Times New Roman" w:hAnsi="Times New Roman"/>
          <w:sz w:val="22"/>
          <w:szCs w:val="22"/>
          <w:lang w:val="es-AR"/>
        </w:rPr>
        <w:t>d</w:t>
      </w:r>
      <w:r w:rsidR="00137636" w:rsidRPr="00C02BEC">
        <w:rPr>
          <w:rFonts w:ascii="Times New Roman" w:hAnsi="Times New Roman"/>
          <w:sz w:val="22"/>
          <w:szCs w:val="22"/>
          <w:lang w:val="es-AR"/>
        </w:rPr>
        <w:t xml:space="preserve">esbordamiento </w:t>
      </w:r>
      <w:r w:rsidRPr="00C02BEC">
        <w:rPr>
          <w:rFonts w:ascii="Times New Roman" w:hAnsi="Times New Roman"/>
          <w:sz w:val="22"/>
          <w:szCs w:val="22"/>
          <w:lang w:val="es-AR"/>
        </w:rPr>
        <w:t>de r</w:t>
      </w:r>
      <w:r w:rsidR="003874DE">
        <w:rPr>
          <w:rFonts w:ascii="Times New Roman" w:hAnsi="Times New Roman"/>
          <w:sz w:val="22"/>
          <w:szCs w:val="22"/>
          <w:lang w:val="es-AR"/>
        </w:rPr>
        <w:t>íos</w:t>
      </w:r>
      <w:r w:rsidRPr="00C02BEC">
        <w:rPr>
          <w:rFonts w:ascii="Times New Roman" w:hAnsi="Times New Roman"/>
          <w:sz w:val="22"/>
          <w:szCs w:val="22"/>
          <w:lang w:val="es-AR"/>
        </w:rPr>
        <w:t>) en las áreas afectadas se estima que  serían significativos</w:t>
      </w:r>
      <w:r w:rsidR="008E6524">
        <w:rPr>
          <w:rFonts w:ascii="Times New Roman" w:hAnsi="Times New Roman"/>
          <w:sz w:val="22"/>
          <w:szCs w:val="22"/>
          <w:lang w:val="es-AR"/>
        </w:rPr>
        <w:t>, como fue detallado en el Cap.2 Magnitud del Impacto Potencial</w:t>
      </w:r>
      <w:r w:rsidRPr="00C02BEC">
        <w:rPr>
          <w:rFonts w:ascii="Times New Roman" w:hAnsi="Times New Roman"/>
          <w:sz w:val="22"/>
          <w:szCs w:val="22"/>
          <w:lang w:val="es-AR"/>
        </w:rPr>
        <w:t>.</w:t>
      </w:r>
    </w:p>
    <w:p w:rsidR="00C02BEC" w:rsidRPr="00C02BEC" w:rsidRDefault="00C02BEC" w:rsidP="00C02BEC">
      <w:pPr>
        <w:ind w:left="718"/>
        <w:jc w:val="both"/>
        <w:rPr>
          <w:rFonts w:ascii="Times New Roman" w:hAnsi="Times New Roman"/>
          <w:sz w:val="22"/>
          <w:szCs w:val="22"/>
          <w:lang w:val="es-AR"/>
        </w:rPr>
      </w:pPr>
    </w:p>
    <w:p w:rsidR="00C02BEC" w:rsidRDefault="00C02BEC" w:rsidP="00AD78F4">
      <w:pPr>
        <w:numPr>
          <w:ilvl w:val="1"/>
          <w:numId w:val="24"/>
        </w:numPr>
        <w:jc w:val="both"/>
        <w:rPr>
          <w:rFonts w:ascii="Times New Roman" w:hAnsi="Times New Roman"/>
          <w:sz w:val="22"/>
          <w:szCs w:val="22"/>
          <w:lang w:val="es-AR"/>
        </w:rPr>
      </w:pPr>
      <w:r w:rsidRPr="00C02BEC">
        <w:rPr>
          <w:rFonts w:ascii="Times New Roman" w:hAnsi="Times New Roman"/>
          <w:sz w:val="22"/>
          <w:szCs w:val="22"/>
          <w:lang w:val="es-AR"/>
        </w:rPr>
        <w:t xml:space="preserve">Los costos </w:t>
      </w:r>
      <w:r w:rsidR="008E6524">
        <w:rPr>
          <w:rFonts w:ascii="Times New Roman" w:hAnsi="Times New Roman"/>
          <w:sz w:val="22"/>
          <w:szCs w:val="22"/>
          <w:lang w:val="es-AR"/>
        </w:rPr>
        <w:t xml:space="preserve">de inversión </w:t>
      </w:r>
      <w:r w:rsidRPr="00C02BEC">
        <w:rPr>
          <w:rFonts w:ascii="Times New Roman" w:hAnsi="Times New Roman"/>
          <w:sz w:val="22"/>
          <w:szCs w:val="22"/>
          <w:lang w:val="es-AR"/>
        </w:rPr>
        <w:t>están asociados a las inversiones en equipamiento (boyas y mareógrafos), e infraestructura del sistema general (estaciones hidrológicas y sísmicas), así como equipos de vigilancia (sirenas) y conectividad en  las localidades. Adicionalmente se acciones de concientización, sensibilización y capacitación de las Comunidades (incluyendo simulacros y preparaci</w:t>
      </w:r>
      <w:r w:rsidR="00C13855">
        <w:rPr>
          <w:rFonts w:ascii="Times New Roman" w:hAnsi="Times New Roman"/>
          <w:sz w:val="22"/>
          <w:szCs w:val="22"/>
          <w:lang w:val="es-AR"/>
        </w:rPr>
        <w:t xml:space="preserve">ón de Planes de Contingencia). </w:t>
      </w:r>
      <w:r w:rsidR="008E6524">
        <w:rPr>
          <w:rFonts w:ascii="Times New Roman" w:hAnsi="Times New Roman"/>
          <w:sz w:val="22"/>
          <w:szCs w:val="22"/>
          <w:lang w:val="es-AR"/>
        </w:rPr>
        <w:t>Los costos de operación y mantenimiento se corresponden con el sostenimiento de sus condiciones de operatividad por un período de 20 años.</w:t>
      </w:r>
    </w:p>
    <w:p w:rsidR="001B78C8" w:rsidRDefault="001B78C8">
      <w:pPr>
        <w:ind w:left="142"/>
        <w:jc w:val="both"/>
        <w:rPr>
          <w:rFonts w:ascii="Times New Roman" w:hAnsi="Times New Roman"/>
          <w:sz w:val="22"/>
          <w:szCs w:val="22"/>
          <w:lang w:val="es-AR"/>
        </w:rPr>
      </w:pPr>
    </w:p>
    <w:p w:rsidR="00371FA3" w:rsidRDefault="00371FA3" w:rsidP="00AD78F4">
      <w:pPr>
        <w:numPr>
          <w:ilvl w:val="1"/>
          <w:numId w:val="24"/>
        </w:numPr>
        <w:jc w:val="both"/>
        <w:rPr>
          <w:rFonts w:ascii="Times New Roman" w:hAnsi="Times New Roman"/>
          <w:sz w:val="22"/>
          <w:szCs w:val="22"/>
          <w:lang w:val="es-AR"/>
        </w:rPr>
      </w:pPr>
      <w:r>
        <w:rPr>
          <w:rFonts w:ascii="Times New Roman" w:hAnsi="Times New Roman"/>
          <w:sz w:val="22"/>
          <w:szCs w:val="22"/>
          <w:lang w:val="es-AR"/>
        </w:rPr>
        <w:t>Los supuestos de las variables de entrada o parámetros se reflejan en el siguiente cuadro:</w:t>
      </w:r>
    </w:p>
    <w:p w:rsidR="00406CAE" w:rsidRDefault="00406CAE" w:rsidP="00455FC7">
      <w:pPr>
        <w:pStyle w:val="ListParagraph"/>
        <w:rPr>
          <w:rFonts w:ascii="Times New Roman" w:hAnsi="Times New Roman"/>
          <w:sz w:val="22"/>
          <w:szCs w:val="22"/>
          <w:lang w:val="es-AR"/>
        </w:rPr>
      </w:pPr>
    </w:p>
    <w:p w:rsidR="007F3FAC" w:rsidRDefault="007F3FAC" w:rsidP="007F3FAC">
      <w:pPr>
        <w:jc w:val="both"/>
        <w:rPr>
          <w:rFonts w:ascii="Times New Roman" w:hAnsi="Times New Roman"/>
          <w:sz w:val="22"/>
          <w:szCs w:val="22"/>
          <w:lang w:val="es-AR"/>
        </w:rPr>
      </w:pPr>
    </w:p>
    <w:p w:rsidR="007F3FAC" w:rsidRDefault="007F3FAC" w:rsidP="007F3FAC">
      <w:pPr>
        <w:jc w:val="both"/>
        <w:rPr>
          <w:rFonts w:ascii="Times New Roman" w:hAnsi="Times New Roman"/>
          <w:sz w:val="22"/>
          <w:szCs w:val="22"/>
          <w:lang w:val="es-AR"/>
        </w:rPr>
      </w:pPr>
    </w:p>
    <w:p w:rsidR="007F3FAC" w:rsidRDefault="007F3FAC" w:rsidP="007F3FAC">
      <w:pPr>
        <w:jc w:val="both"/>
        <w:rPr>
          <w:rFonts w:ascii="Times New Roman" w:hAnsi="Times New Roman"/>
          <w:sz w:val="22"/>
          <w:szCs w:val="22"/>
          <w:lang w:val="es-AR"/>
        </w:rPr>
      </w:pPr>
    </w:p>
    <w:p w:rsidR="007F3FAC" w:rsidRDefault="007F3FAC" w:rsidP="007F3FAC">
      <w:pPr>
        <w:jc w:val="both"/>
        <w:rPr>
          <w:rFonts w:ascii="Times New Roman" w:hAnsi="Times New Roman"/>
          <w:sz w:val="22"/>
          <w:szCs w:val="22"/>
          <w:lang w:val="es-AR"/>
        </w:rPr>
      </w:pPr>
    </w:p>
    <w:p w:rsidR="007F3FAC" w:rsidRDefault="007F3FAC" w:rsidP="007F3FAC">
      <w:pPr>
        <w:jc w:val="both"/>
        <w:rPr>
          <w:rFonts w:ascii="Times New Roman" w:hAnsi="Times New Roman"/>
          <w:sz w:val="22"/>
          <w:szCs w:val="22"/>
          <w:lang w:val="es-AR"/>
        </w:rPr>
      </w:pPr>
    </w:p>
    <w:p w:rsidR="007F3FAC" w:rsidRDefault="007F3FAC" w:rsidP="007F3FAC">
      <w:pPr>
        <w:jc w:val="both"/>
        <w:rPr>
          <w:rFonts w:ascii="Times New Roman" w:hAnsi="Times New Roman"/>
          <w:sz w:val="22"/>
          <w:szCs w:val="22"/>
          <w:lang w:val="es-AR"/>
        </w:rPr>
      </w:pPr>
    </w:p>
    <w:p w:rsidR="007F3FAC" w:rsidRDefault="007F3FAC" w:rsidP="007F3FAC">
      <w:pPr>
        <w:jc w:val="both"/>
        <w:rPr>
          <w:rFonts w:ascii="Times New Roman" w:hAnsi="Times New Roman"/>
          <w:sz w:val="22"/>
          <w:szCs w:val="22"/>
          <w:lang w:val="es-AR"/>
        </w:rPr>
      </w:pPr>
    </w:p>
    <w:p w:rsidR="007F3FAC" w:rsidRDefault="007F3FAC" w:rsidP="007F3FAC">
      <w:pPr>
        <w:jc w:val="both"/>
        <w:rPr>
          <w:rFonts w:ascii="Times New Roman" w:hAnsi="Times New Roman"/>
          <w:sz w:val="22"/>
          <w:szCs w:val="22"/>
          <w:lang w:val="es-AR"/>
        </w:rPr>
      </w:pPr>
    </w:p>
    <w:p w:rsidR="007F3FAC" w:rsidRDefault="007F3FAC" w:rsidP="007F3FAC">
      <w:pPr>
        <w:jc w:val="both"/>
        <w:rPr>
          <w:rFonts w:ascii="Times New Roman" w:hAnsi="Times New Roman"/>
          <w:sz w:val="22"/>
          <w:szCs w:val="22"/>
          <w:lang w:val="es-AR"/>
        </w:rPr>
      </w:pPr>
    </w:p>
    <w:p w:rsidR="008005CB" w:rsidRDefault="008005CB" w:rsidP="00371FA3">
      <w:pPr>
        <w:jc w:val="both"/>
        <w:rPr>
          <w:rFonts w:ascii="Times New Roman" w:hAnsi="Times New Roman"/>
          <w:sz w:val="22"/>
          <w:szCs w:val="22"/>
          <w:lang w:val="es-AR"/>
        </w:rPr>
      </w:pPr>
    </w:p>
    <w:p w:rsidR="00371FA3" w:rsidRDefault="00371FA3" w:rsidP="008005CB">
      <w:pPr>
        <w:jc w:val="center"/>
        <w:rPr>
          <w:rFonts w:ascii="Times New Roman" w:hAnsi="Times New Roman"/>
          <w:lang w:val="es-ES"/>
        </w:rPr>
      </w:pPr>
      <w:r w:rsidRPr="00600976">
        <w:rPr>
          <w:rFonts w:ascii="Times New Roman" w:hAnsi="Times New Roman"/>
          <w:b/>
          <w:lang w:val="es-ES"/>
        </w:rPr>
        <w:t xml:space="preserve">Figura </w:t>
      </w:r>
      <w:r w:rsidR="00081A23" w:rsidRPr="00600976">
        <w:rPr>
          <w:rFonts w:ascii="Times New Roman" w:hAnsi="Times New Roman"/>
          <w:b/>
          <w:lang w:val="es-ES"/>
        </w:rPr>
        <w:fldChar w:fldCharType="begin"/>
      </w:r>
      <w:r w:rsidRPr="00600976">
        <w:rPr>
          <w:rFonts w:ascii="Times New Roman" w:hAnsi="Times New Roman"/>
          <w:b/>
          <w:lang w:val="es-ES"/>
        </w:rPr>
        <w:instrText xml:space="preserve"> SEQ Figura \* ARABIC </w:instrText>
      </w:r>
      <w:r w:rsidR="00081A23" w:rsidRPr="00600976">
        <w:rPr>
          <w:rFonts w:ascii="Times New Roman" w:hAnsi="Times New Roman"/>
          <w:b/>
          <w:lang w:val="es-ES"/>
        </w:rPr>
        <w:fldChar w:fldCharType="separate"/>
      </w:r>
      <w:r w:rsidRPr="00600976">
        <w:rPr>
          <w:rFonts w:ascii="Times New Roman" w:hAnsi="Times New Roman"/>
          <w:b/>
          <w:noProof/>
          <w:lang w:val="es-ES"/>
        </w:rPr>
        <w:t>3</w:t>
      </w:r>
      <w:r w:rsidR="00081A23" w:rsidRPr="00600976">
        <w:rPr>
          <w:rFonts w:ascii="Times New Roman" w:hAnsi="Times New Roman"/>
          <w:b/>
          <w:lang w:val="es-ES"/>
        </w:rPr>
        <w:fldChar w:fldCharType="end"/>
      </w:r>
      <w:r>
        <w:rPr>
          <w:rFonts w:ascii="Times New Roman" w:hAnsi="Times New Roman"/>
          <w:lang w:val="es-ES"/>
        </w:rPr>
        <w:t xml:space="preserve">. Distribución </w:t>
      </w:r>
      <w:r w:rsidR="008005CB">
        <w:rPr>
          <w:rFonts w:ascii="Times New Roman" w:hAnsi="Times New Roman"/>
          <w:lang w:val="es-ES"/>
        </w:rPr>
        <w:t xml:space="preserve">de </w:t>
      </w:r>
      <w:r w:rsidR="00137636">
        <w:rPr>
          <w:rFonts w:ascii="Times New Roman" w:hAnsi="Times New Roman"/>
          <w:lang w:val="es-ES"/>
        </w:rPr>
        <w:t xml:space="preserve">probabilidades </w:t>
      </w:r>
      <w:r>
        <w:rPr>
          <w:rFonts w:ascii="Times New Roman" w:hAnsi="Times New Roman"/>
          <w:lang w:val="es-ES"/>
        </w:rPr>
        <w:t xml:space="preserve">de </w:t>
      </w:r>
      <w:r w:rsidR="00137636">
        <w:rPr>
          <w:rFonts w:ascii="Times New Roman" w:hAnsi="Times New Roman"/>
          <w:lang w:val="es-ES"/>
        </w:rPr>
        <w:t xml:space="preserve">variables </w:t>
      </w:r>
      <w:r>
        <w:rPr>
          <w:rFonts w:ascii="Times New Roman" w:hAnsi="Times New Roman"/>
          <w:lang w:val="es-ES"/>
        </w:rPr>
        <w:t>de referencia</w:t>
      </w:r>
    </w:p>
    <w:tbl>
      <w:tblPr>
        <w:tblW w:w="9335" w:type="dxa"/>
        <w:tblInd w:w="70" w:type="dxa"/>
        <w:tblCellMar>
          <w:left w:w="70" w:type="dxa"/>
          <w:right w:w="70" w:type="dxa"/>
        </w:tblCellMar>
        <w:tblLook w:val="04A0" w:firstRow="1" w:lastRow="0" w:firstColumn="1" w:lastColumn="0" w:noHBand="0" w:noVBand="1"/>
      </w:tblPr>
      <w:tblGrid>
        <w:gridCol w:w="2140"/>
        <w:gridCol w:w="2495"/>
        <w:gridCol w:w="1600"/>
        <w:gridCol w:w="1440"/>
        <w:gridCol w:w="1660"/>
      </w:tblGrid>
      <w:tr w:rsidR="003874DE" w:rsidRPr="003874DE" w:rsidTr="008005CB">
        <w:trPr>
          <w:trHeight w:val="300"/>
        </w:trPr>
        <w:tc>
          <w:tcPr>
            <w:tcW w:w="2140" w:type="dxa"/>
            <w:tcBorders>
              <w:top w:val="nil"/>
              <w:left w:val="nil"/>
              <w:bottom w:val="single" w:sz="4" w:space="0" w:color="BFBFBF"/>
              <w:right w:val="single" w:sz="4" w:space="0" w:color="BFBFBF"/>
            </w:tcBorders>
            <w:shd w:val="clear" w:color="000000" w:fill="EEECE1"/>
            <w:noWrap/>
            <w:hideMark/>
          </w:tcPr>
          <w:p w:rsidR="003874DE" w:rsidRPr="003874DE" w:rsidRDefault="003874DE" w:rsidP="003874DE">
            <w:pPr>
              <w:rPr>
                <w:rFonts w:ascii="Segoe UI" w:hAnsi="Segoe UI" w:cs="Segoe UI"/>
                <w:sz w:val="18"/>
                <w:szCs w:val="18"/>
                <w:lang w:val="es-AR" w:eastAsia="es-AR"/>
              </w:rPr>
            </w:pPr>
            <w:r w:rsidRPr="003874DE">
              <w:rPr>
                <w:rFonts w:ascii="Segoe UI" w:hAnsi="Segoe UI" w:cs="Segoe UI"/>
                <w:sz w:val="18"/>
                <w:szCs w:val="18"/>
                <w:lang w:val="es-AR" w:eastAsia="es-AR"/>
              </w:rPr>
              <w:t xml:space="preserve"> Nombre </w:t>
            </w:r>
          </w:p>
        </w:tc>
        <w:tc>
          <w:tcPr>
            <w:tcW w:w="2495" w:type="dxa"/>
            <w:tcBorders>
              <w:top w:val="nil"/>
              <w:left w:val="nil"/>
              <w:bottom w:val="single" w:sz="4" w:space="0" w:color="BFBFBF"/>
              <w:right w:val="single" w:sz="4" w:space="0" w:color="BFBFBF"/>
            </w:tcBorders>
            <w:shd w:val="clear" w:color="000000" w:fill="EEECE1"/>
            <w:noWrap/>
            <w:vAlign w:val="center"/>
            <w:hideMark/>
          </w:tcPr>
          <w:p w:rsidR="003874DE" w:rsidRPr="003874DE" w:rsidRDefault="003874DE" w:rsidP="003874DE">
            <w:pPr>
              <w:rPr>
                <w:rFonts w:ascii="Segoe UI" w:hAnsi="Segoe UI" w:cs="Segoe UI"/>
                <w:sz w:val="18"/>
                <w:szCs w:val="18"/>
                <w:lang w:val="es-AR" w:eastAsia="es-AR"/>
              </w:rPr>
            </w:pPr>
            <w:r w:rsidRPr="003874DE">
              <w:rPr>
                <w:rFonts w:ascii="Segoe UI" w:hAnsi="Segoe UI" w:cs="Segoe UI"/>
                <w:sz w:val="18"/>
                <w:szCs w:val="18"/>
                <w:lang w:val="es-AR" w:eastAsia="es-AR"/>
              </w:rPr>
              <w:t xml:space="preserve"> Gráfico Distribución </w:t>
            </w:r>
          </w:p>
        </w:tc>
        <w:tc>
          <w:tcPr>
            <w:tcW w:w="1600" w:type="dxa"/>
            <w:tcBorders>
              <w:top w:val="nil"/>
              <w:left w:val="nil"/>
              <w:bottom w:val="single" w:sz="4" w:space="0" w:color="BFBFBF"/>
              <w:right w:val="single" w:sz="4" w:space="0" w:color="BFBFBF"/>
            </w:tcBorders>
            <w:shd w:val="clear" w:color="000000" w:fill="EEECE1"/>
            <w:noWrap/>
            <w:vAlign w:val="center"/>
            <w:hideMark/>
          </w:tcPr>
          <w:p w:rsidR="003874DE" w:rsidRPr="003874DE" w:rsidRDefault="003874DE" w:rsidP="003874DE">
            <w:pPr>
              <w:jc w:val="center"/>
              <w:rPr>
                <w:rFonts w:ascii="Segoe UI" w:hAnsi="Segoe UI" w:cs="Segoe UI"/>
                <w:sz w:val="18"/>
                <w:szCs w:val="18"/>
                <w:lang w:val="es-AR" w:eastAsia="es-AR"/>
              </w:rPr>
            </w:pPr>
            <w:r w:rsidRPr="003874DE">
              <w:rPr>
                <w:rFonts w:ascii="Segoe UI" w:hAnsi="Segoe UI" w:cs="Segoe UI"/>
                <w:sz w:val="18"/>
                <w:szCs w:val="18"/>
                <w:lang w:val="es-AR" w:eastAsia="es-AR"/>
              </w:rPr>
              <w:t xml:space="preserve"> Mín </w:t>
            </w:r>
          </w:p>
        </w:tc>
        <w:tc>
          <w:tcPr>
            <w:tcW w:w="1440" w:type="dxa"/>
            <w:tcBorders>
              <w:top w:val="nil"/>
              <w:left w:val="nil"/>
              <w:bottom w:val="single" w:sz="4" w:space="0" w:color="BFBFBF"/>
              <w:right w:val="single" w:sz="4" w:space="0" w:color="BFBFBF"/>
            </w:tcBorders>
            <w:shd w:val="clear" w:color="000000" w:fill="EEECE1"/>
            <w:noWrap/>
            <w:vAlign w:val="center"/>
            <w:hideMark/>
          </w:tcPr>
          <w:p w:rsidR="003874DE" w:rsidRPr="003874DE" w:rsidRDefault="003874DE" w:rsidP="003874DE">
            <w:pPr>
              <w:jc w:val="center"/>
              <w:rPr>
                <w:rFonts w:ascii="Segoe UI" w:hAnsi="Segoe UI" w:cs="Segoe UI"/>
                <w:sz w:val="18"/>
                <w:szCs w:val="18"/>
                <w:lang w:val="es-AR" w:eastAsia="es-AR"/>
              </w:rPr>
            </w:pPr>
            <w:r w:rsidRPr="003874DE">
              <w:rPr>
                <w:rFonts w:ascii="Segoe UI" w:hAnsi="Segoe UI" w:cs="Segoe UI"/>
                <w:sz w:val="18"/>
                <w:szCs w:val="18"/>
                <w:lang w:val="es-AR" w:eastAsia="es-AR"/>
              </w:rPr>
              <w:t xml:space="preserve"> Media </w:t>
            </w:r>
          </w:p>
        </w:tc>
        <w:tc>
          <w:tcPr>
            <w:tcW w:w="1660" w:type="dxa"/>
            <w:tcBorders>
              <w:top w:val="nil"/>
              <w:left w:val="nil"/>
              <w:bottom w:val="single" w:sz="4" w:space="0" w:color="BFBFBF"/>
              <w:right w:val="single" w:sz="4" w:space="0" w:color="BFBFBF"/>
            </w:tcBorders>
            <w:shd w:val="clear" w:color="000000" w:fill="EEECE1"/>
            <w:noWrap/>
            <w:vAlign w:val="center"/>
            <w:hideMark/>
          </w:tcPr>
          <w:p w:rsidR="003874DE" w:rsidRPr="003874DE" w:rsidRDefault="003874DE" w:rsidP="003874DE">
            <w:pPr>
              <w:jc w:val="center"/>
              <w:rPr>
                <w:rFonts w:ascii="Segoe UI" w:hAnsi="Segoe UI" w:cs="Segoe UI"/>
                <w:sz w:val="18"/>
                <w:szCs w:val="18"/>
                <w:lang w:val="es-AR" w:eastAsia="es-AR"/>
              </w:rPr>
            </w:pPr>
            <w:r w:rsidRPr="003874DE">
              <w:rPr>
                <w:rFonts w:ascii="Segoe UI" w:hAnsi="Segoe UI" w:cs="Segoe UI"/>
                <w:sz w:val="18"/>
                <w:szCs w:val="18"/>
                <w:lang w:val="es-AR" w:eastAsia="es-AR"/>
              </w:rPr>
              <w:t xml:space="preserve"> Máx </w:t>
            </w:r>
          </w:p>
        </w:tc>
      </w:tr>
      <w:tr w:rsidR="003874DE" w:rsidRPr="003874DE" w:rsidTr="008005CB">
        <w:trPr>
          <w:trHeight w:val="1296"/>
        </w:trPr>
        <w:tc>
          <w:tcPr>
            <w:tcW w:w="2140" w:type="dxa"/>
            <w:tcBorders>
              <w:top w:val="nil"/>
              <w:left w:val="nil"/>
              <w:bottom w:val="single" w:sz="4" w:space="0" w:color="BFBFBF"/>
              <w:right w:val="single" w:sz="4" w:space="0" w:color="BFBFBF"/>
            </w:tcBorders>
            <w:shd w:val="clear" w:color="auto" w:fill="auto"/>
            <w:vAlign w:val="center"/>
            <w:hideMark/>
          </w:tcPr>
          <w:p w:rsidR="003874DE" w:rsidRPr="003874DE" w:rsidRDefault="003874DE" w:rsidP="003874DE">
            <w:pPr>
              <w:rPr>
                <w:rFonts w:ascii="Segoe UI" w:hAnsi="Segoe UI" w:cs="Segoe UI"/>
                <w:sz w:val="17"/>
                <w:szCs w:val="17"/>
                <w:lang w:val="es-AR" w:eastAsia="es-AR"/>
              </w:rPr>
            </w:pPr>
            <w:r w:rsidRPr="003874DE">
              <w:rPr>
                <w:rFonts w:ascii="Segoe UI" w:hAnsi="Segoe UI" w:cs="Segoe UI"/>
                <w:sz w:val="17"/>
                <w:szCs w:val="17"/>
                <w:lang w:val="es-AR" w:eastAsia="es-AR"/>
              </w:rPr>
              <w:t>Probabilidad de ocurrencia tsunami (%)</w:t>
            </w:r>
          </w:p>
        </w:tc>
        <w:tc>
          <w:tcPr>
            <w:tcW w:w="2495" w:type="dxa"/>
            <w:tcBorders>
              <w:top w:val="nil"/>
              <w:left w:val="nil"/>
              <w:bottom w:val="nil"/>
              <w:right w:val="nil"/>
            </w:tcBorders>
            <w:shd w:val="clear" w:color="auto" w:fill="auto"/>
            <w:noWrap/>
            <w:vAlign w:val="bottom"/>
            <w:hideMark/>
          </w:tcPr>
          <w:p w:rsidR="003874DE" w:rsidRPr="003874DE" w:rsidRDefault="003874DE" w:rsidP="003874DE">
            <w:pPr>
              <w:rPr>
                <w:rFonts w:ascii="Calibri" w:hAnsi="Calibri"/>
                <w:color w:val="000000"/>
                <w:sz w:val="22"/>
                <w:szCs w:val="22"/>
                <w:lang w:val="es-AR" w:eastAsia="es-AR"/>
              </w:rPr>
            </w:pPr>
            <w:r>
              <w:rPr>
                <w:rFonts w:ascii="Calibri" w:hAnsi="Calibri"/>
                <w:noProof/>
                <w:color w:val="000000"/>
                <w:sz w:val="22"/>
                <w:szCs w:val="22"/>
              </w:rPr>
              <w:drawing>
                <wp:anchor distT="0" distB="0" distL="114300" distR="114300" simplePos="0" relativeHeight="251670528" behindDoc="0" locked="0" layoutInCell="1" allowOverlap="1" wp14:anchorId="1C578A61" wp14:editId="65647B09">
                  <wp:simplePos x="0" y="0"/>
                  <wp:positionH relativeFrom="column">
                    <wp:posOffset>3810</wp:posOffset>
                  </wp:positionH>
                  <wp:positionV relativeFrom="paragraph">
                    <wp:posOffset>115570</wp:posOffset>
                  </wp:positionV>
                  <wp:extent cx="1464945" cy="789305"/>
                  <wp:effectExtent l="0" t="0" r="0" b="0"/>
                  <wp:wrapNone/>
                  <wp:docPr id="32" name="Imagen 32"/>
                  <wp:cNvGraphicFramePr/>
                  <a:graphic xmlns:a="http://schemas.openxmlformats.org/drawingml/2006/main">
                    <a:graphicData uri="http://schemas.openxmlformats.org/drawingml/2006/picture">
                      <pic:pic xmlns:pic="http://schemas.openxmlformats.org/drawingml/2006/picture">
                        <pic:nvPicPr>
                          <pic:cNvPr id="32" name="31 Imag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64945" cy="789305"/>
                          </a:xfrm>
                          <a:prstGeom prst="rect">
                            <a:avLst/>
                          </a:prstGeom>
                          <a:noFill/>
                          <a:extLst/>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2350"/>
            </w:tblGrid>
            <w:tr w:rsidR="003874DE" w:rsidRPr="003874DE">
              <w:trPr>
                <w:trHeight w:val="1215"/>
                <w:tblCellSpacing w:w="0" w:type="dxa"/>
              </w:trPr>
              <w:tc>
                <w:tcPr>
                  <w:tcW w:w="2340" w:type="dxa"/>
                  <w:tcBorders>
                    <w:top w:val="nil"/>
                    <w:left w:val="nil"/>
                    <w:bottom w:val="single" w:sz="4" w:space="0" w:color="BFBFBF"/>
                    <w:right w:val="single" w:sz="4" w:space="0" w:color="BFBFBF"/>
                  </w:tcBorders>
                  <w:shd w:val="clear" w:color="auto" w:fill="auto"/>
                  <w:noWrap/>
                  <w:vAlign w:val="center"/>
                  <w:hideMark/>
                </w:tcPr>
                <w:p w:rsidR="003874DE" w:rsidRPr="003874DE" w:rsidRDefault="003874DE" w:rsidP="003874DE">
                  <w:pPr>
                    <w:rPr>
                      <w:rFonts w:cs="Arial"/>
                      <w:lang w:val="es-AR" w:eastAsia="es-AR"/>
                    </w:rPr>
                  </w:pPr>
                  <w:r w:rsidRPr="003874DE">
                    <w:rPr>
                      <w:rFonts w:cs="Arial"/>
                      <w:lang w:val="es-AR" w:eastAsia="es-AR"/>
                    </w:rPr>
                    <w:t> </w:t>
                  </w:r>
                </w:p>
              </w:tc>
            </w:tr>
          </w:tbl>
          <w:p w:rsidR="003874DE" w:rsidRPr="003874DE" w:rsidRDefault="003874DE" w:rsidP="003874DE">
            <w:pPr>
              <w:rPr>
                <w:rFonts w:ascii="Calibri" w:hAnsi="Calibri"/>
                <w:color w:val="000000"/>
                <w:sz w:val="22"/>
                <w:szCs w:val="22"/>
                <w:lang w:val="es-AR" w:eastAsia="es-AR"/>
              </w:rPr>
            </w:pPr>
          </w:p>
        </w:tc>
        <w:tc>
          <w:tcPr>
            <w:tcW w:w="1600" w:type="dxa"/>
            <w:tcBorders>
              <w:top w:val="nil"/>
              <w:left w:val="nil"/>
              <w:bottom w:val="single" w:sz="4" w:space="0" w:color="BFBFBF"/>
              <w:right w:val="single" w:sz="4" w:space="0" w:color="BFBFBF"/>
            </w:tcBorders>
            <w:shd w:val="clear" w:color="auto" w:fill="auto"/>
            <w:vAlign w:val="center"/>
            <w:hideMark/>
          </w:tcPr>
          <w:p w:rsidR="003874DE" w:rsidRPr="003874DE" w:rsidRDefault="003874DE" w:rsidP="003874DE">
            <w:pPr>
              <w:jc w:val="center"/>
              <w:rPr>
                <w:rFonts w:ascii="Segoe UI" w:hAnsi="Segoe UI" w:cs="Segoe UI"/>
                <w:sz w:val="17"/>
                <w:szCs w:val="17"/>
                <w:lang w:val="es-AR" w:eastAsia="es-AR"/>
              </w:rPr>
            </w:pPr>
            <w:r w:rsidRPr="003874DE">
              <w:rPr>
                <w:rFonts w:ascii="Segoe UI" w:hAnsi="Segoe UI" w:cs="Segoe UI"/>
                <w:sz w:val="17"/>
                <w:szCs w:val="17"/>
                <w:lang w:val="es-AR" w:eastAsia="es-AR"/>
              </w:rPr>
              <w:t>-0,001912075</w:t>
            </w:r>
          </w:p>
        </w:tc>
        <w:tc>
          <w:tcPr>
            <w:tcW w:w="1440" w:type="dxa"/>
            <w:tcBorders>
              <w:top w:val="nil"/>
              <w:left w:val="nil"/>
              <w:bottom w:val="single" w:sz="4" w:space="0" w:color="BFBFBF"/>
              <w:right w:val="single" w:sz="4" w:space="0" w:color="BFBFBF"/>
            </w:tcBorders>
            <w:shd w:val="clear" w:color="auto" w:fill="auto"/>
            <w:vAlign w:val="center"/>
            <w:hideMark/>
          </w:tcPr>
          <w:p w:rsidR="003874DE" w:rsidRPr="003874DE" w:rsidRDefault="003874DE" w:rsidP="003874DE">
            <w:pPr>
              <w:jc w:val="center"/>
              <w:rPr>
                <w:rFonts w:ascii="Segoe UI" w:hAnsi="Segoe UI" w:cs="Segoe UI"/>
                <w:sz w:val="17"/>
                <w:szCs w:val="17"/>
                <w:lang w:val="es-AR" w:eastAsia="es-AR"/>
              </w:rPr>
            </w:pPr>
            <w:r w:rsidRPr="003874DE">
              <w:rPr>
                <w:rFonts w:ascii="Segoe UI" w:hAnsi="Segoe UI" w:cs="Segoe UI"/>
                <w:sz w:val="17"/>
                <w:szCs w:val="17"/>
                <w:lang w:val="es-AR" w:eastAsia="es-AR"/>
              </w:rPr>
              <w:t>0,001999949</w:t>
            </w:r>
          </w:p>
        </w:tc>
        <w:tc>
          <w:tcPr>
            <w:tcW w:w="1660" w:type="dxa"/>
            <w:tcBorders>
              <w:top w:val="nil"/>
              <w:left w:val="nil"/>
              <w:bottom w:val="single" w:sz="4" w:space="0" w:color="BFBFBF"/>
              <w:right w:val="single" w:sz="4" w:space="0" w:color="BFBFBF"/>
            </w:tcBorders>
            <w:shd w:val="clear" w:color="auto" w:fill="auto"/>
            <w:vAlign w:val="center"/>
            <w:hideMark/>
          </w:tcPr>
          <w:p w:rsidR="003874DE" w:rsidRPr="003874DE" w:rsidRDefault="003874DE" w:rsidP="003874DE">
            <w:pPr>
              <w:jc w:val="center"/>
              <w:rPr>
                <w:rFonts w:ascii="Segoe UI" w:hAnsi="Segoe UI" w:cs="Segoe UI"/>
                <w:sz w:val="17"/>
                <w:szCs w:val="17"/>
                <w:lang w:val="es-AR" w:eastAsia="es-AR"/>
              </w:rPr>
            </w:pPr>
            <w:r w:rsidRPr="003874DE">
              <w:rPr>
                <w:rFonts w:ascii="Segoe UI" w:hAnsi="Segoe UI" w:cs="Segoe UI"/>
                <w:sz w:val="17"/>
                <w:szCs w:val="17"/>
                <w:lang w:val="es-AR" w:eastAsia="es-AR"/>
              </w:rPr>
              <w:t>0,0056087</w:t>
            </w:r>
          </w:p>
        </w:tc>
      </w:tr>
      <w:tr w:rsidR="003874DE" w:rsidRPr="003874DE" w:rsidTr="008005CB">
        <w:trPr>
          <w:trHeight w:val="1230"/>
        </w:trPr>
        <w:tc>
          <w:tcPr>
            <w:tcW w:w="2140" w:type="dxa"/>
            <w:tcBorders>
              <w:top w:val="nil"/>
              <w:left w:val="nil"/>
              <w:bottom w:val="single" w:sz="4" w:space="0" w:color="BFBFBF"/>
              <w:right w:val="single" w:sz="4" w:space="0" w:color="BFBFBF"/>
            </w:tcBorders>
            <w:shd w:val="clear" w:color="auto" w:fill="auto"/>
            <w:vAlign w:val="center"/>
            <w:hideMark/>
          </w:tcPr>
          <w:p w:rsidR="003874DE" w:rsidRPr="003874DE" w:rsidRDefault="003874DE" w:rsidP="003874DE">
            <w:pPr>
              <w:rPr>
                <w:rFonts w:ascii="Segoe UI" w:hAnsi="Segoe UI" w:cs="Segoe UI"/>
                <w:sz w:val="17"/>
                <w:szCs w:val="17"/>
                <w:lang w:val="es-AR" w:eastAsia="es-AR"/>
              </w:rPr>
            </w:pPr>
            <w:r w:rsidRPr="003874DE">
              <w:rPr>
                <w:rFonts w:ascii="Segoe UI" w:hAnsi="Segoe UI" w:cs="Segoe UI"/>
                <w:sz w:val="17"/>
                <w:szCs w:val="17"/>
                <w:lang w:val="es-AR" w:eastAsia="es-AR"/>
              </w:rPr>
              <w:t>Magnitud/Alcance a evento destructivo (%)</w:t>
            </w:r>
          </w:p>
        </w:tc>
        <w:tc>
          <w:tcPr>
            <w:tcW w:w="2495" w:type="dxa"/>
            <w:tcBorders>
              <w:top w:val="nil"/>
              <w:left w:val="nil"/>
              <w:bottom w:val="single" w:sz="4" w:space="0" w:color="BFBFBF"/>
              <w:right w:val="single" w:sz="4" w:space="0" w:color="BFBFBF"/>
            </w:tcBorders>
            <w:shd w:val="clear" w:color="auto" w:fill="auto"/>
            <w:noWrap/>
            <w:vAlign w:val="center"/>
            <w:hideMark/>
          </w:tcPr>
          <w:p w:rsidR="003874DE" w:rsidRPr="003874DE" w:rsidRDefault="003874DE" w:rsidP="003874DE">
            <w:pPr>
              <w:rPr>
                <w:rFonts w:cs="Arial"/>
                <w:lang w:val="es-AR" w:eastAsia="es-AR"/>
              </w:rPr>
            </w:pPr>
            <w:r>
              <w:rPr>
                <w:rFonts w:ascii="Calibri" w:hAnsi="Calibri"/>
                <w:noProof/>
                <w:color w:val="000000"/>
                <w:sz w:val="22"/>
                <w:szCs w:val="22"/>
              </w:rPr>
              <w:drawing>
                <wp:anchor distT="0" distB="0" distL="114300" distR="114300" simplePos="0" relativeHeight="251669504" behindDoc="0" locked="0" layoutInCell="1" allowOverlap="1" wp14:anchorId="5AD0F344" wp14:editId="1D11603B">
                  <wp:simplePos x="0" y="0"/>
                  <wp:positionH relativeFrom="column">
                    <wp:posOffset>48260</wp:posOffset>
                  </wp:positionH>
                  <wp:positionV relativeFrom="paragraph">
                    <wp:posOffset>9525</wp:posOffset>
                  </wp:positionV>
                  <wp:extent cx="1398905" cy="737870"/>
                  <wp:effectExtent l="0" t="0" r="0" b="0"/>
                  <wp:wrapNone/>
                  <wp:docPr id="30" name="Imagen 30"/>
                  <wp:cNvGraphicFramePr/>
                  <a:graphic xmlns:a="http://schemas.openxmlformats.org/drawingml/2006/main">
                    <a:graphicData uri="http://schemas.openxmlformats.org/drawingml/2006/picture">
                      <pic:pic xmlns:pic="http://schemas.openxmlformats.org/drawingml/2006/picture">
                        <pic:nvPicPr>
                          <pic:cNvPr id="30" name="29 Image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8905" cy="737870"/>
                          </a:xfrm>
                          <a:prstGeom prst="rect">
                            <a:avLst/>
                          </a:prstGeom>
                          <a:noFill/>
                          <a:extLst/>
                        </pic:spPr>
                      </pic:pic>
                    </a:graphicData>
                  </a:graphic>
                </wp:anchor>
              </w:drawing>
            </w:r>
            <w:r w:rsidRPr="003874DE">
              <w:rPr>
                <w:rFonts w:cs="Arial"/>
                <w:lang w:val="es-AR" w:eastAsia="es-AR"/>
              </w:rPr>
              <w:t> </w:t>
            </w:r>
          </w:p>
        </w:tc>
        <w:tc>
          <w:tcPr>
            <w:tcW w:w="1600" w:type="dxa"/>
            <w:tcBorders>
              <w:top w:val="nil"/>
              <w:left w:val="nil"/>
              <w:bottom w:val="single" w:sz="4" w:space="0" w:color="BFBFBF"/>
              <w:right w:val="single" w:sz="4" w:space="0" w:color="BFBFBF"/>
            </w:tcBorders>
            <w:shd w:val="clear" w:color="auto" w:fill="auto"/>
            <w:vAlign w:val="center"/>
            <w:hideMark/>
          </w:tcPr>
          <w:p w:rsidR="003874DE" w:rsidRPr="003874DE" w:rsidRDefault="003874DE" w:rsidP="003874DE">
            <w:pPr>
              <w:jc w:val="center"/>
              <w:rPr>
                <w:rFonts w:ascii="Segoe UI" w:hAnsi="Segoe UI" w:cs="Segoe UI"/>
                <w:sz w:val="17"/>
                <w:szCs w:val="17"/>
                <w:lang w:val="es-AR" w:eastAsia="es-AR"/>
              </w:rPr>
            </w:pPr>
            <w:r w:rsidRPr="003874DE">
              <w:rPr>
                <w:rFonts w:ascii="Segoe UI" w:hAnsi="Segoe UI" w:cs="Segoe UI"/>
                <w:sz w:val="17"/>
                <w:szCs w:val="17"/>
                <w:lang w:val="es-AR" w:eastAsia="es-AR"/>
              </w:rPr>
              <w:t>-0,017937</w:t>
            </w:r>
          </w:p>
        </w:tc>
        <w:tc>
          <w:tcPr>
            <w:tcW w:w="1440" w:type="dxa"/>
            <w:tcBorders>
              <w:top w:val="nil"/>
              <w:left w:val="nil"/>
              <w:bottom w:val="single" w:sz="4" w:space="0" w:color="BFBFBF"/>
              <w:right w:val="single" w:sz="4" w:space="0" w:color="BFBFBF"/>
            </w:tcBorders>
            <w:shd w:val="clear" w:color="auto" w:fill="auto"/>
            <w:vAlign w:val="center"/>
            <w:hideMark/>
          </w:tcPr>
          <w:p w:rsidR="003874DE" w:rsidRPr="003874DE" w:rsidRDefault="003874DE" w:rsidP="003874DE">
            <w:pPr>
              <w:jc w:val="center"/>
              <w:rPr>
                <w:rFonts w:ascii="Segoe UI" w:hAnsi="Segoe UI" w:cs="Segoe UI"/>
                <w:sz w:val="17"/>
                <w:szCs w:val="17"/>
                <w:lang w:val="es-AR" w:eastAsia="es-AR"/>
              </w:rPr>
            </w:pPr>
            <w:r w:rsidRPr="003874DE">
              <w:rPr>
                <w:rFonts w:ascii="Segoe UI" w:hAnsi="Segoe UI" w:cs="Segoe UI"/>
                <w:sz w:val="17"/>
                <w:szCs w:val="17"/>
                <w:lang w:val="es-AR" w:eastAsia="es-AR"/>
              </w:rPr>
              <w:t>0,01999981</w:t>
            </w:r>
          </w:p>
        </w:tc>
        <w:tc>
          <w:tcPr>
            <w:tcW w:w="1660" w:type="dxa"/>
            <w:tcBorders>
              <w:top w:val="nil"/>
              <w:left w:val="nil"/>
              <w:bottom w:val="single" w:sz="4" w:space="0" w:color="BFBFBF"/>
              <w:right w:val="single" w:sz="4" w:space="0" w:color="BFBFBF"/>
            </w:tcBorders>
            <w:shd w:val="clear" w:color="auto" w:fill="auto"/>
            <w:vAlign w:val="center"/>
            <w:hideMark/>
          </w:tcPr>
          <w:p w:rsidR="003874DE" w:rsidRPr="003874DE" w:rsidRDefault="003874DE" w:rsidP="003874DE">
            <w:pPr>
              <w:jc w:val="center"/>
              <w:rPr>
                <w:rFonts w:ascii="Segoe UI" w:hAnsi="Segoe UI" w:cs="Segoe UI"/>
                <w:sz w:val="17"/>
                <w:szCs w:val="17"/>
                <w:lang w:val="es-AR" w:eastAsia="es-AR"/>
              </w:rPr>
            </w:pPr>
            <w:r w:rsidRPr="003874DE">
              <w:rPr>
                <w:rFonts w:ascii="Segoe UI" w:hAnsi="Segoe UI" w:cs="Segoe UI"/>
                <w:sz w:val="17"/>
                <w:szCs w:val="17"/>
                <w:lang w:val="es-AR" w:eastAsia="es-AR"/>
              </w:rPr>
              <w:t>0,05790708</w:t>
            </w:r>
          </w:p>
        </w:tc>
      </w:tr>
      <w:tr w:rsidR="003874DE" w:rsidRPr="003874DE" w:rsidTr="008005CB">
        <w:trPr>
          <w:trHeight w:val="1125"/>
        </w:trPr>
        <w:tc>
          <w:tcPr>
            <w:tcW w:w="2140" w:type="dxa"/>
            <w:tcBorders>
              <w:top w:val="nil"/>
              <w:left w:val="nil"/>
              <w:bottom w:val="single" w:sz="4" w:space="0" w:color="BFBFBF"/>
              <w:right w:val="single" w:sz="4" w:space="0" w:color="BFBFBF"/>
            </w:tcBorders>
            <w:shd w:val="clear" w:color="auto" w:fill="auto"/>
            <w:vAlign w:val="center"/>
            <w:hideMark/>
          </w:tcPr>
          <w:p w:rsidR="003874DE" w:rsidRPr="003874DE" w:rsidRDefault="003874DE" w:rsidP="003874DE">
            <w:pPr>
              <w:rPr>
                <w:rFonts w:ascii="Segoe UI" w:hAnsi="Segoe UI" w:cs="Segoe UI"/>
                <w:sz w:val="17"/>
                <w:szCs w:val="17"/>
                <w:lang w:val="es-AR" w:eastAsia="es-AR"/>
              </w:rPr>
            </w:pPr>
            <w:r w:rsidRPr="003874DE">
              <w:rPr>
                <w:rFonts w:ascii="Segoe UI" w:hAnsi="Segoe UI" w:cs="Segoe UI"/>
                <w:sz w:val="17"/>
                <w:szCs w:val="17"/>
                <w:lang w:val="es-AR" w:eastAsia="es-AR"/>
              </w:rPr>
              <w:t>Benef SAT Vida (%)</w:t>
            </w:r>
          </w:p>
        </w:tc>
        <w:tc>
          <w:tcPr>
            <w:tcW w:w="2495" w:type="dxa"/>
            <w:tcBorders>
              <w:top w:val="nil"/>
              <w:left w:val="nil"/>
              <w:bottom w:val="single" w:sz="4" w:space="0" w:color="BFBFBF"/>
              <w:right w:val="single" w:sz="4" w:space="0" w:color="BFBFBF"/>
            </w:tcBorders>
            <w:shd w:val="clear" w:color="auto" w:fill="auto"/>
            <w:noWrap/>
            <w:vAlign w:val="center"/>
            <w:hideMark/>
          </w:tcPr>
          <w:p w:rsidR="003874DE" w:rsidRPr="003874DE" w:rsidRDefault="003874DE" w:rsidP="003874DE">
            <w:pPr>
              <w:rPr>
                <w:rFonts w:cs="Arial"/>
                <w:lang w:val="es-AR" w:eastAsia="es-AR"/>
              </w:rPr>
            </w:pPr>
            <w:r>
              <w:rPr>
                <w:rFonts w:ascii="Calibri" w:hAnsi="Calibri"/>
                <w:noProof/>
                <w:color w:val="000000"/>
                <w:sz w:val="22"/>
                <w:szCs w:val="22"/>
              </w:rPr>
              <w:drawing>
                <wp:anchor distT="0" distB="0" distL="114300" distR="114300" simplePos="0" relativeHeight="251663360" behindDoc="0" locked="0" layoutInCell="1" allowOverlap="1" wp14:anchorId="3EA579D2" wp14:editId="6D3F4494">
                  <wp:simplePos x="0" y="0"/>
                  <wp:positionH relativeFrom="column">
                    <wp:posOffset>49530</wp:posOffset>
                  </wp:positionH>
                  <wp:positionV relativeFrom="paragraph">
                    <wp:posOffset>-11430</wp:posOffset>
                  </wp:positionV>
                  <wp:extent cx="1276350" cy="638175"/>
                  <wp:effectExtent l="0" t="0" r="0" b="0"/>
                  <wp:wrapNone/>
                  <wp:docPr id="21" name="Imagen 21" descr="D:\ActiveReports.emf"/>
                  <wp:cNvGraphicFramePr/>
                  <a:graphic xmlns:a="http://schemas.openxmlformats.org/drawingml/2006/main">
                    <a:graphicData uri="http://schemas.openxmlformats.org/drawingml/2006/picture">
                      <pic:pic xmlns:pic="http://schemas.openxmlformats.org/drawingml/2006/picture">
                        <pic:nvPicPr>
                          <pic:cNvPr id="21" name="Picture 2" descr="D:\ActiveReports.e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76350" cy="638175"/>
                          </a:xfrm>
                          <a:prstGeom prst="rect">
                            <a:avLst/>
                          </a:prstGeom>
                          <a:noFill/>
                          <a:extLst/>
                        </pic:spPr>
                      </pic:pic>
                    </a:graphicData>
                  </a:graphic>
                </wp:anchor>
              </w:drawing>
            </w:r>
            <w:r w:rsidRPr="003874DE">
              <w:rPr>
                <w:rFonts w:cs="Arial"/>
                <w:lang w:val="es-AR" w:eastAsia="es-AR"/>
              </w:rPr>
              <w:t> </w:t>
            </w:r>
          </w:p>
        </w:tc>
        <w:tc>
          <w:tcPr>
            <w:tcW w:w="1600" w:type="dxa"/>
            <w:tcBorders>
              <w:top w:val="nil"/>
              <w:left w:val="nil"/>
              <w:bottom w:val="single" w:sz="4" w:space="0" w:color="BFBFBF"/>
              <w:right w:val="single" w:sz="4" w:space="0" w:color="BFBFBF"/>
            </w:tcBorders>
            <w:shd w:val="clear" w:color="auto" w:fill="auto"/>
            <w:vAlign w:val="center"/>
            <w:hideMark/>
          </w:tcPr>
          <w:p w:rsidR="003874DE" w:rsidRPr="003874DE" w:rsidRDefault="003874DE" w:rsidP="003874DE">
            <w:pPr>
              <w:jc w:val="center"/>
              <w:rPr>
                <w:rFonts w:ascii="Segoe UI" w:hAnsi="Segoe UI" w:cs="Segoe UI"/>
                <w:sz w:val="17"/>
                <w:szCs w:val="17"/>
                <w:lang w:val="es-AR" w:eastAsia="es-AR"/>
              </w:rPr>
            </w:pPr>
            <w:r w:rsidRPr="003874DE">
              <w:rPr>
                <w:rFonts w:ascii="Segoe UI" w:hAnsi="Segoe UI" w:cs="Segoe UI"/>
                <w:sz w:val="17"/>
                <w:szCs w:val="17"/>
                <w:lang w:val="es-AR" w:eastAsia="es-AR"/>
              </w:rPr>
              <w:t>0,2633229</w:t>
            </w:r>
          </w:p>
        </w:tc>
        <w:tc>
          <w:tcPr>
            <w:tcW w:w="1440" w:type="dxa"/>
            <w:tcBorders>
              <w:top w:val="nil"/>
              <w:left w:val="nil"/>
              <w:bottom w:val="single" w:sz="4" w:space="0" w:color="BFBFBF"/>
              <w:right w:val="single" w:sz="4" w:space="0" w:color="BFBFBF"/>
            </w:tcBorders>
            <w:shd w:val="clear" w:color="auto" w:fill="auto"/>
            <w:vAlign w:val="center"/>
            <w:hideMark/>
          </w:tcPr>
          <w:p w:rsidR="003874DE" w:rsidRPr="003874DE" w:rsidRDefault="003874DE" w:rsidP="003874DE">
            <w:pPr>
              <w:jc w:val="center"/>
              <w:rPr>
                <w:rFonts w:ascii="Segoe UI" w:hAnsi="Segoe UI" w:cs="Segoe UI"/>
                <w:sz w:val="17"/>
                <w:szCs w:val="17"/>
                <w:lang w:val="es-AR" w:eastAsia="es-AR"/>
              </w:rPr>
            </w:pPr>
            <w:r w:rsidRPr="003874DE">
              <w:rPr>
                <w:rFonts w:ascii="Segoe UI" w:hAnsi="Segoe UI" w:cs="Segoe UI"/>
                <w:sz w:val="17"/>
                <w:szCs w:val="17"/>
                <w:lang w:val="es-AR" w:eastAsia="es-AR"/>
              </w:rPr>
              <w:t>0,4500003</w:t>
            </w:r>
          </w:p>
        </w:tc>
        <w:tc>
          <w:tcPr>
            <w:tcW w:w="1660" w:type="dxa"/>
            <w:tcBorders>
              <w:top w:val="nil"/>
              <w:left w:val="nil"/>
              <w:bottom w:val="single" w:sz="4" w:space="0" w:color="BFBFBF"/>
              <w:right w:val="single" w:sz="4" w:space="0" w:color="BFBFBF"/>
            </w:tcBorders>
            <w:shd w:val="clear" w:color="auto" w:fill="auto"/>
            <w:vAlign w:val="center"/>
            <w:hideMark/>
          </w:tcPr>
          <w:p w:rsidR="003874DE" w:rsidRPr="003874DE" w:rsidRDefault="003874DE" w:rsidP="003874DE">
            <w:pPr>
              <w:jc w:val="center"/>
              <w:rPr>
                <w:rFonts w:ascii="Segoe UI" w:hAnsi="Segoe UI" w:cs="Segoe UI"/>
                <w:sz w:val="17"/>
                <w:szCs w:val="17"/>
                <w:lang w:val="es-AR" w:eastAsia="es-AR"/>
              </w:rPr>
            </w:pPr>
            <w:r w:rsidRPr="003874DE">
              <w:rPr>
                <w:rFonts w:ascii="Segoe UI" w:hAnsi="Segoe UI" w:cs="Segoe UI"/>
                <w:sz w:val="17"/>
                <w:szCs w:val="17"/>
                <w:lang w:val="es-AR" w:eastAsia="es-AR"/>
              </w:rPr>
              <w:t>0,6286248</w:t>
            </w:r>
          </w:p>
        </w:tc>
      </w:tr>
      <w:tr w:rsidR="003874DE" w:rsidRPr="003874DE" w:rsidTr="008005CB">
        <w:trPr>
          <w:trHeight w:val="990"/>
        </w:trPr>
        <w:tc>
          <w:tcPr>
            <w:tcW w:w="2140" w:type="dxa"/>
            <w:tcBorders>
              <w:top w:val="nil"/>
              <w:left w:val="nil"/>
              <w:bottom w:val="single" w:sz="4" w:space="0" w:color="BFBFBF"/>
              <w:right w:val="single" w:sz="4" w:space="0" w:color="BFBFBF"/>
            </w:tcBorders>
            <w:shd w:val="clear" w:color="auto" w:fill="auto"/>
            <w:vAlign w:val="center"/>
            <w:hideMark/>
          </w:tcPr>
          <w:p w:rsidR="003874DE" w:rsidRPr="003874DE" w:rsidRDefault="003874DE" w:rsidP="003874DE">
            <w:pPr>
              <w:rPr>
                <w:rFonts w:ascii="Segoe UI" w:hAnsi="Segoe UI" w:cs="Segoe UI"/>
                <w:sz w:val="17"/>
                <w:szCs w:val="17"/>
                <w:lang w:val="es-AR" w:eastAsia="es-AR"/>
              </w:rPr>
            </w:pPr>
            <w:r w:rsidRPr="003874DE">
              <w:rPr>
                <w:rFonts w:ascii="Segoe UI" w:hAnsi="Segoe UI" w:cs="Segoe UI"/>
                <w:sz w:val="17"/>
                <w:szCs w:val="17"/>
                <w:lang w:val="es-AR" w:eastAsia="es-AR"/>
              </w:rPr>
              <w:t>Benef  SAT Bienes hogar (%)</w:t>
            </w:r>
          </w:p>
        </w:tc>
        <w:tc>
          <w:tcPr>
            <w:tcW w:w="2495" w:type="dxa"/>
            <w:tcBorders>
              <w:top w:val="nil"/>
              <w:left w:val="nil"/>
              <w:bottom w:val="single" w:sz="4" w:space="0" w:color="BFBFBF"/>
              <w:right w:val="single" w:sz="4" w:space="0" w:color="BFBFBF"/>
            </w:tcBorders>
            <w:shd w:val="clear" w:color="auto" w:fill="auto"/>
            <w:noWrap/>
            <w:vAlign w:val="center"/>
            <w:hideMark/>
          </w:tcPr>
          <w:p w:rsidR="003874DE" w:rsidRPr="003874DE" w:rsidRDefault="003874DE" w:rsidP="003874DE">
            <w:pPr>
              <w:rPr>
                <w:rFonts w:cs="Arial"/>
                <w:lang w:val="es-AR" w:eastAsia="es-AR"/>
              </w:rPr>
            </w:pPr>
            <w:r>
              <w:rPr>
                <w:rFonts w:cs="Arial"/>
                <w:noProof/>
              </w:rPr>
              <w:drawing>
                <wp:anchor distT="0" distB="0" distL="114300" distR="114300" simplePos="0" relativeHeight="251664384" behindDoc="0" locked="0" layoutInCell="1" allowOverlap="1" wp14:anchorId="2F36D30F" wp14:editId="654BB280">
                  <wp:simplePos x="0" y="0"/>
                  <wp:positionH relativeFrom="column">
                    <wp:posOffset>85725</wp:posOffset>
                  </wp:positionH>
                  <wp:positionV relativeFrom="paragraph">
                    <wp:posOffset>9525</wp:posOffset>
                  </wp:positionV>
                  <wp:extent cx="1219200" cy="609600"/>
                  <wp:effectExtent l="0" t="0" r="0" b="0"/>
                  <wp:wrapNone/>
                  <wp:docPr id="6" name="Imagen 6" descr="D:\ActiveReports.emf"/>
                  <wp:cNvGraphicFramePr/>
                  <a:graphic xmlns:a="http://schemas.openxmlformats.org/drawingml/2006/main">
                    <a:graphicData uri="http://schemas.openxmlformats.org/drawingml/2006/picture">
                      <pic:pic xmlns:pic="http://schemas.openxmlformats.org/drawingml/2006/picture">
                        <pic:nvPicPr>
                          <pic:cNvPr id="22" name="Picture 3" descr="D:\ActiveReports.e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19200" cy="6096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c>
        <w:tc>
          <w:tcPr>
            <w:tcW w:w="1600" w:type="dxa"/>
            <w:tcBorders>
              <w:top w:val="nil"/>
              <w:left w:val="nil"/>
              <w:bottom w:val="single" w:sz="4" w:space="0" w:color="BFBFBF"/>
              <w:right w:val="single" w:sz="4" w:space="0" w:color="BFBFBF"/>
            </w:tcBorders>
            <w:shd w:val="clear" w:color="auto" w:fill="auto"/>
            <w:vAlign w:val="center"/>
            <w:hideMark/>
          </w:tcPr>
          <w:p w:rsidR="003874DE" w:rsidRPr="003874DE" w:rsidRDefault="003874DE" w:rsidP="003874DE">
            <w:pPr>
              <w:jc w:val="center"/>
              <w:rPr>
                <w:rFonts w:ascii="Segoe UI" w:hAnsi="Segoe UI" w:cs="Segoe UI"/>
                <w:sz w:val="17"/>
                <w:szCs w:val="17"/>
                <w:lang w:val="es-AR" w:eastAsia="es-AR"/>
              </w:rPr>
            </w:pPr>
            <w:r w:rsidRPr="003874DE">
              <w:rPr>
                <w:rFonts w:ascii="Segoe UI" w:hAnsi="Segoe UI" w:cs="Segoe UI"/>
                <w:sz w:val="17"/>
                <w:szCs w:val="17"/>
                <w:lang w:val="es-AR" w:eastAsia="es-AR"/>
              </w:rPr>
              <w:t>-0,07356313</w:t>
            </w:r>
          </w:p>
        </w:tc>
        <w:tc>
          <w:tcPr>
            <w:tcW w:w="1440" w:type="dxa"/>
            <w:tcBorders>
              <w:top w:val="nil"/>
              <w:left w:val="nil"/>
              <w:bottom w:val="single" w:sz="4" w:space="0" w:color="BFBFBF"/>
              <w:right w:val="single" w:sz="4" w:space="0" w:color="BFBFBF"/>
            </w:tcBorders>
            <w:shd w:val="clear" w:color="auto" w:fill="auto"/>
            <w:vAlign w:val="center"/>
            <w:hideMark/>
          </w:tcPr>
          <w:p w:rsidR="003874DE" w:rsidRPr="003874DE" w:rsidRDefault="003874DE" w:rsidP="003874DE">
            <w:pPr>
              <w:jc w:val="center"/>
              <w:rPr>
                <w:rFonts w:ascii="Segoe UI" w:hAnsi="Segoe UI" w:cs="Segoe UI"/>
                <w:sz w:val="17"/>
                <w:szCs w:val="17"/>
                <w:lang w:val="es-AR" w:eastAsia="es-AR"/>
              </w:rPr>
            </w:pPr>
            <w:r w:rsidRPr="003874DE">
              <w:rPr>
                <w:rFonts w:ascii="Segoe UI" w:hAnsi="Segoe UI" w:cs="Segoe UI"/>
                <w:sz w:val="17"/>
                <w:szCs w:val="17"/>
                <w:lang w:val="es-AR" w:eastAsia="es-AR"/>
              </w:rPr>
              <w:t>0,3000037</w:t>
            </w:r>
          </w:p>
        </w:tc>
        <w:tc>
          <w:tcPr>
            <w:tcW w:w="1660" w:type="dxa"/>
            <w:tcBorders>
              <w:top w:val="nil"/>
              <w:left w:val="nil"/>
              <w:bottom w:val="single" w:sz="4" w:space="0" w:color="BFBFBF"/>
              <w:right w:val="single" w:sz="4" w:space="0" w:color="BFBFBF"/>
            </w:tcBorders>
            <w:shd w:val="clear" w:color="auto" w:fill="auto"/>
            <w:vAlign w:val="center"/>
            <w:hideMark/>
          </w:tcPr>
          <w:p w:rsidR="003874DE" w:rsidRPr="003874DE" w:rsidRDefault="003874DE" w:rsidP="003874DE">
            <w:pPr>
              <w:jc w:val="center"/>
              <w:rPr>
                <w:rFonts w:ascii="Segoe UI" w:hAnsi="Segoe UI" w:cs="Segoe UI"/>
                <w:sz w:val="17"/>
                <w:szCs w:val="17"/>
                <w:lang w:val="es-AR" w:eastAsia="es-AR"/>
              </w:rPr>
            </w:pPr>
            <w:r w:rsidRPr="003874DE">
              <w:rPr>
                <w:rFonts w:ascii="Segoe UI" w:hAnsi="Segoe UI" w:cs="Segoe UI"/>
                <w:sz w:val="17"/>
                <w:szCs w:val="17"/>
                <w:lang w:val="es-AR" w:eastAsia="es-AR"/>
              </w:rPr>
              <w:t>0,6896738</w:t>
            </w:r>
          </w:p>
        </w:tc>
      </w:tr>
      <w:tr w:rsidR="003874DE" w:rsidRPr="003874DE" w:rsidTr="008005CB">
        <w:trPr>
          <w:trHeight w:val="990"/>
        </w:trPr>
        <w:tc>
          <w:tcPr>
            <w:tcW w:w="2140" w:type="dxa"/>
            <w:tcBorders>
              <w:top w:val="nil"/>
              <w:left w:val="nil"/>
              <w:bottom w:val="single" w:sz="4" w:space="0" w:color="BFBFBF"/>
              <w:right w:val="single" w:sz="4" w:space="0" w:color="BFBFBF"/>
            </w:tcBorders>
            <w:shd w:val="clear" w:color="auto" w:fill="auto"/>
            <w:vAlign w:val="center"/>
            <w:hideMark/>
          </w:tcPr>
          <w:p w:rsidR="003874DE" w:rsidRPr="003874DE" w:rsidRDefault="003874DE" w:rsidP="003874DE">
            <w:pPr>
              <w:rPr>
                <w:rFonts w:ascii="Segoe UI" w:hAnsi="Segoe UI" w:cs="Segoe UI"/>
                <w:sz w:val="17"/>
                <w:szCs w:val="17"/>
                <w:lang w:val="es-AR" w:eastAsia="es-AR"/>
              </w:rPr>
            </w:pPr>
            <w:r w:rsidRPr="003874DE">
              <w:rPr>
                <w:rFonts w:ascii="Segoe UI" w:hAnsi="Segoe UI" w:cs="Segoe UI"/>
                <w:sz w:val="17"/>
                <w:szCs w:val="17"/>
                <w:lang w:val="es-AR" w:eastAsia="es-AR"/>
              </w:rPr>
              <w:t xml:space="preserve">Benef  SAT Equipos </w:t>
            </w:r>
            <w:r w:rsidR="00127AE3" w:rsidRPr="003874DE">
              <w:rPr>
                <w:rFonts w:ascii="Segoe UI" w:hAnsi="Segoe UI" w:cs="Segoe UI"/>
                <w:sz w:val="17"/>
                <w:szCs w:val="17"/>
                <w:lang w:val="es-AR" w:eastAsia="es-AR"/>
              </w:rPr>
              <w:t>móviles</w:t>
            </w:r>
            <w:r w:rsidRPr="003874DE">
              <w:rPr>
                <w:rFonts w:ascii="Segoe UI" w:hAnsi="Segoe UI" w:cs="Segoe UI"/>
                <w:sz w:val="17"/>
                <w:szCs w:val="17"/>
                <w:lang w:val="es-AR" w:eastAsia="es-AR"/>
              </w:rPr>
              <w:t xml:space="preserve"> (%)</w:t>
            </w:r>
          </w:p>
        </w:tc>
        <w:tc>
          <w:tcPr>
            <w:tcW w:w="2495" w:type="dxa"/>
            <w:tcBorders>
              <w:top w:val="nil"/>
              <w:left w:val="nil"/>
              <w:bottom w:val="single" w:sz="4" w:space="0" w:color="BFBFBF"/>
              <w:right w:val="single" w:sz="4" w:space="0" w:color="BFBFBF"/>
            </w:tcBorders>
            <w:shd w:val="clear" w:color="auto" w:fill="auto"/>
            <w:noWrap/>
            <w:vAlign w:val="center"/>
            <w:hideMark/>
          </w:tcPr>
          <w:p w:rsidR="003874DE" w:rsidRPr="003874DE" w:rsidRDefault="003874DE" w:rsidP="003874DE">
            <w:pPr>
              <w:rPr>
                <w:rFonts w:cs="Arial"/>
                <w:lang w:val="es-AR" w:eastAsia="es-AR"/>
              </w:rPr>
            </w:pPr>
            <w:r>
              <w:rPr>
                <w:rFonts w:cs="Arial"/>
                <w:noProof/>
              </w:rPr>
              <w:drawing>
                <wp:anchor distT="0" distB="0" distL="114300" distR="114300" simplePos="0" relativeHeight="251665408" behindDoc="0" locked="0" layoutInCell="1" allowOverlap="1" wp14:anchorId="240BC05A" wp14:editId="71DF0D17">
                  <wp:simplePos x="0" y="0"/>
                  <wp:positionH relativeFrom="column">
                    <wp:posOffset>123825</wp:posOffset>
                  </wp:positionH>
                  <wp:positionV relativeFrom="paragraph">
                    <wp:posOffset>19050</wp:posOffset>
                  </wp:positionV>
                  <wp:extent cx="1190625" cy="590550"/>
                  <wp:effectExtent l="0" t="0" r="0" b="0"/>
                  <wp:wrapNone/>
                  <wp:docPr id="23" name="Imagen 23" descr="D:\ActiveReports.emf"/>
                  <wp:cNvGraphicFramePr/>
                  <a:graphic xmlns:a="http://schemas.openxmlformats.org/drawingml/2006/main">
                    <a:graphicData uri="http://schemas.openxmlformats.org/drawingml/2006/picture">
                      <pic:pic xmlns:pic="http://schemas.openxmlformats.org/drawingml/2006/picture">
                        <pic:nvPicPr>
                          <pic:cNvPr id="23" name="Picture 4" descr="D:\ActiveReports.e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90625" cy="595313"/>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c>
        <w:tc>
          <w:tcPr>
            <w:tcW w:w="1600" w:type="dxa"/>
            <w:tcBorders>
              <w:top w:val="nil"/>
              <w:left w:val="nil"/>
              <w:bottom w:val="single" w:sz="4" w:space="0" w:color="BFBFBF"/>
              <w:right w:val="single" w:sz="4" w:space="0" w:color="BFBFBF"/>
            </w:tcBorders>
            <w:shd w:val="clear" w:color="auto" w:fill="auto"/>
            <w:vAlign w:val="center"/>
            <w:hideMark/>
          </w:tcPr>
          <w:p w:rsidR="003874DE" w:rsidRPr="003874DE" w:rsidRDefault="003874DE" w:rsidP="003874DE">
            <w:pPr>
              <w:jc w:val="center"/>
              <w:rPr>
                <w:rFonts w:ascii="Segoe UI" w:hAnsi="Segoe UI" w:cs="Segoe UI"/>
                <w:sz w:val="17"/>
                <w:szCs w:val="17"/>
                <w:lang w:val="es-AR" w:eastAsia="es-AR"/>
              </w:rPr>
            </w:pPr>
            <w:r w:rsidRPr="003874DE">
              <w:rPr>
                <w:rFonts w:ascii="Segoe UI" w:hAnsi="Segoe UI" w:cs="Segoe UI"/>
                <w:sz w:val="17"/>
                <w:szCs w:val="17"/>
                <w:lang w:val="es-AR" w:eastAsia="es-AR"/>
              </w:rPr>
              <w:t>0,2181971</w:t>
            </w:r>
          </w:p>
        </w:tc>
        <w:tc>
          <w:tcPr>
            <w:tcW w:w="1440" w:type="dxa"/>
            <w:tcBorders>
              <w:top w:val="nil"/>
              <w:left w:val="nil"/>
              <w:bottom w:val="single" w:sz="4" w:space="0" w:color="BFBFBF"/>
              <w:right w:val="single" w:sz="4" w:space="0" w:color="BFBFBF"/>
            </w:tcBorders>
            <w:shd w:val="clear" w:color="auto" w:fill="auto"/>
            <w:vAlign w:val="center"/>
            <w:hideMark/>
          </w:tcPr>
          <w:p w:rsidR="003874DE" w:rsidRPr="003874DE" w:rsidRDefault="003874DE" w:rsidP="003874DE">
            <w:pPr>
              <w:jc w:val="center"/>
              <w:rPr>
                <w:rFonts w:ascii="Segoe UI" w:hAnsi="Segoe UI" w:cs="Segoe UI"/>
                <w:sz w:val="17"/>
                <w:szCs w:val="17"/>
                <w:lang w:val="es-AR" w:eastAsia="es-AR"/>
              </w:rPr>
            </w:pPr>
            <w:r w:rsidRPr="003874DE">
              <w:rPr>
                <w:rFonts w:ascii="Segoe UI" w:hAnsi="Segoe UI" w:cs="Segoe UI"/>
                <w:sz w:val="17"/>
                <w:szCs w:val="17"/>
                <w:lang w:val="es-AR" w:eastAsia="es-AR"/>
              </w:rPr>
              <w:t>0,4000004</w:t>
            </w:r>
          </w:p>
        </w:tc>
        <w:tc>
          <w:tcPr>
            <w:tcW w:w="1660" w:type="dxa"/>
            <w:tcBorders>
              <w:top w:val="nil"/>
              <w:left w:val="nil"/>
              <w:bottom w:val="single" w:sz="4" w:space="0" w:color="BFBFBF"/>
              <w:right w:val="single" w:sz="4" w:space="0" w:color="BFBFBF"/>
            </w:tcBorders>
            <w:shd w:val="clear" w:color="auto" w:fill="auto"/>
            <w:vAlign w:val="center"/>
            <w:hideMark/>
          </w:tcPr>
          <w:p w:rsidR="003874DE" w:rsidRPr="003874DE" w:rsidRDefault="003874DE" w:rsidP="003874DE">
            <w:pPr>
              <w:jc w:val="center"/>
              <w:rPr>
                <w:rFonts w:ascii="Segoe UI" w:hAnsi="Segoe UI" w:cs="Segoe UI"/>
                <w:sz w:val="17"/>
                <w:szCs w:val="17"/>
                <w:lang w:val="es-AR" w:eastAsia="es-AR"/>
              </w:rPr>
            </w:pPr>
            <w:r w:rsidRPr="003874DE">
              <w:rPr>
                <w:rFonts w:ascii="Segoe UI" w:hAnsi="Segoe UI" w:cs="Segoe UI"/>
                <w:sz w:val="17"/>
                <w:szCs w:val="17"/>
                <w:lang w:val="es-AR" w:eastAsia="es-AR"/>
              </w:rPr>
              <w:t>0,5827108</w:t>
            </w:r>
          </w:p>
        </w:tc>
      </w:tr>
      <w:tr w:rsidR="003874DE" w:rsidRPr="003874DE" w:rsidTr="008005CB">
        <w:trPr>
          <w:trHeight w:val="1081"/>
        </w:trPr>
        <w:tc>
          <w:tcPr>
            <w:tcW w:w="2140" w:type="dxa"/>
            <w:tcBorders>
              <w:top w:val="nil"/>
              <w:left w:val="nil"/>
              <w:bottom w:val="single" w:sz="4" w:space="0" w:color="BFBFBF"/>
              <w:right w:val="single" w:sz="4" w:space="0" w:color="BFBFBF"/>
            </w:tcBorders>
            <w:shd w:val="clear" w:color="auto" w:fill="auto"/>
            <w:vAlign w:val="center"/>
            <w:hideMark/>
          </w:tcPr>
          <w:p w:rsidR="003874DE" w:rsidRPr="003874DE" w:rsidRDefault="003874DE" w:rsidP="003874DE">
            <w:pPr>
              <w:rPr>
                <w:rFonts w:ascii="Segoe UI" w:hAnsi="Segoe UI" w:cs="Segoe UI"/>
                <w:sz w:val="17"/>
                <w:szCs w:val="17"/>
                <w:lang w:val="es-AR" w:eastAsia="es-AR"/>
              </w:rPr>
            </w:pPr>
            <w:r w:rsidRPr="003874DE">
              <w:rPr>
                <w:rFonts w:ascii="Segoe UI" w:hAnsi="Segoe UI" w:cs="Segoe UI"/>
                <w:sz w:val="17"/>
                <w:szCs w:val="17"/>
                <w:lang w:val="es-AR" w:eastAsia="es-AR"/>
              </w:rPr>
              <w:t>Benef SAT Actividad (%)</w:t>
            </w:r>
          </w:p>
        </w:tc>
        <w:tc>
          <w:tcPr>
            <w:tcW w:w="2495" w:type="dxa"/>
            <w:tcBorders>
              <w:top w:val="nil"/>
              <w:left w:val="nil"/>
              <w:bottom w:val="single" w:sz="4" w:space="0" w:color="BFBFBF"/>
              <w:right w:val="single" w:sz="4" w:space="0" w:color="BFBFBF"/>
            </w:tcBorders>
            <w:shd w:val="clear" w:color="auto" w:fill="auto"/>
            <w:noWrap/>
            <w:vAlign w:val="center"/>
            <w:hideMark/>
          </w:tcPr>
          <w:p w:rsidR="003874DE" w:rsidRPr="003874DE" w:rsidRDefault="003874DE" w:rsidP="003874DE">
            <w:pPr>
              <w:rPr>
                <w:rFonts w:cs="Arial"/>
                <w:lang w:val="es-AR" w:eastAsia="es-AR"/>
              </w:rPr>
            </w:pPr>
            <w:r>
              <w:rPr>
                <w:rFonts w:cs="Arial"/>
                <w:noProof/>
              </w:rPr>
              <w:drawing>
                <wp:anchor distT="0" distB="0" distL="114300" distR="114300" simplePos="0" relativeHeight="251666432" behindDoc="0" locked="0" layoutInCell="1" allowOverlap="1" wp14:anchorId="150627BD" wp14:editId="282F4538">
                  <wp:simplePos x="0" y="0"/>
                  <wp:positionH relativeFrom="column">
                    <wp:posOffset>123825</wp:posOffset>
                  </wp:positionH>
                  <wp:positionV relativeFrom="paragraph">
                    <wp:posOffset>9525</wp:posOffset>
                  </wp:positionV>
                  <wp:extent cx="1200150" cy="609600"/>
                  <wp:effectExtent l="0" t="0" r="0" b="0"/>
                  <wp:wrapNone/>
                  <wp:docPr id="24" name="Imagen 24" descr="D:\ActiveReports.emf"/>
                  <wp:cNvGraphicFramePr/>
                  <a:graphic xmlns:a="http://schemas.openxmlformats.org/drawingml/2006/main">
                    <a:graphicData uri="http://schemas.openxmlformats.org/drawingml/2006/picture">
                      <pic:pic xmlns:pic="http://schemas.openxmlformats.org/drawingml/2006/picture">
                        <pic:nvPicPr>
                          <pic:cNvPr id="24" name="Picture 5" descr="D:\ActiveReports.e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00150" cy="6096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c>
        <w:tc>
          <w:tcPr>
            <w:tcW w:w="1600" w:type="dxa"/>
            <w:tcBorders>
              <w:top w:val="nil"/>
              <w:left w:val="nil"/>
              <w:bottom w:val="single" w:sz="4" w:space="0" w:color="BFBFBF"/>
              <w:right w:val="single" w:sz="4" w:space="0" w:color="BFBFBF"/>
            </w:tcBorders>
            <w:shd w:val="clear" w:color="auto" w:fill="auto"/>
            <w:vAlign w:val="center"/>
            <w:hideMark/>
          </w:tcPr>
          <w:p w:rsidR="003874DE" w:rsidRPr="003874DE" w:rsidRDefault="003874DE" w:rsidP="003874DE">
            <w:pPr>
              <w:jc w:val="center"/>
              <w:rPr>
                <w:rFonts w:ascii="Segoe UI" w:hAnsi="Segoe UI" w:cs="Segoe UI"/>
                <w:sz w:val="17"/>
                <w:szCs w:val="17"/>
                <w:lang w:val="es-AR" w:eastAsia="es-AR"/>
              </w:rPr>
            </w:pPr>
            <w:r w:rsidRPr="003874DE">
              <w:rPr>
                <w:rFonts w:ascii="Segoe UI" w:hAnsi="Segoe UI" w:cs="Segoe UI"/>
                <w:sz w:val="17"/>
                <w:szCs w:val="17"/>
                <w:lang w:val="es-AR" w:eastAsia="es-AR"/>
              </w:rPr>
              <w:t>-0,1165407</w:t>
            </w:r>
          </w:p>
        </w:tc>
        <w:tc>
          <w:tcPr>
            <w:tcW w:w="1440" w:type="dxa"/>
            <w:tcBorders>
              <w:top w:val="nil"/>
              <w:left w:val="nil"/>
              <w:bottom w:val="single" w:sz="4" w:space="0" w:color="BFBFBF"/>
              <w:right w:val="single" w:sz="4" w:space="0" w:color="BFBFBF"/>
            </w:tcBorders>
            <w:shd w:val="clear" w:color="auto" w:fill="auto"/>
            <w:vAlign w:val="center"/>
            <w:hideMark/>
          </w:tcPr>
          <w:p w:rsidR="003874DE" w:rsidRPr="003874DE" w:rsidRDefault="003874DE" w:rsidP="003874DE">
            <w:pPr>
              <w:jc w:val="center"/>
              <w:rPr>
                <w:rFonts w:ascii="Segoe UI" w:hAnsi="Segoe UI" w:cs="Segoe UI"/>
                <w:sz w:val="17"/>
                <w:szCs w:val="17"/>
                <w:lang w:val="es-AR" w:eastAsia="es-AR"/>
              </w:rPr>
            </w:pPr>
            <w:r w:rsidRPr="003874DE">
              <w:rPr>
                <w:rFonts w:ascii="Segoe UI" w:hAnsi="Segoe UI" w:cs="Segoe UI"/>
                <w:sz w:val="17"/>
                <w:szCs w:val="17"/>
                <w:lang w:val="es-AR" w:eastAsia="es-AR"/>
              </w:rPr>
              <w:t>0,2999964</w:t>
            </w:r>
          </w:p>
        </w:tc>
        <w:tc>
          <w:tcPr>
            <w:tcW w:w="1660" w:type="dxa"/>
            <w:tcBorders>
              <w:top w:val="nil"/>
              <w:left w:val="nil"/>
              <w:bottom w:val="single" w:sz="4" w:space="0" w:color="BFBFBF"/>
              <w:right w:val="single" w:sz="4" w:space="0" w:color="BFBFBF"/>
            </w:tcBorders>
            <w:shd w:val="clear" w:color="auto" w:fill="auto"/>
            <w:vAlign w:val="center"/>
            <w:hideMark/>
          </w:tcPr>
          <w:p w:rsidR="003874DE" w:rsidRPr="003874DE" w:rsidRDefault="003874DE" w:rsidP="003874DE">
            <w:pPr>
              <w:jc w:val="center"/>
              <w:rPr>
                <w:rFonts w:ascii="Segoe UI" w:hAnsi="Segoe UI" w:cs="Segoe UI"/>
                <w:sz w:val="17"/>
                <w:szCs w:val="17"/>
                <w:lang w:val="es-AR" w:eastAsia="es-AR"/>
              </w:rPr>
            </w:pPr>
            <w:r w:rsidRPr="003874DE">
              <w:rPr>
                <w:rFonts w:ascii="Segoe UI" w:hAnsi="Segoe UI" w:cs="Segoe UI"/>
                <w:sz w:val="17"/>
                <w:szCs w:val="17"/>
                <w:lang w:val="es-AR" w:eastAsia="es-AR"/>
              </w:rPr>
              <w:t>0,6748106</w:t>
            </w:r>
          </w:p>
        </w:tc>
      </w:tr>
      <w:tr w:rsidR="003874DE" w:rsidRPr="003874DE" w:rsidTr="008005CB">
        <w:trPr>
          <w:trHeight w:val="1281"/>
        </w:trPr>
        <w:tc>
          <w:tcPr>
            <w:tcW w:w="2140" w:type="dxa"/>
            <w:tcBorders>
              <w:top w:val="nil"/>
              <w:left w:val="nil"/>
              <w:bottom w:val="single" w:sz="4" w:space="0" w:color="BFBFBF"/>
              <w:right w:val="single" w:sz="4" w:space="0" w:color="BFBFBF"/>
            </w:tcBorders>
            <w:shd w:val="clear" w:color="auto" w:fill="auto"/>
            <w:vAlign w:val="center"/>
            <w:hideMark/>
          </w:tcPr>
          <w:p w:rsidR="003874DE" w:rsidRPr="003874DE" w:rsidRDefault="003874DE" w:rsidP="003874DE">
            <w:pPr>
              <w:rPr>
                <w:rFonts w:ascii="Segoe UI" w:hAnsi="Segoe UI" w:cs="Segoe UI"/>
                <w:sz w:val="17"/>
                <w:szCs w:val="17"/>
                <w:lang w:val="es-AR" w:eastAsia="es-AR"/>
              </w:rPr>
            </w:pPr>
            <w:r w:rsidRPr="003874DE">
              <w:rPr>
                <w:rFonts w:ascii="Segoe UI" w:hAnsi="Segoe UI" w:cs="Segoe UI"/>
                <w:sz w:val="17"/>
                <w:szCs w:val="17"/>
                <w:lang w:val="es-AR" w:eastAsia="es-AR"/>
              </w:rPr>
              <w:t>Valor Estadístico Vida (US$ 000)</w:t>
            </w:r>
          </w:p>
        </w:tc>
        <w:tc>
          <w:tcPr>
            <w:tcW w:w="2495" w:type="dxa"/>
            <w:vMerge w:val="restart"/>
            <w:tcBorders>
              <w:top w:val="nil"/>
              <w:left w:val="nil"/>
              <w:bottom w:val="single" w:sz="4" w:space="0" w:color="BFBFBF"/>
              <w:right w:val="single" w:sz="4" w:space="0" w:color="BFBFBF"/>
            </w:tcBorders>
            <w:shd w:val="clear" w:color="auto" w:fill="auto"/>
            <w:noWrap/>
            <w:vAlign w:val="center"/>
            <w:hideMark/>
          </w:tcPr>
          <w:p w:rsidR="003874DE" w:rsidRPr="003874DE" w:rsidRDefault="003874DE" w:rsidP="003874DE">
            <w:pPr>
              <w:rPr>
                <w:rFonts w:cs="Arial"/>
                <w:lang w:val="es-AR" w:eastAsia="es-AR"/>
              </w:rPr>
            </w:pPr>
            <w:r>
              <w:rPr>
                <w:rFonts w:cs="Arial"/>
                <w:noProof/>
              </w:rPr>
              <w:drawing>
                <wp:anchor distT="0" distB="0" distL="114300" distR="114300" simplePos="0" relativeHeight="251671552" behindDoc="0" locked="0" layoutInCell="1" allowOverlap="1" wp14:anchorId="387F3ABA" wp14:editId="03FCD30E">
                  <wp:simplePos x="0" y="0"/>
                  <wp:positionH relativeFrom="column">
                    <wp:posOffset>3810</wp:posOffset>
                  </wp:positionH>
                  <wp:positionV relativeFrom="paragraph">
                    <wp:posOffset>-47625</wp:posOffset>
                  </wp:positionV>
                  <wp:extent cx="1464945" cy="694055"/>
                  <wp:effectExtent l="0" t="0" r="0" b="0"/>
                  <wp:wrapNone/>
                  <wp:docPr id="5" name="Imagen 5"/>
                  <wp:cNvGraphicFramePr/>
                  <a:graphic xmlns:a="http://schemas.openxmlformats.org/drawingml/2006/main">
                    <a:graphicData uri="http://schemas.openxmlformats.org/drawingml/2006/picture">
                      <pic:pic xmlns:pic="http://schemas.openxmlformats.org/drawingml/2006/picture">
                        <pic:nvPicPr>
                          <pic:cNvPr id="34" name="33 Image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64945" cy="694055"/>
                          </a:xfrm>
                          <a:prstGeom prst="rect">
                            <a:avLst/>
                          </a:prstGeom>
                          <a:noFill/>
                          <a:extLst/>
                        </pic:spPr>
                      </pic:pic>
                    </a:graphicData>
                  </a:graphic>
                </wp:anchor>
              </w:drawing>
            </w:r>
            <w:r>
              <w:rPr>
                <w:rFonts w:cs="Arial"/>
                <w:noProof/>
              </w:rPr>
              <w:drawing>
                <wp:anchor distT="0" distB="0" distL="114300" distR="114300" simplePos="0" relativeHeight="251667456" behindDoc="0" locked="0" layoutInCell="1" allowOverlap="1" wp14:anchorId="15397FA1" wp14:editId="59E1F829">
                  <wp:simplePos x="0" y="0"/>
                  <wp:positionH relativeFrom="column">
                    <wp:posOffset>142875</wp:posOffset>
                  </wp:positionH>
                  <wp:positionV relativeFrom="paragraph">
                    <wp:posOffset>704850</wp:posOffset>
                  </wp:positionV>
                  <wp:extent cx="1276350" cy="609600"/>
                  <wp:effectExtent l="0" t="0" r="0" b="0"/>
                  <wp:wrapNone/>
                  <wp:docPr id="26" name="Imagen 26" descr="D:\ActiveReports.emf"/>
                  <wp:cNvGraphicFramePr/>
                  <a:graphic xmlns:a="http://schemas.openxmlformats.org/drawingml/2006/main">
                    <a:graphicData uri="http://schemas.openxmlformats.org/drawingml/2006/picture">
                      <pic:pic xmlns:pic="http://schemas.openxmlformats.org/drawingml/2006/picture">
                        <pic:nvPicPr>
                          <pic:cNvPr id="26" name="Picture 7" descr="D:\ActiveReports.em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68962" cy="609599"/>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c>
        <w:tc>
          <w:tcPr>
            <w:tcW w:w="1600" w:type="dxa"/>
            <w:tcBorders>
              <w:top w:val="nil"/>
              <w:left w:val="nil"/>
              <w:bottom w:val="single" w:sz="4" w:space="0" w:color="BFBFBF"/>
              <w:right w:val="single" w:sz="4" w:space="0" w:color="BFBFBF"/>
            </w:tcBorders>
            <w:shd w:val="clear" w:color="auto" w:fill="auto"/>
            <w:vAlign w:val="center"/>
            <w:hideMark/>
          </w:tcPr>
          <w:p w:rsidR="003874DE" w:rsidRPr="003874DE" w:rsidRDefault="003874DE" w:rsidP="003874DE">
            <w:pPr>
              <w:jc w:val="center"/>
              <w:rPr>
                <w:rFonts w:ascii="Segoe UI" w:hAnsi="Segoe UI" w:cs="Segoe UI"/>
                <w:sz w:val="17"/>
                <w:szCs w:val="17"/>
                <w:lang w:val="es-AR" w:eastAsia="es-AR"/>
              </w:rPr>
            </w:pPr>
            <w:r w:rsidRPr="003874DE">
              <w:rPr>
                <w:rFonts w:ascii="Segoe UI" w:hAnsi="Segoe UI" w:cs="Segoe UI"/>
                <w:sz w:val="17"/>
                <w:szCs w:val="17"/>
                <w:lang w:val="es-AR" w:eastAsia="es-AR"/>
              </w:rPr>
              <w:t>111,7123</w:t>
            </w:r>
          </w:p>
        </w:tc>
        <w:tc>
          <w:tcPr>
            <w:tcW w:w="1440" w:type="dxa"/>
            <w:tcBorders>
              <w:top w:val="nil"/>
              <w:left w:val="nil"/>
              <w:bottom w:val="single" w:sz="4" w:space="0" w:color="BFBFBF"/>
              <w:right w:val="single" w:sz="4" w:space="0" w:color="BFBFBF"/>
            </w:tcBorders>
            <w:shd w:val="clear" w:color="auto" w:fill="auto"/>
            <w:vAlign w:val="center"/>
            <w:hideMark/>
          </w:tcPr>
          <w:p w:rsidR="003874DE" w:rsidRPr="003874DE" w:rsidRDefault="003874DE" w:rsidP="003874DE">
            <w:pPr>
              <w:jc w:val="center"/>
              <w:rPr>
                <w:rFonts w:ascii="Segoe UI" w:hAnsi="Segoe UI" w:cs="Segoe UI"/>
                <w:sz w:val="17"/>
                <w:szCs w:val="17"/>
                <w:lang w:val="es-AR" w:eastAsia="es-AR"/>
              </w:rPr>
            </w:pPr>
            <w:r w:rsidRPr="003874DE">
              <w:rPr>
                <w:rFonts w:ascii="Segoe UI" w:hAnsi="Segoe UI" w:cs="Segoe UI"/>
                <w:sz w:val="17"/>
                <w:szCs w:val="17"/>
                <w:lang w:val="es-AR" w:eastAsia="es-AR"/>
              </w:rPr>
              <w:t>283</w:t>
            </w:r>
          </w:p>
        </w:tc>
        <w:tc>
          <w:tcPr>
            <w:tcW w:w="1660" w:type="dxa"/>
            <w:tcBorders>
              <w:top w:val="nil"/>
              <w:left w:val="nil"/>
              <w:bottom w:val="single" w:sz="4" w:space="0" w:color="BFBFBF"/>
              <w:right w:val="single" w:sz="4" w:space="0" w:color="BFBFBF"/>
            </w:tcBorders>
            <w:shd w:val="clear" w:color="auto" w:fill="auto"/>
            <w:vAlign w:val="center"/>
            <w:hideMark/>
          </w:tcPr>
          <w:p w:rsidR="003874DE" w:rsidRPr="003874DE" w:rsidRDefault="003874DE" w:rsidP="003874DE">
            <w:pPr>
              <w:jc w:val="center"/>
              <w:rPr>
                <w:rFonts w:ascii="Segoe UI" w:hAnsi="Segoe UI" w:cs="Segoe UI"/>
                <w:sz w:val="17"/>
                <w:szCs w:val="17"/>
                <w:lang w:val="es-AR" w:eastAsia="es-AR"/>
              </w:rPr>
            </w:pPr>
            <w:r w:rsidRPr="003874DE">
              <w:rPr>
                <w:rFonts w:ascii="Segoe UI" w:hAnsi="Segoe UI" w:cs="Segoe UI"/>
                <w:sz w:val="17"/>
                <w:szCs w:val="17"/>
                <w:lang w:val="es-AR" w:eastAsia="es-AR"/>
              </w:rPr>
              <w:t>453,6382</w:t>
            </w:r>
          </w:p>
        </w:tc>
      </w:tr>
      <w:tr w:rsidR="003874DE" w:rsidRPr="003874DE" w:rsidTr="008005CB">
        <w:trPr>
          <w:trHeight w:val="1154"/>
        </w:trPr>
        <w:tc>
          <w:tcPr>
            <w:tcW w:w="2140" w:type="dxa"/>
            <w:tcBorders>
              <w:top w:val="nil"/>
              <w:left w:val="nil"/>
              <w:bottom w:val="single" w:sz="4" w:space="0" w:color="BFBFBF"/>
              <w:right w:val="single" w:sz="4" w:space="0" w:color="BFBFBF"/>
            </w:tcBorders>
            <w:shd w:val="clear" w:color="auto" w:fill="auto"/>
            <w:vAlign w:val="center"/>
            <w:hideMark/>
          </w:tcPr>
          <w:p w:rsidR="003874DE" w:rsidRPr="003874DE" w:rsidRDefault="003874DE" w:rsidP="003874DE">
            <w:pPr>
              <w:rPr>
                <w:rFonts w:ascii="Segoe UI" w:hAnsi="Segoe UI" w:cs="Segoe UI"/>
                <w:sz w:val="17"/>
                <w:szCs w:val="17"/>
                <w:lang w:val="es-AR" w:eastAsia="es-AR"/>
              </w:rPr>
            </w:pPr>
            <w:r w:rsidRPr="003874DE">
              <w:rPr>
                <w:rFonts w:ascii="Segoe UI" w:hAnsi="Segoe UI" w:cs="Segoe UI"/>
                <w:sz w:val="17"/>
                <w:szCs w:val="17"/>
                <w:lang w:val="es-AR" w:eastAsia="es-AR"/>
              </w:rPr>
              <w:t>Costo promedio bienes hogar (US$ 000)</w:t>
            </w:r>
          </w:p>
        </w:tc>
        <w:tc>
          <w:tcPr>
            <w:tcW w:w="2495" w:type="dxa"/>
            <w:vMerge/>
            <w:tcBorders>
              <w:top w:val="nil"/>
              <w:left w:val="nil"/>
              <w:bottom w:val="single" w:sz="4" w:space="0" w:color="BFBFBF"/>
              <w:right w:val="single" w:sz="4" w:space="0" w:color="BFBFBF"/>
            </w:tcBorders>
            <w:vAlign w:val="center"/>
            <w:hideMark/>
          </w:tcPr>
          <w:p w:rsidR="003874DE" w:rsidRPr="003874DE" w:rsidRDefault="003874DE" w:rsidP="003874DE">
            <w:pPr>
              <w:rPr>
                <w:rFonts w:cs="Arial"/>
                <w:lang w:val="es-AR" w:eastAsia="es-AR"/>
              </w:rPr>
            </w:pPr>
          </w:p>
        </w:tc>
        <w:tc>
          <w:tcPr>
            <w:tcW w:w="1600" w:type="dxa"/>
            <w:tcBorders>
              <w:top w:val="nil"/>
              <w:left w:val="nil"/>
              <w:bottom w:val="single" w:sz="4" w:space="0" w:color="BFBFBF"/>
              <w:right w:val="single" w:sz="4" w:space="0" w:color="BFBFBF"/>
            </w:tcBorders>
            <w:shd w:val="clear" w:color="auto" w:fill="auto"/>
            <w:vAlign w:val="center"/>
            <w:hideMark/>
          </w:tcPr>
          <w:p w:rsidR="003874DE" w:rsidRPr="003874DE" w:rsidRDefault="003874DE" w:rsidP="003874DE">
            <w:pPr>
              <w:jc w:val="center"/>
              <w:rPr>
                <w:rFonts w:ascii="Segoe UI" w:hAnsi="Segoe UI" w:cs="Segoe UI"/>
                <w:sz w:val="17"/>
                <w:szCs w:val="17"/>
                <w:lang w:val="es-AR" w:eastAsia="es-AR"/>
              </w:rPr>
            </w:pPr>
            <w:r w:rsidRPr="003874DE">
              <w:rPr>
                <w:rFonts w:ascii="Segoe UI" w:hAnsi="Segoe UI" w:cs="Segoe UI"/>
                <w:sz w:val="17"/>
                <w:szCs w:val="17"/>
                <w:lang w:val="es-AR" w:eastAsia="es-AR"/>
              </w:rPr>
              <w:t>0,5</w:t>
            </w:r>
          </w:p>
        </w:tc>
        <w:tc>
          <w:tcPr>
            <w:tcW w:w="1440" w:type="dxa"/>
            <w:tcBorders>
              <w:top w:val="nil"/>
              <w:left w:val="nil"/>
              <w:bottom w:val="single" w:sz="4" w:space="0" w:color="BFBFBF"/>
              <w:right w:val="single" w:sz="4" w:space="0" w:color="BFBFBF"/>
            </w:tcBorders>
            <w:shd w:val="clear" w:color="auto" w:fill="auto"/>
            <w:vAlign w:val="center"/>
            <w:hideMark/>
          </w:tcPr>
          <w:p w:rsidR="003874DE" w:rsidRPr="003874DE" w:rsidRDefault="003874DE" w:rsidP="003874DE">
            <w:pPr>
              <w:jc w:val="center"/>
              <w:rPr>
                <w:rFonts w:ascii="Segoe UI" w:hAnsi="Segoe UI" w:cs="Segoe UI"/>
                <w:sz w:val="17"/>
                <w:szCs w:val="17"/>
                <w:lang w:val="es-AR" w:eastAsia="es-AR"/>
              </w:rPr>
            </w:pPr>
            <w:r w:rsidRPr="003874DE">
              <w:rPr>
                <w:rFonts w:ascii="Segoe UI" w:hAnsi="Segoe UI" w:cs="Segoe UI"/>
                <w:sz w:val="17"/>
                <w:szCs w:val="17"/>
                <w:lang w:val="es-AR" w:eastAsia="es-AR"/>
              </w:rPr>
              <w:t>1,0</w:t>
            </w:r>
          </w:p>
        </w:tc>
        <w:tc>
          <w:tcPr>
            <w:tcW w:w="1660" w:type="dxa"/>
            <w:tcBorders>
              <w:top w:val="nil"/>
              <w:left w:val="nil"/>
              <w:bottom w:val="single" w:sz="4" w:space="0" w:color="BFBFBF"/>
              <w:right w:val="single" w:sz="4" w:space="0" w:color="BFBFBF"/>
            </w:tcBorders>
            <w:shd w:val="clear" w:color="auto" w:fill="auto"/>
            <w:vAlign w:val="center"/>
            <w:hideMark/>
          </w:tcPr>
          <w:p w:rsidR="003874DE" w:rsidRPr="003874DE" w:rsidRDefault="003874DE" w:rsidP="003874DE">
            <w:pPr>
              <w:jc w:val="center"/>
              <w:rPr>
                <w:rFonts w:ascii="Segoe UI" w:hAnsi="Segoe UI" w:cs="Segoe UI"/>
                <w:sz w:val="17"/>
                <w:szCs w:val="17"/>
                <w:lang w:val="es-AR" w:eastAsia="es-AR"/>
              </w:rPr>
            </w:pPr>
            <w:r w:rsidRPr="003874DE">
              <w:rPr>
                <w:rFonts w:ascii="Segoe UI" w:hAnsi="Segoe UI" w:cs="Segoe UI"/>
                <w:sz w:val="17"/>
                <w:szCs w:val="17"/>
                <w:lang w:val="es-AR" w:eastAsia="es-AR"/>
              </w:rPr>
              <w:t>1,5</w:t>
            </w:r>
          </w:p>
        </w:tc>
      </w:tr>
      <w:tr w:rsidR="003874DE" w:rsidRPr="003874DE" w:rsidTr="008005CB">
        <w:trPr>
          <w:trHeight w:val="1020"/>
        </w:trPr>
        <w:tc>
          <w:tcPr>
            <w:tcW w:w="2140" w:type="dxa"/>
            <w:tcBorders>
              <w:top w:val="nil"/>
              <w:left w:val="nil"/>
              <w:bottom w:val="single" w:sz="4" w:space="0" w:color="BFBFBF"/>
              <w:right w:val="single" w:sz="4" w:space="0" w:color="BFBFBF"/>
            </w:tcBorders>
            <w:shd w:val="clear" w:color="auto" w:fill="auto"/>
            <w:vAlign w:val="center"/>
            <w:hideMark/>
          </w:tcPr>
          <w:p w:rsidR="003874DE" w:rsidRPr="003874DE" w:rsidRDefault="003874DE" w:rsidP="003874DE">
            <w:pPr>
              <w:rPr>
                <w:rFonts w:ascii="Segoe UI" w:hAnsi="Segoe UI" w:cs="Segoe UI"/>
                <w:sz w:val="17"/>
                <w:szCs w:val="17"/>
                <w:lang w:val="es-AR" w:eastAsia="es-AR"/>
              </w:rPr>
            </w:pPr>
            <w:r w:rsidRPr="003874DE">
              <w:rPr>
                <w:rFonts w:ascii="Segoe UI" w:hAnsi="Segoe UI" w:cs="Segoe UI"/>
                <w:sz w:val="17"/>
                <w:szCs w:val="17"/>
                <w:lang w:val="es-AR" w:eastAsia="es-AR"/>
              </w:rPr>
              <w:t>Probabilidad Alerta fallida (%)</w:t>
            </w:r>
          </w:p>
        </w:tc>
        <w:tc>
          <w:tcPr>
            <w:tcW w:w="2495" w:type="dxa"/>
            <w:tcBorders>
              <w:top w:val="nil"/>
              <w:left w:val="nil"/>
              <w:bottom w:val="single" w:sz="4" w:space="0" w:color="BFBFBF"/>
              <w:right w:val="single" w:sz="4" w:space="0" w:color="BFBFBF"/>
            </w:tcBorders>
            <w:shd w:val="clear" w:color="auto" w:fill="auto"/>
            <w:noWrap/>
            <w:vAlign w:val="center"/>
            <w:hideMark/>
          </w:tcPr>
          <w:p w:rsidR="003874DE" w:rsidRPr="003874DE" w:rsidRDefault="003874DE" w:rsidP="003874DE">
            <w:pPr>
              <w:rPr>
                <w:rFonts w:cs="Arial"/>
                <w:lang w:val="es-AR" w:eastAsia="es-AR"/>
              </w:rPr>
            </w:pPr>
            <w:r>
              <w:rPr>
                <w:rFonts w:cs="Arial"/>
                <w:noProof/>
              </w:rPr>
              <w:drawing>
                <wp:anchor distT="0" distB="0" distL="114300" distR="114300" simplePos="0" relativeHeight="251668480" behindDoc="0" locked="0" layoutInCell="1" allowOverlap="1" wp14:anchorId="4CFA3155" wp14:editId="35436E0F">
                  <wp:simplePos x="0" y="0"/>
                  <wp:positionH relativeFrom="column">
                    <wp:posOffset>171450</wp:posOffset>
                  </wp:positionH>
                  <wp:positionV relativeFrom="paragraph">
                    <wp:posOffset>28575</wp:posOffset>
                  </wp:positionV>
                  <wp:extent cx="1219200" cy="609600"/>
                  <wp:effectExtent l="0" t="0" r="0" b="0"/>
                  <wp:wrapNone/>
                  <wp:docPr id="4" name="Imagen 4" descr="D:\ActiveReports.emf"/>
                  <wp:cNvGraphicFramePr/>
                  <a:graphic xmlns:a="http://schemas.openxmlformats.org/drawingml/2006/main">
                    <a:graphicData uri="http://schemas.openxmlformats.org/drawingml/2006/picture">
                      <pic:pic xmlns:pic="http://schemas.openxmlformats.org/drawingml/2006/picture">
                        <pic:nvPicPr>
                          <pic:cNvPr id="27" name="Picture 8" descr="D:\ActiveReports.em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19200" cy="6096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c>
        <w:tc>
          <w:tcPr>
            <w:tcW w:w="1600" w:type="dxa"/>
            <w:tcBorders>
              <w:top w:val="nil"/>
              <w:left w:val="nil"/>
              <w:bottom w:val="single" w:sz="4" w:space="0" w:color="BFBFBF"/>
              <w:right w:val="single" w:sz="4" w:space="0" w:color="BFBFBF"/>
            </w:tcBorders>
            <w:shd w:val="clear" w:color="auto" w:fill="auto"/>
            <w:vAlign w:val="center"/>
            <w:hideMark/>
          </w:tcPr>
          <w:p w:rsidR="003874DE" w:rsidRPr="003874DE" w:rsidRDefault="003874DE" w:rsidP="003874DE">
            <w:pPr>
              <w:jc w:val="center"/>
              <w:rPr>
                <w:rFonts w:ascii="Segoe UI" w:hAnsi="Segoe UI" w:cs="Segoe UI"/>
                <w:sz w:val="17"/>
                <w:szCs w:val="17"/>
                <w:lang w:val="es-AR" w:eastAsia="es-AR"/>
              </w:rPr>
            </w:pPr>
            <w:r w:rsidRPr="003874DE">
              <w:rPr>
                <w:rFonts w:ascii="Segoe UI" w:hAnsi="Segoe UI" w:cs="Segoe UI"/>
                <w:sz w:val="17"/>
                <w:szCs w:val="17"/>
                <w:lang w:val="es-AR" w:eastAsia="es-AR"/>
              </w:rPr>
              <w:t>-0,04382894</w:t>
            </w:r>
          </w:p>
        </w:tc>
        <w:tc>
          <w:tcPr>
            <w:tcW w:w="1440" w:type="dxa"/>
            <w:tcBorders>
              <w:top w:val="nil"/>
              <w:left w:val="nil"/>
              <w:bottom w:val="single" w:sz="4" w:space="0" w:color="BFBFBF"/>
              <w:right w:val="single" w:sz="4" w:space="0" w:color="BFBFBF"/>
            </w:tcBorders>
            <w:shd w:val="clear" w:color="auto" w:fill="auto"/>
            <w:vAlign w:val="center"/>
            <w:hideMark/>
          </w:tcPr>
          <w:p w:rsidR="003874DE" w:rsidRPr="003874DE" w:rsidRDefault="003874DE" w:rsidP="003874DE">
            <w:pPr>
              <w:jc w:val="center"/>
              <w:rPr>
                <w:rFonts w:ascii="Segoe UI" w:hAnsi="Segoe UI" w:cs="Segoe UI"/>
                <w:sz w:val="17"/>
                <w:szCs w:val="17"/>
                <w:lang w:val="es-AR" w:eastAsia="es-AR"/>
              </w:rPr>
            </w:pPr>
            <w:r w:rsidRPr="003874DE">
              <w:rPr>
                <w:rFonts w:ascii="Segoe UI" w:hAnsi="Segoe UI" w:cs="Segoe UI"/>
                <w:sz w:val="17"/>
                <w:szCs w:val="17"/>
                <w:lang w:val="es-AR" w:eastAsia="es-AR"/>
              </w:rPr>
              <w:t>0,06999929</w:t>
            </w:r>
          </w:p>
        </w:tc>
        <w:tc>
          <w:tcPr>
            <w:tcW w:w="1660" w:type="dxa"/>
            <w:tcBorders>
              <w:top w:val="nil"/>
              <w:left w:val="nil"/>
              <w:bottom w:val="single" w:sz="4" w:space="0" w:color="BFBFBF"/>
              <w:right w:val="single" w:sz="4" w:space="0" w:color="BFBFBF"/>
            </w:tcBorders>
            <w:shd w:val="clear" w:color="auto" w:fill="auto"/>
            <w:vAlign w:val="center"/>
            <w:hideMark/>
          </w:tcPr>
          <w:p w:rsidR="003874DE" w:rsidRPr="003874DE" w:rsidRDefault="003874DE" w:rsidP="003874DE">
            <w:pPr>
              <w:jc w:val="center"/>
              <w:rPr>
                <w:rFonts w:ascii="Segoe UI" w:hAnsi="Segoe UI" w:cs="Segoe UI"/>
                <w:sz w:val="17"/>
                <w:szCs w:val="17"/>
                <w:lang w:val="es-AR" w:eastAsia="es-AR"/>
              </w:rPr>
            </w:pPr>
            <w:r w:rsidRPr="003874DE">
              <w:rPr>
                <w:rFonts w:ascii="Segoe UI" w:hAnsi="Segoe UI" w:cs="Segoe UI"/>
                <w:sz w:val="17"/>
                <w:szCs w:val="17"/>
                <w:lang w:val="es-AR" w:eastAsia="es-AR"/>
              </w:rPr>
              <w:t>0,1797679</w:t>
            </w:r>
          </w:p>
        </w:tc>
      </w:tr>
    </w:tbl>
    <w:p w:rsidR="00371FA3" w:rsidRDefault="00371FA3" w:rsidP="00371FA3">
      <w:pPr>
        <w:jc w:val="both"/>
        <w:rPr>
          <w:rFonts w:ascii="Times New Roman" w:hAnsi="Times New Roman"/>
          <w:lang w:val="es-ES"/>
        </w:rPr>
      </w:pPr>
    </w:p>
    <w:p w:rsidR="00733AEA" w:rsidRDefault="00733AEA" w:rsidP="00AD78F4">
      <w:pPr>
        <w:numPr>
          <w:ilvl w:val="1"/>
          <w:numId w:val="24"/>
        </w:numPr>
        <w:ind w:left="720"/>
        <w:jc w:val="both"/>
        <w:rPr>
          <w:rFonts w:ascii="Times New Roman" w:hAnsi="Times New Roman"/>
          <w:sz w:val="22"/>
          <w:szCs w:val="22"/>
          <w:lang w:val="es-ES"/>
        </w:rPr>
      </w:pPr>
      <w:r w:rsidRPr="00733AEA">
        <w:rPr>
          <w:rFonts w:ascii="Times New Roman" w:hAnsi="Times New Roman"/>
          <w:sz w:val="22"/>
          <w:szCs w:val="22"/>
          <w:lang w:val="es-AR"/>
        </w:rPr>
        <w:t xml:space="preserve"> </w:t>
      </w:r>
      <w:r w:rsidR="00C02BEC" w:rsidRPr="00733AEA">
        <w:rPr>
          <w:rFonts w:ascii="Times New Roman" w:hAnsi="Times New Roman"/>
          <w:sz w:val="22"/>
          <w:szCs w:val="22"/>
          <w:lang w:val="es-ES"/>
        </w:rPr>
        <w:t xml:space="preserve">A partir de los beneficios generados medidos en términos del valor estadístico de las pérdidas humanas </w:t>
      </w:r>
      <w:r w:rsidR="003874DE">
        <w:rPr>
          <w:rFonts w:ascii="Times New Roman" w:hAnsi="Times New Roman"/>
          <w:sz w:val="22"/>
          <w:szCs w:val="22"/>
          <w:lang w:val="es-ES"/>
        </w:rPr>
        <w:t>potencialmente</w:t>
      </w:r>
      <w:r w:rsidR="00557633" w:rsidRPr="00733AEA">
        <w:rPr>
          <w:rFonts w:ascii="Times New Roman" w:hAnsi="Times New Roman"/>
          <w:sz w:val="22"/>
          <w:szCs w:val="22"/>
          <w:lang w:val="es-ES"/>
        </w:rPr>
        <w:t xml:space="preserve"> </w:t>
      </w:r>
      <w:r w:rsidR="00C02BEC" w:rsidRPr="00733AEA">
        <w:rPr>
          <w:rFonts w:ascii="Times New Roman" w:hAnsi="Times New Roman"/>
          <w:sz w:val="22"/>
          <w:szCs w:val="22"/>
          <w:lang w:val="es-ES"/>
        </w:rPr>
        <w:t>evitadas</w:t>
      </w:r>
      <w:r w:rsidR="00B85393" w:rsidRPr="00733AEA">
        <w:rPr>
          <w:rFonts w:ascii="Times New Roman" w:hAnsi="Times New Roman"/>
          <w:sz w:val="22"/>
          <w:szCs w:val="22"/>
          <w:lang w:val="es-ES"/>
        </w:rPr>
        <w:t xml:space="preserve"> y</w:t>
      </w:r>
      <w:r w:rsidR="00C02BEC" w:rsidRPr="00733AEA">
        <w:rPr>
          <w:rFonts w:ascii="Times New Roman" w:hAnsi="Times New Roman"/>
          <w:sz w:val="22"/>
          <w:szCs w:val="22"/>
          <w:lang w:val="es-ES"/>
        </w:rPr>
        <w:t xml:space="preserve"> </w:t>
      </w:r>
      <w:r w:rsidR="00B85393" w:rsidRPr="00733AEA">
        <w:rPr>
          <w:rFonts w:ascii="Times New Roman" w:hAnsi="Times New Roman"/>
          <w:sz w:val="22"/>
          <w:szCs w:val="22"/>
          <w:lang w:val="es-ES"/>
        </w:rPr>
        <w:t xml:space="preserve">a la estimación  de los daños a los bienes e infraestructura </w:t>
      </w:r>
      <w:r w:rsidR="003874DE">
        <w:rPr>
          <w:rFonts w:ascii="Times New Roman" w:hAnsi="Times New Roman"/>
          <w:sz w:val="22"/>
          <w:szCs w:val="22"/>
          <w:lang w:val="es-ES"/>
        </w:rPr>
        <w:t xml:space="preserve">potencialmente </w:t>
      </w:r>
      <w:r w:rsidR="00B85393" w:rsidRPr="00733AEA">
        <w:rPr>
          <w:rFonts w:ascii="Times New Roman" w:hAnsi="Times New Roman"/>
          <w:sz w:val="22"/>
          <w:szCs w:val="22"/>
          <w:lang w:val="es-ES"/>
        </w:rPr>
        <w:t>afectada en el área expuesta al desastr</w:t>
      </w:r>
      <w:r w:rsidR="00C02BEC" w:rsidRPr="00733AEA">
        <w:rPr>
          <w:rFonts w:ascii="Times New Roman" w:hAnsi="Times New Roman"/>
          <w:sz w:val="22"/>
          <w:szCs w:val="22"/>
          <w:lang w:val="es-ES"/>
        </w:rPr>
        <w:t>e</w:t>
      </w:r>
      <w:r w:rsidR="003874DE">
        <w:rPr>
          <w:rFonts w:ascii="Times New Roman" w:hAnsi="Times New Roman"/>
          <w:sz w:val="22"/>
          <w:szCs w:val="22"/>
          <w:lang w:val="es-ES"/>
        </w:rPr>
        <w:t>, e</w:t>
      </w:r>
      <w:r w:rsidR="00C02BEC" w:rsidRPr="00733AEA">
        <w:rPr>
          <w:rFonts w:ascii="Times New Roman" w:hAnsi="Times New Roman"/>
          <w:sz w:val="22"/>
          <w:szCs w:val="22"/>
          <w:lang w:val="es-ES"/>
        </w:rPr>
        <w:t xml:space="preserve">l Programa </w:t>
      </w:r>
      <w:r w:rsidR="00C02BEC" w:rsidRPr="00733AEA">
        <w:rPr>
          <w:rFonts w:ascii="Times New Roman" w:hAnsi="Times New Roman"/>
          <w:sz w:val="22"/>
          <w:szCs w:val="22"/>
          <w:lang w:val="es-ES"/>
        </w:rPr>
        <w:lastRenderedPageBreak/>
        <w:t xml:space="preserve">muestra una TIR  promedio de  </w:t>
      </w:r>
      <w:r w:rsidR="00524585">
        <w:rPr>
          <w:rFonts w:ascii="Times New Roman" w:hAnsi="Times New Roman"/>
          <w:sz w:val="22"/>
          <w:szCs w:val="22"/>
          <w:lang w:val="es-ES"/>
        </w:rPr>
        <w:t>27,1</w:t>
      </w:r>
      <w:r w:rsidR="00C02BEC" w:rsidRPr="00733AEA">
        <w:rPr>
          <w:rFonts w:ascii="Times New Roman" w:hAnsi="Times New Roman"/>
          <w:sz w:val="22"/>
          <w:szCs w:val="22"/>
          <w:lang w:val="es-ES"/>
        </w:rPr>
        <w:t xml:space="preserve">%, para un horizonte </w:t>
      </w:r>
      <w:r w:rsidR="00B85393" w:rsidRPr="00733AEA">
        <w:rPr>
          <w:rFonts w:ascii="Times New Roman" w:hAnsi="Times New Roman"/>
          <w:sz w:val="22"/>
          <w:szCs w:val="22"/>
          <w:lang w:val="es-ES"/>
        </w:rPr>
        <w:t>de 20 años, con un  VAN de US$</w:t>
      </w:r>
      <w:r w:rsidR="00524585">
        <w:rPr>
          <w:rFonts w:ascii="Times New Roman" w:hAnsi="Times New Roman"/>
          <w:sz w:val="22"/>
          <w:szCs w:val="22"/>
          <w:lang w:val="es-ES"/>
        </w:rPr>
        <w:t xml:space="preserve"> 20</w:t>
      </w:r>
      <w:r w:rsidR="00137636">
        <w:rPr>
          <w:rFonts w:ascii="Times New Roman" w:hAnsi="Times New Roman"/>
          <w:sz w:val="22"/>
          <w:szCs w:val="22"/>
          <w:lang w:val="es-ES"/>
        </w:rPr>
        <w:t>,</w:t>
      </w:r>
      <w:r w:rsidR="00524585">
        <w:rPr>
          <w:rFonts w:ascii="Times New Roman" w:hAnsi="Times New Roman"/>
          <w:sz w:val="22"/>
          <w:szCs w:val="22"/>
          <w:lang w:val="es-ES"/>
        </w:rPr>
        <w:t>7</w:t>
      </w:r>
      <w:r w:rsidR="00C02BEC" w:rsidRPr="00733AEA">
        <w:rPr>
          <w:rFonts w:ascii="Times New Roman" w:hAnsi="Times New Roman"/>
          <w:sz w:val="22"/>
          <w:szCs w:val="22"/>
          <w:lang w:val="es-ES"/>
        </w:rPr>
        <w:t xml:space="preserve"> Millones (d=12%) y u</w:t>
      </w:r>
      <w:r w:rsidR="00B85393" w:rsidRPr="00733AEA">
        <w:rPr>
          <w:rFonts w:ascii="Times New Roman" w:hAnsi="Times New Roman"/>
          <w:sz w:val="22"/>
          <w:szCs w:val="22"/>
          <w:lang w:val="es-ES"/>
        </w:rPr>
        <w:t xml:space="preserve">na relación Beneficio/Costo de </w:t>
      </w:r>
      <w:r w:rsidR="00E944D4">
        <w:rPr>
          <w:rFonts w:ascii="Times New Roman" w:hAnsi="Times New Roman"/>
          <w:sz w:val="22"/>
          <w:szCs w:val="22"/>
          <w:lang w:val="es-ES"/>
        </w:rPr>
        <w:t>1</w:t>
      </w:r>
      <w:r w:rsidR="00137636">
        <w:rPr>
          <w:rFonts w:ascii="Times New Roman" w:hAnsi="Times New Roman"/>
          <w:sz w:val="22"/>
          <w:szCs w:val="22"/>
          <w:lang w:val="es-ES"/>
        </w:rPr>
        <w:t>,</w:t>
      </w:r>
      <w:r w:rsidR="00E944D4">
        <w:rPr>
          <w:rFonts w:ascii="Times New Roman" w:hAnsi="Times New Roman"/>
          <w:sz w:val="22"/>
          <w:szCs w:val="22"/>
          <w:lang w:val="es-ES"/>
        </w:rPr>
        <w:t>99.</w:t>
      </w:r>
      <w:r w:rsidR="00C02BEC" w:rsidRPr="00733AEA">
        <w:rPr>
          <w:rFonts w:ascii="Times New Roman" w:hAnsi="Times New Roman"/>
          <w:sz w:val="22"/>
          <w:szCs w:val="22"/>
          <w:lang w:val="es-ES"/>
        </w:rPr>
        <w:t xml:space="preserve"> </w:t>
      </w:r>
    </w:p>
    <w:p w:rsidR="001E46FA" w:rsidRDefault="001E46FA" w:rsidP="001E46FA">
      <w:pPr>
        <w:ind w:left="720"/>
        <w:jc w:val="both"/>
        <w:rPr>
          <w:rFonts w:ascii="Times New Roman" w:hAnsi="Times New Roman"/>
          <w:sz w:val="22"/>
          <w:szCs w:val="22"/>
          <w:lang w:val="es-ES"/>
        </w:rPr>
      </w:pPr>
    </w:p>
    <w:p w:rsidR="00733AEA" w:rsidRDefault="00B85393" w:rsidP="00AD78F4">
      <w:pPr>
        <w:numPr>
          <w:ilvl w:val="1"/>
          <w:numId w:val="24"/>
        </w:numPr>
        <w:ind w:left="720"/>
        <w:jc w:val="both"/>
        <w:rPr>
          <w:rFonts w:ascii="Times New Roman" w:hAnsi="Times New Roman"/>
          <w:sz w:val="22"/>
          <w:szCs w:val="22"/>
          <w:lang w:val="es-ES"/>
        </w:rPr>
      </w:pPr>
      <w:r w:rsidRPr="00733AEA">
        <w:rPr>
          <w:rFonts w:ascii="Times New Roman" w:hAnsi="Times New Roman"/>
          <w:sz w:val="22"/>
          <w:szCs w:val="22"/>
          <w:lang w:val="es-ES"/>
        </w:rPr>
        <w:t xml:space="preserve">Dado que los resultados reflejan </w:t>
      </w:r>
      <w:r w:rsidR="00733AEA" w:rsidRPr="00733AEA">
        <w:rPr>
          <w:rFonts w:ascii="Times New Roman" w:hAnsi="Times New Roman"/>
          <w:sz w:val="22"/>
          <w:szCs w:val="22"/>
          <w:lang w:val="es-ES"/>
        </w:rPr>
        <w:t>varias hipótesis de compleja estimación, la siguiente figura presenta los resul</w:t>
      </w:r>
      <w:r w:rsidR="00C13855">
        <w:rPr>
          <w:rFonts w:ascii="Times New Roman" w:hAnsi="Times New Roman"/>
          <w:sz w:val="22"/>
          <w:szCs w:val="22"/>
          <w:lang w:val="es-ES"/>
        </w:rPr>
        <w:t>t</w:t>
      </w:r>
      <w:r w:rsidR="00733AEA" w:rsidRPr="00733AEA">
        <w:rPr>
          <w:rFonts w:ascii="Times New Roman" w:hAnsi="Times New Roman"/>
          <w:sz w:val="22"/>
          <w:szCs w:val="22"/>
          <w:lang w:val="es-ES"/>
        </w:rPr>
        <w:t xml:space="preserve">ados expuestos </w:t>
      </w:r>
      <w:r w:rsidR="00046EFF">
        <w:rPr>
          <w:rFonts w:ascii="Times New Roman" w:hAnsi="Times New Roman"/>
          <w:sz w:val="22"/>
          <w:szCs w:val="22"/>
          <w:lang w:val="es-ES"/>
        </w:rPr>
        <w:t>e</w:t>
      </w:r>
      <w:r w:rsidR="00733AEA" w:rsidRPr="00733AEA">
        <w:rPr>
          <w:rFonts w:ascii="Times New Roman" w:hAnsi="Times New Roman"/>
          <w:sz w:val="22"/>
          <w:szCs w:val="22"/>
          <w:lang w:val="es-ES"/>
        </w:rPr>
        <w:t>n gráfico</w:t>
      </w:r>
      <w:r w:rsidR="00046EFF">
        <w:rPr>
          <w:rFonts w:ascii="Times New Roman" w:hAnsi="Times New Roman"/>
          <w:sz w:val="22"/>
          <w:szCs w:val="22"/>
          <w:lang w:val="es-ES"/>
        </w:rPr>
        <w:t>s</w:t>
      </w:r>
      <w:r w:rsidR="00733AEA" w:rsidRPr="00733AEA">
        <w:rPr>
          <w:rFonts w:ascii="Times New Roman" w:hAnsi="Times New Roman"/>
          <w:sz w:val="22"/>
          <w:szCs w:val="22"/>
          <w:lang w:val="es-ES"/>
        </w:rPr>
        <w:t xml:space="preserve"> que </w:t>
      </w:r>
      <w:r w:rsidR="00127AE3">
        <w:rPr>
          <w:rFonts w:ascii="Times New Roman" w:hAnsi="Times New Roman"/>
          <w:sz w:val="22"/>
          <w:szCs w:val="22"/>
          <w:lang w:val="es-ES"/>
        </w:rPr>
        <w:t>m</w:t>
      </w:r>
      <w:r w:rsidR="00733AEA" w:rsidRPr="00733AEA">
        <w:rPr>
          <w:rFonts w:ascii="Times New Roman" w:hAnsi="Times New Roman"/>
          <w:sz w:val="22"/>
          <w:szCs w:val="22"/>
          <w:lang w:val="es-ES"/>
        </w:rPr>
        <w:t>uestra</w:t>
      </w:r>
      <w:r w:rsidR="00127AE3">
        <w:rPr>
          <w:rFonts w:ascii="Times New Roman" w:hAnsi="Times New Roman"/>
          <w:sz w:val="22"/>
          <w:szCs w:val="22"/>
          <w:lang w:val="es-ES"/>
        </w:rPr>
        <w:t>n</w:t>
      </w:r>
      <w:r w:rsidR="00733AEA" w:rsidRPr="00733AEA">
        <w:rPr>
          <w:rFonts w:ascii="Times New Roman" w:hAnsi="Times New Roman"/>
          <w:sz w:val="22"/>
          <w:szCs w:val="22"/>
          <w:lang w:val="es-ES"/>
        </w:rPr>
        <w:t xml:space="preserve"> la distribución po</w:t>
      </w:r>
      <w:r w:rsidR="00416632">
        <w:rPr>
          <w:rFonts w:ascii="Times New Roman" w:hAnsi="Times New Roman"/>
          <w:sz w:val="22"/>
          <w:szCs w:val="22"/>
          <w:lang w:val="es-ES"/>
        </w:rPr>
        <w:t>s</w:t>
      </w:r>
      <w:r w:rsidR="00733AEA" w:rsidRPr="00733AEA">
        <w:rPr>
          <w:rFonts w:ascii="Times New Roman" w:hAnsi="Times New Roman"/>
          <w:sz w:val="22"/>
          <w:szCs w:val="22"/>
          <w:lang w:val="es-ES"/>
        </w:rPr>
        <w:t>ib</w:t>
      </w:r>
      <w:r w:rsidR="00416632">
        <w:rPr>
          <w:rFonts w:ascii="Times New Roman" w:hAnsi="Times New Roman"/>
          <w:sz w:val="22"/>
          <w:szCs w:val="22"/>
          <w:lang w:val="es-ES"/>
        </w:rPr>
        <w:t>l</w:t>
      </w:r>
      <w:r w:rsidR="00733AEA" w:rsidRPr="00733AEA">
        <w:rPr>
          <w:rFonts w:ascii="Times New Roman" w:hAnsi="Times New Roman"/>
          <w:sz w:val="22"/>
          <w:szCs w:val="22"/>
          <w:lang w:val="es-ES"/>
        </w:rPr>
        <w:t>e de</w:t>
      </w:r>
      <w:r w:rsidR="00C13855">
        <w:rPr>
          <w:rFonts w:ascii="Times New Roman" w:hAnsi="Times New Roman"/>
          <w:sz w:val="22"/>
          <w:szCs w:val="22"/>
          <w:lang w:val="es-ES"/>
        </w:rPr>
        <w:t xml:space="preserve"> los mismos</w:t>
      </w:r>
      <w:r w:rsidR="00733AEA" w:rsidRPr="00733AEA">
        <w:rPr>
          <w:rFonts w:ascii="Times New Roman" w:hAnsi="Times New Roman"/>
          <w:sz w:val="22"/>
          <w:szCs w:val="22"/>
          <w:lang w:val="es-ES"/>
        </w:rPr>
        <w:t>, en base a las principales variables cuyo rango de probabilidad se expone abajo,</w:t>
      </w:r>
    </w:p>
    <w:p w:rsidR="008D53A5" w:rsidRDefault="008D53A5" w:rsidP="008D53A5">
      <w:pPr>
        <w:pStyle w:val="ListParagraph"/>
        <w:rPr>
          <w:rFonts w:ascii="Times New Roman" w:hAnsi="Times New Roman"/>
          <w:sz w:val="22"/>
          <w:szCs w:val="22"/>
          <w:lang w:val="es-ES"/>
        </w:rPr>
      </w:pPr>
    </w:p>
    <w:p w:rsidR="008D53A5" w:rsidRDefault="008D53A5" w:rsidP="008D53A5">
      <w:pPr>
        <w:jc w:val="both"/>
        <w:rPr>
          <w:rFonts w:ascii="Times New Roman" w:hAnsi="Times New Roman"/>
          <w:sz w:val="22"/>
          <w:szCs w:val="22"/>
          <w:lang w:val="es-ES"/>
        </w:rPr>
      </w:pPr>
    </w:p>
    <w:p w:rsidR="008D53A5" w:rsidRDefault="008D53A5" w:rsidP="008D53A5">
      <w:pPr>
        <w:jc w:val="both"/>
        <w:rPr>
          <w:rFonts w:ascii="Times New Roman" w:hAnsi="Times New Roman"/>
          <w:sz w:val="22"/>
          <w:szCs w:val="22"/>
          <w:lang w:val="es-ES"/>
        </w:rPr>
      </w:pPr>
    </w:p>
    <w:p w:rsidR="008D53A5" w:rsidRDefault="008D53A5" w:rsidP="008D53A5">
      <w:pPr>
        <w:jc w:val="both"/>
        <w:rPr>
          <w:rFonts w:ascii="Times New Roman" w:hAnsi="Times New Roman"/>
          <w:sz w:val="22"/>
          <w:szCs w:val="22"/>
          <w:lang w:val="es-ES"/>
        </w:rPr>
      </w:pPr>
    </w:p>
    <w:p w:rsidR="008D53A5" w:rsidRDefault="008D53A5" w:rsidP="008D53A5">
      <w:pPr>
        <w:jc w:val="both"/>
        <w:rPr>
          <w:rFonts w:ascii="Times New Roman" w:hAnsi="Times New Roman"/>
          <w:sz w:val="22"/>
          <w:szCs w:val="22"/>
          <w:lang w:val="es-ES"/>
        </w:rPr>
      </w:pPr>
    </w:p>
    <w:p w:rsidR="00733AEA" w:rsidRDefault="00733AEA" w:rsidP="00046EFF">
      <w:pPr>
        <w:jc w:val="center"/>
        <w:rPr>
          <w:rFonts w:ascii="Times New Roman" w:hAnsi="Times New Roman"/>
          <w:lang w:val="es-ES"/>
        </w:rPr>
      </w:pPr>
      <w:r w:rsidRPr="00840B90">
        <w:rPr>
          <w:rFonts w:ascii="Times New Roman" w:hAnsi="Times New Roman"/>
          <w:sz w:val="22"/>
          <w:szCs w:val="22"/>
          <w:lang w:val="es-ES_tradnl"/>
        </w:rPr>
        <w:t xml:space="preserve"> </w:t>
      </w:r>
      <w:r w:rsidRPr="00600976">
        <w:rPr>
          <w:rFonts w:ascii="Times New Roman" w:hAnsi="Times New Roman"/>
          <w:b/>
          <w:lang w:val="es-ES"/>
        </w:rPr>
        <w:t xml:space="preserve">Figura </w:t>
      </w:r>
      <w:r w:rsidR="00081A23" w:rsidRPr="00600976">
        <w:rPr>
          <w:rFonts w:ascii="Times New Roman" w:hAnsi="Times New Roman"/>
          <w:b/>
          <w:lang w:val="es-ES"/>
        </w:rPr>
        <w:fldChar w:fldCharType="begin"/>
      </w:r>
      <w:r w:rsidRPr="00600976">
        <w:rPr>
          <w:rFonts w:ascii="Times New Roman" w:hAnsi="Times New Roman"/>
          <w:b/>
          <w:lang w:val="es-ES"/>
        </w:rPr>
        <w:instrText xml:space="preserve"> SEQ Figura \* ARABIC </w:instrText>
      </w:r>
      <w:r w:rsidR="00081A23" w:rsidRPr="00600976">
        <w:rPr>
          <w:rFonts w:ascii="Times New Roman" w:hAnsi="Times New Roman"/>
          <w:b/>
          <w:lang w:val="es-ES"/>
        </w:rPr>
        <w:fldChar w:fldCharType="separate"/>
      </w:r>
      <w:r w:rsidR="00524585">
        <w:rPr>
          <w:rFonts w:ascii="Times New Roman" w:hAnsi="Times New Roman"/>
          <w:b/>
          <w:noProof/>
          <w:lang w:val="es-ES"/>
        </w:rPr>
        <w:t>5</w:t>
      </w:r>
      <w:r w:rsidR="00081A23" w:rsidRPr="00600976">
        <w:rPr>
          <w:rFonts w:ascii="Times New Roman" w:hAnsi="Times New Roman"/>
          <w:b/>
          <w:lang w:val="es-ES"/>
        </w:rPr>
        <w:fldChar w:fldCharType="end"/>
      </w:r>
      <w:r>
        <w:rPr>
          <w:rFonts w:ascii="Times New Roman" w:hAnsi="Times New Roman"/>
          <w:lang w:val="es-ES"/>
        </w:rPr>
        <w:t>. Distribución de resultados – Tasa de retorno</w:t>
      </w:r>
    </w:p>
    <w:p w:rsidR="00733AEA" w:rsidRDefault="00406CAE" w:rsidP="00733AEA">
      <w:pPr>
        <w:jc w:val="both"/>
        <w:rPr>
          <w:rFonts w:ascii="Times New Roman" w:hAnsi="Times New Roman"/>
          <w:lang w:val="es-ES"/>
        </w:rPr>
      </w:pPr>
      <w:r>
        <w:rPr>
          <w:noProof/>
        </w:rPr>
        <w:drawing>
          <wp:inline distT="0" distB="0" distL="0" distR="0" wp14:anchorId="76E209AA" wp14:editId="5899C541">
            <wp:extent cx="5281952" cy="2624447"/>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78755" cy="2622858"/>
                    </a:xfrm>
                    <a:prstGeom prst="rect">
                      <a:avLst/>
                    </a:prstGeom>
                    <a:noFill/>
                    <a:ln>
                      <a:noFill/>
                    </a:ln>
                  </pic:spPr>
                </pic:pic>
              </a:graphicData>
            </a:graphic>
          </wp:inline>
        </w:drawing>
      </w:r>
    </w:p>
    <w:p w:rsidR="00733AEA" w:rsidRDefault="00733AEA" w:rsidP="00733AEA">
      <w:pPr>
        <w:jc w:val="both"/>
        <w:rPr>
          <w:rFonts w:ascii="Times New Roman" w:hAnsi="Times New Roman"/>
          <w:lang w:val="es-ES"/>
        </w:rPr>
      </w:pPr>
    </w:p>
    <w:p w:rsidR="00733AEA" w:rsidRDefault="00733AEA" w:rsidP="00733AEA">
      <w:pPr>
        <w:jc w:val="both"/>
        <w:rPr>
          <w:rFonts w:ascii="Times New Roman" w:hAnsi="Times New Roman"/>
          <w:lang w:val="es-ES"/>
        </w:rPr>
      </w:pPr>
    </w:p>
    <w:p w:rsidR="00524585" w:rsidRDefault="00E70B27" w:rsidP="00AD78F4">
      <w:pPr>
        <w:numPr>
          <w:ilvl w:val="1"/>
          <w:numId w:val="24"/>
        </w:numPr>
        <w:jc w:val="both"/>
        <w:rPr>
          <w:rFonts w:ascii="Times New Roman" w:hAnsi="Times New Roman"/>
          <w:sz w:val="22"/>
          <w:szCs w:val="22"/>
          <w:lang w:val="es-ES"/>
        </w:rPr>
      </w:pPr>
      <w:r w:rsidRPr="00524585">
        <w:rPr>
          <w:rFonts w:ascii="Times New Roman" w:hAnsi="Times New Roman"/>
          <w:sz w:val="22"/>
          <w:szCs w:val="22"/>
          <w:lang w:val="es-ES"/>
        </w:rPr>
        <w:t xml:space="preserve">Se observa que </w:t>
      </w:r>
      <w:r w:rsidR="00C13855" w:rsidRPr="00524585">
        <w:rPr>
          <w:rFonts w:ascii="Times New Roman" w:hAnsi="Times New Roman"/>
          <w:sz w:val="22"/>
          <w:szCs w:val="22"/>
          <w:lang w:val="es-ES"/>
        </w:rPr>
        <w:t xml:space="preserve">la tasa de Retorno presenta un valor medio de </w:t>
      </w:r>
      <w:r w:rsidR="00524585" w:rsidRPr="00524585">
        <w:rPr>
          <w:rFonts w:ascii="Times New Roman" w:hAnsi="Times New Roman"/>
          <w:sz w:val="22"/>
          <w:szCs w:val="22"/>
          <w:lang w:val="es-ES"/>
        </w:rPr>
        <w:t>27</w:t>
      </w:r>
      <w:r w:rsidR="00137636">
        <w:rPr>
          <w:rFonts w:ascii="Times New Roman" w:hAnsi="Times New Roman"/>
          <w:sz w:val="22"/>
          <w:szCs w:val="22"/>
          <w:lang w:val="es-ES"/>
        </w:rPr>
        <w:t>,</w:t>
      </w:r>
      <w:r w:rsidR="00524585" w:rsidRPr="00524585">
        <w:rPr>
          <w:rFonts w:ascii="Times New Roman" w:hAnsi="Times New Roman"/>
          <w:sz w:val="22"/>
          <w:szCs w:val="22"/>
          <w:lang w:val="es-ES"/>
        </w:rPr>
        <w:t>1</w:t>
      </w:r>
      <w:r w:rsidR="00C13855" w:rsidRPr="00524585">
        <w:rPr>
          <w:rFonts w:ascii="Times New Roman" w:hAnsi="Times New Roman"/>
          <w:sz w:val="22"/>
          <w:szCs w:val="22"/>
          <w:lang w:val="es-ES"/>
        </w:rPr>
        <w:t>%, destacándose que el 90% de los resultados</w:t>
      </w:r>
      <w:r w:rsidR="00524585" w:rsidRPr="00524585">
        <w:rPr>
          <w:rFonts w:ascii="Times New Roman" w:hAnsi="Times New Roman"/>
          <w:sz w:val="22"/>
          <w:szCs w:val="22"/>
          <w:lang w:val="es-ES"/>
        </w:rPr>
        <w:t xml:space="preserve"> se ubican entre -0,6% y 55,5%. </w:t>
      </w:r>
    </w:p>
    <w:p w:rsidR="00524585" w:rsidRPr="00524585" w:rsidRDefault="00524585" w:rsidP="00524585">
      <w:pPr>
        <w:ind w:left="718"/>
        <w:jc w:val="both"/>
        <w:rPr>
          <w:rFonts w:ascii="Times New Roman" w:hAnsi="Times New Roman"/>
          <w:sz w:val="22"/>
          <w:szCs w:val="22"/>
          <w:lang w:val="es-ES"/>
        </w:rPr>
      </w:pPr>
    </w:p>
    <w:p w:rsidR="00371FA3" w:rsidRDefault="00371FA3" w:rsidP="00046EFF">
      <w:pPr>
        <w:jc w:val="center"/>
        <w:rPr>
          <w:rFonts w:ascii="Times New Roman" w:hAnsi="Times New Roman"/>
          <w:lang w:val="es-ES"/>
        </w:rPr>
      </w:pPr>
      <w:r w:rsidRPr="00600976">
        <w:rPr>
          <w:rFonts w:ascii="Times New Roman" w:hAnsi="Times New Roman"/>
          <w:b/>
          <w:lang w:val="es-ES"/>
        </w:rPr>
        <w:t xml:space="preserve">Figura </w:t>
      </w:r>
      <w:r w:rsidR="00081A23" w:rsidRPr="00600976">
        <w:rPr>
          <w:rFonts w:ascii="Times New Roman" w:hAnsi="Times New Roman"/>
          <w:b/>
          <w:lang w:val="es-ES"/>
        </w:rPr>
        <w:fldChar w:fldCharType="begin"/>
      </w:r>
      <w:r w:rsidRPr="00600976">
        <w:rPr>
          <w:rFonts w:ascii="Times New Roman" w:hAnsi="Times New Roman"/>
          <w:b/>
          <w:lang w:val="es-ES"/>
        </w:rPr>
        <w:instrText xml:space="preserve"> SEQ Figura \* ARABIC </w:instrText>
      </w:r>
      <w:r w:rsidR="00081A23" w:rsidRPr="00600976">
        <w:rPr>
          <w:rFonts w:ascii="Times New Roman" w:hAnsi="Times New Roman"/>
          <w:b/>
          <w:lang w:val="es-ES"/>
        </w:rPr>
        <w:fldChar w:fldCharType="separate"/>
      </w:r>
      <w:r w:rsidR="000806B9">
        <w:rPr>
          <w:rFonts w:ascii="Times New Roman" w:hAnsi="Times New Roman"/>
          <w:b/>
          <w:noProof/>
          <w:lang w:val="es-ES"/>
        </w:rPr>
        <w:t>6</w:t>
      </w:r>
      <w:r w:rsidR="00081A23" w:rsidRPr="00600976">
        <w:rPr>
          <w:rFonts w:ascii="Times New Roman" w:hAnsi="Times New Roman"/>
          <w:b/>
          <w:lang w:val="es-ES"/>
        </w:rPr>
        <w:fldChar w:fldCharType="end"/>
      </w:r>
      <w:r>
        <w:rPr>
          <w:rFonts w:ascii="Times New Roman" w:hAnsi="Times New Roman"/>
          <w:lang w:val="es-ES"/>
        </w:rPr>
        <w:t>. Distribución</w:t>
      </w:r>
      <w:r w:rsidR="00524585">
        <w:rPr>
          <w:rFonts w:ascii="Times New Roman" w:hAnsi="Times New Roman"/>
          <w:lang w:val="es-ES"/>
        </w:rPr>
        <w:t xml:space="preserve"> de resultados – VAN</w:t>
      </w:r>
    </w:p>
    <w:p w:rsidR="00524585" w:rsidRDefault="00406CAE" w:rsidP="00524585">
      <w:pPr>
        <w:jc w:val="both"/>
        <w:rPr>
          <w:lang w:val="es-ES_tradnl"/>
        </w:rPr>
      </w:pPr>
      <w:r w:rsidRPr="00455FC7">
        <w:rPr>
          <w:rFonts w:ascii="Times New Roman" w:hAnsi="Times New Roman"/>
          <w:noProof/>
          <w:sz w:val="22"/>
          <w:szCs w:val="22"/>
        </w:rPr>
        <w:drawing>
          <wp:inline distT="0" distB="0" distL="0" distR="0" wp14:anchorId="1E312A41" wp14:editId="5F2EB8B5">
            <wp:extent cx="5281952" cy="2731325"/>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78755" cy="2729672"/>
                    </a:xfrm>
                    <a:prstGeom prst="rect">
                      <a:avLst/>
                    </a:prstGeom>
                    <a:noFill/>
                    <a:ln>
                      <a:noFill/>
                    </a:ln>
                  </pic:spPr>
                </pic:pic>
              </a:graphicData>
            </a:graphic>
          </wp:inline>
        </w:drawing>
      </w:r>
      <w:r w:rsidR="00524585" w:rsidRPr="00837476">
        <w:rPr>
          <w:lang w:val="es-ES_tradnl"/>
        </w:rPr>
        <w:t xml:space="preserve"> </w:t>
      </w:r>
    </w:p>
    <w:p w:rsidR="008D53A5" w:rsidRPr="00524585" w:rsidRDefault="008D53A5" w:rsidP="00524585">
      <w:pPr>
        <w:jc w:val="both"/>
        <w:rPr>
          <w:rFonts w:ascii="Times New Roman" w:hAnsi="Times New Roman"/>
          <w:sz w:val="22"/>
          <w:szCs w:val="22"/>
          <w:lang w:val="es-ES"/>
        </w:rPr>
      </w:pPr>
    </w:p>
    <w:p w:rsidR="00524585" w:rsidRDefault="00524585" w:rsidP="00AD78F4">
      <w:pPr>
        <w:pStyle w:val="ListParagraph"/>
        <w:numPr>
          <w:ilvl w:val="1"/>
          <w:numId w:val="24"/>
        </w:numPr>
        <w:jc w:val="both"/>
        <w:rPr>
          <w:rFonts w:ascii="Times New Roman" w:hAnsi="Times New Roman"/>
          <w:sz w:val="22"/>
          <w:szCs w:val="22"/>
          <w:lang w:val="es-ES"/>
        </w:rPr>
      </w:pPr>
      <w:r w:rsidRPr="00524585">
        <w:rPr>
          <w:rFonts w:ascii="Times New Roman" w:hAnsi="Times New Roman"/>
          <w:sz w:val="22"/>
          <w:szCs w:val="22"/>
          <w:lang w:val="es-ES"/>
        </w:rPr>
        <w:t>Se observa que el VAN alcanza un valor medio de US$ 20</w:t>
      </w:r>
      <w:r w:rsidR="00137636">
        <w:rPr>
          <w:rFonts w:ascii="Times New Roman" w:hAnsi="Times New Roman"/>
          <w:sz w:val="22"/>
          <w:szCs w:val="22"/>
          <w:lang w:val="es-ES"/>
        </w:rPr>
        <w:t>,</w:t>
      </w:r>
      <w:r w:rsidR="009C3402">
        <w:rPr>
          <w:rFonts w:ascii="Times New Roman" w:hAnsi="Times New Roman"/>
          <w:sz w:val="22"/>
          <w:szCs w:val="22"/>
          <w:lang w:val="es-ES"/>
        </w:rPr>
        <w:t>7</w:t>
      </w:r>
      <w:r w:rsidRPr="00524585">
        <w:rPr>
          <w:rFonts w:ascii="Times New Roman" w:hAnsi="Times New Roman"/>
          <w:sz w:val="22"/>
          <w:szCs w:val="22"/>
          <w:lang w:val="es-ES"/>
        </w:rPr>
        <w:t xml:space="preserve"> </w:t>
      </w:r>
      <w:r w:rsidR="00137636">
        <w:rPr>
          <w:rFonts w:ascii="Times New Roman" w:hAnsi="Times New Roman"/>
          <w:sz w:val="22"/>
          <w:szCs w:val="22"/>
          <w:lang w:val="es-ES"/>
        </w:rPr>
        <w:t>m</w:t>
      </w:r>
      <w:r w:rsidR="00137636" w:rsidRPr="00524585">
        <w:rPr>
          <w:rFonts w:ascii="Times New Roman" w:hAnsi="Times New Roman"/>
          <w:sz w:val="22"/>
          <w:szCs w:val="22"/>
          <w:lang w:val="es-ES"/>
        </w:rPr>
        <w:t>illones</w:t>
      </w:r>
      <w:r w:rsidRPr="00524585">
        <w:rPr>
          <w:rFonts w:ascii="Times New Roman" w:hAnsi="Times New Roman"/>
          <w:sz w:val="22"/>
          <w:szCs w:val="22"/>
          <w:lang w:val="es-ES"/>
        </w:rPr>
        <w:t>,  destacándose que el 90% de los resultados se ubican entre US$ -12</w:t>
      </w:r>
      <w:r w:rsidR="00137636">
        <w:rPr>
          <w:rFonts w:ascii="Times New Roman" w:hAnsi="Times New Roman"/>
          <w:sz w:val="22"/>
          <w:szCs w:val="22"/>
          <w:lang w:val="es-ES"/>
        </w:rPr>
        <w:t>,</w:t>
      </w:r>
      <w:r w:rsidRPr="00524585">
        <w:rPr>
          <w:rFonts w:ascii="Times New Roman" w:hAnsi="Times New Roman"/>
          <w:sz w:val="22"/>
          <w:szCs w:val="22"/>
          <w:lang w:val="es-ES"/>
        </w:rPr>
        <w:t xml:space="preserve">4 </w:t>
      </w:r>
      <w:r w:rsidR="00137636">
        <w:rPr>
          <w:rFonts w:ascii="Times New Roman" w:hAnsi="Times New Roman"/>
          <w:sz w:val="22"/>
          <w:szCs w:val="22"/>
          <w:lang w:val="es-ES"/>
        </w:rPr>
        <w:t>m</w:t>
      </w:r>
      <w:r w:rsidR="00137636" w:rsidRPr="00524585">
        <w:rPr>
          <w:rFonts w:ascii="Times New Roman" w:hAnsi="Times New Roman"/>
          <w:sz w:val="22"/>
          <w:szCs w:val="22"/>
          <w:lang w:val="es-ES"/>
        </w:rPr>
        <w:t xml:space="preserve">illones </w:t>
      </w:r>
      <w:r w:rsidRPr="00524585">
        <w:rPr>
          <w:rFonts w:ascii="Times New Roman" w:hAnsi="Times New Roman"/>
          <w:sz w:val="22"/>
          <w:szCs w:val="22"/>
          <w:lang w:val="es-ES"/>
        </w:rPr>
        <w:t>y 71</w:t>
      </w:r>
      <w:r w:rsidR="00137636">
        <w:rPr>
          <w:rFonts w:ascii="Times New Roman" w:hAnsi="Times New Roman"/>
          <w:sz w:val="22"/>
          <w:szCs w:val="22"/>
          <w:lang w:val="es-ES"/>
        </w:rPr>
        <w:t>,</w:t>
      </w:r>
      <w:r w:rsidRPr="00524585">
        <w:rPr>
          <w:rFonts w:ascii="Times New Roman" w:hAnsi="Times New Roman"/>
          <w:sz w:val="22"/>
          <w:szCs w:val="22"/>
          <w:lang w:val="es-ES"/>
        </w:rPr>
        <w:t xml:space="preserve">1 </w:t>
      </w:r>
      <w:r w:rsidR="00137636">
        <w:rPr>
          <w:rFonts w:ascii="Times New Roman" w:hAnsi="Times New Roman"/>
          <w:sz w:val="22"/>
          <w:szCs w:val="22"/>
          <w:lang w:val="es-ES"/>
        </w:rPr>
        <w:t>m</w:t>
      </w:r>
      <w:r w:rsidR="00137636" w:rsidRPr="00524585">
        <w:rPr>
          <w:rFonts w:ascii="Times New Roman" w:hAnsi="Times New Roman"/>
          <w:sz w:val="22"/>
          <w:szCs w:val="22"/>
          <w:lang w:val="es-ES"/>
        </w:rPr>
        <w:t>illones</w:t>
      </w:r>
      <w:r>
        <w:rPr>
          <w:rFonts w:ascii="Times New Roman" w:hAnsi="Times New Roman"/>
          <w:sz w:val="22"/>
          <w:szCs w:val="22"/>
          <w:lang w:val="es-ES"/>
        </w:rPr>
        <w:t>.</w:t>
      </w:r>
    </w:p>
    <w:p w:rsidR="00524585" w:rsidRDefault="00524585" w:rsidP="00524585">
      <w:pPr>
        <w:jc w:val="both"/>
        <w:rPr>
          <w:rFonts w:ascii="Times New Roman" w:hAnsi="Times New Roman"/>
          <w:sz w:val="22"/>
          <w:szCs w:val="22"/>
          <w:lang w:val="es-ES"/>
        </w:rPr>
      </w:pPr>
    </w:p>
    <w:p w:rsidR="00524585" w:rsidRDefault="00524585" w:rsidP="00524585">
      <w:pPr>
        <w:jc w:val="both"/>
        <w:rPr>
          <w:rFonts w:ascii="Times New Roman" w:hAnsi="Times New Roman"/>
          <w:sz w:val="22"/>
          <w:szCs w:val="22"/>
          <w:lang w:val="es-ES"/>
        </w:rPr>
      </w:pPr>
    </w:p>
    <w:p w:rsidR="008005CB" w:rsidRDefault="008005CB" w:rsidP="00524585">
      <w:pPr>
        <w:jc w:val="both"/>
        <w:rPr>
          <w:rFonts w:ascii="Times New Roman" w:hAnsi="Times New Roman"/>
          <w:sz w:val="22"/>
          <w:szCs w:val="22"/>
          <w:lang w:val="es-ES"/>
        </w:rPr>
      </w:pPr>
    </w:p>
    <w:p w:rsidR="00406CAE" w:rsidRPr="00455FC7" w:rsidRDefault="00406CAE" w:rsidP="00455FC7">
      <w:pPr>
        <w:jc w:val="center"/>
        <w:rPr>
          <w:rFonts w:ascii="Times New Roman" w:hAnsi="Times New Roman"/>
          <w:b/>
          <w:sz w:val="22"/>
          <w:lang w:val="es-ES"/>
        </w:rPr>
      </w:pPr>
    </w:p>
    <w:p w:rsidR="00406CAE" w:rsidRPr="00455FC7" w:rsidRDefault="00406CAE" w:rsidP="00455FC7">
      <w:pPr>
        <w:jc w:val="center"/>
        <w:rPr>
          <w:rFonts w:ascii="Times New Roman" w:hAnsi="Times New Roman"/>
          <w:b/>
          <w:sz w:val="22"/>
          <w:lang w:val="es-ES"/>
        </w:rPr>
      </w:pPr>
    </w:p>
    <w:p w:rsidR="00406CAE" w:rsidRPr="00455FC7" w:rsidRDefault="00406CAE" w:rsidP="00455FC7">
      <w:pPr>
        <w:jc w:val="center"/>
        <w:rPr>
          <w:rFonts w:ascii="Times New Roman" w:hAnsi="Times New Roman"/>
          <w:b/>
          <w:sz w:val="22"/>
          <w:lang w:val="es-ES"/>
        </w:rPr>
      </w:pPr>
    </w:p>
    <w:p w:rsidR="00406CAE" w:rsidRPr="00455FC7" w:rsidRDefault="00406CAE" w:rsidP="00455FC7">
      <w:pPr>
        <w:jc w:val="center"/>
        <w:rPr>
          <w:rFonts w:ascii="Times New Roman" w:hAnsi="Times New Roman"/>
          <w:b/>
          <w:sz w:val="22"/>
          <w:lang w:val="es-ES"/>
        </w:rPr>
      </w:pPr>
    </w:p>
    <w:p w:rsidR="00406CAE" w:rsidRPr="00455FC7" w:rsidRDefault="00406CAE" w:rsidP="00455FC7">
      <w:pPr>
        <w:jc w:val="center"/>
        <w:rPr>
          <w:rFonts w:ascii="Times New Roman" w:hAnsi="Times New Roman"/>
          <w:b/>
          <w:sz w:val="22"/>
          <w:lang w:val="es-ES"/>
        </w:rPr>
      </w:pPr>
    </w:p>
    <w:p w:rsidR="00406CAE" w:rsidRPr="00455FC7" w:rsidRDefault="00406CAE" w:rsidP="00455FC7">
      <w:pPr>
        <w:jc w:val="center"/>
        <w:rPr>
          <w:rFonts w:ascii="Times New Roman" w:hAnsi="Times New Roman"/>
          <w:b/>
          <w:sz w:val="22"/>
          <w:lang w:val="es-ES"/>
        </w:rPr>
      </w:pPr>
    </w:p>
    <w:p w:rsidR="00524585" w:rsidRPr="00524585" w:rsidRDefault="00524585" w:rsidP="009C3402">
      <w:pPr>
        <w:jc w:val="center"/>
        <w:rPr>
          <w:rFonts w:ascii="Times New Roman" w:hAnsi="Times New Roman"/>
          <w:sz w:val="22"/>
          <w:szCs w:val="22"/>
          <w:lang w:val="es-ES"/>
        </w:rPr>
      </w:pPr>
      <w:r w:rsidRPr="00524585">
        <w:rPr>
          <w:rFonts w:ascii="Times New Roman" w:hAnsi="Times New Roman"/>
          <w:b/>
          <w:sz w:val="22"/>
          <w:szCs w:val="22"/>
          <w:lang w:val="es-ES"/>
        </w:rPr>
        <w:t xml:space="preserve">Figura </w:t>
      </w:r>
      <w:r w:rsidR="00081A23" w:rsidRPr="00524585">
        <w:rPr>
          <w:rFonts w:ascii="Times New Roman" w:hAnsi="Times New Roman"/>
          <w:b/>
          <w:sz w:val="22"/>
          <w:szCs w:val="22"/>
          <w:lang w:val="es-ES"/>
        </w:rPr>
        <w:fldChar w:fldCharType="begin"/>
      </w:r>
      <w:r w:rsidRPr="00524585">
        <w:rPr>
          <w:rFonts w:ascii="Times New Roman" w:hAnsi="Times New Roman"/>
          <w:b/>
          <w:sz w:val="22"/>
          <w:szCs w:val="22"/>
          <w:lang w:val="es-ES"/>
        </w:rPr>
        <w:instrText xml:space="preserve"> SEQ Figura \* ARABIC </w:instrText>
      </w:r>
      <w:r w:rsidR="00081A23" w:rsidRPr="00524585">
        <w:rPr>
          <w:rFonts w:ascii="Times New Roman" w:hAnsi="Times New Roman"/>
          <w:b/>
          <w:sz w:val="22"/>
          <w:szCs w:val="22"/>
          <w:lang w:val="es-ES"/>
        </w:rPr>
        <w:fldChar w:fldCharType="separate"/>
      </w:r>
      <w:r>
        <w:rPr>
          <w:rFonts w:ascii="Times New Roman" w:hAnsi="Times New Roman"/>
          <w:b/>
          <w:noProof/>
          <w:sz w:val="22"/>
          <w:szCs w:val="22"/>
          <w:lang w:val="es-ES"/>
        </w:rPr>
        <w:t>7</w:t>
      </w:r>
      <w:r w:rsidR="00081A23" w:rsidRPr="00524585">
        <w:rPr>
          <w:rFonts w:ascii="Times New Roman" w:hAnsi="Times New Roman"/>
          <w:sz w:val="22"/>
          <w:szCs w:val="22"/>
          <w:lang w:val="es-ES"/>
        </w:rPr>
        <w:fldChar w:fldCharType="end"/>
      </w:r>
      <w:r w:rsidRPr="00524585">
        <w:rPr>
          <w:rFonts w:ascii="Times New Roman" w:hAnsi="Times New Roman"/>
          <w:sz w:val="22"/>
          <w:szCs w:val="22"/>
          <w:lang w:val="es-ES"/>
        </w:rPr>
        <w:t>. Dis</w:t>
      </w:r>
      <w:r>
        <w:rPr>
          <w:rFonts w:ascii="Times New Roman" w:hAnsi="Times New Roman"/>
          <w:sz w:val="22"/>
          <w:szCs w:val="22"/>
          <w:lang w:val="es-ES"/>
        </w:rPr>
        <w:t>tribución de resultados –</w:t>
      </w:r>
      <w:r w:rsidRPr="00524585">
        <w:rPr>
          <w:rFonts w:ascii="Times New Roman" w:hAnsi="Times New Roman"/>
          <w:sz w:val="22"/>
          <w:szCs w:val="22"/>
          <w:lang w:val="es-ES"/>
        </w:rPr>
        <w:t>Ratio B/C</w:t>
      </w:r>
    </w:p>
    <w:p w:rsidR="00371FA3" w:rsidRDefault="00524585" w:rsidP="009C3402">
      <w:pPr>
        <w:jc w:val="both"/>
        <w:rPr>
          <w:rFonts w:ascii="Times New Roman" w:hAnsi="Times New Roman"/>
          <w:sz w:val="22"/>
          <w:szCs w:val="22"/>
          <w:lang w:val="es-ES"/>
        </w:rPr>
      </w:pPr>
      <w:r>
        <w:rPr>
          <w:rFonts w:ascii="Times New Roman" w:hAnsi="Times New Roman"/>
          <w:noProof/>
          <w:sz w:val="22"/>
          <w:szCs w:val="22"/>
        </w:rPr>
        <w:drawing>
          <wp:inline distT="0" distB="0" distL="0" distR="0" wp14:anchorId="1E70E155" wp14:editId="6B812ABB">
            <wp:extent cx="5278755" cy="2527913"/>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278755" cy="2527913"/>
                    </a:xfrm>
                    <a:prstGeom prst="rect">
                      <a:avLst/>
                    </a:prstGeom>
                    <a:noFill/>
                    <a:ln>
                      <a:noFill/>
                    </a:ln>
                  </pic:spPr>
                </pic:pic>
              </a:graphicData>
            </a:graphic>
          </wp:inline>
        </w:drawing>
      </w:r>
    </w:p>
    <w:p w:rsidR="008D53A5" w:rsidRDefault="008D53A5" w:rsidP="009C3402">
      <w:pPr>
        <w:jc w:val="both"/>
        <w:rPr>
          <w:rFonts w:ascii="Times New Roman" w:hAnsi="Times New Roman"/>
          <w:sz w:val="22"/>
          <w:szCs w:val="22"/>
          <w:lang w:val="es-ES"/>
        </w:rPr>
      </w:pPr>
    </w:p>
    <w:p w:rsidR="00524585" w:rsidRDefault="00524585" w:rsidP="00AD78F4">
      <w:pPr>
        <w:numPr>
          <w:ilvl w:val="1"/>
          <w:numId w:val="24"/>
        </w:numPr>
        <w:ind w:left="720"/>
        <w:jc w:val="both"/>
        <w:rPr>
          <w:rFonts w:ascii="Times New Roman" w:hAnsi="Times New Roman"/>
          <w:sz w:val="22"/>
          <w:szCs w:val="22"/>
          <w:lang w:val="es-ES"/>
        </w:rPr>
      </w:pPr>
      <w:r>
        <w:rPr>
          <w:rFonts w:ascii="Times New Roman" w:hAnsi="Times New Roman"/>
          <w:sz w:val="22"/>
          <w:szCs w:val="22"/>
          <w:lang w:val="es-ES"/>
        </w:rPr>
        <w:t>Se destaca que el 77</w:t>
      </w:r>
      <w:r w:rsidR="00137636">
        <w:rPr>
          <w:rFonts w:ascii="Times New Roman" w:hAnsi="Times New Roman"/>
          <w:sz w:val="22"/>
          <w:szCs w:val="22"/>
          <w:lang w:val="es-ES"/>
        </w:rPr>
        <w:t>,</w:t>
      </w:r>
      <w:r>
        <w:rPr>
          <w:rFonts w:ascii="Times New Roman" w:hAnsi="Times New Roman"/>
          <w:sz w:val="22"/>
          <w:szCs w:val="22"/>
          <w:lang w:val="es-ES"/>
        </w:rPr>
        <w:t xml:space="preserve">4% de los resultados posibles muestran una </w:t>
      </w:r>
      <w:r w:rsidR="00E10A8C">
        <w:rPr>
          <w:rFonts w:ascii="Times New Roman" w:hAnsi="Times New Roman"/>
          <w:sz w:val="22"/>
          <w:szCs w:val="22"/>
          <w:lang w:val="es-ES"/>
        </w:rPr>
        <w:t>relaci</w:t>
      </w:r>
      <w:r w:rsidR="009C3402">
        <w:rPr>
          <w:rFonts w:ascii="Times New Roman" w:hAnsi="Times New Roman"/>
          <w:sz w:val="22"/>
          <w:szCs w:val="22"/>
          <w:lang w:val="es-ES"/>
        </w:rPr>
        <w:t>ón Beneficio/Costo superior a 1.</w:t>
      </w:r>
    </w:p>
    <w:p w:rsidR="00B85393" w:rsidRPr="00B85393" w:rsidRDefault="00B85393" w:rsidP="00E10A8C">
      <w:pPr>
        <w:ind w:left="718"/>
        <w:jc w:val="both"/>
        <w:rPr>
          <w:rFonts w:ascii="Times New Roman" w:hAnsi="Times New Roman"/>
          <w:sz w:val="22"/>
          <w:lang w:val="es-ES_tradnl"/>
        </w:rPr>
      </w:pPr>
    </w:p>
    <w:p w:rsidR="00E10A8C" w:rsidRPr="00E10A8C" w:rsidRDefault="00C93F2E" w:rsidP="00AD78F4">
      <w:pPr>
        <w:numPr>
          <w:ilvl w:val="1"/>
          <w:numId w:val="24"/>
        </w:numPr>
        <w:jc w:val="both"/>
        <w:rPr>
          <w:rFonts w:ascii="Times New Roman" w:hAnsi="Times New Roman"/>
          <w:sz w:val="22"/>
          <w:lang w:val="es-ES_tradnl"/>
        </w:rPr>
      </w:pPr>
      <w:r w:rsidRPr="00870542">
        <w:rPr>
          <w:rFonts w:ascii="Times New Roman" w:hAnsi="Times New Roman"/>
          <w:sz w:val="22"/>
          <w:szCs w:val="22"/>
          <w:lang w:val="es-AR"/>
        </w:rPr>
        <w:t xml:space="preserve">Tal como se explicó, los resultados  </w:t>
      </w:r>
      <w:r w:rsidR="00696C9A">
        <w:rPr>
          <w:rFonts w:ascii="Times New Roman" w:hAnsi="Times New Roman"/>
          <w:sz w:val="22"/>
          <w:szCs w:val="22"/>
          <w:lang w:val="es-AR"/>
        </w:rPr>
        <w:t xml:space="preserve">responden a </w:t>
      </w:r>
      <w:r w:rsidRPr="00870542">
        <w:rPr>
          <w:rFonts w:ascii="Times New Roman" w:hAnsi="Times New Roman"/>
          <w:sz w:val="22"/>
          <w:szCs w:val="22"/>
          <w:lang w:val="es-AR"/>
        </w:rPr>
        <w:t xml:space="preserve">los siguientes beneficios: </w:t>
      </w:r>
      <w:r w:rsidR="009C3402">
        <w:rPr>
          <w:rFonts w:ascii="Times New Roman" w:hAnsi="Times New Roman"/>
          <w:bCs/>
          <w:sz w:val="22"/>
          <w:szCs w:val="22"/>
          <w:lang w:val="es-AR"/>
        </w:rPr>
        <w:t>(</w:t>
      </w:r>
      <w:r w:rsidR="0068112A" w:rsidRPr="00AA497D">
        <w:rPr>
          <w:rFonts w:ascii="Times New Roman" w:hAnsi="Times New Roman"/>
          <w:sz w:val="22"/>
          <w:szCs w:val="22"/>
          <w:lang w:val="es-AR"/>
        </w:rPr>
        <w:t>a) Reduc</w:t>
      </w:r>
      <w:r w:rsidR="0068112A">
        <w:rPr>
          <w:rFonts w:ascii="Times New Roman" w:hAnsi="Times New Roman"/>
          <w:sz w:val="22"/>
          <w:szCs w:val="22"/>
          <w:lang w:val="es-AR"/>
        </w:rPr>
        <w:t>ción de muertes y daños personales de los habitantes de las regiones que viven en zonas de alta vulnerabilidad</w:t>
      </w:r>
      <w:r w:rsidR="0068112A" w:rsidRPr="00AA497D">
        <w:rPr>
          <w:rFonts w:ascii="Times New Roman" w:hAnsi="Times New Roman"/>
          <w:sz w:val="22"/>
          <w:szCs w:val="22"/>
          <w:lang w:val="es-AR"/>
        </w:rPr>
        <w:t>; (</w:t>
      </w:r>
      <w:r w:rsidR="0068112A">
        <w:rPr>
          <w:rFonts w:ascii="Times New Roman" w:hAnsi="Times New Roman"/>
          <w:sz w:val="22"/>
          <w:szCs w:val="22"/>
          <w:lang w:val="es-AR"/>
        </w:rPr>
        <w:t>b</w:t>
      </w:r>
      <w:r w:rsidR="0068112A" w:rsidRPr="00AA497D">
        <w:rPr>
          <w:rFonts w:ascii="Times New Roman" w:hAnsi="Times New Roman"/>
          <w:sz w:val="22"/>
          <w:szCs w:val="22"/>
          <w:lang w:val="es-AR"/>
        </w:rPr>
        <w:t xml:space="preserve">) </w:t>
      </w:r>
      <w:r w:rsidR="009C3402">
        <w:rPr>
          <w:rFonts w:ascii="Times New Roman" w:hAnsi="Times New Roman"/>
          <w:sz w:val="22"/>
          <w:szCs w:val="22"/>
          <w:lang w:val="es-AR"/>
        </w:rPr>
        <w:t>Disminución de daños a los bienes</w:t>
      </w:r>
      <w:r w:rsidR="0068112A">
        <w:rPr>
          <w:rFonts w:ascii="Times New Roman" w:hAnsi="Times New Roman"/>
          <w:sz w:val="22"/>
          <w:szCs w:val="22"/>
          <w:lang w:val="es-AR"/>
        </w:rPr>
        <w:t xml:space="preserve"> públic</w:t>
      </w:r>
      <w:r w:rsidR="009C3402">
        <w:rPr>
          <w:rFonts w:ascii="Times New Roman" w:hAnsi="Times New Roman"/>
          <w:sz w:val="22"/>
          <w:szCs w:val="22"/>
          <w:lang w:val="es-AR"/>
        </w:rPr>
        <w:t>os</w:t>
      </w:r>
      <w:r w:rsidR="0068112A">
        <w:rPr>
          <w:rFonts w:ascii="Times New Roman" w:hAnsi="Times New Roman"/>
          <w:sz w:val="22"/>
          <w:szCs w:val="22"/>
          <w:lang w:val="es-AR"/>
        </w:rPr>
        <w:t xml:space="preserve"> y privad</w:t>
      </w:r>
      <w:r w:rsidR="009C3402">
        <w:rPr>
          <w:rFonts w:ascii="Times New Roman" w:hAnsi="Times New Roman"/>
          <w:sz w:val="22"/>
          <w:szCs w:val="22"/>
          <w:lang w:val="es-AR"/>
        </w:rPr>
        <w:t>os</w:t>
      </w:r>
      <w:r w:rsidR="00E10A8C">
        <w:rPr>
          <w:rFonts w:ascii="Times New Roman" w:hAnsi="Times New Roman"/>
          <w:sz w:val="22"/>
          <w:szCs w:val="22"/>
          <w:lang w:val="es-AR"/>
        </w:rPr>
        <w:t xml:space="preserve"> por las dos amenazas consideradas. </w:t>
      </w:r>
      <w:r w:rsidR="009C3402">
        <w:rPr>
          <w:rFonts w:ascii="Times New Roman" w:hAnsi="Times New Roman"/>
          <w:sz w:val="22"/>
          <w:szCs w:val="22"/>
          <w:lang w:val="es-AR"/>
        </w:rPr>
        <w:t>Al</w:t>
      </w:r>
      <w:r w:rsidR="00E10A8C">
        <w:rPr>
          <w:rFonts w:ascii="Times New Roman" w:hAnsi="Times New Roman"/>
          <w:sz w:val="22"/>
          <w:szCs w:val="22"/>
          <w:lang w:val="es-AR"/>
        </w:rPr>
        <w:t xml:space="preserve"> </w:t>
      </w:r>
      <w:r w:rsidR="009C3402">
        <w:rPr>
          <w:rFonts w:ascii="Times New Roman" w:hAnsi="Times New Roman"/>
          <w:sz w:val="22"/>
          <w:szCs w:val="22"/>
          <w:lang w:val="es-AR"/>
        </w:rPr>
        <w:t>diferenciar</w:t>
      </w:r>
      <w:r w:rsidR="00E10A8C">
        <w:rPr>
          <w:rFonts w:ascii="Times New Roman" w:hAnsi="Times New Roman"/>
          <w:sz w:val="22"/>
          <w:szCs w:val="22"/>
          <w:lang w:val="es-AR"/>
        </w:rPr>
        <w:t xml:space="preserve"> los beneficios </w:t>
      </w:r>
      <w:r w:rsidR="00127AE3">
        <w:rPr>
          <w:rFonts w:ascii="Times New Roman" w:hAnsi="Times New Roman"/>
          <w:sz w:val="22"/>
          <w:szCs w:val="22"/>
          <w:lang w:val="es-AR"/>
        </w:rPr>
        <w:t>caliculados</w:t>
      </w:r>
      <w:r w:rsidR="009C3402">
        <w:rPr>
          <w:rFonts w:ascii="Times New Roman" w:hAnsi="Times New Roman"/>
          <w:sz w:val="22"/>
          <w:szCs w:val="22"/>
          <w:lang w:val="es-AR"/>
        </w:rPr>
        <w:t xml:space="preserve"> </w:t>
      </w:r>
      <w:r w:rsidR="00E10A8C">
        <w:rPr>
          <w:rFonts w:ascii="Times New Roman" w:hAnsi="Times New Roman"/>
          <w:sz w:val="22"/>
          <w:szCs w:val="22"/>
          <w:lang w:val="es-AR"/>
        </w:rPr>
        <w:t xml:space="preserve">con respecto a los desastres cuyos efectos se </w:t>
      </w:r>
      <w:r w:rsidR="00673163">
        <w:rPr>
          <w:rFonts w:ascii="Times New Roman" w:hAnsi="Times New Roman"/>
          <w:sz w:val="22"/>
          <w:szCs w:val="22"/>
          <w:lang w:val="es-AR"/>
        </w:rPr>
        <w:t>busca</w:t>
      </w:r>
      <w:r w:rsidR="00E10A8C">
        <w:rPr>
          <w:rFonts w:ascii="Times New Roman" w:hAnsi="Times New Roman"/>
          <w:sz w:val="22"/>
          <w:szCs w:val="22"/>
          <w:lang w:val="es-AR"/>
        </w:rPr>
        <w:t xml:space="preserve"> atenuar, se observa que el 80</w:t>
      </w:r>
      <w:r w:rsidR="00137636">
        <w:rPr>
          <w:rFonts w:ascii="Times New Roman" w:hAnsi="Times New Roman"/>
          <w:sz w:val="22"/>
          <w:szCs w:val="22"/>
          <w:lang w:val="es-AR"/>
        </w:rPr>
        <w:t>,</w:t>
      </w:r>
      <w:r w:rsidR="00E10A8C">
        <w:rPr>
          <w:rFonts w:ascii="Times New Roman" w:hAnsi="Times New Roman"/>
          <w:sz w:val="22"/>
          <w:szCs w:val="22"/>
          <w:lang w:val="es-AR"/>
        </w:rPr>
        <w:t>3% de los mismos provienen de la iniciativa de SAT tsunami, mientras el 19</w:t>
      </w:r>
      <w:r w:rsidR="00137636">
        <w:rPr>
          <w:rFonts w:ascii="Times New Roman" w:hAnsi="Times New Roman"/>
          <w:sz w:val="22"/>
          <w:szCs w:val="22"/>
          <w:lang w:val="es-AR"/>
        </w:rPr>
        <w:t>,</w:t>
      </w:r>
      <w:r w:rsidR="00E10A8C">
        <w:rPr>
          <w:rFonts w:ascii="Times New Roman" w:hAnsi="Times New Roman"/>
          <w:sz w:val="22"/>
          <w:szCs w:val="22"/>
          <w:lang w:val="es-AR"/>
        </w:rPr>
        <w:t>3% se generarían en acciones de SAT desbordamiento de ríos.</w:t>
      </w:r>
    </w:p>
    <w:p w:rsidR="00150F38" w:rsidRDefault="0068112A" w:rsidP="00E10A8C">
      <w:pPr>
        <w:ind w:left="718"/>
        <w:jc w:val="both"/>
        <w:rPr>
          <w:rFonts w:ascii="Times New Roman" w:hAnsi="Times New Roman"/>
          <w:sz w:val="22"/>
          <w:lang w:val="es-ES_tradnl"/>
        </w:rPr>
      </w:pPr>
      <w:r>
        <w:rPr>
          <w:rFonts w:ascii="Times New Roman" w:hAnsi="Times New Roman"/>
          <w:sz w:val="22"/>
          <w:szCs w:val="22"/>
          <w:lang w:val="es-AR"/>
        </w:rPr>
        <w:t xml:space="preserve"> </w:t>
      </w:r>
    </w:p>
    <w:p w:rsidR="00150F38" w:rsidRPr="00B037BC" w:rsidRDefault="000513F8" w:rsidP="00AD78F4">
      <w:pPr>
        <w:numPr>
          <w:ilvl w:val="1"/>
          <w:numId w:val="24"/>
        </w:numPr>
        <w:jc w:val="both"/>
        <w:rPr>
          <w:rFonts w:ascii="Times New Roman" w:hAnsi="Times New Roman"/>
          <w:sz w:val="22"/>
          <w:lang w:val="es-ES_tradnl"/>
        </w:rPr>
      </w:pPr>
      <w:r>
        <w:rPr>
          <w:rFonts w:ascii="Times New Roman" w:hAnsi="Times New Roman"/>
          <w:sz w:val="22"/>
          <w:szCs w:val="22"/>
          <w:lang w:val="es-ES_tradnl"/>
        </w:rPr>
        <w:t>En e</w:t>
      </w:r>
      <w:r w:rsidR="00E10A8C">
        <w:rPr>
          <w:rFonts w:ascii="Times New Roman" w:hAnsi="Times New Roman"/>
          <w:sz w:val="22"/>
          <w:szCs w:val="22"/>
          <w:lang w:val="es-ES_tradnl"/>
        </w:rPr>
        <w:t xml:space="preserve">l gráfico más abajo se presenta la ponderación en los resultados finales de las principales variables consideradas. Se destaca que los resultados muestran una gran correlación con los supuestos que se asignen </w:t>
      </w:r>
      <w:r w:rsidR="00F44D2B">
        <w:rPr>
          <w:rFonts w:ascii="Times New Roman" w:hAnsi="Times New Roman"/>
          <w:sz w:val="22"/>
          <w:szCs w:val="22"/>
          <w:lang w:val="es-ES_tradnl"/>
        </w:rPr>
        <w:t xml:space="preserve">a </w:t>
      </w:r>
      <w:r w:rsidR="009C3402">
        <w:rPr>
          <w:rFonts w:ascii="Times New Roman" w:hAnsi="Times New Roman"/>
          <w:sz w:val="22"/>
          <w:szCs w:val="22"/>
          <w:lang w:val="es-ES_tradnl"/>
        </w:rPr>
        <w:t xml:space="preserve">dos conceptos: </w:t>
      </w:r>
      <w:r w:rsidR="00F44D2B">
        <w:rPr>
          <w:rFonts w:ascii="Times New Roman" w:hAnsi="Times New Roman"/>
          <w:sz w:val="22"/>
          <w:szCs w:val="22"/>
          <w:lang w:val="es-ES_tradnl"/>
        </w:rPr>
        <w:t xml:space="preserve">la </w:t>
      </w:r>
      <w:r w:rsidR="006620C3">
        <w:rPr>
          <w:rFonts w:ascii="Times New Roman" w:hAnsi="Times New Roman"/>
          <w:sz w:val="22"/>
          <w:szCs w:val="22"/>
          <w:lang w:val="es-ES_tradnl"/>
        </w:rPr>
        <w:t xml:space="preserve">probabilidad </w:t>
      </w:r>
      <w:r w:rsidR="00F44D2B">
        <w:rPr>
          <w:rFonts w:ascii="Times New Roman" w:hAnsi="Times New Roman"/>
          <w:sz w:val="22"/>
          <w:szCs w:val="22"/>
          <w:lang w:val="es-ES_tradnl"/>
        </w:rPr>
        <w:t xml:space="preserve">de ocurrencia del tsunami y a la </w:t>
      </w:r>
      <w:r w:rsidR="006620C3">
        <w:rPr>
          <w:rFonts w:ascii="Times New Roman" w:hAnsi="Times New Roman"/>
          <w:sz w:val="22"/>
          <w:szCs w:val="22"/>
          <w:lang w:val="es-ES_tradnl"/>
        </w:rPr>
        <w:t>magnitud</w:t>
      </w:r>
      <w:r w:rsidR="00F44D2B">
        <w:rPr>
          <w:rFonts w:ascii="Times New Roman" w:hAnsi="Times New Roman"/>
          <w:sz w:val="22"/>
          <w:szCs w:val="22"/>
          <w:lang w:val="es-ES_tradnl"/>
        </w:rPr>
        <w:t>/</w:t>
      </w:r>
      <w:r w:rsidR="006620C3">
        <w:rPr>
          <w:rFonts w:ascii="Times New Roman" w:hAnsi="Times New Roman"/>
          <w:sz w:val="22"/>
          <w:szCs w:val="22"/>
          <w:lang w:val="es-ES_tradnl"/>
        </w:rPr>
        <w:t xml:space="preserve">alcance </w:t>
      </w:r>
      <w:r w:rsidR="00F44D2B">
        <w:rPr>
          <w:rFonts w:ascii="Times New Roman" w:hAnsi="Times New Roman"/>
          <w:sz w:val="22"/>
          <w:szCs w:val="22"/>
          <w:lang w:val="es-ES_tradnl"/>
        </w:rPr>
        <w:t xml:space="preserve">de </w:t>
      </w:r>
      <w:r w:rsidR="00673163">
        <w:rPr>
          <w:rFonts w:ascii="Times New Roman" w:hAnsi="Times New Roman"/>
          <w:sz w:val="22"/>
          <w:szCs w:val="22"/>
          <w:lang w:val="es-ES_tradnl"/>
        </w:rPr>
        <w:t>sus</w:t>
      </w:r>
      <w:r w:rsidR="00F44D2B">
        <w:rPr>
          <w:rFonts w:ascii="Times New Roman" w:hAnsi="Times New Roman"/>
          <w:sz w:val="22"/>
          <w:szCs w:val="22"/>
          <w:lang w:val="es-ES_tradnl"/>
        </w:rPr>
        <w:t xml:space="preserve"> efectos</w:t>
      </w:r>
      <w:r w:rsidR="009C3402">
        <w:rPr>
          <w:rFonts w:ascii="Times New Roman" w:hAnsi="Times New Roman"/>
          <w:sz w:val="22"/>
          <w:szCs w:val="22"/>
          <w:lang w:val="es-ES_tradnl"/>
        </w:rPr>
        <w:t xml:space="preserve">  medida po</w:t>
      </w:r>
      <w:r w:rsidR="00127AE3">
        <w:rPr>
          <w:rFonts w:ascii="Times New Roman" w:hAnsi="Times New Roman"/>
          <w:sz w:val="22"/>
          <w:szCs w:val="22"/>
          <w:lang w:val="es-ES_tradnl"/>
        </w:rPr>
        <w:t>r l</w:t>
      </w:r>
      <w:r w:rsidR="009C3402">
        <w:rPr>
          <w:rFonts w:ascii="Times New Roman" w:hAnsi="Times New Roman"/>
          <w:sz w:val="22"/>
          <w:szCs w:val="22"/>
          <w:lang w:val="es-ES_tradnl"/>
        </w:rPr>
        <w:t>a exposición a eventos destructivos</w:t>
      </w:r>
      <w:r w:rsidR="00F44D2B">
        <w:rPr>
          <w:rFonts w:ascii="Times New Roman" w:hAnsi="Times New Roman"/>
          <w:sz w:val="22"/>
          <w:szCs w:val="22"/>
          <w:lang w:val="es-ES_tradnl"/>
        </w:rPr>
        <w:t xml:space="preserve">. El Gráfico de tornado a continuación es otra forma de exposición común o habitual que expone </w:t>
      </w:r>
      <w:r w:rsidR="009C3402">
        <w:rPr>
          <w:rFonts w:ascii="Times New Roman" w:hAnsi="Times New Roman"/>
          <w:sz w:val="22"/>
          <w:szCs w:val="22"/>
          <w:lang w:val="es-ES_tradnl"/>
        </w:rPr>
        <w:t xml:space="preserve">los mismos </w:t>
      </w:r>
      <w:r w:rsidR="00F44D2B">
        <w:rPr>
          <w:rFonts w:ascii="Times New Roman" w:hAnsi="Times New Roman"/>
          <w:sz w:val="22"/>
          <w:szCs w:val="22"/>
          <w:lang w:val="es-ES_tradnl"/>
        </w:rPr>
        <w:t>conceptos</w:t>
      </w:r>
      <w:r w:rsidR="009C3402">
        <w:rPr>
          <w:rFonts w:ascii="Times New Roman" w:hAnsi="Times New Roman"/>
          <w:sz w:val="22"/>
          <w:szCs w:val="22"/>
          <w:lang w:val="es-ES_tradnl"/>
        </w:rPr>
        <w:t xml:space="preserve"> y resulta en conclusiones similares</w:t>
      </w:r>
      <w:r w:rsidR="00F44D2B">
        <w:rPr>
          <w:rFonts w:ascii="Times New Roman" w:hAnsi="Times New Roman"/>
          <w:sz w:val="22"/>
          <w:szCs w:val="22"/>
          <w:lang w:val="es-ES_tradnl"/>
        </w:rPr>
        <w:t>.</w:t>
      </w:r>
    </w:p>
    <w:p w:rsidR="00B037BC" w:rsidRPr="007244B1" w:rsidRDefault="00B037BC" w:rsidP="00B037BC">
      <w:pPr>
        <w:jc w:val="both"/>
        <w:rPr>
          <w:rFonts w:ascii="Times New Roman" w:hAnsi="Times New Roman"/>
          <w:sz w:val="22"/>
          <w:lang w:val="es-ES_tradnl"/>
        </w:rPr>
      </w:pPr>
    </w:p>
    <w:p w:rsidR="00A34A44" w:rsidRDefault="00A34A44" w:rsidP="009C3402">
      <w:pPr>
        <w:jc w:val="center"/>
        <w:rPr>
          <w:rFonts w:ascii="Times New Roman" w:hAnsi="Times New Roman"/>
          <w:lang w:val="es-ES"/>
        </w:rPr>
      </w:pPr>
      <w:r w:rsidRPr="00600976">
        <w:rPr>
          <w:rFonts w:ascii="Times New Roman" w:hAnsi="Times New Roman"/>
          <w:b/>
          <w:lang w:val="es-ES"/>
        </w:rPr>
        <w:t xml:space="preserve">Figura </w:t>
      </w:r>
      <w:r w:rsidR="00081A23" w:rsidRPr="00600976">
        <w:rPr>
          <w:rFonts w:ascii="Times New Roman" w:hAnsi="Times New Roman"/>
          <w:b/>
          <w:lang w:val="es-ES"/>
        </w:rPr>
        <w:fldChar w:fldCharType="begin"/>
      </w:r>
      <w:r w:rsidRPr="00600976">
        <w:rPr>
          <w:rFonts w:ascii="Times New Roman" w:hAnsi="Times New Roman"/>
          <w:b/>
          <w:lang w:val="es-ES"/>
        </w:rPr>
        <w:instrText xml:space="preserve"> SEQ Figura \* ARABIC </w:instrText>
      </w:r>
      <w:r w:rsidR="00081A23" w:rsidRPr="00600976">
        <w:rPr>
          <w:rFonts w:ascii="Times New Roman" w:hAnsi="Times New Roman"/>
          <w:b/>
          <w:lang w:val="es-ES"/>
        </w:rPr>
        <w:fldChar w:fldCharType="separate"/>
      </w:r>
      <w:r w:rsidR="00E10A8C">
        <w:rPr>
          <w:rFonts w:ascii="Times New Roman" w:hAnsi="Times New Roman"/>
          <w:b/>
          <w:noProof/>
          <w:lang w:val="es-ES"/>
        </w:rPr>
        <w:t>8</w:t>
      </w:r>
      <w:r w:rsidR="00081A23" w:rsidRPr="00600976">
        <w:rPr>
          <w:rFonts w:ascii="Times New Roman" w:hAnsi="Times New Roman"/>
          <w:b/>
          <w:lang w:val="es-ES"/>
        </w:rPr>
        <w:fldChar w:fldCharType="end"/>
      </w:r>
      <w:r>
        <w:rPr>
          <w:rFonts w:ascii="Times New Roman" w:hAnsi="Times New Roman"/>
          <w:lang w:val="es-ES"/>
        </w:rPr>
        <w:t xml:space="preserve">. </w:t>
      </w:r>
      <w:r w:rsidR="00E10A8C">
        <w:rPr>
          <w:rFonts w:ascii="Times New Roman" w:hAnsi="Times New Roman"/>
          <w:lang w:val="es-ES"/>
        </w:rPr>
        <w:t xml:space="preserve"> Ratio </w:t>
      </w:r>
      <w:r w:rsidR="00B51793">
        <w:rPr>
          <w:rFonts w:ascii="Times New Roman" w:hAnsi="Times New Roman"/>
          <w:lang w:val="es-ES"/>
        </w:rPr>
        <w:t xml:space="preserve">B/C </w:t>
      </w:r>
      <w:r>
        <w:rPr>
          <w:rFonts w:ascii="Times New Roman" w:hAnsi="Times New Roman"/>
          <w:lang w:val="es-ES"/>
        </w:rPr>
        <w:t>Correlación entre parámetros o variables de ingreso y resultados</w:t>
      </w:r>
      <w:r w:rsidR="00B51793">
        <w:rPr>
          <w:rFonts w:ascii="Times New Roman" w:hAnsi="Times New Roman"/>
          <w:lang w:val="es-ES"/>
        </w:rPr>
        <w:t>.</w:t>
      </w:r>
    </w:p>
    <w:p w:rsidR="00C02BEC" w:rsidRDefault="00E10A8C" w:rsidP="00C93F2E">
      <w:pPr>
        <w:autoSpaceDE w:val="0"/>
        <w:autoSpaceDN w:val="0"/>
        <w:adjustRightInd w:val="0"/>
        <w:jc w:val="center"/>
        <w:rPr>
          <w:rFonts w:ascii="Times New Roman" w:hAnsi="Times New Roman"/>
          <w:lang w:val="es-ES"/>
        </w:rPr>
      </w:pPr>
      <w:r>
        <w:rPr>
          <w:rFonts w:ascii="Times New Roman" w:hAnsi="Times New Roman"/>
          <w:noProof/>
        </w:rPr>
        <w:lastRenderedPageBreak/>
        <w:drawing>
          <wp:inline distT="0" distB="0" distL="0" distR="0" wp14:anchorId="55513242" wp14:editId="2701DE3A">
            <wp:extent cx="5278755" cy="2527913"/>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78755" cy="2527913"/>
                    </a:xfrm>
                    <a:prstGeom prst="rect">
                      <a:avLst/>
                    </a:prstGeom>
                    <a:noFill/>
                    <a:ln>
                      <a:noFill/>
                    </a:ln>
                  </pic:spPr>
                </pic:pic>
              </a:graphicData>
            </a:graphic>
          </wp:inline>
        </w:drawing>
      </w:r>
    </w:p>
    <w:p w:rsidR="00C02BEC" w:rsidRDefault="00C02BEC" w:rsidP="00C93F2E">
      <w:pPr>
        <w:autoSpaceDE w:val="0"/>
        <w:autoSpaceDN w:val="0"/>
        <w:adjustRightInd w:val="0"/>
        <w:jc w:val="center"/>
        <w:rPr>
          <w:rFonts w:ascii="Times New Roman" w:hAnsi="Times New Roman"/>
          <w:lang w:val="es-ES"/>
        </w:rPr>
      </w:pPr>
    </w:p>
    <w:p w:rsidR="00F44D2B" w:rsidRPr="00837476" w:rsidRDefault="00F44D2B" w:rsidP="009C3402">
      <w:pPr>
        <w:jc w:val="center"/>
        <w:rPr>
          <w:rFonts w:ascii="Times New Roman" w:hAnsi="Times New Roman"/>
          <w:lang w:val="pt-BR"/>
        </w:rPr>
      </w:pPr>
      <w:bookmarkStart w:id="130" w:name="_Toc296036130"/>
      <w:r w:rsidRPr="00837476">
        <w:rPr>
          <w:rFonts w:ascii="Times New Roman" w:hAnsi="Times New Roman"/>
          <w:b/>
          <w:lang w:val="pt-BR"/>
        </w:rPr>
        <w:t xml:space="preserve">Figura </w:t>
      </w:r>
      <w:r w:rsidR="00081A23" w:rsidRPr="00600976">
        <w:rPr>
          <w:rFonts w:ascii="Times New Roman" w:hAnsi="Times New Roman"/>
          <w:b/>
          <w:lang w:val="es-ES"/>
        </w:rPr>
        <w:fldChar w:fldCharType="begin"/>
      </w:r>
      <w:r w:rsidRPr="00837476">
        <w:rPr>
          <w:rFonts w:ascii="Times New Roman" w:hAnsi="Times New Roman"/>
          <w:b/>
          <w:lang w:val="pt-BR"/>
        </w:rPr>
        <w:instrText xml:space="preserve"> SEQ Figura \* ARABIC </w:instrText>
      </w:r>
      <w:r w:rsidR="00081A23" w:rsidRPr="00600976">
        <w:rPr>
          <w:rFonts w:ascii="Times New Roman" w:hAnsi="Times New Roman"/>
          <w:b/>
          <w:lang w:val="es-ES"/>
        </w:rPr>
        <w:fldChar w:fldCharType="separate"/>
      </w:r>
      <w:r w:rsidRPr="00837476">
        <w:rPr>
          <w:rFonts w:ascii="Times New Roman" w:hAnsi="Times New Roman"/>
          <w:b/>
          <w:noProof/>
          <w:lang w:val="pt-BR"/>
        </w:rPr>
        <w:t>9</w:t>
      </w:r>
      <w:r w:rsidR="00081A23" w:rsidRPr="00600976">
        <w:rPr>
          <w:rFonts w:ascii="Times New Roman" w:hAnsi="Times New Roman"/>
          <w:b/>
          <w:lang w:val="es-ES"/>
        </w:rPr>
        <w:fldChar w:fldCharType="end"/>
      </w:r>
      <w:r w:rsidRPr="00837476">
        <w:rPr>
          <w:rFonts w:ascii="Times New Roman" w:hAnsi="Times New Roman"/>
          <w:lang w:val="pt-BR"/>
        </w:rPr>
        <w:t>.  Ratio B/C Gráfico de Tornado.</w:t>
      </w:r>
    </w:p>
    <w:p w:rsidR="00B24085" w:rsidRDefault="00E10A8C" w:rsidP="00874F67">
      <w:pPr>
        <w:rPr>
          <w:lang w:val="es-ES_tradnl"/>
        </w:rPr>
      </w:pPr>
      <w:r w:rsidRPr="00874F67">
        <w:rPr>
          <w:noProof/>
        </w:rPr>
        <w:drawing>
          <wp:inline distT="0" distB="0" distL="0" distR="0" wp14:anchorId="0DB71F28" wp14:editId="4532EAF7">
            <wp:extent cx="5278755" cy="2527913"/>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278755" cy="2527913"/>
                    </a:xfrm>
                    <a:prstGeom prst="rect">
                      <a:avLst/>
                    </a:prstGeom>
                    <a:noFill/>
                    <a:ln>
                      <a:noFill/>
                    </a:ln>
                  </pic:spPr>
                </pic:pic>
              </a:graphicData>
            </a:graphic>
          </wp:inline>
        </w:drawing>
      </w:r>
    </w:p>
    <w:p w:rsidR="008005CB" w:rsidRDefault="008005CB" w:rsidP="00C02BEC">
      <w:pPr>
        <w:pStyle w:val="Heading3"/>
        <w:tabs>
          <w:tab w:val="left" w:pos="6096"/>
        </w:tabs>
        <w:rPr>
          <w:lang w:val="es-ES_tradnl"/>
        </w:rPr>
      </w:pPr>
    </w:p>
    <w:p w:rsidR="000513F8" w:rsidRDefault="0078407C" w:rsidP="00C02BEC">
      <w:pPr>
        <w:pStyle w:val="Heading3"/>
        <w:tabs>
          <w:tab w:val="left" w:pos="6096"/>
        </w:tabs>
        <w:rPr>
          <w:lang w:val="es-ES_tradnl"/>
        </w:rPr>
      </w:pPr>
      <w:bookmarkStart w:id="131" w:name="_Toc465929629"/>
      <w:bookmarkStart w:id="132" w:name="_Toc468199839"/>
      <w:r>
        <w:rPr>
          <w:lang w:val="es-ES_tradnl"/>
        </w:rPr>
        <w:t xml:space="preserve">Escenarios </w:t>
      </w:r>
      <w:r w:rsidR="006620C3">
        <w:rPr>
          <w:lang w:val="es-ES_tradnl"/>
        </w:rPr>
        <w:t xml:space="preserve">complementarios </w:t>
      </w:r>
      <w:r>
        <w:rPr>
          <w:lang w:val="es-ES_tradnl"/>
        </w:rPr>
        <w:t xml:space="preserve">de </w:t>
      </w:r>
      <w:bookmarkEnd w:id="130"/>
      <w:r w:rsidR="006620C3">
        <w:rPr>
          <w:lang w:val="es-ES_tradnl"/>
        </w:rPr>
        <w:t>evaluación</w:t>
      </w:r>
      <w:bookmarkEnd w:id="131"/>
      <w:bookmarkEnd w:id="132"/>
      <w:r w:rsidR="006620C3" w:rsidRPr="001B601F">
        <w:rPr>
          <w:lang w:val="es-ES_tradnl"/>
        </w:rPr>
        <w:t xml:space="preserve"> </w:t>
      </w:r>
    </w:p>
    <w:p w:rsidR="00B24085" w:rsidRPr="00B24085" w:rsidRDefault="00B24085" w:rsidP="00B24085">
      <w:pPr>
        <w:rPr>
          <w:lang w:val="es-ES_tradnl"/>
        </w:rPr>
      </w:pPr>
    </w:p>
    <w:p w:rsidR="00B24085" w:rsidRPr="00F44D2B" w:rsidRDefault="00B24085" w:rsidP="00AD78F4">
      <w:pPr>
        <w:pStyle w:val="ListParagraph"/>
        <w:numPr>
          <w:ilvl w:val="1"/>
          <w:numId w:val="24"/>
        </w:numPr>
        <w:jc w:val="both"/>
        <w:rPr>
          <w:rFonts w:ascii="Times New Roman" w:hAnsi="Times New Roman"/>
          <w:bCs/>
          <w:iCs/>
          <w:sz w:val="22"/>
          <w:lang w:val="es-PE"/>
        </w:rPr>
      </w:pPr>
      <w:r w:rsidRPr="0078407C">
        <w:rPr>
          <w:rFonts w:ascii="Times New Roman" w:hAnsi="Times New Roman"/>
          <w:sz w:val="22"/>
          <w:szCs w:val="22"/>
          <w:lang w:val="es-ES"/>
        </w:rPr>
        <w:t xml:space="preserve">El análisis contempla </w:t>
      </w:r>
      <w:r w:rsidR="006620C3">
        <w:rPr>
          <w:rFonts w:ascii="Times New Roman" w:hAnsi="Times New Roman"/>
          <w:sz w:val="22"/>
          <w:szCs w:val="22"/>
          <w:lang w:val="es-ES"/>
        </w:rPr>
        <w:t>e</w:t>
      </w:r>
      <w:r w:rsidR="006620C3" w:rsidRPr="0078407C">
        <w:rPr>
          <w:rFonts w:ascii="Times New Roman" w:hAnsi="Times New Roman"/>
          <w:sz w:val="22"/>
          <w:szCs w:val="22"/>
          <w:lang w:val="es-ES"/>
        </w:rPr>
        <w:t xml:space="preserve">scenarios </w:t>
      </w:r>
      <w:r w:rsidR="0078407C" w:rsidRPr="0078407C">
        <w:rPr>
          <w:rFonts w:ascii="Times New Roman" w:hAnsi="Times New Roman"/>
          <w:sz w:val="22"/>
          <w:szCs w:val="22"/>
          <w:lang w:val="es-ES"/>
        </w:rPr>
        <w:t xml:space="preserve">de </w:t>
      </w:r>
      <w:r w:rsidR="006620C3">
        <w:rPr>
          <w:rFonts w:ascii="Times New Roman" w:hAnsi="Times New Roman"/>
          <w:sz w:val="22"/>
          <w:szCs w:val="22"/>
          <w:lang w:val="es-ES"/>
        </w:rPr>
        <w:t>e</w:t>
      </w:r>
      <w:r w:rsidR="006620C3" w:rsidRPr="0078407C">
        <w:rPr>
          <w:rFonts w:ascii="Times New Roman" w:hAnsi="Times New Roman"/>
          <w:sz w:val="22"/>
          <w:szCs w:val="22"/>
          <w:lang w:val="es-ES"/>
        </w:rPr>
        <w:t xml:space="preserve">valuación </w:t>
      </w:r>
      <w:r w:rsidR="0078407C" w:rsidRPr="0078407C">
        <w:rPr>
          <w:rFonts w:ascii="Times New Roman" w:hAnsi="Times New Roman"/>
          <w:sz w:val="22"/>
          <w:szCs w:val="22"/>
          <w:lang w:val="es-ES"/>
        </w:rPr>
        <w:t>distintos</w:t>
      </w:r>
      <w:r w:rsidRPr="0078407C">
        <w:rPr>
          <w:rFonts w:ascii="Times New Roman" w:hAnsi="Times New Roman"/>
          <w:sz w:val="22"/>
          <w:szCs w:val="22"/>
          <w:lang w:val="es-ES"/>
        </w:rPr>
        <w:t xml:space="preserve"> que resultan de modificar los siguientes parámetros críticos: i)  tasa de descuento de los flujos futuros</w:t>
      </w:r>
      <w:r w:rsidRPr="005907F8">
        <w:rPr>
          <w:rStyle w:val="FootnoteReference"/>
          <w:rFonts w:ascii="Times New Roman" w:hAnsi="Times New Roman"/>
          <w:sz w:val="22"/>
          <w:szCs w:val="22"/>
          <w:lang w:val="es-ES"/>
        </w:rPr>
        <w:footnoteReference w:id="58"/>
      </w:r>
      <w:r w:rsidR="00F44D2B">
        <w:rPr>
          <w:rFonts w:ascii="Times New Roman" w:hAnsi="Times New Roman"/>
          <w:sz w:val="22"/>
          <w:szCs w:val="22"/>
          <w:lang w:val="es-ES"/>
        </w:rPr>
        <w:t>, y ii</w:t>
      </w:r>
      <w:r w:rsidRPr="0078407C">
        <w:rPr>
          <w:rFonts w:ascii="Times New Roman" w:hAnsi="Times New Roman"/>
          <w:sz w:val="22"/>
          <w:szCs w:val="22"/>
          <w:lang w:val="es-ES"/>
        </w:rPr>
        <w:t>) probabilidad de ocurrencia de un tsunami</w:t>
      </w:r>
      <w:r>
        <w:rPr>
          <w:rStyle w:val="FootnoteReference"/>
          <w:rFonts w:ascii="Times New Roman" w:hAnsi="Times New Roman"/>
          <w:sz w:val="22"/>
          <w:szCs w:val="22"/>
          <w:lang w:val="es-ES"/>
        </w:rPr>
        <w:footnoteReference w:id="59"/>
      </w:r>
      <w:r w:rsidRPr="0078407C">
        <w:rPr>
          <w:rFonts w:ascii="Times New Roman" w:hAnsi="Times New Roman"/>
          <w:sz w:val="22"/>
          <w:szCs w:val="22"/>
          <w:lang w:val="es-ES"/>
        </w:rPr>
        <w:t xml:space="preserve">.  La Tabla </w:t>
      </w:r>
      <w:r w:rsidR="004B1B6C">
        <w:rPr>
          <w:rFonts w:ascii="Times New Roman" w:hAnsi="Times New Roman"/>
          <w:sz w:val="22"/>
          <w:szCs w:val="22"/>
          <w:lang w:val="es-ES"/>
        </w:rPr>
        <w:t>21</w:t>
      </w:r>
      <w:r w:rsidR="006620C3" w:rsidRPr="0078407C">
        <w:rPr>
          <w:rFonts w:ascii="Times New Roman" w:hAnsi="Times New Roman"/>
          <w:sz w:val="22"/>
          <w:szCs w:val="22"/>
          <w:lang w:val="es-ES"/>
        </w:rPr>
        <w:t xml:space="preserve"> </w:t>
      </w:r>
      <w:r w:rsidR="009C3402">
        <w:rPr>
          <w:rFonts w:ascii="Times New Roman" w:hAnsi="Times New Roman"/>
          <w:sz w:val="22"/>
          <w:szCs w:val="22"/>
          <w:lang w:val="es-ES"/>
        </w:rPr>
        <w:t xml:space="preserve">expone esos resultados y </w:t>
      </w:r>
      <w:r w:rsidRPr="0078407C">
        <w:rPr>
          <w:rFonts w:ascii="Times New Roman" w:hAnsi="Times New Roman"/>
          <w:sz w:val="22"/>
          <w:szCs w:val="22"/>
          <w:lang w:val="es-ES"/>
        </w:rPr>
        <w:t xml:space="preserve">refleja significativas variaciones con respecto a las hipótesis de base.  </w:t>
      </w:r>
      <w:r w:rsidRPr="0078407C">
        <w:rPr>
          <w:rFonts w:ascii="Times New Roman" w:hAnsi="Times New Roman"/>
          <w:sz w:val="22"/>
          <w:lang w:val="es-ES_tradnl"/>
        </w:rPr>
        <w:t xml:space="preserve">Como referencia, el </w:t>
      </w:r>
      <w:r w:rsidR="006620C3">
        <w:rPr>
          <w:rFonts w:ascii="Times New Roman" w:hAnsi="Times New Roman"/>
          <w:sz w:val="22"/>
          <w:lang w:val="es-ES_tradnl"/>
        </w:rPr>
        <w:t>r</w:t>
      </w:r>
      <w:r w:rsidR="006620C3" w:rsidRPr="0078407C">
        <w:rPr>
          <w:rFonts w:ascii="Times New Roman" w:hAnsi="Times New Roman"/>
          <w:sz w:val="22"/>
          <w:lang w:val="es-ES_tradnl"/>
        </w:rPr>
        <w:t xml:space="preserve">atio </w:t>
      </w:r>
      <w:r w:rsidRPr="0078407C">
        <w:rPr>
          <w:rFonts w:ascii="Times New Roman" w:hAnsi="Times New Roman"/>
          <w:sz w:val="22"/>
          <w:lang w:val="es-ES_tradnl"/>
        </w:rPr>
        <w:t>B/C de la intervención varía entre 1</w:t>
      </w:r>
      <w:r w:rsidR="006620C3">
        <w:rPr>
          <w:rFonts w:ascii="Times New Roman" w:hAnsi="Times New Roman"/>
          <w:sz w:val="22"/>
          <w:lang w:val="es-ES_tradnl"/>
        </w:rPr>
        <w:t>,</w:t>
      </w:r>
      <w:r w:rsidR="000C2E55">
        <w:rPr>
          <w:rFonts w:ascii="Times New Roman" w:hAnsi="Times New Roman"/>
          <w:sz w:val="22"/>
          <w:lang w:val="es-ES_tradnl"/>
        </w:rPr>
        <w:t>20</w:t>
      </w:r>
      <w:r w:rsidRPr="0078407C">
        <w:rPr>
          <w:rFonts w:ascii="Times New Roman" w:hAnsi="Times New Roman"/>
          <w:sz w:val="22"/>
          <w:lang w:val="es-ES_tradnl"/>
        </w:rPr>
        <w:t xml:space="preserve"> y </w:t>
      </w:r>
      <w:r w:rsidR="00F44D2B">
        <w:rPr>
          <w:rFonts w:ascii="Times New Roman" w:hAnsi="Times New Roman"/>
          <w:sz w:val="22"/>
          <w:lang w:val="es-ES_tradnl"/>
        </w:rPr>
        <w:t xml:space="preserve"> </w:t>
      </w:r>
      <w:r w:rsidR="000C2E55">
        <w:rPr>
          <w:rFonts w:ascii="Times New Roman" w:hAnsi="Times New Roman"/>
          <w:sz w:val="22"/>
          <w:lang w:val="es-ES_tradnl"/>
        </w:rPr>
        <w:t>2</w:t>
      </w:r>
      <w:r w:rsidR="006620C3">
        <w:rPr>
          <w:rFonts w:ascii="Times New Roman" w:hAnsi="Times New Roman"/>
          <w:sz w:val="22"/>
          <w:lang w:val="es-ES_tradnl"/>
        </w:rPr>
        <w:t>,</w:t>
      </w:r>
      <w:r w:rsidR="00F44D2B">
        <w:rPr>
          <w:rFonts w:ascii="Times New Roman" w:hAnsi="Times New Roman"/>
          <w:sz w:val="22"/>
          <w:lang w:val="es-ES_tradnl"/>
        </w:rPr>
        <w:t>4</w:t>
      </w:r>
      <w:r w:rsidR="000C2E55">
        <w:rPr>
          <w:rFonts w:ascii="Times New Roman" w:hAnsi="Times New Roman"/>
          <w:sz w:val="22"/>
          <w:lang w:val="es-ES_tradnl"/>
        </w:rPr>
        <w:t>7</w:t>
      </w:r>
      <w:r w:rsidRPr="0078407C">
        <w:rPr>
          <w:rFonts w:ascii="Times New Roman" w:hAnsi="Times New Roman"/>
          <w:sz w:val="22"/>
          <w:lang w:val="es-ES_tradnl"/>
        </w:rPr>
        <w:t xml:space="preserve">, expresando </w:t>
      </w:r>
      <w:r w:rsidR="009C3402">
        <w:rPr>
          <w:rFonts w:ascii="Times New Roman" w:hAnsi="Times New Roman"/>
          <w:sz w:val="22"/>
          <w:lang w:val="es-ES_tradnl"/>
        </w:rPr>
        <w:t xml:space="preserve">una </w:t>
      </w:r>
      <w:r w:rsidRPr="0078407C">
        <w:rPr>
          <w:rFonts w:ascii="Times New Roman" w:hAnsi="Times New Roman"/>
          <w:sz w:val="22"/>
          <w:lang w:val="es-ES_tradnl"/>
        </w:rPr>
        <w:t>alta respuesta de los indicadores frente a</w:t>
      </w:r>
      <w:r w:rsidR="00B71E69">
        <w:rPr>
          <w:rFonts w:ascii="Times New Roman" w:hAnsi="Times New Roman"/>
          <w:sz w:val="22"/>
          <w:lang w:val="es-ES_tradnl"/>
        </w:rPr>
        <w:t xml:space="preserve"> </w:t>
      </w:r>
      <w:r w:rsidR="000C2E55">
        <w:rPr>
          <w:rFonts w:ascii="Times New Roman" w:hAnsi="Times New Roman"/>
          <w:sz w:val="22"/>
          <w:lang w:val="es-ES_tradnl"/>
        </w:rPr>
        <w:t>l</w:t>
      </w:r>
      <w:r w:rsidRPr="0078407C">
        <w:rPr>
          <w:rFonts w:ascii="Times New Roman" w:hAnsi="Times New Roman"/>
          <w:sz w:val="22"/>
          <w:lang w:val="es-ES_tradnl"/>
        </w:rPr>
        <w:t xml:space="preserve">os supuestos </w:t>
      </w:r>
      <w:r w:rsidR="000C2E55">
        <w:rPr>
          <w:rFonts w:ascii="Times New Roman" w:hAnsi="Times New Roman"/>
          <w:sz w:val="22"/>
          <w:lang w:val="es-ES_tradnl"/>
        </w:rPr>
        <w:t>de referencia</w:t>
      </w:r>
      <w:r w:rsidRPr="0078407C">
        <w:rPr>
          <w:rFonts w:ascii="Times New Roman" w:hAnsi="Times New Roman"/>
          <w:sz w:val="22"/>
          <w:lang w:val="es-ES_tradnl"/>
        </w:rPr>
        <w:t>.</w:t>
      </w:r>
    </w:p>
    <w:p w:rsidR="00F44D2B" w:rsidRPr="0078407C" w:rsidRDefault="00F44D2B" w:rsidP="00F44D2B">
      <w:pPr>
        <w:pStyle w:val="ListParagraph"/>
        <w:ind w:left="718"/>
        <w:jc w:val="both"/>
        <w:rPr>
          <w:rFonts w:ascii="Times New Roman" w:hAnsi="Times New Roman"/>
          <w:bCs/>
          <w:iCs/>
          <w:sz w:val="22"/>
          <w:lang w:val="es-PE"/>
        </w:rPr>
      </w:pPr>
    </w:p>
    <w:p w:rsidR="00B24085" w:rsidRDefault="00B24085" w:rsidP="0078407C">
      <w:pPr>
        <w:pStyle w:val="ListParagraph"/>
        <w:ind w:left="432"/>
        <w:jc w:val="center"/>
        <w:rPr>
          <w:rFonts w:ascii="Times New Roman" w:hAnsi="Times New Roman"/>
          <w:lang w:val="es-AR"/>
        </w:rPr>
      </w:pPr>
      <w:r w:rsidRPr="008C1ABC">
        <w:rPr>
          <w:rFonts w:ascii="Times New Roman" w:hAnsi="Times New Roman"/>
          <w:b/>
          <w:lang w:val="es-AR"/>
        </w:rPr>
        <w:t xml:space="preserve">Tabla </w:t>
      </w:r>
      <w:r w:rsidR="00081A23" w:rsidRPr="008C1ABC">
        <w:rPr>
          <w:rFonts w:ascii="Times New Roman" w:hAnsi="Times New Roman"/>
          <w:b/>
        </w:rPr>
        <w:fldChar w:fldCharType="begin"/>
      </w:r>
      <w:r w:rsidRPr="008C1ABC">
        <w:rPr>
          <w:rFonts w:ascii="Times New Roman" w:hAnsi="Times New Roman"/>
          <w:b/>
          <w:lang w:val="es-AR"/>
        </w:rPr>
        <w:instrText xml:space="preserve"> SEQ Tabla \* ARABIC </w:instrText>
      </w:r>
      <w:r w:rsidR="00081A23" w:rsidRPr="008C1ABC">
        <w:rPr>
          <w:rFonts w:ascii="Times New Roman" w:hAnsi="Times New Roman"/>
          <w:b/>
        </w:rPr>
        <w:fldChar w:fldCharType="separate"/>
      </w:r>
      <w:r w:rsidR="004B1B6C">
        <w:rPr>
          <w:rFonts w:ascii="Times New Roman" w:hAnsi="Times New Roman"/>
          <w:b/>
          <w:noProof/>
          <w:lang w:val="es-AR"/>
        </w:rPr>
        <w:t>21</w:t>
      </w:r>
      <w:r w:rsidR="00081A23" w:rsidRPr="008C1ABC">
        <w:rPr>
          <w:rFonts w:ascii="Times New Roman" w:hAnsi="Times New Roman"/>
          <w:b/>
        </w:rPr>
        <w:fldChar w:fldCharType="end"/>
      </w:r>
      <w:r w:rsidRPr="008C1ABC">
        <w:rPr>
          <w:rFonts w:ascii="Times New Roman" w:hAnsi="Times New Roman"/>
          <w:lang w:val="es-AR"/>
        </w:rPr>
        <w:t xml:space="preserve">. </w:t>
      </w:r>
      <w:r>
        <w:rPr>
          <w:rFonts w:ascii="Times New Roman" w:hAnsi="Times New Roman"/>
          <w:lang w:val="es-AR"/>
        </w:rPr>
        <w:t>Escenarios deTasa Descuento y Probabilidad</w:t>
      </w:r>
      <w:r w:rsidR="00673163">
        <w:rPr>
          <w:rFonts w:ascii="Times New Roman" w:hAnsi="Times New Roman"/>
          <w:lang w:val="es-AR"/>
        </w:rPr>
        <w:t xml:space="preserve"> d</w:t>
      </w:r>
      <w:r>
        <w:rPr>
          <w:rFonts w:ascii="Times New Roman" w:hAnsi="Times New Roman"/>
          <w:lang w:val="es-AR"/>
        </w:rPr>
        <w:t>e Ocurrencia</w:t>
      </w:r>
      <w:r w:rsidRPr="008C1ABC">
        <w:rPr>
          <w:rFonts w:ascii="Times New Roman" w:hAnsi="Times New Roman"/>
          <w:lang w:val="es-AR"/>
        </w:rPr>
        <w:t>.</w:t>
      </w:r>
    </w:p>
    <w:tbl>
      <w:tblPr>
        <w:tblW w:w="8183" w:type="dxa"/>
        <w:tblInd w:w="65" w:type="dxa"/>
        <w:tblCellMar>
          <w:left w:w="70" w:type="dxa"/>
          <w:right w:w="70" w:type="dxa"/>
        </w:tblCellMar>
        <w:tblLook w:val="04A0" w:firstRow="1" w:lastRow="0" w:firstColumn="1" w:lastColumn="0" w:noHBand="0" w:noVBand="1"/>
      </w:tblPr>
      <w:tblGrid>
        <w:gridCol w:w="4022"/>
        <w:gridCol w:w="1387"/>
        <w:gridCol w:w="1387"/>
        <w:gridCol w:w="1387"/>
      </w:tblGrid>
      <w:tr w:rsidR="000C2E55" w:rsidRPr="00246E4C" w:rsidTr="00DA2921">
        <w:trPr>
          <w:trHeight w:val="573"/>
        </w:trPr>
        <w:tc>
          <w:tcPr>
            <w:tcW w:w="40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2E55" w:rsidRPr="00246E4C" w:rsidRDefault="000C2E55" w:rsidP="00EC38D0">
            <w:pPr>
              <w:rPr>
                <w:rFonts w:ascii="Times New Roman" w:hAnsi="Times New Roman"/>
                <w:b/>
                <w:bCs/>
                <w:color w:val="000000"/>
                <w:sz w:val="22"/>
                <w:szCs w:val="22"/>
                <w:lang w:val="es-AR" w:eastAsia="es-AR"/>
              </w:rPr>
            </w:pPr>
            <w:r w:rsidRPr="00246E4C">
              <w:rPr>
                <w:rFonts w:ascii="Times New Roman" w:hAnsi="Times New Roman"/>
                <w:b/>
                <w:bCs/>
                <w:color w:val="000000"/>
                <w:sz w:val="22"/>
                <w:szCs w:val="22"/>
                <w:lang w:val="es-AR" w:eastAsia="es-AR"/>
              </w:rPr>
              <w:lastRenderedPageBreak/>
              <w:t xml:space="preserve">Escenarios </w:t>
            </w:r>
            <w:r>
              <w:rPr>
                <w:rFonts w:ascii="Times New Roman" w:hAnsi="Times New Roman"/>
                <w:b/>
                <w:bCs/>
                <w:color w:val="000000"/>
                <w:sz w:val="22"/>
                <w:szCs w:val="22"/>
                <w:lang w:val="es-AR" w:eastAsia="es-AR"/>
              </w:rPr>
              <w:t xml:space="preserve">Alternativos </w:t>
            </w:r>
            <w:r w:rsidRPr="00246E4C">
              <w:rPr>
                <w:rFonts w:ascii="Times New Roman" w:hAnsi="Times New Roman"/>
                <w:b/>
                <w:bCs/>
                <w:color w:val="000000"/>
                <w:sz w:val="22"/>
                <w:szCs w:val="22"/>
                <w:lang w:val="es-AR" w:eastAsia="es-AR"/>
              </w:rPr>
              <w:t>de Evaluación</w:t>
            </w:r>
          </w:p>
        </w:tc>
        <w:tc>
          <w:tcPr>
            <w:tcW w:w="1387" w:type="dxa"/>
            <w:tcBorders>
              <w:top w:val="single" w:sz="4" w:space="0" w:color="auto"/>
              <w:left w:val="nil"/>
              <w:bottom w:val="single" w:sz="4" w:space="0" w:color="auto"/>
              <w:right w:val="single" w:sz="4" w:space="0" w:color="auto"/>
            </w:tcBorders>
            <w:shd w:val="clear" w:color="000000" w:fill="FFFFFF"/>
            <w:noWrap/>
            <w:vAlign w:val="center"/>
            <w:hideMark/>
          </w:tcPr>
          <w:p w:rsidR="000C2E55" w:rsidRPr="00246E4C" w:rsidRDefault="000C2E55" w:rsidP="00EC38D0">
            <w:pPr>
              <w:jc w:val="center"/>
              <w:rPr>
                <w:rFonts w:ascii="Times New Roman" w:hAnsi="Times New Roman"/>
                <w:b/>
                <w:bCs/>
                <w:color w:val="000000"/>
                <w:sz w:val="22"/>
                <w:szCs w:val="22"/>
                <w:lang w:val="es-AR" w:eastAsia="es-AR"/>
              </w:rPr>
            </w:pPr>
            <w:r w:rsidRPr="00246E4C">
              <w:rPr>
                <w:rFonts w:ascii="Times New Roman" w:hAnsi="Times New Roman"/>
                <w:b/>
                <w:bCs/>
                <w:color w:val="000000"/>
                <w:sz w:val="22"/>
                <w:szCs w:val="22"/>
                <w:lang w:val="es-AR" w:eastAsia="es-AR"/>
              </w:rPr>
              <w:t>TIR</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rsidR="000C2E55" w:rsidRPr="00246E4C" w:rsidRDefault="000C2E55" w:rsidP="00EC38D0">
            <w:pPr>
              <w:jc w:val="center"/>
              <w:rPr>
                <w:rFonts w:ascii="Times New Roman" w:hAnsi="Times New Roman"/>
                <w:b/>
                <w:bCs/>
                <w:color w:val="000000"/>
                <w:sz w:val="22"/>
                <w:szCs w:val="22"/>
                <w:lang w:val="es-AR" w:eastAsia="es-AR"/>
              </w:rPr>
            </w:pPr>
            <w:r w:rsidRPr="00246E4C">
              <w:rPr>
                <w:rFonts w:ascii="Times New Roman" w:hAnsi="Times New Roman"/>
                <w:b/>
                <w:bCs/>
                <w:color w:val="000000"/>
                <w:sz w:val="22"/>
                <w:szCs w:val="22"/>
                <w:lang w:val="es-AR" w:eastAsia="es-AR"/>
              </w:rPr>
              <w:t xml:space="preserve">VAN </w:t>
            </w:r>
            <w:r w:rsidRPr="00246E4C">
              <w:rPr>
                <w:rFonts w:ascii="Times New Roman" w:hAnsi="Times New Roman"/>
                <w:b/>
                <w:bCs/>
                <w:color w:val="000000"/>
                <w:lang w:val="es-AR" w:eastAsia="es-AR"/>
              </w:rPr>
              <w:t>US$ Millones</w:t>
            </w:r>
          </w:p>
        </w:tc>
        <w:tc>
          <w:tcPr>
            <w:tcW w:w="1387" w:type="dxa"/>
            <w:tcBorders>
              <w:top w:val="single" w:sz="4" w:space="0" w:color="auto"/>
              <w:left w:val="nil"/>
              <w:bottom w:val="single" w:sz="4" w:space="0" w:color="auto"/>
              <w:right w:val="single" w:sz="4" w:space="0" w:color="auto"/>
            </w:tcBorders>
            <w:shd w:val="clear" w:color="000000" w:fill="FFFFFF"/>
            <w:noWrap/>
            <w:vAlign w:val="center"/>
            <w:hideMark/>
          </w:tcPr>
          <w:p w:rsidR="000C2E55" w:rsidRPr="00246E4C" w:rsidRDefault="000C2E55" w:rsidP="00EC38D0">
            <w:pPr>
              <w:jc w:val="center"/>
              <w:rPr>
                <w:rFonts w:ascii="Times New Roman" w:hAnsi="Times New Roman"/>
                <w:b/>
                <w:bCs/>
                <w:color w:val="000000"/>
                <w:sz w:val="22"/>
                <w:szCs w:val="22"/>
                <w:lang w:val="es-AR" w:eastAsia="es-AR"/>
              </w:rPr>
            </w:pPr>
            <w:r w:rsidRPr="00246E4C">
              <w:rPr>
                <w:rFonts w:ascii="Times New Roman" w:hAnsi="Times New Roman"/>
                <w:b/>
                <w:bCs/>
                <w:color w:val="000000"/>
                <w:sz w:val="22"/>
                <w:szCs w:val="22"/>
                <w:lang w:val="es-AR" w:eastAsia="es-AR"/>
              </w:rPr>
              <w:t>Ratio B/C</w:t>
            </w:r>
          </w:p>
        </w:tc>
      </w:tr>
      <w:tr w:rsidR="000C2E55" w:rsidRPr="00246E4C" w:rsidTr="00DA2921">
        <w:trPr>
          <w:trHeight w:val="573"/>
        </w:trPr>
        <w:tc>
          <w:tcPr>
            <w:tcW w:w="4022" w:type="dxa"/>
            <w:tcBorders>
              <w:top w:val="single" w:sz="4" w:space="0" w:color="auto"/>
              <w:left w:val="nil"/>
              <w:bottom w:val="single" w:sz="4" w:space="0" w:color="auto"/>
              <w:right w:val="nil"/>
            </w:tcBorders>
            <w:shd w:val="clear" w:color="000000" w:fill="FFFFFF"/>
            <w:vAlign w:val="center"/>
            <w:hideMark/>
          </w:tcPr>
          <w:p w:rsidR="000C2E55" w:rsidRPr="00246E4C" w:rsidRDefault="000C2E55" w:rsidP="00EC38D0">
            <w:pPr>
              <w:jc w:val="center"/>
              <w:rPr>
                <w:rFonts w:ascii="Times New Roman" w:hAnsi="Times New Roman"/>
                <w:color w:val="000000"/>
                <w:sz w:val="22"/>
                <w:szCs w:val="22"/>
                <w:lang w:val="es-AR" w:eastAsia="es-AR"/>
              </w:rPr>
            </w:pPr>
            <w:r w:rsidRPr="00246E4C">
              <w:rPr>
                <w:rFonts w:ascii="Times New Roman" w:hAnsi="Times New Roman"/>
                <w:color w:val="000000"/>
                <w:sz w:val="22"/>
                <w:szCs w:val="22"/>
                <w:lang w:val="es-AR" w:eastAsia="es-AR"/>
              </w:rPr>
              <w:t xml:space="preserve">Caso Base                                        </w:t>
            </w:r>
            <w:r>
              <w:rPr>
                <w:rFonts w:ascii="Times New Roman" w:hAnsi="Times New Roman"/>
                <w:color w:val="000000"/>
                <w:sz w:val="22"/>
                <w:szCs w:val="22"/>
                <w:lang w:val="es-AR" w:eastAsia="es-AR"/>
              </w:rPr>
              <w:t xml:space="preserve">      </w:t>
            </w:r>
            <w:r w:rsidRPr="00246E4C">
              <w:rPr>
                <w:rFonts w:ascii="Times New Roman" w:hAnsi="Times New Roman"/>
                <w:color w:val="000000"/>
                <w:lang w:val="es-AR" w:eastAsia="es-AR"/>
              </w:rPr>
              <w:t xml:space="preserve"> (VeV US$  283.000 -d=12% -p: 0,002)</w:t>
            </w:r>
          </w:p>
        </w:tc>
        <w:tc>
          <w:tcPr>
            <w:tcW w:w="1387" w:type="dxa"/>
            <w:tcBorders>
              <w:top w:val="single" w:sz="4" w:space="0" w:color="auto"/>
              <w:left w:val="nil"/>
              <w:bottom w:val="single" w:sz="4" w:space="0" w:color="auto"/>
              <w:right w:val="nil"/>
            </w:tcBorders>
            <w:shd w:val="clear" w:color="000000" w:fill="FFFFFF"/>
            <w:noWrap/>
            <w:vAlign w:val="center"/>
            <w:hideMark/>
          </w:tcPr>
          <w:p w:rsidR="000C2E55" w:rsidRPr="00246E4C" w:rsidRDefault="000C2E55" w:rsidP="00F87F41">
            <w:pPr>
              <w:jc w:val="center"/>
              <w:rPr>
                <w:rFonts w:ascii="Times New Roman" w:hAnsi="Times New Roman"/>
                <w:color w:val="000000"/>
                <w:sz w:val="22"/>
                <w:szCs w:val="22"/>
                <w:lang w:val="es-AR" w:eastAsia="es-AR"/>
              </w:rPr>
            </w:pPr>
            <w:r w:rsidRPr="00246E4C">
              <w:rPr>
                <w:rFonts w:ascii="Times New Roman" w:hAnsi="Times New Roman"/>
                <w:color w:val="000000"/>
                <w:sz w:val="22"/>
                <w:szCs w:val="22"/>
                <w:lang w:val="es-AR" w:eastAsia="es-AR"/>
              </w:rPr>
              <w:t>2</w:t>
            </w:r>
            <w:r w:rsidR="00F87F41">
              <w:rPr>
                <w:rFonts w:ascii="Times New Roman" w:hAnsi="Times New Roman"/>
                <w:color w:val="000000"/>
                <w:sz w:val="22"/>
                <w:szCs w:val="22"/>
                <w:lang w:val="es-AR" w:eastAsia="es-AR"/>
              </w:rPr>
              <w:t>7</w:t>
            </w:r>
            <w:r w:rsidRPr="00246E4C">
              <w:rPr>
                <w:rFonts w:ascii="Times New Roman" w:hAnsi="Times New Roman"/>
                <w:color w:val="000000"/>
                <w:sz w:val="22"/>
                <w:szCs w:val="22"/>
                <w:lang w:val="es-AR" w:eastAsia="es-AR"/>
              </w:rPr>
              <w:t>%</w:t>
            </w:r>
          </w:p>
        </w:tc>
        <w:tc>
          <w:tcPr>
            <w:tcW w:w="1387" w:type="dxa"/>
            <w:tcBorders>
              <w:top w:val="single" w:sz="4" w:space="0" w:color="auto"/>
              <w:left w:val="nil"/>
              <w:bottom w:val="single" w:sz="4" w:space="0" w:color="auto"/>
              <w:right w:val="nil"/>
            </w:tcBorders>
            <w:shd w:val="clear" w:color="000000" w:fill="FFFFFF"/>
            <w:noWrap/>
            <w:vAlign w:val="center"/>
            <w:hideMark/>
          </w:tcPr>
          <w:p w:rsidR="000C2E55" w:rsidRPr="00246E4C" w:rsidRDefault="000C2E55" w:rsidP="00F87F41">
            <w:pPr>
              <w:jc w:val="center"/>
              <w:rPr>
                <w:rFonts w:ascii="Times New Roman" w:hAnsi="Times New Roman"/>
                <w:color w:val="000000"/>
                <w:sz w:val="22"/>
                <w:szCs w:val="22"/>
                <w:lang w:val="es-AR" w:eastAsia="es-AR"/>
              </w:rPr>
            </w:pPr>
            <w:r w:rsidRPr="00246E4C">
              <w:rPr>
                <w:rFonts w:ascii="Times New Roman" w:hAnsi="Times New Roman"/>
                <w:color w:val="000000"/>
                <w:sz w:val="22"/>
                <w:szCs w:val="22"/>
                <w:lang w:val="es-AR" w:eastAsia="es-AR"/>
              </w:rPr>
              <w:t>20,</w:t>
            </w:r>
            <w:r w:rsidR="00F87F41">
              <w:rPr>
                <w:rFonts w:ascii="Times New Roman" w:hAnsi="Times New Roman"/>
                <w:color w:val="000000"/>
                <w:sz w:val="22"/>
                <w:szCs w:val="22"/>
                <w:lang w:val="es-AR" w:eastAsia="es-AR"/>
              </w:rPr>
              <w:t>7</w:t>
            </w:r>
          </w:p>
        </w:tc>
        <w:tc>
          <w:tcPr>
            <w:tcW w:w="1387" w:type="dxa"/>
            <w:tcBorders>
              <w:top w:val="single" w:sz="4" w:space="0" w:color="auto"/>
              <w:left w:val="nil"/>
              <w:bottom w:val="single" w:sz="4" w:space="0" w:color="auto"/>
              <w:right w:val="nil"/>
            </w:tcBorders>
            <w:shd w:val="clear" w:color="000000" w:fill="FFFFFF"/>
            <w:noWrap/>
            <w:vAlign w:val="center"/>
            <w:hideMark/>
          </w:tcPr>
          <w:p w:rsidR="000C2E55" w:rsidRPr="00246E4C" w:rsidRDefault="000C2E55" w:rsidP="00EC38D0">
            <w:pPr>
              <w:jc w:val="center"/>
              <w:rPr>
                <w:rFonts w:ascii="Times New Roman" w:hAnsi="Times New Roman"/>
                <w:color w:val="000000"/>
                <w:sz w:val="22"/>
                <w:szCs w:val="22"/>
                <w:lang w:val="es-AR" w:eastAsia="es-AR"/>
              </w:rPr>
            </w:pPr>
            <w:r w:rsidRPr="00246E4C">
              <w:rPr>
                <w:rFonts w:ascii="Times New Roman" w:hAnsi="Times New Roman"/>
                <w:color w:val="000000"/>
                <w:sz w:val="22"/>
                <w:szCs w:val="22"/>
                <w:lang w:val="es-AR" w:eastAsia="es-AR"/>
              </w:rPr>
              <w:t>1,99</w:t>
            </w:r>
          </w:p>
        </w:tc>
      </w:tr>
      <w:tr w:rsidR="000C2E55" w:rsidRPr="00246E4C" w:rsidTr="00DA2921">
        <w:trPr>
          <w:trHeight w:val="604"/>
        </w:trPr>
        <w:tc>
          <w:tcPr>
            <w:tcW w:w="4022" w:type="dxa"/>
            <w:tcBorders>
              <w:top w:val="nil"/>
              <w:left w:val="nil"/>
              <w:bottom w:val="single" w:sz="4" w:space="0" w:color="auto"/>
              <w:right w:val="nil"/>
            </w:tcBorders>
            <w:shd w:val="clear" w:color="000000" w:fill="FFFFFF"/>
            <w:vAlign w:val="center"/>
            <w:hideMark/>
          </w:tcPr>
          <w:p w:rsidR="000C2E55" w:rsidRPr="00246E4C" w:rsidRDefault="000C2E55" w:rsidP="00EC38D0">
            <w:pPr>
              <w:jc w:val="center"/>
              <w:rPr>
                <w:rFonts w:ascii="Times New Roman" w:hAnsi="Times New Roman"/>
                <w:color w:val="000000"/>
                <w:sz w:val="22"/>
                <w:szCs w:val="22"/>
                <w:lang w:val="es-AR" w:eastAsia="es-AR"/>
              </w:rPr>
            </w:pPr>
            <w:r w:rsidRPr="00246E4C">
              <w:rPr>
                <w:rFonts w:ascii="Times New Roman" w:hAnsi="Times New Roman"/>
                <w:color w:val="000000"/>
                <w:sz w:val="22"/>
                <w:szCs w:val="22"/>
                <w:lang w:val="es-AR" w:eastAsia="es-AR"/>
              </w:rPr>
              <w:t xml:space="preserve">Reducción Tasa Descuento                     </w:t>
            </w:r>
            <w:r w:rsidRPr="00246E4C">
              <w:rPr>
                <w:rFonts w:ascii="Times New Roman" w:hAnsi="Times New Roman"/>
                <w:color w:val="000000"/>
                <w:lang w:val="es-AR" w:eastAsia="es-AR"/>
              </w:rPr>
              <w:t xml:space="preserve">  (VeV US$  283.000 -d=7% -  p: 0,002)</w:t>
            </w:r>
          </w:p>
        </w:tc>
        <w:tc>
          <w:tcPr>
            <w:tcW w:w="1387" w:type="dxa"/>
            <w:tcBorders>
              <w:top w:val="nil"/>
              <w:left w:val="nil"/>
              <w:bottom w:val="single" w:sz="4" w:space="0" w:color="auto"/>
              <w:right w:val="nil"/>
            </w:tcBorders>
            <w:shd w:val="clear" w:color="000000" w:fill="FFFFFF"/>
            <w:noWrap/>
            <w:vAlign w:val="center"/>
            <w:hideMark/>
          </w:tcPr>
          <w:p w:rsidR="000C2E55" w:rsidRPr="00246E4C" w:rsidRDefault="000C2E55" w:rsidP="00F87F41">
            <w:pPr>
              <w:jc w:val="center"/>
              <w:rPr>
                <w:rFonts w:ascii="Times New Roman" w:hAnsi="Times New Roman"/>
                <w:color w:val="000000"/>
                <w:sz w:val="22"/>
                <w:szCs w:val="22"/>
                <w:lang w:val="es-AR" w:eastAsia="es-AR"/>
              </w:rPr>
            </w:pPr>
            <w:r w:rsidRPr="00246E4C">
              <w:rPr>
                <w:rFonts w:ascii="Times New Roman" w:hAnsi="Times New Roman"/>
                <w:color w:val="000000"/>
                <w:sz w:val="22"/>
                <w:szCs w:val="22"/>
                <w:lang w:val="es-AR" w:eastAsia="es-AR"/>
              </w:rPr>
              <w:t>2</w:t>
            </w:r>
            <w:r w:rsidR="00F87F41">
              <w:rPr>
                <w:rFonts w:ascii="Times New Roman" w:hAnsi="Times New Roman"/>
                <w:color w:val="000000"/>
                <w:sz w:val="22"/>
                <w:szCs w:val="22"/>
                <w:lang w:val="es-AR" w:eastAsia="es-AR"/>
              </w:rPr>
              <w:t>7</w:t>
            </w:r>
            <w:r w:rsidRPr="00246E4C">
              <w:rPr>
                <w:rFonts w:ascii="Times New Roman" w:hAnsi="Times New Roman"/>
                <w:color w:val="000000"/>
                <w:sz w:val="22"/>
                <w:szCs w:val="22"/>
                <w:lang w:val="es-AR" w:eastAsia="es-AR"/>
              </w:rPr>
              <w:t>%</w:t>
            </w:r>
          </w:p>
        </w:tc>
        <w:tc>
          <w:tcPr>
            <w:tcW w:w="1387" w:type="dxa"/>
            <w:tcBorders>
              <w:top w:val="nil"/>
              <w:left w:val="nil"/>
              <w:bottom w:val="single" w:sz="4" w:space="0" w:color="auto"/>
              <w:right w:val="nil"/>
            </w:tcBorders>
            <w:shd w:val="clear" w:color="000000" w:fill="FFFFFF"/>
            <w:noWrap/>
            <w:vAlign w:val="center"/>
            <w:hideMark/>
          </w:tcPr>
          <w:p w:rsidR="000C2E55" w:rsidRPr="00246E4C" w:rsidRDefault="000C2E55" w:rsidP="00EC38D0">
            <w:pPr>
              <w:jc w:val="center"/>
              <w:rPr>
                <w:rFonts w:ascii="Times New Roman" w:hAnsi="Times New Roman"/>
                <w:color w:val="000000"/>
                <w:sz w:val="22"/>
                <w:szCs w:val="22"/>
                <w:lang w:val="es-AR" w:eastAsia="es-AR"/>
              </w:rPr>
            </w:pPr>
            <w:r w:rsidRPr="00246E4C">
              <w:rPr>
                <w:rFonts w:ascii="Times New Roman" w:hAnsi="Times New Roman"/>
                <w:color w:val="000000"/>
                <w:sz w:val="22"/>
                <w:szCs w:val="22"/>
                <w:lang w:val="es-AR" w:eastAsia="es-AR"/>
              </w:rPr>
              <w:t>39,3</w:t>
            </w:r>
          </w:p>
        </w:tc>
        <w:tc>
          <w:tcPr>
            <w:tcW w:w="1387" w:type="dxa"/>
            <w:tcBorders>
              <w:top w:val="nil"/>
              <w:left w:val="nil"/>
              <w:bottom w:val="single" w:sz="4" w:space="0" w:color="auto"/>
              <w:right w:val="nil"/>
            </w:tcBorders>
            <w:shd w:val="clear" w:color="000000" w:fill="FFFFFF"/>
            <w:noWrap/>
            <w:vAlign w:val="center"/>
            <w:hideMark/>
          </w:tcPr>
          <w:p w:rsidR="000C2E55" w:rsidRPr="00246E4C" w:rsidRDefault="000C2E55" w:rsidP="00EC38D0">
            <w:pPr>
              <w:jc w:val="center"/>
              <w:rPr>
                <w:rFonts w:ascii="Times New Roman" w:hAnsi="Times New Roman"/>
                <w:color w:val="000000"/>
                <w:sz w:val="22"/>
                <w:szCs w:val="22"/>
                <w:lang w:val="es-AR" w:eastAsia="es-AR"/>
              </w:rPr>
            </w:pPr>
            <w:r w:rsidRPr="00246E4C">
              <w:rPr>
                <w:rFonts w:ascii="Times New Roman" w:hAnsi="Times New Roman"/>
                <w:color w:val="000000"/>
                <w:sz w:val="22"/>
                <w:szCs w:val="22"/>
                <w:lang w:val="es-AR" w:eastAsia="es-AR"/>
              </w:rPr>
              <w:t>2,47</w:t>
            </w:r>
          </w:p>
        </w:tc>
      </w:tr>
      <w:tr w:rsidR="000C2E55" w:rsidRPr="00246E4C" w:rsidTr="00DA2921">
        <w:trPr>
          <w:trHeight w:val="604"/>
        </w:trPr>
        <w:tc>
          <w:tcPr>
            <w:tcW w:w="4022" w:type="dxa"/>
            <w:tcBorders>
              <w:top w:val="nil"/>
              <w:left w:val="nil"/>
              <w:bottom w:val="single" w:sz="4" w:space="0" w:color="auto"/>
              <w:right w:val="nil"/>
            </w:tcBorders>
            <w:shd w:val="clear" w:color="000000" w:fill="FFFFFF"/>
            <w:vAlign w:val="center"/>
            <w:hideMark/>
          </w:tcPr>
          <w:p w:rsidR="000C2E55" w:rsidRPr="00246E4C" w:rsidRDefault="000C2E55" w:rsidP="00EC38D0">
            <w:pPr>
              <w:jc w:val="center"/>
              <w:rPr>
                <w:rFonts w:ascii="Times New Roman" w:hAnsi="Times New Roman"/>
                <w:color w:val="000000"/>
                <w:sz w:val="22"/>
                <w:szCs w:val="22"/>
                <w:lang w:val="es-AR" w:eastAsia="es-AR"/>
              </w:rPr>
            </w:pPr>
            <w:r w:rsidRPr="00246E4C">
              <w:rPr>
                <w:rFonts w:ascii="Times New Roman" w:hAnsi="Times New Roman"/>
                <w:color w:val="000000"/>
                <w:sz w:val="22"/>
                <w:szCs w:val="22"/>
                <w:lang w:val="es-AR" w:eastAsia="es-AR"/>
              </w:rPr>
              <w:t xml:space="preserve">Probabilidad de Ocurrencia                     </w:t>
            </w:r>
            <w:r w:rsidRPr="00246E4C">
              <w:rPr>
                <w:rFonts w:ascii="Times New Roman" w:hAnsi="Times New Roman"/>
                <w:color w:val="000000"/>
                <w:lang w:val="es-AR" w:eastAsia="es-AR"/>
              </w:rPr>
              <w:t xml:space="preserve">  (VeV US$  283.000 -d=12% -  p: 0,004)</w:t>
            </w:r>
          </w:p>
        </w:tc>
        <w:tc>
          <w:tcPr>
            <w:tcW w:w="1387" w:type="dxa"/>
            <w:tcBorders>
              <w:top w:val="nil"/>
              <w:left w:val="nil"/>
              <w:bottom w:val="single" w:sz="4" w:space="0" w:color="auto"/>
              <w:right w:val="nil"/>
            </w:tcBorders>
            <w:shd w:val="clear" w:color="000000" w:fill="FFFFFF"/>
            <w:noWrap/>
            <w:vAlign w:val="center"/>
            <w:hideMark/>
          </w:tcPr>
          <w:p w:rsidR="000C2E55" w:rsidRPr="00246E4C" w:rsidRDefault="000C2E55" w:rsidP="00EC38D0">
            <w:pPr>
              <w:jc w:val="center"/>
              <w:rPr>
                <w:rFonts w:ascii="Times New Roman" w:hAnsi="Times New Roman"/>
                <w:color w:val="000000"/>
                <w:sz w:val="22"/>
                <w:szCs w:val="22"/>
                <w:lang w:val="es-AR" w:eastAsia="es-AR"/>
              </w:rPr>
            </w:pPr>
            <w:r w:rsidRPr="00246E4C">
              <w:rPr>
                <w:rFonts w:ascii="Times New Roman" w:hAnsi="Times New Roman"/>
                <w:color w:val="000000"/>
                <w:sz w:val="22"/>
                <w:szCs w:val="22"/>
                <w:lang w:val="es-AR" w:eastAsia="es-AR"/>
              </w:rPr>
              <w:t>16%</w:t>
            </w:r>
          </w:p>
        </w:tc>
        <w:tc>
          <w:tcPr>
            <w:tcW w:w="1387" w:type="dxa"/>
            <w:tcBorders>
              <w:top w:val="nil"/>
              <w:left w:val="nil"/>
              <w:bottom w:val="single" w:sz="4" w:space="0" w:color="auto"/>
              <w:right w:val="nil"/>
            </w:tcBorders>
            <w:shd w:val="clear" w:color="000000" w:fill="FFFFFF"/>
            <w:noWrap/>
            <w:vAlign w:val="center"/>
            <w:hideMark/>
          </w:tcPr>
          <w:p w:rsidR="000C2E55" w:rsidRPr="00246E4C" w:rsidRDefault="000C2E55" w:rsidP="00EC38D0">
            <w:pPr>
              <w:jc w:val="center"/>
              <w:rPr>
                <w:rFonts w:ascii="Times New Roman" w:hAnsi="Times New Roman"/>
                <w:color w:val="000000"/>
                <w:sz w:val="22"/>
                <w:szCs w:val="22"/>
                <w:lang w:val="es-AR" w:eastAsia="es-AR"/>
              </w:rPr>
            </w:pPr>
            <w:r w:rsidRPr="00246E4C">
              <w:rPr>
                <w:rFonts w:ascii="Times New Roman" w:hAnsi="Times New Roman"/>
                <w:color w:val="000000"/>
                <w:sz w:val="22"/>
                <w:szCs w:val="22"/>
                <w:lang w:val="es-AR" w:eastAsia="es-AR"/>
              </w:rPr>
              <w:t>4,2</w:t>
            </w:r>
          </w:p>
        </w:tc>
        <w:tc>
          <w:tcPr>
            <w:tcW w:w="1387" w:type="dxa"/>
            <w:tcBorders>
              <w:top w:val="nil"/>
              <w:left w:val="nil"/>
              <w:bottom w:val="single" w:sz="4" w:space="0" w:color="auto"/>
              <w:right w:val="nil"/>
            </w:tcBorders>
            <w:shd w:val="clear" w:color="000000" w:fill="FFFFFF"/>
            <w:noWrap/>
            <w:vAlign w:val="center"/>
            <w:hideMark/>
          </w:tcPr>
          <w:p w:rsidR="000C2E55" w:rsidRPr="00246E4C" w:rsidRDefault="000C2E55" w:rsidP="00EC38D0">
            <w:pPr>
              <w:jc w:val="center"/>
              <w:rPr>
                <w:rFonts w:ascii="Times New Roman" w:hAnsi="Times New Roman"/>
                <w:color w:val="000000"/>
                <w:sz w:val="22"/>
                <w:szCs w:val="22"/>
                <w:lang w:val="es-AR" w:eastAsia="es-AR"/>
              </w:rPr>
            </w:pPr>
            <w:r w:rsidRPr="00246E4C">
              <w:rPr>
                <w:rFonts w:ascii="Times New Roman" w:hAnsi="Times New Roman"/>
                <w:color w:val="000000"/>
                <w:sz w:val="22"/>
                <w:szCs w:val="22"/>
                <w:lang w:val="es-AR" w:eastAsia="es-AR"/>
              </w:rPr>
              <w:t>1,20</w:t>
            </w:r>
          </w:p>
        </w:tc>
      </w:tr>
      <w:tr w:rsidR="000C2E55" w:rsidRPr="00246E4C" w:rsidTr="00EC38D0">
        <w:trPr>
          <w:trHeight w:val="860"/>
        </w:trPr>
        <w:tc>
          <w:tcPr>
            <w:tcW w:w="4022" w:type="dxa"/>
            <w:tcBorders>
              <w:top w:val="nil"/>
              <w:left w:val="nil"/>
              <w:bottom w:val="single" w:sz="4" w:space="0" w:color="auto"/>
              <w:right w:val="nil"/>
            </w:tcBorders>
            <w:shd w:val="clear" w:color="000000" w:fill="FFFFFF"/>
            <w:vAlign w:val="center"/>
            <w:hideMark/>
          </w:tcPr>
          <w:p w:rsidR="000C2E55" w:rsidRPr="00246E4C" w:rsidRDefault="000C2E55" w:rsidP="00EC38D0">
            <w:pPr>
              <w:jc w:val="center"/>
              <w:rPr>
                <w:rFonts w:ascii="Times New Roman" w:hAnsi="Times New Roman"/>
                <w:color w:val="000000"/>
                <w:sz w:val="22"/>
                <w:szCs w:val="22"/>
                <w:lang w:val="es-AR" w:eastAsia="es-AR"/>
              </w:rPr>
            </w:pPr>
            <w:r w:rsidRPr="00246E4C">
              <w:rPr>
                <w:rFonts w:ascii="Times New Roman" w:hAnsi="Times New Roman"/>
                <w:color w:val="000000"/>
                <w:sz w:val="22"/>
                <w:szCs w:val="22"/>
                <w:lang w:val="es-AR" w:eastAsia="es-AR"/>
              </w:rPr>
              <w:t xml:space="preserve">Probab.Ocurrencia + Tasa Descuento                  </w:t>
            </w:r>
            <w:r w:rsidRPr="00246E4C">
              <w:rPr>
                <w:rFonts w:ascii="Times New Roman" w:hAnsi="Times New Roman"/>
                <w:color w:val="000000"/>
                <w:lang w:val="es-AR" w:eastAsia="es-AR"/>
              </w:rPr>
              <w:t xml:space="preserve">  (VeV US$  283.000 -d=7% -  p: 0,004)</w:t>
            </w:r>
          </w:p>
        </w:tc>
        <w:tc>
          <w:tcPr>
            <w:tcW w:w="1387" w:type="dxa"/>
            <w:tcBorders>
              <w:top w:val="nil"/>
              <w:left w:val="nil"/>
              <w:bottom w:val="single" w:sz="4" w:space="0" w:color="auto"/>
              <w:right w:val="nil"/>
            </w:tcBorders>
            <w:shd w:val="clear" w:color="000000" w:fill="FFFFFF"/>
            <w:noWrap/>
            <w:vAlign w:val="center"/>
            <w:hideMark/>
          </w:tcPr>
          <w:p w:rsidR="000C2E55" w:rsidRPr="00246E4C" w:rsidRDefault="000C2E55" w:rsidP="00EC38D0">
            <w:pPr>
              <w:jc w:val="center"/>
              <w:rPr>
                <w:rFonts w:ascii="Times New Roman" w:hAnsi="Times New Roman"/>
                <w:color w:val="000000"/>
                <w:sz w:val="22"/>
                <w:szCs w:val="22"/>
                <w:lang w:val="es-AR" w:eastAsia="es-AR"/>
              </w:rPr>
            </w:pPr>
            <w:r w:rsidRPr="00246E4C">
              <w:rPr>
                <w:rFonts w:ascii="Times New Roman" w:hAnsi="Times New Roman"/>
                <w:color w:val="000000"/>
                <w:sz w:val="22"/>
                <w:szCs w:val="22"/>
                <w:lang w:val="es-AR" w:eastAsia="es-AR"/>
              </w:rPr>
              <w:t>16%</w:t>
            </w:r>
          </w:p>
        </w:tc>
        <w:tc>
          <w:tcPr>
            <w:tcW w:w="1387" w:type="dxa"/>
            <w:tcBorders>
              <w:top w:val="nil"/>
              <w:left w:val="nil"/>
              <w:bottom w:val="single" w:sz="4" w:space="0" w:color="auto"/>
              <w:right w:val="nil"/>
            </w:tcBorders>
            <w:shd w:val="clear" w:color="000000" w:fill="FFFFFF"/>
            <w:noWrap/>
            <w:vAlign w:val="center"/>
            <w:hideMark/>
          </w:tcPr>
          <w:p w:rsidR="000C2E55" w:rsidRPr="00246E4C" w:rsidRDefault="000C2E55" w:rsidP="00EC38D0">
            <w:pPr>
              <w:jc w:val="center"/>
              <w:rPr>
                <w:rFonts w:ascii="Times New Roman" w:hAnsi="Times New Roman"/>
                <w:color w:val="000000"/>
                <w:sz w:val="22"/>
                <w:szCs w:val="22"/>
                <w:lang w:val="es-AR" w:eastAsia="es-AR"/>
              </w:rPr>
            </w:pPr>
            <w:r w:rsidRPr="00246E4C">
              <w:rPr>
                <w:rFonts w:ascii="Times New Roman" w:hAnsi="Times New Roman"/>
                <w:color w:val="000000"/>
                <w:sz w:val="22"/>
                <w:szCs w:val="22"/>
                <w:lang w:val="es-AR" w:eastAsia="es-AR"/>
              </w:rPr>
              <w:t>13,1</w:t>
            </w:r>
          </w:p>
        </w:tc>
        <w:tc>
          <w:tcPr>
            <w:tcW w:w="1387" w:type="dxa"/>
            <w:tcBorders>
              <w:top w:val="nil"/>
              <w:left w:val="nil"/>
              <w:bottom w:val="single" w:sz="4" w:space="0" w:color="auto"/>
              <w:right w:val="nil"/>
            </w:tcBorders>
            <w:shd w:val="clear" w:color="000000" w:fill="FFFFFF"/>
            <w:noWrap/>
            <w:vAlign w:val="center"/>
            <w:hideMark/>
          </w:tcPr>
          <w:p w:rsidR="000C2E55" w:rsidRPr="00246E4C" w:rsidRDefault="000C2E55" w:rsidP="00EC38D0">
            <w:pPr>
              <w:jc w:val="center"/>
              <w:rPr>
                <w:rFonts w:ascii="Times New Roman" w:hAnsi="Times New Roman"/>
                <w:color w:val="000000"/>
                <w:sz w:val="22"/>
                <w:szCs w:val="22"/>
                <w:lang w:val="es-AR" w:eastAsia="es-AR"/>
              </w:rPr>
            </w:pPr>
            <w:r w:rsidRPr="00246E4C">
              <w:rPr>
                <w:rFonts w:ascii="Times New Roman" w:hAnsi="Times New Roman"/>
                <w:color w:val="000000"/>
                <w:sz w:val="22"/>
                <w:szCs w:val="22"/>
                <w:lang w:val="es-AR" w:eastAsia="es-AR"/>
              </w:rPr>
              <w:t>1,49</w:t>
            </w:r>
          </w:p>
        </w:tc>
      </w:tr>
    </w:tbl>
    <w:p w:rsidR="000C2E55" w:rsidRDefault="000C2E55" w:rsidP="0078407C">
      <w:pPr>
        <w:pStyle w:val="ListParagraph"/>
        <w:ind w:left="432"/>
        <w:jc w:val="center"/>
        <w:rPr>
          <w:rFonts w:ascii="Times New Roman" w:hAnsi="Times New Roman"/>
          <w:lang w:val="es-AR"/>
        </w:rPr>
      </w:pPr>
    </w:p>
    <w:p w:rsidR="000C2E55" w:rsidRDefault="000C2E55" w:rsidP="0078407C">
      <w:pPr>
        <w:pStyle w:val="ListParagraph"/>
        <w:ind w:left="432"/>
        <w:jc w:val="center"/>
        <w:rPr>
          <w:rFonts w:ascii="Times New Roman" w:hAnsi="Times New Roman"/>
          <w:lang w:val="es-AR"/>
        </w:rPr>
      </w:pPr>
    </w:p>
    <w:p w:rsidR="00BB1F0F" w:rsidRPr="008D53A5" w:rsidRDefault="00BB1F0F" w:rsidP="00AD78F4">
      <w:pPr>
        <w:numPr>
          <w:ilvl w:val="1"/>
          <w:numId w:val="24"/>
        </w:numPr>
        <w:jc w:val="both"/>
        <w:rPr>
          <w:rFonts w:ascii="Times New Roman" w:hAnsi="Times New Roman"/>
          <w:sz w:val="22"/>
          <w:szCs w:val="22"/>
          <w:lang w:val="es-ES_tradnl"/>
        </w:rPr>
      </w:pPr>
      <w:r>
        <w:rPr>
          <w:rFonts w:ascii="Times New Roman" w:hAnsi="Times New Roman"/>
          <w:sz w:val="22"/>
          <w:szCs w:val="22"/>
          <w:lang w:val="es-ES"/>
        </w:rPr>
        <w:t xml:space="preserve">La consideración sobre la variación en la probabilidad de ocurrencia requiere una </w:t>
      </w:r>
      <w:r w:rsidR="000806B9">
        <w:rPr>
          <w:rFonts w:ascii="Times New Roman" w:hAnsi="Times New Roman"/>
          <w:sz w:val="22"/>
          <w:szCs w:val="22"/>
          <w:lang w:val="es-ES"/>
        </w:rPr>
        <w:t>revisión</w:t>
      </w:r>
      <w:r>
        <w:rPr>
          <w:rFonts w:ascii="Times New Roman" w:hAnsi="Times New Roman"/>
          <w:sz w:val="22"/>
          <w:szCs w:val="22"/>
          <w:lang w:val="es-ES"/>
        </w:rPr>
        <w:t xml:space="preserve"> particular. </w:t>
      </w:r>
      <w:r w:rsidRPr="00BB1F0F">
        <w:rPr>
          <w:rFonts w:ascii="Times New Roman" w:hAnsi="Times New Roman"/>
          <w:sz w:val="22"/>
          <w:szCs w:val="22"/>
          <w:lang w:val="es-AR"/>
        </w:rPr>
        <w:t xml:space="preserve">En función del rango de tiempo </w:t>
      </w:r>
      <w:r>
        <w:rPr>
          <w:rFonts w:ascii="Times New Roman" w:hAnsi="Times New Roman"/>
          <w:sz w:val="22"/>
          <w:szCs w:val="22"/>
          <w:lang w:val="es-AR"/>
        </w:rPr>
        <w:t>de análisis</w:t>
      </w:r>
      <w:r w:rsidRPr="00BB1F0F">
        <w:rPr>
          <w:rFonts w:ascii="Times New Roman" w:hAnsi="Times New Roman"/>
          <w:sz w:val="22"/>
          <w:szCs w:val="22"/>
          <w:lang w:val="es-AR"/>
        </w:rPr>
        <w:t xml:space="preserve">, el impacto potencial o pérdida máxima </w:t>
      </w:r>
      <w:r>
        <w:rPr>
          <w:rFonts w:ascii="Times New Roman" w:hAnsi="Times New Roman"/>
          <w:sz w:val="22"/>
          <w:szCs w:val="22"/>
          <w:lang w:val="es-AR"/>
        </w:rPr>
        <w:t xml:space="preserve">calculado </w:t>
      </w:r>
      <w:r w:rsidR="00B34969">
        <w:rPr>
          <w:rFonts w:ascii="Times New Roman" w:hAnsi="Times New Roman"/>
          <w:sz w:val="22"/>
          <w:szCs w:val="22"/>
          <w:lang w:val="es-AR"/>
        </w:rPr>
        <w:t xml:space="preserve">o </w:t>
      </w:r>
      <w:r>
        <w:rPr>
          <w:rFonts w:ascii="Times New Roman" w:hAnsi="Times New Roman"/>
          <w:sz w:val="22"/>
          <w:szCs w:val="22"/>
          <w:lang w:val="es-AR"/>
        </w:rPr>
        <w:t>proyectado</w:t>
      </w:r>
      <w:r w:rsidRPr="00BB1F0F">
        <w:rPr>
          <w:rFonts w:ascii="Times New Roman" w:hAnsi="Times New Roman"/>
          <w:sz w:val="22"/>
          <w:szCs w:val="22"/>
          <w:lang w:val="es-AR"/>
        </w:rPr>
        <w:t xml:space="preserve"> varía de forma no lineal. Cuanto más amplio es el período considerado, mayor es la pérdida máxima posible</w:t>
      </w:r>
      <w:r>
        <w:rPr>
          <w:rFonts w:ascii="Times New Roman" w:hAnsi="Times New Roman"/>
          <w:sz w:val="22"/>
          <w:szCs w:val="22"/>
          <w:lang w:val="es-AR"/>
        </w:rPr>
        <w:t xml:space="preserve"> y viceversa</w:t>
      </w:r>
      <w:r w:rsidRPr="00BB1F0F">
        <w:rPr>
          <w:rFonts w:ascii="Times New Roman" w:hAnsi="Times New Roman"/>
          <w:sz w:val="22"/>
          <w:szCs w:val="22"/>
          <w:lang w:val="es-AR"/>
        </w:rPr>
        <w:t xml:space="preserve">. En función de estudios de UNISDR (Country Risk Report Ecuador 2015 y otros países en la región) se estableció la relación entre las hipótesis </w:t>
      </w:r>
      <w:r w:rsidR="000806B9">
        <w:rPr>
          <w:rFonts w:ascii="Times New Roman" w:hAnsi="Times New Roman"/>
          <w:sz w:val="22"/>
          <w:szCs w:val="22"/>
          <w:lang w:val="es-AR"/>
        </w:rPr>
        <w:t>de pérdida máxima por</w:t>
      </w:r>
      <w:r w:rsidRPr="00BB1F0F">
        <w:rPr>
          <w:rFonts w:ascii="Times New Roman" w:hAnsi="Times New Roman"/>
          <w:sz w:val="22"/>
          <w:szCs w:val="22"/>
          <w:lang w:val="es-AR"/>
        </w:rPr>
        <w:t xml:space="preserve"> </w:t>
      </w:r>
      <w:r w:rsidR="000806B9">
        <w:rPr>
          <w:rFonts w:ascii="Times New Roman" w:hAnsi="Times New Roman"/>
          <w:sz w:val="22"/>
          <w:szCs w:val="22"/>
          <w:lang w:val="es-AR"/>
        </w:rPr>
        <w:t xml:space="preserve">el </w:t>
      </w:r>
      <w:r w:rsidRPr="00BB1F0F">
        <w:rPr>
          <w:rFonts w:ascii="Times New Roman" w:hAnsi="Times New Roman"/>
          <w:sz w:val="22"/>
          <w:szCs w:val="22"/>
          <w:lang w:val="es-AR"/>
        </w:rPr>
        <w:t>evento</w:t>
      </w:r>
      <w:r w:rsidR="000806B9">
        <w:rPr>
          <w:rFonts w:ascii="Times New Roman" w:hAnsi="Times New Roman"/>
          <w:sz w:val="22"/>
          <w:szCs w:val="22"/>
          <w:lang w:val="es-AR"/>
        </w:rPr>
        <w:t xml:space="preserve"> tsunami </w:t>
      </w:r>
      <w:r w:rsidRPr="00BB1F0F">
        <w:rPr>
          <w:rFonts w:ascii="Times New Roman" w:hAnsi="Times New Roman"/>
          <w:sz w:val="22"/>
          <w:szCs w:val="22"/>
          <w:lang w:val="es-AR"/>
        </w:rPr>
        <w:t>en perí</w:t>
      </w:r>
      <w:r w:rsidR="000806B9">
        <w:rPr>
          <w:rFonts w:ascii="Times New Roman" w:hAnsi="Times New Roman"/>
          <w:sz w:val="22"/>
          <w:szCs w:val="22"/>
          <w:lang w:val="es-AR"/>
        </w:rPr>
        <w:t>o</w:t>
      </w:r>
      <w:r w:rsidRPr="00BB1F0F">
        <w:rPr>
          <w:rFonts w:ascii="Times New Roman" w:hAnsi="Times New Roman"/>
          <w:sz w:val="22"/>
          <w:szCs w:val="22"/>
          <w:lang w:val="es-AR"/>
        </w:rPr>
        <w:t>dos de  250 y 500 años</w:t>
      </w:r>
      <w:r w:rsidRPr="0078407C">
        <w:rPr>
          <w:rFonts w:ascii="Times New Roman" w:hAnsi="Times New Roman"/>
          <w:sz w:val="22"/>
          <w:szCs w:val="22"/>
          <w:lang w:val="es-ES"/>
        </w:rPr>
        <w:t>.</w:t>
      </w:r>
    </w:p>
    <w:p w:rsidR="008D53A5" w:rsidRPr="00B34969" w:rsidRDefault="008D53A5" w:rsidP="008D53A5">
      <w:pPr>
        <w:ind w:left="718"/>
        <w:jc w:val="both"/>
        <w:rPr>
          <w:rFonts w:ascii="Times New Roman" w:hAnsi="Times New Roman"/>
          <w:sz w:val="22"/>
          <w:szCs w:val="22"/>
          <w:lang w:val="es-ES_tradnl"/>
        </w:rPr>
      </w:pPr>
    </w:p>
    <w:p w:rsidR="00BB1F0F" w:rsidRDefault="00BB1F0F" w:rsidP="00BB1F0F">
      <w:pPr>
        <w:ind w:left="718"/>
        <w:jc w:val="both"/>
        <w:rPr>
          <w:rFonts w:ascii="Times New Roman" w:hAnsi="Times New Roman"/>
          <w:lang w:val="es-AR"/>
        </w:rPr>
      </w:pPr>
      <w:r w:rsidRPr="008C1ABC">
        <w:rPr>
          <w:rFonts w:ascii="Times New Roman" w:hAnsi="Times New Roman"/>
          <w:b/>
          <w:lang w:val="es-AR"/>
        </w:rPr>
        <w:t xml:space="preserve">Tabla </w:t>
      </w:r>
      <w:r w:rsidR="00081A23" w:rsidRPr="008C1ABC">
        <w:rPr>
          <w:rFonts w:ascii="Times New Roman" w:hAnsi="Times New Roman"/>
          <w:b/>
        </w:rPr>
        <w:fldChar w:fldCharType="begin"/>
      </w:r>
      <w:r w:rsidRPr="008C1ABC">
        <w:rPr>
          <w:rFonts w:ascii="Times New Roman" w:hAnsi="Times New Roman"/>
          <w:b/>
          <w:lang w:val="es-AR"/>
        </w:rPr>
        <w:instrText xml:space="preserve"> SEQ Tabla \* ARABIC </w:instrText>
      </w:r>
      <w:r w:rsidR="00081A23" w:rsidRPr="008C1ABC">
        <w:rPr>
          <w:rFonts w:ascii="Times New Roman" w:hAnsi="Times New Roman"/>
          <w:b/>
        </w:rPr>
        <w:fldChar w:fldCharType="separate"/>
      </w:r>
      <w:r w:rsidR="004B1B6C">
        <w:rPr>
          <w:rFonts w:ascii="Times New Roman" w:hAnsi="Times New Roman"/>
          <w:b/>
          <w:noProof/>
          <w:lang w:val="es-AR"/>
        </w:rPr>
        <w:t>22</w:t>
      </w:r>
      <w:r w:rsidR="00081A23" w:rsidRPr="008C1ABC">
        <w:rPr>
          <w:rFonts w:ascii="Times New Roman" w:hAnsi="Times New Roman"/>
          <w:b/>
        </w:rPr>
        <w:fldChar w:fldCharType="end"/>
      </w:r>
      <w:r w:rsidRPr="008C1ABC">
        <w:rPr>
          <w:rFonts w:ascii="Times New Roman" w:hAnsi="Times New Roman"/>
          <w:lang w:val="es-AR"/>
        </w:rPr>
        <w:t xml:space="preserve">. </w:t>
      </w:r>
      <w:r>
        <w:rPr>
          <w:rFonts w:ascii="Times New Roman" w:hAnsi="Times New Roman"/>
          <w:lang w:val="es-AR"/>
        </w:rPr>
        <w:t>Pérdida Máxima potencial en distintos rangos de ocurrencia – Pacífico Sur LAC</w:t>
      </w:r>
    </w:p>
    <w:p w:rsidR="00DA2921" w:rsidRDefault="00DA2921" w:rsidP="00BB1F0F">
      <w:pPr>
        <w:ind w:left="718"/>
        <w:jc w:val="both"/>
        <w:rPr>
          <w:rFonts w:ascii="Times New Roman" w:hAnsi="Times New Roman"/>
          <w:lang w:val="es-AR"/>
        </w:rPr>
      </w:pPr>
    </w:p>
    <w:tbl>
      <w:tblPr>
        <w:tblW w:w="6889" w:type="dxa"/>
        <w:jc w:val="center"/>
        <w:tblInd w:w="65" w:type="dxa"/>
        <w:tblCellMar>
          <w:left w:w="70" w:type="dxa"/>
          <w:right w:w="70" w:type="dxa"/>
        </w:tblCellMar>
        <w:tblLook w:val="04A0" w:firstRow="1" w:lastRow="0" w:firstColumn="1" w:lastColumn="0" w:noHBand="0" w:noVBand="1"/>
      </w:tblPr>
      <w:tblGrid>
        <w:gridCol w:w="2075"/>
        <w:gridCol w:w="1840"/>
        <w:gridCol w:w="1712"/>
        <w:gridCol w:w="1262"/>
      </w:tblGrid>
      <w:tr w:rsidR="00BB1F0F" w:rsidRPr="00BB1F0F" w:rsidTr="00B34969">
        <w:trPr>
          <w:trHeight w:val="305"/>
          <w:jc w:val="center"/>
        </w:trPr>
        <w:tc>
          <w:tcPr>
            <w:tcW w:w="20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1F0F" w:rsidRPr="00BB1F0F" w:rsidRDefault="00127AE3" w:rsidP="00BB1F0F">
            <w:pPr>
              <w:jc w:val="center"/>
              <w:rPr>
                <w:rFonts w:ascii="Times New Roman" w:hAnsi="Times New Roman"/>
                <w:color w:val="000000"/>
                <w:sz w:val="22"/>
                <w:szCs w:val="22"/>
                <w:lang w:val="es-AR" w:eastAsia="es-AR"/>
              </w:rPr>
            </w:pPr>
            <w:r w:rsidRPr="00BB1F0F">
              <w:rPr>
                <w:rFonts w:ascii="Times New Roman" w:hAnsi="Times New Roman"/>
                <w:color w:val="000000"/>
                <w:sz w:val="22"/>
                <w:szCs w:val="22"/>
                <w:lang w:val="es-AR" w:eastAsia="es-AR"/>
              </w:rPr>
              <w:t>País</w:t>
            </w:r>
          </w:p>
        </w:tc>
        <w:tc>
          <w:tcPr>
            <w:tcW w:w="1840" w:type="dxa"/>
            <w:tcBorders>
              <w:top w:val="single" w:sz="4" w:space="0" w:color="auto"/>
              <w:left w:val="single" w:sz="4" w:space="0" w:color="auto"/>
              <w:bottom w:val="single" w:sz="4" w:space="0" w:color="auto"/>
              <w:right w:val="nil"/>
            </w:tcBorders>
            <w:shd w:val="clear" w:color="auto" w:fill="auto"/>
            <w:noWrap/>
            <w:vAlign w:val="center"/>
            <w:hideMark/>
          </w:tcPr>
          <w:p w:rsidR="00BB1F0F" w:rsidRPr="00BB1F0F" w:rsidRDefault="00BB1F0F" w:rsidP="00BB1F0F">
            <w:pPr>
              <w:jc w:val="right"/>
              <w:rPr>
                <w:rFonts w:ascii="Times New Roman" w:hAnsi="Times New Roman"/>
                <w:color w:val="000000"/>
                <w:sz w:val="22"/>
                <w:szCs w:val="22"/>
                <w:lang w:val="es-AR" w:eastAsia="es-AR"/>
              </w:rPr>
            </w:pPr>
            <w:r w:rsidRPr="00BB1F0F">
              <w:rPr>
                <w:rFonts w:ascii="Times New Roman" w:hAnsi="Times New Roman"/>
                <w:color w:val="000000"/>
                <w:sz w:val="22"/>
                <w:szCs w:val="22"/>
                <w:lang w:val="es-AR" w:eastAsia="es-AR"/>
              </w:rPr>
              <w:t xml:space="preserve">Pérdida </w:t>
            </w:r>
            <w:r w:rsidR="00127AE3" w:rsidRPr="00BB1F0F">
              <w:rPr>
                <w:rFonts w:ascii="Times New Roman" w:hAnsi="Times New Roman"/>
                <w:color w:val="000000"/>
                <w:sz w:val="22"/>
                <w:szCs w:val="22"/>
                <w:lang w:val="es-AR" w:eastAsia="es-AR"/>
              </w:rPr>
              <w:t>máxima</w:t>
            </w:r>
          </w:p>
        </w:tc>
        <w:tc>
          <w:tcPr>
            <w:tcW w:w="1712" w:type="dxa"/>
            <w:tcBorders>
              <w:top w:val="single" w:sz="4" w:space="0" w:color="auto"/>
              <w:left w:val="nil"/>
              <w:bottom w:val="single" w:sz="4" w:space="0" w:color="auto"/>
              <w:right w:val="single" w:sz="4" w:space="0" w:color="auto"/>
            </w:tcBorders>
            <w:shd w:val="clear" w:color="auto" w:fill="auto"/>
            <w:noWrap/>
            <w:vAlign w:val="center"/>
            <w:hideMark/>
          </w:tcPr>
          <w:p w:rsidR="00BB1F0F" w:rsidRPr="00BB1F0F" w:rsidRDefault="00BB1F0F" w:rsidP="00BB1F0F">
            <w:pPr>
              <w:rPr>
                <w:rFonts w:ascii="Times New Roman" w:hAnsi="Times New Roman"/>
                <w:color w:val="000000"/>
                <w:sz w:val="22"/>
                <w:szCs w:val="22"/>
                <w:lang w:val="es-AR" w:eastAsia="es-AR"/>
              </w:rPr>
            </w:pPr>
            <w:r w:rsidRPr="00BB1F0F">
              <w:rPr>
                <w:rFonts w:ascii="Times New Roman" w:hAnsi="Times New Roman"/>
                <w:color w:val="000000"/>
                <w:sz w:val="22"/>
                <w:szCs w:val="22"/>
                <w:lang w:val="es-AR" w:eastAsia="es-AR"/>
              </w:rPr>
              <w:t>US$ Millones</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1F0F" w:rsidRPr="00BB1F0F" w:rsidRDefault="00BB1F0F" w:rsidP="00BB1F0F">
            <w:pPr>
              <w:jc w:val="center"/>
              <w:rPr>
                <w:rFonts w:ascii="Times New Roman" w:hAnsi="Times New Roman"/>
                <w:color w:val="000000"/>
                <w:sz w:val="22"/>
                <w:szCs w:val="22"/>
                <w:lang w:val="es-AR" w:eastAsia="es-AR"/>
              </w:rPr>
            </w:pPr>
            <w:r w:rsidRPr="00BB1F0F">
              <w:rPr>
                <w:rFonts w:ascii="Times New Roman" w:hAnsi="Times New Roman"/>
                <w:color w:val="000000"/>
                <w:sz w:val="22"/>
                <w:szCs w:val="22"/>
                <w:lang w:val="es-AR" w:eastAsia="es-AR"/>
              </w:rPr>
              <w:t>Relación</w:t>
            </w:r>
          </w:p>
        </w:tc>
      </w:tr>
      <w:tr w:rsidR="00BB1F0F" w:rsidRPr="00BB1F0F" w:rsidTr="00B34969">
        <w:trPr>
          <w:trHeight w:val="305"/>
          <w:jc w:val="center"/>
        </w:trPr>
        <w:tc>
          <w:tcPr>
            <w:tcW w:w="2075" w:type="dxa"/>
            <w:vMerge/>
            <w:tcBorders>
              <w:top w:val="single" w:sz="4" w:space="0" w:color="auto"/>
              <w:left w:val="single" w:sz="4" w:space="0" w:color="auto"/>
              <w:bottom w:val="single" w:sz="4" w:space="0" w:color="auto"/>
              <w:right w:val="single" w:sz="4" w:space="0" w:color="auto"/>
            </w:tcBorders>
            <w:vAlign w:val="center"/>
            <w:hideMark/>
          </w:tcPr>
          <w:p w:rsidR="00BB1F0F" w:rsidRPr="00BB1F0F" w:rsidRDefault="00BB1F0F" w:rsidP="00BB1F0F">
            <w:pPr>
              <w:rPr>
                <w:rFonts w:ascii="Times New Roman" w:hAnsi="Times New Roman"/>
                <w:color w:val="000000"/>
                <w:sz w:val="22"/>
                <w:szCs w:val="22"/>
                <w:lang w:val="es-AR" w:eastAsia="es-AR"/>
              </w:rPr>
            </w:pP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BB1F0F" w:rsidRPr="00BB1F0F" w:rsidRDefault="00BB1F0F" w:rsidP="00BB1F0F">
            <w:pPr>
              <w:jc w:val="center"/>
              <w:rPr>
                <w:rFonts w:ascii="Times New Roman" w:hAnsi="Times New Roman"/>
                <w:color w:val="000000"/>
                <w:sz w:val="22"/>
                <w:szCs w:val="22"/>
                <w:lang w:val="es-AR" w:eastAsia="es-AR"/>
              </w:rPr>
            </w:pPr>
            <w:r w:rsidRPr="00BB1F0F">
              <w:rPr>
                <w:rFonts w:ascii="Times New Roman" w:hAnsi="Times New Roman"/>
                <w:color w:val="000000"/>
                <w:sz w:val="22"/>
                <w:szCs w:val="22"/>
                <w:lang w:val="es-AR" w:eastAsia="es-AR"/>
              </w:rPr>
              <w:t>1:250 años</w:t>
            </w:r>
          </w:p>
        </w:tc>
        <w:tc>
          <w:tcPr>
            <w:tcW w:w="1712" w:type="dxa"/>
            <w:tcBorders>
              <w:top w:val="single" w:sz="4" w:space="0" w:color="auto"/>
              <w:left w:val="nil"/>
              <w:bottom w:val="single" w:sz="4" w:space="0" w:color="auto"/>
              <w:right w:val="single" w:sz="4" w:space="0" w:color="auto"/>
            </w:tcBorders>
            <w:shd w:val="clear" w:color="auto" w:fill="auto"/>
            <w:noWrap/>
            <w:vAlign w:val="center"/>
            <w:hideMark/>
          </w:tcPr>
          <w:p w:rsidR="00BB1F0F" w:rsidRPr="00BB1F0F" w:rsidRDefault="00BB1F0F" w:rsidP="00BB1F0F">
            <w:pPr>
              <w:jc w:val="center"/>
              <w:rPr>
                <w:rFonts w:ascii="Times New Roman" w:hAnsi="Times New Roman"/>
                <w:color w:val="000000"/>
                <w:sz w:val="22"/>
                <w:szCs w:val="22"/>
                <w:lang w:val="es-AR" w:eastAsia="es-AR"/>
              </w:rPr>
            </w:pPr>
            <w:r w:rsidRPr="00BB1F0F">
              <w:rPr>
                <w:rFonts w:ascii="Times New Roman" w:hAnsi="Times New Roman"/>
                <w:color w:val="000000"/>
                <w:sz w:val="22"/>
                <w:szCs w:val="22"/>
                <w:lang w:val="es-AR" w:eastAsia="es-AR"/>
              </w:rPr>
              <w:t>1: 500 años</w:t>
            </w:r>
          </w:p>
        </w:tc>
        <w:tc>
          <w:tcPr>
            <w:tcW w:w="1262" w:type="dxa"/>
            <w:vMerge/>
            <w:tcBorders>
              <w:top w:val="single" w:sz="4" w:space="0" w:color="auto"/>
              <w:left w:val="single" w:sz="4" w:space="0" w:color="auto"/>
              <w:bottom w:val="single" w:sz="4" w:space="0" w:color="auto"/>
              <w:right w:val="single" w:sz="4" w:space="0" w:color="auto"/>
            </w:tcBorders>
            <w:vAlign w:val="center"/>
            <w:hideMark/>
          </w:tcPr>
          <w:p w:rsidR="00BB1F0F" w:rsidRPr="00BB1F0F" w:rsidRDefault="00BB1F0F" w:rsidP="00BB1F0F">
            <w:pPr>
              <w:rPr>
                <w:rFonts w:ascii="Times New Roman" w:hAnsi="Times New Roman"/>
                <w:color w:val="000000"/>
                <w:sz w:val="22"/>
                <w:szCs w:val="22"/>
                <w:lang w:val="es-AR" w:eastAsia="es-AR"/>
              </w:rPr>
            </w:pPr>
          </w:p>
        </w:tc>
      </w:tr>
      <w:tr w:rsidR="00BB1F0F" w:rsidRPr="00BB1F0F" w:rsidTr="00B34969">
        <w:trPr>
          <w:trHeight w:val="305"/>
          <w:jc w:val="center"/>
        </w:trPr>
        <w:tc>
          <w:tcPr>
            <w:tcW w:w="2075" w:type="dxa"/>
            <w:tcBorders>
              <w:top w:val="nil"/>
              <w:left w:val="nil"/>
              <w:bottom w:val="nil"/>
              <w:right w:val="nil"/>
            </w:tcBorders>
            <w:shd w:val="clear" w:color="000000" w:fill="FFFFFF"/>
            <w:noWrap/>
            <w:vAlign w:val="bottom"/>
            <w:hideMark/>
          </w:tcPr>
          <w:p w:rsidR="00BB1F0F" w:rsidRPr="00BB1F0F" w:rsidRDefault="00BB1F0F" w:rsidP="00BB1F0F">
            <w:pPr>
              <w:rPr>
                <w:rFonts w:ascii="Times New Roman" w:hAnsi="Times New Roman"/>
                <w:color w:val="000000"/>
                <w:sz w:val="22"/>
                <w:szCs w:val="22"/>
                <w:lang w:val="es-AR" w:eastAsia="es-AR"/>
              </w:rPr>
            </w:pPr>
            <w:r w:rsidRPr="00BB1F0F">
              <w:rPr>
                <w:rFonts w:ascii="Times New Roman" w:hAnsi="Times New Roman"/>
                <w:color w:val="000000"/>
                <w:sz w:val="22"/>
                <w:szCs w:val="22"/>
                <w:lang w:val="es-AR" w:eastAsia="es-AR"/>
              </w:rPr>
              <w:t>Ecuador</w:t>
            </w:r>
          </w:p>
        </w:tc>
        <w:tc>
          <w:tcPr>
            <w:tcW w:w="1840" w:type="dxa"/>
            <w:tcBorders>
              <w:top w:val="nil"/>
              <w:left w:val="nil"/>
              <w:bottom w:val="nil"/>
              <w:right w:val="nil"/>
            </w:tcBorders>
            <w:shd w:val="clear" w:color="000000" w:fill="FFFFFF"/>
            <w:noWrap/>
            <w:vAlign w:val="center"/>
            <w:hideMark/>
          </w:tcPr>
          <w:p w:rsidR="00BB1F0F" w:rsidRPr="00BB1F0F" w:rsidRDefault="00BB1F0F" w:rsidP="00BB1F0F">
            <w:pPr>
              <w:rPr>
                <w:rFonts w:ascii="Times New Roman" w:hAnsi="Times New Roman"/>
                <w:color w:val="000000"/>
                <w:sz w:val="22"/>
                <w:szCs w:val="22"/>
                <w:lang w:val="es-AR" w:eastAsia="es-AR"/>
              </w:rPr>
            </w:pPr>
            <w:r w:rsidRPr="00BB1F0F">
              <w:rPr>
                <w:rFonts w:ascii="Times New Roman" w:hAnsi="Times New Roman"/>
                <w:color w:val="000000"/>
                <w:sz w:val="22"/>
                <w:szCs w:val="22"/>
                <w:lang w:val="es-AR" w:eastAsia="es-AR"/>
              </w:rPr>
              <w:t xml:space="preserve">                       40 </w:t>
            </w:r>
          </w:p>
        </w:tc>
        <w:tc>
          <w:tcPr>
            <w:tcW w:w="1712" w:type="dxa"/>
            <w:tcBorders>
              <w:top w:val="nil"/>
              <w:left w:val="nil"/>
              <w:bottom w:val="nil"/>
              <w:right w:val="nil"/>
            </w:tcBorders>
            <w:shd w:val="clear" w:color="000000" w:fill="FFFFFF"/>
            <w:noWrap/>
            <w:vAlign w:val="center"/>
            <w:hideMark/>
          </w:tcPr>
          <w:p w:rsidR="00BB1F0F" w:rsidRPr="00BB1F0F" w:rsidRDefault="00BB1F0F" w:rsidP="00BB1F0F">
            <w:pPr>
              <w:rPr>
                <w:rFonts w:ascii="Times New Roman" w:hAnsi="Times New Roman"/>
                <w:color w:val="000000"/>
                <w:sz w:val="22"/>
                <w:szCs w:val="22"/>
                <w:lang w:val="es-AR" w:eastAsia="es-AR"/>
              </w:rPr>
            </w:pPr>
            <w:r w:rsidRPr="00BB1F0F">
              <w:rPr>
                <w:rFonts w:ascii="Times New Roman" w:hAnsi="Times New Roman"/>
                <w:color w:val="000000"/>
                <w:sz w:val="22"/>
                <w:szCs w:val="22"/>
                <w:lang w:val="es-AR" w:eastAsia="es-AR"/>
              </w:rPr>
              <w:t xml:space="preserve">                   170 </w:t>
            </w:r>
          </w:p>
        </w:tc>
        <w:tc>
          <w:tcPr>
            <w:tcW w:w="1262" w:type="dxa"/>
            <w:tcBorders>
              <w:top w:val="nil"/>
              <w:left w:val="nil"/>
              <w:bottom w:val="nil"/>
              <w:right w:val="nil"/>
            </w:tcBorders>
            <w:shd w:val="clear" w:color="000000" w:fill="FFFFFF"/>
            <w:noWrap/>
            <w:vAlign w:val="center"/>
            <w:hideMark/>
          </w:tcPr>
          <w:p w:rsidR="00BB1F0F" w:rsidRPr="00BB1F0F" w:rsidRDefault="00BB1F0F" w:rsidP="00BB1F0F">
            <w:pPr>
              <w:jc w:val="right"/>
              <w:rPr>
                <w:rFonts w:ascii="Times New Roman" w:hAnsi="Times New Roman"/>
                <w:color w:val="000000"/>
                <w:sz w:val="22"/>
                <w:szCs w:val="22"/>
                <w:lang w:val="es-AR" w:eastAsia="es-AR"/>
              </w:rPr>
            </w:pPr>
            <w:r w:rsidRPr="00BB1F0F">
              <w:rPr>
                <w:rFonts w:ascii="Times New Roman" w:hAnsi="Times New Roman"/>
                <w:color w:val="000000"/>
                <w:sz w:val="22"/>
                <w:szCs w:val="22"/>
                <w:lang w:val="es-AR" w:eastAsia="es-AR"/>
              </w:rPr>
              <w:t>24%</w:t>
            </w:r>
          </w:p>
        </w:tc>
      </w:tr>
      <w:tr w:rsidR="00BB1F0F" w:rsidRPr="00BB1F0F" w:rsidTr="00B34969">
        <w:trPr>
          <w:trHeight w:val="305"/>
          <w:jc w:val="center"/>
        </w:trPr>
        <w:tc>
          <w:tcPr>
            <w:tcW w:w="2075" w:type="dxa"/>
            <w:tcBorders>
              <w:top w:val="nil"/>
              <w:left w:val="nil"/>
              <w:bottom w:val="nil"/>
              <w:right w:val="nil"/>
            </w:tcBorders>
            <w:shd w:val="clear" w:color="000000" w:fill="FFFFFF"/>
            <w:noWrap/>
            <w:vAlign w:val="bottom"/>
            <w:hideMark/>
          </w:tcPr>
          <w:p w:rsidR="00BB1F0F" w:rsidRPr="00BB1F0F" w:rsidRDefault="00BB1F0F" w:rsidP="00BB1F0F">
            <w:pPr>
              <w:rPr>
                <w:rFonts w:ascii="Times New Roman" w:hAnsi="Times New Roman"/>
                <w:color w:val="000000"/>
                <w:sz w:val="22"/>
                <w:szCs w:val="22"/>
                <w:lang w:val="es-AR" w:eastAsia="es-AR"/>
              </w:rPr>
            </w:pPr>
            <w:r w:rsidRPr="00BB1F0F">
              <w:rPr>
                <w:rFonts w:ascii="Times New Roman" w:hAnsi="Times New Roman"/>
                <w:color w:val="000000"/>
                <w:sz w:val="22"/>
                <w:szCs w:val="22"/>
                <w:lang w:val="es-AR" w:eastAsia="es-AR"/>
              </w:rPr>
              <w:t>Chile</w:t>
            </w:r>
          </w:p>
        </w:tc>
        <w:tc>
          <w:tcPr>
            <w:tcW w:w="1840" w:type="dxa"/>
            <w:tcBorders>
              <w:top w:val="nil"/>
              <w:left w:val="nil"/>
              <w:bottom w:val="nil"/>
              <w:right w:val="nil"/>
            </w:tcBorders>
            <w:shd w:val="clear" w:color="000000" w:fill="FFFFFF"/>
            <w:noWrap/>
            <w:vAlign w:val="center"/>
            <w:hideMark/>
          </w:tcPr>
          <w:p w:rsidR="00BB1F0F" w:rsidRPr="00BB1F0F" w:rsidRDefault="00BB1F0F" w:rsidP="00BB1F0F">
            <w:pPr>
              <w:rPr>
                <w:rFonts w:ascii="Times New Roman" w:hAnsi="Times New Roman"/>
                <w:color w:val="000000"/>
                <w:sz w:val="22"/>
                <w:szCs w:val="22"/>
                <w:lang w:val="es-AR" w:eastAsia="es-AR"/>
              </w:rPr>
            </w:pPr>
            <w:r w:rsidRPr="00BB1F0F">
              <w:rPr>
                <w:rFonts w:ascii="Times New Roman" w:hAnsi="Times New Roman"/>
                <w:color w:val="000000"/>
                <w:sz w:val="22"/>
                <w:szCs w:val="22"/>
                <w:lang w:val="es-AR" w:eastAsia="es-AR"/>
              </w:rPr>
              <w:t xml:space="preserve">                     205 </w:t>
            </w:r>
          </w:p>
        </w:tc>
        <w:tc>
          <w:tcPr>
            <w:tcW w:w="1712" w:type="dxa"/>
            <w:tcBorders>
              <w:top w:val="nil"/>
              <w:left w:val="nil"/>
              <w:bottom w:val="nil"/>
              <w:right w:val="nil"/>
            </w:tcBorders>
            <w:shd w:val="clear" w:color="000000" w:fill="FFFFFF"/>
            <w:noWrap/>
            <w:vAlign w:val="center"/>
            <w:hideMark/>
          </w:tcPr>
          <w:p w:rsidR="00BB1F0F" w:rsidRPr="00BB1F0F" w:rsidRDefault="00BB1F0F" w:rsidP="00BB1F0F">
            <w:pPr>
              <w:rPr>
                <w:rFonts w:ascii="Times New Roman" w:hAnsi="Times New Roman"/>
                <w:color w:val="000000"/>
                <w:sz w:val="22"/>
                <w:szCs w:val="22"/>
                <w:lang w:val="es-AR" w:eastAsia="es-AR"/>
              </w:rPr>
            </w:pPr>
            <w:r w:rsidRPr="00BB1F0F">
              <w:rPr>
                <w:rFonts w:ascii="Times New Roman" w:hAnsi="Times New Roman"/>
                <w:color w:val="000000"/>
                <w:sz w:val="22"/>
                <w:szCs w:val="22"/>
                <w:lang w:val="es-AR" w:eastAsia="es-AR"/>
              </w:rPr>
              <w:t xml:space="preserve">                   663 </w:t>
            </w:r>
          </w:p>
        </w:tc>
        <w:tc>
          <w:tcPr>
            <w:tcW w:w="1262" w:type="dxa"/>
            <w:tcBorders>
              <w:top w:val="nil"/>
              <w:left w:val="nil"/>
              <w:bottom w:val="nil"/>
              <w:right w:val="nil"/>
            </w:tcBorders>
            <w:shd w:val="clear" w:color="000000" w:fill="FFFFFF"/>
            <w:noWrap/>
            <w:vAlign w:val="center"/>
            <w:hideMark/>
          </w:tcPr>
          <w:p w:rsidR="00BB1F0F" w:rsidRPr="00BB1F0F" w:rsidRDefault="00BB1F0F" w:rsidP="00BB1F0F">
            <w:pPr>
              <w:jc w:val="right"/>
              <w:rPr>
                <w:rFonts w:ascii="Times New Roman" w:hAnsi="Times New Roman"/>
                <w:color w:val="000000"/>
                <w:sz w:val="22"/>
                <w:szCs w:val="22"/>
                <w:lang w:val="es-AR" w:eastAsia="es-AR"/>
              </w:rPr>
            </w:pPr>
            <w:r w:rsidRPr="00BB1F0F">
              <w:rPr>
                <w:rFonts w:ascii="Times New Roman" w:hAnsi="Times New Roman"/>
                <w:color w:val="000000"/>
                <w:sz w:val="22"/>
                <w:szCs w:val="22"/>
                <w:lang w:val="es-AR" w:eastAsia="es-AR"/>
              </w:rPr>
              <w:t>31%</w:t>
            </w:r>
          </w:p>
        </w:tc>
      </w:tr>
      <w:tr w:rsidR="00BB1F0F" w:rsidRPr="00BB1F0F" w:rsidTr="00B34969">
        <w:trPr>
          <w:trHeight w:val="305"/>
          <w:jc w:val="center"/>
        </w:trPr>
        <w:tc>
          <w:tcPr>
            <w:tcW w:w="2075" w:type="dxa"/>
            <w:tcBorders>
              <w:top w:val="nil"/>
              <w:left w:val="nil"/>
              <w:bottom w:val="nil"/>
              <w:right w:val="nil"/>
            </w:tcBorders>
            <w:shd w:val="clear" w:color="000000" w:fill="FFFFFF"/>
            <w:noWrap/>
            <w:vAlign w:val="bottom"/>
            <w:hideMark/>
          </w:tcPr>
          <w:p w:rsidR="00BB1F0F" w:rsidRPr="00BB1F0F" w:rsidRDefault="00BB1F0F" w:rsidP="00BB1F0F">
            <w:pPr>
              <w:rPr>
                <w:rFonts w:ascii="Times New Roman" w:hAnsi="Times New Roman"/>
                <w:color w:val="000000"/>
                <w:sz w:val="22"/>
                <w:szCs w:val="22"/>
                <w:lang w:val="es-AR" w:eastAsia="es-AR"/>
              </w:rPr>
            </w:pPr>
            <w:r w:rsidRPr="00BB1F0F">
              <w:rPr>
                <w:rFonts w:ascii="Times New Roman" w:hAnsi="Times New Roman"/>
                <w:color w:val="000000"/>
                <w:sz w:val="22"/>
                <w:szCs w:val="22"/>
                <w:lang w:val="es-AR" w:eastAsia="es-AR"/>
              </w:rPr>
              <w:t>Peru</w:t>
            </w:r>
          </w:p>
        </w:tc>
        <w:tc>
          <w:tcPr>
            <w:tcW w:w="1840" w:type="dxa"/>
            <w:tcBorders>
              <w:top w:val="nil"/>
              <w:left w:val="nil"/>
              <w:bottom w:val="nil"/>
              <w:right w:val="nil"/>
            </w:tcBorders>
            <w:shd w:val="clear" w:color="000000" w:fill="FFFFFF"/>
            <w:noWrap/>
            <w:vAlign w:val="center"/>
            <w:hideMark/>
          </w:tcPr>
          <w:p w:rsidR="00BB1F0F" w:rsidRPr="00BB1F0F" w:rsidRDefault="00BB1F0F" w:rsidP="00BB1F0F">
            <w:pPr>
              <w:rPr>
                <w:rFonts w:ascii="Times New Roman" w:hAnsi="Times New Roman"/>
                <w:color w:val="000000"/>
                <w:sz w:val="22"/>
                <w:szCs w:val="22"/>
                <w:lang w:val="es-AR" w:eastAsia="es-AR"/>
              </w:rPr>
            </w:pPr>
            <w:r w:rsidRPr="00BB1F0F">
              <w:rPr>
                <w:rFonts w:ascii="Times New Roman" w:hAnsi="Times New Roman"/>
                <w:color w:val="000000"/>
                <w:sz w:val="22"/>
                <w:szCs w:val="22"/>
                <w:lang w:val="es-AR" w:eastAsia="es-AR"/>
              </w:rPr>
              <w:t xml:space="preserve">                     114 </w:t>
            </w:r>
          </w:p>
        </w:tc>
        <w:tc>
          <w:tcPr>
            <w:tcW w:w="1712" w:type="dxa"/>
            <w:tcBorders>
              <w:top w:val="nil"/>
              <w:left w:val="nil"/>
              <w:bottom w:val="nil"/>
              <w:right w:val="nil"/>
            </w:tcBorders>
            <w:shd w:val="clear" w:color="000000" w:fill="FFFFFF"/>
            <w:noWrap/>
            <w:vAlign w:val="center"/>
            <w:hideMark/>
          </w:tcPr>
          <w:p w:rsidR="00BB1F0F" w:rsidRPr="00BB1F0F" w:rsidRDefault="00BB1F0F" w:rsidP="00BB1F0F">
            <w:pPr>
              <w:rPr>
                <w:rFonts w:ascii="Times New Roman" w:hAnsi="Times New Roman"/>
                <w:color w:val="000000"/>
                <w:sz w:val="22"/>
                <w:szCs w:val="22"/>
                <w:lang w:val="es-AR" w:eastAsia="es-AR"/>
              </w:rPr>
            </w:pPr>
            <w:r w:rsidRPr="00BB1F0F">
              <w:rPr>
                <w:rFonts w:ascii="Times New Roman" w:hAnsi="Times New Roman"/>
                <w:color w:val="000000"/>
                <w:sz w:val="22"/>
                <w:szCs w:val="22"/>
                <w:lang w:val="es-AR" w:eastAsia="es-AR"/>
              </w:rPr>
              <w:t xml:space="preserve">                   337 </w:t>
            </w:r>
          </w:p>
        </w:tc>
        <w:tc>
          <w:tcPr>
            <w:tcW w:w="1262" w:type="dxa"/>
            <w:tcBorders>
              <w:top w:val="nil"/>
              <w:left w:val="nil"/>
              <w:bottom w:val="nil"/>
              <w:right w:val="nil"/>
            </w:tcBorders>
            <w:shd w:val="clear" w:color="000000" w:fill="FFFFFF"/>
            <w:noWrap/>
            <w:vAlign w:val="center"/>
            <w:hideMark/>
          </w:tcPr>
          <w:p w:rsidR="00BB1F0F" w:rsidRPr="00BB1F0F" w:rsidRDefault="00BB1F0F" w:rsidP="00BB1F0F">
            <w:pPr>
              <w:jc w:val="right"/>
              <w:rPr>
                <w:rFonts w:ascii="Times New Roman" w:hAnsi="Times New Roman"/>
                <w:color w:val="000000"/>
                <w:sz w:val="22"/>
                <w:szCs w:val="22"/>
                <w:lang w:val="es-AR" w:eastAsia="es-AR"/>
              </w:rPr>
            </w:pPr>
            <w:r w:rsidRPr="00BB1F0F">
              <w:rPr>
                <w:rFonts w:ascii="Times New Roman" w:hAnsi="Times New Roman"/>
                <w:color w:val="000000"/>
                <w:sz w:val="22"/>
                <w:szCs w:val="22"/>
                <w:lang w:val="es-AR" w:eastAsia="es-AR"/>
              </w:rPr>
              <w:t>34%</w:t>
            </w:r>
          </w:p>
        </w:tc>
      </w:tr>
      <w:tr w:rsidR="00BB1F0F" w:rsidRPr="00BB1F0F" w:rsidTr="00B34969">
        <w:trPr>
          <w:trHeight w:val="305"/>
          <w:jc w:val="center"/>
        </w:trPr>
        <w:tc>
          <w:tcPr>
            <w:tcW w:w="2075" w:type="dxa"/>
            <w:tcBorders>
              <w:top w:val="nil"/>
              <w:left w:val="nil"/>
              <w:bottom w:val="nil"/>
              <w:right w:val="nil"/>
            </w:tcBorders>
            <w:shd w:val="clear" w:color="000000" w:fill="FFFFFF"/>
            <w:noWrap/>
            <w:vAlign w:val="bottom"/>
            <w:hideMark/>
          </w:tcPr>
          <w:p w:rsidR="00BB1F0F" w:rsidRPr="00BB1F0F" w:rsidRDefault="00BB1F0F" w:rsidP="00BB1F0F">
            <w:pPr>
              <w:rPr>
                <w:rFonts w:ascii="Times New Roman" w:hAnsi="Times New Roman"/>
                <w:color w:val="000000"/>
                <w:sz w:val="22"/>
                <w:szCs w:val="22"/>
                <w:lang w:val="es-AR" w:eastAsia="es-AR"/>
              </w:rPr>
            </w:pPr>
            <w:r w:rsidRPr="00BB1F0F">
              <w:rPr>
                <w:rFonts w:ascii="Times New Roman" w:hAnsi="Times New Roman"/>
                <w:color w:val="000000"/>
                <w:sz w:val="22"/>
                <w:szCs w:val="22"/>
                <w:lang w:val="es-AR" w:eastAsia="es-AR"/>
              </w:rPr>
              <w:t>Colombia</w:t>
            </w:r>
          </w:p>
        </w:tc>
        <w:tc>
          <w:tcPr>
            <w:tcW w:w="1840" w:type="dxa"/>
            <w:tcBorders>
              <w:top w:val="nil"/>
              <w:left w:val="nil"/>
              <w:bottom w:val="nil"/>
              <w:right w:val="nil"/>
            </w:tcBorders>
            <w:shd w:val="clear" w:color="000000" w:fill="FFFFFF"/>
            <w:noWrap/>
            <w:vAlign w:val="center"/>
            <w:hideMark/>
          </w:tcPr>
          <w:p w:rsidR="00BB1F0F" w:rsidRPr="00BB1F0F" w:rsidRDefault="00BB1F0F" w:rsidP="00BB1F0F">
            <w:pPr>
              <w:rPr>
                <w:rFonts w:ascii="Times New Roman" w:hAnsi="Times New Roman"/>
                <w:color w:val="000000"/>
                <w:sz w:val="22"/>
                <w:szCs w:val="22"/>
                <w:lang w:val="es-AR" w:eastAsia="es-AR"/>
              </w:rPr>
            </w:pPr>
            <w:r w:rsidRPr="00BB1F0F">
              <w:rPr>
                <w:rFonts w:ascii="Times New Roman" w:hAnsi="Times New Roman"/>
                <w:color w:val="000000"/>
                <w:sz w:val="22"/>
                <w:szCs w:val="22"/>
                <w:lang w:val="es-AR" w:eastAsia="es-AR"/>
              </w:rPr>
              <w:t xml:space="preserve">                     383 </w:t>
            </w:r>
          </w:p>
        </w:tc>
        <w:tc>
          <w:tcPr>
            <w:tcW w:w="1712" w:type="dxa"/>
            <w:tcBorders>
              <w:top w:val="nil"/>
              <w:left w:val="nil"/>
              <w:bottom w:val="nil"/>
              <w:right w:val="nil"/>
            </w:tcBorders>
            <w:shd w:val="clear" w:color="000000" w:fill="FFFFFF"/>
            <w:noWrap/>
            <w:vAlign w:val="center"/>
            <w:hideMark/>
          </w:tcPr>
          <w:p w:rsidR="00BB1F0F" w:rsidRPr="00BB1F0F" w:rsidRDefault="00BB1F0F" w:rsidP="00BB1F0F">
            <w:pPr>
              <w:rPr>
                <w:rFonts w:ascii="Times New Roman" w:hAnsi="Times New Roman"/>
                <w:color w:val="000000"/>
                <w:sz w:val="22"/>
                <w:szCs w:val="22"/>
                <w:lang w:val="es-AR" w:eastAsia="es-AR"/>
              </w:rPr>
            </w:pPr>
            <w:r w:rsidRPr="00BB1F0F">
              <w:rPr>
                <w:rFonts w:ascii="Times New Roman" w:hAnsi="Times New Roman"/>
                <w:color w:val="000000"/>
                <w:sz w:val="22"/>
                <w:szCs w:val="22"/>
                <w:lang w:val="es-AR" w:eastAsia="es-AR"/>
              </w:rPr>
              <w:t xml:space="preserve">                1.049 </w:t>
            </w:r>
          </w:p>
        </w:tc>
        <w:tc>
          <w:tcPr>
            <w:tcW w:w="1262" w:type="dxa"/>
            <w:tcBorders>
              <w:top w:val="nil"/>
              <w:left w:val="nil"/>
              <w:bottom w:val="nil"/>
              <w:right w:val="nil"/>
            </w:tcBorders>
            <w:shd w:val="clear" w:color="000000" w:fill="FFFFFF"/>
            <w:noWrap/>
            <w:vAlign w:val="center"/>
            <w:hideMark/>
          </w:tcPr>
          <w:p w:rsidR="00BB1F0F" w:rsidRPr="00BB1F0F" w:rsidRDefault="00BB1F0F" w:rsidP="00BB1F0F">
            <w:pPr>
              <w:jc w:val="right"/>
              <w:rPr>
                <w:rFonts w:ascii="Times New Roman" w:hAnsi="Times New Roman"/>
                <w:color w:val="000000"/>
                <w:sz w:val="22"/>
                <w:szCs w:val="22"/>
                <w:lang w:val="es-AR" w:eastAsia="es-AR"/>
              </w:rPr>
            </w:pPr>
            <w:r w:rsidRPr="00BB1F0F">
              <w:rPr>
                <w:rFonts w:ascii="Times New Roman" w:hAnsi="Times New Roman"/>
                <w:color w:val="000000"/>
                <w:sz w:val="22"/>
                <w:szCs w:val="22"/>
                <w:lang w:val="es-AR" w:eastAsia="es-AR"/>
              </w:rPr>
              <w:t>37%</w:t>
            </w:r>
          </w:p>
        </w:tc>
      </w:tr>
      <w:tr w:rsidR="00BB1F0F" w:rsidRPr="00BB1F0F" w:rsidTr="00B34969">
        <w:trPr>
          <w:trHeight w:val="305"/>
          <w:jc w:val="center"/>
        </w:trPr>
        <w:tc>
          <w:tcPr>
            <w:tcW w:w="2075" w:type="dxa"/>
            <w:tcBorders>
              <w:top w:val="nil"/>
              <w:left w:val="nil"/>
              <w:bottom w:val="nil"/>
              <w:right w:val="nil"/>
            </w:tcBorders>
            <w:shd w:val="clear" w:color="000000" w:fill="FFFFFF"/>
            <w:noWrap/>
            <w:vAlign w:val="bottom"/>
            <w:hideMark/>
          </w:tcPr>
          <w:p w:rsidR="00BB1F0F" w:rsidRPr="00BB1F0F" w:rsidRDefault="00BB1F0F" w:rsidP="00BB1F0F">
            <w:pPr>
              <w:rPr>
                <w:rFonts w:ascii="Times New Roman" w:hAnsi="Times New Roman"/>
                <w:b/>
                <w:bCs/>
                <w:color w:val="000000"/>
                <w:sz w:val="22"/>
                <w:szCs w:val="22"/>
                <w:lang w:val="es-AR" w:eastAsia="es-AR"/>
              </w:rPr>
            </w:pPr>
            <w:r w:rsidRPr="00BB1F0F">
              <w:rPr>
                <w:rFonts w:ascii="Times New Roman" w:hAnsi="Times New Roman"/>
                <w:b/>
                <w:bCs/>
                <w:color w:val="000000"/>
                <w:sz w:val="22"/>
                <w:szCs w:val="22"/>
                <w:lang w:val="es-AR" w:eastAsia="es-AR"/>
              </w:rPr>
              <w:t>Pacífico LAC Prom</w:t>
            </w:r>
          </w:p>
        </w:tc>
        <w:tc>
          <w:tcPr>
            <w:tcW w:w="1840" w:type="dxa"/>
            <w:tcBorders>
              <w:top w:val="nil"/>
              <w:left w:val="nil"/>
              <w:bottom w:val="nil"/>
              <w:right w:val="nil"/>
            </w:tcBorders>
            <w:shd w:val="clear" w:color="000000" w:fill="FFFFFF"/>
            <w:noWrap/>
            <w:vAlign w:val="center"/>
            <w:hideMark/>
          </w:tcPr>
          <w:p w:rsidR="00BB1F0F" w:rsidRPr="00BB1F0F" w:rsidRDefault="00BB1F0F" w:rsidP="00BB1F0F">
            <w:pPr>
              <w:rPr>
                <w:rFonts w:ascii="Times New Roman" w:hAnsi="Times New Roman"/>
                <w:b/>
                <w:bCs/>
                <w:color w:val="000000"/>
                <w:sz w:val="22"/>
                <w:szCs w:val="22"/>
                <w:lang w:val="es-AR" w:eastAsia="es-AR"/>
              </w:rPr>
            </w:pPr>
            <w:r w:rsidRPr="00BB1F0F">
              <w:rPr>
                <w:rFonts w:ascii="Times New Roman" w:hAnsi="Times New Roman"/>
                <w:b/>
                <w:bCs/>
                <w:color w:val="000000"/>
                <w:sz w:val="22"/>
                <w:szCs w:val="22"/>
                <w:lang w:val="es-AR" w:eastAsia="es-AR"/>
              </w:rPr>
              <w:t xml:space="preserve">                    742 </w:t>
            </w:r>
          </w:p>
        </w:tc>
        <w:tc>
          <w:tcPr>
            <w:tcW w:w="1712" w:type="dxa"/>
            <w:tcBorders>
              <w:top w:val="nil"/>
              <w:left w:val="nil"/>
              <w:bottom w:val="nil"/>
              <w:right w:val="nil"/>
            </w:tcBorders>
            <w:shd w:val="clear" w:color="000000" w:fill="FFFFFF"/>
            <w:noWrap/>
            <w:vAlign w:val="center"/>
            <w:hideMark/>
          </w:tcPr>
          <w:p w:rsidR="00BB1F0F" w:rsidRPr="00BB1F0F" w:rsidRDefault="00BB1F0F" w:rsidP="00BB1F0F">
            <w:pPr>
              <w:rPr>
                <w:rFonts w:ascii="Times New Roman" w:hAnsi="Times New Roman"/>
                <w:b/>
                <w:bCs/>
                <w:color w:val="000000"/>
                <w:sz w:val="22"/>
                <w:szCs w:val="22"/>
                <w:lang w:val="es-AR" w:eastAsia="es-AR"/>
              </w:rPr>
            </w:pPr>
            <w:r w:rsidRPr="00BB1F0F">
              <w:rPr>
                <w:rFonts w:ascii="Times New Roman" w:hAnsi="Times New Roman"/>
                <w:b/>
                <w:bCs/>
                <w:color w:val="000000"/>
                <w:sz w:val="22"/>
                <w:szCs w:val="22"/>
                <w:lang w:val="es-AR" w:eastAsia="es-AR"/>
              </w:rPr>
              <w:t xml:space="preserve">               2.219 </w:t>
            </w:r>
          </w:p>
        </w:tc>
        <w:tc>
          <w:tcPr>
            <w:tcW w:w="1262" w:type="dxa"/>
            <w:tcBorders>
              <w:top w:val="nil"/>
              <w:left w:val="nil"/>
              <w:bottom w:val="nil"/>
              <w:right w:val="nil"/>
            </w:tcBorders>
            <w:shd w:val="clear" w:color="000000" w:fill="FFFFFF"/>
            <w:noWrap/>
            <w:vAlign w:val="center"/>
            <w:hideMark/>
          </w:tcPr>
          <w:p w:rsidR="00BB1F0F" w:rsidRPr="00BB1F0F" w:rsidRDefault="00BB1F0F" w:rsidP="00BB1F0F">
            <w:pPr>
              <w:jc w:val="right"/>
              <w:rPr>
                <w:rFonts w:ascii="Times New Roman" w:hAnsi="Times New Roman"/>
                <w:b/>
                <w:bCs/>
                <w:color w:val="000000"/>
                <w:sz w:val="22"/>
                <w:szCs w:val="22"/>
                <w:lang w:val="es-AR" w:eastAsia="es-AR"/>
              </w:rPr>
            </w:pPr>
            <w:r w:rsidRPr="00BB1F0F">
              <w:rPr>
                <w:rFonts w:ascii="Times New Roman" w:hAnsi="Times New Roman"/>
                <w:b/>
                <w:bCs/>
                <w:color w:val="000000"/>
                <w:sz w:val="22"/>
                <w:szCs w:val="22"/>
                <w:lang w:val="es-AR" w:eastAsia="es-AR"/>
              </w:rPr>
              <w:t>33%</w:t>
            </w:r>
          </w:p>
        </w:tc>
      </w:tr>
    </w:tbl>
    <w:p w:rsidR="00BB1F0F" w:rsidRDefault="00BB1F0F" w:rsidP="00B34969">
      <w:pPr>
        <w:jc w:val="both"/>
        <w:rPr>
          <w:rFonts w:ascii="Times New Roman" w:hAnsi="Times New Roman"/>
          <w:i/>
          <w:lang w:val="es-ES_tradnl"/>
        </w:rPr>
      </w:pPr>
      <w:r>
        <w:rPr>
          <w:rFonts w:ascii="Times New Roman" w:hAnsi="Times New Roman"/>
          <w:sz w:val="22"/>
          <w:szCs w:val="22"/>
          <w:lang w:val="es-ES_tradnl"/>
        </w:rPr>
        <w:tab/>
      </w:r>
      <w:r w:rsidRPr="00B34969">
        <w:rPr>
          <w:rFonts w:ascii="Times New Roman" w:hAnsi="Times New Roman"/>
          <w:i/>
          <w:lang w:val="es-ES_tradnl"/>
        </w:rPr>
        <w:t xml:space="preserve">Fuente: </w:t>
      </w:r>
      <w:hyperlink r:id="rId29" w:history="1">
        <w:r w:rsidR="006B0BBA" w:rsidRPr="00B34969">
          <w:rPr>
            <w:rStyle w:val="Hyperlink"/>
            <w:rFonts w:ascii="Times New Roman" w:hAnsi="Times New Roman"/>
            <w:i/>
            <w:lang w:val="es-ES_tradnl"/>
          </w:rPr>
          <w:t>www.preventionewb.net</w:t>
        </w:r>
      </w:hyperlink>
    </w:p>
    <w:p w:rsidR="006B0BBA" w:rsidRPr="00B34969" w:rsidRDefault="006B0BBA" w:rsidP="00B34969">
      <w:pPr>
        <w:jc w:val="both"/>
        <w:rPr>
          <w:rFonts w:ascii="Times New Roman" w:hAnsi="Times New Roman"/>
          <w:i/>
          <w:lang w:val="es-ES_tradnl"/>
        </w:rPr>
      </w:pPr>
    </w:p>
    <w:p w:rsidR="00BB1F0F" w:rsidRPr="00B34969" w:rsidRDefault="00820CEF" w:rsidP="00AD78F4">
      <w:pPr>
        <w:numPr>
          <w:ilvl w:val="1"/>
          <w:numId w:val="24"/>
        </w:numPr>
        <w:jc w:val="both"/>
        <w:rPr>
          <w:rFonts w:ascii="Times New Roman" w:hAnsi="Times New Roman"/>
          <w:sz w:val="22"/>
          <w:szCs w:val="22"/>
          <w:lang w:val="es-ES_tradnl"/>
        </w:rPr>
      </w:pPr>
      <w:r>
        <w:rPr>
          <w:rFonts w:ascii="Times New Roman" w:hAnsi="Times New Roman"/>
          <w:sz w:val="22"/>
          <w:szCs w:val="22"/>
          <w:lang w:val="es-ES"/>
        </w:rPr>
        <w:t>Conforme a las previsiones de los países latinoamericanos del Atlántico Sur, la relación entre la pérdida máxima en ambos rangos considerados es del 33% (para el caso de Ecuador la estimación es menor, equivalente al 24%, aplicándose esa relación en los cálculos presentados en este apartado)</w:t>
      </w:r>
      <w:r w:rsidR="00B34969">
        <w:rPr>
          <w:rStyle w:val="FootnoteReference"/>
          <w:rFonts w:ascii="Times New Roman" w:hAnsi="Times New Roman"/>
          <w:sz w:val="22"/>
          <w:szCs w:val="22"/>
          <w:lang w:val="es-ES"/>
        </w:rPr>
        <w:footnoteReference w:id="60"/>
      </w:r>
      <w:r>
        <w:rPr>
          <w:rFonts w:ascii="Times New Roman" w:hAnsi="Times New Roman"/>
          <w:sz w:val="22"/>
          <w:szCs w:val="22"/>
          <w:lang w:val="es-ES"/>
        </w:rPr>
        <w:t>.</w:t>
      </w:r>
    </w:p>
    <w:p w:rsidR="00820CEF" w:rsidRPr="00B34969" w:rsidRDefault="00820CEF" w:rsidP="00AD78F4">
      <w:pPr>
        <w:numPr>
          <w:ilvl w:val="1"/>
          <w:numId w:val="24"/>
        </w:numPr>
        <w:jc w:val="both"/>
        <w:rPr>
          <w:rFonts w:ascii="Times New Roman" w:hAnsi="Times New Roman"/>
          <w:sz w:val="22"/>
          <w:szCs w:val="22"/>
          <w:lang w:val="es-ES_tradnl"/>
        </w:rPr>
      </w:pPr>
      <w:r>
        <w:rPr>
          <w:rFonts w:ascii="Times New Roman" w:hAnsi="Times New Roman"/>
          <w:sz w:val="22"/>
          <w:szCs w:val="22"/>
          <w:lang w:val="es-ES"/>
        </w:rPr>
        <w:t xml:space="preserve">Teniendo en </w:t>
      </w:r>
      <w:r w:rsidR="00127AE3">
        <w:rPr>
          <w:rFonts w:ascii="Times New Roman" w:hAnsi="Times New Roman"/>
          <w:sz w:val="22"/>
          <w:szCs w:val="22"/>
          <w:lang w:val="es-ES"/>
        </w:rPr>
        <w:t>cuenta</w:t>
      </w:r>
      <w:r>
        <w:rPr>
          <w:rFonts w:ascii="Times New Roman" w:hAnsi="Times New Roman"/>
          <w:sz w:val="22"/>
          <w:szCs w:val="22"/>
          <w:lang w:val="es-ES"/>
        </w:rPr>
        <w:t xml:space="preserve"> este punto de referencia se calcularon los indicadores de retorno estimados. El ratio de Ben</w:t>
      </w:r>
      <w:r w:rsidR="000806B9">
        <w:rPr>
          <w:rFonts w:ascii="Times New Roman" w:hAnsi="Times New Roman"/>
          <w:sz w:val="22"/>
          <w:szCs w:val="22"/>
          <w:lang w:val="es-ES"/>
        </w:rPr>
        <w:t>e</w:t>
      </w:r>
      <w:r>
        <w:rPr>
          <w:rFonts w:ascii="Times New Roman" w:hAnsi="Times New Roman"/>
          <w:sz w:val="22"/>
          <w:szCs w:val="22"/>
          <w:lang w:val="es-ES"/>
        </w:rPr>
        <w:t xml:space="preserve">ficio/Costo (B/C) refleja una relación positiva, </w:t>
      </w:r>
      <w:r w:rsidR="00127AE3">
        <w:rPr>
          <w:rFonts w:ascii="Times New Roman" w:hAnsi="Times New Roman"/>
          <w:sz w:val="22"/>
          <w:szCs w:val="22"/>
          <w:lang w:val="es-ES"/>
        </w:rPr>
        <w:t>observándose</w:t>
      </w:r>
      <w:r>
        <w:rPr>
          <w:rFonts w:ascii="Times New Roman" w:hAnsi="Times New Roman"/>
          <w:sz w:val="22"/>
          <w:szCs w:val="22"/>
          <w:lang w:val="es-ES"/>
        </w:rPr>
        <w:t xml:space="preserve"> como expone el gráfico más abajo que el 7</w:t>
      </w:r>
      <w:r w:rsidR="006B0BBA">
        <w:rPr>
          <w:rFonts w:ascii="Times New Roman" w:hAnsi="Times New Roman"/>
          <w:sz w:val="22"/>
          <w:szCs w:val="22"/>
          <w:lang w:val="es-ES"/>
        </w:rPr>
        <w:t>0.0</w:t>
      </w:r>
      <w:r>
        <w:rPr>
          <w:rFonts w:ascii="Times New Roman" w:hAnsi="Times New Roman"/>
          <w:sz w:val="22"/>
          <w:szCs w:val="22"/>
          <w:lang w:val="es-ES"/>
        </w:rPr>
        <w:t>% de los resultados son superiores a 1, con un valor máximo de 2.95 (</w:t>
      </w:r>
      <w:r w:rsidR="006B0BBA">
        <w:rPr>
          <w:rFonts w:ascii="Times New Roman" w:hAnsi="Times New Roman"/>
          <w:sz w:val="22"/>
          <w:szCs w:val="22"/>
          <w:lang w:val="es-ES"/>
        </w:rPr>
        <w:t>en el Caso Base el 77.4% de los resultados obtenidos alcanzaban valores superiores a 1 con un ratio B/C máximo de 11,7)</w:t>
      </w:r>
      <w:r w:rsidR="008D53A5">
        <w:rPr>
          <w:rFonts w:ascii="Times New Roman" w:hAnsi="Times New Roman"/>
          <w:sz w:val="22"/>
          <w:szCs w:val="22"/>
          <w:lang w:val="es-ES"/>
        </w:rPr>
        <w:t>.</w:t>
      </w:r>
    </w:p>
    <w:p w:rsidR="006B0BBA" w:rsidRPr="00B34969" w:rsidRDefault="006B0BBA" w:rsidP="00B34969">
      <w:pPr>
        <w:ind w:left="432"/>
        <w:jc w:val="both"/>
        <w:rPr>
          <w:rFonts w:ascii="Times New Roman" w:hAnsi="Times New Roman"/>
          <w:sz w:val="22"/>
          <w:szCs w:val="22"/>
          <w:lang w:val="es-ES_tradnl"/>
        </w:rPr>
      </w:pPr>
    </w:p>
    <w:p w:rsidR="006B0BBA" w:rsidRPr="00524585" w:rsidRDefault="006B0BBA" w:rsidP="006B0BBA">
      <w:pPr>
        <w:jc w:val="center"/>
        <w:rPr>
          <w:rFonts w:ascii="Times New Roman" w:hAnsi="Times New Roman"/>
          <w:sz w:val="22"/>
          <w:szCs w:val="22"/>
          <w:lang w:val="es-ES"/>
        </w:rPr>
      </w:pPr>
      <w:r w:rsidRPr="00524585">
        <w:rPr>
          <w:rFonts w:ascii="Times New Roman" w:hAnsi="Times New Roman"/>
          <w:b/>
          <w:sz w:val="22"/>
          <w:szCs w:val="22"/>
          <w:lang w:val="es-ES"/>
        </w:rPr>
        <w:t xml:space="preserve">Figura </w:t>
      </w:r>
      <w:r w:rsidR="00081A23" w:rsidRPr="00524585">
        <w:rPr>
          <w:rFonts w:ascii="Times New Roman" w:hAnsi="Times New Roman"/>
          <w:b/>
          <w:sz w:val="22"/>
          <w:szCs w:val="22"/>
          <w:lang w:val="es-ES"/>
        </w:rPr>
        <w:fldChar w:fldCharType="begin"/>
      </w:r>
      <w:r w:rsidRPr="00524585">
        <w:rPr>
          <w:rFonts w:ascii="Times New Roman" w:hAnsi="Times New Roman"/>
          <w:b/>
          <w:sz w:val="22"/>
          <w:szCs w:val="22"/>
          <w:lang w:val="es-ES"/>
        </w:rPr>
        <w:instrText xml:space="preserve"> SEQ Figura \* ARABIC </w:instrText>
      </w:r>
      <w:r w:rsidR="00081A23" w:rsidRPr="00524585">
        <w:rPr>
          <w:rFonts w:ascii="Times New Roman" w:hAnsi="Times New Roman"/>
          <w:b/>
          <w:sz w:val="22"/>
          <w:szCs w:val="22"/>
          <w:lang w:val="es-ES"/>
        </w:rPr>
        <w:fldChar w:fldCharType="separate"/>
      </w:r>
      <w:r w:rsidR="008D53A5">
        <w:rPr>
          <w:rFonts w:ascii="Times New Roman" w:hAnsi="Times New Roman"/>
          <w:b/>
          <w:noProof/>
          <w:sz w:val="22"/>
          <w:szCs w:val="22"/>
          <w:lang w:val="es-ES"/>
        </w:rPr>
        <w:t>10</w:t>
      </w:r>
      <w:r w:rsidR="00081A23" w:rsidRPr="00524585">
        <w:rPr>
          <w:rFonts w:ascii="Times New Roman" w:hAnsi="Times New Roman"/>
          <w:sz w:val="22"/>
          <w:szCs w:val="22"/>
          <w:lang w:val="es-ES"/>
        </w:rPr>
        <w:fldChar w:fldCharType="end"/>
      </w:r>
      <w:r w:rsidRPr="00524585">
        <w:rPr>
          <w:rFonts w:ascii="Times New Roman" w:hAnsi="Times New Roman"/>
          <w:sz w:val="22"/>
          <w:szCs w:val="22"/>
          <w:lang w:val="es-ES"/>
        </w:rPr>
        <w:t>. Ratio B/C</w:t>
      </w:r>
      <w:r>
        <w:rPr>
          <w:rFonts w:ascii="Times New Roman" w:hAnsi="Times New Roman"/>
          <w:sz w:val="22"/>
          <w:szCs w:val="22"/>
          <w:lang w:val="es-ES"/>
        </w:rPr>
        <w:t xml:space="preserve"> par</w:t>
      </w:r>
      <w:r w:rsidR="00B34969">
        <w:rPr>
          <w:rFonts w:ascii="Times New Roman" w:hAnsi="Times New Roman"/>
          <w:sz w:val="22"/>
          <w:szCs w:val="22"/>
          <w:lang w:val="es-ES"/>
        </w:rPr>
        <w:t>a</w:t>
      </w:r>
      <w:r>
        <w:rPr>
          <w:rFonts w:ascii="Times New Roman" w:hAnsi="Times New Roman"/>
          <w:sz w:val="22"/>
          <w:szCs w:val="22"/>
          <w:lang w:val="es-ES"/>
        </w:rPr>
        <w:t xml:space="preserve"> p 1:250</w:t>
      </w:r>
    </w:p>
    <w:p w:rsidR="006B0BBA" w:rsidRDefault="00406CAE" w:rsidP="00127AE3">
      <w:pPr>
        <w:jc w:val="both"/>
        <w:rPr>
          <w:rFonts w:ascii="Times New Roman" w:hAnsi="Times New Roman"/>
          <w:sz w:val="22"/>
          <w:szCs w:val="22"/>
          <w:lang w:val="es-ES"/>
        </w:rPr>
      </w:pPr>
      <w:r w:rsidRPr="00455FC7">
        <w:rPr>
          <w:rFonts w:ascii="Times New Roman" w:hAnsi="Times New Roman"/>
          <w:noProof/>
          <w:sz w:val="22"/>
          <w:szCs w:val="22"/>
        </w:rPr>
        <w:lastRenderedPageBreak/>
        <w:drawing>
          <wp:inline distT="0" distB="0" distL="0" distR="0" wp14:anchorId="4D6CF0BA" wp14:editId="675BF818">
            <wp:extent cx="5493484" cy="3040083"/>
            <wp:effectExtent l="1905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503093" cy="3045401"/>
                    </a:xfrm>
                    <a:prstGeom prst="rect">
                      <a:avLst/>
                    </a:prstGeom>
                    <a:noFill/>
                    <a:ln>
                      <a:noFill/>
                    </a:ln>
                  </pic:spPr>
                </pic:pic>
              </a:graphicData>
            </a:graphic>
          </wp:inline>
        </w:drawing>
      </w:r>
    </w:p>
    <w:p w:rsidR="00820CEF" w:rsidRPr="00F44D2B" w:rsidRDefault="00820CEF" w:rsidP="00B34969">
      <w:pPr>
        <w:jc w:val="both"/>
        <w:rPr>
          <w:rFonts w:ascii="Times New Roman" w:hAnsi="Times New Roman"/>
          <w:sz w:val="22"/>
          <w:szCs w:val="22"/>
          <w:lang w:val="es-ES_tradnl"/>
        </w:rPr>
      </w:pPr>
    </w:p>
    <w:p w:rsidR="000C2E55" w:rsidRPr="008C1ABC" w:rsidRDefault="000C2E55" w:rsidP="0078407C">
      <w:pPr>
        <w:pStyle w:val="ListParagraph"/>
        <w:ind w:left="432"/>
        <w:jc w:val="center"/>
        <w:rPr>
          <w:rFonts w:ascii="Times New Roman" w:hAnsi="Times New Roman"/>
          <w:lang w:val="es-AR"/>
        </w:rPr>
      </w:pPr>
    </w:p>
    <w:p w:rsidR="00B24085" w:rsidRDefault="00B24085" w:rsidP="00F44D2B">
      <w:pPr>
        <w:jc w:val="both"/>
        <w:rPr>
          <w:rFonts w:ascii="Times New Roman" w:hAnsi="Times New Roman"/>
          <w:sz w:val="22"/>
          <w:szCs w:val="22"/>
          <w:lang w:val="es-ES"/>
        </w:rPr>
      </w:pPr>
    </w:p>
    <w:p w:rsidR="00B71E69" w:rsidRDefault="00B71E69" w:rsidP="00F44D2B">
      <w:pPr>
        <w:jc w:val="both"/>
        <w:rPr>
          <w:rFonts w:ascii="Times New Roman" w:hAnsi="Times New Roman"/>
          <w:sz w:val="22"/>
          <w:szCs w:val="22"/>
          <w:lang w:val="es-ES"/>
        </w:rPr>
      </w:pPr>
    </w:p>
    <w:p w:rsidR="00B71E69" w:rsidRPr="00F44D2B" w:rsidRDefault="00B71E69" w:rsidP="00F44D2B">
      <w:pPr>
        <w:jc w:val="both"/>
        <w:rPr>
          <w:rFonts w:ascii="Times New Roman" w:hAnsi="Times New Roman"/>
          <w:sz w:val="22"/>
          <w:szCs w:val="22"/>
          <w:lang w:val="es-ES"/>
        </w:rPr>
      </w:pPr>
    </w:p>
    <w:p w:rsidR="00B24085" w:rsidRDefault="00B24085" w:rsidP="00B24085">
      <w:pPr>
        <w:pStyle w:val="Heading3"/>
        <w:tabs>
          <w:tab w:val="left" w:pos="6096"/>
        </w:tabs>
        <w:rPr>
          <w:lang w:val="es-ES_tradnl"/>
        </w:rPr>
      </w:pPr>
      <w:bookmarkStart w:id="133" w:name="_Toc465929630"/>
      <w:bookmarkStart w:id="134" w:name="_Toc468199840"/>
      <w:r w:rsidRPr="00B24085">
        <w:rPr>
          <w:lang w:val="es-ES_tradnl"/>
        </w:rPr>
        <w:t>Análisis de sensibilidad</w:t>
      </w:r>
      <w:bookmarkEnd w:id="133"/>
      <w:bookmarkEnd w:id="134"/>
    </w:p>
    <w:p w:rsidR="0078407C" w:rsidRPr="0078407C" w:rsidRDefault="0078407C" w:rsidP="0078407C">
      <w:pPr>
        <w:rPr>
          <w:lang w:val="es-ES_tradnl"/>
        </w:rPr>
      </w:pPr>
    </w:p>
    <w:p w:rsidR="00B24085" w:rsidRPr="00F44D2B" w:rsidRDefault="00B24085" w:rsidP="00AD78F4">
      <w:pPr>
        <w:numPr>
          <w:ilvl w:val="1"/>
          <w:numId w:val="24"/>
        </w:numPr>
        <w:jc w:val="both"/>
        <w:rPr>
          <w:rFonts w:ascii="Times New Roman" w:hAnsi="Times New Roman"/>
          <w:sz w:val="22"/>
          <w:szCs w:val="22"/>
          <w:lang w:val="es-ES_tradnl"/>
        </w:rPr>
      </w:pPr>
      <w:r w:rsidRPr="0078407C">
        <w:rPr>
          <w:rFonts w:ascii="Times New Roman" w:hAnsi="Times New Roman"/>
          <w:sz w:val="22"/>
          <w:szCs w:val="22"/>
          <w:lang w:val="es-ES"/>
        </w:rPr>
        <w:t xml:space="preserve">Asimismo, la Tabla </w:t>
      </w:r>
      <w:r w:rsidR="004B1B6C">
        <w:rPr>
          <w:rFonts w:ascii="Times New Roman" w:hAnsi="Times New Roman"/>
          <w:sz w:val="22"/>
          <w:szCs w:val="22"/>
          <w:lang w:val="es-ES"/>
        </w:rPr>
        <w:t>23</w:t>
      </w:r>
      <w:r w:rsidRPr="0078407C">
        <w:rPr>
          <w:rFonts w:ascii="Times New Roman" w:hAnsi="Times New Roman"/>
          <w:sz w:val="22"/>
          <w:szCs w:val="22"/>
          <w:lang w:val="es-ES"/>
        </w:rPr>
        <w:t xml:space="preserve"> resume ejercicios de sensibilidad  donde las variables inherentes al SAT presentan comportamientos negativos con respecto al </w:t>
      </w:r>
      <w:r w:rsidR="006620C3">
        <w:rPr>
          <w:rFonts w:ascii="Times New Roman" w:hAnsi="Times New Roman"/>
          <w:sz w:val="22"/>
          <w:szCs w:val="22"/>
          <w:lang w:val="es-ES"/>
        </w:rPr>
        <w:t>c</w:t>
      </w:r>
      <w:r w:rsidR="006620C3" w:rsidRPr="0078407C">
        <w:rPr>
          <w:rFonts w:ascii="Times New Roman" w:hAnsi="Times New Roman"/>
          <w:sz w:val="22"/>
          <w:szCs w:val="22"/>
          <w:lang w:val="es-ES"/>
        </w:rPr>
        <w:t xml:space="preserve">aso </w:t>
      </w:r>
      <w:r w:rsidR="006620C3">
        <w:rPr>
          <w:rFonts w:ascii="Times New Roman" w:hAnsi="Times New Roman"/>
          <w:sz w:val="22"/>
          <w:szCs w:val="22"/>
          <w:lang w:val="es-ES"/>
        </w:rPr>
        <w:t>b</w:t>
      </w:r>
      <w:r w:rsidR="006620C3" w:rsidRPr="0078407C">
        <w:rPr>
          <w:rFonts w:ascii="Times New Roman" w:hAnsi="Times New Roman"/>
          <w:sz w:val="22"/>
          <w:szCs w:val="22"/>
          <w:lang w:val="es-ES"/>
        </w:rPr>
        <w:t>ase</w:t>
      </w:r>
      <w:r w:rsidRPr="0078407C">
        <w:rPr>
          <w:rFonts w:ascii="Times New Roman" w:hAnsi="Times New Roman"/>
          <w:sz w:val="22"/>
          <w:szCs w:val="22"/>
          <w:lang w:val="es-ES"/>
        </w:rPr>
        <w:t>.</w:t>
      </w:r>
    </w:p>
    <w:p w:rsidR="00E944D4" w:rsidRPr="00455FC7" w:rsidRDefault="00E944D4" w:rsidP="00F44D2B">
      <w:pPr>
        <w:jc w:val="both"/>
        <w:rPr>
          <w:rFonts w:ascii="Times New Roman" w:hAnsi="Times New Roman"/>
          <w:sz w:val="22"/>
          <w:lang w:val="es-ES_tradnl"/>
        </w:rPr>
      </w:pPr>
    </w:p>
    <w:p w:rsidR="00B24085" w:rsidRPr="008C1ABC" w:rsidRDefault="00B24085" w:rsidP="008005CB">
      <w:pPr>
        <w:pStyle w:val="ListParagraph"/>
        <w:ind w:left="432"/>
        <w:jc w:val="center"/>
        <w:rPr>
          <w:rFonts w:ascii="Times New Roman" w:hAnsi="Times New Roman"/>
          <w:lang w:val="es-AR"/>
        </w:rPr>
      </w:pPr>
      <w:r w:rsidRPr="008C1ABC">
        <w:rPr>
          <w:rFonts w:ascii="Times New Roman" w:hAnsi="Times New Roman"/>
          <w:b/>
          <w:lang w:val="es-AR"/>
        </w:rPr>
        <w:t xml:space="preserve">Tabla </w:t>
      </w:r>
      <w:r w:rsidR="00081A23" w:rsidRPr="008C1ABC">
        <w:rPr>
          <w:rFonts w:ascii="Times New Roman" w:hAnsi="Times New Roman"/>
          <w:b/>
        </w:rPr>
        <w:fldChar w:fldCharType="begin"/>
      </w:r>
      <w:r w:rsidRPr="008C1ABC">
        <w:rPr>
          <w:rFonts w:ascii="Times New Roman" w:hAnsi="Times New Roman"/>
          <w:b/>
          <w:lang w:val="es-AR"/>
        </w:rPr>
        <w:instrText xml:space="preserve"> SEQ Tabla \* ARABIC </w:instrText>
      </w:r>
      <w:r w:rsidR="00081A23" w:rsidRPr="008C1ABC">
        <w:rPr>
          <w:rFonts w:ascii="Times New Roman" w:hAnsi="Times New Roman"/>
          <w:b/>
        </w:rPr>
        <w:fldChar w:fldCharType="separate"/>
      </w:r>
      <w:r w:rsidR="004B1B6C">
        <w:rPr>
          <w:rFonts w:ascii="Times New Roman" w:hAnsi="Times New Roman"/>
          <w:b/>
          <w:noProof/>
          <w:lang w:val="es-AR"/>
        </w:rPr>
        <w:t>23</w:t>
      </w:r>
      <w:r w:rsidR="00081A23" w:rsidRPr="008C1ABC">
        <w:rPr>
          <w:rFonts w:ascii="Times New Roman" w:hAnsi="Times New Roman"/>
          <w:b/>
        </w:rPr>
        <w:fldChar w:fldCharType="end"/>
      </w:r>
      <w:r w:rsidRPr="008C1ABC">
        <w:rPr>
          <w:rFonts w:ascii="Times New Roman" w:hAnsi="Times New Roman"/>
          <w:lang w:val="es-AR"/>
        </w:rPr>
        <w:t xml:space="preserve">. </w:t>
      </w:r>
      <w:r>
        <w:rPr>
          <w:rFonts w:ascii="Times New Roman" w:hAnsi="Times New Roman"/>
          <w:lang w:val="es-AR"/>
        </w:rPr>
        <w:t>Análisis de sensibilidad</w:t>
      </w:r>
      <w:r w:rsidR="006B0BBA">
        <w:rPr>
          <w:rFonts w:ascii="Times New Roman" w:hAnsi="Times New Roman"/>
          <w:lang w:val="es-AR"/>
        </w:rPr>
        <w:t xml:space="preserve"> Caso Base</w:t>
      </w:r>
    </w:p>
    <w:tbl>
      <w:tblPr>
        <w:tblW w:w="7935" w:type="dxa"/>
        <w:tblInd w:w="65" w:type="dxa"/>
        <w:tblCellMar>
          <w:left w:w="70" w:type="dxa"/>
          <w:right w:w="70" w:type="dxa"/>
        </w:tblCellMar>
        <w:tblLook w:val="04A0" w:firstRow="1" w:lastRow="0" w:firstColumn="1" w:lastColumn="0" w:noHBand="0" w:noVBand="1"/>
      </w:tblPr>
      <w:tblGrid>
        <w:gridCol w:w="3672"/>
        <w:gridCol w:w="1421"/>
        <w:gridCol w:w="1421"/>
        <w:gridCol w:w="1421"/>
      </w:tblGrid>
      <w:tr w:rsidR="00F44D2B" w:rsidRPr="00F44D2B" w:rsidTr="00F44D2B">
        <w:trPr>
          <w:trHeight w:val="552"/>
        </w:trPr>
        <w:tc>
          <w:tcPr>
            <w:tcW w:w="36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44D2B" w:rsidRPr="00F44D2B" w:rsidRDefault="00F44D2B" w:rsidP="00F44D2B">
            <w:pPr>
              <w:rPr>
                <w:rFonts w:ascii="Times New Roman" w:hAnsi="Times New Roman"/>
                <w:b/>
                <w:bCs/>
                <w:color w:val="000000"/>
                <w:sz w:val="22"/>
                <w:szCs w:val="22"/>
                <w:lang w:val="es-AR" w:eastAsia="es-AR"/>
              </w:rPr>
            </w:pPr>
            <w:r w:rsidRPr="00F44D2B">
              <w:rPr>
                <w:rFonts w:ascii="Times New Roman" w:hAnsi="Times New Roman"/>
                <w:b/>
                <w:bCs/>
                <w:color w:val="000000"/>
                <w:sz w:val="22"/>
                <w:szCs w:val="22"/>
                <w:lang w:val="es-AR" w:eastAsia="es-AR"/>
              </w:rPr>
              <w:t xml:space="preserve">Sensibilidad </w:t>
            </w:r>
            <w:r w:rsidR="008D53A5">
              <w:rPr>
                <w:rFonts w:ascii="Times New Roman" w:hAnsi="Times New Roman"/>
                <w:b/>
                <w:bCs/>
                <w:color w:val="000000"/>
                <w:sz w:val="22"/>
                <w:szCs w:val="22"/>
                <w:lang w:val="es-AR" w:eastAsia="es-AR"/>
              </w:rPr>
              <w:t xml:space="preserve"> p 1:500</w:t>
            </w:r>
          </w:p>
        </w:tc>
        <w:tc>
          <w:tcPr>
            <w:tcW w:w="1421" w:type="dxa"/>
            <w:tcBorders>
              <w:top w:val="single" w:sz="4" w:space="0" w:color="auto"/>
              <w:left w:val="nil"/>
              <w:bottom w:val="single" w:sz="4" w:space="0" w:color="auto"/>
              <w:right w:val="single" w:sz="4" w:space="0" w:color="auto"/>
            </w:tcBorders>
            <w:shd w:val="clear" w:color="000000" w:fill="FFFFFF"/>
            <w:noWrap/>
            <w:vAlign w:val="center"/>
            <w:hideMark/>
          </w:tcPr>
          <w:p w:rsidR="00F44D2B" w:rsidRPr="00F44D2B" w:rsidRDefault="00F44D2B" w:rsidP="00F44D2B">
            <w:pPr>
              <w:jc w:val="center"/>
              <w:rPr>
                <w:rFonts w:ascii="Times New Roman" w:hAnsi="Times New Roman"/>
                <w:b/>
                <w:bCs/>
                <w:color w:val="000000"/>
                <w:sz w:val="22"/>
                <w:szCs w:val="22"/>
                <w:lang w:val="es-AR" w:eastAsia="es-AR"/>
              </w:rPr>
            </w:pPr>
            <w:r w:rsidRPr="00F44D2B">
              <w:rPr>
                <w:rFonts w:ascii="Times New Roman" w:hAnsi="Times New Roman"/>
                <w:b/>
                <w:bCs/>
                <w:color w:val="000000"/>
                <w:sz w:val="22"/>
                <w:szCs w:val="22"/>
                <w:lang w:val="es-AR" w:eastAsia="es-AR"/>
              </w:rPr>
              <w:t>TIR</w:t>
            </w:r>
          </w:p>
        </w:tc>
        <w:tc>
          <w:tcPr>
            <w:tcW w:w="1421" w:type="dxa"/>
            <w:tcBorders>
              <w:top w:val="single" w:sz="4" w:space="0" w:color="auto"/>
              <w:left w:val="nil"/>
              <w:bottom w:val="single" w:sz="4" w:space="0" w:color="auto"/>
              <w:right w:val="single" w:sz="4" w:space="0" w:color="auto"/>
            </w:tcBorders>
            <w:shd w:val="clear" w:color="000000" w:fill="FFFFFF"/>
            <w:vAlign w:val="center"/>
            <w:hideMark/>
          </w:tcPr>
          <w:p w:rsidR="00F44D2B" w:rsidRPr="00F44D2B" w:rsidRDefault="00F44D2B" w:rsidP="00F44D2B">
            <w:pPr>
              <w:jc w:val="center"/>
              <w:rPr>
                <w:rFonts w:ascii="Times New Roman" w:hAnsi="Times New Roman"/>
                <w:b/>
                <w:bCs/>
                <w:color w:val="000000"/>
                <w:sz w:val="22"/>
                <w:szCs w:val="22"/>
                <w:lang w:val="es-AR" w:eastAsia="es-AR"/>
              </w:rPr>
            </w:pPr>
            <w:r w:rsidRPr="00F44D2B">
              <w:rPr>
                <w:rFonts w:ascii="Times New Roman" w:hAnsi="Times New Roman"/>
                <w:b/>
                <w:bCs/>
                <w:color w:val="000000"/>
                <w:sz w:val="22"/>
                <w:szCs w:val="22"/>
                <w:lang w:val="es-AR" w:eastAsia="es-AR"/>
              </w:rPr>
              <w:t>VAN US$ Millones</w:t>
            </w:r>
          </w:p>
        </w:tc>
        <w:tc>
          <w:tcPr>
            <w:tcW w:w="1421" w:type="dxa"/>
            <w:tcBorders>
              <w:top w:val="single" w:sz="4" w:space="0" w:color="auto"/>
              <w:left w:val="nil"/>
              <w:bottom w:val="single" w:sz="4" w:space="0" w:color="auto"/>
              <w:right w:val="single" w:sz="4" w:space="0" w:color="auto"/>
            </w:tcBorders>
            <w:shd w:val="clear" w:color="000000" w:fill="FFFFFF"/>
            <w:noWrap/>
            <w:vAlign w:val="center"/>
            <w:hideMark/>
          </w:tcPr>
          <w:p w:rsidR="00F44D2B" w:rsidRPr="00F44D2B" w:rsidRDefault="00F44D2B" w:rsidP="00F44D2B">
            <w:pPr>
              <w:jc w:val="center"/>
              <w:rPr>
                <w:rFonts w:ascii="Times New Roman" w:hAnsi="Times New Roman"/>
                <w:b/>
                <w:bCs/>
                <w:color w:val="000000"/>
                <w:sz w:val="22"/>
                <w:szCs w:val="22"/>
                <w:lang w:val="es-AR" w:eastAsia="es-AR"/>
              </w:rPr>
            </w:pPr>
            <w:r w:rsidRPr="00F44D2B">
              <w:rPr>
                <w:rFonts w:ascii="Times New Roman" w:hAnsi="Times New Roman"/>
                <w:b/>
                <w:bCs/>
                <w:color w:val="000000"/>
                <w:sz w:val="22"/>
                <w:szCs w:val="22"/>
                <w:lang w:val="es-AR" w:eastAsia="es-AR"/>
              </w:rPr>
              <w:t>Ratio B/C</w:t>
            </w:r>
          </w:p>
        </w:tc>
      </w:tr>
      <w:tr w:rsidR="00F44D2B" w:rsidRPr="00F44D2B" w:rsidTr="00F44D2B">
        <w:trPr>
          <w:trHeight w:val="538"/>
        </w:trPr>
        <w:tc>
          <w:tcPr>
            <w:tcW w:w="3672" w:type="dxa"/>
            <w:tcBorders>
              <w:top w:val="single" w:sz="4" w:space="0" w:color="auto"/>
              <w:left w:val="nil"/>
              <w:bottom w:val="single" w:sz="4" w:space="0" w:color="auto"/>
              <w:right w:val="nil"/>
            </w:tcBorders>
            <w:shd w:val="clear" w:color="000000" w:fill="FFFFFF"/>
            <w:vAlign w:val="center"/>
            <w:hideMark/>
          </w:tcPr>
          <w:p w:rsidR="00F44D2B" w:rsidRPr="00F44D2B" w:rsidRDefault="00F44D2B" w:rsidP="006620C3">
            <w:pPr>
              <w:jc w:val="center"/>
              <w:rPr>
                <w:rFonts w:ascii="Times New Roman" w:hAnsi="Times New Roman"/>
                <w:color w:val="000000"/>
                <w:sz w:val="22"/>
                <w:szCs w:val="22"/>
                <w:lang w:val="es-AR" w:eastAsia="es-AR"/>
              </w:rPr>
            </w:pPr>
            <w:r w:rsidRPr="00F44D2B">
              <w:rPr>
                <w:rFonts w:ascii="Times New Roman" w:hAnsi="Times New Roman"/>
                <w:color w:val="000000"/>
                <w:sz w:val="22"/>
                <w:szCs w:val="22"/>
                <w:lang w:val="es-AR" w:eastAsia="es-AR"/>
              </w:rPr>
              <w:t xml:space="preserve">Caso </w:t>
            </w:r>
            <w:r w:rsidR="006620C3">
              <w:rPr>
                <w:rFonts w:ascii="Times New Roman" w:hAnsi="Times New Roman"/>
                <w:color w:val="000000"/>
                <w:sz w:val="22"/>
                <w:szCs w:val="22"/>
                <w:lang w:val="es-AR" w:eastAsia="es-AR"/>
              </w:rPr>
              <w:t>b</w:t>
            </w:r>
            <w:r w:rsidR="006620C3" w:rsidRPr="00F44D2B">
              <w:rPr>
                <w:rFonts w:ascii="Times New Roman" w:hAnsi="Times New Roman"/>
                <w:color w:val="000000"/>
                <w:sz w:val="22"/>
                <w:szCs w:val="22"/>
                <w:lang w:val="es-AR" w:eastAsia="es-AR"/>
              </w:rPr>
              <w:t xml:space="preserve">ase                              </w:t>
            </w:r>
            <w:r w:rsidR="006620C3">
              <w:rPr>
                <w:rFonts w:ascii="Times New Roman" w:hAnsi="Times New Roman"/>
                <w:color w:val="000000"/>
                <w:sz w:val="22"/>
                <w:szCs w:val="22"/>
                <w:lang w:val="es-AR" w:eastAsia="es-AR"/>
              </w:rPr>
              <w:t xml:space="preserve">       </w:t>
            </w:r>
            <w:r w:rsidR="006620C3" w:rsidRPr="00F44D2B">
              <w:rPr>
                <w:rFonts w:ascii="Times New Roman" w:hAnsi="Times New Roman"/>
                <w:color w:val="000000"/>
                <w:lang w:val="es-AR" w:eastAsia="es-AR"/>
              </w:rPr>
              <w:t xml:space="preserve">  </w:t>
            </w:r>
            <w:r w:rsidRPr="00F44D2B">
              <w:rPr>
                <w:rFonts w:ascii="Times New Roman" w:hAnsi="Times New Roman"/>
                <w:color w:val="000000"/>
                <w:lang w:val="es-AR" w:eastAsia="es-AR"/>
              </w:rPr>
              <w:t>(Benef Vida 45% - Bienes: 30-40%)</w:t>
            </w:r>
          </w:p>
        </w:tc>
        <w:tc>
          <w:tcPr>
            <w:tcW w:w="1421" w:type="dxa"/>
            <w:tcBorders>
              <w:top w:val="single" w:sz="4" w:space="0" w:color="auto"/>
              <w:left w:val="nil"/>
              <w:bottom w:val="single" w:sz="4" w:space="0" w:color="auto"/>
              <w:right w:val="nil"/>
            </w:tcBorders>
            <w:shd w:val="clear" w:color="000000" w:fill="FFFFFF"/>
            <w:noWrap/>
            <w:vAlign w:val="center"/>
            <w:hideMark/>
          </w:tcPr>
          <w:p w:rsidR="00F44D2B" w:rsidRPr="00F44D2B" w:rsidRDefault="00F44D2B" w:rsidP="00F87F41">
            <w:pPr>
              <w:jc w:val="center"/>
              <w:rPr>
                <w:rFonts w:ascii="Times New Roman" w:hAnsi="Times New Roman"/>
                <w:color w:val="000000"/>
                <w:sz w:val="22"/>
                <w:szCs w:val="22"/>
                <w:lang w:val="es-AR" w:eastAsia="es-AR"/>
              </w:rPr>
            </w:pPr>
            <w:r w:rsidRPr="00F44D2B">
              <w:rPr>
                <w:rFonts w:ascii="Times New Roman" w:hAnsi="Times New Roman"/>
                <w:color w:val="000000"/>
                <w:sz w:val="22"/>
                <w:szCs w:val="22"/>
                <w:lang w:val="es-AR" w:eastAsia="es-AR"/>
              </w:rPr>
              <w:t>2</w:t>
            </w:r>
            <w:r w:rsidR="00F87F41">
              <w:rPr>
                <w:rFonts w:ascii="Times New Roman" w:hAnsi="Times New Roman"/>
                <w:color w:val="000000"/>
                <w:sz w:val="22"/>
                <w:szCs w:val="22"/>
                <w:lang w:val="es-AR" w:eastAsia="es-AR"/>
              </w:rPr>
              <w:t>7</w:t>
            </w:r>
            <w:r w:rsidRPr="00F44D2B">
              <w:rPr>
                <w:rFonts w:ascii="Times New Roman" w:hAnsi="Times New Roman"/>
                <w:color w:val="000000"/>
                <w:sz w:val="22"/>
                <w:szCs w:val="22"/>
                <w:lang w:val="es-AR" w:eastAsia="es-AR"/>
              </w:rPr>
              <w:t>%</w:t>
            </w:r>
          </w:p>
        </w:tc>
        <w:tc>
          <w:tcPr>
            <w:tcW w:w="1421" w:type="dxa"/>
            <w:tcBorders>
              <w:top w:val="single" w:sz="4" w:space="0" w:color="auto"/>
              <w:left w:val="nil"/>
              <w:bottom w:val="single" w:sz="4" w:space="0" w:color="auto"/>
              <w:right w:val="nil"/>
            </w:tcBorders>
            <w:shd w:val="clear" w:color="000000" w:fill="FFFFFF"/>
            <w:noWrap/>
            <w:vAlign w:val="center"/>
            <w:hideMark/>
          </w:tcPr>
          <w:p w:rsidR="00F44D2B" w:rsidRPr="00F44D2B" w:rsidRDefault="00F44D2B" w:rsidP="00F87F41">
            <w:pPr>
              <w:jc w:val="center"/>
              <w:rPr>
                <w:rFonts w:ascii="Times New Roman" w:hAnsi="Times New Roman"/>
                <w:color w:val="000000"/>
                <w:sz w:val="22"/>
                <w:szCs w:val="22"/>
                <w:lang w:val="es-AR" w:eastAsia="es-AR"/>
              </w:rPr>
            </w:pPr>
            <w:r w:rsidRPr="00F44D2B">
              <w:rPr>
                <w:rFonts w:ascii="Times New Roman" w:hAnsi="Times New Roman"/>
                <w:color w:val="000000"/>
                <w:sz w:val="22"/>
                <w:szCs w:val="22"/>
                <w:lang w:val="es-AR" w:eastAsia="es-AR"/>
              </w:rPr>
              <w:t>20,</w:t>
            </w:r>
            <w:r w:rsidR="00F87F41">
              <w:rPr>
                <w:rFonts w:ascii="Times New Roman" w:hAnsi="Times New Roman"/>
                <w:color w:val="000000"/>
                <w:sz w:val="22"/>
                <w:szCs w:val="22"/>
                <w:lang w:val="es-AR" w:eastAsia="es-AR"/>
              </w:rPr>
              <w:t>7</w:t>
            </w:r>
          </w:p>
        </w:tc>
        <w:tc>
          <w:tcPr>
            <w:tcW w:w="1421" w:type="dxa"/>
            <w:tcBorders>
              <w:top w:val="single" w:sz="4" w:space="0" w:color="auto"/>
              <w:left w:val="nil"/>
              <w:bottom w:val="single" w:sz="4" w:space="0" w:color="auto"/>
              <w:right w:val="nil"/>
            </w:tcBorders>
            <w:shd w:val="clear" w:color="000000" w:fill="FFFFFF"/>
            <w:noWrap/>
            <w:vAlign w:val="center"/>
            <w:hideMark/>
          </w:tcPr>
          <w:p w:rsidR="00F44D2B" w:rsidRPr="00F44D2B" w:rsidRDefault="00F44D2B" w:rsidP="00F44D2B">
            <w:pPr>
              <w:jc w:val="center"/>
              <w:rPr>
                <w:rFonts w:ascii="Times New Roman" w:hAnsi="Times New Roman"/>
                <w:color w:val="000000"/>
                <w:sz w:val="22"/>
                <w:szCs w:val="22"/>
                <w:lang w:val="es-AR" w:eastAsia="es-AR"/>
              </w:rPr>
            </w:pPr>
            <w:r w:rsidRPr="00F44D2B">
              <w:rPr>
                <w:rFonts w:ascii="Times New Roman" w:hAnsi="Times New Roman"/>
                <w:color w:val="000000"/>
                <w:sz w:val="22"/>
                <w:szCs w:val="22"/>
                <w:lang w:val="es-AR" w:eastAsia="es-AR"/>
              </w:rPr>
              <w:t>1,99</w:t>
            </w:r>
          </w:p>
        </w:tc>
      </w:tr>
      <w:tr w:rsidR="00F44D2B" w:rsidRPr="00F44D2B" w:rsidTr="00F44D2B">
        <w:trPr>
          <w:trHeight w:val="538"/>
        </w:trPr>
        <w:tc>
          <w:tcPr>
            <w:tcW w:w="3672" w:type="dxa"/>
            <w:tcBorders>
              <w:top w:val="single" w:sz="4" w:space="0" w:color="auto"/>
              <w:left w:val="nil"/>
              <w:bottom w:val="single" w:sz="4" w:space="0" w:color="auto"/>
              <w:right w:val="nil"/>
            </w:tcBorders>
            <w:shd w:val="clear" w:color="000000" w:fill="FFFFFF"/>
            <w:vAlign w:val="center"/>
            <w:hideMark/>
          </w:tcPr>
          <w:p w:rsidR="00F44D2B" w:rsidRPr="00F44D2B" w:rsidRDefault="00F44D2B" w:rsidP="006620C3">
            <w:pPr>
              <w:jc w:val="center"/>
              <w:rPr>
                <w:rFonts w:ascii="Times New Roman" w:hAnsi="Times New Roman"/>
                <w:color w:val="000000"/>
                <w:sz w:val="22"/>
                <w:szCs w:val="22"/>
                <w:lang w:val="es-AR" w:eastAsia="es-AR"/>
              </w:rPr>
            </w:pPr>
            <w:r w:rsidRPr="00F44D2B">
              <w:rPr>
                <w:rFonts w:ascii="Times New Roman" w:hAnsi="Times New Roman"/>
                <w:color w:val="000000"/>
                <w:sz w:val="22"/>
                <w:szCs w:val="22"/>
                <w:lang w:val="es-AR" w:eastAsia="es-AR"/>
              </w:rPr>
              <w:t xml:space="preserve">Reducción </w:t>
            </w:r>
            <w:r w:rsidR="006620C3">
              <w:rPr>
                <w:rFonts w:ascii="Times New Roman" w:hAnsi="Times New Roman"/>
                <w:color w:val="000000"/>
                <w:sz w:val="22"/>
                <w:szCs w:val="22"/>
                <w:lang w:val="es-AR" w:eastAsia="es-AR"/>
              </w:rPr>
              <w:t>del b</w:t>
            </w:r>
            <w:r w:rsidR="006620C3" w:rsidRPr="00F44D2B">
              <w:rPr>
                <w:rFonts w:ascii="Times New Roman" w:hAnsi="Times New Roman"/>
                <w:color w:val="000000"/>
                <w:sz w:val="22"/>
                <w:szCs w:val="22"/>
                <w:lang w:val="es-AR" w:eastAsia="es-AR"/>
              </w:rPr>
              <w:t>eneficio</w:t>
            </w:r>
            <w:r w:rsidR="006620C3">
              <w:rPr>
                <w:rFonts w:ascii="Times New Roman" w:hAnsi="Times New Roman"/>
                <w:color w:val="000000"/>
                <w:sz w:val="22"/>
                <w:szCs w:val="22"/>
                <w:lang w:val="es-AR" w:eastAsia="es-AR"/>
              </w:rPr>
              <w:t xml:space="preserve"> del</w:t>
            </w:r>
            <w:r w:rsidR="006620C3" w:rsidRPr="00F44D2B">
              <w:rPr>
                <w:rFonts w:ascii="Times New Roman" w:hAnsi="Times New Roman"/>
                <w:color w:val="000000"/>
                <w:sz w:val="22"/>
                <w:szCs w:val="22"/>
                <w:lang w:val="es-AR" w:eastAsia="es-AR"/>
              </w:rPr>
              <w:t xml:space="preserve"> </w:t>
            </w:r>
            <w:r w:rsidRPr="00F44D2B">
              <w:rPr>
                <w:rFonts w:ascii="Times New Roman" w:hAnsi="Times New Roman"/>
                <w:color w:val="000000"/>
                <w:sz w:val="22"/>
                <w:szCs w:val="22"/>
                <w:lang w:val="es-AR" w:eastAsia="es-AR"/>
              </w:rPr>
              <w:t xml:space="preserve">SAT                              </w:t>
            </w:r>
            <w:r w:rsidRPr="00F44D2B">
              <w:rPr>
                <w:rFonts w:ascii="Times New Roman" w:hAnsi="Times New Roman"/>
                <w:color w:val="000000"/>
                <w:lang w:val="es-AR" w:eastAsia="es-AR"/>
              </w:rPr>
              <w:t xml:space="preserve">  (Benef Vida 32% - Bienes: 18-24%)</w:t>
            </w:r>
          </w:p>
        </w:tc>
        <w:tc>
          <w:tcPr>
            <w:tcW w:w="1421" w:type="dxa"/>
            <w:tcBorders>
              <w:top w:val="single" w:sz="4" w:space="0" w:color="auto"/>
              <w:left w:val="nil"/>
              <w:bottom w:val="single" w:sz="4" w:space="0" w:color="auto"/>
              <w:right w:val="nil"/>
            </w:tcBorders>
            <w:shd w:val="clear" w:color="000000" w:fill="FFFFFF"/>
            <w:noWrap/>
            <w:vAlign w:val="center"/>
            <w:hideMark/>
          </w:tcPr>
          <w:p w:rsidR="00F44D2B" w:rsidRPr="00F44D2B" w:rsidRDefault="00F44D2B" w:rsidP="00F44D2B">
            <w:pPr>
              <w:jc w:val="center"/>
              <w:rPr>
                <w:rFonts w:ascii="Times New Roman" w:hAnsi="Times New Roman"/>
                <w:color w:val="000000"/>
                <w:sz w:val="22"/>
                <w:szCs w:val="22"/>
                <w:lang w:val="es-AR" w:eastAsia="es-AR"/>
              </w:rPr>
            </w:pPr>
            <w:r w:rsidRPr="00F44D2B">
              <w:rPr>
                <w:rFonts w:ascii="Times New Roman" w:hAnsi="Times New Roman"/>
                <w:color w:val="000000"/>
                <w:sz w:val="22"/>
                <w:szCs w:val="22"/>
                <w:lang w:val="es-AR" w:eastAsia="es-AR"/>
              </w:rPr>
              <w:t>20%</w:t>
            </w:r>
          </w:p>
        </w:tc>
        <w:tc>
          <w:tcPr>
            <w:tcW w:w="1421" w:type="dxa"/>
            <w:tcBorders>
              <w:top w:val="single" w:sz="4" w:space="0" w:color="auto"/>
              <w:left w:val="nil"/>
              <w:bottom w:val="single" w:sz="4" w:space="0" w:color="auto"/>
              <w:right w:val="nil"/>
            </w:tcBorders>
            <w:shd w:val="clear" w:color="000000" w:fill="FFFFFF"/>
            <w:noWrap/>
            <w:vAlign w:val="center"/>
            <w:hideMark/>
          </w:tcPr>
          <w:p w:rsidR="00F44D2B" w:rsidRPr="00F44D2B" w:rsidRDefault="00F44D2B" w:rsidP="00F44D2B">
            <w:pPr>
              <w:jc w:val="center"/>
              <w:rPr>
                <w:rFonts w:ascii="Times New Roman" w:hAnsi="Times New Roman"/>
                <w:color w:val="000000"/>
                <w:sz w:val="22"/>
                <w:szCs w:val="22"/>
                <w:lang w:val="es-AR" w:eastAsia="es-AR"/>
              </w:rPr>
            </w:pPr>
            <w:r w:rsidRPr="00F44D2B">
              <w:rPr>
                <w:rFonts w:ascii="Times New Roman" w:hAnsi="Times New Roman"/>
                <w:color w:val="000000"/>
                <w:sz w:val="22"/>
                <w:szCs w:val="22"/>
                <w:lang w:val="es-AR" w:eastAsia="es-AR"/>
              </w:rPr>
              <w:t>8,2</w:t>
            </w:r>
          </w:p>
        </w:tc>
        <w:tc>
          <w:tcPr>
            <w:tcW w:w="1421" w:type="dxa"/>
            <w:tcBorders>
              <w:top w:val="single" w:sz="4" w:space="0" w:color="auto"/>
              <w:left w:val="nil"/>
              <w:bottom w:val="single" w:sz="4" w:space="0" w:color="auto"/>
              <w:right w:val="nil"/>
            </w:tcBorders>
            <w:shd w:val="clear" w:color="000000" w:fill="FFFFFF"/>
            <w:noWrap/>
            <w:vAlign w:val="center"/>
            <w:hideMark/>
          </w:tcPr>
          <w:p w:rsidR="00F44D2B" w:rsidRPr="00F44D2B" w:rsidRDefault="00F44D2B" w:rsidP="00F44D2B">
            <w:pPr>
              <w:jc w:val="center"/>
              <w:rPr>
                <w:rFonts w:ascii="Times New Roman" w:hAnsi="Times New Roman"/>
                <w:color w:val="000000"/>
                <w:sz w:val="22"/>
                <w:szCs w:val="22"/>
                <w:lang w:val="es-AR" w:eastAsia="es-AR"/>
              </w:rPr>
            </w:pPr>
            <w:r w:rsidRPr="00F44D2B">
              <w:rPr>
                <w:rFonts w:ascii="Times New Roman" w:hAnsi="Times New Roman"/>
                <w:color w:val="000000"/>
                <w:sz w:val="22"/>
                <w:szCs w:val="22"/>
                <w:lang w:val="es-AR" w:eastAsia="es-AR"/>
              </w:rPr>
              <w:t>1,39</w:t>
            </w:r>
          </w:p>
        </w:tc>
      </w:tr>
      <w:tr w:rsidR="00F44D2B" w:rsidRPr="00F44D2B" w:rsidTr="00F44D2B">
        <w:trPr>
          <w:trHeight w:val="538"/>
        </w:trPr>
        <w:tc>
          <w:tcPr>
            <w:tcW w:w="3672" w:type="dxa"/>
            <w:tcBorders>
              <w:top w:val="single" w:sz="4" w:space="0" w:color="auto"/>
              <w:left w:val="nil"/>
              <w:bottom w:val="single" w:sz="4" w:space="0" w:color="auto"/>
              <w:right w:val="nil"/>
            </w:tcBorders>
            <w:shd w:val="clear" w:color="000000" w:fill="FFFFFF"/>
            <w:vAlign w:val="center"/>
            <w:hideMark/>
          </w:tcPr>
          <w:p w:rsidR="00F44D2B" w:rsidRPr="00F44D2B" w:rsidRDefault="00F44D2B" w:rsidP="00F44D2B">
            <w:pPr>
              <w:jc w:val="center"/>
              <w:rPr>
                <w:rFonts w:ascii="Times New Roman" w:hAnsi="Times New Roman"/>
                <w:color w:val="000000"/>
                <w:sz w:val="22"/>
                <w:szCs w:val="22"/>
                <w:lang w:val="es-AR" w:eastAsia="es-AR"/>
              </w:rPr>
            </w:pPr>
            <w:r w:rsidRPr="00F44D2B">
              <w:rPr>
                <w:rFonts w:ascii="Times New Roman" w:hAnsi="Times New Roman"/>
                <w:color w:val="000000"/>
                <w:sz w:val="22"/>
                <w:szCs w:val="22"/>
                <w:lang w:val="es-AR" w:eastAsia="es-AR"/>
              </w:rPr>
              <w:t xml:space="preserve">Aumento </w:t>
            </w:r>
            <w:r w:rsidR="006620C3">
              <w:rPr>
                <w:rFonts w:ascii="Times New Roman" w:hAnsi="Times New Roman"/>
                <w:color w:val="000000"/>
                <w:sz w:val="22"/>
                <w:szCs w:val="22"/>
                <w:lang w:val="es-AR" w:eastAsia="es-AR"/>
              </w:rPr>
              <w:t>de los c</w:t>
            </w:r>
            <w:r w:rsidRPr="00F44D2B">
              <w:rPr>
                <w:rFonts w:ascii="Times New Roman" w:hAnsi="Times New Roman"/>
                <w:color w:val="000000"/>
                <w:sz w:val="22"/>
                <w:szCs w:val="22"/>
                <w:lang w:val="es-AR" w:eastAsia="es-AR"/>
              </w:rPr>
              <w:t xml:space="preserve">ostos 30%                              </w:t>
            </w:r>
            <w:r w:rsidRPr="00F44D2B">
              <w:rPr>
                <w:rFonts w:ascii="Times New Roman" w:hAnsi="Times New Roman"/>
                <w:color w:val="000000"/>
                <w:lang w:val="es-AR" w:eastAsia="es-AR"/>
              </w:rPr>
              <w:t xml:space="preserve">  (Benef Vida 45% - Bienes: 30-40%)</w:t>
            </w:r>
          </w:p>
        </w:tc>
        <w:tc>
          <w:tcPr>
            <w:tcW w:w="1421" w:type="dxa"/>
            <w:tcBorders>
              <w:top w:val="single" w:sz="4" w:space="0" w:color="auto"/>
              <w:left w:val="nil"/>
              <w:bottom w:val="single" w:sz="4" w:space="0" w:color="auto"/>
              <w:right w:val="nil"/>
            </w:tcBorders>
            <w:shd w:val="clear" w:color="000000" w:fill="FFFFFF"/>
            <w:noWrap/>
            <w:vAlign w:val="center"/>
            <w:hideMark/>
          </w:tcPr>
          <w:p w:rsidR="00F44D2B" w:rsidRPr="00F44D2B" w:rsidRDefault="00F44D2B" w:rsidP="00F44D2B">
            <w:pPr>
              <w:jc w:val="center"/>
              <w:rPr>
                <w:rFonts w:ascii="Times New Roman" w:hAnsi="Times New Roman"/>
                <w:color w:val="000000"/>
                <w:sz w:val="22"/>
                <w:szCs w:val="22"/>
                <w:lang w:val="es-AR" w:eastAsia="es-AR"/>
              </w:rPr>
            </w:pPr>
            <w:r w:rsidRPr="00F44D2B">
              <w:rPr>
                <w:rFonts w:ascii="Times New Roman" w:hAnsi="Times New Roman"/>
                <w:color w:val="000000"/>
                <w:sz w:val="22"/>
                <w:szCs w:val="22"/>
                <w:lang w:val="es-AR" w:eastAsia="es-AR"/>
              </w:rPr>
              <w:t>22%</w:t>
            </w:r>
          </w:p>
        </w:tc>
        <w:tc>
          <w:tcPr>
            <w:tcW w:w="1421" w:type="dxa"/>
            <w:tcBorders>
              <w:top w:val="single" w:sz="4" w:space="0" w:color="auto"/>
              <w:left w:val="nil"/>
              <w:bottom w:val="single" w:sz="4" w:space="0" w:color="auto"/>
              <w:right w:val="nil"/>
            </w:tcBorders>
            <w:shd w:val="clear" w:color="000000" w:fill="FFFFFF"/>
            <w:noWrap/>
            <w:vAlign w:val="center"/>
            <w:hideMark/>
          </w:tcPr>
          <w:p w:rsidR="00F44D2B" w:rsidRPr="00F44D2B" w:rsidRDefault="00F44D2B" w:rsidP="00F44D2B">
            <w:pPr>
              <w:jc w:val="center"/>
              <w:rPr>
                <w:rFonts w:ascii="Times New Roman" w:hAnsi="Times New Roman"/>
                <w:color w:val="000000"/>
                <w:sz w:val="22"/>
                <w:szCs w:val="22"/>
                <w:lang w:val="es-AR" w:eastAsia="es-AR"/>
              </w:rPr>
            </w:pPr>
            <w:r w:rsidRPr="00F44D2B">
              <w:rPr>
                <w:rFonts w:ascii="Times New Roman" w:hAnsi="Times New Roman"/>
                <w:color w:val="000000"/>
                <w:sz w:val="22"/>
                <w:szCs w:val="22"/>
                <w:lang w:val="es-AR" w:eastAsia="es-AR"/>
              </w:rPr>
              <w:t>14,3</w:t>
            </w:r>
          </w:p>
        </w:tc>
        <w:tc>
          <w:tcPr>
            <w:tcW w:w="1421" w:type="dxa"/>
            <w:tcBorders>
              <w:top w:val="single" w:sz="4" w:space="0" w:color="auto"/>
              <w:left w:val="nil"/>
              <w:bottom w:val="single" w:sz="4" w:space="0" w:color="auto"/>
              <w:right w:val="nil"/>
            </w:tcBorders>
            <w:shd w:val="clear" w:color="000000" w:fill="FFFFFF"/>
            <w:noWrap/>
            <w:vAlign w:val="center"/>
            <w:hideMark/>
          </w:tcPr>
          <w:p w:rsidR="00F44D2B" w:rsidRPr="00F44D2B" w:rsidRDefault="00F44D2B" w:rsidP="00F44D2B">
            <w:pPr>
              <w:jc w:val="center"/>
              <w:rPr>
                <w:rFonts w:ascii="Times New Roman" w:hAnsi="Times New Roman"/>
                <w:color w:val="000000"/>
                <w:sz w:val="22"/>
                <w:szCs w:val="22"/>
                <w:lang w:val="es-AR" w:eastAsia="es-AR"/>
              </w:rPr>
            </w:pPr>
            <w:r w:rsidRPr="00F44D2B">
              <w:rPr>
                <w:rFonts w:ascii="Times New Roman" w:hAnsi="Times New Roman"/>
                <w:color w:val="000000"/>
                <w:sz w:val="22"/>
                <w:szCs w:val="22"/>
                <w:lang w:val="es-AR" w:eastAsia="es-AR"/>
              </w:rPr>
              <w:t>1,54</w:t>
            </w:r>
          </w:p>
        </w:tc>
      </w:tr>
    </w:tbl>
    <w:p w:rsidR="0078407C" w:rsidRDefault="0078407C" w:rsidP="00F44D2B">
      <w:pPr>
        <w:jc w:val="both"/>
        <w:rPr>
          <w:rFonts w:ascii="Times New Roman" w:hAnsi="Times New Roman"/>
          <w:sz w:val="22"/>
          <w:lang w:val="es-ES_tradnl"/>
        </w:rPr>
      </w:pPr>
    </w:p>
    <w:p w:rsidR="006B0BBA" w:rsidRDefault="00B24085" w:rsidP="00AD78F4">
      <w:pPr>
        <w:numPr>
          <w:ilvl w:val="1"/>
          <w:numId w:val="24"/>
        </w:numPr>
        <w:jc w:val="both"/>
        <w:rPr>
          <w:rFonts w:ascii="Times New Roman" w:hAnsi="Times New Roman"/>
          <w:sz w:val="22"/>
          <w:lang w:val="es-ES_tradnl"/>
        </w:rPr>
      </w:pPr>
      <w:r w:rsidRPr="0078407C">
        <w:rPr>
          <w:rFonts w:ascii="Times New Roman" w:hAnsi="Times New Roman"/>
          <w:sz w:val="22"/>
          <w:lang w:val="es-ES_tradnl"/>
        </w:rPr>
        <w:t>Se observa que frente a una menor  efectividad del SAT en términos del beneficio esperado en materia de mitigación del desastre (baja respuesta de las Comunidades al alerta) y en caso de  mayor incremento de costos de inversión y recurrentes (cambios tecnológicos que conlleven  erogaciones superiores) los resultados mantienen niveles aceptables.</w:t>
      </w:r>
    </w:p>
    <w:p w:rsidR="006B0BBA" w:rsidRDefault="006B0BBA" w:rsidP="00AD78F4">
      <w:pPr>
        <w:numPr>
          <w:ilvl w:val="1"/>
          <w:numId w:val="24"/>
        </w:numPr>
        <w:jc w:val="both"/>
        <w:rPr>
          <w:rFonts w:ascii="Times New Roman" w:hAnsi="Times New Roman"/>
          <w:sz w:val="22"/>
          <w:lang w:val="es-ES_tradnl"/>
        </w:rPr>
      </w:pPr>
      <w:r w:rsidRPr="006B0BBA">
        <w:rPr>
          <w:rFonts w:ascii="Times New Roman" w:hAnsi="Times New Roman"/>
          <w:sz w:val="22"/>
          <w:lang w:val="es-ES_tradnl"/>
        </w:rPr>
        <w:t xml:space="preserve">Teniendo en cuenta el nivel de incertidumbre de las variables, se complementó el análisis de sensibilidad frente a los Escenarios </w:t>
      </w:r>
      <w:r w:rsidR="009D5323">
        <w:rPr>
          <w:rFonts w:ascii="Times New Roman" w:hAnsi="Times New Roman"/>
          <w:sz w:val="22"/>
          <w:lang w:val="es-ES_tradnl"/>
        </w:rPr>
        <w:t>complementarios</w:t>
      </w:r>
      <w:r>
        <w:rPr>
          <w:rFonts w:ascii="Times New Roman" w:hAnsi="Times New Roman"/>
          <w:sz w:val="22"/>
          <w:lang w:val="es-ES_tradnl"/>
        </w:rPr>
        <w:t xml:space="preserve"> expuestos</w:t>
      </w:r>
      <w:r w:rsidRPr="006B0BBA">
        <w:rPr>
          <w:rFonts w:ascii="Times New Roman" w:hAnsi="Times New Roman"/>
          <w:sz w:val="22"/>
          <w:lang w:val="es-ES_tradnl"/>
        </w:rPr>
        <w:t>. Los resultados se resumen en el siguiente cuadro.</w:t>
      </w:r>
    </w:p>
    <w:p w:rsidR="006B0BBA" w:rsidRDefault="006B0BBA" w:rsidP="00B34969">
      <w:pPr>
        <w:ind w:left="718"/>
        <w:jc w:val="both"/>
        <w:rPr>
          <w:rFonts w:ascii="Times New Roman" w:hAnsi="Times New Roman"/>
          <w:sz w:val="22"/>
          <w:lang w:val="es-ES_tradnl"/>
        </w:rPr>
      </w:pPr>
    </w:p>
    <w:p w:rsidR="006B0BBA" w:rsidRDefault="006B0BBA" w:rsidP="006B0BBA">
      <w:pPr>
        <w:pStyle w:val="ListParagraph"/>
        <w:ind w:left="432"/>
        <w:jc w:val="center"/>
        <w:rPr>
          <w:rFonts w:ascii="Times New Roman" w:hAnsi="Times New Roman"/>
          <w:lang w:val="es-AR"/>
        </w:rPr>
      </w:pPr>
      <w:r w:rsidRPr="008C1ABC">
        <w:rPr>
          <w:rFonts w:ascii="Times New Roman" w:hAnsi="Times New Roman"/>
          <w:b/>
          <w:lang w:val="es-AR"/>
        </w:rPr>
        <w:t xml:space="preserve">Tabla </w:t>
      </w:r>
      <w:r w:rsidR="00081A23" w:rsidRPr="008C1ABC">
        <w:rPr>
          <w:rFonts w:ascii="Times New Roman" w:hAnsi="Times New Roman"/>
          <w:b/>
        </w:rPr>
        <w:fldChar w:fldCharType="begin"/>
      </w:r>
      <w:r w:rsidRPr="008C1ABC">
        <w:rPr>
          <w:rFonts w:ascii="Times New Roman" w:hAnsi="Times New Roman"/>
          <w:b/>
          <w:lang w:val="es-AR"/>
        </w:rPr>
        <w:instrText xml:space="preserve"> SEQ Tabla \* ARABIC </w:instrText>
      </w:r>
      <w:r w:rsidR="00081A23" w:rsidRPr="008C1ABC">
        <w:rPr>
          <w:rFonts w:ascii="Times New Roman" w:hAnsi="Times New Roman"/>
          <w:b/>
        </w:rPr>
        <w:fldChar w:fldCharType="separate"/>
      </w:r>
      <w:r w:rsidR="004B1B6C">
        <w:rPr>
          <w:rFonts w:ascii="Times New Roman" w:hAnsi="Times New Roman"/>
          <w:b/>
          <w:noProof/>
          <w:lang w:val="es-AR"/>
        </w:rPr>
        <w:t>24</w:t>
      </w:r>
      <w:r w:rsidR="00081A23" w:rsidRPr="008C1ABC">
        <w:rPr>
          <w:rFonts w:ascii="Times New Roman" w:hAnsi="Times New Roman"/>
          <w:b/>
        </w:rPr>
        <w:fldChar w:fldCharType="end"/>
      </w:r>
      <w:r w:rsidRPr="008C1ABC">
        <w:rPr>
          <w:rFonts w:ascii="Times New Roman" w:hAnsi="Times New Roman"/>
          <w:lang w:val="es-AR"/>
        </w:rPr>
        <w:t xml:space="preserve">. </w:t>
      </w:r>
      <w:r>
        <w:rPr>
          <w:rFonts w:ascii="Times New Roman" w:hAnsi="Times New Roman"/>
          <w:lang w:val="es-AR"/>
        </w:rPr>
        <w:t>Sensibilidad Escenarios complementarios.</w:t>
      </w:r>
    </w:p>
    <w:tbl>
      <w:tblPr>
        <w:tblW w:w="8427" w:type="dxa"/>
        <w:tblInd w:w="65" w:type="dxa"/>
        <w:tblCellMar>
          <w:left w:w="70" w:type="dxa"/>
          <w:right w:w="70" w:type="dxa"/>
        </w:tblCellMar>
        <w:tblLook w:val="04A0" w:firstRow="1" w:lastRow="0" w:firstColumn="1" w:lastColumn="0" w:noHBand="0" w:noVBand="1"/>
      </w:tblPr>
      <w:tblGrid>
        <w:gridCol w:w="4142"/>
        <w:gridCol w:w="1428"/>
        <w:gridCol w:w="1428"/>
        <w:gridCol w:w="1429"/>
      </w:tblGrid>
      <w:tr w:rsidR="006B0BBA" w:rsidRPr="00246E4C" w:rsidTr="00B34969">
        <w:trPr>
          <w:trHeight w:val="584"/>
        </w:trPr>
        <w:tc>
          <w:tcPr>
            <w:tcW w:w="4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0BBA" w:rsidRPr="00246E4C" w:rsidRDefault="006B0BBA" w:rsidP="00EC38D0">
            <w:pPr>
              <w:rPr>
                <w:rFonts w:ascii="Times New Roman" w:hAnsi="Times New Roman"/>
                <w:b/>
                <w:bCs/>
                <w:color w:val="000000"/>
                <w:sz w:val="22"/>
                <w:szCs w:val="22"/>
                <w:lang w:val="es-AR" w:eastAsia="es-AR"/>
              </w:rPr>
            </w:pPr>
            <w:r w:rsidRPr="00246E4C">
              <w:rPr>
                <w:rFonts w:ascii="Times New Roman" w:hAnsi="Times New Roman"/>
                <w:b/>
                <w:bCs/>
                <w:color w:val="000000"/>
                <w:sz w:val="22"/>
                <w:szCs w:val="22"/>
                <w:lang w:val="es-AR" w:eastAsia="es-AR"/>
              </w:rPr>
              <w:t xml:space="preserve">Sensibilidad  p 1:250  </w:t>
            </w:r>
          </w:p>
        </w:tc>
        <w:tc>
          <w:tcPr>
            <w:tcW w:w="1428" w:type="dxa"/>
            <w:tcBorders>
              <w:top w:val="single" w:sz="4" w:space="0" w:color="auto"/>
              <w:left w:val="nil"/>
              <w:bottom w:val="single" w:sz="4" w:space="0" w:color="auto"/>
              <w:right w:val="single" w:sz="4" w:space="0" w:color="auto"/>
            </w:tcBorders>
            <w:shd w:val="clear" w:color="000000" w:fill="FFFFFF"/>
            <w:noWrap/>
            <w:vAlign w:val="center"/>
            <w:hideMark/>
          </w:tcPr>
          <w:p w:rsidR="006B0BBA" w:rsidRPr="00246E4C" w:rsidRDefault="006B0BBA" w:rsidP="00EC38D0">
            <w:pPr>
              <w:jc w:val="center"/>
              <w:rPr>
                <w:rFonts w:ascii="Times New Roman" w:hAnsi="Times New Roman"/>
                <w:b/>
                <w:bCs/>
                <w:color w:val="000000"/>
                <w:sz w:val="22"/>
                <w:szCs w:val="22"/>
                <w:lang w:val="es-AR" w:eastAsia="es-AR"/>
              </w:rPr>
            </w:pPr>
            <w:r w:rsidRPr="00246E4C">
              <w:rPr>
                <w:rFonts w:ascii="Times New Roman" w:hAnsi="Times New Roman"/>
                <w:b/>
                <w:bCs/>
                <w:color w:val="000000"/>
                <w:sz w:val="22"/>
                <w:szCs w:val="22"/>
                <w:lang w:val="es-AR" w:eastAsia="es-AR"/>
              </w:rPr>
              <w:t>TIR</w:t>
            </w:r>
          </w:p>
        </w:tc>
        <w:tc>
          <w:tcPr>
            <w:tcW w:w="1428" w:type="dxa"/>
            <w:tcBorders>
              <w:top w:val="single" w:sz="4" w:space="0" w:color="auto"/>
              <w:left w:val="nil"/>
              <w:bottom w:val="single" w:sz="4" w:space="0" w:color="auto"/>
              <w:right w:val="single" w:sz="4" w:space="0" w:color="auto"/>
            </w:tcBorders>
            <w:shd w:val="clear" w:color="000000" w:fill="FFFFFF"/>
            <w:vAlign w:val="center"/>
            <w:hideMark/>
          </w:tcPr>
          <w:p w:rsidR="006B0BBA" w:rsidRPr="00246E4C" w:rsidRDefault="006B0BBA" w:rsidP="00EC38D0">
            <w:pPr>
              <w:jc w:val="center"/>
              <w:rPr>
                <w:rFonts w:ascii="Times New Roman" w:hAnsi="Times New Roman"/>
                <w:b/>
                <w:bCs/>
                <w:color w:val="000000"/>
                <w:sz w:val="22"/>
                <w:szCs w:val="22"/>
                <w:lang w:val="es-AR" w:eastAsia="es-AR"/>
              </w:rPr>
            </w:pPr>
            <w:r w:rsidRPr="00246E4C">
              <w:rPr>
                <w:rFonts w:ascii="Times New Roman" w:hAnsi="Times New Roman"/>
                <w:b/>
                <w:bCs/>
                <w:color w:val="000000"/>
                <w:sz w:val="22"/>
                <w:szCs w:val="22"/>
                <w:lang w:val="es-AR" w:eastAsia="es-AR"/>
              </w:rPr>
              <w:t>VAN US$ Millones</w:t>
            </w:r>
          </w:p>
        </w:tc>
        <w:tc>
          <w:tcPr>
            <w:tcW w:w="1428" w:type="dxa"/>
            <w:tcBorders>
              <w:top w:val="single" w:sz="4" w:space="0" w:color="auto"/>
              <w:left w:val="nil"/>
              <w:bottom w:val="single" w:sz="4" w:space="0" w:color="auto"/>
              <w:right w:val="single" w:sz="4" w:space="0" w:color="auto"/>
            </w:tcBorders>
            <w:shd w:val="clear" w:color="000000" w:fill="FFFFFF"/>
            <w:noWrap/>
            <w:vAlign w:val="center"/>
            <w:hideMark/>
          </w:tcPr>
          <w:p w:rsidR="006B0BBA" w:rsidRPr="00246E4C" w:rsidRDefault="006B0BBA" w:rsidP="00EC38D0">
            <w:pPr>
              <w:jc w:val="center"/>
              <w:rPr>
                <w:rFonts w:ascii="Times New Roman" w:hAnsi="Times New Roman"/>
                <w:b/>
                <w:bCs/>
                <w:color w:val="000000"/>
                <w:sz w:val="22"/>
                <w:szCs w:val="22"/>
                <w:lang w:val="es-AR" w:eastAsia="es-AR"/>
              </w:rPr>
            </w:pPr>
            <w:r w:rsidRPr="00246E4C">
              <w:rPr>
                <w:rFonts w:ascii="Times New Roman" w:hAnsi="Times New Roman"/>
                <w:b/>
                <w:bCs/>
                <w:color w:val="000000"/>
                <w:sz w:val="22"/>
                <w:szCs w:val="22"/>
                <w:lang w:val="es-AR" w:eastAsia="es-AR"/>
              </w:rPr>
              <w:t>Ratio B/C</w:t>
            </w:r>
          </w:p>
        </w:tc>
      </w:tr>
      <w:tr w:rsidR="006B0BBA" w:rsidRPr="00246E4C" w:rsidTr="00B34969">
        <w:trPr>
          <w:trHeight w:val="569"/>
        </w:trPr>
        <w:tc>
          <w:tcPr>
            <w:tcW w:w="4142" w:type="dxa"/>
            <w:tcBorders>
              <w:top w:val="single" w:sz="4" w:space="0" w:color="auto"/>
              <w:left w:val="single" w:sz="4" w:space="0" w:color="auto"/>
              <w:bottom w:val="single" w:sz="4" w:space="0" w:color="auto"/>
              <w:right w:val="nil"/>
            </w:tcBorders>
            <w:shd w:val="clear" w:color="000000" w:fill="FFFFFF"/>
            <w:vAlign w:val="center"/>
            <w:hideMark/>
          </w:tcPr>
          <w:p w:rsidR="006B0BBA" w:rsidRPr="00246E4C" w:rsidRDefault="006B0BBA" w:rsidP="00EC38D0">
            <w:pPr>
              <w:jc w:val="center"/>
              <w:rPr>
                <w:rFonts w:ascii="Times New Roman" w:hAnsi="Times New Roman"/>
                <w:color w:val="000000"/>
                <w:sz w:val="22"/>
                <w:szCs w:val="22"/>
                <w:lang w:val="es-AR" w:eastAsia="es-AR"/>
              </w:rPr>
            </w:pPr>
            <w:r w:rsidRPr="00246E4C">
              <w:rPr>
                <w:rFonts w:ascii="Times New Roman" w:hAnsi="Times New Roman"/>
                <w:color w:val="000000"/>
                <w:sz w:val="22"/>
                <w:szCs w:val="22"/>
                <w:lang w:val="es-AR" w:eastAsia="es-AR"/>
              </w:rPr>
              <w:lastRenderedPageBreak/>
              <w:t xml:space="preserve">Escenario  Ocurrencia   con  d=12%                     </w:t>
            </w:r>
            <w:r w:rsidRPr="00246E4C">
              <w:rPr>
                <w:rFonts w:ascii="Times New Roman" w:hAnsi="Times New Roman"/>
                <w:color w:val="000000"/>
                <w:lang w:val="es-AR" w:eastAsia="es-AR"/>
              </w:rPr>
              <w:t xml:space="preserve">  (Benef Vida 45% - Bienes: 30-40%)</w:t>
            </w:r>
          </w:p>
        </w:tc>
        <w:tc>
          <w:tcPr>
            <w:tcW w:w="1428" w:type="dxa"/>
            <w:tcBorders>
              <w:top w:val="single" w:sz="4" w:space="0" w:color="auto"/>
              <w:left w:val="nil"/>
              <w:bottom w:val="single" w:sz="4" w:space="0" w:color="auto"/>
              <w:right w:val="nil"/>
            </w:tcBorders>
            <w:shd w:val="clear" w:color="000000" w:fill="FFFFFF"/>
            <w:noWrap/>
            <w:vAlign w:val="center"/>
            <w:hideMark/>
          </w:tcPr>
          <w:p w:rsidR="006B0BBA" w:rsidRPr="00246E4C" w:rsidRDefault="006B0BBA" w:rsidP="00EC38D0">
            <w:pPr>
              <w:jc w:val="center"/>
              <w:rPr>
                <w:rFonts w:ascii="Times New Roman" w:hAnsi="Times New Roman"/>
                <w:color w:val="000000"/>
                <w:sz w:val="22"/>
                <w:szCs w:val="22"/>
                <w:lang w:val="es-AR" w:eastAsia="es-AR"/>
              </w:rPr>
            </w:pPr>
            <w:r w:rsidRPr="00246E4C">
              <w:rPr>
                <w:rFonts w:ascii="Times New Roman" w:hAnsi="Times New Roman"/>
                <w:color w:val="000000"/>
                <w:sz w:val="22"/>
                <w:szCs w:val="22"/>
                <w:lang w:val="es-AR" w:eastAsia="es-AR"/>
              </w:rPr>
              <w:t>16%</w:t>
            </w:r>
          </w:p>
        </w:tc>
        <w:tc>
          <w:tcPr>
            <w:tcW w:w="1428" w:type="dxa"/>
            <w:tcBorders>
              <w:top w:val="single" w:sz="4" w:space="0" w:color="auto"/>
              <w:left w:val="nil"/>
              <w:bottom w:val="single" w:sz="4" w:space="0" w:color="auto"/>
              <w:right w:val="nil"/>
            </w:tcBorders>
            <w:shd w:val="clear" w:color="000000" w:fill="FFFFFF"/>
            <w:noWrap/>
            <w:vAlign w:val="center"/>
            <w:hideMark/>
          </w:tcPr>
          <w:p w:rsidR="006B0BBA" w:rsidRPr="00246E4C" w:rsidRDefault="006B0BBA" w:rsidP="00EC38D0">
            <w:pPr>
              <w:jc w:val="center"/>
              <w:rPr>
                <w:rFonts w:ascii="Times New Roman" w:hAnsi="Times New Roman"/>
                <w:color w:val="000000"/>
                <w:sz w:val="22"/>
                <w:szCs w:val="22"/>
                <w:lang w:val="es-AR" w:eastAsia="es-AR"/>
              </w:rPr>
            </w:pPr>
            <w:r w:rsidRPr="00246E4C">
              <w:rPr>
                <w:rFonts w:ascii="Times New Roman" w:hAnsi="Times New Roman"/>
                <w:color w:val="000000"/>
                <w:sz w:val="22"/>
                <w:szCs w:val="22"/>
                <w:lang w:val="es-AR" w:eastAsia="es-AR"/>
              </w:rPr>
              <w:t>4,2</w:t>
            </w:r>
          </w:p>
        </w:tc>
        <w:tc>
          <w:tcPr>
            <w:tcW w:w="1428" w:type="dxa"/>
            <w:tcBorders>
              <w:top w:val="single" w:sz="4" w:space="0" w:color="auto"/>
              <w:left w:val="nil"/>
              <w:bottom w:val="single" w:sz="4" w:space="0" w:color="auto"/>
              <w:right w:val="single" w:sz="4" w:space="0" w:color="auto"/>
            </w:tcBorders>
            <w:shd w:val="clear" w:color="000000" w:fill="FFFFFF"/>
            <w:noWrap/>
            <w:vAlign w:val="center"/>
            <w:hideMark/>
          </w:tcPr>
          <w:p w:rsidR="006B0BBA" w:rsidRPr="00246E4C" w:rsidRDefault="006B0BBA" w:rsidP="00EC38D0">
            <w:pPr>
              <w:jc w:val="center"/>
              <w:rPr>
                <w:rFonts w:ascii="Times New Roman" w:hAnsi="Times New Roman"/>
                <w:color w:val="000000"/>
                <w:sz w:val="22"/>
                <w:szCs w:val="22"/>
                <w:lang w:val="es-AR" w:eastAsia="es-AR"/>
              </w:rPr>
            </w:pPr>
            <w:r w:rsidRPr="00246E4C">
              <w:rPr>
                <w:rFonts w:ascii="Times New Roman" w:hAnsi="Times New Roman"/>
                <w:color w:val="000000"/>
                <w:sz w:val="22"/>
                <w:szCs w:val="22"/>
                <w:lang w:val="es-AR" w:eastAsia="es-AR"/>
              </w:rPr>
              <w:t>1,20</w:t>
            </w:r>
          </w:p>
        </w:tc>
      </w:tr>
      <w:tr w:rsidR="006B0BBA" w:rsidRPr="006F6989" w:rsidTr="00B34969">
        <w:trPr>
          <w:trHeight w:val="523"/>
        </w:trPr>
        <w:tc>
          <w:tcPr>
            <w:tcW w:w="8427" w:type="dxa"/>
            <w:gridSpan w:val="4"/>
            <w:tcBorders>
              <w:top w:val="single" w:sz="4" w:space="0" w:color="auto"/>
              <w:left w:val="single" w:sz="4" w:space="0" w:color="auto"/>
              <w:bottom w:val="nil"/>
              <w:right w:val="single" w:sz="4" w:space="0" w:color="000000"/>
            </w:tcBorders>
            <w:shd w:val="clear" w:color="000000" w:fill="FFFFFF"/>
            <w:vAlign w:val="center"/>
            <w:hideMark/>
          </w:tcPr>
          <w:p w:rsidR="006B0BBA" w:rsidRPr="00246E4C" w:rsidRDefault="006B0BBA" w:rsidP="00EC38D0">
            <w:pPr>
              <w:rPr>
                <w:rFonts w:ascii="Times New Roman" w:hAnsi="Times New Roman"/>
                <w:color w:val="000000"/>
                <w:sz w:val="22"/>
                <w:szCs w:val="22"/>
                <w:lang w:val="es-AR" w:eastAsia="es-AR"/>
              </w:rPr>
            </w:pPr>
            <w:r w:rsidRPr="00246E4C">
              <w:rPr>
                <w:rFonts w:ascii="Times New Roman" w:hAnsi="Times New Roman"/>
                <w:color w:val="000000"/>
                <w:sz w:val="22"/>
                <w:szCs w:val="22"/>
                <w:lang w:val="es-AR" w:eastAsia="es-AR"/>
              </w:rPr>
              <w:t>Puntos de equilibrio (donde costo B/C =1 y VAN = 0):</w:t>
            </w:r>
          </w:p>
        </w:tc>
      </w:tr>
      <w:tr w:rsidR="006B0BBA" w:rsidRPr="00246E4C" w:rsidTr="00B34969">
        <w:trPr>
          <w:trHeight w:val="569"/>
        </w:trPr>
        <w:tc>
          <w:tcPr>
            <w:tcW w:w="4142" w:type="dxa"/>
            <w:tcBorders>
              <w:top w:val="single" w:sz="4" w:space="0" w:color="auto"/>
              <w:left w:val="single" w:sz="4" w:space="0" w:color="auto"/>
              <w:bottom w:val="single" w:sz="4" w:space="0" w:color="auto"/>
              <w:right w:val="nil"/>
            </w:tcBorders>
            <w:shd w:val="clear" w:color="000000" w:fill="FFFFFF"/>
            <w:vAlign w:val="center"/>
            <w:hideMark/>
          </w:tcPr>
          <w:p w:rsidR="006B0BBA" w:rsidRPr="00246E4C" w:rsidRDefault="006B0BBA" w:rsidP="00EC38D0">
            <w:pPr>
              <w:jc w:val="center"/>
              <w:rPr>
                <w:rFonts w:ascii="Times New Roman" w:hAnsi="Times New Roman"/>
                <w:color w:val="000000"/>
                <w:sz w:val="22"/>
                <w:szCs w:val="22"/>
                <w:lang w:val="es-AR" w:eastAsia="es-AR"/>
              </w:rPr>
            </w:pPr>
            <w:r w:rsidRPr="00246E4C">
              <w:rPr>
                <w:rFonts w:ascii="Times New Roman" w:hAnsi="Times New Roman"/>
                <w:color w:val="000000"/>
                <w:sz w:val="22"/>
                <w:szCs w:val="22"/>
                <w:lang w:val="es-AR" w:eastAsia="es-AR"/>
              </w:rPr>
              <w:t xml:space="preserve">Reducción Beneficio SAT                              </w:t>
            </w:r>
            <w:r w:rsidRPr="00246E4C">
              <w:rPr>
                <w:rFonts w:ascii="Times New Roman" w:hAnsi="Times New Roman"/>
                <w:color w:val="000000"/>
                <w:lang w:val="es-AR" w:eastAsia="es-AR"/>
              </w:rPr>
              <w:t xml:space="preserve">  </w:t>
            </w:r>
            <w:r>
              <w:rPr>
                <w:rFonts w:ascii="Times New Roman" w:hAnsi="Times New Roman"/>
                <w:color w:val="000000"/>
                <w:lang w:val="es-AR" w:eastAsia="es-AR"/>
              </w:rPr>
              <w:t>(Costo de Inversión y recurrentes sin cambio</w:t>
            </w:r>
            <w:r w:rsidRPr="00246E4C">
              <w:rPr>
                <w:rFonts w:ascii="Times New Roman" w:hAnsi="Times New Roman"/>
                <w:color w:val="000000"/>
                <w:lang w:val="es-AR" w:eastAsia="es-AR"/>
              </w:rPr>
              <w:t>)</w:t>
            </w:r>
          </w:p>
        </w:tc>
        <w:tc>
          <w:tcPr>
            <w:tcW w:w="4285"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6B0BBA" w:rsidRPr="00246E4C" w:rsidRDefault="006B0BBA" w:rsidP="00EC38D0">
            <w:pPr>
              <w:jc w:val="center"/>
              <w:rPr>
                <w:rFonts w:ascii="Times New Roman" w:hAnsi="Times New Roman"/>
                <w:color w:val="000000"/>
                <w:sz w:val="22"/>
                <w:szCs w:val="22"/>
                <w:lang w:val="es-AR" w:eastAsia="es-AR"/>
              </w:rPr>
            </w:pPr>
            <w:r w:rsidRPr="00246E4C">
              <w:rPr>
                <w:rFonts w:ascii="Times New Roman" w:hAnsi="Times New Roman"/>
                <w:color w:val="000000"/>
                <w:sz w:val="22"/>
                <w:szCs w:val="22"/>
                <w:lang w:val="es-AR" w:eastAsia="es-AR"/>
              </w:rPr>
              <w:t>Reducción máxima de beneficios 16.7%</w:t>
            </w:r>
          </w:p>
        </w:tc>
      </w:tr>
      <w:tr w:rsidR="006B0BBA" w:rsidRPr="006F6989" w:rsidTr="00B34969">
        <w:trPr>
          <w:trHeight w:val="569"/>
        </w:trPr>
        <w:tc>
          <w:tcPr>
            <w:tcW w:w="4142" w:type="dxa"/>
            <w:tcBorders>
              <w:top w:val="nil"/>
              <w:left w:val="single" w:sz="4" w:space="0" w:color="auto"/>
              <w:bottom w:val="single" w:sz="4" w:space="0" w:color="auto"/>
              <w:right w:val="nil"/>
            </w:tcBorders>
            <w:shd w:val="clear" w:color="000000" w:fill="FFFFFF"/>
            <w:vAlign w:val="center"/>
            <w:hideMark/>
          </w:tcPr>
          <w:p w:rsidR="006B0BBA" w:rsidRDefault="006B0BBA" w:rsidP="00EC38D0">
            <w:pPr>
              <w:jc w:val="center"/>
              <w:rPr>
                <w:rFonts w:ascii="Times New Roman" w:hAnsi="Times New Roman"/>
                <w:color w:val="000000"/>
                <w:lang w:val="es-AR" w:eastAsia="es-AR"/>
              </w:rPr>
            </w:pPr>
            <w:r w:rsidRPr="00246E4C">
              <w:rPr>
                <w:rFonts w:ascii="Times New Roman" w:hAnsi="Times New Roman"/>
                <w:color w:val="000000"/>
                <w:sz w:val="22"/>
                <w:szCs w:val="22"/>
                <w:lang w:val="es-AR" w:eastAsia="es-AR"/>
              </w:rPr>
              <w:t xml:space="preserve">Aumento Costos                       </w:t>
            </w:r>
            <w:r w:rsidRPr="00246E4C">
              <w:rPr>
                <w:rFonts w:ascii="Times New Roman" w:hAnsi="Times New Roman"/>
                <w:color w:val="000000"/>
                <w:lang w:val="es-AR" w:eastAsia="es-AR"/>
              </w:rPr>
              <w:t xml:space="preserve">  </w:t>
            </w:r>
          </w:p>
          <w:p w:rsidR="006B0BBA" w:rsidRPr="00246E4C" w:rsidRDefault="006B0BBA" w:rsidP="00EC38D0">
            <w:pPr>
              <w:jc w:val="center"/>
              <w:rPr>
                <w:rFonts w:ascii="Times New Roman" w:hAnsi="Times New Roman"/>
                <w:color w:val="000000"/>
                <w:sz w:val="22"/>
                <w:szCs w:val="22"/>
                <w:lang w:val="es-AR" w:eastAsia="es-AR"/>
              </w:rPr>
            </w:pPr>
            <w:r w:rsidRPr="00246E4C">
              <w:rPr>
                <w:rFonts w:ascii="Times New Roman" w:hAnsi="Times New Roman"/>
                <w:color w:val="000000"/>
                <w:lang w:val="es-AR" w:eastAsia="es-AR"/>
              </w:rPr>
              <w:t>(Benef Vida 45% - Bienes: 30-40%)</w:t>
            </w:r>
          </w:p>
        </w:tc>
        <w:tc>
          <w:tcPr>
            <w:tcW w:w="4285" w:type="dxa"/>
            <w:gridSpan w:val="3"/>
            <w:tcBorders>
              <w:top w:val="single" w:sz="4" w:space="0" w:color="auto"/>
              <w:left w:val="nil"/>
              <w:bottom w:val="single" w:sz="4" w:space="0" w:color="auto"/>
              <w:right w:val="single" w:sz="4" w:space="0" w:color="000000"/>
            </w:tcBorders>
            <w:shd w:val="clear" w:color="000000" w:fill="FFFFFF"/>
            <w:vAlign w:val="center"/>
            <w:hideMark/>
          </w:tcPr>
          <w:p w:rsidR="006B0BBA" w:rsidRPr="00246E4C" w:rsidRDefault="006B0BBA" w:rsidP="00EC38D0">
            <w:pPr>
              <w:jc w:val="center"/>
              <w:rPr>
                <w:rFonts w:ascii="Times New Roman" w:hAnsi="Times New Roman"/>
                <w:color w:val="000000"/>
                <w:sz w:val="22"/>
                <w:szCs w:val="22"/>
                <w:lang w:val="es-AR" w:eastAsia="es-AR"/>
              </w:rPr>
            </w:pPr>
            <w:r w:rsidRPr="00246E4C">
              <w:rPr>
                <w:rFonts w:ascii="Times New Roman" w:hAnsi="Times New Roman"/>
                <w:color w:val="000000"/>
                <w:sz w:val="22"/>
                <w:szCs w:val="22"/>
                <w:lang w:val="es-AR" w:eastAsia="es-AR"/>
              </w:rPr>
              <w:t>Aumento máximo de costos inversión y recurrentes 20.1%</w:t>
            </w:r>
          </w:p>
        </w:tc>
      </w:tr>
      <w:tr w:rsidR="006B0BBA" w:rsidRPr="006F6989" w:rsidTr="00B34969">
        <w:trPr>
          <w:trHeight w:val="307"/>
        </w:trPr>
        <w:tc>
          <w:tcPr>
            <w:tcW w:w="4142" w:type="dxa"/>
            <w:tcBorders>
              <w:top w:val="nil"/>
              <w:left w:val="nil"/>
              <w:bottom w:val="single" w:sz="4" w:space="0" w:color="auto"/>
              <w:right w:val="nil"/>
            </w:tcBorders>
            <w:shd w:val="clear" w:color="000000" w:fill="FFFFFF"/>
            <w:vAlign w:val="center"/>
            <w:hideMark/>
          </w:tcPr>
          <w:p w:rsidR="006B0BBA" w:rsidRPr="00246E4C" w:rsidRDefault="006B0BBA" w:rsidP="00EC38D0">
            <w:pPr>
              <w:jc w:val="center"/>
              <w:rPr>
                <w:rFonts w:ascii="Times New Roman" w:hAnsi="Times New Roman"/>
                <w:color w:val="000000"/>
                <w:sz w:val="22"/>
                <w:szCs w:val="22"/>
                <w:lang w:val="es-AR" w:eastAsia="es-AR"/>
              </w:rPr>
            </w:pPr>
            <w:r w:rsidRPr="00246E4C">
              <w:rPr>
                <w:rFonts w:ascii="Times New Roman" w:hAnsi="Times New Roman"/>
                <w:color w:val="000000"/>
                <w:sz w:val="22"/>
                <w:szCs w:val="22"/>
                <w:lang w:val="es-AR" w:eastAsia="es-AR"/>
              </w:rPr>
              <w:t> </w:t>
            </w:r>
          </w:p>
        </w:tc>
        <w:tc>
          <w:tcPr>
            <w:tcW w:w="1428" w:type="dxa"/>
            <w:tcBorders>
              <w:top w:val="nil"/>
              <w:left w:val="nil"/>
              <w:bottom w:val="single" w:sz="4" w:space="0" w:color="auto"/>
              <w:right w:val="nil"/>
            </w:tcBorders>
            <w:shd w:val="clear" w:color="000000" w:fill="FFFFFF"/>
            <w:noWrap/>
            <w:vAlign w:val="center"/>
            <w:hideMark/>
          </w:tcPr>
          <w:p w:rsidR="006B0BBA" w:rsidRPr="00246E4C" w:rsidRDefault="006B0BBA" w:rsidP="00EC38D0">
            <w:pPr>
              <w:jc w:val="center"/>
              <w:rPr>
                <w:rFonts w:ascii="Times New Roman" w:hAnsi="Times New Roman"/>
                <w:color w:val="000000"/>
                <w:sz w:val="22"/>
                <w:szCs w:val="22"/>
                <w:lang w:val="es-AR" w:eastAsia="es-AR"/>
              </w:rPr>
            </w:pPr>
            <w:r w:rsidRPr="00246E4C">
              <w:rPr>
                <w:rFonts w:ascii="Times New Roman" w:hAnsi="Times New Roman"/>
                <w:color w:val="000000"/>
                <w:sz w:val="22"/>
                <w:szCs w:val="22"/>
                <w:lang w:val="es-AR" w:eastAsia="es-AR"/>
              </w:rPr>
              <w:t> </w:t>
            </w:r>
          </w:p>
        </w:tc>
        <w:tc>
          <w:tcPr>
            <w:tcW w:w="1428" w:type="dxa"/>
            <w:tcBorders>
              <w:top w:val="nil"/>
              <w:left w:val="nil"/>
              <w:bottom w:val="single" w:sz="4" w:space="0" w:color="auto"/>
              <w:right w:val="nil"/>
            </w:tcBorders>
            <w:shd w:val="clear" w:color="000000" w:fill="FFFFFF"/>
            <w:noWrap/>
            <w:vAlign w:val="center"/>
            <w:hideMark/>
          </w:tcPr>
          <w:p w:rsidR="006B0BBA" w:rsidRPr="00246E4C" w:rsidRDefault="006B0BBA" w:rsidP="00EC38D0">
            <w:pPr>
              <w:jc w:val="center"/>
              <w:rPr>
                <w:rFonts w:ascii="Times New Roman" w:hAnsi="Times New Roman"/>
                <w:color w:val="000000"/>
                <w:sz w:val="22"/>
                <w:szCs w:val="22"/>
                <w:lang w:val="es-AR" w:eastAsia="es-AR"/>
              </w:rPr>
            </w:pPr>
            <w:r w:rsidRPr="00246E4C">
              <w:rPr>
                <w:rFonts w:ascii="Times New Roman" w:hAnsi="Times New Roman"/>
                <w:color w:val="000000"/>
                <w:sz w:val="22"/>
                <w:szCs w:val="22"/>
                <w:lang w:val="es-AR" w:eastAsia="es-AR"/>
              </w:rPr>
              <w:t> </w:t>
            </w:r>
          </w:p>
        </w:tc>
        <w:tc>
          <w:tcPr>
            <w:tcW w:w="1428" w:type="dxa"/>
            <w:tcBorders>
              <w:top w:val="nil"/>
              <w:left w:val="nil"/>
              <w:bottom w:val="single" w:sz="4" w:space="0" w:color="auto"/>
              <w:right w:val="nil"/>
            </w:tcBorders>
            <w:shd w:val="clear" w:color="000000" w:fill="FFFFFF"/>
            <w:noWrap/>
            <w:vAlign w:val="center"/>
            <w:hideMark/>
          </w:tcPr>
          <w:p w:rsidR="006B0BBA" w:rsidRPr="00246E4C" w:rsidRDefault="006B0BBA" w:rsidP="00EC38D0">
            <w:pPr>
              <w:jc w:val="center"/>
              <w:rPr>
                <w:rFonts w:ascii="Times New Roman" w:hAnsi="Times New Roman"/>
                <w:color w:val="000000"/>
                <w:sz w:val="22"/>
                <w:szCs w:val="22"/>
                <w:lang w:val="es-AR" w:eastAsia="es-AR"/>
              </w:rPr>
            </w:pPr>
            <w:r w:rsidRPr="00246E4C">
              <w:rPr>
                <w:rFonts w:ascii="Times New Roman" w:hAnsi="Times New Roman"/>
                <w:color w:val="000000"/>
                <w:sz w:val="22"/>
                <w:szCs w:val="22"/>
                <w:lang w:val="es-AR" w:eastAsia="es-AR"/>
              </w:rPr>
              <w:t> </w:t>
            </w:r>
          </w:p>
        </w:tc>
      </w:tr>
      <w:tr w:rsidR="006B0BBA" w:rsidRPr="00246E4C" w:rsidTr="00B34969">
        <w:trPr>
          <w:trHeight w:val="569"/>
        </w:trPr>
        <w:tc>
          <w:tcPr>
            <w:tcW w:w="4142" w:type="dxa"/>
            <w:tcBorders>
              <w:top w:val="nil"/>
              <w:left w:val="single" w:sz="4" w:space="0" w:color="auto"/>
              <w:bottom w:val="single" w:sz="4" w:space="0" w:color="auto"/>
              <w:right w:val="nil"/>
            </w:tcBorders>
            <w:shd w:val="clear" w:color="000000" w:fill="FFFFFF"/>
            <w:vAlign w:val="center"/>
            <w:hideMark/>
          </w:tcPr>
          <w:p w:rsidR="006B0BBA" w:rsidRPr="00246E4C" w:rsidRDefault="006B0BBA" w:rsidP="00EC38D0">
            <w:pPr>
              <w:jc w:val="center"/>
              <w:rPr>
                <w:rFonts w:ascii="Times New Roman" w:hAnsi="Times New Roman"/>
                <w:color w:val="000000"/>
                <w:sz w:val="22"/>
                <w:szCs w:val="22"/>
                <w:lang w:val="es-AR" w:eastAsia="es-AR"/>
              </w:rPr>
            </w:pPr>
            <w:r w:rsidRPr="00246E4C">
              <w:rPr>
                <w:rFonts w:ascii="Times New Roman" w:hAnsi="Times New Roman"/>
                <w:color w:val="000000"/>
                <w:sz w:val="22"/>
                <w:szCs w:val="22"/>
                <w:lang w:val="es-AR" w:eastAsia="es-AR"/>
              </w:rPr>
              <w:t xml:space="preserve">Escenario  Ocurrencia   con  d=7%                     </w:t>
            </w:r>
            <w:r w:rsidRPr="00246E4C">
              <w:rPr>
                <w:rFonts w:ascii="Times New Roman" w:hAnsi="Times New Roman"/>
                <w:color w:val="000000"/>
                <w:lang w:val="es-AR" w:eastAsia="es-AR"/>
              </w:rPr>
              <w:t xml:space="preserve">  (Benef Vida 45% - Bienes: 30-40%)</w:t>
            </w:r>
          </w:p>
        </w:tc>
        <w:tc>
          <w:tcPr>
            <w:tcW w:w="1428" w:type="dxa"/>
            <w:tcBorders>
              <w:top w:val="nil"/>
              <w:left w:val="nil"/>
              <w:bottom w:val="single" w:sz="4" w:space="0" w:color="auto"/>
              <w:right w:val="nil"/>
            </w:tcBorders>
            <w:shd w:val="clear" w:color="000000" w:fill="FFFFFF"/>
            <w:noWrap/>
            <w:vAlign w:val="center"/>
            <w:hideMark/>
          </w:tcPr>
          <w:p w:rsidR="006B0BBA" w:rsidRPr="00246E4C" w:rsidRDefault="006B0BBA" w:rsidP="00EC38D0">
            <w:pPr>
              <w:jc w:val="center"/>
              <w:rPr>
                <w:rFonts w:ascii="Times New Roman" w:hAnsi="Times New Roman"/>
                <w:color w:val="000000"/>
                <w:sz w:val="22"/>
                <w:szCs w:val="22"/>
                <w:lang w:val="es-AR" w:eastAsia="es-AR"/>
              </w:rPr>
            </w:pPr>
            <w:r w:rsidRPr="00246E4C">
              <w:rPr>
                <w:rFonts w:ascii="Times New Roman" w:hAnsi="Times New Roman"/>
                <w:color w:val="000000"/>
                <w:sz w:val="22"/>
                <w:szCs w:val="22"/>
                <w:lang w:val="es-AR" w:eastAsia="es-AR"/>
              </w:rPr>
              <w:t>16%</w:t>
            </w:r>
          </w:p>
        </w:tc>
        <w:tc>
          <w:tcPr>
            <w:tcW w:w="1428" w:type="dxa"/>
            <w:tcBorders>
              <w:top w:val="nil"/>
              <w:left w:val="nil"/>
              <w:bottom w:val="single" w:sz="4" w:space="0" w:color="auto"/>
              <w:right w:val="nil"/>
            </w:tcBorders>
            <w:shd w:val="clear" w:color="000000" w:fill="FFFFFF"/>
            <w:noWrap/>
            <w:vAlign w:val="center"/>
            <w:hideMark/>
          </w:tcPr>
          <w:p w:rsidR="006B0BBA" w:rsidRPr="00246E4C" w:rsidRDefault="006B0BBA" w:rsidP="00EC38D0">
            <w:pPr>
              <w:jc w:val="center"/>
              <w:rPr>
                <w:rFonts w:ascii="Times New Roman" w:hAnsi="Times New Roman"/>
                <w:color w:val="000000"/>
                <w:sz w:val="22"/>
                <w:szCs w:val="22"/>
                <w:lang w:val="es-AR" w:eastAsia="es-AR"/>
              </w:rPr>
            </w:pPr>
            <w:r w:rsidRPr="00246E4C">
              <w:rPr>
                <w:rFonts w:ascii="Times New Roman" w:hAnsi="Times New Roman"/>
                <w:color w:val="000000"/>
                <w:sz w:val="22"/>
                <w:szCs w:val="22"/>
                <w:lang w:val="es-AR" w:eastAsia="es-AR"/>
              </w:rPr>
              <w:t>13,1</w:t>
            </w:r>
          </w:p>
        </w:tc>
        <w:tc>
          <w:tcPr>
            <w:tcW w:w="1428" w:type="dxa"/>
            <w:tcBorders>
              <w:top w:val="nil"/>
              <w:left w:val="nil"/>
              <w:bottom w:val="single" w:sz="4" w:space="0" w:color="auto"/>
              <w:right w:val="single" w:sz="4" w:space="0" w:color="auto"/>
            </w:tcBorders>
            <w:shd w:val="clear" w:color="000000" w:fill="FFFFFF"/>
            <w:noWrap/>
            <w:vAlign w:val="center"/>
            <w:hideMark/>
          </w:tcPr>
          <w:p w:rsidR="006B0BBA" w:rsidRPr="00246E4C" w:rsidRDefault="006B0BBA" w:rsidP="00EC38D0">
            <w:pPr>
              <w:jc w:val="center"/>
              <w:rPr>
                <w:rFonts w:ascii="Times New Roman" w:hAnsi="Times New Roman"/>
                <w:color w:val="000000"/>
                <w:sz w:val="22"/>
                <w:szCs w:val="22"/>
                <w:lang w:val="es-AR" w:eastAsia="es-AR"/>
              </w:rPr>
            </w:pPr>
            <w:r w:rsidRPr="00246E4C">
              <w:rPr>
                <w:rFonts w:ascii="Times New Roman" w:hAnsi="Times New Roman"/>
                <w:color w:val="000000"/>
                <w:sz w:val="22"/>
                <w:szCs w:val="22"/>
                <w:lang w:val="es-AR" w:eastAsia="es-AR"/>
              </w:rPr>
              <w:t>1,49</w:t>
            </w:r>
          </w:p>
        </w:tc>
      </w:tr>
      <w:tr w:rsidR="006B0BBA" w:rsidRPr="006F6989" w:rsidTr="00B34969">
        <w:trPr>
          <w:trHeight w:val="599"/>
        </w:trPr>
        <w:tc>
          <w:tcPr>
            <w:tcW w:w="8427" w:type="dxa"/>
            <w:gridSpan w:val="4"/>
            <w:tcBorders>
              <w:top w:val="single" w:sz="4" w:space="0" w:color="auto"/>
              <w:left w:val="single" w:sz="4" w:space="0" w:color="auto"/>
              <w:bottom w:val="nil"/>
              <w:right w:val="single" w:sz="4" w:space="0" w:color="000000"/>
            </w:tcBorders>
            <w:shd w:val="clear" w:color="000000" w:fill="FFFFFF"/>
            <w:vAlign w:val="center"/>
            <w:hideMark/>
          </w:tcPr>
          <w:p w:rsidR="006B0BBA" w:rsidRPr="00246E4C" w:rsidRDefault="006B0BBA" w:rsidP="00EC38D0">
            <w:pPr>
              <w:rPr>
                <w:rFonts w:ascii="Times New Roman" w:hAnsi="Times New Roman"/>
                <w:color w:val="000000"/>
                <w:sz w:val="22"/>
                <w:szCs w:val="22"/>
                <w:lang w:val="es-AR" w:eastAsia="es-AR"/>
              </w:rPr>
            </w:pPr>
            <w:r w:rsidRPr="00246E4C">
              <w:rPr>
                <w:rFonts w:ascii="Times New Roman" w:hAnsi="Times New Roman"/>
                <w:color w:val="000000"/>
                <w:sz w:val="22"/>
                <w:szCs w:val="22"/>
                <w:lang w:val="es-AR" w:eastAsia="es-AR"/>
              </w:rPr>
              <w:t>Puntos de equilibrio (donde costo B/C =1 y VAN = 0):</w:t>
            </w:r>
          </w:p>
        </w:tc>
      </w:tr>
      <w:tr w:rsidR="006B0BBA" w:rsidRPr="00246E4C" w:rsidTr="00B34969">
        <w:trPr>
          <w:trHeight w:val="569"/>
        </w:trPr>
        <w:tc>
          <w:tcPr>
            <w:tcW w:w="4142" w:type="dxa"/>
            <w:tcBorders>
              <w:top w:val="single" w:sz="4" w:space="0" w:color="auto"/>
              <w:left w:val="single" w:sz="4" w:space="0" w:color="auto"/>
              <w:bottom w:val="single" w:sz="4" w:space="0" w:color="auto"/>
              <w:right w:val="nil"/>
            </w:tcBorders>
            <w:shd w:val="clear" w:color="000000" w:fill="FFFFFF"/>
            <w:vAlign w:val="center"/>
            <w:hideMark/>
          </w:tcPr>
          <w:p w:rsidR="006B0BBA" w:rsidRPr="00246E4C" w:rsidRDefault="006B0BBA" w:rsidP="00EC38D0">
            <w:pPr>
              <w:jc w:val="center"/>
              <w:rPr>
                <w:rFonts w:ascii="Times New Roman" w:hAnsi="Times New Roman"/>
                <w:color w:val="000000"/>
                <w:sz w:val="22"/>
                <w:szCs w:val="22"/>
                <w:lang w:val="es-AR" w:eastAsia="es-AR"/>
              </w:rPr>
            </w:pPr>
            <w:r w:rsidRPr="00246E4C">
              <w:rPr>
                <w:rFonts w:ascii="Times New Roman" w:hAnsi="Times New Roman"/>
                <w:color w:val="000000"/>
                <w:sz w:val="22"/>
                <w:szCs w:val="22"/>
                <w:lang w:val="es-AR" w:eastAsia="es-AR"/>
              </w:rPr>
              <w:t xml:space="preserve">Reducción Beneficio SAT                              </w:t>
            </w:r>
            <w:r w:rsidRPr="00246E4C">
              <w:rPr>
                <w:rFonts w:ascii="Times New Roman" w:hAnsi="Times New Roman"/>
                <w:color w:val="000000"/>
                <w:lang w:val="es-AR" w:eastAsia="es-AR"/>
              </w:rPr>
              <w:t xml:space="preserve">  (</w:t>
            </w:r>
            <w:r>
              <w:rPr>
                <w:rFonts w:ascii="Times New Roman" w:hAnsi="Times New Roman"/>
                <w:color w:val="000000"/>
                <w:lang w:val="es-AR" w:eastAsia="es-AR"/>
              </w:rPr>
              <w:t>Costo de Inversión y recurrentes sin cambio)</w:t>
            </w:r>
          </w:p>
        </w:tc>
        <w:tc>
          <w:tcPr>
            <w:tcW w:w="4285"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6B0BBA" w:rsidRPr="00246E4C" w:rsidRDefault="006B0BBA" w:rsidP="00EC38D0">
            <w:pPr>
              <w:jc w:val="center"/>
              <w:rPr>
                <w:rFonts w:ascii="Times New Roman" w:hAnsi="Times New Roman"/>
                <w:color w:val="000000"/>
                <w:sz w:val="22"/>
                <w:szCs w:val="22"/>
                <w:lang w:val="es-AR" w:eastAsia="es-AR"/>
              </w:rPr>
            </w:pPr>
            <w:r w:rsidRPr="00246E4C">
              <w:rPr>
                <w:rFonts w:ascii="Times New Roman" w:hAnsi="Times New Roman"/>
                <w:color w:val="000000"/>
                <w:sz w:val="22"/>
                <w:szCs w:val="22"/>
                <w:lang w:val="es-AR" w:eastAsia="es-AR"/>
              </w:rPr>
              <w:t>Reducción máxima de beneficios 33.0%</w:t>
            </w:r>
          </w:p>
        </w:tc>
      </w:tr>
      <w:tr w:rsidR="006B0BBA" w:rsidRPr="006F6989" w:rsidTr="00B34969">
        <w:trPr>
          <w:trHeight w:val="569"/>
        </w:trPr>
        <w:tc>
          <w:tcPr>
            <w:tcW w:w="4142" w:type="dxa"/>
            <w:tcBorders>
              <w:top w:val="nil"/>
              <w:left w:val="single" w:sz="4" w:space="0" w:color="auto"/>
              <w:bottom w:val="single" w:sz="4" w:space="0" w:color="auto"/>
              <w:right w:val="nil"/>
            </w:tcBorders>
            <w:shd w:val="clear" w:color="000000" w:fill="FFFFFF"/>
            <w:vAlign w:val="center"/>
            <w:hideMark/>
          </w:tcPr>
          <w:p w:rsidR="006B0BBA" w:rsidRPr="00246E4C" w:rsidRDefault="006B0BBA" w:rsidP="00EC38D0">
            <w:pPr>
              <w:jc w:val="center"/>
              <w:rPr>
                <w:rFonts w:ascii="Times New Roman" w:hAnsi="Times New Roman"/>
                <w:color w:val="000000"/>
                <w:sz w:val="22"/>
                <w:szCs w:val="22"/>
                <w:lang w:val="es-AR" w:eastAsia="es-AR"/>
              </w:rPr>
            </w:pPr>
            <w:r w:rsidRPr="00246E4C">
              <w:rPr>
                <w:rFonts w:ascii="Times New Roman" w:hAnsi="Times New Roman"/>
                <w:color w:val="000000"/>
                <w:sz w:val="22"/>
                <w:szCs w:val="22"/>
                <w:lang w:val="es-AR" w:eastAsia="es-AR"/>
              </w:rPr>
              <w:t xml:space="preserve">Aumento Costos                     </w:t>
            </w:r>
            <w:r>
              <w:rPr>
                <w:rFonts w:ascii="Times New Roman" w:hAnsi="Times New Roman"/>
                <w:color w:val="000000"/>
                <w:sz w:val="22"/>
                <w:szCs w:val="22"/>
                <w:lang w:val="es-AR" w:eastAsia="es-AR"/>
              </w:rPr>
              <w:t xml:space="preserve">       </w:t>
            </w:r>
            <w:r w:rsidRPr="00246E4C">
              <w:rPr>
                <w:rFonts w:ascii="Times New Roman" w:hAnsi="Times New Roman"/>
                <w:color w:val="000000"/>
                <w:sz w:val="22"/>
                <w:szCs w:val="22"/>
                <w:lang w:val="es-AR" w:eastAsia="es-AR"/>
              </w:rPr>
              <w:t xml:space="preserve">  </w:t>
            </w:r>
            <w:r>
              <w:rPr>
                <w:rFonts w:ascii="Times New Roman" w:hAnsi="Times New Roman"/>
                <w:color w:val="000000"/>
                <w:sz w:val="22"/>
                <w:szCs w:val="22"/>
                <w:lang w:val="es-AR" w:eastAsia="es-AR"/>
              </w:rPr>
              <w:t xml:space="preserve">      </w:t>
            </w:r>
            <w:r w:rsidRPr="00246E4C">
              <w:rPr>
                <w:rFonts w:ascii="Times New Roman" w:hAnsi="Times New Roman"/>
                <w:color w:val="000000"/>
                <w:lang w:val="es-AR" w:eastAsia="es-AR"/>
              </w:rPr>
              <w:t xml:space="preserve">  (Benef Vida 45% - Bienes: 30-40%)</w:t>
            </w:r>
          </w:p>
        </w:tc>
        <w:tc>
          <w:tcPr>
            <w:tcW w:w="4285" w:type="dxa"/>
            <w:gridSpan w:val="3"/>
            <w:tcBorders>
              <w:top w:val="single" w:sz="4" w:space="0" w:color="auto"/>
              <w:left w:val="nil"/>
              <w:bottom w:val="single" w:sz="4" w:space="0" w:color="auto"/>
              <w:right w:val="single" w:sz="4" w:space="0" w:color="000000"/>
            </w:tcBorders>
            <w:shd w:val="clear" w:color="000000" w:fill="FFFFFF"/>
            <w:vAlign w:val="center"/>
            <w:hideMark/>
          </w:tcPr>
          <w:p w:rsidR="006B0BBA" w:rsidRPr="00246E4C" w:rsidRDefault="006B0BBA" w:rsidP="00EC38D0">
            <w:pPr>
              <w:jc w:val="center"/>
              <w:rPr>
                <w:rFonts w:ascii="Times New Roman" w:hAnsi="Times New Roman"/>
                <w:color w:val="000000"/>
                <w:sz w:val="22"/>
                <w:szCs w:val="22"/>
                <w:lang w:val="es-AR" w:eastAsia="es-AR"/>
              </w:rPr>
            </w:pPr>
            <w:r w:rsidRPr="00246E4C">
              <w:rPr>
                <w:rFonts w:ascii="Times New Roman" w:hAnsi="Times New Roman"/>
                <w:color w:val="000000"/>
                <w:sz w:val="22"/>
                <w:szCs w:val="22"/>
                <w:lang w:val="es-AR" w:eastAsia="es-AR"/>
              </w:rPr>
              <w:t>Aumento máximo de costos inversión y recurrentes 49.0%</w:t>
            </w:r>
          </w:p>
        </w:tc>
      </w:tr>
    </w:tbl>
    <w:p w:rsidR="006B0BBA" w:rsidRPr="006B0BBA" w:rsidRDefault="006B0BBA" w:rsidP="00B34969">
      <w:pPr>
        <w:jc w:val="both"/>
        <w:rPr>
          <w:rFonts w:ascii="Times New Roman" w:hAnsi="Times New Roman"/>
          <w:sz w:val="22"/>
          <w:lang w:val="es-ES_tradnl"/>
        </w:rPr>
      </w:pPr>
    </w:p>
    <w:p w:rsidR="009D1727" w:rsidRDefault="00B24085" w:rsidP="00AD78F4">
      <w:pPr>
        <w:numPr>
          <w:ilvl w:val="1"/>
          <w:numId w:val="24"/>
        </w:numPr>
        <w:jc w:val="both"/>
        <w:rPr>
          <w:rFonts w:ascii="Times New Roman" w:hAnsi="Times New Roman"/>
          <w:sz w:val="22"/>
          <w:lang w:val="es-ES_tradnl"/>
        </w:rPr>
      </w:pPr>
      <w:r w:rsidRPr="0078407C">
        <w:rPr>
          <w:rFonts w:ascii="Times New Roman" w:hAnsi="Times New Roman"/>
          <w:sz w:val="22"/>
          <w:lang w:val="es-ES_tradnl"/>
        </w:rPr>
        <w:t xml:space="preserve"> Se concluye que el Programa muestra una solidez razonable ante condiciones desfavorables.</w:t>
      </w:r>
      <w:bookmarkEnd w:id="102"/>
      <w:r w:rsidR="00F44D2B">
        <w:rPr>
          <w:rFonts w:ascii="Times New Roman" w:hAnsi="Times New Roman"/>
          <w:sz w:val="22"/>
          <w:lang w:val="es-ES_tradnl"/>
        </w:rPr>
        <w:t xml:space="preserve"> </w:t>
      </w:r>
    </w:p>
    <w:p w:rsidR="00406CAE" w:rsidRDefault="00406CAE" w:rsidP="00455FC7">
      <w:pPr>
        <w:ind w:left="718"/>
        <w:jc w:val="both"/>
        <w:rPr>
          <w:rFonts w:ascii="Times New Roman" w:hAnsi="Times New Roman"/>
          <w:sz w:val="22"/>
          <w:lang w:val="es-ES_tradnl"/>
        </w:rPr>
      </w:pPr>
    </w:p>
    <w:p w:rsidR="008B6B6B" w:rsidRDefault="008B6B6B" w:rsidP="008B6B6B">
      <w:pPr>
        <w:rPr>
          <w:lang w:val="es-ES_tradnl"/>
        </w:rPr>
      </w:pPr>
      <w:bookmarkStart w:id="135" w:name="_Toc432066645"/>
      <w:bookmarkStart w:id="136" w:name="_Toc432069295"/>
      <w:bookmarkStart w:id="137" w:name="_Toc432069772"/>
      <w:bookmarkStart w:id="138" w:name="_Toc432069818"/>
      <w:bookmarkStart w:id="139" w:name="_Toc432069883"/>
      <w:bookmarkStart w:id="140" w:name="_Toc432069979"/>
      <w:bookmarkStart w:id="141" w:name="_Toc432070023"/>
      <w:bookmarkStart w:id="142" w:name="_Toc433296720"/>
      <w:bookmarkStart w:id="143" w:name="_Toc433297053"/>
      <w:bookmarkStart w:id="144" w:name="_Toc433634334"/>
      <w:bookmarkStart w:id="145" w:name="_Toc434242674"/>
      <w:bookmarkStart w:id="146" w:name="_Toc434341880"/>
      <w:bookmarkStart w:id="147" w:name="_Toc434486142"/>
      <w:bookmarkStart w:id="148" w:name="_Toc434504854"/>
      <w:bookmarkStart w:id="149" w:name="_Toc434504914"/>
      <w:bookmarkStart w:id="150" w:name="_Toc434598943"/>
      <w:bookmarkStart w:id="151" w:name="_Toc434599003"/>
      <w:bookmarkStart w:id="152" w:name="_Toc434599178"/>
      <w:bookmarkStart w:id="153" w:name="_Toc434599230"/>
      <w:bookmarkStart w:id="154" w:name="_Toc434657475"/>
      <w:bookmarkStart w:id="155" w:name="_Toc434786285"/>
      <w:bookmarkStart w:id="156" w:name="_Toc434855898"/>
      <w:bookmarkStart w:id="157" w:name="_Toc434855951"/>
      <w:bookmarkStart w:id="158" w:name="_Toc435624452"/>
      <w:bookmarkStart w:id="159" w:name="_Toc435896201"/>
      <w:bookmarkStart w:id="160" w:name="_Toc436033814"/>
      <w:bookmarkStart w:id="161" w:name="_Toc438118899"/>
      <w:bookmarkStart w:id="162" w:name="_Toc438146149"/>
      <w:bookmarkStart w:id="163" w:name="_Toc438146230"/>
      <w:bookmarkStart w:id="164" w:name="_Toc438146282"/>
      <w:bookmarkStart w:id="165" w:name="_Toc453344361"/>
      <w:bookmarkStart w:id="166" w:name="_Toc453344528"/>
      <w:bookmarkStart w:id="167" w:name="_Toc453345770"/>
      <w:bookmarkStart w:id="168" w:name="_Toc453349013"/>
      <w:bookmarkStart w:id="169" w:name="_Toc453349476"/>
      <w:bookmarkStart w:id="170" w:name="_Toc453349785"/>
      <w:bookmarkStart w:id="171" w:name="_Toc453350006"/>
      <w:bookmarkStart w:id="172" w:name="_Toc453350466"/>
      <w:bookmarkStart w:id="173" w:name="_Toc453350569"/>
      <w:bookmarkStart w:id="174" w:name="_Toc453350620"/>
      <w:bookmarkStart w:id="175" w:name="_Toc457732954"/>
      <w:bookmarkStart w:id="176" w:name="_Toc457733136"/>
      <w:bookmarkStart w:id="177" w:name="_Toc457734722"/>
      <w:bookmarkStart w:id="178" w:name="_Toc457850788"/>
      <w:bookmarkStart w:id="179" w:name="_Toc457853361"/>
      <w:bookmarkStart w:id="180" w:name="_Toc457853626"/>
      <w:bookmarkStart w:id="181" w:name="_Toc457857911"/>
      <w:bookmarkStart w:id="182" w:name="_Toc457857998"/>
      <w:bookmarkStart w:id="183" w:name="_Toc457858039"/>
      <w:bookmarkStart w:id="184" w:name="_Toc458501975"/>
      <w:bookmarkStart w:id="185" w:name="_Toc459042871"/>
      <w:bookmarkStart w:id="186" w:name="_Toc459048828"/>
      <w:bookmarkStart w:id="187" w:name="_Toc459092657"/>
      <w:bookmarkStart w:id="188" w:name="_Toc460144833"/>
      <w:bookmarkStart w:id="189" w:name="_Toc460180743"/>
      <w:bookmarkStart w:id="190" w:name="_Toc460694042"/>
      <w:bookmarkStart w:id="191" w:name="_Toc460710233"/>
      <w:bookmarkStart w:id="192" w:name="_Toc460710270"/>
      <w:bookmarkStart w:id="193" w:name="_Toc460752147"/>
      <w:bookmarkStart w:id="194" w:name="_Toc460752812"/>
      <w:bookmarkStart w:id="195" w:name="_Toc460862812"/>
      <w:bookmarkStart w:id="196" w:name="_Toc462911114"/>
      <w:bookmarkStart w:id="197" w:name="_Toc462911155"/>
      <w:bookmarkStart w:id="198" w:name="_Toc462913718"/>
      <w:bookmarkStart w:id="199" w:name="_Toc462913781"/>
      <w:bookmarkStart w:id="200" w:name="_Toc462915923"/>
      <w:bookmarkStart w:id="201" w:name="_Toc463858621"/>
      <w:bookmarkStart w:id="202" w:name="_Toc464206846"/>
      <w:bookmarkStart w:id="203" w:name="_Toc464207028"/>
      <w:bookmarkStart w:id="204" w:name="_Toc465061205"/>
      <w:bookmarkStart w:id="205" w:name="_Toc465061303"/>
      <w:bookmarkStart w:id="206" w:name="_Toc465061398"/>
      <w:bookmarkStart w:id="207" w:name="_Toc465260002"/>
      <w:bookmarkStart w:id="208" w:name="_Toc465810490"/>
      <w:bookmarkStart w:id="209" w:name="_Toc465810545"/>
      <w:bookmarkStart w:id="210" w:name="_Toc465929631"/>
      <w:bookmarkStart w:id="211" w:name="_Toc465932349"/>
      <w:bookmarkStart w:id="212" w:name="_Toc467578547"/>
      <w:bookmarkStart w:id="213" w:name="_Toc467768427"/>
      <w:bookmarkStart w:id="214" w:name="_Toc467769120"/>
      <w:bookmarkStart w:id="215" w:name="_Toc467769230"/>
      <w:bookmarkStart w:id="216" w:name="_Toc453349014"/>
      <w:bookmarkStart w:id="217" w:name="_Toc453349477"/>
      <w:bookmarkStart w:id="218" w:name="_Toc453349786"/>
      <w:bookmarkStart w:id="219" w:name="_Toc453350007"/>
      <w:bookmarkStart w:id="220" w:name="_Toc453350467"/>
      <w:bookmarkStart w:id="221" w:name="_Toc453350570"/>
      <w:bookmarkStart w:id="222" w:name="_Toc453350621"/>
      <w:bookmarkStart w:id="223" w:name="_Toc457732955"/>
      <w:bookmarkStart w:id="224" w:name="_Toc457733137"/>
      <w:bookmarkStart w:id="225" w:name="_Toc457734723"/>
      <w:bookmarkStart w:id="226" w:name="_Toc457850789"/>
      <w:bookmarkStart w:id="227" w:name="_Toc457853362"/>
      <w:bookmarkStart w:id="228" w:name="_Toc457853627"/>
      <w:bookmarkStart w:id="229" w:name="_Toc457857912"/>
      <w:bookmarkStart w:id="230" w:name="_Toc457857999"/>
      <w:bookmarkStart w:id="231" w:name="_Toc457858040"/>
      <w:bookmarkStart w:id="232" w:name="_Toc458501976"/>
      <w:bookmarkStart w:id="233" w:name="_Toc459042872"/>
      <w:bookmarkStart w:id="234" w:name="_Toc459048829"/>
      <w:bookmarkStart w:id="235" w:name="_Toc459092658"/>
      <w:bookmarkStart w:id="236" w:name="_Toc460144834"/>
      <w:bookmarkStart w:id="237" w:name="_Toc460180744"/>
      <w:bookmarkStart w:id="238" w:name="_Toc460694043"/>
      <w:bookmarkStart w:id="239" w:name="_Toc460710234"/>
      <w:bookmarkStart w:id="240" w:name="_Toc460710271"/>
      <w:bookmarkStart w:id="241" w:name="_Toc460752148"/>
      <w:bookmarkStart w:id="242" w:name="_Toc460752813"/>
      <w:bookmarkStart w:id="243" w:name="_Toc460862813"/>
      <w:bookmarkStart w:id="244" w:name="_Toc462911115"/>
      <w:bookmarkStart w:id="245" w:name="_Toc462911156"/>
      <w:bookmarkStart w:id="246" w:name="_Toc462913719"/>
      <w:bookmarkStart w:id="247" w:name="_Toc462913782"/>
      <w:bookmarkStart w:id="248" w:name="_Toc462915924"/>
      <w:bookmarkStart w:id="249" w:name="_Toc463858622"/>
      <w:bookmarkStart w:id="250" w:name="_Toc464206847"/>
      <w:bookmarkStart w:id="251" w:name="_Toc464207029"/>
      <w:bookmarkStart w:id="252" w:name="_Toc465061206"/>
      <w:bookmarkStart w:id="253" w:name="_Toc465061304"/>
      <w:bookmarkStart w:id="254" w:name="_Toc465061399"/>
      <w:bookmarkStart w:id="255" w:name="_Toc465260003"/>
      <w:bookmarkStart w:id="256" w:name="_Toc465810491"/>
      <w:bookmarkStart w:id="257" w:name="_Toc465810546"/>
      <w:bookmarkStart w:id="258" w:name="_Toc465929632"/>
      <w:bookmarkStart w:id="259" w:name="_Toc465932350"/>
      <w:bookmarkStart w:id="260" w:name="_Toc467578548"/>
      <w:bookmarkStart w:id="261" w:name="_Toc467768428"/>
      <w:bookmarkStart w:id="262" w:name="_Toc467769121"/>
      <w:bookmarkStart w:id="263" w:name="_Toc467769231"/>
      <w:bookmarkStart w:id="264" w:name="_Toc453349015"/>
      <w:bookmarkStart w:id="265" w:name="_Toc453349478"/>
      <w:bookmarkStart w:id="266" w:name="_Toc453349787"/>
      <w:bookmarkStart w:id="267" w:name="_Toc453350008"/>
      <w:bookmarkStart w:id="268" w:name="_Toc453350468"/>
      <w:bookmarkStart w:id="269" w:name="_Toc453350571"/>
      <w:bookmarkStart w:id="270" w:name="_Toc453350622"/>
      <w:bookmarkStart w:id="271" w:name="_Toc457732956"/>
      <w:bookmarkStart w:id="272" w:name="_Toc457733138"/>
      <w:bookmarkStart w:id="273" w:name="_Toc457734724"/>
      <w:bookmarkStart w:id="274" w:name="_Toc457850790"/>
      <w:bookmarkStart w:id="275" w:name="_Toc457853363"/>
      <w:bookmarkStart w:id="276" w:name="_Toc457853628"/>
      <w:bookmarkStart w:id="277" w:name="_Toc457857913"/>
      <w:bookmarkStart w:id="278" w:name="_Toc457858000"/>
      <w:bookmarkStart w:id="279" w:name="_Toc457858041"/>
      <w:bookmarkStart w:id="280" w:name="_Toc458501977"/>
      <w:bookmarkStart w:id="281" w:name="_Toc459042873"/>
      <w:bookmarkStart w:id="282" w:name="_Toc459048830"/>
      <w:bookmarkStart w:id="283" w:name="_Toc459092659"/>
      <w:bookmarkStart w:id="284" w:name="_Toc460144835"/>
      <w:bookmarkStart w:id="285" w:name="_Toc460180745"/>
      <w:bookmarkStart w:id="286" w:name="_Toc460694044"/>
      <w:bookmarkStart w:id="287" w:name="_Toc460710235"/>
      <w:bookmarkStart w:id="288" w:name="_Toc460710272"/>
      <w:bookmarkStart w:id="289" w:name="_Toc460752149"/>
      <w:bookmarkStart w:id="290" w:name="_Toc460752814"/>
      <w:bookmarkStart w:id="291" w:name="_Toc460862814"/>
      <w:bookmarkStart w:id="292" w:name="_Toc462911116"/>
      <w:bookmarkStart w:id="293" w:name="_Toc462911157"/>
      <w:bookmarkStart w:id="294" w:name="_Toc462913720"/>
      <w:bookmarkStart w:id="295" w:name="_Toc462913783"/>
      <w:bookmarkStart w:id="296" w:name="_Toc462915925"/>
      <w:bookmarkStart w:id="297" w:name="_Toc463858623"/>
      <w:bookmarkStart w:id="298" w:name="_Toc464206848"/>
      <w:bookmarkStart w:id="299" w:name="_Toc464207030"/>
      <w:bookmarkStart w:id="300" w:name="_Toc465061207"/>
      <w:bookmarkStart w:id="301" w:name="_Toc465061305"/>
      <w:bookmarkStart w:id="302" w:name="_Toc465061400"/>
      <w:bookmarkStart w:id="303" w:name="_Toc465260004"/>
      <w:bookmarkStart w:id="304" w:name="_Toc465810492"/>
      <w:bookmarkStart w:id="305" w:name="_Toc465810547"/>
      <w:bookmarkStart w:id="306" w:name="_Toc465929633"/>
      <w:bookmarkStart w:id="307" w:name="_Toc465932351"/>
      <w:bookmarkStart w:id="308" w:name="_Toc467578549"/>
      <w:bookmarkStart w:id="309" w:name="_Toc467768429"/>
      <w:bookmarkStart w:id="310" w:name="_Toc467769122"/>
      <w:bookmarkStart w:id="311" w:name="_Toc467769232"/>
      <w:bookmarkStart w:id="312" w:name="_Toc432069296"/>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rsidR="00191DBD" w:rsidRPr="00F44D2B" w:rsidRDefault="00F44D2B" w:rsidP="00AD78F4">
      <w:pPr>
        <w:numPr>
          <w:ilvl w:val="1"/>
          <w:numId w:val="24"/>
        </w:numPr>
        <w:jc w:val="both"/>
        <w:rPr>
          <w:rFonts w:ascii="Times New Roman" w:hAnsi="Times New Roman"/>
          <w:sz w:val="22"/>
          <w:lang w:val="es-ES_tradnl"/>
        </w:rPr>
      </w:pPr>
      <w:r w:rsidRPr="009C3402">
        <w:rPr>
          <w:rFonts w:ascii="Times New Roman" w:hAnsi="Times New Roman"/>
          <w:i/>
          <w:sz w:val="22"/>
          <w:lang w:val="es-ES_tradnl"/>
        </w:rPr>
        <w:t>Sostenibilidad</w:t>
      </w:r>
      <w:r w:rsidR="004D329F" w:rsidRPr="009C3402">
        <w:rPr>
          <w:rFonts w:ascii="Times New Roman" w:hAnsi="Times New Roman"/>
          <w:i/>
          <w:sz w:val="22"/>
          <w:lang w:val="es-ES_tradnl"/>
        </w:rPr>
        <w:t>.</w:t>
      </w:r>
      <w:r w:rsidR="004D329F" w:rsidRPr="00F44D2B">
        <w:rPr>
          <w:rFonts w:ascii="Times New Roman" w:hAnsi="Times New Roman"/>
          <w:sz w:val="22"/>
          <w:lang w:val="es-ES_tradnl"/>
        </w:rPr>
        <w:t xml:space="preserve"> L</w:t>
      </w:r>
      <w:r w:rsidR="004F0702" w:rsidRPr="00F44D2B">
        <w:rPr>
          <w:rFonts w:ascii="Times New Roman" w:hAnsi="Times New Roman"/>
          <w:sz w:val="22"/>
          <w:lang w:val="es-ES_tradnl"/>
        </w:rPr>
        <w:t xml:space="preserve">a literatura establece las capacidades necesarias que </w:t>
      </w:r>
      <w:r w:rsidR="008005CB">
        <w:rPr>
          <w:rFonts w:ascii="Times New Roman" w:hAnsi="Times New Roman"/>
          <w:sz w:val="22"/>
          <w:lang w:val="es-ES_tradnl"/>
        </w:rPr>
        <w:t>componen</w:t>
      </w:r>
      <w:r w:rsidR="004F0702" w:rsidRPr="00F44D2B">
        <w:rPr>
          <w:rFonts w:ascii="Times New Roman" w:hAnsi="Times New Roman"/>
          <w:sz w:val="22"/>
          <w:lang w:val="es-ES_tradnl"/>
        </w:rPr>
        <w:t xml:space="preserve"> </w:t>
      </w:r>
      <w:r w:rsidR="009C3402">
        <w:rPr>
          <w:rFonts w:ascii="Times New Roman" w:hAnsi="Times New Roman"/>
          <w:sz w:val="22"/>
          <w:lang w:val="es-ES_tradnl"/>
        </w:rPr>
        <w:t>un</w:t>
      </w:r>
      <w:r w:rsidR="004F0702" w:rsidRPr="00F44D2B">
        <w:rPr>
          <w:rFonts w:ascii="Times New Roman" w:hAnsi="Times New Roman"/>
          <w:sz w:val="22"/>
          <w:lang w:val="es-ES_tradnl"/>
        </w:rPr>
        <w:t xml:space="preserve"> Sistema de Alerta Temprana que incluyen</w:t>
      </w:r>
      <w:r w:rsidR="004D329F" w:rsidRPr="00F44D2B">
        <w:rPr>
          <w:rFonts w:ascii="Times New Roman" w:hAnsi="Times New Roman"/>
          <w:sz w:val="22"/>
          <w:lang w:val="es-ES_tradnl"/>
        </w:rPr>
        <w:t>:</w:t>
      </w:r>
      <w:r w:rsidR="0078407C" w:rsidRPr="00F44D2B">
        <w:rPr>
          <w:rFonts w:ascii="Times New Roman" w:hAnsi="Times New Roman"/>
          <w:sz w:val="22"/>
          <w:lang w:val="es-ES_tradnl"/>
        </w:rPr>
        <w:t xml:space="preserve"> </w:t>
      </w:r>
      <w:r w:rsidR="004D329F" w:rsidRPr="00F44D2B">
        <w:rPr>
          <w:rFonts w:ascii="Times New Roman" w:hAnsi="Times New Roman"/>
          <w:sz w:val="22"/>
          <w:lang w:val="es-ES_tradnl"/>
        </w:rPr>
        <w:t xml:space="preserve"> (i) </w:t>
      </w:r>
      <w:r w:rsidR="004F0702" w:rsidRPr="00F44D2B">
        <w:rPr>
          <w:rFonts w:ascii="Times New Roman" w:hAnsi="Times New Roman"/>
          <w:sz w:val="22"/>
          <w:lang w:val="es-ES_tradnl"/>
        </w:rPr>
        <w:t>e</w:t>
      </w:r>
      <w:r w:rsidR="004D329F" w:rsidRPr="00F44D2B">
        <w:rPr>
          <w:rFonts w:ascii="Times New Roman" w:hAnsi="Times New Roman"/>
          <w:sz w:val="22"/>
          <w:lang w:val="es-ES_tradnl"/>
        </w:rPr>
        <w:t>l sistema de observación local, para los datos del tiempo (temperatura, precipitación), datos hidrológicos ( escorrentía), datos topológicos (base de datos de elevación a enlazar previsión de la fuga con la extensión de la inundación), datos socioeconómicos (densidad de población y capacidad de transporte pa</w:t>
      </w:r>
      <w:r w:rsidR="004F0702" w:rsidRPr="00F44D2B">
        <w:rPr>
          <w:rFonts w:ascii="Times New Roman" w:hAnsi="Times New Roman"/>
          <w:sz w:val="22"/>
          <w:lang w:val="es-ES_tradnl"/>
        </w:rPr>
        <w:t>ra decidir sobre la evacuación</w:t>
      </w:r>
      <w:r w:rsidR="006620C3" w:rsidRPr="00F44D2B">
        <w:rPr>
          <w:rFonts w:ascii="Times New Roman" w:hAnsi="Times New Roman"/>
          <w:sz w:val="22"/>
          <w:lang w:val="es-ES_tradnl"/>
        </w:rPr>
        <w:t>)</w:t>
      </w:r>
      <w:r w:rsidR="006620C3">
        <w:rPr>
          <w:rFonts w:ascii="Times New Roman" w:hAnsi="Times New Roman"/>
          <w:sz w:val="22"/>
          <w:lang w:val="es-ES_tradnl"/>
        </w:rPr>
        <w:t>;</w:t>
      </w:r>
      <w:r w:rsidR="006620C3" w:rsidRPr="00F44D2B">
        <w:rPr>
          <w:rFonts w:ascii="Times New Roman" w:hAnsi="Times New Roman"/>
          <w:sz w:val="22"/>
          <w:lang w:val="es-ES_tradnl"/>
        </w:rPr>
        <w:t xml:space="preserve">  </w:t>
      </w:r>
      <w:r w:rsidR="008005CB">
        <w:rPr>
          <w:rFonts w:ascii="Times New Roman" w:hAnsi="Times New Roman"/>
          <w:sz w:val="22"/>
          <w:lang w:val="es-ES_tradnl"/>
        </w:rPr>
        <w:t>(ii) la capacidad de previsión</w:t>
      </w:r>
      <w:r w:rsidR="006620C3">
        <w:rPr>
          <w:rFonts w:ascii="Times New Roman" w:hAnsi="Times New Roman"/>
          <w:sz w:val="22"/>
          <w:lang w:val="es-ES_tradnl"/>
        </w:rPr>
        <w:t>;</w:t>
      </w:r>
      <w:r w:rsidR="006620C3" w:rsidRPr="00F44D2B">
        <w:rPr>
          <w:rFonts w:ascii="Times New Roman" w:hAnsi="Times New Roman"/>
          <w:sz w:val="22"/>
          <w:lang w:val="es-ES_tradnl"/>
        </w:rPr>
        <w:t xml:space="preserve">  </w:t>
      </w:r>
      <w:r w:rsidR="004D329F" w:rsidRPr="00F44D2B">
        <w:rPr>
          <w:rFonts w:ascii="Times New Roman" w:hAnsi="Times New Roman"/>
          <w:sz w:val="22"/>
          <w:lang w:val="es-ES_tradnl"/>
        </w:rPr>
        <w:t>(iii) la capacidad de interpretación, que se traduce en los resultados del modelo de</w:t>
      </w:r>
      <w:r w:rsidR="008005CB">
        <w:rPr>
          <w:rFonts w:ascii="Times New Roman" w:hAnsi="Times New Roman"/>
          <w:sz w:val="22"/>
          <w:lang w:val="es-ES_tradnl"/>
        </w:rPr>
        <w:t xml:space="preserve"> previsión y advertencias real</w:t>
      </w:r>
      <w:r w:rsidR="006620C3">
        <w:rPr>
          <w:rFonts w:ascii="Times New Roman" w:hAnsi="Times New Roman"/>
          <w:sz w:val="22"/>
          <w:lang w:val="es-ES_tradnl"/>
        </w:rPr>
        <w:t>;</w:t>
      </w:r>
      <w:r w:rsidR="006620C3" w:rsidRPr="00F44D2B">
        <w:rPr>
          <w:rFonts w:ascii="Times New Roman" w:hAnsi="Times New Roman"/>
          <w:sz w:val="22"/>
          <w:lang w:val="es-ES_tradnl"/>
        </w:rPr>
        <w:t xml:space="preserve">  </w:t>
      </w:r>
      <w:r w:rsidR="004D329F" w:rsidRPr="00F44D2B">
        <w:rPr>
          <w:rFonts w:ascii="Times New Roman" w:hAnsi="Times New Roman"/>
          <w:sz w:val="22"/>
          <w:lang w:val="es-ES_tradnl"/>
        </w:rPr>
        <w:t>(iv) Las herramientas de comunicación, para asegurarse de que la alerta llegue a las personas encargadas de la aplicación de medidas de prevención (incluido el público y los planes de evacuación y de emergen</w:t>
      </w:r>
      <w:r w:rsidR="004F0702" w:rsidRPr="00F44D2B">
        <w:rPr>
          <w:rFonts w:ascii="Times New Roman" w:hAnsi="Times New Roman"/>
          <w:sz w:val="22"/>
          <w:lang w:val="es-ES_tradnl"/>
        </w:rPr>
        <w:t>cia</w:t>
      </w:r>
      <w:r w:rsidR="006620C3">
        <w:rPr>
          <w:rFonts w:ascii="Times New Roman" w:hAnsi="Times New Roman"/>
          <w:sz w:val="22"/>
          <w:lang w:val="es-ES_tradnl"/>
        </w:rPr>
        <w:t>; y</w:t>
      </w:r>
      <w:r w:rsidR="006620C3" w:rsidRPr="00F44D2B">
        <w:rPr>
          <w:rFonts w:ascii="Times New Roman" w:hAnsi="Times New Roman"/>
          <w:sz w:val="22"/>
          <w:lang w:val="es-ES_tradnl"/>
        </w:rPr>
        <w:t xml:space="preserve">  </w:t>
      </w:r>
      <w:r w:rsidR="004F0702" w:rsidRPr="00F44D2B">
        <w:rPr>
          <w:rFonts w:ascii="Times New Roman" w:hAnsi="Times New Roman"/>
          <w:sz w:val="22"/>
          <w:lang w:val="es-ES_tradnl"/>
        </w:rPr>
        <w:t>(</w:t>
      </w:r>
      <w:r w:rsidR="009C3402">
        <w:rPr>
          <w:rFonts w:ascii="Times New Roman" w:hAnsi="Times New Roman"/>
          <w:sz w:val="22"/>
          <w:lang w:val="es-ES_tradnl"/>
        </w:rPr>
        <w:t>v</w:t>
      </w:r>
      <w:r w:rsidR="004F0702" w:rsidRPr="00F44D2B">
        <w:rPr>
          <w:rFonts w:ascii="Times New Roman" w:hAnsi="Times New Roman"/>
          <w:sz w:val="22"/>
          <w:lang w:val="es-ES_tradnl"/>
        </w:rPr>
        <w:t xml:space="preserve">) la toma de decisiones </w:t>
      </w:r>
      <w:r w:rsidR="004D329F" w:rsidRPr="00F44D2B">
        <w:rPr>
          <w:rFonts w:ascii="Times New Roman" w:hAnsi="Times New Roman"/>
          <w:sz w:val="22"/>
          <w:lang w:val="es-ES_tradnl"/>
        </w:rPr>
        <w:t xml:space="preserve">para asegurarse de que las advertencias se </w:t>
      </w:r>
      <w:r w:rsidR="008005CB">
        <w:rPr>
          <w:rFonts w:ascii="Times New Roman" w:hAnsi="Times New Roman"/>
          <w:sz w:val="22"/>
          <w:lang w:val="es-ES_tradnl"/>
        </w:rPr>
        <w:t>aplican</w:t>
      </w:r>
      <w:r w:rsidR="004D329F" w:rsidRPr="00F44D2B">
        <w:rPr>
          <w:rFonts w:ascii="Times New Roman" w:hAnsi="Times New Roman"/>
          <w:sz w:val="22"/>
          <w:lang w:val="es-ES_tradnl"/>
        </w:rPr>
        <w:t xml:space="preserve"> en real</w:t>
      </w:r>
      <w:r w:rsidR="00D1046D" w:rsidRPr="00F44D2B">
        <w:rPr>
          <w:rFonts w:ascii="Times New Roman" w:hAnsi="Times New Roman"/>
          <w:sz w:val="22"/>
          <w:lang w:val="es-ES_tradnl"/>
        </w:rPr>
        <w:t>idad (incluyendo la evacuación)</w:t>
      </w:r>
      <w:r w:rsidR="00191DBD" w:rsidRPr="00F44D2B">
        <w:rPr>
          <w:rFonts w:ascii="Times New Roman" w:hAnsi="Times New Roman"/>
          <w:sz w:val="22"/>
          <w:lang w:val="es-ES_tradnl"/>
        </w:rPr>
        <w:t>.</w:t>
      </w:r>
    </w:p>
    <w:p w:rsidR="004D329F" w:rsidRPr="00191DBD" w:rsidRDefault="004D329F" w:rsidP="004D329F">
      <w:pPr>
        <w:ind w:left="718"/>
        <w:jc w:val="both"/>
        <w:rPr>
          <w:rFonts w:ascii="Times New Roman" w:hAnsi="Times New Roman"/>
          <w:sz w:val="22"/>
          <w:szCs w:val="22"/>
          <w:lang w:val="es-AR"/>
        </w:rPr>
      </w:pPr>
    </w:p>
    <w:p w:rsidR="00191DBD" w:rsidRPr="004F0702" w:rsidRDefault="004D329F" w:rsidP="00AD78F4">
      <w:pPr>
        <w:numPr>
          <w:ilvl w:val="1"/>
          <w:numId w:val="24"/>
        </w:numPr>
        <w:jc w:val="both"/>
        <w:rPr>
          <w:rFonts w:ascii="Times New Roman" w:hAnsi="Times New Roman"/>
          <w:sz w:val="22"/>
          <w:szCs w:val="22"/>
          <w:lang w:val="es-AR"/>
        </w:rPr>
      </w:pPr>
      <w:r w:rsidRPr="004F0702">
        <w:rPr>
          <w:rFonts w:ascii="Times New Roman" w:hAnsi="Times New Roman"/>
          <w:sz w:val="22"/>
          <w:szCs w:val="22"/>
          <w:lang w:val="es-AR"/>
        </w:rPr>
        <w:t>La capacidad de mejor</w:t>
      </w:r>
      <w:r w:rsidR="004F0702" w:rsidRPr="004F0702">
        <w:rPr>
          <w:rFonts w:ascii="Times New Roman" w:hAnsi="Times New Roman"/>
          <w:sz w:val="22"/>
          <w:szCs w:val="22"/>
          <w:lang w:val="es-AR"/>
        </w:rPr>
        <w:t xml:space="preserve">ar la capacidad de previsión </w:t>
      </w:r>
      <w:r w:rsidRPr="004F0702">
        <w:rPr>
          <w:rFonts w:ascii="Times New Roman" w:hAnsi="Times New Roman"/>
          <w:sz w:val="22"/>
          <w:szCs w:val="22"/>
          <w:lang w:val="es-AR"/>
        </w:rPr>
        <w:t>para proporcionar pronósticos que sean aprop</w:t>
      </w:r>
      <w:r w:rsidR="004F0702" w:rsidRPr="004F0702">
        <w:rPr>
          <w:rFonts w:ascii="Times New Roman" w:hAnsi="Times New Roman"/>
          <w:sz w:val="22"/>
          <w:szCs w:val="22"/>
          <w:lang w:val="es-AR"/>
        </w:rPr>
        <w:t xml:space="preserve">iados </w:t>
      </w:r>
      <w:r w:rsidRPr="004F0702">
        <w:rPr>
          <w:rFonts w:ascii="Times New Roman" w:hAnsi="Times New Roman"/>
          <w:sz w:val="22"/>
          <w:szCs w:val="22"/>
          <w:lang w:val="es-AR"/>
        </w:rPr>
        <w:t>depende de</w:t>
      </w:r>
      <w:r w:rsidR="004F0702" w:rsidRPr="004F0702">
        <w:rPr>
          <w:rFonts w:ascii="Times New Roman" w:hAnsi="Times New Roman"/>
          <w:sz w:val="22"/>
          <w:szCs w:val="22"/>
          <w:lang w:val="es-AR"/>
        </w:rPr>
        <w:t xml:space="preserve"> </w:t>
      </w:r>
      <w:r w:rsidRPr="004F0702">
        <w:rPr>
          <w:rFonts w:ascii="Times New Roman" w:hAnsi="Times New Roman"/>
          <w:sz w:val="22"/>
          <w:szCs w:val="22"/>
          <w:lang w:val="es-AR"/>
        </w:rPr>
        <w:t xml:space="preserve">capacidad científica local, incluyendo </w:t>
      </w:r>
      <w:r w:rsidR="004F0702" w:rsidRPr="004F0702">
        <w:rPr>
          <w:rFonts w:ascii="Times New Roman" w:hAnsi="Times New Roman"/>
          <w:sz w:val="22"/>
          <w:szCs w:val="22"/>
          <w:lang w:val="es-AR"/>
        </w:rPr>
        <w:t>el aporte de Universidades y  P</w:t>
      </w:r>
      <w:r w:rsidRPr="004F0702">
        <w:rPr>
          <w:rFonts w:ascii="Times New Roman" w:hAnsi="Times New Roman"/>
          <w:sz w:val="22"/>
          <w:szCs w:val="22"/>
          <w:lang w:val="es-AR"/>
        </w:rPr>
        <w:t>rograma</w:t>
      </w:r>
      <w:r w:rsidR="004F0702" w:rsidRPr="004F0702">
        <w:rPr>
          <w:rFonts w:ascii="Times New Roman" w:hAnsi="Times New Roman"/>
          <w:sz w:val="22"/>
          <w:szCs w:val="22"/>
          <w:lang w:val="es-AR"/>
        </w:rPr>
        <w:t>s</w:t>
      </w:r>
      <w:r w:rsidRPr="004F0702">
        <w:rPr>
          <w:rFonts w:ascii="Times New Roman" w:hAnsi="Times New Roman"/>
          <w:sz w:val="22"/>
          <w:szCs w:val="22"/>
          <w:lang w:val="es-AR"/>
        </w:rPr>
        <w:t xml:space="preserve"> de investigación.  </w:t>
      </w:r>
      <w:r w:rsidR="008005CB">
        <w:rPr>
          <w:rFonts w:ascii="Times New Roman" w:hAnsi="Times New Roman"/>
          <w:sz w:val="22"/>
          <w:szCs w:val="22"/>
          <w:lang w:val="es-AR"/>
        </w:rPr>
        <w:t>A su vez</w:t>
      </w:r>
      <w:r w:rsidRPr="004F0702">
        <w:rPr>
          <w:rFonts w:ascii="Times New Roman" w:hAnsi="Times New Roman"/>
          <w:sz w:val="22"/>
          <w:szCs w:val="22"/>
          <w:lang w:val="es-AR"/>
        </w:rPr>
        <w:t>, la capacidad de implementar medidas de prevención dependerá de la infraestructura y la capacidad local</w:t>
      </w:r>
      <w:r w:rsidR="004F0702" w:rsidRPr="004F0702">
        <w:rPr>
          <w:rFonts w:ascii="Times New Roman" w:hAnsi="Times New Roman"/>
          <w:sz w:val="22"/>
          <w:szCs w:val="22"/>
          <w:lang w:val="es-AR"/>
        </w:rPr>
        <w:t xml:space="preserve"> (por ejemplo l</w:t>
      </w:r>
      <w:r w:rsidRPr="004F0702">
        <w:rPr>
          <w:rFonts w:ascii="Times New Roman" w:hAnsi="Times New Roman"/>
          <w:sz w:val="22"/>
          <w:szCs w:val="22"/>
          <w:lang w:val="es-AR"/>
        </w:rPr>
        <w:t xml:space="preserve">a falta de capacidad de transporte público </w:t>
      </w:r>
      <w:r w:rsidR="004F0702" w:rsidRPr="004F0702">
        <w:rPr>
          <w:rFonts w:ascii="Times New Roman" w:hAnsi="Times New Roman"/>
          <w:sz w:val="22"/>
          <w:szCs w:val="22"/>
          <w:lang w:val="es-AR"/>
        </w:rPr>
        <w:t xml:space="preserve">o </w:t>
      </w:r>
      <w:r w:rsidRPr="004F0702">
        <w:rPr>
          <w:rFonts w:ascii="Times New Roman" w:hAnsi="Times New Roman"/>
          <w:sz w:val="22"/>
          <w:szCs w:val="22"/>
          <w:lang w:val="es-AR"/>
        </w:rPr>
        <w:t xml:space="preserve"> individual) puede hacer que </w:t>
      </w:r>
      <w:r w:rsidR="004F0702" w:rsidRPr="004F0702">
        <w:rPr>
          <w:rFonts w:ascii="Times New Roman" w:hAnsi="Times New Roman"/>
          <w:sz w:val="22"/>
          <w:szCs w:val="22"/>
          <w:lang w:val="es-AR"/>
        </w:rPr>
        <w:t>un SAT pierda eficiencia</w:t>
      </w:r>
      <w:r w:rsidRPr="004F0702">
        <w:rPr>
          <w:rFonts w:ascii="Times New Roman" w:hAnsi="Times New Roman"/>
          <w:sz w:val="22"/>
          <w:szCs w:val="22"/>
          <w:lang w:val="es-AR"/>
        </w:rPr>
        <w:t xml:space="preserve">. </w:t>
      </w:r>
      <w:r w:rsidR="004F0702" w:rsidRPr="004F0702">
        <w:rPr>
          <w:rFonts w:ascii="Times New Roman" w:hAnsi="Times New Roman"/>
          <w:sz w:val="22"/>
          <w:szCs w:val="22"/>
          <w:lang w:val="es-AR"/>
        </w:rPr>
        <w:t xml:space="preserve"> </w:t>
      </w:r>
      <w:r w:rsidRPr="004F0702">
        <w:rPr>
          <w:rFonts w:ascii="Times New Roman" w:hAnsi="Times New Roman"/>
          <w:sz w:val="22"/>
          <w:szCs w:val="22"/>
          <w:lang w:val="es-AR"/>
        </w:rPr>
        <w:t xml:space="preserve">Las categorías de acción se pueden diseñar de manera diferente en función de los contextos locales. Por ejemplo, la comunicación a través de teléfonos móviles con televisión, radio y celulares puede ser extremadamente eficiente, pero </w:t>
      </w:r>
      <w:r w:rsidR="004F0702">
        <w:rPr>
          <w:rFonts w:ascii="Times New Roman" w:hAnsi="Times New Roman"/>
          <w:sz w:val="22"/>
          <w:szCs w:val="22"/>
          <w:lang w:val="es-AR"/>
        </w:rPr>
        <w:t xml:space="preserve">su complemento con </w:t>
      </w:r>
      <w:r w:rsidRPr="004F0702">
        <w:rPr>
          <w:rFonts w:ascii="Times New Roman" w:hAnsi="Times New Roman"/>
          <w:sz w:val="22"/>
          <w:szCs w:val="22"/>
          <w:lang w:val="es-AR"/>
        </w:rPr>
        <w:t xml:space="preserve">opciones de baja tecnología </w:t>
      </w:r>
      <w:r w:rsidR="004F0702">
        <w:rPr>
          <w:rFonts w:ascii="Times New Roman" w:hAnsi="Times New Roman"/>
          <w:sz w:val="22"/>
          <w:szCs w:val="22"/>
          <w:lang w:val="es-AR"/>
        </w:rPr>
        <w:t>p</w:t>
      </w:r>
      <w:r w:rsidRPr="004F0702">
        <w:rPr>
          <w:rFonts w:ascii="Times New Roman" w:hAnsi="Times New Roman"/>
          <w:sz w:val="22"/>
          <w:szCs w:val="22"/>
          <w:lang w:val="es-AR"/>
        </w:rPr>
        <w:t xml:space="preserve">uede ser </w:t>
      </w:r>
      <w:r w:rsidR="008005CB">
        <w:rPr>
          <w:rFonts w:ascii="Times New Roman" w:hAnsi="Times New Roman"/>
          <w:sz w:val="22"/>
          <w:szCs w:val="22"/>
          <w:lang w:val="es-AR"/>
        </w:rPr>
        <w:t xml:space="preserve">un </w:t>
      </w:r>
      <w:r w:rsidRPr="004F0702">
        <w:rPr>
          <w:rFonts w:ascii="Times New Roman" w:hAnsi="Times New Roman"/>
          <w:sz w:val="22"/>
          <w:szCs w:val="22"/>
          <w:lang w:val="es-AR"/>
        </w:rPr>
        <w:t xml:space="preserve">útil complemento. Cuando la confianza entre los productores y </w:t>
      </w:r>
      <w:r w:rsidR="008005CB">
        <w:rPr>
          <w:rFonts w:ascii="Times New Roman" w:hAnsi="Times New Roman"/>
          <w:sz w:val="22"/>
          <w:szCs w:val="22"/>
          <w:lang w:val="es-AR"/>
        </w:rPr>
        <w:t>la</w:t>
      </w:r>
      <w:r w:rsidRPr="004F0702">
        <w:rPr>
          <w:rFonts w:ascii="Times New Roman" w:hAnsi="Times New Roman"/>
          <w:sz w:val="22"/>
          <w:szCs w:val="22"/>
          <w:lang w:val="es-AR"/>
        </w:rPr>
        <w:t xml:space="preserve"> población</w:t>
      </w:r>
      <w:r w:rsidR="008005CB">
        <w:rPr>
          <w:rFonts w:ascii="Times New Roman" w:hAnsi="Times New Roman"/>
          <w:sz w:val="22"/>
          <w:szCs w:val="22"/>
          <w:lang w:val="es-AR"/>
        </w:rPr>
        <w:t xml:space="preserve"> es limitada</w:t>
      </w:r>
      <w:r w:rsidRPr="004F0702">
        <w:rPr>
          <w:rFonts w:ascii="Times New Roman" w:hAnsi="Times New Roman"/>
          <w:sz w:val="22"/>
          <w:szCs w:val="22"/>
          <w:lang w:val="es-AR"/>
        </w:rPr>
        <w:t xml:space="preserve">, </w:t>
      </w:r>
      <w:r w:rsidR="004F0702">
        <w:rPr>
          <w:rFonts w:ascii="Times New Roman" w:hAnsi="Times New Roman"/>
          <w:sz w:val="22"/>
          <w:szCs w:val="22"/>
          <w:lang w:val="es-AR"/>
        </w:rPr>
        <w:t xml:space="preserve">los puntos de contacto locales </w:t>
      </w:r>
      <w:r w:rsidRPr="004F0702">
        <w:rPr>
          <w:rFonts w:ascii="Times New Roman" w:hAnsi="Times New Roman"/>
          <w:sz w:val="22"/>
          <w:szCs w:val="22"/>
          <w:lang w:val="es-AR"/>
        </w:rPr>
        <w:t xml:space="preserve"> pueden ayudar a</w:t>
      </w:r>
      <w:r w:rsidR="004F0702">
        <w:rPr>
          <w:rFonts w:ascii="Times New Roman" w:hAnsi="Times New Roman"/>
          <w:sz w:val="22"/>
          <w:szCs w:val="22"/>
          <w:lang w:val="es-AR"/>
        </w:rPr>
        <w:t xml:space="preserve"> su construcción</w:t>
      </w:r>
      <w:r w:rsidR="00F44D2B">
        <w:rPr>
          <w:rStyle w:val="FootnoteReference"/>
          <w:rFonts w:ascii="Times New Roman" w:hAnsi="Times New Roman"/>
          <w:sz w:val="22"/>
          <w:szCs w:val="22"/>
          <w:lang w:val="es-AR"/>
        </w:rPr>
        <w:footnoteReference w:id="61"/>
      </w:r>
      <w:r w:rsidR="004F0702">
        <w:rPr>
          <w:rFonts w:ascii="Times New Roman" w:hAnsi="Times New Roman"/>
          <w:sz w:val="22"/>
          <w:szCs w:val="22"/>
          <w:lang w:val="es-AR"/>
        </w:rPr>
        <w:t>.</w:t>
      </w:r>
    </w:p>
    <w:p w:rsidR="004D329F" w:rsidRPr="00191DBD" w:rsidRDefault="004D329F" w:rsidP="004D329F">
      <w:pPr>
        <w:jc w:val="both"/>
        <w:rPr>
          <w:rFonts w:ascii="Times New Roman" w:hAnsi="Times New Roman"/>
          <w:sz w:val="22"/>
          <w:szCs w:val="22"/>
          <w:lang w:val="es-AR"/>
        </w:rPr>
      </w:pPr>
    </w:p>
    <w:p w:rsidR="00B71E69" w:rsidRPr="00B71E69" w:rsidRDefault="00EB0749" w:rsidP="00AD78F4">
      <w:pPr>
        <w:numPr>
          <w:ilvl w:val="1"/>
          <w:numId w:val="24"/>
        </w:numPr>
        <w:autoSpaceDE w:val="0"/>
        <w:autoSpaceDN w:val="0"/>
        <w:adjustRightInd w:val="0"/>
        <w:jc w:val="both"/>
        <w:rPr>
          <w:rFonts w:ascii="Times New Roman" w:hAnsi="Times New Roman"/>
          <w:b/>
          <w:bCs/>
          <w:i/>
          <w:iCs/>
          <w:sz w:val="22"/>
          <w:szCs w:val="22"/>
          <w:lang w:val="es-ES_tradnl"/>
        </w:rPr>
      </w:pPr>
      <w:r w:rsidRPr="008005CB">
        <w:rPr>
          <w:rFonts w:ascii="Times New Roman" w:hAnsi="Times New Roman"/>
          <w:sz w:val="22"/>
          <w:szCs w:val="22"/>
          <w:lang w:val="es-ES_tradnl"/>
        </w:rPr>
        <w:t xml:space="preserve">La sostenibilidad de los sistemas de alerta temprana </w:t>
      </w:r>
      <w:r w:rsidR="009C3402" w:rsidRPr="008005CB">
        <w:rPr>
          <w:rFonts w:ascii="Times New Roman" w:hAnsi="Times New Roman"/>
          <w:sz w:val="22"/>
          <w:szCs w:val="22"/>
          <w:lang w:val="es-ES_tradnl"/>
        </w:rPr>
        <w:t>se vincula fuertemente con e</w:t>
      </w:r>
      <w:r w:rsidRPr="008005CB">
        <w:rPr>
          <w:rFonts w:ascii="Times New Roman" w:hAnsi="Times New Roman"/>
          <w:sz w:val="22"/>
          <w:szCs w:val="22"/>
          <w:lang w:val="es-ES_tradnl"/>
        </w:rPr>
        <w:t xml:space="preserve">l nivel de coordinación interinstitucional, </w:t>
      </w:r>
      <w:r w:rsidR="009C3402" w:rsidRPr="008005CB">
        <w:rPr>
          <w:rFonts w:ascii="Times New Roman" w:hAnsi="Times New Roman"/>
          <w:sz w:val="22"/>
          <w:szCs w:val="22"/>
          <w:lang w:val="es-ES_tradnl"/>
        </w:rPr>
        <w:t xml:space="preserve">que podría </w:t>
      </w:r>
      <w:r w:rsidR="00127AE3" w:rsidRPr="008005CB">
        <w:rPr>
          <w:rFonts w:ascii="Times New Roman" w:hAnsi="Times New Roman"/>
          <w:sz w:val="22"/>
          <w:szCs w:val="22"/>
          <w:lang w:val="es-ES_tradnl"/>
        </w:rPr>
        <w:t>ser</w:t>
      </w:r>
      <w:r w:rsidR="009C3402" w:rsidRPr="008005CB">
        <w:rPr>
          <w:rFonts w:ascii="Times New Roman" w:hAnsi="Times New Roman"/>
          <w:sz w:val="22"/>
          <w:szCs w:val="22"/>
          <w:lang w:val="es-ES_tradnl"/>
        </w:rPr>
        <w:t xml:space="preserve"> </w:t>
      </w:r>
      <w:r w:rsidRPr="008005CB">
        <w:rPr>
          <w:rFonts w:ascii="Times New Roman" w:hAnsi="Times New Roman"/>
          <w:sz w:val="22"/>
          <w:szCs w:val="22"/>
          <w:lang w:val="es-ES_tradnl"/>
        </w:rPr>
        <w:t xml:space="preserve">apoyada </w:t>
      </w:r>
      <w:r w:rsidR="009C3402" w:rsidRPr="008005CB">
        <w:rPr>
          <w:rFonts w:ascii="Times New Roman" w:hAnsi="Times New Roman"/>
          <w:sz w:val="22"/>
          <w:szCs w:val="22"/>
          <w:lang w:val="es-ES_tradnl"/>
        </w:rPr>
        <w:t xml:space="preserve">en el futuro </w:t>
      </w:r>
      <w:r w:rsidRPr="008005CB">
        <w:rPr>
          <w:rFonts w:ascii="Times New Roman" w:hAnsi="Times New Roman"/>
          <w:sz w:val="22"/>
          <w:szCs w:val="22"/>
          <w:lang w:val="es-ES_tradnl"/>
        </w:rPr>
        <w:t xml:space="preserve">con la participación de otras organizaciones, como las no gubernamentales. </w:t>
      </w:r>
      <w:r w:rsidR="009C3402" w:rsidRPr="008005CB">
        <w:rPr>
          <w:rFonts w:ascii="Times New Roman" w:hAnsi="Times New Roman"/>
          <w:sz w:val="22"/>
          <w:szCs w:val="22"/>
          <w:lang w:val="es-ES_tradnl"/>
        </w:rPr>
        <w:t xml:space="preserve">La experiencia en Ecuador refleja una importante </w:t>
      </w:r>
      <w:r w:rsidR="00127AE3" w:rsidRPr="008005CB">
        <w:rPr>
          <w:rFonts w:ascii="Times New Roman" w:hAnsi="Times New Roman"/>
          <w:sz w:val="22"/>
          <w:szCs w:val="22"/>
          <w:lang w:val="es-ES_tradnl"/>
        </w:rPr>
        <w:t>articulación</w:t>
      </w:r>
      <w:r w:rsidR="009C3402" w:rsidRPr="008005CB">
        <w:rPr>
          <w:rFonts w:ascii="Times New Roman" w:hAnsi="Times New Roman"/>
          <w:sz w:val="22"/>
          <w:szCs w:val="22"/>
          <w:lang w:val="es-ES_tradnl"/>
        </w:rPr>
        <w:t xml:space="preserve"> entre las distintas instituciones de carácter nacional que participan en  el evento. </w:t>
      </w:r>
      <w:bookmarkStart w:id="313" w:name="_Ref431896396"/>
      <w:bookmarkEnd w:id="312"/>
    </w:p>
    <w:p w:rsidR="00B71E69" w:rsidRDefault="00B71E69" w:rsidP="00B71E69">
      <w:pPr>
        <w:pStyle w:val="ListParagraph"/>
        <w:rPr>
          <w:lang w:val="es-ES_tradnl"/>
        </w:rPr>
      </w:pPr>
    </w:p>
    <w:p w:rsidR="0068112A" w:rsidRPr="008005CB" w:rsidRDefault="0068112A" w:rsidP="00AD78F4">
      <w:pPr>
        <w:numPr>
          <w:ilvl w:val="1"/>
          <w:numId w:val="24"/>
        </w:numPr>
        <w:autoSpaceDE w:val="0"/>
        <w:autoSpaceDN w:val="0"/>
        <w:adjustRightInd w:val="0"/>
        <w:jc w:val="both"/>
        <w:rPr>
          <w:rFonts w:ascii="Times New Roman" w:hAnsi="Times New Roman"/>
          <w:b/>
          <w:bCs/>
          <w:i/>
          <w:iCs/>
          <w:sz w:val="22"/>
          <w:szCs w:val="22"/>
          <w:lang w:val="es-ES_tradnl"/>
        </w:rPr>
      </w:pPr>
      <w:r w:rsidRPr="00837476">
        <w:rPr>
          <w:lang w:val="es-ES_tradnl"/>
        </w:rPr>
        <w:br w:type="page"/>
      </w:r>
    </w:p>
    <w:p w:rsidR="00A705F6" w:rsidRDefault="00A705F6" w:rsidP="00A705F6">
      <w:pPr>
        <w:pStyle w:val="Heading1"/>
        <w:jc w:val="left"/>
      </w:pPr>
      <w:bookmarkStart w:id="314" w:name="_Toc465929634"/>
      <w:bookmarkStart w:id="315" w:name="_Toc468199841"/>
      <w:r w:rsidRPr="008005CB">
        <w:rPr>
          <w:lang w:val="es-AR"/>
        </w:rPr>
        <w:lastRenderedPageBreak/>
        <w:t>A</w:t>
      </w:r>
      <w:r w:rsidR="009808F4" w:rsidRPr="008005CB">
        <w:rPr>
          <w:lang w:val="es-AR"/>
        </w:rPr>
        <w:t>nexo  A</w:t>
      </w:r>
      <w:r w:rsidRPr="008005CB">
        <w:rPr>
          <w:lang w:val="es-AR"/>
        </w:rPr>
        <w:t>:</w:t>
      </w:r>
      <w:bookmarkEnd w:id="313"/>
      <w:r w:rsidR="000016E0" w:rsidRPr="008005CB">
        <w:rPr>
          <w:lang w:val="es-AR" w:eastAsia="zh-CN" w:bidi="hi-IN"/>
        </w:rPr>
        <w:t xml:space="preserve"> Elementos </w:t>
      </w:r>
      <w:r w:rsidR="00457E78" w:rsidRPr="008005CB">
        <w:rPr>
          <w:lang w:val="es-AR" w:eastAsia="zh-CN" w:bidi="hi-IN"/>
        </w:rPr>
        <w:t xml:space="preserve"> </w:t>
      </w:r>
      <w:r w:rsidR="000016E0" w:rsidRPr="008005CB">
        <w:rPr>
          <w:lang w:val="es-AR" w:eastAsia="zh-CN" w:bidi="hi-IN"/>
        </w:rPr>
        <w:t>de</w:t>
      </w:r>
      <w:r w:rsidR="000016E0">
        <w:rPr>
          <w:lang w:val="es-CR" w:eastAsia="zh-CN" w:bidi="hi-IN"/>
        </w:rPr>
        <w:t xml:space="preserve"> la </w:t>
      </w:r>
      <w:r w:rsidR="006620C3">
        <w:rPr>
          <w:lang w:val="es-CR" w:eastAsia="zh-CN" w:bidi="hi-IN"/>
        </w:rPr>
        <w:t>amenaza  de tsunami</w:t>
      </w:r>
      <w:bookmarkEnd w:id="314"/>
      <w:bookmarkEnd w:id="315"/>
    </w:p>
    <w:p w:rsidR="00A705F6" w:rsidRDefault="00A705F6" w:rsidP="00A705F6">
      <w:pPr>
        <w:rPr>
          <w:lang w:val="es-ES_tradnl"/>
        </w:rPr>
      </w:pPr>
    </w:p>
    <w:p w:rsidR="00E62560" w:rsidRPr="00673163" w:rsidRDefault="00402A74" w:rsidP="000E5919">
      <w:pPr>
        <w:jc w:val="both"/>
        <w:rPr>
          <w:rFonts w:ascii="Times New Roman" w:hAnsi="Times New Roman"/>
          <w:sz w:val="22"/>
          <w:szCs w:val="22"/>
          <w:lang w:val="es-AR"/>
        </w:rPr>
      </w:pPr>
      <w:r w:rsidRPr="00673163">
        <w:rPr>
          <w:rFonts w:ascii="Times New Roman" w:hAnsi="Times New Roman"/>
          <w:sz w:val="22"/>
          <w:szCs w:val="22"/>
          <w:lang w:val="es-AR"/>
        </w:rPr>
        <w:t>Los tsunamis son olas puestas en mo</w:t>
      </w:r>
      <w:r w:rsidR="00563788" w:rsidRPr="00673163">
        <w:rPr>
          <w:rFonts w:ascii="Times New Roman" w:hAnsi="Times New Roman"/>
          <w:sz w:val="22"/>
          <w:szCs w:val="22"/>
          <w:lang w:val="es-AR"/>
        </w:rPr>
        <w:t>vimiento</w:t>
      </w:r>
      <w:r w:rsidRPr="00673163">
        <w:rPr>
          <w:rFonts w:ascii="Times New Roman" w:hAnsi="Times New Roman"/>
          <w:sz w:val="22"/>
          <w:szCs w:val="22"/>
          <w:lang w:val="es-AR"/>
        </w:rPr>
        <w:t xml:space="preserve"> por grandes y súbitos deslizamientos forzados de agua del mar, producidos por terremotos o desplazamientos de tierra submarinos, y también por otras causas tales como volcanes submarinos o impactos de asteroides. Cuando se genera un</w:t>
      </w:r>
      <w:r w:rsidR="00A51C27" w:rsidRPr="00673163">
        <w:rPr>
          <w:rFonts w:ascii="Times New Roman" w:hAnsi="Times New Roman"/>
          <w:sz w:val="22"/>
          <w:szCs w:val="22"/>
          <w:lang w:val="es-AR"/>
        </w:rPr>
        <w:t xml:space="preserve"> </w:t>
      </w:r>
      <w:r w:rsidRPr="00673163">
        <w:rPr>
          <w:rFonts w:ascii="Times New Roman" w:hAnsi="Times New Roman"/>
          <w:sz w:val="22"/>
          <w:szCs w:val="22"/>
          <w:lang w:val="es-AR"/>
        </w:rPr>
        <w:t>tsunami, su velocidad en mar abierto puede alcanzar varios centenares de kilómetros por hora, por lo que llega hasta costas lejanas en</w:t>
      </w:r>
      <w:r w:rsidR="00563788" w:rsidRPr="00673163">
        <w:rPr>
          <w:rFonts w:ascii="Times New Roman" w:hAnsi="Times New Roman"/>
          <w:sz w:val="22"/>
          <w:szCs w:val="22"/>
          <w:lang w:val="es-AR"/>
        </w:rPr>
        <w:t xml:space="preserve"> un tiempo</w:t>
      </w:r>
      <w:r w:rsidR="00557633" w:rsidRPr="00673163">
        <w:rPr>
          <w:rFonts w:ascii="Times New Roman" w:hAnsi="Times New Roman"/>
          <w:sz w:val="22"/>
          <w:szCs w:val="22"/>
          <w:lang w:val="es-AR"/>
        </w:rPr>
        <w:t xml:space="preserve"> relativamente corto. Mientras</w:t>
      </w:r>
      <w:r w:rsidR="00563788" w:rsidRPr="00673163">
        <w:rPr>
          <w:rFonts w:ascii="Times New Roman" w:hAnsi="Times New Roman"/>
          <w:sz w:val="22"/>
          <w:szCs w:val="22"/>
          <w:lang w:val="es-AR"/>
        </w:rPr>
        <w:t xml:space="preserve"> </w:t>
      </w:r>
      <w:r w:rsidR="00557633" w:rsidRPr="00673163">
        <w:rPr>
          <w:rFonts w:ascii="Times New Roman" w:hAnsi="Times New Roman"/>
          <w:sz w:val="22"/>
          <w:szCs w:val="22"/>
          <w:lang w:val="es-AR"/>
        </w:rPr>
        <w:t>a medida que se acercan a la costa pierden</w:t>
      </w:r>
      <w:r w:rsidR="00A51C27" w:rsidRPr="00673163">
        <w:rPr>
          <w:rFonts w:ascii="Times New Roman" w:hAnsi="Times New Roman"/>
          <w:sz w:val="22"/>
          <w:szCs w:val="22"/>
          <w:lang w:val="es-AR"/>
        </w:rPr>
        <w:t xml:space="preserve"> </w:t>
      </w:r>
      <w:r w:rsidR="00557633" w:rsidRPr="00673163">
        <w:rPr>
          <w:rFonts w:ascii="Times New Roman" w:hAnsi="Times New Roman"/>
          <w:sz w:val="22"/>
          <w:szCs w:val="22"/>
          <w:lang w:val="es-AR"/>
        </w:rPr>
        <w:t xml:space="preserve">velocidad, </w:t>
      </w:r>
      <w:r w:rsidR="00563788" w:rsidRPr="00673163">
        <w:rPr>
          <w:rFonts w:ascii="Times New Roman" w:hAnsi="Times New Roman"/>
          <w:sz w:val="22"/>
          <w:szCs w:val="22"/>
          <w:lang w:val="es-AR"/>
        </w:rPr>
        <w:t xml:space="preserve">su </w:t>
      </w:r>
      <w:r w:rsidR="00673163" w:rsidRPr="00673163">
        <w:rPr>
          <w:rFonts w:ascii="Times New Roman" w:hAnsi="Times New Roman"/>
          <w:sz w:val="22"/>
          <w:szCs w:val="22"/>
          <w:lang w:val="es-AR"/>
        </w:rPr>
        <w:t>altura crece</w:t>
      </w:r>
      <w:r w:rsidRPr="00673163">
        <w:rPr>
          <w:rFonts w:ascii="Times New Roman" w:hAnsi="Times New Roman"/>
          <w:sz w:val="22"/>
          <w:szCs w:val="22"/>
          <w:lang w:val="es-AR"/>
        </w:rPr>
        <w:t>. Como tienen una longitud de onda relativamente amplia, los tsunamis pueden penetrar t</w:t>
      </w:r>
      <w:r w:rsidR="00563788" w:rsidRPr="00673163">
        <w:rPr>
          <w:rFonts w:ascii="Times New Roman" w:hAnsi="Times New Roman"/>
          <w:sz w:val="22"/>
          <w:szCs w:val="22"/>
          <w:lang w:val="es-AR"/>
        </w:rPr>
        <w:t xml:space="preserve">ierra adentro hasta muy lejos y </w:t>
      </w:r>
      <w:r w:rsidRPr="00673163">
        <w:rPr>
          <w:rFonts w:ascii="Times New Roman" w:hAnsi="Times New Roman"/>
          <w:sz w:val="22"/>
          <w:szCs w:val="22"/>
          <w:lang w:val="es-AR"/>
        </w:rPr>
        <w:t>c</w:t>
      </w:r>
      <w:r w:rsidR="00A51C27" w:rsidRPr="00673163">
        <w:rPr>
          <w:rFonts w:ascii="Times New Roman" w:hAnsi="Times New Roman"/>
          <w:sz w:val="22"/>
          <w:szCs w:val="22"/>
          <w:lang w:val="es-AR"/>
        </w:rPr>
        <w:t>ó</w:t>
      </w:r>
      <w:r w:rsidRPr="00673163">
        <w:rPr>
          <w:rFonts w:ascii="Times New Roman" w:hAnsi="Times New Roman"/>
          <w:sz w:val="22"/>
          <w:szCs w:val="22"/>
          <w:lang w:val="es-AR"/>
        </w:rPr>
        <w:t>mo su periodo de onda es relativamente breve, causan inundaciones con mayor rapidez que los maremotos y las marejadas. Su enorme capacidad para erosionar la tierra y destruir edificios los hace muy destructivos, tanto en mortalidad c</w:t>
      </w:r>
      <w:r w:rsidR="00563788" w:rsidRPr="00673163">
        <w:rPr>
          <w:rFonts w:ascii="Times New Roman" w:hAnsi="Times New Roman"/>
          <w:sz w:val="22"/>
          <w:szCs w:val="22"/>
          <w:lang w:val="es-AR"/>
        </w:rPr>
        <w:t xml:space="preserve">ómo en </w:t>
      </w:r>
      <w:r w:rsidRPr="00673163">
        <w:rPr>
          <w:rFonts w:ascii="Times New Roman" w:hAnsi="Times New Roman"/>
          <w:sz w:val="22"/>
          <w:szCs w:val="22"/>
          <w:lang w:val="es-AR"/>
        </w:rPr>
        <w:t xml:space="preserve">pérdidas económicas. </w:t>
      </w:r>
    </w:p>
    <w:p w:rsidR="00E62560" w:rsidRDefault="00402A74" w:rsidP="000E5919">
      <w:pPr>
        <w:jc w:val="both"/>
        <w:rPr>
          <w:rFonts w:ascii="Times New Roman" w:hAnsi="Times New Roman"/>
          <w:sz w:val="22"/>
          <w:szCs w:val="22"/>
          <w:lang w:val="es-AR"/>
        </w:rPr>
      </w:pPr>
      <w:r w:rsidRPr="00673163">
        <w:rPr>
          <w:rFonts w:ascii="Times New Roman" w:hAnsi="Times New Roman"/>
          <w:sz w:val="22"/>
          <w:szCs w:val="22"/>
          <w:lang w:val="es-AR"/>
        </w:rPr>
        <w:t>Los eventos de tsunamis grandes e infrecuentes, aunque enormemente destructivos, por lo general representan un</w:t>
      </w:r>
      <w:r w:rsidR="00A51C27" w:rsidRPr="00673163">
        <w:rPr>
          <w:rFonts w:ascii="Times New Roman" w:hAnsi="Times New Roman"/>
          <w:sz w:val="22"/>
          <w:szCs w:val="22"/>
          <w:lang w:val="es-AR"/>
        </w:rPr>
        <w:t xml:space="preserve"> </w:t>
      </w:r>
      <w:r w:rsidRPr="00673163">
        <w:rPr>
          <w:rFonts w:ascii="Times New Roman" w:hAnsi="Times New Roman"/>
          <w:sz w:val="22"/>
          <w:szCs w:val="22"/>
          <w:lang w:val="es-AR"/>
        </w:rPr>
        <w:t xml:space="preserve">mayor riesgo de mortalidad que el efecto </w:t>
      </w:r>
      <w:r w:rsidR="00127AE3">
        <w:rPr>
          <w:rFonts w:ascii="Times New Roman" w:hAnsi="Times New Roman"/>
          <w:sz w:val="22"/>
          <w:szCs w:val="22"/>
          <w:lang w:val="es-AR"/>
        </w:rPr>
        <w:t>a</w:t>
      </w:r>
      <w:r w:rsidRPr="00673163">
        <w:rPr>
          <w:rFonts w:ascii="Times New Roman" w:hAnsi="Times New Roman"/>
          <w:sz w:val="22"/>
          <w:szCs w:val="22"/>
          <w:lang w:val="es-AR"/>
        </w:rPr>
        <w:t>cumulativo de eventos más pequeños y frecuentes</w:t>
      </w:r>
      <w:r w:rsidR="000E5919" w:rsidRPr="00673163">
        <w:rPr>
          <w:rFonts w:ascii="Times New Roman" w:hAnsi="Times New Roman"/>
          <w:sz w:val="22"/>
          <w:szCs w:val="22"/>
          <w:lang w:val="es-AR"/>
        </w:rPr>
        <w:t>. Como se ve en la</w:t>
      </w:r>
      <w:r w:rsidR="00E62560" w:rsidRPr="00673163">
        <w:rPr>
          <w:rFonts w:ascii="Times New Roman" w:hAnsi="Times New Roman"/>
          <w:sz w:val="22"/>
          <w:szCs w:val="22"/>
          <w:lang w:val="es-AR"/>
        </w:rPr>
        <w:t>s</w:t>
      </w:r>
      <w:r w:rsidR="000E5919" w:rsidRPr="00673163">
        <w:rPr>
          <w:rFonts w:ascii="Times New Roman" w:hAnsi="Times New Roman"/>
          <w:sz w:val="22"/>
          <w:szCs w:val="22"/>
          <w:lang w:val="es-AR"/>
        </w:rPr>
        <w:t xml:space="preserve"> figura</w:t>
      </w:r>
      <w:r w:rsidR="00E62560" w:rsidRPr="00673163">
        <w:rPr>
          <w:rFonts w:ascii="Times New Roman" w:hAnsi="Times New Roman"/>
          <w:sz w:val="22"/>
          <w:szCs w:val="22"/>
          <w:lang w:val="es-AR"/>
        </w:rPr>
        <w:t>s que siguen su incidencia potencial sobre las poblaciones amenazadas y sus economías es elevado.</w:t>
      </w:r>
    </w:p>
    <w:p w:rsidR="006620C3" w:rsidRPr="00673163" w:rsidRDefault="006620C3" w:rsidP="000E5919">
      <w:pPr>
        <w:jc w:val="both"/>
        <w:rPr>
          <w:rFonts w:ascii="Times New Roman" w:hAnsi="Times New Roman"/>
          <w:sz w:val="22"/>
          <w:szCs w:val="22"/>
          <w:lang w:val="es-AR"/>
        </w:rPr>
      </w:pPr>
    </w:p>
    <w:p w:rsidR="0068112A" w:rsidRPr="00673163" w:rsidRDefault="00E62560" w:rsidP="000E5919">
      <w:pPr>
        <w:jc w:val="both"/>
        <w:rPr>
          <w:rFonts w:ascii="Times New Roman" w:hAnsi="Times New Roman"/>
          <w:sz w:val="22"/>
          <w:szCs w:val="22"/>
          <w:lang w:val="es-AR"/>
        </w:rPr>
      </w:pPr>
      <w:r w:rsidRPr="00673163">
        <w:rPr>
          <w:rFonts w:ascii="Times New Roman" w:hAnsi="Times New Roman"/>
          <w:sz w:val="22"/>
          <w:szCs w:val="22"/>
          <w:lang w:val="es-AR"/>
        </w:rPr>
        <w:t>L</w:t>
      </w:r>
      <w:r w:rsidR="000E5919" w:rsidRPr="00673163">
        <w:rPr>
          <w:rFonts w:ascii="Times New Roman" w:hAnsi="Times New Roman"/>
          <w:sz w:val="22"/>
          <w:szCs w:val="22"/>
          <w:lang w:val="es-AR"/>
        </w:rPr>
        <w:t xml:space="preserve">a exposición relativa es más </w:t>
      </w:r>
      <w:r w:rsidR="00557633" w:rsidRPr="00673163">
        <w:rPr>
          <w:rFonts w:ascii="Times New Roman" w:hAnsi="Times New Roman"/>
          <w:sz w:val="22"/>
          <w:szCs w:val="22"/>
          <w:lang w:val="es-AR"/>
        </w:rPr>
        <w:t>elevada</w:t>
      </w:r>
      <w:r w:rsidR="000E5919" w:rsidRPr="00673163">
        <w:rPr>
          <w:rFonts w:ascii="Times New Roman" w:hAnsi="Times New Roman"/>
          <w:sz w:val="22"/>
          <w:szCs w:val="22"/>
          <w:lang w:val="es-AR"/>
        </w:rPr>
        <w:t xml:space="preserve"> en algunos países sudamericanos c</w:t>
      </w:r>
      <w:r w:rsidR="00A51C27" w:rsidRPr="00673163">
        <w:rPr>
          <w:rFonts w:ascii="Times New Roman" w:hAnsi="Times New Roman"/>
          <w:sz w:val="22"/>
          <w:szCs w:val="22"/>
          <w:lang w:val="es-AR"/>
        </w:rPr>
        <w:t>ó</w:t>
      </w:r>
      <w:r w:rsidR="000E5919" w:rsidRPr="00673163">
        <w:rPr>
          <w:rFonts w:ascii="Times New Roman" w:hAnsi="Times New Roman"/>
          <w:sz w:val="22"/>
          <w:szCs w:val="22"/>
          <w:lang w:val="es-AR"/>
        </w:rPr>
        <w:t>mo Ecuador y Perú.</w:t>
      </w:r>
    </w:p>
    <w:p w:rsidR="00402A74" w:rsidRPr="00402A74" w:rsidRDefault="00402A74" w:rsidP="00840B90">
      <w:pPr>
        <w:jc w:val="both"/>
        <w:rPr>
          <w:rFonts w:ascii="Times New Roman" w:hAnsi="Times New Roman"/>
          <w:sz w:val="22"/>
          <w:szCs w:val="22"/>
          <w:lang w:val="es-ES_tradnl"/>
        </w:rPr>
      </w:pPr>
    </w:p>
    <w:p w:rsidR="00453923" w:rsidRDefault="00453923" w:rsidP="00402A74">
      <w:pPr>
        <w:jc w:val="both"/>
        <w:rPr>
          <w:rFonts w:ascii="Times New Roman" w:hAnsi="Times New Roman"/>
          <w:lang w:val="es-ES"/>
        </w:rPr>
      </w:pPr>
      <w:r w:rsidRPr="00840B90">
        <w:rPr>
          <w:rFonts w:ascii="Times New Roman" w:hAnsi="Times New Roman"/>
          <w:sz w:val="22"/>
          <w:szCs w:val="22"/>
          <w:lang w:val="es-ES_tradnl"/>
        </w:rPr>
        <w:t xml:space="preserve"> </w:t>
      </w:r>
      <w:r w:rsidRPr="00600976">
        <w:rPr>
          <w:rFonts w:ascii="Times New Roman" w:hAnsi="Times New Roman"/>
          <w:b/>
          <w:lang w:val="es-ES"/>
        </w:rPr>
        <w:t xml:space="preserve">Figura </w:t>
      </w:r>
      <w:r w:rsidR="00081A23" w:rsidRPr="00600976">
        <w:rPr>
          <w:rFonts w:ascii="Times New Roman" w:hAnsi="Times New Roman"/>
          <w:b/>
          <w:lang w:val="es-ES"/>
        </w:rPr>
        <w:fldChar w:fldCharType="begin"/>
      </w:r>
      <w:r w:rsidRPr="00600976">
        <w:rPr>
          <w:rFonts w:ascii="Times New Roman" w:hAnsi="Times New Roman"/>
          <w:b/>
          <w:lang w:val="es-ES"/>
        </w:rPr>
        <w:instrText xml:space="preserve"> SEQ Figura \* ARABIC </w:instrText>
      </w:r>
      <w:r w:rsidR="00081A23" w:rsidRPr="00600976">
        <w:rPr>
          <w:rFonts w:ascii="Times New Roman" w:hAnsi="Times New Roman"/>
          <w:b/>
          <w:lang w:val="es-ES"/>
        </w:rPr>
        <w:fldChar w:fldCharType="separate"/>
      </w:r>
      <w:r w:rsidR="000806B9">
        <w:rPr>
          <w:rFonts w:ascii="Times New Roman" w:hAnsi="Times New Roman"/>
          <w:b/>
          <w:noProof/>
          <w:lang w:val="es-ES"/>
        </w:rPr>
        <w:t>11</w:t>
      </w:r>
      <w:r w:rsidR="00081A23" w:rsidRPr="00600976">
        <w:rPr>
          <w:rFonts w:ascii="Times New Roman" w:hAnsi="Times New Roman"/>
          <w:b/>
          <w:lang w:val="es-ES"/>
        </w:rPr>
        <w:fldChar w:fldCharType="end"/>
      </w:r>
      <w:r w:rsidR="00A51C27">
        <w:rPr>
          <w:rFonts w:ascii="Times New Roman" w:hAnsi="Times New Roman"/>
          <w:lang w:val="es-ES"/>
        </w:rPr>
        <w:t xml:space="preserve">. </w:t>
      </w:r>
      <w:r w:rsidR="00457E78">
        <w:rPr>
          <w:rFonts w:ascii="Times New Roman" w:hAnsi="Times New Roman"/>
          <w:lang w:val="es-ES"/>
        </w:rPr>
        <w:t xml:space="preserve">Tsunami – Porcentaje de </w:t>
      </w:r>
      <w:r w:rsidR="006620C3">
        <w:rPr>
          <w:rFonts w:ascii="Times New Roman" w:hAnsi="Times New Roman"/>
          <w:lang w:val="es-ES"/>
        </w:rPr>
        <w:t xml:space="preserve">población </w:t>
      </w:r>
      <w:r w:rsidR="00457E78">
        <w:rPr>
          <w:rFonts w:ascii="Times New Roman" w:hAnsi="Times New Roman"/>
          <w:lang w:val="es-ES"/>
        </w:rPr>
        <w:t xml:space="preserve">nacional </w:t>
      </w:r>
      <w:r w:rsidR="00A51C27">
        <w:rPr>
          <w:rFonts w:ascii="Times New Roman" w:hAnsi="Times New Roman"/>
          <w:lang w:val="es-ES"/>
        </w:rPr>
        <w:t>expuesta</w:t>
      </w:r>
      <w:r w:rsidR="00457E78">
        <w:rPr>
          <w:rFonts w:ascii="Times New Roman" w:hAnsi="Times New Roman"/>
          <w:lang w:val="es-ES"/>
        </w:rPr>
        <w:t xml:space="preserve"> a la amenaza – </w:t>
      </w:r>
      <w:r w:rsidR="006620C3">
        <w:rPr>
          <w:rFonts w:ascii="Times New Roman" w:hAnsi="Times New Roman"/>
          <w:lang w:val="es-ES"/>
        </w:rPr>
        <w:t xml:space="preserve">países </w:t>
      </w:r>
      <w:r w:rsidR="00457E78">
        <w:rPr>
          <w:rFonts w:ascii="Times New Roman" w:hAnsi="Times New Roman"/>
          <w:lang w:val="es-ES"/>
        </w:rPr>
        <w:t>afectados</w:t>
      </w:r>
      <w:r w:rsidR="00A51C27">
        <w:rPr>
          <w:rFonts w:ascii="Times New Roman" w:hAnsi="Times New Roman"/>
          <w:lang w:val="es-ES"/>
        </w:rPr>
        <w:t>.</w:t>
      </w:r>
    </w:p>
    <w:p w:rsidR="00DA2921" w:rsidRDefault="00DA2921" w:rsidP="00402A74">
      <w:pPr>
        <w:jc w:val="both"/>
        <w:rPr>
          <w:rFonts w:ascii="Times New Roman" w:hAnsi="Times New Roman"/>
          <w:lang w:val="es-ES"/>
        </w:rPr>
      </w:pPr>
    </w:p>
    <w:p w:rsidR="00457E78" w:rsidRDefault="00457E78" w:rsidP="00402A74">
      <w:pPr>
        <w:jc w:val="both"/>
        <w:rPr>
          <w:rFonts w:ascii="Times New Roman" w:hAnsi="Times New Roman"/>
          <w:lang w:val="es-ES"/>
        </w:rPr>
      </w:pPr>
      <w:r w:rsidRPr="00457E78">
        <w:rPr>
          <w:noProof/>
        </w:rPr>
        <w:drawing>
          <wp:inline distT="0" distB="0" distL="0" distR="0" wp14:anchorId="4E499978" wp14:editId="789167E2">
            <wp:extent cx="5490210" cy="3983167"/>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stretch>
                      <a:fillRect/>
                    </a:stretch>
                  </pic:blipFill>
                  <pic:spPr>
                    <a:xfrm>
                      <a:off x="0" y="0"/>
                      <a:ext cx="5490210" cy="3983167"/>
                    </a:xfrm>
                    <a:prstGeom prst="rect">
                      <a:avLst/>
                    </a:prstGeom>
                  </pic:spPr>
                </pic:pic>
              </a:graphicData>
            </a:graphic>
          </wp:inline>
        </w:drawing>
      </w:r>
    </w:p>
    <w:p w:rsidR="00457E78" w:rsidRPr="00457E78" w:rsidRDefault="00457E78" w:rsidP="00402A74">
      <w:pPr>
        <w:jc w:val="both"/>
        <w:rPr>
          <w:rFonts w:ascii="Times New Roman" w:hAnsi="Times New Roman"/>
          <w:i/>
          <w:lang w:val="es-ES"/>
        </w:rPr>
      </w:pPr>
      <w:r w:rsidRPr="00457E78">
        <w:rPr>
          <w:rFonts w:ascii="Times New Roman" w:hAnsi="Times New Roman"/>
          <w:i/>
          <w:lang w:val="es-ES"/>
        </w:rPr>
        <w:t xml:space="preserve">Fuente: </w:t>
      </w:r>
      <w:r w:rsidR="00E62560">
        <w:rPr>
          <w:rFonts w:ascii="Times New Roman" w:hAnsi="Times New Roman"/>
          <w:i/>
          <w:lang w:val="es-ES"/>
        </w:rPr>
        <w:t>GAR. Evaluación de riesgo global de desastres. Capítulo 2. 2009.</w:t>
      </w:r>
    </w:p>
    <w:p w:rsidR="00457E78" w:rsidRDefault="00457E78" w:rsidP="00402A74">
      <w:pPr>
        <w:jc w:val="both"/>
        <w:rPr>
          <w:rFonts w:ascii="Times New Roman" w:hAnsi="Times New Roman"/>
          <w:lang w:val="es-ES"/>
        </w:rPr>
      </w:pPr>
    </w:p>
    <w:p w:rsidR="00457E78" w:rsidRDefault="00457E78" w:rsidP="00402A74">
      <w:pPr>
        <w:jc w:val="both"/>
        <w:rPr>
          <w:rFonts w:ascii="Times New Roman" w:hAnsi="Times New Roman"/>
          <w:lang w:val="es-ES"/>
        </w:rPr>
      </w:pPr>
    </w:p>
    <w:p w:rsidR="00457E78" w:rsidRPr="00600976" w:rsidRDefault="00457E78" w:rsidP="00402A74">
      <w:pPr>
        <w:jc w:val="both"/>
        <w:rPr>
          <w:rFonts w:ascii="Times New Roman" w:hAnsi="Times New Roman"/>
          <w:lang w:val="es-ES"/>
        </w:rPr>
      </w:pPr>
    </w:p>
    <w:p w:rsidR="00453923" w:rsidRDefault="00402A74" w:rsidP="00453923">
      <w:pPr>
        <w:jc w:val="both"/>
        <w:rPr>
          <w:noProof/>
          <w:lang w:val="es-AR" w:eastAsia="es-AR"/>
        </w:rPr>
      </w:pPr>
      <w:r w:rsidRPr="00402A74">
        <w:rPr>
          <w:noProof/>
          <w:lang w:val="es-AR" w:eastAsia="es-AR"/>
        </w:rPr>
        <w:t xml:space="preserve"> </w:t>
      </w:r>
    </w:p>
    <w:p w:rsidR="006141FA" w:rsidRDefault="006141FA" w:rsidP="00453923">
      <w:pPr>
        <w:jc w:val="both"/>
        <w:rPr>
          <w:noProof/>
          <w:lang w:val="es-AR" w:eastAsia="es-AR"/>
        </w:rPr>
      </w:pPr>
    </w:p>
    <w:p w:rsidR="006141FA" w:rsidRDefault="006141FA" w:rsidP="00453923">
      <w:pPr>
        <w:jc w:val="both"/>
        <w:rPr>
          <w:noProof/>
          <w:lang w:val="es-AR" w:eastAsia="es-AR"/>
        </w:rPr>
      </w:pPr>
    </w:p>
    <w:p w:rsidR="006141FA" w:rsidRDefault="006141FA" w:rsidP="00453923">
      <w:pPr>
        <w:jc w:val="both"/>
        <w:rPr>
          <w:noProof/>
          <w:lang w:val="es-AR" w:eastAsia="es-AR"/>
        </w:rPr>
      </w:pPr>
    </w:p>
    <w:p w:rsidR="006141FA" w:rsidRDefault="006141FA" w:rsidP="00453923">
      <w:pPr>
        <w:jc w:val="both"/>
        <w:rPr>
          <w:noProof/>
          <w:lang w:val="es-AR" w:eastAsia="es-AR"/>
        </w:rPr>
      </w:pPr>
    </w:p>
    <w:p w:rsidR="00402A74" w:rsidRDefault="00457E78" w:rsidP="00453923">
      <w:pPr>
        <w:jc w:val="both"/>
        <w:rPr>
          <w:rFonts w:ascii="Times New Roman" w:hAnsi="Times New Roman"/>
          <w:lang w:val="es-ES"/>
        </w:rPr>
      </w:pPr>
      <w:r w:rsidRPr="00600976">
        <w:rPr>
          <w:rFonts w:ascii="Times New Roman" w:hAnsi="Times New Roman"/>
          <w:b/>
          <w:lang w:val="es-ES"/>
        </w:rPr>
        <w:t xml:space="preserve">Figura </w:t>
      </w:r>
      <w:r w:rsidR="00081A23" w:rsidRPr="00600976">
        <w:rPr>
          <w:rFonts w:ascii="Times New Roman" w:hAnsi="Times New Roman"/>
          <w:b/>
          <w:lang w:val="es-ES"/>
        </w:rPr>
        <w:fldChar w:fldCharType="begin"/>
      </w:r>
      <w:r w:rsidRPr="00600976">
        <w:rPr>
          <w:rFonts w:ascii="Times New Roman" w:hAnsi="Times New Roman"/>
          <w:b/>
          <w:lang w:val="es-ES"/>
        </w:rPr>
        <w:instrText xml:space="preserve"> SEQ Figura \* ARABIC </w:instrText>
      </w:r>
      <w:r w:rsidR="00081A23" w:rsidRPr="00600976">
        <w:rPr>
          <w:rFonts w:ascii="Times New Roman" w:hAnsi="Times New Roman"/>
          <w:b/>
          <w:lang w:val="es-ES"/>
        </w:rPr>
        <w:fldChar w:fldCharType="separate"/>
      </w:r>
      <w:r w:rsidR="000806B9">
        <w:rPr>
          <w:rFonts w:ascii="Times New Roman" w:hAnsi="Times New Roman"/>
          <w:b/>
          <w:noProof/>
          <w:lang w:val="es-ES"/>
        </w:rPr>
        <w:t>12</w:t>
      </w:r>
      <w:r w:rsidR="00081A23" w:rsidRPr="00600976">
        <w:rPr>
          <w:rFonts w:ascii="Times New Roman" w:hAnsi="Times New Roman"/>
          <w:b/>
          <w:lang w:val="es-ES"/>
        </w:rPr>
        <w:fldChar w:fldCharType="end"/>
      </w:r>
      <w:r>
        <w:rPr>
          <w:rFonts w:ascii="Times New Roman" w:hAnsi="Times New Roman"/>
          <w:lang w:val="es-ES"/>
        </w:rPr>
        <w:t xml:space="preserve">. Tsunami – Porcentaje del PIB nacional expuesto a la amenaza – </w:t>
      </w:r>
      <w:r w:rsidR="006620C3">
        <w:rPr>
          <w:rFonts w:ascii="Times New Roman" w:hAnsi="Times New Roman"/>
          <w:lang w:val="es-ES"/>
        </w:rPr>
        <w:t xml:space="preserve">principales </w:t>
      </w:r>
      <w:r>
        <w:rPr>
          <w:rFonts w:ascii="Times New Roman" w:hAnsi="Times New Roman"/>
          <w:lang w:val="es-ES"/>
        </w:rPr>
        <w:t>países</w:t>
      </w:r>
    </w:p>
    <w:p w:rsidR="00DA2921" w:rsidRDefault="00DA2921" w:rsidP="00453923">
      <w:pPr>
        <w:jc w:val="both"/>
        <w:rPr>
          <w:rFonts w:ascii="Times New Roman" w:hAnsi="Times New Roman"/>
          <w:sz w:val="22"/>
          <w:szCs w:val="22"/>
          <w:lang w:val="es-ES_tradnl"/>
        </w:rPr>
      </w:pPr>
    </w:p>
    <w:p w:rsidR="00457E78" w:rsidRDefault="00457E78" w:rsidP="00453923">
      <w:pPr>
        <w:jc w:val="both"/>
        <w:rPr>
          <w:rFonts w:ascii="Times New Roman" w:hAnsi="Times New Roman"/>
          <w:sz w:val="22"/>
          <w:szCs w:val="22"/>
          <w:lang w:val="es-ES_tradnl"/>
        </w:rPr>
      </w:pPr>
      <w:r w:rsidRPr="00457E78">
        <w:rPr>
          <w:noProof/>
        </w:rPr>
        <w:drawing>
          <wp:inline distT="0" distB="0" distL="0" distR="0" wp14:anchorId="7D4B3A64" wp14:editId="4A0C00BE">
            <wp:extent cx="5490210" cy="3983167"/>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print"/>
                    <a:stretch>
                      <a:fillRect/>
                    </a:stretch>
                  </pic:blipFill>
                  <pic:spPr>
                    <a:xfrm>
                      <a:off x="0" y="0"/>
                      <a:ext cx="5490210" cy="3983167"/>
                    </a:xfrm>
                    <a:prstGeom prst="rect">
                      <a:avLst/>
                    </a:prstGeom>
                  </pic:spPr>
                </pic:pic>
              </a:graphicData>
            </a:graphic>
          </wp:inline>
        </w:drawing>
      </w:r>
    </w:p>
    <w:p w:rsidR="00E62560" w:rsidRPr="00457E78" w:rsidRDefault="00E62560" w:rsidP="00E62560">
      <w:pPr>
        <w:jc w:val="both"/>
        <w:rPr>
          <w:rFonts w:ascii="Times New Roman" w:hAnsi="Times New Roman"/>
          <w:i/>
          <w:lang w:val="es-ES"/>
        </w:rPr>
      </w:pPr>
      <w:r w:rsidRPr="00457E78">
        <w:rPr>
          <w:rFonts w:ascii="Times New Roman" w:hAnsi="Times New Roman"/>
          <w:i/>
          <w:lang w:val="es-ES"/>
        </w:rPr>
        <w:t xml:space="preserve">Fuente: </w:t>
      </w:r>
      <w:r>
        <w:rPr>
          <w:rFonts w:ascii="Times New Roman" w:hAnsi="Times New Roman"/>
          <w:i/>
          <w:lang w:val="es-ES"/>
        </w:rPr>
        <w:t>GAR. Evaluación de riesgo global de desastres. Capítulo 2. 2009.</w:t>
      </w:r>
    </w:p>
    <w:p w:rsidR="0068112A" w:rsidRDefault="0068112A" w:rsidP="00453923">
      <w:pPr>
        <w:jc w:val="both"/>
        <w:rPr>
          <w:rFonts w:ascii="Times New Roman" w:hAnsi="Times New Roman"/>
          <w:sz w:val="22"/>
          <w:szCs w:val="22"/>
          <w:lang w:val="es-ES_tradnl"/>
        </w:rPr>
      </w:pPr>
    </w:p>
    <w:p w:rsidR="00E62560" w:rsidRDefault="00E62560" w:rsidP="00453923">
      <w:pPr>
        <w:jc w:val="both"/>
        <w:rPr>
          <w:rFonts w:ascii="Times New Roman" w:hAnsi="Times New Roman"/>
          <w:sz w:val="22"/>
          <w:szCs w:val="22"/>
          <w:lang w:val="es-ES"/>
        </w:rPr>
      </w:pPr>
      <w:r>
        <w:rPr>
          <w:rFonts w:ascii="Times New Roman" w:hAnsi="Times New Roman"/>
          <w:sz w:val="22"/>
          <w:szCs w:val="22"/>
          <w:lang w:val="es-ES"/>
        </w:rPr>
        <w:t xml:space="preserve">Mientras </w:t>
      </w:r>
      <w:r w:rsidRPr="00457E78">
        <w:rPr>
          <w:rFonts w:ascii="Times New Roman" w:hAnsi="Times New Roman"/>
          <w:sz w:val="22"/>
          <w:szCs w:val="22"/>
          <w:lang w:val="es-ES"/>
        </w:rPr>
        <w:t xml:space="preserve"> Japón tiene el más elevado índice de PIB nominal expuesto a los tsunamis (en razón de su desarrollo económico), la exposición relativa es más elevada en algunos países sudamericanos cómo Ecuador y Perú.</w:t>
      </w:r>
    </w:p>
    <w:p w:rsidR="006620C3" w:rsidRDefault="006620C3" w:rsidP="00453923">
      <w:pPr>
        <w:jc w:val="both"/>
        <w:rPr>
          <w:rFonts w:ascii="Times New Roman" w:hAnsi="Times New Roman"/>
          <w:sz w:val="22"/>
          <w:szCs w:val="22"/>
          <w:lang w:val="es-ES"/>
        </w:rPr>
      </w:pPr>
    </w:p>
    <w:p w:rsidR="0068112A" w:rsidRPr="00673163" w:rsidRDefault="000E5919" w:rsidP="00453923">
      <w:pPr>
        <w:jc w:val="both"/>
        <w:rPr>
          <w:rFonts w:ascii="Times New Roman" w:hAnsi="Times New Roman"/>
          <w:sz w:val="22"/>
          <w:szCs w:val="22"/>
          <w:lang w:val="es-ES"/>
        </w:rPr>
      </w:pPr>
      <w:r w:rsidRPr="00673163">
        <w:rPr>
          <w:rFonts w:ascii="Times New Roman" w:hAnsi="Times New Roman"/>
          <w:sz w:val="22"/>
          <w:szCs w:val="22"/>
          <w:lang w:val="es-ES"/>
        </w:rPr>
        <w:t xml:space="preserve">Es importante señalar que en general estas amenazas son simuladas con un 10% de probabilidad de que haya una incidencia cada 50 años. </w:t>
      </w:r>
      <w:r w:rsidR="00A51C27" w:rsidRPr="00673163">
        <w:rPr>
          <w:rFonts w:ascii="Times New Roman" w:hAnsi="Times New Roman"/>
          <w:sz w:val="22"/>
          <w:szCs w:val="22"/>
          <w:lang w:val="es-ES"/>
        </w:rPr>
        <w:t>L</w:t>
      </w:r>
      <w:r w:rsidRPr="00673163">
        <w:rPr>
          <w:rFonts w:ascii="Times New Roman" w:hAnsi="Times New Roman"/>
          <w:sz w:val="22"/>
          <w:szCs w:val="22"/>
          <w:lang w:val="es-ES"/>
        </w:rPr>
        <w:t>a amenaza real de que haya un tsunami en una zona concreta de estos países depende de la topografía local, la batimetría y otros factores. Por ejemplo, aunque la costa de Filipinas podría verse afectada en tan solo 9 minutos por olas de hasta 16 metros de altura, las zonas de mayor impacto quedarían fuera de la ciudad de Manila.</w:t>
      </w:r>
      <w:r w:rsidR="006141FA" w:rsidRPr="00673163">
        <w:rPr>
          <w:rFonts w:ascii="Times New Roman" w:hAnsi="Times New Roman"/>
          <w:sz w:val="22"/>
          <w:szCs w:val="22"/>
          <w:lang w:val="es-ES"/>
        </w:rPr>
        <w:t xml:space="preserve"> </w:t>
      </w:r>
      <w:r w:rsidR="00402A74" w:rsidRPr="00673163">
        <w:rPr>
          <w:rFonts w:ascii="Times New Roman" w:hAnsi="Times New Roman"/>
          <w:sz w:val="22"/>
          <w:szCs w:val="22"/>
          <w:lang w:val="es-ES"/>
        </w:rPr>
        <w:t xml:space="preserve">El tiempo que transcurre entre el evento desencadenante y la </w:t>
      </w:r>
      <w:r w:rsidR="00A51C27" w:rsidRPr="00673163">
        <w:rPr>
          <w:rFonts w:ascii="Times New Roman" w:hAnsi="Times New Roman"/>
          <w:sz w:val="22"/>
          <w:szCs w:val="22"/>
          <w:lang w:val="es-ES"/>
        </w:rPr>
        <w:t>llegada</w:t>
      </w:r>
      <w:r w:rsidR="00402A74" w:rsidRPr="00673163">
        <w:rPr>
          <w:rFonts w:ascii="Times New Roman" w:hAnsi="Times New Roman"/>
          <w:sz w:val="22"/>
          <w:szCs w:val="22"/>
          <w:lang w:val="es-ES"/>
        </w:rPr>
        <w:t xml:space="preserve"> a tierra del tsunami es una variable clave, puesto que influye en la efectividad de los sistemas de alerta temprana que </w:t>
      </w:r>
      <w:r w:rsidR="00A51C27" w:rsidRPr="00673163">
        <w:rPr>
          <w:rFonts w:ascii="Times New Roman" w:hAnsi="Times New Roman"/>
          <w:sz w:val="22"/>
          <w:szCs w:val="22"/>
          <w:lang w:val="es-ES"/>
        </w:rPr>
        <w:t xml:space="preserve">monitorean </w:t>
      </w:r>
      <w:r w:rsidR="00402A74" w:rsidRPr="00673163">
        <w:rPr>
          <w:rFonts w:ascii="Times New Roman" w:hAnsi="Times New Roman"/>
          <w:sz w:val="22"/>
          <w:szCs w:val="22"/>
          <w:lang w:val="es-ES"/>
        </w:rPr>
        <w:t>el tsunami y en la posibilidad de llevar a cabo una evacuación.</w:t>
      </w:r>
    </w:p>
    <w:p w:rsidR="0068112A" w:rsidRDefault="0068112A" w:rsidP="00453923">
      <w:pPr>
        <w:jc w:val="both"/>
        <w:rPr>
          <w:rFonts w:ascii="Times New Roman" w:hAnsi="Times New Roman"/>
          <w:sz w:val="22"/>
          <w:szCs w:val="22"/>
          <w:lang w:val="es-ES_tradnl"/>
        </w:rPr>
      </w:pPr>
    </w:p>
    <w:p w:rsidR="0068112A" w:rsidRDefault="00457E78" w:rsidP="00C32E55">
      <w:pPr>
        <w:jc w:val="both"/>
        <w:rPr>
          <w:rFonts w:ascii="Times New Roman" w:hAnsi="Times New Roman"/>
          <w:sz w:val="22"/>
          <w:szCs w:val="22"/>
          <w:lang w:val="es-ES_tradnl"/>
        </w:rPr>
      </w:pPr>
      <w:r>
        <w:rPr>
          <w:rFonts w:ascii="Times New Roman" w:hAnsi="Times New Roman"/>
          <w:b/>
          <w:sz w:val="22"/>
          <w:szCs w:val="22"/>
          <w:lang w:val="es-ES_tradnl"/>
        </w:rPr>
        <w:t xml:space="preserve">Situación de </w:t>
      </w:r>
      <w:r w:rsidR="00C32E55" w:rsidRPr="00457E78">
        <w:rPr>
          <w:rFonts w:ascii="Times New Roman" w:hAnsi="Times New Roman"/>
          <w:b/>
          <w:sz w:val="22"/>
          <w:szCs w:val="22"/>
          <w:lang w:val="es-ES_tradnl"/>
        </w:rPr>
        <w:t>Ecuador.</w:t>
      </w:r>
      <w:r w:rsidR="00C32E55">
        <w:rPr>
          <w:rFonts w:ascii="Times New Roman" w:hAnsi="Times New Roman"/>
          <w:sz w:val="22"/>
          <w:szCs w:val="22"/>
          <w:lang w:val="es-ES_tradnl"/>
        </w:rPr>
        <w:t xml:space="preserve"> </w:t>
      </w:r>
      <w:r w:rsidR="0095777A">
        <w:rPr>
          <w:rFonts w:ascii="Times New Roman" w:hAnsi="Times New Roman"/>
          <w:sz w:val="22"/>
          <w:szCs w:val="22"/>
          <w:lang w:val="es-ES_tradnl"/>
        </w:rPr>
        <w:t>L</w:t>
      </w:r>
      <w:r w:rsidR="00C32E55" w:rsidRPr="00C32E55">
        <w:rPr>
          <w:rFonts w:ascii="Times New Roman" w:hAnsi="Times New Roman"/>
          <w:sz w:val="22"/>
          <w:szCs w:val="22"/>
          <w:lang w:val="es-ES_tradnl"/>
        </w:rPr>
        <w:t>a zonificación sísmica del Ecuador muestra que las mayores intensidades</w:t>
      </w:r>
      <w:r w:rsidR="00A51C27">
        <w:rPr>
          <w:rFonts w:ascii="Times New Roman" w:hAnsi="Times New Roman"/>
          <w:sz w:val="22"/>
          <w:szCs w:val="22"/>
          <w:lang w:val="es-ES_tradnl"/>
        </w:rPr>
        <w:t xml:space="preserve"> </w:t>
      </w:r>
      <w:r w:rsidR="00C32E55" w:rsidRPr="00C32E55">
        <w:rPr>
          <w:rFonts w:ascii="Times New Roman" w:hAnsi="Times New Roman"/>
          <w:sz w:val="22"/>
          <w:szCs w:val="22"/>
          <w:lang w:val="es-ES_tradnl"/>
        </w:rPr>
        <w:t>sísmicas esperadas son de grado IX, las mayores del país, y en su mayor par te</w:t>
      </w:r>
      <w:r w:rsidR="00C32E55">
        <w:rPr>
          <w:rFonts w:ascii="Times New Roman" w:hAnsi="Times New Roman"/>
          <w:sz w:val="22"/>
          <w:szCs w:val="22"/>
          <w:lang w:val="es-ES_tradnl"/>
        </w:rPr>
        <w:t xml:space="preserve">  </w:t>
      </w:r>
      <w:r w:rsidR="00C32E55" w:rsidRPr="00C32E55">
        <w:rPr>
          <w:rFonts w:ascii="Times New Roman" w:hAnsi="Times New Roman"/>
          <w:sz w:val="22"/>
          <w:szCs w:val="22"/>
          <w:lang w:val="es-ES_tradnl"/>
        </w:rPr>
        <w:t>corresponden a las provincias de Esmeraldas y Norte de Manabí</w:t>
      </w:r>
      <w:r w:rsidR="00A51C27">
        <w:rPr>
          <w:rFonts w:ascii="Times New Roman" w:hAnsi="Times New Roman"/>
          <w:sz w:val="22"/>
          <w:szCs w:val="22"/>
          <w:lang w:val="es-ES_tradnl"/>
        </w:rPr>
        <w:t>.</w:t>
      </w:r>
      <w:r w:rsidR="00F35493">
        <w:rPr>
          <w:rFonts w:ascii="Times New Roman" w:hAnsi="Times New Roman"/>
          <w:sz w:val="22"/>
          <w:szCs w:val="22"/>
          <w:lang w:val="es-ES_tradnl"/>
        </w:rPr>
        <w:t xml:space="preserve"> Dos si</w:t>
      </w:r>
      <w:r w:rsidR="00673163">
        <w:rPr>
          <w:rFonts w:ascii="Times New Roman" w:hAnsi="Times New Roman"/>
          <w:sz w:val="22"/>
          <w:szCs w:val="22"/>
          <w:lang w:val="es-ES_tradnl"/>
        </w:rPr>
        <w:t>s</w:t>
      </w:r>
      <w:r w:rsidR="00F35493">
        <w:rPr>
          <w:rFonts w:ascii="Times New Roman" w:hAnsi="Times New Roman"/>
          <w:sz w:val="22"/>
          <w:szCs w:val="22"/>
          <w:lang w:val="es-ES_tradnl"/>
        </w:rPr>
        <w:t>mos con intensidad XI se han registrado en los últimos 4 siglos: 1) en 1797 con efectos secundarios devastadores (incluyendo la represa de varios ríos). Las fuentes estiman entre 13.000 y 31.000 personas fallecidas y otros en 1834, con epicentro en Colombia, de menores efectos negativos.</w:t>
      </w:r>
    </w:p>
    <w:p w:rsidR="00F35493" w:rsidRDefault="00F35493" w:rsidP="00C32E55">
      <w:pPr>
        <w:jc w:val="both"/>
        <w:rPr>
          <w:rFonts w:ascii="Times New Roman" w:hAnsi="Times New Roman"/>
          <w:sz w:val="22"/>
          <w:szCs w:val="22"/>
          <w:lang w:val="es-ES_tradnl"/>
        </w:rPr>
      </w:pPr>
    </w:p>
    <w:p w:rsidR="00457E78" w:rsidRDefault="00457E78" w:rsidP="00C32E55">
      <w:pPr>
        <w:jc w:val="both"/>
        <w:rPr>
          <w:rFonts w:ascii="Times New Roman" w:hAnsi="Times New Roman"/>
          <w:sz w:val="22"/>
          <w:szCs w:val="22"/>
          <w:lang w:val="es-ES_tradnl"/>
        </w:rPr>
      </w:pPr>
    </w:p>
    <w:p w:rsidR="00457E78" w:rsidRDefault="00457E78" w:rsidP="00C32E55">
      <w:pPr>
        <w:jc w:val="both"/>
        <w:rPr>
          <w:rFonts w:ascii="Times New Roman" w:hAnsi="Times New Roman"/>
          <w:sz w:val="22"/>
          <w:szCs w:val="22"/>
          <w:lang w:val="es-ES_tradnl"/>
        </w:rPr>
      </w:pPr>
    </w:p>
    <w:p w:rsidR="00457E78" w:rsidRDefault="00457E78" w:rsidP="00C32E55">
      <w:pPr>
        <w:jc w:val="both"/>
        <w:rPr>
          <w:rFonts w:ascii="Times New Roman" w:hAnsi="Times New Roman"/>
          <w:sz w:val="22"/>
          <w:szCs w:val="22"/>
          <w:lang w:val="es-ES_tradnl"/>
        </w:rPr>
      </w:pPr>
    </w:p>
    <w:p w:rsidR="00457E78" w:rsidRDefault="00457E78" w:rsidP="00C32E55">
      <w:pPr>
        <w:jc w:val="both"/>
        <w:rPr>
          <w:rFonts w:ascii="Times New Roman" w:hAnsi="Times New Roman"/>
          <w:sz w:val="22"/>
          <w:szCs w:val="22"/>
          <w:lang w:val="es-ES_tradnl"/>
        </w:rPr>
      </w:pPr>
    </w:p>
    <w:p w:rsidR="00457E78" w:rsidRDefault="00457E78" w:rsidP="00C32E55">
      <w:pPr>
        <w:jc w:val="both"/>
        <w:rPr>
          <w:rFonts w:ascii="Times New Roman" w:hAnsi="Times New Roman"/>
          <w:sz w:val="22"/>
          <w:szCs w:val="22"/>
          <w:lang w:val="es-ES_tradnl"/>
        </w:rPr>
      </w:pPr>
    </w:p>
    <w:p w:rsidR="0068112A" w:rsidRDefault="0068112A" w:rsidP="00453923">
      <w:pPr>
        <w:jc w:val="both"/>
        <w:rPr>
          <w:rFonts w:ascii="Times New Roman" w:hAnsi="Times New Roman"/>
          <w:sz w:val="22"/>
          <w:szCs w:val="22"/>
          <w:lang w:val="es-ES_tradnl"/>
        </w:rPr>
      </w:pPr>
    </w:p>
    <w:p w:rsidR="00C32E55" w:rsidRPr="00837476" w:rsidRDefault="00C32E55">
      <w:pPr>
        <w:rPr>
          <w:lang w:val="es-ES_tradnl"/>
        </w:rPr>
      </w:pPr>
    </w:p>
    <w:p w:rsidR="00C32E55" w:rsidRPr="00673163" w:rsidRDefault="00563788" w:rsidP="00C32E55">
      <w:pPr>
        <w:jc w:val="both"/>
        <w:rPr>
          <w:rFonts w:ascii="Times New Roman" w:hAnsi="Times New Roman"/>
          <w:sz w:val="22"/>
          <w:szCs w:val="22"/>
          <w:lang w:val="es-ES"/>
        </w:rPr>
      </w:pPr>
      <w:r w:rsidRPr="00673163">
        <w:rPr>
          <w:rFonts w:ascii="Times New Roman" w:hAnsi="Times New Roman"/>
          <w:sz w:val="22"/>
          <w:szCs w:val="22"/>
          <w:lang w:val="es-ES"/>
        </w:rPr>
        <w:t xml:space="preserve">En </w:t>
      </w:r>
      <w:r w:rsidR="00C32E55" w:rsidRPr="00673163">
        <w:rPr>
          <w:rFonts w:ascii="Times New Roman" w:hAnsi="Times New Roman"/>
          <w:sz w:val="22"/>
          <w:szCs w:val="22"/>
          <w:lang w:val="es-ES"/>
        </w:rPr>
        <w:t>el Ecuador</w:t>
      </w:r>
      <w:r w:rsidRPr="00673163">
        <w:rPr>
          <w:rFonts w:ascii="Times New Roman" w:hAnsi="Times New Roman"/>
          <w:sz w:val="22"/>
          <w:szCs w:val="22"/>
          <w:lang w:val="es-ES"/>
        </w:rPr>
        <w:t xml:space="preserve"> </w:t>
      </w:r>
      <w:r w:rsidR="00C32E55" w:rsidRPr="00673163">
        <w:rPr>
          <w:rFonts w:ascii="Times New Roman" w:hAnsi="Times New Roman"/>
          <w:sz w:val="22"/>
          <w:szCs w:val="22"/>
          <w:lang w:val="es-ES"/>
        </w:rPr>
        <w:t>históricamente se han registrado siete eventos tsunamigénicos:</w:t>
      </w:r>
    </w:p>
    <w:p w:rsidR="00C32E55" w:rsidRPr="00673163" w:rsidRDefault="00C32E55" w:rsidP="00C32E55">
      <w:pPr>
        <w:jc w:val="both"/>
        <w:rPr>
          <w:rFonts w:ascii="Times New Roman" w:hAnsi="Times New Roman"/>
          <w:sz w:val="22"/>
          <w:szCs w:val="22"/>
          <w:lang w:val="es-ES"/>
        </w:rPr>
      </w:pPr>
      <w:r w:rsidRPr="00673163">
        <w:rPr>
          <w:rFonts w:ascii="Times New Roman" w:hAnsi="Times New Roman"/>
          <w:sz w:val="22"/>
          <w:szCs w:val="22"/>
          <w:lang w:val="es-ES"/>
        </w:rPr>
        <w:t>1. 1906, 03 de enero: Prov. de Esmeraldas, entre San Lorenzo y Tumaco (Colombia). Sismo generador de magnitud 8,8 Ritcher.</w:t>
      </w:r>
    </w:p>
    <w:p w:rsidR="00C32E55" w:rsidRPr="00673163" w:rsidRDefault="00C32E55" w:rsidP="00C32E55">
      <w:pPr>
        <w:jc w:val="both"/>
        <w:rPr>
          <w:rFonts w:ascii="Times New Roman" w:hAnsi="Times New Roman"/>
          <w:sz w:val="22"/>
          <w:szCs w:val="22"/>
          <w:lang w:val="es-ES"/>
        </w:rPr>
      </w:pPr>
      <w:r w:rsidRPr="00673163">
        <w:rPr>
          <w:rFonts w:ascii="Times New Roman" w:hAnsi="Times New Roman"/>
          <w:sz w:val="22"/>
          <w:szCs w:val="22"/>
          <w:lang w:val="es-ES"/>
        </w:rPr>
        <w:t>2. 1933, 02 de octubre: Prov. del Guayas, en el mar, frente a Salinas (Puntilla). Sismo generador</w:t>
      </w:r>
      <w:r w:rsidR="00A51C27" w:rsidRPr="00673163">
        <w:rPr>
          <w:rFonts w:ascii="Times New Roman" w:hAnsi="Times New Roman"/>
          <w:sz w:val="22"/>
          <w:szCs w:val="22"/>
          <w:lang w:val="es-ES"/>
        </w:rPr>
        <w:t xml:space="preserve"> </w:t>
      </w:r>
      <w:r w:rsidRPr="00673163">
        <w:rPr>
          <w:rFonts w:ascii="Times New Roman" w:hAnsi="Times New Roman"/>
          <w:sz w:val="22"/>
          <w:szCs w:val="22"/>
          <w:lang w:val="es-ES"/>
        </w:rPr>
        <w:t>6,9 Ritcher.</w:t>
      </w:r>
    </w:p>
    <w:p w:rsidR="00C32E55" w:rsidRPr="00673163" w:rsidRDefault="00C32E55" w:rsidP="00C32E55">
      <w:pPr>
        <w:jc w:val="both"/>
        <w:rPr>
          <w:rFonts w:ascii="Times New Roman" w:hAnsi="Times New Roman"/>
          <w:sz w:val="22"/>
          <w:szCs w:val="22"/>
          <w:lang w:val="es-ES"/>
        </w:rPr>
      </w:pPr>
      <w:r w:rsidRPr="00673163">
        <w:rPr>
          <w:rFonts w:ascii="Times New Roman" w:hAnsi="Times New Roman"/>
          <w:sz w:val="22"/>
          <w:szCs w:val="22"/>
          <w:lang w:val="es-ES"/>
        </w:rPr>
        <w:t>3. 1953, 12 de diciembre: Prov. de El Oro, en el mar, frente a Puerto Bolívar. Sismo</w:t>
      </w:r>
      <w:r w:rsidR="00A51C27" w:rsidRPr="00673163">
        <w:rPr>
          <w:rFonts w:ascii="Times New Roman" w:hAnsi="Times New Roman"/>
          <w:sz w:val="22"/>
          <w:szCs w:val="22"/>
          <w:lang w:val="es-ES"/>
        </w:rPr>
        <w:t xml:space="preserve"> </w:t>
      </w:r>
      <w:r w:rsidRPr="00673163">
        <w:rPr>
          <w:rFonts w:ascii="Times New Roman" w:hAnsi="Times New Roman"/>
          <w:sz w:val="22"/>
          <w:szCs w:val="22"/>
          <w:lang w:val="es-ES"/>
        </w:rPr>
        <w:t>generador 7,8 Ritcher. 9</w:t>
      </w:r>
    </w:p>
    <w:p w:rsidR="00C32E55" w:rsidRPr="00673163" w:rsidRDefault="00C32E55" w:rsidP="00C32E55">
      <w:pPr>
        <w:jc w:val="both"/>
        <w:rPr>
          <w:rFonts w:ascii="Times New Roman" w:hAnsi="Times New Roman"/>
          <w:sz w:val="22"/>
          <w:szCs w:val="22"/>
          <w:lang w:val="es-ES"/>
        </w:rPr>
      </w:pPr>
      <w:r w:rsidRPr="00673163">
        <w:rPr>
          <w:rFonts w:ascii="Times New Roman" w:hAnsi="Times New Roman"/>
          <w:sz w:val="22"/>
          <w:szCs w:val="22"/>
          <w:lang w:val="es-ES"/>
        </w:rPr>
        <w:t>4. 1958, enero: Prov. de Esmeraldas, en el mar, frente a Esmeraldas. Sismo generador 7,8 Ritcher</w:t>
      </w:r>
    </w:p>
    <w:p w:rsidR="00C32E55" w:rsidRPr="00673163" w:rsidRDefault="00C32E55" w:rsidP="00C32E55">
      <w:pPr>
        <w:jc w:val="both"/>
        <w:rPr>
          <w:rFonts w:ascii="Times New Roman" w:hAnsi="Times New Roman"/>
          <w:sz w:val="22"/>
          <w:szCs w:val="22"/>
          <w:lang w:val="es-ES"/>
        </w:rPr>
      </w:pPr>
      <w:r w:rsidRPr="00673163">
        <w:rPr>
          <w:rFonts w:ascii="Times New Roman" w:hAnsi="Times New Roman"/>
          <w:sz w:val="22"/>
          <w:szCs w:val="22"/>
          <w:lang w:val="es-ES"/>
        </w:rPr>
        <w:t>5. 1979, 12 de diciembre: Prov. de Esmeraldas, frente a Esmeraldas, en el mar, frente a Esmeraldas. Sismo generador 7,8 Ritcher</w:t>
      </w:r>
    </w:p>
    <w:p w:rsidR="00C32E55" w:rsidRPr="00673163" w:rsidRDefault="00C32E55" w:rsidP="00C32E55">
      <w:pPr>
        <w:jc w:val="both"/>
        <w:rPr>
          <w:rFonts w:ascii="Times New Roman" w:hAnsi="Times New Roman"/>
          <w:sz w:val="22"/>
          <w:szCs w:val="22"/>
          <w:lang w:val="es-ES"/>
        </w:rPr>
      </w:pPr>
      <w:r w:rsidRPr="00673163">
        <w:rPr>
          <w:rFonts w:ascii="Times New Roman" w:hAnsi="Times New Roman"/>
          <w:sz w:val="22"/>
          <w:szCs w:val="22"/>
          <w:lang w:val="es-ES"/>
        </w:rPr>
        <w:t>6. 1998, 4 de agosto: Prov. de Manabí, en el mar, frente a las costas de Boca de Briceño. Sismo generador 6,8 Ritcher.</w:t>
      </w:r>
    </w:p>
    <w:p w:rsidR="00C32E55" w:rsidRPr="00673163" w:rsidRDefault="00C32E55" w:rsidP="00C32E55">
      <w:pPr>
        <w:jc w:val="both"/>
        <w:rPr>
          <w:rFonts w:ascii="Times New Roman" w:hAnsi="Times New Roman"/>
          <w:sz w:val="22"/>
          <w:szCs w:val="22"/>
          <w:lang w:val="es-ES"/>
        </w:rPr>
      </w:pPr>
      <w:r w:rsidRPr="00673163">
        <w:rPr>
          <w:rFonts w:ascii="Times New Roman" w:hAnsi="Times New Roman"/>
          <w:sz w:val="22"/>
          <w:szCs w:val="22"/>
          <w:lang w:val="es-ES"/>
        </w:rPr>
        <w:t>7. 2016, 16 de abril: Prov. de Manabí, en el cantón pedernales. Sismo generador 7.8 Ritcher</w:t>
      </w:r>
      <w:r w:rsidR="00A51C27" w:rsidRPr="00673163">
        <w:rPr>
          <w:rFonts w:ascii="Times New Roman" w:hAnsi="Times New Roman"/>
          <w:sz w:val="22"/>
          <w:szCs w:val="22"/>
          <w:lang w:val="es-ES"/>
        </w:rPr>
        <w:t>.</w:t>
      </w:r>
    </w:p>
    <w:p w:rsidR="00A51C27" w:rsidRPr="00C32E55" w:rsidRDefault="00A51C27" w:rsidP="00C32E55">
      <w:pPr>
        <w:jc w:val="both"/>
        <w:rPr>
          <w:rFonts w:ascii="Times New Roman" w:hAnsi="Times New Roman"/>
          <w:sz w:val="22"/>
          <w:szCs w:val="22"/>
        </w:rPr>
      </w:pPr>
    </w:p>
    <w:p w:rsidR="00C32E55" w:rsidRDefault="00C32E55" w:rsidP="0095777A">
      <w:pPr>
        <w:jc w:val="center"/>
        <w:rPr>
          <w:rFonts w:ascii="Times New Roman" w:hAnsi="Times New Roman"/>
          <w:b/>
          <w:bCs/>
          <w:i/>
          <w:iCs/>
          <w:sz w:val="22"/>
          <w:szCs w:val="22"/>
          <w:lang w:val="es-ES_tradnl"/>
        </w:rPr>
      </w:pPr>
      <w:r w:rsidRPr="00C32E55">
        <w:rPr>
          <w:noProof/>
        </w:rPr>
        <w:drawing>
          <wp:inline distT="0" distB="0" distL="0" distR="0" wp14:anchorId="498560F3" wp14:editId="1CE521A5">
            <wp:extent cx="3387629" cy="4287302"/>
            <wp:effectExtent l="19050" t="0" r="3271"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cstate="print"/>
                    <a:srcRect/>
                    <a:stretch>
                      <a:fillRect/>
                    </a:stretch>
                  </pic:blipFill>
                  <pic:spPr bwMode="auto">
                    <a:xfrm>
                      <a:off x="0" y="0"/>
                      <a:ext cx="3388181" cy="4288000"/>
                    </a:xfrm>
                    <a:prstGeom prst="rect">
                      <a:avLst/>
                    </a:prstGeom>
                    <a:noFill/>
                    <a:ln w="9525">
                      <a:noFill/>
                      <a:miter lim="800000"/>
                      <a:headEnd/>
                      <a:tailEnd/>
                    </a:ln>
                  </pic:spPr>
                </pic:pic>
              </a:graphicData>
            </a:graphic>
          </wp:inline>
        </w:drawing>
      </w:r>
    </w:p>
    <w:p w:rsidR="00563788" w:rsidRPr="00837476" w:rsidRDefault="00563788" w:rsidP="00563788">
      <w:pPr>
        <w:autoSpaceDE w:val="0"/>
        <w:autoSpaceDN w:val="0"/>
        <w:adjustRightInd w:val="0"/>
        <w:rPr>
          <w:rFonts w:ascii="Times New Roman" w:hAnsi="Times New Roman"/>
          <w:b/>
          <w:bCs/>
          <w:i/>
          <w:iCs/>
          <w:lang w:val="fr-FR"/>
        </w:rPr>
      </w:pPr>
      <w:r w:rsidRPr="00837476">
        <w:rPr>
          <w:rFonts w:ascii="Times New Roman" w:hAnsi="Times New Roman"/>
          <w:i/>
          <w:lang w:val="fr-FR"/>
        </w:rPr>
        <w:t>Fuente: C</w:t>
      </w:r>
      <w:r w:rsidRPr="00837476">
        <w:rPr>
          <w:rFonts w:ascii="Times New Roman" w:hAnsi="Times New Roman"/>
          <w:i/>
          <w:iCs/>
          <w:lang w:val="fr-FR" w:eastAsia="es-AR"/>
        </w:rPr>
        <w:t>operazione Internazionale, Institut de Recherche pour le développenment, Oxfam.</w:t>
      </w:r>
    </w:p>
    <w:p w:rsidR="00563788" w:rsidRPr="00837476" w:rsidRDefault="00563788">
      <w:pPr>
        <w:rPr>
          <w:rFonts w:ascii="Times New Roman" w:hAnsi="Times New Roman"/>
          <w:b/>
          <w:bCs/>
          <w:i/>
          <w:iCs/>
          <w:sz w:val="22"/>
          <w:szCs w:val="22"/>
          <w:lang w:val="fr-FR"/>
        </w:rPr>
      </w:pPr>
      <w:r w:rsidRPr="00837476">
        <w:rPr>
          <w:lang w:val="fr-FR"/>
        </w:rPr>
        <w:br w:type="page"/>
      </w:r>
    </w:p>
    <w:p w:rsidR="00B8458D" w:rsidRDefault="0099203E" w:rsidP="0099203E">
      <w:pPr>
        <w:pStyle w:val="Heading1"/>
        <w:jc w:val="left"/>
      </w:pPr>
      <w:bookmarkStart w:id="316" w:name="_Toc465929635"/>
      <w:bookmarkStart w:id="317" w:name="_Toc468199842"/>
      <w:r w:rsidRPr="00C630C4">
        <w:lastRenderedPageBreak/>
        <w:t>A</w:t>
      </w:r>
      <w:r w:rsidR="000016E0">
        <w:t xml:space="preserve">nexo  </w:t>
      </w:r>
      <w:r w:rsidR="00B04E11">
        <w:t>B</w:t>
      </w:r>
      <w:r w:rsidRPr="00C630C4">
        <w:t xml:space="preserve">: </w:t>
      </w:r>
      <w:r w:rsidR="001731D1">
        <w:t>Criterios para medir la eficacia de los SAT</w:t>
      </w:r>
      <w:bookmarkEnd w:id="316"/>
      <w:bookmarkEnd w:id="317"/>
    </w:p>
    <w:p w:rsidR="00B8458D" w:rsidRDefault="00B8458D" w:rsidP="00B8458D">
      <w:pPr>
        <w:rPr>
          <w:lang w:val="es-ES_tradnl"/>
        </w:rPr>
      </w:pPr>
    </w:p>
    <w:p w:rsidR="00C75F74" w:rsidRPr="00C75F74" w:rsidRDefault="00C75F74" w:rsidP="00C75F74">
      <w:pPr>
        <w:jc w:val="both"/>
        <w:rPr>
          <w:rFonts w:ascii="Times New Roman" w:hAnsi="Times New Roman"/>
          <w:sz w:val="22"/>
          <w:szCs w:val="22"/>
          <w:lang w:val="es-ES"/>
        </w:rPr>
      </w:pPr>
      <w:r>
        <w:rPr>
          <w:rFonts w:ascii="Times New Roman" w:hAnsi="Times New Roman"/>
          <w:i/>
          <w:sz w:val="22"/>
          <w:szCs w:val="22"/>
          <w:lang w:val="es-ES"/>
        </w:rPr>
        <w:t xml:space="preserve">Marco conceptual. </w:t>
      </w:r>
      <w:r w:rsidRPr="00C75F74">
        <w:rPr>
          <w:rFonts w:ascii="Times New Roman" w:hAnsi="Times New Roman"/>
          <w:sz w:val="22"/>
          <w:szCs w:val="22"/>
          <w:lang w:val="es-ES"/>
        </w:rPr>
        <w:t xml:space="preserve">Los sistemas de alerta temprana son una herramienta que permite a una población estar  preparada ante la ocurrencia de un desastre y contribuyen a minimizar significativamente el  impacto de amenazas de origen natural o antrópico en la vida de las personas.  La visión que se propone sobre el propósito y la estructura de los SAT está definida en base </w:t>
      </w:r>
      <w:r>
        <w:rPr>
          <w:rFonts w:ascii="Times New Roman" w:hAnsi="Times New Roman"/>
          <w:sz w:val="22"/>
          <w:szCs w:val="22"/>
          <w:lang w:val="es-ES"/>
        </w:rPr>
        <w:t>a</w:t>
      </w:r>
      <w:r w:rsidRPr="00C75F74">
        <w:rPr>
          <w:rFonts w:ascii="Times New Roman" w:hAnsi="Times New Roman"/>
          <w:sz w:val="22"/>
          <w:szCs w:val="22"/>
          <w:lang w:val="es-ES"/>
        </w:rPr>
        <w:t>l Marco de Acción de Hyogo 2005-2015, que establece en la Segunda Prioridad la necesidad de identificar, evaluar y monitorear los riesgos, y también la importancia de mejorar los sistemas de alerta temprana existen</w:t>
      </w:r>
      <w:r>
        <w:rPr>
          <w:rFonts w:ascii="Times New Roman" w:hAnsi="Times New Roman"/>
          <w:sz w:val="22"/>
          <w:szCs w:val="22"/>
          <w:lang w:val="es-ES"/>
        </w:rPr>
        <w:t>tes</w:t>
      </w:r>
      <w:r w:rsidRPr="00C75F74">
        <w:rPr>
          <w:rFonts w:ascii="Times New Roman" w:hAnsi="Times New Roman"/>
          <w:sz w:val="22"/>
          <w:szCs w:val="22"/>
          <w:lang w:val="es-ES"/>
        </w:rPr>
        <w:t xml:space="preserve">. </w:t>
      </w:r>
      <w:r>
        <w:rPr>
          <w:rFonts w:ascii="Times New Roman" w:hAnsi="Times New Roman"/>
          <w:sz w:val="22"/>
          <w:szCs w:val="22"/>
          <w:lang w:val="es-ES"/>
        </w:rPr>
        <w:t xml:space="preserve"> Este</w:t>
      </w:r>
      <w:r w:rsidRPr="00C75F74">
        <w:rPr>
          <w:rFonts w:ascii="Times New Roman" w:hAnsi="Times New Roman"/>
          <w:sz w:val="22"/>
          <w:szCs w:val="22"/>
          <w:lang w:val="es-ES"/>
        </w:rPr>
        <w:t xml:space="preserve"> considera que los SAT son claves para la estrategia de reducción del riesgo de desastres a todo nivel</w:t>
      </w:r>
      <w:r>
        <w:rPr>
          <w:rFonts w:ascii="Times New Roman" w:hAnsi="Times New Roman"/>
          <w:sz w:val="22"/>
          <w:szCs w:val="22"/>
          <w:lang w:val="es-ES"/>
        </w:rPr>
        <w:t>:</w:t>
      </w:r>
      <w:r w:rsidRPr="00C75F74">
        <w:rPr>
          <w:rFonts w:ascii="Times New Roman" w:hAnsi="Times New Roman"/>
          <w:sz w:val="22"/>
          <w:szCs w:val="22"/>
          <w:lang w:val="es-ES"/>
        </w:rPr>
        <w:t xml:space="preserve"> “El punto de partida para reducir los riesgos de desastre y promover una cultura de resiliencia consiste en conocer las amenazas y los factores físicos, sociales, económicos y ambientales de vulnerabilidad a los desastres a que se enfrentan la mayoría de las sociedades, así como la evolución de las amenazas y los factores de vulnerabilidad a corto y largo plazo, para luego adoptar las medidas oportunas en función de ese conocimiento” (EIRD, 2005). </w:t>
      </w:r>
      <w:r>
        <w:rPr>
          <w:rFonts w:ascii="Times New Roman" w:hAnsi="Times New Roman"/>
          <w:sz w:val="22"/>
          <w:szCs w:val="22"/>
          <w:lang w:val="es-ES"/>
        </w:rPr>
        <w:t xml:space="preserve"> </w:t>
      </w:r>
      <w:r w:rsidRPr="00C75F74">
        <w:rPr>
          <w:rFonts w:ascii="Times New Roman" w:hAnsi="Times New Roman"/>
          <w:sz w:val="22"/>
          <w:szCs w:val="22"/>
          <w:lang w:val="es-ES"/>
        </w:rPr>
        <w:t>El Marco también reconoce la necesidad de desarrollar capacidad</w:t>
      </w:r>
      <w:r w:rsidR="003231DB">
        <w:rPr>
          <w:rFonts w:ascii="Times New Roman" w:hAnsi="Times New Roman"/>
          <w:sz w:val="22"/>
          <w:szCs w:val="22"/>
          <w:lang w:val="es-ES"/>
        </w:rPr>
        <w:t xml:space="preserve"> </w:t>
      </w:r>
      <w:r w:rsidRPr="00C75F74">
        <w:rPr>
          <w:rFonts w:ascii="Times New Roman" w:hAnsi="Times New Roman"/>
          <w:sz w:val="22"/>
          <w:szCs w:val="22"/>
          <w:lang w:val="es-ES"/>
        </w:rPr>
        <w:t xml:space="preserve"> institucional en las organizaciones estatales y privadas para asegurar que los sistemas de alerta estén integrados </w:t>
      </w:r>
      <w:r>
        <w:rPr>
          <w:rFonts w:ascii="Times New Roman" w:hAnsi="Times New Roman"/>
          <w:sz w:val="22"/>
          <w:szCs w:val="22"/>
          <w:lang w:val="es-ES"/>
        </w:rPr>
        <w:t xml:space="preserve"> </w:t>
      </w:r>
      <w:r w:rsidRPr="00C75F74">
        <w:rPr>
          <w:rFonts w:ascii="Times New Roman" w:hAnsi="Times New Roman"/>
          <w:sz w:val="22"/>
          <w:szCs w:val="22"/>
          <w:lang w:val="es-ES"/>
        </w:rPr>
        <w:t xml:space="preserve">en todos los procesos de toma de decisión que tengan que ver con desastres, tanto para su </w:t>
      </w:r>
      <w:r>
        <w:rPr>
          <w:rFonts w:ascii="Times New Roman" w:hAnsi="Times New Roman"/>
          <w:sz w:val="22"/>
          <w:szCs w:val="22"/>
          <w:lang w:val="es-ES"/>
        </w:rPr>
        <w:t xml:space="preserve"> </w:t>
      </w:r>
      <w:r w:rsidRPr="00C75F74">
        <w:rPr>
          <w:rFonts w:ascii="Times New Roman" w:hAnsi="Times New Roman"/>
          <w:sz w:val="22"/>
          <w:szCs w:val="22"/>
          <w:lang w:val="es-ES"/>
        </w:rPr>
        <w:t>prevención como para manejar sus efectos</w:t>
      </w:r>
      <w:r w:rsidR="003231DB">
        <w:rPr>
          <w:rStyle w:val="FootnoteReference"/>
          <w:rFonts w:ascii="Times New Roman" w:hAnsi="Times New Roman"/>
          <w:sz w:val="22"/>
          <w:szCs w:val="22"/>
          <w:lang w:val="es-ES"/>
        </w:rPr>
        <w:footnoteReference w:id="62"/>
      </w:r>
      <w:r w:rsidRPr="00C75F74">
        <w:rPr>
          <w:rFonts w:ascii="Times New Roman" w:hAnsi="Times New Roman"/>
          <w:sz w:val="22"/>
          <w:szCs w:val="22"/>
          <w:lang w:val="es-ES"/>
        </w:rPr>
        <w:t xml:space="preserve">. </w:t>
      </w:r>
    </w:p>
    <w:p w:rsidR="00C75F74" w:rsidRPr="00C75F74" w:rsidRDefault="00C75F74" w:rsidP="00C75F74">
      <w:pPr>
        <w:jc w:val="both"/>
        <w:rPr>
          <w:rFonts w:ascii="Times New Roman" w:hAnsi="Times New Roman"/>
          <w:i/>
          <w:sz w:val="22"/>
          <w:szCs w:val="22"/>
          <w:lang w:val="es-ES"/>
        </w:rPr>
      </w:pPr>
    </w:p>
    <w:p w:rsidR="00C75F74" w:rsidRPr="003231DB" w:rsidRDefault="003231DB" w:rsidP="00C75F74">
      <w:pPr>
        <w:jc w:val="both"/>
        <w:rPr>
          <w:rFonts w:ascii="Times New Roman" w:hAnsi="Times New Roman"/>
          <w:sz w:val="22"/>
          <w:szCs w:val="22"/>
          <w:lang w:val="es-ES"/>
        </w:rPr>
      </w:pPr>
      <w:r>
        <w:rPr>
          <w:rFonts w:ascii="Times New Roman" w:hAnsi="Times New Roman"/>
          <w:sz w:val="22"/>
          <w:szCs w:val="22"/>
          <w:lang w:val="es-ES"/>
        </w:rPr>
        <w:t>Se</w:t>
      </w:r>
      <w:r w:rsidR="00C75F74" w:rsidRPr="003231DB">
        <w:rPr>
          <w:rFonts w:ascii="Times New Roman" w:hAnsi="Times New Roman"/>
          <w:sz w:val="22"/>
          <w:szCs w:val="22"/>
          <w:lang w:val="es-ES"/>
        </w:rPr>
        <w:t xml:space="preserve"> identifica cuatro puntos claves para el desarrollo de SAT integrados y</w:t>
      </w:r>
      <w:r>
        <w:rPr>
          <w:rFonts w:ascii="Times New Roman" w:hAnsi="Times New Roman"/>
          <w:sz w:val="22"/>
          <w:szCs w:val="22"/>
          <w:lang w:val="es-ES"/>
        </w:rPr>
        <w:t xml:space="preserve"> </w:t>
      </w:r>
      <w:r w:rsidR="00C75F74" w:rsidRPr="003231DB">
        <w:rPr>
          <w:rFonts w:ascii="Times New Roman" w:hAnsi="Times New Roman"/>
          <w:sz w:val="22"/>
          <w:szCs w:val="22"/>
          <w:lang w:val="es-ES"/>
        </w:rPr>
        <w:t>efectivos</w:t>
      </w:r>
      <w:r>
        <w:rPr>
          <w:rFonts w:ascii="Times New Roman" w:hAnsi="Times New Roman"/>
          <w:sz w:val="22"/>
          <w:szCs w:val="22"/>
          <w:lang w:val="es-ES"/>
        </w:rPr>
        <w:t xml:space="preserve"> que se presentan en la siguiente imagen.</w:t>
      </w:r>
    </w:p>
    <w:p w:rsidR="00C75F74" w:rsidRDefault="00406CAE" w:rsidP="000016E0">
      <w:pPr>
        <w:jc w:val="both"/>
        <w:rPr>
          <w:rFonts w:ascii="Times New Roman" w:hAnsi="Times New Roman"/>
          <w:sz w:val="22"/>
          <w:szCs w:val="22"/>
          <w:lang w:val="es-ES"/>
        </w:rPr>
      </w:pPr>
      <w:r>
        <w:rPr>
          <w:noProof/>
        </w:rPr>
        <w:drawing>
          <wp:inline distT="0" distB="0" distL="0" distR="0" wp14:anchorId="1D4888D7" wp14:editId="02B6680A">
            <wp:extent cx="5464366" cy="3172858"/>
            <wp:effectExtent l="0" t="0" r="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3231DB" w:rsidRPr="00673163" w:rsidRDefault="003231DB" w:rsidP="003231DB">
      <w:pPr>
        <w:ind w:left="720" w:firstLine="720"/>
        <w:jc w:val="both"/>
        <w:rPr>
          <w:rFonts w:ascii="Times New Roman" w:hAnsi="Times New Roman"/>
          <w:i/>
          <w:sz w:val="18"/>
          <w:szCs w:val="18"/>
          <w:lang w:val="es-AR"/>
        </w:rPr>
      </w:pPr>
      <w:r w:rsidRPr="00673163">
        <w:rPr>
          <w:rFonts w:ascii="Times New Roman" w:hAnsi="Times New Roman"/>
          <w:i/>
          <w:sz w:val="18"/>
          <w:szCs w:val="18"/>
          <w:lang w:val="es-AR"/>
        </w:rPr>
        <w:t>Fuente: ISDR. EWC III. Tercera Conferencia Internacional sobre Alerta Temprana.</w:t>
      </w:r>
    </w:p>
    <w:p w:rsidR="003231DB" w:rsidRPr="00673163" w:rsidRDefault="003231DB" w:rsidP="003231DB">
      <w:pPr>
        <w:ind w:left="720" w:firstLine="720"/>
        <w:jc w:val="both"/>
        <w:rPr>
          <w:rFonts w:ascii="Times New Roman" w:hAnsi="Times New Roman"/>
          <w:i/>
          <w:sz w:val="18"/>
          <w:szCs w:val="18"/>
          <w:lang w:val="es-AR"/>
        </w:rPr>
      </w:pPr>
      <w:r w:rsidRPr="00673163">
        <w:rPr>
          <w:rFonts w:ascii="Times New Roman" w:hAnsi="Times New Roman"/>
          <w:i/>
          <w:sz w:val="18"/>
          <w:szCs w:val="18"/>
          <w:lang w:val="es-AR"/>
        </w:rPr>
        <w:t xml:space="preserve"> Desarrollo de Sistemas de Alerta temprana, 2006</w:t>
      </w:r>
    </w:p>
    <w:p w:rsidR="00A67F35" w:rsidRPr="00673163" w:rsidRDefault="00A67F35" w:rsidP="00A67F35">
      <w:pPr>
        <w:jc w:val="both"/>
        <w:rPr>
          <w:rFonts w:ascii="Times New Roman" w:hAnsi="Times New Roman"/>
          <w:sz w:val="22"/>
          <w:szCs w:val="22"/>
          <w:lang w:val="es-AR"/>
        </w:rPr>
      </w:pPr>
    </w:p>
    <w:p w:rsidR="00A67F35" w:rsidRPr="00673163" w:rsidRDefault="003231DB" w:rsidP="00A67F35">
      <w:pPr>
        <w:jc w:val="both"/>
        <w:rPr>
          <w:rFonts w:ascii="Times New Roman" w:hAnsi="Times New Roman"/>
          <w:sz w:val="22"/>
          <w:szCs w:val="22"/>
          <w:lang w:val="es-AR"/>
        </w:rPr>
      </w:pPr>
      <w:r w:rsidRPr="00673163">
        <w:rPr>
          <w:rFonts w:ascii="Times New Roman" w:hAnsi="Times New Roman"/>
          <w:sz w:val="22"/>
          <w:szCs w:val="22"/>
          <w:lang w:val="es-AR"/>
        </w:rPr>
        <w:t xml:space="preserve">Los puntos claves para </w:t>
      </w:r>
      <w:proofErr w:type="gramStart"/>
      <w:r w:rsidRPr="00673163">
        <w:rPr>
          <w:rFonts w:ascii="Times New Roman" w:hAnsi="Times New Roman"/>
          <w:sz w:val="22"/>
          <w:szCs w:val="22"/>
          <w:lang w:val="es-AR"/>
        </w:rPr>
        <w:t>el desarrollo de SAT integrados y efectivos</w:t>
      </w:r>
      <w:proofErr w:type="gramEnd"/>
      <w:r w:rsidRPr="00673163">
        <w:rPr>
          <w:rStyle w:val="FootnoteReference"/>
          <w:rFonts w:ascii="Times New Roman" w:hAnsi="Times New Roman"/>
          <w:sz w:val="22"/>
          <w:szCs w:val="22"/>
          <w:lang w:val="es-AR"/>
        </w:rPr>
        <w:footnoteReference w:id="63"/>
      </w:r>
      <w:r w:rsidRPr="00673163">
        <w:rPr>
          <w:rFonts w:ascii="Times New Roman" w:hAnsi="Times New Roman"/>
          <w:sz w:val="22"/>
          <w:szCs w:val="22"/>
          <w:lang w:val="es-AR"/>
        </w:rPr>
        <w:t xml:space="preserve"> comprenden</w:t>
      </w:r>
      <w:r w:rsidR="00A67F35" w:rsidRPr="00673163">
        <w:rPr>
          <w:rFonts w:ascii="Times New Roman" w:hAnsi="Times New Roman"/>
          <w:sz w:val="22"/>
          <w:szCs w:val="22"/>
          <w:lang w:val="es-AR"/>
        </w:rPr>
        <w:t>:</w:t>
      </w:r>
    </w:p>
    <w:p w:rsidR="003231DB" w:rsidRPr="00673163" w:rsidRDefault="003231DB" w:rsidP="00C95815">
      <w:pPr>
        <w:pStyle w:val="ListParagraph"/>
        <w:numPr>
          <w:ilvl w:val="0"/>
          <w:numId w:val="16"/>
        </w:numPr>
        <w:jc w:val="both"/>
        <w:rPr>
          <w:rFonts w:ascii="Times New Roman" w:hAnsi="Times New Roman"/>
          <w:sz w:val="22"/>
          <w:szCs w:val="22"/>
          <w:lang w:val="es-AR"/>
        </w:rPr>
      </w:pPr>
      <w:r w:rsidRPr="00673163">
        <w:rPr>
          <w:rFonts w:ascii="Times New Roman" w:hAnsi="Times New Roman"/>
          <w:sz w:val="22"/>
          <w:szCs w:val="22"/>
          <w:lang w:val="es-AR"/>
        </w:rPr>
        <w:lastRenderedPageBreak/>
        <w:t xml:space="preserve"> Conocer el riesgo: identificar los factores de riesgo (mediante evaluaciones y mapas) es una tarea que puede motivar a una población a reconocer cuáles son las amenazas y vulnerabilidad ante las que están expuestos, y establecer adecuadamente las prioridades y características del SAT que se diseña.</w:t>
      </w:r>
    </w:p>
    <w:p w:rsidR="003231DB" w:rsidRPr="00673163" w:rsidRDefault="003231DB" w:rsidP="00C95815">
      <w:pPr>
        <w:pStyle w:val="ListParagraph"/>
        <w:numPr>
          <w:ilvl w:val="0"/>
          <w:numId w:val="16"/>
        </w:numPr>
        <w:jc w:val="both"/>
        <w:rPr>
          <w:rFonts w:ascii="Times New Roman" w:hAnsi="Times New Roman"/>
          <w:sz w:val="22"/>
          <w:szCs w:val="22"/>
          <w:lang w:val="es-AR"/>
        </w:rPr>
      </w:pPr>
      <w:r w:rsidRPr="00673163">
        <w:rPr>
          <w:rFonts w:ascii="Times New Roman" w:hAnsi="Times New Roman"/>
          <w:sz w:val="22"/>
          <w:szCs w:val="22"/>
          <w:lang w:val="es-AR"/>
        </w:rPr>
        <w:t xml:space="preserve"> Monitoreo técnico y servicios de alerta: los servicios de alerta constituyen el componente fundamental del sistema. Es necesario contar con una base científica sólida para prever y prevenir amenazas, y con un sistema fiable de pronósticos y alerta que funcione de forma permanente. Un seguimiento continuo de los parámetros y los aspectos que antecedieron las amenazas es indispensable para elaborar alertas precisas y oportunas. Los servicios de alerta para las distintas amenazas deben coordinarse en la medida de lo posible para aprovechar las redes comunes institucionales, de procedimientos y comunicaciones. </w:t>
      </w:r>
    </w:p>
    <w:p w:rsidR="00A67F35" w:rsidRPr="00673163" w:rsidRDefault="003231DB" w:rsidP="00C95815">
      <w:pPr>
        <w:pStyle w:val="ListParagraph"/>
        <w:numPr>
          <w:ilvl w:val="0"/>
          <w:numId w:val="16"/>
        </w:numPr>
        <w:jc w:val="both"/>
        <w:rPr>
          <w:rFonts w:ascii="Times New Roman" w:hAnsi="Times New Roman"/>
          <w:sz w:val="22"/>
          <w:szCs w:val="22"/>
          <w:lang w:val="es-AR"/>
        </w:rPr>
      </w:pPr>
      <w:r w:rsidRPr="00673163">
        <w:rPr>
          <w:rFonts w:ascii="Times New Roman" w:hAnsi="Times New Roman"/>
          <w:sz w:val="22"/>
          <w:szCs w:val="22"/>
          <w:lang w:val="es-AR"/>
        </w:rPr>
        <w:t xml:space="preserve"> Difusión y comunicación: las alertas deben llegar a las personas en peligro a tiempo. Para generar respuestas adecuadas que ayuden a salvar vidas y medios de sustento se requieren de mensajes claros que ofrezcan información sencilla y útil. Es n</w:t>
      </w:r>
      <w:r w:rsidR="00A67F35" w:rsidRPr="00673163">
        <w:rPr>
          <w:rFonts w:ascii="Times New Roman" w:hAnsi="Times New Roman"/>
          <w:sz w:val="22"/>
          <w:szCs w:val="22"/>
          <w:lang w:val="es-AR"/>
        </w:rPr>
        <w:t xml:space="preserve">ecesario definir </w:t>
      </w:r>
      <w:r w:rsidRPr="00673163">
        <w:rPr>
          <w:rFonts w:ascii="Times New Roman" w:hAnsi="Times New Roman"/>
          <w:sz w:val="22"/>
          <w:szCs w:val="22"/>
          <w:lang w:val="es-AR"/>
        </w:rPr>
        <w:t xml:space="preserve"> sistemas de comunicación a todo nivel (local, regional y nacional) y designar portavoces autorizados. El empleo de múltiples canales de comunicación es indispensable para garantizar que la alerta llegue al mayor número posible de personas. Además, sirve como sistema de prevención ante la falla de cualquier canal. </w:t>
      </w:r>
    </w:p>
    <w:p w:rsidR="003231DB" w:rsidRPr="00673163" w:rsidRDefault="003231DB" w:rsidP="00C95815">
      <w:pPr>
        <w:pStyle w:val="ListParagraph"/>
        <w:numPr>
          <w:ilvl w:val="0"/>
          <w:numId w:val="16"/>
        </w:numPr>
        <w:jc w:val="both"/>
        <w:rPr>
          <w:rFonts w:ascii="Times New Roman" w:hAnsi="Times New Roman"/>
          <w:sz w:val="22"/>
          <w:szCs w:val="22"/>
          <w:lang w:val="es-AR"/>
        </w:rPr>
      </w:pPr>
      <w:r w:rsidRPr="00673163">
        <w:rPr>
          <w:rFonts w:ascii="Times New Roman" w:hAnsi="Times New Roman"/>
          <w:sz w:val="22"/>
          <w:szCs w:val="22"/>
          <w:lang w:val="es-AR"/>
        </w:rPr>
        <w:t>Capacidad de respuesta de las poblaciones: es de suma importancia que las comunidades comprendan el riesgo que corren, respeten el servicio de alerta y sepan cómo reaccionar. Para esto son necesarios programas de educación y preparación ante desastre</w:t>
      </w:r>
      <w:r w:rsidR="00A67F35" w:rsidRPr="00673163">
        <w:rPr>
          <w:rFonts w:ascii="Times New Roman" w:hAnsi="Times New Roman"/>
          <w:sz w:val="22"/>
          <w:szCs w:val="22"/>
          <w:lang w:val="es-AR"/>
        </w:rPr>
        <w:t>s y emergencias. S</w:t>
      </w:r>
      <w:r w:rsidRPr="00673163">
        <w:rPr>
          <w:rFonts w:ascii="Times New Roman" w:hAnsi="Times New Roman"/>
          <w:sz w:val="22"/>
          <w:szCs w:val="22"/>
          <w:lang w:val="es-AR"/>
        </w:rPr>
        <w:t xml:space="preserve">e desarrollan planes de gestión practicados y sometidos a pruebas. </w:t>
      </w:r>
    </w:p>
    <w:p w:rsidR="003231DB" w:rsidRPr="00673163" w:rsidRDefault="003231DB" w:rsidP="003231DB">
      <w:pPr>
        <w:jc w:val="both"/>
        <w:rPr>
          <w:rFonts w:ascii="Times New Roman" w:hAnsi="Times New Roman"/>
          <w:lang w:val="es-AR"/>
        </w:rPr>
      </w:pPr>
      <w:r w:rsidRPr="00673163">
        <w:rPr>
          <w:rFonts w:ascii="Times New Roman" w:hAnsi="Times New Roman"/>
          <w:sz w:val="22"/>
          <w:szCs w:val="22"/>
          <w:lang w:val="es-AR"/>
        </w:rPr>
        <w:t>El mismo documento menciona cuatro factores transversales que deben considerarse para maximizar la eficacia de un SAT:</w:t>
      </w:r>
      <w:r w:rsidR="00F30F32">
        <w:rPr>
          <w:rFonts w:ascii="Times New Roman" w:hAnsi="Times New Roman"/>
          <w:sz w:val="22"/>
          <w:szCs w:val="22"/>
          <w:lang w:val="es-AR"/>
        </w:rPr>
        <w:t xml:space="preserve"> </w:t>
      </w:r>
      <w:r w:rsidR="006620C3">
        <w:rPr>
          <w:rFonts w:ascii="Times New Roman" w:hAnsi="Times New Roman"/>
          <w:sz w:val="22"/>
          <w:szCs w:val="22"/>
          <w:lang w:val="es-AR"/>
        </w:rPr>
        <w:t>(</w:t>
      </w:r>
      <w:r w:rsidR="00A67F35" w:rsidRPr="00673163">
        <w:rPr>
          <w:rFonts w:ascii="Times New Roman" w:hAnsi="Times New Roman"/>
          <w:sz w:val="22"/>
          <w:szCs w:val="22"/>
          <w:lang w:val="es-AR"/>
        </w:rPr>
        <w:t xml:space="preserve">i) </w:t>
      </w:r>
      <w:r w:rsidRPr="00673163">
        <w:rPr>
          <w:rFonts w:ascii="Times New Roman" w:hAnsi="Times New Roman"/>
          <w:sz w:val="22"/>
          <w:szCs w:val="22"/>
          <w:lang w:val="es-AR"/>
        </w:rPr>
        <w:t>trabajar considerando la institucionalidad y gobernabilidad, es decir, incluir en el proceso</w:t>
      </w:r>
      <w:r w:rsidR="00A67F35" w:rsidRPr="00673163">
        <w:rPr>
          <w:rFonts w:ascii="Times New Roman" w:hAnsi="Times New Roman"/>
          <w:sz w:val="22"/>
          <w:szCs w:val="22"/>
          <w:lang w:val="es-AR"/>
        </w:rPr>
        <w:t xml:space="preserve"> (</w:t>
      </w:r>
      <w:r w:rsidRPr="00673163">
        <w:rPr>
          <w:rFonts w:ascii="Times New Roman" w:hAnsi="Times New Roman"/>
          <w:sz w:val="22"/>
          <w:szCs w:val="22"/>
          <w:lang w:val="es-AR"/>
        </w:rPr>
        <w:t>de forma vertical y horizontal</w:t>
      </w:r>
      <w:r w:rsidR="00A67F35" w:rsidRPr="00673163">
        <w:rPr>
          <w:rFonts w:ascii="Times New Roman" w:hAnsi="Times New Roman"/>
          <w:sz w:val="22"/>
          <w:szCs w:val="22"/>
          <w:lang w:val="es-AR"/>
        </w:rPr>
        <w:t>)</w:t>
      </w:r>
      <w:r w:rsidRPr="00673163">
        <w:rPr>
          <w:rFonts w:ascii="Times New Roman" w:hAnsi="Times New Roman"/>
          <w:sz w:val="22"/>
          <w:szCs w:val="22"/>
          <w:lang w:val="es-AR"/>
        </w:rPr>
        <w:t xml:space="preserve">a todas las instancias locales, regionales y nacionales necesarias; </w:t>
      </w:r>
      <w:r w:rsidR="00A67F35" w:rsidRPr="00673163">
        <w:rPr>
          <w:rFonts w:ascii="Times New Roman" w:hAnsi="Times New Roman"/>
          <w:sz w:val="22"/>
          <w:szCs w:val="22"/>
          <w:lang w:val="es-AR"/>
        </w:rPr>
        <w:t xml:space="preserve"> </w:t>
      </w:r>
      <w:r w:rsidR="006620C3">
        <w:rPr>
          <w:rFonts w:ascii="Times New Roman" w:hAnsi="Times New Roman"/>
          <w:sz w:val="22"/>
          <w:szCs w:val="22"/>
          <w:lang w:val="es-AR"/>
        </w:rPr>
        <w:t>(</w:t>
      </w:r>
      <w:r w:rsidR="00A67F35" w:rsidRPr="00673163">
        <w:rPr>
          <w:rFonts w:ascii="Times New Roman" w:hAnsi="Times New Roman"/>
          <w:sz w:val="22"/>
          <w:szCs w:val="22"/>
          <w:lang w:val="es-AR"/>
        </w:rPr>
        <w:t>ii) adoptar</w:t>
      </w:r>
      <w:r w:rsidRPr="00673163">
        <w:rPr>
          <w:rFonts w:ascii="Times New Roman" w:hAnsi="Times New Roman"/>
          <w:sz w:val="22"/>
          <w:szCs w:val="22"/>
          <w:lang w:val="es-AR"/>
        </w:rPr>
        <w:t xml:space="preserve"> un enfoque de amenaza </w:t>
      </w:r>
      <w:r w:rsidR="00A67F35" w:rsidRPr="00673163">
        <w:rPr>
          <w:rFonts w:ascii="Times New Roman" w:hAnsi="Times New Roman"/>
          <w:sz w:val="22"/>
          <w:szCs w:val="22"/>
          <w:lang w:val="es-AR"/>
        </w:rPr>
        <w:t>multiple (</w:t>
      </w:r>
      <w:r w:rsidRPr="00673163">
        <w:rPr>
          <w:rFonts w:ascii="Times New Roman" w:hAnsi="Times New Roman"/>
          <w:sz w:val="22"/>
          <w:szCs w:val="22"/>
          <w:lang w:val="es-AR"/>
        </w:rPr>
        <w:t>un sistema holístico tiene mejores funciones y mayor fiabilidad que un sistema centrado en un solo fenómeno porque es activado de forma más frecuente</w:t>
      </w:r>
      <w:r w:rsidR="00A67F35" w:rsidRPr="00673163">
        <w:rPr>
          <w:rFonts w:ascii="Times New Roman" w:hAnsi="Times New Roman"/>
          <w:sz w:val="22"/>
          <w:szCs w:val="22"/>
          <w:lang w:val="es-AR"/>
        </w:rPr>
        <w:t>)</w:t>
      </w:r>
      <w:r w:rsidRPr="00673163">
        <w:rPr>
          <w:rFonts w:ascii="Times New Roman" w:hAnsi="Times New Roman"/>
          <w:sz w:val="22"/>
          <w:szCs w:val="22"/>
          <w:lang w:val="es-AR"/>
        </w:rPr>
        <w:t xml:space="preserve">; </w:t>
      </w:r>
      <w:r w:rsidR="006620C3">
        <w:rPr>
          <w:rFonts w:ascii="Times New Roman" w:hAnsi="Times New Roman"/>
          <w:sz w:val="22"/>
          <w:szCs w:val="22"/>
          <w:lang w:val="es-AR"/>
        </w:rPr>
        <w:t>(</w:t>
      </w:r>
      <w:r w:rsidR="00A67F35" w:rsidRPr="00673163">
        <w:rPr>
          <w:rFonts w:ascii="Times New Roman" w:hAnsi="Times New Roman"/>
          <w:sz w:val="22"/>
          <w:szCs w:val="22"/>
          <w:lang w:val="es-AR"/>
        </w:rPr>
        <w:t xml:space="preserve">iii) </w:t>
      </w:r>
      <w:r w:rsidRPr="00673163">
        <w:rPr>
          <w:rFonts w:ascii="Times New Roman" w:hAnsi="Times New Roman"/>
          <w:sz w:val="22"/>
          <w:szCs w:val="22"/>
          <w:lang w:val="es-AR"/>
        </w:rPr>
        <w:t>comprometer y maximizar la participación comunitaria, llegar a los ci</w:t>
      </w:r>
      <w:r w:rsidR="00A67F35" w:rsidRPr="00673163">
        <w:rPr>
          <w:rFonts w:ascii="Times New Roman" w:hAnsi="Times New Roman"/>
          <w:sz w:val="22"/>
          <w:szCs w:val="22"/>
          <w:lang w:val="es-AR"/>
        </w:rPr>
        <w:t>udadanos es clave para el éxito</w:t>
      </w:r>
      <w:r w:rsidRPr="00673163">
        <w:rPr>
          <w:rFonts w:ascii="Times New Roman" w:hAnsi="Times New Roman"/>
          <w:sz w:val="22"/>
          <w:szCs w:val="22"/>
          <w:lang w:val="es-AR"/>
        </w:rPr>
        <w:t>, y finalmente;</w:t>
      </w:r>
      <w:r w:rsidR="006620C3">
        <w:rPr>
          <w:rFonts w:ascii="Times New Roman" w:hAnsi="Times New Roman"/>
          <w:sz w:val="22"/>
          <w:szCs w:val="22"/>
          <w:lang w:val="es-AR"/>
        </w:rPr>
        <w:t xml:space="preserve"> y (</w:t>
      </w:r>
      <w:r w:rsidR="00A67F35" w:rsidRPr="00673163">
        <w:rPr>
          <w:rFonts w:ascii="Times New Roman" w:hAnsi="Times New Roman"/>
          <w:sz w:val="22"/>
          <w:szCs w:val="22"/>
          <w:lang w:val="es-AR"/>
        </w:rPr>
        <w:t xml:space="preserve">iv) </w:t>
      </w:r>
      <w:r w:rsidRPr="00673163">
        <w:rPr>
          <w:rFonts w:ascii="Times New Roman" w:hAnsi="Times New Roman"/>
          <w:sz w:val="22"/>
          <w:szCs w:val="22"/>
          <w:lang w:val="es-AR"/>
        </w:rPr>
        <w:t>ser conciente de la diversidad, ya que distintos grupos sociales y culturales están sometidos a diferentes amenazas</w:t>
      </w:r>
      <w:r w:rsidR="00A67F35" w:rsidRPr="00673163">
        <w:rPr>
          <w:rFonts w:ascii="Times New Roman" w:hAnsi="Times New Roman"/>
          <w:sz w:val="22"/>
          <w:szCs w:val="22"/>
          <w:lang w:val="es-AR"/>
        </w:rPr>
        <w:t>. T</w:t>
      </w:r>
      <w:r w:rsidRPr="00673163">
        <w:rPr>
          <w:rFonts w:ascii="Times New Roman" w:hAnsi="Times New Roman"/>
          <w:sz w:val="22"/>
          <w:szCs w:val="22"/>
          <w:lang w:val="es-AR"/>
        </w:rPr>
        <w:t>odo SAT debe ser inclusivo y comprender las diferencias en cuanto a diversidad, de género y sociales y sus efectos sobre la capacidad de adaptación de los ciudadanos.</w:t>
      </w:r>
    </w:p>
    <w:p w:rsidR="00A67F35" w:rsidRPr="00673163" w:rsidRDefault="00A67F35" w:rsidP="00A67F35">
      <w:pPr>
        <w:rPr>
          <w:lang w:val="es-AR"/>
        </w:rPr>
      </w:pPr>
    </w:p>
    <w:p w:rsidR="001731D1" w:rsidRPr="00673163" w:rsidRDefault="000016E0" w:rsidP="00A67F35">
      <w:pPr>
        <w:jc w:val="both"/>
        <w:rPr>
          <w:rFonts w:ascii="Times New Roman" w:hAnsi="Times New Roman"/>
          <w:sz w:val="22"/>
          <w:szCs w:val="22"/>
          <w:lang w:val="es-AR"/>
        </w:rPr>
      </w:pPr>
      <w:r w:rsidRPr="00673163">
        <w:rPr>
          <w:rFonts w:ascii="Times New Roman" w:hAnsi="Times New Roman"/>
          <w:i/>
          <w:sz w:val="22"/>
          <w:szCs w:val="22"/>
          <w:lang w:val="es-AR"/>
        </w:rPr>
        <w:t>Criterios para evaluar efectividad</w:t>
      </w:r>
      <w:r w:rsidRPr="00673163">
        <w:rPr>
          <w:rFonts w:ascii="Times New Roman" w:hAnsi="Times New Roman"/>
          <w:sz w:val="22"/>
          <w:szCs w:val="22"/>
          <w:lang w:val="es-AR"/>
        </w:rPr>
        <w:t>. Un</w:t>
      </w:r>
      <w:r w:rsidR="001731D1" w:rsidRPr="00673163">
        <w:rPr>
          <w:rFonts w:ascii="Times New Roman" w:hAnsi="Times New Roman"/>
          <w:sz w:val="22"/>
          <w:szCs w:val="22"/>
          <w:lang w:val="es-AR"/>
        </w:rPr>
        <w:t xml:space="preserve"> campo de acción </w:t>
      </w:r>
      <w:r w:rsidRPr="00673163">
        <w:rPr>
          <w:rFonts w:ascii="Times New Roman" w:hAnsi="Times New Roman"/>
          <w:sz w:val="22"/>
          <w:szCs w:val="22"/>
          <w:lang w:val="es-AR"/>
        </w:rPr>
        <w:t>relevante hacia</w:t>
      </w:r>
      <w:r w:rsidR="001731D1" w:rsidRPr="00673163">
        <w:rPr>
          <w:rFonts w:ascii="Times New Roman" w:hAnsi="Times New Roman"/>
          <w:sz w:val="22"/>
          <w:szCs w:val="22"/>
          <w:lang w:val="es-AR"/>
        </w:rPr>
        <w:t xml:space="preserve"> el futuro </w:t>
      </w:r>
      <w:r w:rsidRPr="00673163">
        <w:rPr>
          <w:rFonts w:ascii="Times New Roman" w:hAnsi="Times New Roman"/>
          <w:sz w:val="22"/>
          <w:szCs w:val="22"/>
          <w:lang w:val="es-AR"/>
        </w:rPr>
        <w:t>es</w:t>
      </w:r>
      <w:r w:rsidR="001731D1" w:rsidRPr="00673163">
        <w:rPr>
          <w:rFonts w:ascii="Times New Roman" w:hAnsi="Times New Roman"/>
          <w:sz w:val="22"/>
          <w:szCs w:val="22"/>
          <w:lang w:val="es-AR"/>
        </w:rPr>
        <w:t xml:space="preserve"> la elaboración de criterios para medir la eficacia de los sistemas de alerta temprana</w:t>
      </w:r>
      <w:r w:rsidRPr="00673163">
        <w:rPr>
          <w:rFonts w:ascii="Times New Roman" w:hAnsi="Times New Roman"/>
          <w:sz w:val="22"/>
          <w:szCs w:val="22"/>
          <w:lang w:val="es-AR"/>
        </w:rPr>
        <w:t xml:space="preserve">, aspecto sobre el que existen pocos antecedentes de evaluación bajo procedimientos riegurosos. El diseño y </w:t>
      </w:r>
      <w:r w:rsidR="001731D1" w:rsidRPr="00673163">
        <w:rPr>
          <w:rFonts w:ascii="Times New Roman" w:hAnsi="Times New Roman"/>
          <w:sz w:val="22"/>
          <w:szCs w:val="22"/>
          <w:lang w:val="es-AR"/>
        </w:rPr>
        <w:t xml:space="preserve">aplicación de un </w:t>
      </w:r>
      <w:r w:rsidRPr="00673163">
        <w:rPr>
          <w:rFonts w:ascii="Times New Roman" w:hAnsi="Times New Roman"/>
          <w:sz w:val="22"/>
          <w:szCs w:val="22"/>
          <w:lang w:val="es-AR"/>
        </w:rPr>
        <w:t xml:space="preserve">método de recopilación de información utilizando mecanismos uniformes </w:t>
      </w:r>
      <w:r w:rsidR="001731D1" w:rsidRPr="00673163">
        <w:rPr>
          <w:rFonts w:ascii="Times New Roman" w:hAnsi="Times New Roman"/>
          <w:sz w:val="22"/>
          <w:szCs w:val="22"/>
          <w:lang w:val="es-AR"/>
        </w:rPr>
        <w:t xml:space="preserve">para evaluar los resultados </w:t>
      </w:r>
      <w:r w:rsidRPr="00673163">
        <w:rPr>
          <w:rFonts w:ascii="Times New Roman" w:hAnsi="Times New Roman"/>
          <w:sz w:val="22"/>
          <w:szCs w:val="22"/>
          <w:lang w:val="es-AR"/>
        </w:rPr>
        <w:t xml:space="preserve">brindaría información para </w:t>
      </w:r>
      <w:r w:rsidR="001731D1" w:rsidRPr="00673163">
        <w:rPr>
          <w:rFonts w:ascii="Times New Roman" w:hAnsi="Times New Roman"/>
          <w:sz w:val="22"/>
          <w:szCs w:val="22"/>
          <w:lang w:val="es-AR"/>
        </w:rPr>
        <w:t xml:space="preserve">aumentaría notablemente la </w:t>
      </w:r>
      <w:r w:rsidRPr="00673163">
        <w:rPr>
          <w:rFonts w:ascii="Times New Roman" w:hAnsi="Times New Roman"/>
          <w:sz w:val="22"/>
          <w:szCs w:val="22"/>
          <w:lang w:val="es-AR"/>
        </w:rPr>
        <w:t xml:space="preserve">exactitud </w:t>
      </w:r>
      <w:r w:rsidR="001731D1" w:rsidRPr="00673163">
        <w:rPr>
          <w:rFonts w:ascii="Times New Roman" w:hAnsi="Times New Roman"/>
          <w:sz w:val="22"/>
          <w:szCs w:val="22"/>
          <w:lang w:val="es-AR"/>
        </w:rPr>
        <w:t xml:space="preserve"> y la eficiencia de</w:t>
      </w:r>
      <w:r w:rsidRPr="00673163">
        <w:rPr>
          <w:rFonts w:ascii="Times New Roman" w:hAnsi="Times New Roman"/>
          <w:sz w:val="22"/>
          <w:szCs w:val="22"/>
          <w:lang w:val="es-AR"/>
        </w:rPr>
        <w:t xml:space="preserve"> este tipo de </w:t>
      </w:r>
      <w:r w:rsidR="001731D1" w:rsidRPr="00673163">
        <w:rPr>
          <w:rFonts w:ascii="Times New Roman" w:hAnsi="Times New Roman"/>
          <w:sz w:val="22"/>
          <w:szCs w:val="22"/>
          <w:lang w:val="es-AR"/>
        </w:rPr>
        <w:t>sistema</w:t>
      </w:r>
      <w:r w:rsidRPr="00673163">
        <w:rPr>
          <w:rFonts w:ascii="Times New Roman" w:hAnsi="Times New Roman"/>
          <w:sz w:val="22"/>
          <w:szCs w:val="22"/>
          <w:lang w:val="es-AR"/>
        </w:rPr>
        <w:t>s</w:t>
      </w:r>
      <w:r w:rsidR="001731D1" w:rsidRPr="00673163">
        <w:rPr>
          <w:rFonts w:ascii="Times New Roman" w:hAnsi="Times New Roman"/>
          <w:sz w:val="22"/>
          <w:szCs w:val="22"/>
          <w:lang w:val="es-AR"/>
        </w:rPr>
        <w:t xml:space="preserve">. </w:t>
      </w:r>
      <w:r w:rsidRPr="00673163">
        <w:rPr>
          <w:rFonts w:ascii="Times New Roman" w:hAnsi="Times New Roman"/>
          <w:sz w:val="22"/>
          <w:szCs w:val="22"/>
          <w:lang w:val="es-AR"/>
        </w:rPr>
        <w:t>Algunos estudios plantean la discusión sobre l</w:t>
      </w:r>
      <w:r w:rsidR="001731D1" w:rsidRPr="00673163">
        <w:rPr>
          <w:rFonts w:ascii="Times New Roman" w:hAnsi="Times New Roman"/>
          <w:sz w:val="22"/>
          <w:szCs w:val="22"/>
          <w:lang w:val="es-AR"/>
        </w:rPr>
        <w:t>os criterios de evaluación</w:t>
      </w:r>
      <w:r w:rsidRPr="00673163">
        <w:rPr>
          <w:rFonts w:ascii="Times New Roman" w:hAnsi="Times New Roman"/>
          <w:sz w:val="22"/>
          <w:szCs w:val="22"/>
          <w:lang w:val="es-AR"/>
        </w:rPr>
        <w:t xml:space="preserve">, que </w:t>
      </w:r>
      <w:r w:rsidR="001731D1" w:rsidRPr="00673163">
        <w:rPr>
          <w:rFonts w:ascii="Times New Roman" w:hAnsi="Times New Roman"/>
          <w:sz w:val="22"/>
          <w:szCs w:val="22"/>
          <w:lang w:val="es-AR"/>
        </w:rPr>
        <w:t>deberían contemplar los siguientes elementos</w:t>
      </w:r>
      <w:r w:rsidR="001731D1" w:rsidRPr="00673163">
        <w:rPr>
          <w:rStyle w:val="FootnoteReference"/>
          <w:rFonts w:ascii="Times New Roman" w:hAnsi="Times New Roman"/>
          <w:sz w:val="22"/>
          <w:szCs w:val="22"/>
          <w:lang w:val="es-AR"/>
        </w:rPr>
        <w:footnoteReference w:id="64"/>
      </w:r>
      <w:r w:rsidR="001731D1" w:rsidRPr="00673163">
        <w:rPr>
          <w:rFonts w:ascii="Times New Roman" w:hAnsi="Times New Roman"/>
          <w:sz w:val="22"/>
          <w:szCs w:val="22"/>
          <w:lang w:val="es-AR"/>
        </w:rPr>
        <w:t>:</w:t>
      </w:r>
    </w:p>
    <w:p w:rsidR="001731D1" w:rsidRPr="00673163" w:rsidRDefault="001731D1" w:rsidP="00C95815">
      <w:pPr>
        <w:pStyle w:val="ListParagraph"/>
        <w:numPr>
          <w:ilvl w:val="1"/>
          <w:numId w:val="15"/>
        </w:numPr>
        <w:rPr>
          <w:rFonts w:ascii="Times New Roman" w:hAnsi="Times New Roman"/>
          <w:sz w:val="22"/>
          <w:szCs w:val="22"/>
          <w:lang w:val="es-AR"/>
        </w:rPr>
      </w:pPr>
      <w:r w:rsidRPr="00673163">
        <w:rPr>
          <w:rFonts w:ascii="Times New Roman" w:hAnsi="Times New Roman"/>
          <w:sz w:val="22"/>
          <w:szCs w:val="22"/>
          <w:lang w:val="es-AR"/>
        </w:rPr>
        <w:t>cobertura y número de receptores;</w:t>
      </w:r>
    </w:p>
    <w:p w:rsidR="000016E0" w:rsidRPr="00673163" w:rsidRDefault="000016E0" w:rsidP="00C95815">
      <w:pPr>
        <w:pStyle w:val="ListParagraph"/>
        <w:numPr>
          <w:ilvl w:val="1"/>
          <w:numId w:val="15"/>
        </w:numPr>
        <w:jc w:val="both"/>
        <w:rPr>
          <w:rFonts w:ascii="Times New Roman" w:hAnsi="Times New Roman"/>
          <w:sz w:val="22"/>
          <w:szCs w:val="22"/>
          <w:lang w:val="es-AR"/>
        </w:rPr>
      </w:pPr>
      <w:r w:rsidRPr="00673163">
        <w:rPr>
          <w:rFonts w:ascii="Times New Roman" w:hAnsi="Times New Roman"/>
          <w:sz w:val="22"/>
          <w:szCs w:val="22"/>
          <w:lang w:val="es-AR"/>
        </w:rPr>
        <w:t>precisión de las alertas;</w:t>
      </w:r>
    </w:p>
    <w:p w:rsidR="000016E0" w:rsidRPr="00673163" w:rsidRDefault="000016E0" w:rsidP="00C95815">
      <w:pPr>
        <w:pStyle w:val="ListParagraph"/>
        <w:numPr>
          <w:ilvl w:val="1"/>
          <w:numId w:val="15"/>
        </w:numPr>
        <w:rPr>
          <w:rFonts w:ascii="Times New Roman" w:hAnsi="Times New Roman"/>
          <w:sz w:val="22"/>
          <w:szCs w:val="22"/>
          <w:lang w:val="es-AR"/>
        </w:rPr>
      </w:pPr>
      <w:r w:rsidRPr="00673163">
        <w:rPr>
          <w:rFonts w:ascii="Times New Roman" w:hAnsi="Times New Roman"/>
          <w:sz w:val="22"/>
          <w:szCs w:val="22"/>
          <w:lang w:val="es-AR"/>
        </w:rPr>
        <w:t>oportunidad de las alertas;</w:t>
      </w:r>
    </w:p>
    <w:p w:rsidR="001731D1" w:rsidRPr="00673163" w:rsidRDefault="001731D1" w:rsidP="00C95815">
      <w:pPr>
        <w:pStyle w:val="ListParagraph"/>
        <w:numPr>
          <w:ilvl w:val="1"/>
          <w:numId w:val="15"/>
        </w:numPr>
        <w:rPr>
          <w:rFonts w:ascii="Times New Roman" w:hAnsi="Times New Roman"/>
          <w:sz w:val="22"/>
          <w:szCs w:val="22"/>
          <w:lang w:val="es-AR"/>
        </w:rPr>
      </w:pPr>
      <w:r w:rsidRPr="00673163">
        <w:rPr>
          <w:rFonts w:ascii="Times New Roman" w:hAnsi="Times New Roman"/>
          <w:sz w:val="22"/>
          <w:szCs w:val="22"/>
          <w:lang w:val="es-AR"/>
        </w:rPr>
        <w:t>grado de satisfacción de los usuarios;</w:t>
      </w:r>
    </w:p>
    <w:p w:rsidR="000016E0" w:rsidRPr="00673163" w:rsidRDefault="001731D1" w:rsidP="00C95815">
      <w:pPr>
        <w:pStyle w:val="ListParagraph"/>
        <w:numPr>
          <w:ilvl w:val="1"/>
          <w:numId w:val="15"/>
        </w:numPr>
        <w:rPr>
          <w:rFonts w:ascii="Times New Roman" w:hAnsi="Times New Roman"/>
          <w:sz w:val="22"/>
          <w:szCs w:val="22"/>
          <w:lang w:val="es-AR"/>
        </w:rPr>
      </w:pPr>
      <w:r w:rsidRPr="00673163">
        <w:rPr>
          <w:rFonts w:ascii="Times New Roman" w:hAnsi="Times New Roman"/>
          <w:sz w:val="22"/>
          <w:szCs w:val="22"/>
          <w:lang w:val="es-AR"/>
        </w:rPr>
        <w:t>conocimiento del sistema existente;</w:t>
      </w:r>
    </w:p>
    <w:p w:rsidR="000016E0" w:rsidRPr="00673163" w:rsidRDefault="000016E0" w:rsidP="00C95815">
      <w:pPr>
        <w:pStyle w:val="ListParagraph"/>
        <w:numPr>
          <w:ilvl w:val="1"/>
          <w:numId w:val="15"/>
        </w:numPr>
        <w:rPr>
          <w:rFonts w:ascii="Times New Roman" w:hAnsi="Times New Roman"/>
          <w:sz w:val="22"/>
          <w:szCs w:val="22"/>
          <w:lang w:val="es-AR"/>
        </w:rPr>
      </w:pPr>
      <w:r w:rsidRPr="00673163">
        <w:rPr>
          <w:rFonts w:ascii="Times New Roman" w:hAnsi="Times New Roman"/>
          <w:sz w:val="22"/>
          <w:szCs w:val="22"/>
          <w:lang w:val="es-AR"/>
        </w:rPr>
        <w:t>pérdidas económicas evitadas;</w:t>
      </w:r>
    </w:p>
    <w:p w:rsidR="00E0640C" w:rsidRPr="00673163" w:rsidRDefault="001731D1" w:rsidP="00C95815">
      <w:pPr>
        <w:pStyle w:val="ListParagraph"/>
        <w:numPr>
          <w:ilvl w:val="1"/>
          <w:numId w:val="15"/>
        </w:numPr>
        <w:rPr>
          <w:rFonts w:ascii="Times New Roman" w:hAnsi="Times New Roman"/>
          <w:sz w:val="22"/>
          <w:szCs w:val="22"/>
          <w:lang w:val="es-AR"/>
        </w:rPr>
      </w:pPr>
      <w:r w:rsidRPr="00673163">
        <w:rPr>
          <w:rFonts w:ascii="Times New Roman" w:hAnsi="Times New Roman"/>
          <w:sz w:val="22"/>
          <w:szCs w:val="22"/>
          <w:lang w:val="es-AR"/>
        </w:rPr>
        <w:t>toda información conflictiva, improcedente o contradictoria</w:t>
      </w:r>
      <w:r w:rsidR="000016E0" w:rsidRPr="00673163">
        <w:rPr>
          <w:rFonts w:ascii="Times New Roman" w:hAnsi="Times New Roman"/>
          <w:sz w:val="22"/>
          <w:szCs w:val="22"/>
          <w:lang w:val="es-AR"/>
        </w:rPr>
        <w:t>.</w:t>
      </w:r>
    </w:p>
    <w:p w:rsidR="00A67F35" w:rsidRPr="00673163" w:rsidRDefault="00A67F35">
      <w:pPr>
        <w:rPr>
          <w:rFonts w:ascii="Times New Roman" w:hAnsi="Times New Roman"/>
          <w:b/>
          <w:bCs/>
          <w:i/>
          <w:iCs/>
          <w:sz w:val="22"/>
          <w:szCs w:val="22"/>
          <w:lang w:val="es-AR"/>
        </w:rPr>
      </w:pPr>
      <w:r w:rsidRPr="00673163">
        <w:rPr>
          <w:lang w:val="es-AR"/>
        </w:rPr>
        <w:br w:type="page"/>
      </w:r>
    </w:p>
    <w:p w:rsidR="00FB2C30" w:rsidRDefault="009E134D" w:rsidP="00FB2C30">
      <w:pPr>
        <w:pStyle w:val="Heading1"/>
        <w:jc w:val="left"/>
      </w:pPr>
      <w:bookmarkStart w:id="318" w:name="_Toc465929636"/>
      <w:bookmarkStart w:id="319" w:name="_Toc468199843"/>
      <w:r>
        <w:lastRenderedPageBreak/>
        <w:t xml:space="preserve">Anexo </w:t>
      </w:r>
      <w:r w:rsidR="00B04E11">
        <w:t>C</w:t>
      </w:r>
      <w:r w:rsidR="00FB2C30">
        <w:t xml:space="preserve">: </w:t>
      </w:r>
      <w:r w:rsidR="00EF0E45">
        <w:t>Referencias del terremoto 2016</w:t>
      </w:r>
      <w:bookmarkEnd w:id="318"/>
      <w:bookmarkEnd w:id="319"/>
    </w:p>
    <w:p w:rsidR="00FB2C30" w:rsidRDefault="00FB2C30" w:rsidP="00FB2C30">
      <w:pPr>
        <w:rPr>
          <w:rFonts w:eastAsia="Calibri"/>
          <w:lang w:val="es-AR"/>
        </w:rPr>
      </w:pPr>
    </w:p>
    <w:p w:rsidR="00EF0E45" w:rsidRPr="00390779" w:rsidRDefault="00EF0E45" w:rsidP="00EF0E45">
      <w:pPr>
        <w:jc w:val="both"/>
        <w:rPr>
          <w:rFonts w:ascii="Times New Roman" w:hAnsi="Times New Roman"/>
          <w:b/>
          <w:sz w:val="22"/>
          <w:szCs w:val="22"/>
          <w:lang w:val="es-ES"/>
        </w:rPr>
      </w:pPr>
      <w:r w:rsidRPr="00837476">
        <w:rPr>
          <w:rFonts w:ascii="Times New Roman" w:hAnsi="Times New Roman"/>
          <w:sz w:val="22"/>
          <w:szCs w:val="22"/>
          <w:lang w:val="es-ES_tradnl"/>
        </w:rPr>
        <w:t>Con base en información del Ministerio de Educación, de la Secretaría Nacional de Educación Superior, Ciencia, Tecnología e Innovación (SENESCYT), y del Ministerio de Inclusión Económica y Social, se identificaron 875 escuelas afectadas, tanto públicas como privados, así como 11 universidades e institutos de investigación y técnicos y 72 Centros Infantiles de la zona de mayor afectación sufrieron daños a causa del sismo</w:t>
      </w:r>
      <w:proofErr w:type="gramStart"/>
      <w:r w:rsidRPr="00837476">
        <w:rPr>
          <w:rFonts w:ascii="Times New Roman" w:hAnsi="Times New Roman"/>
          <w:sz w:val="22"/>
          <w:szCs w:val="22"/>
          <w:lang w:val="es-ES_tradnl"/>
        </w:rPr>
        <w:t>..</w:t>
      </w:r>
      <w:proofErr w:type="gramEnd"/>
      <w:r w:rsidRPr="00837476">
        <w:rPr>
          <w:rFonts w:ascii="Times New Roman" w:hAnsi="Times New Roman"/>
          <w:sz w:val="22"/>
          <w:szCs w:val="22"/>
          <w:lang w:val="es-ES_tradnl"/>
        </w:rPr>
        <w:t xml:space="preserve"> De ellos,</w:t>
      </w:r>
      <w:r w:rsidRPr="00837476">
        <w:rPr>
          <w:lang w:val="es-ES_tradnl"/>
        </w:rPr>
        <w:t xml:space="preserve"> </w:t>
      </w:r>
      <w:r w:rsidRPr="00837476">
        <w:rPr>
          <w:rFonts w:ascii="Times New Roman" w:hAnsi="Times New Roman"/>
          <w:sz w:val="22"/>
          <w:szCs w:val="22"/>
          <w:lang w:val="es-ES_tradnl"/>
        </w:rPr>
        <w:t>325 establecimientos catalogados con daño medio o severo provocaron una falta de espacios educativos suficientes o adecuados para iniciar el año lectivo 2016-2017 en ela Región Costa, dando como consecuencia la necesidad de habilitar espacios provisionales de educación, reubicar temporalmente en otros establecimientos con condiciones adecuadas, o establecer programas de dobles turnos a cerca de 120.000 estudiantes de los distintos niveles educativos.   Los daños en el sector educativo se estimaron en 108,7 millones de dólares, de los cuales 85 millones de dólares corresponden a instituciones administradas por el Ministerio de Educación, 22 millones a entidades de educación superior y 11,6 a Centros Infantiles.</w:t>
      </w:r>
    </w:p>
    <w:p w:rsidR="006141FA" w:rsidRPr="00837476" w:rsidRDefault="006141FA" w:rsidP="00EF0E45">
      <w:pPr>
        <w:jc w:val="both"/>
        <w:rPr>
          <w:rFonts w:ascii="Times New Roman" w:hAnsi="Times New Roman"/>
          <w:sz w:val="22"/>
          <w:szCs w:val="22"/>
          <w:lang w:val="es-ES_tradnl"/>
        </w:rPr>
      </w:pPr>
    </w:p>
    <w:p w:rsidR="006141FA" w:rsidRPr="000178B8" w:rsidRDefault="006141FA" w:rsidP="006141FA">
      <w:pPr>
        <w:jc w:val="both"/>
        <w:rPr>
          <w:rFonts w:ascii="Times New Roman" w:hAnsi="Times New Roman"/>
          <w:sz w:val="22"/>
          <w:szCs w:val="22"/>
          <w:lang w:val="es-ES"/>
        </w:rPr>
      </w:pPr>
      <w:r w:rsidRPr="000178B8">
        <w:rPr>
          <w:rFonts w:ascii="Times New Roman" w:hAnsi="Times New Roman"/>
          <w:sz w:val="22"/>
          <w:szCs w:val="22"/>
          <w:lang w:val="es-ES"/>
        </w:rPr>
        <w:t>Los costos adicionales ascendieron a 33 millones de dólares, 73,4 por ciento con destino en la recuperación y el fortalecimiento de los establecimientos de salud para asegurar una atención adecuada mientras se efectúan las reparaciones mayores o la reconstrucción de los destruidos, y el resto asignado a programas de emergencia destinados al traslado de heridos, despliegue de EMT, movilización y contratación adicional de personal, y a la compra de medicamentos y dispositivos médicos especialmente para el IESS, así como a la atención de heridos y los servicios de prevención y de salud pública.  Del total de daños, pérdidas y costos adicionales del sector, el 89 por ciento corresponde al sector público y el 11 por ciento al sector privado.Terremoto abril de 2016 en Ecuador.</w:t>
      </w:r>
    </w:p>
    <w:p w:rsidR="006141FA" w:rsidRPr="00837476" w:rsidRDefault="006141FA">
      <w:pPr>
        <w:jc w:val="both"/>
        <w:rPr>
          <w:rFonts w:ascii="Times New Roman" w:hAnsi="Times New Roman"/>
          <w:sz w:val="22"/>
          <w:szCs w:val="22"/>
          <w:lang w:val="es-ES_tradnl"/>
        </w:rPr>
      </w:pPr>
    </w:p>
    <w:p w:rsidR="00EF0E45" w:rsidRPr="00EB3D97" w:rsidRDefault="00EF0E45" w:rsidP="00EF0E45">
      <w:pPr>
        <w:jc w:val="both"/>
        <w:rPr>
          <w:rFonts w:ascii="Times New Roman" w:hAnsi="Times New Roman"/>
          <w:sz w:val="22"/>
          <w:szCs w:val="22"/>
          <w:lang w:val="es-ES_tradnl"/>
        </w:rPr>
      </w:pPr>
      <w:r w:rsidRPr="00837476">
        <w:rPr>
          <w:rFonts w:ascii="Times New Roman" w:hAnsi="Times New Roman"/>
          <w:i/>
          <w:sz w:val="22"/>
          <w:szCs w:val="22"/>
          <w:lang w:val="es-ES_tradnl"/>
        </w:rPr>
        <w:t>Afectaciones servicios de electricidad y provision de agua:</w:t>
      </w:r>
      <w:r w:rsidRPr="00837476">
        <w:rPr>
          <w:rFonts w:ascii="Times New Roman" w:hAnsi="Times New Roman"/>
          <w:sz w:val="22"/>
          <w:szCs w:val="22"/>
          <w:lang w:val="es-ES_tradnl"/>
        </w:rPr>
        <w:t xml:space="preserve"> </w:t>
      </w:r>
      <w:r w:rsidRPr="00EB3D97">
        <w:rPr>
          <w:rFonts w:ascii="Times New Roman" w:hAnsi="Times New Roman"/>
          <w:sz w:val="22"/>
          <w:szCs w:val="22"/>
          <w:lang w:val="es-ES_tradnl"/>
        </w:rPr>
        <w:t>La falta de electricidad tuvo algunos efectos secundarios c</w:t>
      </w:r>
      <w:r w:rsidR="003C2D79">
        <w:rPr>
          <w:rFonts w:ascii="Times New Roman" w:hAnsi="Times New Roman"/>
          <w:sz w:val="22"/>
          <w:szCs w:val="22"/>
          <w:lang w:val="es-ES_tradnl"/>
        </w:rPr>
        <w:t>ó</w:t>
      </w:r>
      <w:r w:rsidRPr="00EB3D97">
        <w:rPr>
          <w:rFonts w:ascii="Times New Roman" w:hAnsi="Times New Roman"/>
          <w:sz w:val="22"/>
          <w:szCs w:val="22"/>
          <w:lang w:val="es-ES_tradnl"/>
        </w:rPr>
        <w:t>mo la inhabilitación de las estaciones de bombeo de extraer agua de pozos en varias comunidades, problemas de inseguridad pública durante la noche, así como la pérdida de servicio de algunas instalaciones de telecomunicaciones al agotarse la reserva de sus baterías.</w:t>
      </w:r>
      <w:r w:rsidRPr="00EB3D97">
        <w:rPr>
          <w:rFonts w:ascii="Cambria Math" w:eastAsiaTheme="minorHAnsi" w:hAnsi="Cambria Math"/>
          <w:sz w:val="24"/>
          <w:szCs w:val="24"/>
          <w:lang w:val="es-ES"/>
        </w:rPr>
        <w:t xml:space="preserve"> </w:t>
      </w:r>
      <w:r w:rsidRPr="00EB3D97">
        <w:rPr>
          <w:rFonts w:ascii="Times New Roman" w:hAnsi="Times New Roman"/>
          <w:sz w:val="22"/>
          <w:szCs w:val="22"/>
          <w:lang w:val="es-ES"/>
        </w:rPr>
        <w:t xml:space="preserve">Los daños en el subsector electricidad se estimaron en 76,1 millones de dólares. </w:t>
      </w:r>
      <w:r w:rsidRPr="00EB3D97">
        <w:rPr>
          <w:rFonts w:ascii="Times New Roman" w:hAnsi="Times New Roman"/>
          <w:sz w:val="22"/>
          <w:szCs w:val="22"/>
          <w:lang w:val="es-CL"/>
        </w:rPr>
        <w:t>s</w:t>
      </w:r>
      <w:r w:rsidRPr="00EB3D97">
        <w:rPr>
          <w:rFonts w:ascii="Times New Roman" w:hAnsi="Times New Roman"/>
          <w:sz w:val="22"/>
          <w:szCs w:val="22"/>
          <w:lang w:val="es-ES_tradnl"/>
        </w:rPr>
        <w:t>e hizo necesario implementar acciones  proveer de agua apta para el consumo humano de la población afectada, recuperando algunas de las captaciones y poniendo en funcionamiento plantas de tratamiento de agua potable</w:t>
      </w:r>
      <w:r w:rsidRPr="00EB3D97">
        <w:rPr>
          <w:rFonts w:ascii="Times New Roman" w:hAnsi="Times New Roman"/>
          <w:sz w:val="22"/>
          <w:szCs w:val="22"/>
          <w:vertAlign w:val="superscript"/>
          <w:lang w:val="es-ES_tradnl"/>
        </w:rPr>
        <w:footnoteReference w:id="65"/>
      </w:r>
      <w:r w:rsidRPr="00EB3D97">
        <w:rPr>
          <w:rFonts w:ascii="Times New Roman" w:hAnsi="Times New Roman"/>
          <w:sz w:val="22"/>
          <w:szCs w:val="22"/>
          <w:lang w:val="es-ES_tradnl"/>
        </w:rPr>
        <w:t>, distribuida posteriormente por camiones cisternas a los albergues, refugios, asentamientos espontáneos y barrios sin el servicio</w:t>
      </w:r>
      <w:r w:rsidRPr="00EB3D97">
        <w:rPr>
          <w:rFonts w:ascii="Times New Roman" w:hAnsi="Times New Roman"/>
          <w:sz w:val="22"/>
          <w:szCs w:val="22"/>
          <w:vertAlign w:val="superscript"/>
          <w:lang w:val="es-ES_tradnl"/>
        </w:rPr>
        <w:footnoteReference w:id="66"/>
      </w:r>
      <w:r w:rsidRPr="00EB3D97">
        <w:rPr>
          <w:rFonts w:ascii="Times New Roman" w:hAnsi="Times New Roman"/>
          <w:sz w:val="22"/>
          <w:szCs w:val="22"/>
          <w:lang w:val="es-ES_tradnl"/>
        </w:rPr>
        <w:t xml:space="preserve">. Adicionalmente, el taponamiento de algunos colectores de la red de alcantarillado debido a obstrucciones, tuvo que ser solucionado de manera emergente mediante el uso de camiones “hidrocleaner”, todo ello generando costos adicionales.  </w:t>
      </w:r>
      <w:r w:rsidRPr="00EB3D97">
        <w:rPr>
          <w:rFonts w:ascii="Times New Roman" w:hAnsi="Times New Roman"/>
          <w:sz w:val="22"/>
          <w:szCs w:val="22"/>
          <w:lang w:val="es-CL"/>
        </w:rPr>
        <w:t xml:space="preserve">Los daños en el sistema de agua potable se estimaron en 51,9 millones de dólares, mientras que los de la red pública de alcantarillado ascendieron a 15,5 millones de dólares, dando como resultado total daños cuantificados en 67,4 millones de dólares de los cuales 86,7 por ciento corresponden a las zonas urbanas. </w:t>
      </w:r>
      <w:r w:rsidR="008005CB">
        <w:rPr>
          <w:rFonts w:ascii="Times New Roman" w:hAnsi="Times New Roman"/>
          <w:sz w:val="22"/>
          <w:szCs w:val="22"/>
          <w:lang w:val="es-CL"/>
        </w:rPr>
        <w:t xml:space="preserve"> </w:t>
      </w:r>
      <w:r w:rsidR="003C2D79">
        <w:rPr>
          <w:rFonts w:ascii="Times New Roman" w:hAnsi="Times New Roman"/>
          <w:sz w:val="22"/>
          <w:szCs w:val="22"/>
          <w:lang w:val="es-CL"/>
        </w:rPr>
        <w:t xml:space="preserve">En </w:t>
      </w:r>
      <w:r w:rsidR="003C2D79">
        <w:rPr>
          <w:rFonts w:ascii="Times New Roman" w:hAnsi="Times New Roman"/>
          <w:sz w:val="22"/>
          <w:szCs w:val="22"/>
          <w:lang w:val="es-ES_tradnl"/>
        </w:rPr>
        <w:t>Infraestructura vial s</w:t>
      </w:r>
      <w:r>
        <w:rPr>
          <w:rFonts w:ascii="Times New Roman" w:hAnsi="Times New Roman"/>
          <w:sz w:val="22"/>
          <w:szCs w:val="22"/>
          <w:lang w:val="es-ES_tradnl"/>
        </w:rPr>
        <w:t xml:space="preserve">e </w:t>
      </w:r>
      <w:r w:rsidRPr="00EB3D97">
        <w:rPr>
          <w:rFonts w:ascii="Times New Roman" w:hAnsi="Times New Roman"/>
          <w:sz w:val="22"/>
          <w:szCs w:val="22"/>
          <w:lang w:val="es-MX"/>
        </w:rPr>
        <w:t>identificaron 297 kilómetros afectados en 20 tramos</w:t>
      </w:r>
      <w:r>
        <w:rPr>
          <w:rFonts w:ascii="Times New Roman" w:hAnsi="Times New Roman"/>
          <w:sz w:val="22"/>
          <w:szCs w:val="22"/>
          <w:lang w:val="es-MX"/>
        </w:rPr>
        <w:t xml:space="preserve"> viales de</w:t>
      </w:r>
      <w:r w:rsidRPr="00EB3D97">
        <w:rPr>
          <w:rFonts w:ascii="Times New Roman" w:hAnsi="Times New Roman"/>
          <w:sz w:val="22"/>
          <w:szCs w:val="22"/>
          <w:lang w:val="es-MX"/>
        </w:rPr>
        <w:t xml:space="preserve"> las Provincias.</w:t>
      </w:r>
    </w:p>
    <w:p w:rsidR="00EF0E45" w:rsidRPr="00EB3D97" w:rsidRDefault="00EF0E45" w:rsidP="00EF0E45">
      <w:pPr>
        <w:ind w:left="718"/>
        <w:jc w:val="both"/>
        <w:rPr>
          <w:rFonts w:ascii="Times New Roman" w:hAnsi="Times New Roman"/>
          <w:sz w:val="22"/>
          <w:szCs w:val="22"/>
          <w:lang w:val="es-ES_tradnl"/>
        </w:rPr>
      </w:pPr>
    </w:p>
    <w:p w:rsidR="00EF0E45" w:rsidRPr="00EB3D97" w:rsidRDefault="00EF0E45" w:rsidP="00EF0E45">
      <w:pPr>
        <w:jc w:val="both"/>
        <w:rPr>
          <w:rFonts w:ascii="Times New Roman" w:hAnsi="Times New Roman"/>
          <w:sz w:val="22"/>
          <w:szCs w:val="22"/>
          <w:lang w:val="es-CL"/>
        </w:rPr>
      </w:pPr>
      <w:r w:rsidRPr="003C2D79">
        <w:rPr>
          <w:rFonts w:ascii="Times New Roman" w:hAnsi="Times New Roman"/>
          <w:i/>
          <w:sz w:val="22"/>
          <w:szCs w:val="22"/>
          <w:lang w:val="es-ES"/>
        </w:rPr>
        <w:t>Pérdidas en el sector productivo.</w:t>
      </w:r>
      <w:r w:rsidRPr="00EB3D97">
        <w:rPr>
          <w:rFonts w:ascii="Times New Roman" w:hAnsi="Times New Roman"/>
          <w:sz w:val="22"/>
          <w:szCs w:val="22"/>
          <w:lang w:val="es-ES"/>
        </w:rPr>
        <w:t xml:space="preserve"> </w:t>
      </w:r>
      <w:r w:rsidR="00BE23B4" w:rsidRPr="00BE23B4">
        <w:rPr>
          <w:rFonts w:ascii="Times New Roman" w:hAnsi="Times New Roman"/>
          <w:sz w:val="22"/>
          <w:szCs w:val="22"/>
          <w:u w:val="single"/>
          <w:lang w:val="es-ES"/>
        </w:rPr>
        <w:t>Manufacturas</w:t>
      </w:r>
      <w:r>
        <w:rPr>
          <w:rFonts w:ascii="Times New Roman" w:hAnsi="Times New Roman"/>
          <w:sz w:val="22"/>
          <w:szCs w:val="22"/>
          <w:lang w:val="es-ES"/>
        </w:rPr>
        <w:t>:</w:t>
      </w:r>
      <w:r w:rsidRPr="00EB3D97">
        <w:rPr>
          <w:rFonts w:ascii="Cambria Math" w:eastAsiaTheme="minorHAnsi" w:hAnsi="Cambria Math"/>
          <w:sz w:val="24"/>
          <w:szCs w:val="24"/>
          <w:lang w:val="es-ES"/>
        </w:rPr>
        <w:t xml:space="preserve"> </w:t>
      </w:r>
      <w:r w:rsidRPr="00EB3D97">
        <w:rPr>
          <w:rFonts w:ascii="Times New Roman" w:hAnsi="Times New Roman"/>
          <w:sz w:val="22"/>
          <w:szCs w:val="22"/>
          <w:lang w:val="es-ES"/>
        </w:rPr>
        <w:t xml:space="preserve">Estas pérdida ascendió a 92 millones de dólares, que incluyen </w:t>
      </w:r>
      <w:r w:rsidRPr="00EB3D97">
        <w:rPr>
          <w:rFonts w:ascii="Times New Roman" w:hAnsi="Times New Roman"/>
          <w:sz w:val="22"/>
          <w:szCs w:val="22"/>
          <w:lang w:val="es-ES_tradnl"/>
        </w:rPr>
        <w:t xml:space="preserve">las </w:t>
      </w:r>
      <w:r w:rsidRPr="00EB3D97">
        <w:rPr>
          <w:rFonts w:ascii="Times New Roman" w:hAnsi="Times New Roman"/>
          <w:sz w:val="22"/>
          <w:szCs w:val="22"/>
          <w:lang w:val="es-ES"/>
        </w:rPr>
        <w:t>pérdidas estimadas para el sector informal de 4,7 millones de dólares</w:t>
      </w:r>
      <w:r>
        <w:rPr>
          <w:rFonts w:ascii="Times New Roman" w:hAnsi="Times New Roman"/>
          <w:sz w:val="22"/>
          <w:szCs w:val="22"/>
          <w:lang w:val="es-ES"/>
        </w:rPr>
        <w:t xml:space="preserve">. El sector se compone </w:t>
      </w:r>
      <w:r w:rsidRPr="00EB3D97">
        <w:rPr>
          <w:rFonts w:ascii="Times New Roman" w:hAnsi="Times New Roman"/>
          <w:sz w:val="22"/>
          <w:szCs w:val="22"/>
          <w:lang w:val="es-ES"/>
        </w:rPr>
        <w:t>en una gran mayoría a empresas grandes, principalmente dedicadas a la elaboración de  alimentos y bebidas.</w:t>
      </w:r>
      <w:r>
        <w:rPr>
          <w:rFonts w:ascii="Times New Roman" w:hAnsi="Times New Roman"/>
          <w:sz w:val="22"/>
          <w:szCs w:val="22"/>
          <w:lang w:val="es-ES"/>
        </w:rPr>
        <w:t xml:space="preserve"> </w:t>
      </w:r>
      <w:r w:rsidR="00BE23B4" w:rsidRPr="00BE23B4">
        <w:rPr>
          <w:rFonts w:ascii="Times New Roman" w:hAnsi="Times New Roman"/>
          <w:sz w:val="22"/>
          <w:szCs w:val="22"/>
          <w:u w:val="single"/>
          <w:lang w:val="es-ES"/>
        </w:rPr>
        <w:t>Comercio</w:t>
      </w:r>
      <w:r>
        <w:rPr>
          <w:rFonts w:ascii="Times New Roman" w:hAnsi="Times New Roman"/>
          <w:sz w:val="22"/>
          <w:szCs w:val="22"/>
          <w:lang w:val="es-ES"/>
        </w:rPr>
        <w:t xml:space="preserve">: </w:t>
      </w:r>
      <w:r w:rsidRPr="00EB3D97">
        <w:rPr>
          <w:rFonts w:ascii="Times New Roman" w:hAnsi="Times New Roman"/>
          <w:sz w:val="22"/>
          <w:szCs w:val="22"/>
          <w:lang w:val="es-CL"/>
        </w:rPr>
        <w:t xml:space="preserve">las ventas perdidas se distribuyeron casi equitativamente entre las ramas comercio al por mayor y comercio al por menor, así como entre empresas de tamaños distintos. Se destaca que, por la importancia que </w:t>
      </w:r>
      <w:r w:rsidRPr="00EB3D97">
        <w:rPr>
          <w:rFonts w:ascii="Times New Roman" w:hAnsi="Times New Roman"/>
          <w:sz w:val="22"/>
          <w:szCs w:val="22"/>
          <w:lang w:val="es-CL"/>
        </w:rPr>
        <w:lastRenderedPageBreak/>
        <w:t>tiene, se identificó que una parte significativa de las pérdidas se dio en el sector informal.</w:t>
      </w:r>
      <w:r>
        <w:rPr>
          <w:rFonts w:ascii="Times New Roman" w:hAnsi="Times New Roman"/>
          <w:sz w:val="22"/>
          <w:szCs w:val="22"/>
          <w:lang w:val="es-CL"/>
        </w:rPr>
        <w:t xml:space="preserve"> </w:t>
      </w:r>
      <w:r w:rsidRPr="00DF403A">
        <w:rPr>
          <w:rFonts w:ascii="Times New Roman" w:hAnsi="Times New Roman"/>
          <w:sz w:val="22"/>
          <w:szCs w:val="22"/>
          <w:lang w:val="es-CL"/>
        </w:rPr>
        <w:t>Las pérdidas totales para el sector comercio fueron de 285,3 millones de dólares, de las cuales se estima que corresponden al sector informal 85,9 millones de dólares.</w:t>
      </w:r>
      <w:r>
        <w:rPr>
          <w:rFonts w:ascii="Times New Roman" w:hAnsi="Times New Roman"/>
          <w:sz w:val="22"/>
          <w:szCs w:val="22"/>
          <w:lang w:val="es-CL"/>
        </w:rPr>
        <w:t xml:space="preserve"> </w:t>
      </w:r>
      <w:r w:rsidR="00BE23B4" w:rsidRPr="00BE23B4">
        <w:rPr>
          <w:rFonts w:ascii="Times New Roman" w:hAnsi="Times New Roman"/>
          <w:sz w:val="22"/>
          <w:szCs w:val="22"/>
          <w:u w:val="single"/>
          <w:lang w:val="es-CL"/>
        </w:rPr>
        <w:t>Turismo</w:t>
      </w:r>
      <w:r>
        <w:rPr>
          <w:rFonts w:ascii="Times New Roman" w:hAnsi="Times New Roman"/>
          <w:sz w:val="22"/>
          <w:szCs w:val="22"/>
          <w:lang w:val="es-CL"/>
        </w:rPr>
        <w:t>:</w:t>
      </w:r>
      <w:r w:rsidRPr="00DF403A">
        <w:rPr>
          <w:rFonts w:ascii="Times New Roman" w:hAnsi="Times New Roman"/>
          <w:sz w:val="22"/>
          <w:szCs w:val="22"/>
          <w:lang w:val="es-ES"/>
        </w:rPr>
        <w:t xml:space="preserve"> Las pérdidas totales para el sector  fueron de 19,6 millones de dólares, de las cuales 5,9 millones de dólares correspondieron al sector informal.</w:t>
      </w:r>
      <w:r>
        <w:rPr>
          <w:rFonts w:ascii="Times New Roman" w:hAnsi="Times New Roman"/>
          <w:sz w:val="22"/>
          <w:szCs w:val="22"/>
          <w:lang w:val="es-ES"/>
        </w:rPr>
        <w:t xml:space="preserve"> </w:t>
      </w:r>
      <w:r w:rsidRPr="00DF403A">
        <w:rPr>
          <w:rFonts w:ascii="Times New Roman" w:hAnsi="Times New Roman"/>
          <w:sz w:val="22"/>
          <w:szCs w:val="22"/>
          <w:lang w:val="es-MX"/>
        </w:rPr>
        <w:t xml:space="preserve">En el caso de la </w:t>
      </w:r>
      <w:r w:rsidR="00BE23B4" w:rsidRPr="00BE23B4">
        <w:rPr>
          <w:rFonts w:ascii="Times New Roman" w:hAnsi="Times New Roman"/>
          <w:sz w:val="22"/>
          <w:szCs w:val="22"/>
          <w:u w:val="single"/>
          <w:lang w:val="es-MX"/>
        </w:rPr>
        <w:t>ganadería</w:t>
      </w:r>
      <w:r w:rsidRPr="00DF403A">
        <w:rPr>
          <w:rFonts w:ascii="Times New Roman" w:hAnsi="Times New Roman"/>
          <w:sz w:val="22"/>
          <w:szCs w:val="22"/>
          <w:lang w:val="es-MX"/>
        </w:rPr>
        <w:t xml:space="preserve">, los principales daños del terremoto se evidenciaron en las infraestructuras productivas (establos) y de procesamiento de la leche. En el de la </w:t>
      </w:r>
      <w:r w:rsidR="00BE23B4" w:rsidRPr="00BE23B4">
        <w:rPr>
          <w:rFonts w:ascii="Times New Roman" w:hAnsi="Times New Roman"/>
          <w:sz w:val="22"/>
          <w:szCs w:val="22"/>
          <w:u w:val="single"/>
          <w:lang w:val="es-MX"/>
        </w:rPr>
        <w:t>agricultura</w:t>
      </w:r>
      <w:r w:rsidRPr="00DF403A">
        <w:rPr>
          <w:rFonts w:ascii="Times New Roman" w:hAnsi="Times New Roman"/>
          <w:sz w:val="22"/>
          <w:szCs w:val="22"/>
          <w:lang w:val="es-MX"/>
        </w:rPr>
        <w:t>, los efectos del sismo se concentraron en la afectación a las infraestructuras de procesamiento y almacenamiento de maíz en grano</w:t>
      </w:r>
      <w:r w:rsidRPr="00DF403A">
        <w:rPr>
          <w:rFonts w:ascii="Times New Roman" w:hAnsi="Times New Roman"/>
          <w:sz w:val="22"/>
          <w:szCs w:val="22"/>
          <w:vertAlign w:val="superscript"/>
          <w:lang w:val="es-MX"/>
        </w:rPr>
        <w:footnoteReference w:id="67"/>
      </w:r>
      <w:r w:rsidRPr="00DF403A">
        <w:rPr>
          <w:rFonts w:ascii="Times New Roman" w:hAnsi="Times New Roman"/>
          <w:sz w:val="22"/>
          <w:szCs w:val="22"/>
          <w:lang w:val="es-ES"/>
        </w:rPr>
        <w:t xml:space="preserve"> así como a los centros de acopio de palma africana y cacao, y a la piladora de arroz</w:t>
      </w:r>
      <w:r>
        <w:rPr>
          <w:rFonts w:ascii="Times New Roman" w:hAnsi="Times New Roman"/>
          <w:sz w:val="22"/>
          <w:szCs w:val="22"/>
          <w:lang w:val="es-ES"/>
        </w:rPr>
        <w:t xml:space="preserve">, </w:t>
      </w:r>
      <w:r w:rsidRPr="00DF403A">
        <w:rPr>
          <w:rFonts w:ascii="Times New Roman" w:hAnsi="Times New Roman"/>
          <w:sz w:val="22"/>
          <w:szCs w:val="22"/>
          <w:lang w:val="es-MX"/>
        </w:rPr>
        <w:t>Las pérdidas totales para el sector agricultura se estimaron en 118,4 millones de dólares de los cuales 16,4 millones correspondieron al sector informal.</w:t>
      </w:r>
      <w:r>
        <w:rPr>
          <w:rFonts w:ascii="Times New Roman" w:hAnsi="Times New Roman"/>
          <w:sz w:val="22"/>
          <w:szCs w:val="22"/>
          <w:lang w:val="es-MX"/>
        </w:rPr>
        <w:t xml:space="preserve"> </w:t>
      </w:r>
      <w:r w:rsidR="00BE23B4" w:rsidRPr="00BE23B4">
        <w:rPr>
          <w:rFonts w:ascii="Times New Roman" w:hAnsi="Times New Roman"/>
          <w:sz w:val="22"/>
          <w:szCs w:val="22"/>
          <w:u w:val="single"/>
          <w:lang w:val="es-MX"/>
        </w:rPr>
        <w:t>Pesca</w:t>
      </w:r>
      <w:r>
        <w:rPr>
          <w:rFonts w:ascii="Times New Roman" w:hAnsi="Times New Roman"/>
          <w:sz w:val="22"/>
          <w:szCs w:val="22"/>
          <w:lang w:val="es-MX"/>
        </w:rPr>
        <w:t xml:space="preserve">: </w:t>
      </w:r>
      <w:r w:rsidRPr="00DF403A">
        <w:rPr>
          <w:rFonts w:ascii="Times New Roman" w:hAnsi="Times New Roman"/>
          <w:sz w:val="22"/>
          <w:szCs w:val="22"/>
          <w:lang w:val="es-MX"/>
        </w:rPr>
        <w:t>Fueron particularmente afectadas las camaroneras en sus activos como los muros, compuertas y activos de las piscinas, así como otros eslabones de la cadena productiva. En el caso de la pesca, el terremoto afectó puertos pesqueros e infraestructuras industriales</w:t>
      </w:r>
      <w:r>
        <w:rPr>
          <w:rFonts w:ascii="Times New Roman" w:hAnsi="Times New Roman"/>
          <w:sz w:val="22"/>
          <w:szCs w:val="22"/>
          <w:lang w:val="es-MX"/>
        </w:rPr>
        <w:t>.</w:t>
      </w:r>
      <w:r w:rsidRPr="001E7507">
        <w:rPr>
          <w:rFonts w:ascii="Cambria Math" w:eastAsiaTheme="minorHAnsi" w:hAnsi="Cambria Math"/>
          <w:sz w:val="24"/>
          <w:szCs w:val="24"/>
          <w:lang w:val="es-MX"/>
        </w:rPr>
        <w:t xml:space="preserve"> </w:t>
      </w:r>
      <w:r w:rsidRPr="001E7507">
        <w:rPr>
          <w:rFonts w:ascii="Times New Roman" w:hAnsi="Times New Roman"/>
          <w:sz w:val="22"/>
          <w:szCs w:val="22"/>
          <w:lang w:val="es-MX"/>
        </w:rPr>
        <w:t>Se calculó también que las exportaciones en el sector camaronero en 2016 se verán mermadas en 35 millones de dólares</w:t>
      </w:r>
      <w:r>
        <w:rPr>
          <w:rFonts w:ascii="Times New Roman" w:hAnsi="Times New Roman"/>
          <w:sz w:val="22"/>
          <w:szCs w:val="22"/>
          <w:lang w:val="es-MX"/>
        </w:rPr>
        <w:t xml:space="preserve">. </w:t>
      </w:r>
      <w:r w:rsidRPr="001E7507">
        <w:rPr>
          <w:rFonts w:ascii="Times New Roman" w:hAnsi="Times New Roman"/>
          <w:sz w:val="22"/>
          <w:szCs w:val="22"/>
          <w:lang w:val="es-MX"/>
        </w:rPr>
        <w:t>En la provincia de Manabí la variación del PIB Provincial generada por el sismo se estima en una reducción de 9,8 puntos porcentuales, explicado por la caída del valor agregado en los sectores productivo, social y de infraestructura</w:t>
      </w:r>
      <w:r w:rsidR="006620C3">
        <w:rPr>
          <w:rFonts w:ascii="Times New Roman" w:hAnsi="Times New Roman"/>
          <w:sz w:val="22"/>
          <w:szCs w:val="22"/>
          <w:lang w:val="es-MX"/>
        </w:rPr>
        <w:t>.</w:t>
      </w:r>
    </w:p>
    <w:p w:rsidR="00EF0E45" w:rsidRDefault="00EF0E45" w:rsidP="00EF0E45">
      <w:pPr>
        <w:ind w:left="718"/>
        <w:jc w:val="both"/>
        <w:rPr>
          <w:rFonts w:ascii="Times New Roman" w:hAnsi="Times New Roman"/>
          <w:sz w:val="22"/>
          <w:szCs w:val="22"/>
          <w:lang w:val="es-ES"/>
        </w:rPr>
      </w:pPr>
    </w:p>
    <w:p w:rsidR="00EF0E45" w:rsidRPr="002D5E71" w:rsidRDefault="00EF0E45" w:rsidP="00EF0E45">
      <w:pPr>
        <w:jc w:val="both"/>
        <w:rPr>
          <w:rFonts w:ascii="Times New Roman" w:hAnsi="Times New Roman"/>
          <w:sz w:val="22"/>
          <w:szCs w:val="22"/>
          <w:lang w:val="es-ES"/>
        </w:rPr>
      </w:pPr>
      <w:r w:rsidRPr="003C2D79">
        <w:rPr>
          <w:rFonts w:ascii="Times New Roman" w:hAnsi="Times New Roman"/>
          <w:i/>
          <w:sz w:val="22"/>
          <w:szCs w:val="22"/>
          <w:lang w:val="es-ES"/>
        </w:rPr>
        <w:t>Costo de reconstrucción</w:t>
      </w:r>
      <w:r>
        <w:rPr>
          <w:rFonts w:ascii="Times New Roman" w:hAnsi="Times New Roman"/>
          <w:sz w:val="22"/>
          <w:szCs w:val="22"/>
          <w:lang w:val="es-ES"/>
        </w:rPr>
        <w:t xml:space="preserve">: </w:t>
      </w:r>
      <w:r w:rsidRPr="002D5E71">
        <w:rPr>
          <w:rFonts w:ascii="Times New Roman" w:hAnsi="Times New Roman"/>
          <w:sz w:val="22"/>
          <w:szCs w:val="22"/>
          <w:lang w:val="es-ES"/>
        </w:rPr>
        <w:t>En el subsector servicios turísticos se estimó un costo de reconstrucción mejorada de 97 millones de dólares (9 por ciento del sector) que considera la reparación y reconstrucción de hoteles considerando las mejoras estructurales necesarias para incrementar su resiliencia.</w:t>
      </w:r>
    </w:p>
    <w:p w:rsidR="00EF0E45" w:rsidRDefault="00EF0E45" w:rsidP="00EF0E45">
      <w:pPr>
        <w:jc w:val="both"/>
        <w:rPr>
          <w:rFonts w:ascii="Times New Roman" w:hAnsi="Times New Roman"/>
          <w:sz w:val="22"/>
          <w:szCs w:val="22"/>
          <w:lang w:val="es-ES"/>
        </w:rPr>
      </w:pPr>
      <w:r w:rsidRPr="002D5E71">
        <w:rPr>
          <w:rFonts w:ascii="Times New Roman" w:hAnsi="Times New Roman"/>
          <w:sz w:val="22"/>
          <w:szCs w:val="22"/>
          <w:lang w:val="es-ES"/>
        </w:rPr>
        <w:t xml:space="preserve">En el subsector agricultura, silvicultura, caza se estimó un costo de reconstrucción mejorada de 316 millones de dólares (31 por ciento del sector) que considera los siguientes rubros: </w:t>
      </w:r>
      <w:r w:rsidR="006620C3">
        <w:rPr>
          <w:rFonts w:ascii="Times New Roman" w:hAnsi="Times New Roman"/>
          <w:sz w:val="22"/>
          <w:szCs w:val="22"/>
          <w:lang w:val="es-ES"/>
        </w:rPr>
        <w:t>(</w:t>
      </w:r>
      <w:r w:rsidRPr="002D5E71">
        <w:rPr>
          <w:rFonts w:ascii="Times New Roman" w:hAnsi="Times New Roman"/>
          <w:sz w:val="22"/>
          <w:szCs w:val="22"/>
          <w:lang w:val="es-ES"/>
        </w:rPr>
        <w:t>i) mantener y mejorar la rentabilidad de la actividad pesquera artesanal</w:t>
      </w:r>
      <w:r w:rsidR="006620C3">
        <w:rPr>
          <w:rFonts w:ascii="Times New Roman" w:hAnsi="Times New Roman"/>
          <w:sz w:val="22"/>
          <w:szCs w:val="22"/>
          <w:lang w:val="es-ES"/>
        </w:rPr>
        <w:t>; (</w:t>
      </w:r>
      <w:r w:rsidRPr="002D5E71">
        <w:rPr>
          <w:rFonts w:ascii="Times New Roman" w:hAnsi="Times New Roman"/>
          <w:sz w:val="22"/>
          <w:szCs w:val="22"/>
          <w:lang w:val="es-ES"/>
        </w:rPr>
        <w:t>ii) recuperar la operatividad de los puertos pesqueros</w:t>
      </w:r>
      <w:r w:rsidR="006620C3">
        <w:rPr>
          <w:rFonts w:ascii="Times New Roman" w:hAnsi="Times New Roman"/>
          <w:sz w:val="22"/>
          <w:szCs w:val="22"/>
          <w:lang w:val="es-ES"/>
        </w:rPr>
        <w:t>;</w:t>
      </w:r>
      <w:r w:rsidR="006620C3" w:rsidRPr="002D5E71">
        <w:rPr>
          <w:rFonts w:ascii="Times New Roman" w:hAnsi="Times New Roman"/>
          <w:sz w:val="22"/>
          <w:szCs w:val="22"/>
          <w:lang w:val="es-ES"/>
        </w:rPr>
        <w:t xml:space="preserve"> </w:t>
      </w:r>
      <w:r w:rsidR="006620C3">
        <w:rPr>
          <w:rFonts w:ascii="Times New Roman" w:hAnsi="Times New Roman"/>
          <w:sz w:val="22"/>
          <w:szCs w:val="22"/>
          <w:lang w:val="es-ES"/>
        </w:rPr>
        <w:t>(</w:t>
      </w:r>
      <w:r w:rsidRPr="002D5E71">
        <w:rPr>
          <w:rFonts w:ascii="Times New Roman" w:hAnsi="Times New Roman"/>
          <w:sz w:val="22"/>
          <w:szCs w:val="22"/>
          <w:lang w:val="es-ES"/>
        </w:rPr>
        <w:t>iii) mantener y mejorar el nivel de empleo y de ingresos generados por el sector pesquero artesanal e industrial</w:t>
      </w:r>
      <w:r w:rsidR="006620C3">
        <w:rPr>
          <w:rFonts w:ascii="Times New Roman" w:hAnsi="Times New Roman"/>
          <w:sz w:val="22"/>
          <w:szCs w:val="22"/>
          <w:lang w:val="es-ES"/>
        </w:rPr>
        <w:t>;</w:t>
      </w:r>
      <w:r w:rsidR="006620C3" w:rsidRPr="002D5E71">
        <w:rPr>
          <w:rFonts w:ascii="Times New Roman" w:hAnsi="Times New Roman"/>
          <w:sz w:val="22"/>
          <w:szCs w:val="22"/>
          <w:lang w:val="es-ES"/>
        </w:rPr>
        <w:t xml:space="preserve"> </w:t>
      </w:r>
      <w:r w:rsidR="006620C3">
        <w:rPr>
          <w:rFonts w:ascii="Times New Roman" w:hAnsi="Times New Roman"/>
          <w:sz w:val="22"/>
          <w:szCs w:val="22"/>
          <w:lang w:val="es-ES"/>
        </w:rPr>
        <w:t>(</w:t>
      </w:r>
      <w:r w:rsidR="006620C3" w:rsidRPr="002D5E71">
        <w:rPr>
          <w:rFonts w:ascii="Times New Roman" w:hAnsi="Times New Roman"/>
          <w:sz w:val="22"/>
          <w:szCs w:val="22"/>
          <w:lang w:val="es-ES"/>
        </w:rPr>
        <w:t>i</w:t>
      </w:r>
      <w:r w:rsidR="006620C3">
        <w:rPr>
          <w:rFonts w:ascii="Times New Roman" w:hAnsi="Times New Roman"/>
          <w:sz w:val="22"/>
          <w:szCs w:val="22"/>
          <w:lang w:val="es-ES"/>
        </w:rPr>
        <w:t>v</w:t>
      </w:r>
      <w:r w:rsidRPr="002D5E71">
        <w:rPr>
          <w:rFonts w:ascii="Times New Roman" w:hAnsi="Times New Roman"/>
          <w:sz w:val="22"/>
          <w:szCs w:val="22"/>
          <w:lang w:val="es-ES"/>
        </w:rPr>
        <w:t>) mejorar la resiliencia ante desastres del sector pesquero</w:t>
      </w:r>
      <w:r w:rsidR="005A5D79">
        <w:rPr>
          <w:rFonts w:ascii="Times New Roman" w:hAnsi="Times New Roman"/>
          <w:sz w:val="22"/>
          <w:szCs w:val="22"/>
          <w:lang w:val="es-ES"/>
        </w:rPr>
        <w:t>;</w:t>
      </w:r>
      <w:r w:rsidR="005A5D79" w:rsidRPr="002D5E71">
        <w:rPr>
          <w:rFonts w:ascii="Times New Roman" w:hAnsi="Times New Roman"/>
          <w:sz w:val="22"/>
          <w:szCs w:val="22"/>
          <w:lang w:val="es-ES"/>
        </w:rPr>
        <w:t xml:space="preserve"> </w:t>
      </w:r>
      <w:r w:rsidR="005A5D79">
        <w:rPr>
          <w:rFonts w:ascii="Times New Roman" w:hAnsi="Times New Roman"/>
          <w:sz w:val="22"/>
          <w:szCs w:val="22"/>
          <w:lang w:val="es-ES"/>
        </w:rPr>
        <w:t>(</w:t>
      </w:r>
      <w:r w:rsidRPr="002D5E71">
        <w:rPr>
          <w:rFonts w:ascii="Times New Roman" w:hAnsi="Times New Roman"/>
          <w:sz w:val="22"/>
          <w:szCs w:val="22"/>
          <w:lang w:val="es-ES"/>
        </w:rPr>
        <w:t>v) recuperar la capacidad de procesamiento,  almacenamiento y comercialización del sector agropecuario</w:t>
      </w:r>
      <w:r w:rsidR="005A5D79">
        <w:rPr>
          <w:rFonts w:ascii="Times New Roman" w:hAnsi="Times New Roman"/>
          <w:sz w:val="22"/>
          <w:szCs w:val="22"/>
          <w:lang w:val="es-ES"/>
        </w:rPr>
        <w:t>;</w:t>
      </w:r>
      <w:r w:rsidR="005A5D79" w:rsidRPr="002D5E71">
        <w:rPr>
          <w:rFonts w:ascii="Times New Roman" w:hAnsi="Times New Roman"/>
          <w:sz w:val="22"/>
          <w:szCs w:val="22"/>
          <w:lang w:val="es-ES"/>
        </w:rPr>
        <w:t xml:space="preserve"> </w:t>
      </w:r>
      <w:r w:rsidR="005A5D79">
        <w:rPr>
          <w:rFonts w:ascii="Times New Roman" w:hAnsi="Times New Roman"/>
          <w:sz w:val="22"/>
          <w:szCs w:val="22"/>
          <w:lang w:val="es-ES"/>
        </w:rPr>
        <w:t>(</w:t>
      </w:r>
      <w:r w:rsidRPr="002D5E71">
        <w:rPr>
          <w:rFonts w:ascii="Times New Roman" w:hAnsi="Times New Roman"/>
          <w:sz w:val="22"/>
          <w:szCs w:val="22"/>
          <w:lang w:val="es-ES"/>
        </w:rPr>
        <w:t>v</w:t>
      </w:r>
      <w:r w:rsidR="005A5D79">
        <w:rPr>
          <w:rFonts w:ascii="Times New Roman" w:hAnsi="Times New Roman"/>
          <w:sz w:val="22"/>
          <w:szCs w:val="22"/>
          <w:lang w:val="es-ES"/>
        </w:rPr>
        <w:t>i</w:t>
      </w:r>
      <w:r w:rsidRPr="002D5E71">
        <w:rPr>
          <w:rFonts w:ascii="Times New Roman" w:hAnsi="Times New Roman"/>
          <w:sz w:val="22"/>
          <w:szCs w:val="22"/>
          <w:lang w:val="es-ES"/>
        </w:rPr>
        <w:t>) mantener y fortalecer las cadenas productivas agropecuarias estratégicas</w:t>
      </w:r>
      <w:r w:rsidR="005A5D79">
        <w:rPr>
          <w:rFonts w:ascii="Times New Roman" w:hAnsi="Times New Roman"/>
          <w:sz w:val="22"/>
          <w:szCs w:val="22"/>
          <w:lang w:val="es-ES"/>
        </w:rPr>
        <w:t>;</w:t>
      </w:r>
      <w:r w:rsidR="005A5D79" w:rsidRPr="002D5E71">
        <w:rPr>
          <w:rFonts w:ascii="Times New Roman" w:hAnsi="Times New Roman"/>
          <w:sz w:val="22"/>
          <w:szCs w:val="22"/>
          <w:lang w:val="es-ES"/>
        </w:rPr>
        <w:t xml:space="preserve"> </w:t>
      </w:r>
      <w:r w:rsidRPr="002D5E71">
        <w:rPr>
          <w:rFonts w:ascii="Times New Roman" w:hAnsi="Times New Roman"/>
          <w:sz w:val="22"/>
          <w:szCs w:val="22"/>
          <w:lang w:val="es-ES"/>
        </w:rPr>
        <w:t xml:space="preserve">y </w:t>
      </w:r>
      <w:r w:rsidR="005A5D79">
        <w:rPr>
          <w:rFonts w:ascii="Times New Roman" w:hAnsi="Times New Roman"/>
          <w:sz w:val="22"/>
          <w:szCs w:val="22"/>
          <w:lang w:val="es-ES"/>
        </w:rPr>
        <w:t>(</w:t>
      </w:r>
      <w:r w:rsidRPr="002D5E71">
        <w:rPr>
          <w:rFonts w:ascii="Times New Roman" w:hAnsi="Times New Roman"/>
          <w:sz w:val="22"/>
          <w:szCs w:val="22"/>
          <w:lang w:val="es-ES"/>
        </w:rPr>
        <w:t>vi</w:t>
      </w:r>
      <w:r w:rsidR="005A5D79">
        <w:rPr>
          <w:rFonts w:ascii="Times New Roman" w:hAnsi="Times New Roman"/>
          <w:sz w:val="22"/>
          <w:szCs w:val="22"/>
          <w:lang w:val="es-ES"/>
        </w:rPr>
        <w:t>i</w:t>
      </w:r>
      <w:r w:rsidRPr="002D5E71">
        <w:rPr>
          <w:rFonts w:ascii="Times New Roman" w:hAnsi="Times New Roman"/>
          <w:sz w:val="22"/>
          <w:szCs w:val="22"/>
          <w:lang w:val="es-ES"/>
        </w:rPr>
        <w:t>) lograr una recomposición de las redes comerciales del sector agropecuario por medio de la inversión y el crédito.</w:t>
      </w:r>
      <w:r>
        <w:rPr>
          <w:rFonts w:ascii="Times New Roman" w:hAnsi="Times New Roman"/>
          <w:sz w:val="22"/>
          <w:szCs w:val="22"/>
          <w:lang w:val="es-ES"/>
        </w:rPr>
        <w:t xml:space="preserve"> </w:t>
      </w:r>
    </w:p>
    <w:p w:rsidR="006141FA" w:rsidRDefault="006141FA" w:rsidP="006141FA">
      <w:pPr>
        <w:jc w:val="both"/>
        <w:rPr>
          <w:rFonts w:ascii="Times New Roman" w:hAnsi="Times New Roman"/>
          <w:sz w:val="22"/>
          <w:szCs w:val="22"/>
          <w:lang w:val="es-ES"/>
        </w:rPr>
      </w:pPr>
    </w:p>
    <w:p w:rsidR="006141FA" w:rsidRPr="006141FA" w:rsidRDefault="006141FA" w:rsidP="006141FA">
      <w:pPr>
        <w:rPr>
          <w:lang w:val="es-ES_tradnl"/>
        </w:rPr>
        <w:sectPr w:rsidR="006141FA" w:rsidRPr="006141FA" w:rsidSect="00DF266D">
          <w:headerReference w:type="default" r:id="rId39"/>
          <w:footerReference w:type="default" r:id="rId40"/>
          <w:pgSz w:w="11907" w:h="16839" w:code="9"/>
          <w:pgMar w:top="1440" w:right="1797" w:bottom="1440" w:left="1797" w:header="720" w:footer="720" w:gutter="0"/>
          <w:cols w:space="720"/>
          <w:docGrid w:linePitch="272"/>
        </w:sectPr>
      </w:pPr>
    </w:p>
    <w:p w:rsidR="00FB2C30" w:rsidRDefault="00FB2C30" w:rsidP="00FB2C30">
      <w:pPr>
        <w:pStyle w:val="Heading1"/>
        <w:jc w:val="left"/>
        <w:rPr>
          <w:lang w:val="es-CR" w:eastAsia="ja-JP" w:bidi="hi-IN"/>
        </w:rPr>
      </w:pPr>
      <w:bookmarkStart w:id="320" w:name="_Toc465929637"/>
      <w:bookmarkStart w:id="321" w:name="_Toc468199844"/>
      <w:r>
        <w:lastRenderedPageBreak/>
        <w:t>Anexo D</w:t>
      </w:r>
      <w:r w:rsidR="00B8458D">
        <w:t xml:space="preserve">: </w:t>
      </w:r>
      <w:r>
        <w:rPr>
          <w:lang w:val="es-CR" w:eastAsia="zh-CN" w:bidi="hi-IN"/>
        </w:rPr>
        <w:t>Matriz de Resultados</w:t>
      </w:r>
      <w:bookmarkEnd w:id="320"/>
      <w:bookmarkEnd w:id="321"/>
    </w:p>
    <w:p w:rsidR="00B04E11" w:rsidRPr="00FE6C9C" w:rsidRDefault="00B04E11" w:rsidP="00B04E11">
      <w:pPr>
        <w:jc w:val="both"/>
        <w:rPr>
          <w:rFonts w:ascii="Times New Roman" w:hAnsi="Times New Roman"/>
          <w:bCs/>
          <w:lang w:val="es-ES_tradnl"/>
        </w:rPr>
      </w:pPr>
      <w:r w:rsidRPr="00FE6C9C">
        <w:rPr>
          <w:rFonts w:ascii="Times New Roman" w:hAnsi="Times New Roman"/>
          <w:b/>
          <w:lang w:val="es-ES_tradnl"/>
        </w:rPr>
        <w:t>OBJETIVO DEL PROYECTO</w:t>
      </w:r>
      <w:r w:rsidRPr="00FE6C9C">
        <w:rPr>
          <w:rFonts w:ascii="Times New Roman" w:hAnsi="Times New Roman"/>
          <w:lang w:val="es-ES_tradnl"/>
        </w:rPr>
        <w:t xml:space="preserve">: </w:t>
      </w:r>
      <w:r w:rsidR="00081A23" w:rsidRPr="00455FC7">
        <w:rPr>
          <w:rFonts w:ascii="Times New Roman" w:hAnsi="Times New Roman"/>
          <w:sz w:val="18"/>
          <w:lang w:val="es-ES"/>
        </w:rPr>
        <w:t>Fortalecer el sistema nacional de alerta temprana para tsunamis y desbordamientos de ríos</w:t>
      </w:r>
      <w:r w:rsidRPr="00FE6C9C">
        <w:rPr>
          <w:rFonts w:ascii="Times New Roman" w:hAnsi="Times New Roman"/>
          <w:lang w:val="es-ES_tradnl"/>
        </w:rPr>
        <w:t xml:space="preserve">. </w:t>
      </w:r>
    </w:p>
    <w:p w:rsidR="00B04E11" w:rsidRPr="00FE6C9C" w:rsidRDefault="00B04E11" w:rsidP="00B04E11">
      <w:pPr>
        <w:rPr>
          <w:rFonts w:ascii="Times New Roman" w:hAnsi="Times New Roman"/>
          <w:lang w:val="es-EC" w:eastAsia="ja-JP"/>
        </w:rPr>
      </w:pPr>
    </w:p>
    <w:p w:rsidR="003C6A31" w:rsidRPr="00455FC7" w:rsidRDefault="00081A23" w:rsidP="003C6A31">
      <w:pPr>
        <w:jc w:val="center"/>
        <w:rPr>
          <w:rFonts w:ascii="Times New Roman" w:hAnsi="Times New Roman"/>
          <w:b/>
          <w:smallCaps/>
          <w:lang w:val="es-ES_tradnl"/>
        </w:rPr>
      </w:pPr>
      <w:r w:rsidRPr="00455FC7">
        <w:rPr>
          <w:rFonts w:ascii="Times New Roman" w:hAnsi="Times New Roman"/>
          <w:b/>
          <w:smallCaps/>
          <w:lang w:val="es-ES_tradnl"/>
        </w:rPr>
        <w:t>Impacto Esperado</w:t>
      </w:r>
    </w:p>
    <w:p w:rsidR="003C6A31" w:rsidRPr="00455FC7" w:rsidRDefault="003C6A31" w:rsidP="003C6A31">
      <w:pPr>
        <w:jc w:val="center"/>
        <w:rPr>
          <w:rFonts w:ascii="Times New Roman" w:hAnsi="Times New Roman"/>
          <w:b/>
          <w:smallCaps/>
          <w:lang w:val="es-ES_tradnl"/>
        </w:rPr>
      </w:pPr>
    </w:p>
    <w:tbl>
      <w:tblPr>
        <w:tblW w:w="1346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5"/>
        <w:gridCol w:w="767"/>
        <w:gridCol w:w="851"/>
        <w:gridCol w:w="850"/>
        <w:gridCol w:w="709"/>
        <w:gridCol w:w="709"/>
        <w:gridCol w:w="708"/>
        <w:gridCol w:w="806"/>
        <w:gridCol w:w="612"/>
        <w:gridCol w:w="709"/>
        <w:gridCol w:w="708"/>
        <w:gridCol w:w="709"/>
        <w:gridCol w:w="1134"/>
        <w:gridCol w:w="2410"/>
      </w:tblGrid>
      <w:tr w:rsidR="003C6A31" w:rsidRPr="00FE6C9C" w:rsidTr="005C396F">
        <w:trPr>
          <w:tblHeader/>
        </w:trPr>
        <w:tc>
          <w:tcPr>
            <w:tcW w:w="13467" w:type="dxa"/>
            <w:gridSpan w:val="14"/>
          </w:tcPr>
          <w:p w:rsidR="003C6A31" w:rsidRPr="00455FC7" w:rsidRDefault="00081A23" w:rsidP="005C396F">
            <w:pPr>
              <w:rPr>
                <w:rFonts w:ascii="Times New Roman" w:hAnsi="Times New Roman"/>
                <w:sz w:val="18"/>
                <w:lang w:val="es-ES_tradnl"/>
              </w:rPr>
            </w:pPr>
            <w:r w:rsidRPr="00455FC7">
              <w:rPr>
                <w:rFonts w:ascii="Times New Roman" w:hAnsi="Times New Roman"/>
                <w:b/>
                <w:sz w:val="18"/>
                <w:u w:val="single"/>
                <w:lang w:val="es-ES_tradnl"/>
              </w:rPr>
              <w:t>IMPACTO ESPERADO</w:t>
            </w:r>
            <w:r w:rsidRPr="00455FC7">
              <w:rPr>
                <w:rFonts w:ascii="Times New Roman" w:hAnsi="Times New Roman"/>
                <w:sz w:val="18"/>
                <w:lang w:val="es-ES_tradnl"/>
              </w:rPr>
              <w:t>:</w:t>
            </w:r>
          </w:p>
        </w:tc>
      </w:tr>
      <w:tr w:rsidR="003C6A31" w:rsidRPr="00FE6C9C" w:rsidTr="005C396F">
        <w:trPr>
          <w:tblHeader/>
        </w:trPr>
        <w:tc>
          <w:tcPr>
            <w:tcW w:w="1785" w:type="dxa"/>
            <w:vMerge w:val="restart"/>
            <w:shd w:val="clear" w:color="auto" w:fill="C2D69B"/>
          </w:tcPr>
          <w:p w:rsidR="003C6A31" w:rsidRPr="00455FC7" w:rsidRDefault="00081A23" w:rsidP="005C396F">
            <w:pPr>
              <w:jc w:val="center"/>
              <w:rPr>
                <w:rFonts w:ascii="Times New Roman" w:hAnsi="Times New Roman"/>
                <w:sz w:val="18"/>
                <w:lang w:val="es-ES_tradnl"/>
              </w:rPr>
            </w:pPr>
            <w:r w:rsidRPr="00455FC7">
              <w:rPr>
                <w:rFonts w:ascii="Times New Roman" w:hAnsi="Times New Roman"/>
                <w:sz w:val="18"/>
                <w:lang w:val="es-ES_tradnl"/>
              </w:rPr>
              <w:t>Indicadores</w:t>
            </w:r>
          </w:p>
        </w:tc>
        <w:tc>
          <w:tcPr>
            <w:tcW w:w="767" w:type="dxa"/>
            <w:vMerge w:val="restart"/>
            <w:shd w:val="clear" w:color="auto" w:fill="C2D69B"/>
          </w:tcPr>
          <w:p w:rsidR="003C6A31" w:rsidRPr="00455FC7" w:rsidRDefault="00081A23" w:rsidP="005C396F">
            <w:pPr>
              <w:jc w:val="center"/>
              <w:rPr>
                <w:rFonts w:ascii="Times New Roman" w:hAnsi="Times New Roman"/>
                <w:sz w:val="18"/>
                <w:lang w:val="es-ES_tradnl"/>
              </w:rPr>
            </w:pPr>
            <w:r w:rsidRPr="00455FC7">
              <w:rPr>
                <w:rFonts w:ascii="Times New Roman" w:hAnsi="Times New Roman"/>
                <w:sz w:val="18"/>
                <w:lang w:val="es-ES_tradnl"/>
              </w:rPr>
              <w:t>Unidad de medida</w:t>
            </w:r>
          </w:p>
        </w:tc>
        <w:tc>
          <w:tcPr>
            <w:tcW w:w="1701" w:type="dxa"/>
            <w:gridSpan w:val="2"/>
            <w:shd w:val="clear" w:color="auto" w:fill="C2D69B"/>
          </w:tcPr>
          <w:p w:rsidR="003C6A31" w:rsidRPr="00455FC7" w:rsidRDefault="00081A23" w:rsidP="005C396F">
            <w:pPr>
              <w:jc w:val="center"/>
              <w:rPr>
                <w:rFonts w:ascii="Times New Roman" w:hAnsi="Times New Roman"/>
                <w:sz w:val="18"/>
                <w:lang w:val="es-ES_tradnl"/>
              </w:rPr>
            </w:pPr>
            <w:r w:rsidRPr="00455FC7">
              <w:rPr>
                <w:rFonts w:ascii="Times New Roman" w:hAnsi="Times New Roman"/>
                <w:sz w:val="18"/>
                <w:lang w:val="es-ES_tradnl"/>
              </w:rPr>
              <w:t>Línea de base</w:t>
            </w:r>
          </w:p>
        </w:tc>
        <w:tc>
          <w:tcPr>
            <w:tcW w:w="4253" w:type="dxa"/>
            <w:gridSpan w:val="6"/>
            <w:shd w:val="clear" w:color="auto" w:fill="C2D69B"/>
          </w:tcPr>
          <w:p w:rsidR="003C6A31" w:rsidRPr="00455FC7" w:rsidRDefault="00081A23" w:rsidP="005C396F">
            <w:pPr>
              <w:jc w:val="center"/>
              <w:rPr>
                <w:rFonts w:ascii="Times New Roman" w:hAnsi="Times New Roman"/>
                <w:sz w:val="18"/>
                <w:lang w:val="es-ES_tradnl"/>
              </w:rPr>
            </w:pPr>
            <w:r w:rsidRPr="00455FC7">
              <w:rPr>
                <w:rFonts w:ascii="Times New Roman" w:hAnsi="Times New Roman"/>
                <w:sz w:val="18"/>
                <w:lang w:val="es-ES_tradnl"/>
              </w:rPr>
              <w:t>Mediciones intermedias</w:t>
            </w:r>
          </w:p>
        </w:tc>
        <w:tc>
          <w:tcPr>
            <w:tcW w:w="1417" w:type="dxa"/>
            <w:gridSpan w:val="2"/>
            <w:shd w:val="clear" w:color="auto" w:fill="C2D69B"/>
          </w:tcPr>
          <w:p w:rsidR="003C6A31" w:rsidRPr="00455FC7" w:rsidRDefault="00081A23" w:rsidP="005C396F">
            <w:pPr>
              <w:jc w:val="center"/>
              <w:rPr>
                <w:rFonts w:ascii="Times New Roman" w:hAnsi="Times New Roman"/>
                <w:sz w:val="18"/>
                <w:lang w:val="es-ES_tradnl"/>
              </w:rPr>
            </w:pPr>
            <w:r w:rsidRPr="00455FC7">
              <w:rPr>
                <w:rFonts w:ascii="Times New Roman" w:hAnsi="Times New Roman"/>
                <w:sz w:val="18"/>
                <w:lang w:val="es-ES_tradnl"/>
              </w:rPr>
              <w:t>Metas</w:t>
            </w:r>
          </w:p>
        </w:tc>
        <w:tc>
          <w:tcPr>
            <w:tcW w:w="1134" w:type="dxa"/>
            <w:vMerge w:val="restart"/>
            <w:shd w:val="clear" w:color="auto" w:fill="C2D69B"/>
          </w:tcPr>
          <w:p w:rsidR="003C6A31" w:rsidRPr="00455FC7" w:rsidRDefault="00081A23" w:rsidP="005C396F">
            <w:pPr>
              <w:jc w:val="center"/>
              <w:rPr>
                <w:rFonts w:ascii="Times New Roman" w:hAnsi="Times New Roman"/>
                <w:sz w:val="18"/>
                <w:lang w:val="es-ES_tradnl"/>
              </w:rPr>
            </w:pPr>
            <w:r w:rsidRPr="00455FC7">
              <w:rPr>
                <w:rFonts w:ascii="Times New Roman" w:hAnsi="Times New Roman"/>
                <w:sz w:val="18"/>
                <w:lang w:val="es-ES_tradnl"/>
              </w:rPr>
              <w:t>Fuente/ Medio de verificación</w:t>
            </w:r>
          </w:p>
        </w:tc>
        <w:tc>
          <w:tcPr>
            <w:tcW w:w="2410" w:type="dxa"/>
            <w:vMerge w:val="restart"/>
            <w:shd w:val="clear" w:color="auto" w:fill="C2D69B"/>
          </w:tcPr>
          <w:p w:rsidR="003C6A31" w:rsidRPr="00455FC7" w:rsidRDefault="00081A23" w:rsidP="005C396F">
            <w:pPr>
              <w:jc w:val="center"/>
              <w:rPr>
                <w:rFonts w:ascii="Times New Roman" w:hAnsi="Times New Roman"/>
                <w:sz w:val="18"/>
                <w:lang w:val="es-ES_tradnl"/>
              </w:rPr>
            </w:pPr>
            <w:r w:rsidRPr="00455FC7">
              <w:rPr>
                <w:rFonts w:ascii="Times New Roman" w:hAnsi="Times New Roman"/>
                <w:sz w:val="18"/>
                <w:lang w:val="es-ES_tradnl"/>
              </w:rPr>
              <w:t>Observaciones</w:t>
            </w:r>
          </w:p>
        </w:tc>
      </w:tr>
      <w:tr w:rsidR="003C6A31" w:rsidRPr="00FE6C9C" w:rsidTr="005C396F">
        <w:trPr>
          <w:tblHeader/>
        </w:trPr>
        <w:tc>
          <w:tcPr>
            <w:tcW w:w="1785" w:type="dxa"/>
            <w:vMerge/>
          </w:tcPr>
          <w:p w:rsidR="003C6A31" w:rsidRPr="00455FC7" w:rsidRDefault="003C6A31" w:rsidP="005C396F">
            <w:pPr>
              <w:jc w:val="center"/>
              <w:rPr>
                <w:rFonts w:ascii="Times New Roman" w:hAnsi="Times New Roman"/>
                <w:sz w:val="18"/>
                <w:lang w:val="es-ES_tradnl"/>
              </w:rPr>
            </w:pPr>
          </w:p>
        </w:tc>
        <w:tc>
          <w:tcPr>
            <w:tcW w:w="767" w:type="dxa"/>
            <w:vMerge/>
          </w:tcPr>
          <w:p w:rsidR="003C6A31" w:rsidRPr="00455FC7" w:rsidRDefault="003C6A31" w:rsidP="005C396F">
            <w:pPr>
              <w:jc w:val="center"/>
              <w:rPr>
                <w:rFonts w:ascii="Times New Roman" w:hAnsi="Times New Roman"/>
                <w:sz w:val="18"/>
                <w:lang w:val="es-ES_tradnl"/>
              </w:rPr>
            </w:pPr>
          </w:p>
        </w:tc>
        <w:tc>
          <w:tcPr>
            <w:tcW w:w="851" w:type="dxa"/>
            <w:shd w:val="clear" w:color="auto" w:fill="C2D69B"/>
          </w:tcPr>
          <w:p w:rsidR="003C6A31" w:rsidRPr="00455FC7" w:rsidRDefault="00081A23" w:rsidP="005C396F">
            <w:pPr>
              <w:jc w:val="center"/>
              <w:rPr>
                <w:rFonts w:ascii="Times New Roman" w:hAnsi="Times New Roman"/>
                <w:sz w:val="18"/>
                <w:lang w:val="es-ES_tradnl"/>
              </w:rPr>
            </w:pPr>
            <w:r w:rsidRPr="00455FC7">
              <w:rPr>
                <w:rFonts w:ascii="Times New Roman" w:hAnsi="Times New Roman"/>
                <w:sz w:val="18"/>
                <w:lang w:val="es-ES_tradnl"/>
              </w:rPr>
              <w:t>Valor</w:t>
            </w:r>
          </w:p>
        </w:tc>
        <w:tc>
          <w:tcPr>
            <w:tcW w:w="850" w:type="dxa"/>
            <w:shd w:val="clear" w:color="auto" w:fill="C2D69B"/>
          </w:tcPr>
          <w:p w:rsidR="003C6A31" w:rsidRPr="00455FC7" w:rsidRDefault="00081A23" w:rsidP="005C396F">
            <w:pPr>
              <w:jc w:val="center"/>
              <w:rPr>
                <w:rFonts w:ascii="Times New Roman" w:hAnsi="Times New Roman"/>
                <w:sz w:val="18"/>
                <w:lang w:val="es-ES_tradnl"/>
              </w:rPr>
            </w:pPr>
            <w:r w:rsidRPr="00455FC7">
              <w:rPr>
                <w:rFonts w:ascii="Times New Roman" w:hAnsi="Times New Roman"/>
                <w:sz w:val="18"/>
                <w:lang w:val="es-ES_tradnl"/>
              </w:rPr>
              <w:t>Año</w:t>
            </w:r>
          </w:p>
        </w:tc>
        <w:tc>
          <w:tcPr>
            <w:tcW w:w="709" w:type="dxa"/>
            <w:shd w:val="clear" w:color="auto" w:fill="C2D69B"/>
          </w:tcPr>
          <w:p w:rsidR="003C6A31" w:rsidRPr="00455FC7" w:rsidRDefault="00081A23" w:rsidP="005C396F">
            <w:pPr>
              <w:jc w:val="center"/>
              <w:rPr>
                <w:rFonts w:ascii="Times New Roman" w:hAnsi="Times New Roman"/>
                <w:sz w:val="18"/>
                <w:lang w:val="es-ES_tradnl"/>
              </w:rPr>
            </w:pPr>
            <w:r w:rsidRPr="00455FC7">
              <w:rPr>
                <w:rFonts w:ascii="Times New Roman" w:hAnsi="Times New Roman"/>
                <w:sz w:val="18"/>
                <w:lang w:val="es-ES_tradnl"/>
              </w:rPr>
              <w:t>Valor</w:t>
            </w:r>
          </w:p>
        </w:tc>
        <w:tc>
          <w:tcPr>
            <w:tcW w:w="709" w:type="dxa"/>
            <w:shd w:val="clear" w:color="auto" w:fill="C2D69B"/>
          </w:tcPr>
          <w:p w:rsidR="003C6A31" w:rsidRPr="00455FC7" w:rsidRDefault="00081A23" w:rsidP="005C396F">
            <w:pPr>
              <w:jc w:val="center"/>
              <w:rPr>
                <w:rFonts w:ascii="Times New Roman" w:hAnsi="Times New Roman"/>
                <w:sz w:val="18"/>
                <w:lang w:val="es-ES_tradnl"/>
              </w:rPr>
            </w:pPr>
            <w:r w:rsidRPr="00455FC7">
              <w:rPr>
                <w:rFonts w:ascii="Times New Roman" w:hAnsi="Times New Roman"/>
                <w:sz w:val="18"/>
                <w:lang w:val="es-ES_tradnl"/>
              </w:rPr>
              <w:t>Año 1</w:t>
            </w:r>
          </w:p>
        </w:tc>
        <w:tc>
          <w:tcPr>
            <w:tcW w:w="708" w:type="dxa"/>
            <w:shd w:val="clear" w:color="auto" w:fill="C2D69B"/>
          </w:tcPr>
          <w:p w:rsidR="003C6A31" w:rsidRPr="00455FC7" w:rsidRDefault="00081A23" w:rsidP="005C396F">
            <w:pPr>
              <w:jc w:val="center"/>
              <w:rPr>
                <w:rFonts w:ascii="Times New Roman" w:hAnsi="Times New Roman"/>
                <w:sz w:val="18"/>
                <w:lang w:val="es-ES_tradnl"/>
              </w:rPr>
            </w:pPr>
            <w:r w:rsidRPr="00455FC7">
              <w:rPr>
                <w:rFonts w:ascii="Times New Roman" w:hAnsi="Times New Roman"/>
                <w:sz w:val="18"/>
                <w:lang w:val="es-ES_tradnl"/>
              </w:rPr>
              <w:t>Valor</w:t>
            </w:r>
          </w:p>
        </w:tc>
        <w:tc>
          <w:tcPr>
            <w:tcW w:w="806" w:type="dxa"/>
            <w:shd w:val="clear" w:color="auto" w:fill="C2D69B"/>
          </w:tcPr>
          <w:p w:rsidR="003C6A31" w:rsidRPr="00455FC7" w:rsidRDefault="00081A23" w:rsidP="005C396F">
            <w:pPr>
              <w:jc w:val="center"/>
              <w:rPr>
                <w:rFonts w:ascii="Times New Roman" w:hAnsi="Times New Roman"/>
                <w:sz w:val="18"/>
                <w:lang w:val="es-ES_tradnl"/>
              </w:rPr>
            </w:pPr>
            <w:r w:rsidRPr="00455FC7">
              <w:rPr>
                <w:rFonts w:ascii="Times New Roman" w:hAnsi="Times New Roman"/>
                <w:sz w:val="18"/>
                <w:lang w:val="es-ES_tradnl"/>
              </w:rPr>
              <w:t>Año 2</w:t>
            </w:r>
          </w:p>
        </w:tc>
        <w:tc>
          <w:tcPr>
            <w:tcW w:w="612" w:type="dxa"/>
            <w:shd w:val="clear" w:color="auto" w:fill="C2D69B"/>
          </w:tcPr>
          <w:p w:rsidR="003C6A31" w:rsidRPr="00455FC7" w:rsidRDefault="00081A23" w:rsidP="005C396F">
            <w:pPr>
              <w:jc w:val="center"/>
              <w:rPr>
                <w:rFonts w:ascii="Times New Roman" w:hAnsi="Times New Roman"/>
                <w:sz w:val="18"/>
                <w:lang w:val="es-ES_tradnl"/>
              </w:rPr>
            </w:pPr>
            <w:r w:rsidRPr="00455FC7">
              <w:rPr>
                <w:rFonts w:ascii="Times New Roman" w:hAnsi="Times New Roman"/>
                <w:sz w:val="18"/>
                <w:lang w:val="es-ES_tradnl"/>
              </w:rPr>
              <w:t>Valor</w:t>
            </w:r>
          </w:p>
        </w:tc>
        <w:tc>
          <w:tcPr>
            <w:tcW w:w="709" w:type="dxa"/>
            <w:shd w:val="clear" w:color="auto" w:fill="C2D69B"/>
          </w:tcPr>
          <w:p w:rsidR="003C6A31" w:rsidRPr="00455FC7" w:rsidRDefault="00081A23" w:rsidP="005C396F">
            <w:pPr>
              <w:jc w:val="center"/>
              <w:rPr>
                <w:rFonts w:ascii="Times New Roman" w:hAnsi="Times New Roman"/>
                <w:sz w:val="18"/>
                <w:lang w:val="es-ES_tradnl"/>
              </w:rPr>
            </w:pPr>
            <w:r w:rsidRPr="00455FC7">
              <w:rPr>
                <w:rFonts w:ascii="Times New Roman" w:hAnsi="Times New Roman"/>
                <w:sz w:val="18"/>
                <w:lang w:val="es-ES_tradnl"/>
              </w:rPr>
              <w:t>Año 3</w:t>
            </w:r>
          </w:p>
        </w:tc>
        <w:tc>
          <w:tcPr>
            <w:tcW w:w="708" w:type="dxa"/>
            <w:shd w:val="clear" w:color="auto" w:fill="C2D69B"/>
          </w:tcPr>
          <w:p w:rsidR="003C6A31" w:rsidRPr="00455FC7" w:rsidRDefault="00081A23" w:rsidP="005C396F">
            <w:pPr>
              <w:jc w:val="center"/>
              <w:rPr>
                <w:rFonts w:ascii="Times New Roman" w:hAnsi="Times New Roman"/>
                <w:sz w:val="18"/>
                <w:lang w:val="es-ES_tradnl"/>
              </w:rPr>
            </w:pPr>
            <w:r w:rsidRPr="00455FC7">
              <w:rPr>
                <w:rFonts w:ascii="Times New Roman" w:hAnsi="Times New Roman"/>
                <w:sz w:val="18"/>
                <w:lang w:val="es-ES_tradnl"/>
              </w:rPr>
              <w:t>Valor</w:t>
            </w:r>
          </w:p>
        </w:tc>
        <w:tc>
          <w:tcPr>
            <w:tcW w:w="709" w:type="dxa"/>
            <w:shd w:val="clear" w:color="auto" w:fill="C2D69B"/>
          </w:tcPr>
          <w:p w:rsidR="003C6A31" w:rsidRPr="00455FC7" w:rsidRDefault="00081A23" w:rsidP="005C396F">
            <w:pPr>
              <w:jc w:val="center"/>
              <w:rPr>
                <w:rFonts w:ascii="Times New Roman" w:hAnsi="Times New Roman"/>
                <w:sz w:val="18"/>
                <w:lang w:val="es-ES_tradnl"/>
              </w:rPr>
            </w:pPr>
            <w:r w:rsidRPr="00455FC7">
              <w:rPr>
                <w:rFonts w:ascii="Times New Roman" w:hAnsi="Times New Roman"/>
                <w:sz w:val="18"/>
                <w:lang w:val="es-ES_tradnl"/>
              </w:rPr>
              <w:t>Año</w:t>
            </w:r>
          </w:p>
        </w:tc>
        <w:tc>
          <w:tcPr>
            <w:tcW w:w="1134" w:type="dxa"/>
            <w:vMerge/>
          </w:tcPr>
          <w:p w:rsidR="003C6A31" w:rsidRPr="00455FC7" w:rsidRDefault="003C6A31" w:rsidP="005C396F">
            <w:pPr>
              <w:jc w:val="center"/>
              <w:rPr>
                <w:rFonts w:ascii="Times New Roman" w:hAnsi="Times New Roman"/>
                <w:sz w:val="18"/>
                <w:lang w:val="es-ES_tradnl"/>
              </w:rPr>
            </w:pPr>
          </w:p>
        </w:tc>
        <w:tc>
          <w:tcPr>
            <w:tcW w:w="2410" w:type="dxa"/>
            <w:vMerge/>
          </w:tcPr>
          <w:p w:rsidR="003C6A31" w:rsidRPr="00455FC7" w:rsidRDefault="003C6A31" w:rsidP="005C396F">
            <w:pPr>
              <w:jc w:val="center"/>
              <w:rPr>
                <w:rFonts w:ascii="Times New Roman" w:hAnsi="Times New Roman"/>
                <w:sz w:val="18"/>
                <w:lang w:val="es-ES_tradnl"/>
              </w:rPr>
            </w:pPr>
          </w:p>
        </w:tc>
      </w:tr>
      <w:tr w:rsidR="003C6A31" w:rsidRPr="006F6989" w:rsidTr="005C396F">
        <w:trPr>
          <w:trHeight w:val="571"/>
        </w:trPr>
        <w:tc>
          <w:tcPr>
            <w:tcW w:w="1785" w:type="dxa"/>
          </w:tcPr>
          <w:p w:rsidR="003C6A31" w:rsidRPr="00455FC7" w:rsidRDefault="00081A23" w:rsidP="005C396F">
            <w:pPr>
              <w:tabs>
                <w:tab w:val="left" w:pos="432"/>
              </w:tabs>
              <w:rPr>
                <w:rFonts w:ascii="Times New Roman" w:hAnsi="Times New Roman"/>
                <w:sz w:val="18"/>
                <w:lang w:val="es-EC"/>
              </w:rPr>
            </w:pPr>
            <w:r w:rsidRPr="00455FC7">
              <w:rPr>
                <w:rFonts w:ascii="Times New Roman" w:hAnsi="Times New Roman"/>
                <w:sz w:val="18"/>
                <w:lang w:val="es-EC"/>
              </w:rPr>
              <w:t>Índice de Manejo de desastres (MD)</w:t>
            </w:r>
            <w:r w:rsidRPr="00455FC7">
              <w:rPr>
                <w:rStyle w:val="FootnoteReference"/>
                <w:rFonts w:ascii="Times New Roman" w:hAnsi="Times New Roman"/>
                <w:sz w:val="18"/>
                <w:lang w:val="es-EC"/>
              </w:rPr>
              <w:footnoteReference w:id="68"/>
            </w:r>
          </w:p>
        </w:tc>
        <w:tc>
          <w:tcPr>
            <w:tcW w:w="767" w:type="dxa"/>
          </w:tcPr>
          <w:p w:rsidR="003C6A31" w:rsidRPr="00455FC7" w:rsidRDefault="00081A23" w:rsidP="005C396F">
            <w:pPr>
              <w:rPr>
                <w:rFonts w:ascii="Times New Roman" w:hAnsi="Times New Roman"/>
                <w:sz w:val="18"/>
                <w:lang w:val="es-EC"/>
              </w:rPr>
            </w:pPr>
            <w:r w:rsidRPr="00455FC7">
              <w:rPr>
                <w:rFonts w:ascii="Times New Roman" w:hAnsi="Times New Roman"/>
                <w:sz w:val="18"/>
                <w:lang w:val="es-EC"/>
              </w:rPr>
              <w:t>Índice (valor de 0 a 100)</w:t>
            </w:r>
          </w:p>
        </w:tc>
        <w:tc>
          <w:tcPr>
            <w:tcW w:w="851" w:type="dxa"/>
          </w:tcPr>
          <w:p w:rsidR="003C6A31" w:rsidRPr="00455FC7" w:rsidRDefault="00081A23" w:rsidP="005C396F">
            <w:pPr>
              <w:jc w:val="center"/>
              <w:rPr>
                <w:rFonts w:ascii="Times New Roman" w:hAnsi="Times New Roman"/>
                <w:sz w:val="18"/>
                <w:lang w:val="es-ES_tradnl"/>
              </w:rPr>
            </w:pPr>
            <w:r w:rsidRPr="00455FC7">
              <w:rPr>
                <w:rFonts w:ascii="Times New Roman" w:hAnsi="Times New Roman"/>
                <w:sz w:val="18"/>
                <w:lang w:val="es-ES_tradnl"/>
              </w:rPr>
              <w:t>46.18</w:t>
            </w:r>
          </w:p>
        </w:tc>
        <w:tc>
          <w:tcPr>
            <w:tcW w:w="850" w:type="dxa"/>
          </w:tcPr>
          <w:p w:rsidR="003C6A31" w:rsidRPr="00455FC7" w:rsidRDefault="00081A23" w:rsidP="005C396F">
            <w:pPr>
              <w:jc w:val="center"/>
              <w:rPr>
                <w:rFonts w:ascii="Times New Roman" w:hAnsi="Times New Roman"/>
                <w:sz w:val="18"/>
                <w:lang w:val="es-ES_tradnl"/>
              </w:rPr>
            </w:pPr>
            <w:r w:rsidRPr="00455FC7">
              <w:rPr>
                <w:rFonts w:ascii="Times New Roman" w:hAnsi="Times New Roman"/>
                <w:sz w:val="18"/>
                <w:lang w:val="es-ES_tradnl"/>
              </w:rPr>
              <w:t>2013</w:t>
            </w:r>
          </w:p>
        </w:tc>
        <w:tc>
          <w:tcPr>
            <w:tcW w:w="709" w:type="dxa"/>
          </w:tcPr>
          <w:p w:rsidR="003C6A31" w:rsidRPr="00455FC7" w:rsidRDefault="003C6A31" w:rsidP="005C396F">
            <w:pPr>
              <w:jc w:val="center"/>
              <w:rPr>
                <w:rFonts w:ascii="Times New Roman" w:hAnsi="Times New Roman"/>
                <w:sz w:val="18"/>
                <w:lang w:val="es-ES_tradnl"/>
              </w:rPr>
            </w:pPr>
          </w:p>
        </w:tc>
        <w:tc>
          <w:tcPr>
            <w:tcW w:w="709" w:type="dxa"/>
          </w:tcPr>
          <w:p w:rsidR="003C6A31" w:rsidRPr="00455FC7" w:rsidRDefault="003C6A31" w:rsidP="005C396F">
            <w:pPr>
              <w:jc w:val="center"/>
              <w:rPr>
                <w:rFonts w:ascii="Times New Roman" w:hAnsi="Times New Roman"/>
                <w:sz w:val="18"/>
                <w:lang w:val="es-ES_tradnl"/>
              </w:rPr>
            </w:pPr>
          </w:p>
        </w:tc>
        <w:tc>
          <w:tcPr>
            <w:tcW w:w="708" w:type="dxa"/>
          </w:tcPr>
          <w:p w:rsidR="003C6A31" w:rsidRPr="00455FC7" w:rsidRDefault="003C6A31" w:rsidP="005C396F">
            <w:pPr>
              <w:jc w:val="center"/>
              <w:rPr>
                <w:rFonts w:ascii="Times New Roman" w:hAnsi="Times New Roman"/>
                <w:sz w:val="18"/>
                <w:lang w:val="es-ES_tradnl"/>
              </w:rPr>
            </w:pPr>
          </w:p>
        </w:tc>
        <w:tc>
          <w:tcPr>
            <w:tcW w:w="806" w:type="dxa"/>
          </w:tcPr>
          <w:p w:rsidR="003C6A31" w:rsidRPr="00455FC7" w:rsidRDefault="003C6A31" w:rsidP="005C396F">
            <w:pPr>
              <w:jc w:val="center"/>
              <w:rPr>
                <w:rFonts w:ascii="Times New Roman" w:hAnsi="Times New Roman"/>
                <w:sz w:val="18"/>
                <w:lang w:val="es-ES_tradnl"/>
              </w:rPr>
            </w:pPr>
          </w:p>
        </w:tc>
        <w:tc>
          <w:tcPr>
            <w:tcW w:w="612" w:type="dxa"/>
          </w:tcPr>
          <w:p w:rsidR="003C6A31" w:rsidRPr="00455FC7" w:rsidRDefault="003C6A31" w:rsidP="005C396F">
            <w:pPr>
              <w:jc w:val="center"/>
              <w:rPr>
                <w:rFonts w:ascii="Times New Roman" w:hAnsi="Times New Roman"/>
                <w:sz w:val="18"/>
                <w:lang w:val="es-ES_tradnl"/>
              </w:rPr>
            </w:pPr>
          </w:p>
        </w:tc>
        <w:tc>
          <w:tcPr>
            <w:tcW w:w="709" w:type="dxa"/>
          </w:tcPr>
          <w:p w:rsidR="003C6A31" w:rsidRPr="00455FC7" w:rsidRDefault="003C6A31" w:rsidP="005C396F">
            <w:pPr>
              <w:jc w:val="center"/>
              <w:rPr>
                <w:rFonts w:ascii="Times New Roman" w:hAnsi="Times New Roman"/>
                <w:sz w:val="18"/>
                <w:lang w:val="es-ES_tradnl"/>
              </w:rPr>
            </w:pPr>
          </w:p>
        </w:tc>
        <w:tc>
          <w:tcPr>
            <w:tcW w:w="708" w:type="dxa"/>
          </w:tcPr>
          <w:p w:rsidR="003C6A31" w:rsidRPr="00455FC7" w:rsidRDefault="00081A23" w:rsidP="005C396F">
            <w:pPr>
              <w:jc w:val="center"/>
              <w:rPr>
                <w:rFonts w:ascii="Times New Roman" w:hAnsi="Times New Roman"/>
                <w:sz w:val="18"/>
                <w:lang w:val="es-EC"/>
              </w:rPr>
            </w:pPr>
            <w:r w:rsidRPr="00455FC7">
              <w:rPr>
                <w:rFonts w:ascii="Times New Roman" w:hAnsi="Times New Roman"/>
                <w:sz w:val="18"/>
                <w:lang w:val="es-EC"/>
              </w:rPr>
              <w:t>49.78</w:t>
            </w:r>
          </w:p>
        </w:tc>
        <w:tc>
          <w:tcPr>
            <w:tcW w:w="709" w:type="dxa"/>
          </w:tcPr>
          <w:p w:rsidR="003C6A31" w:rsidRPr="00455FC7" w:rsidRDefault="00081A23" w:rsidP="005C396F">
            <w:pPr>
              <w:jc w:val="center"/>
              <w:rPr>
                <w:rFonts w:ascii="Times New Roman" w:hAnsi="Times New Roman"/>
                <w:sz w:val="18"/>
                <w:lang w:val="es-ES_tradnl"/>
              </w:rPr>
            </w:pPr>
            <w:r w:rsidRPr="00455FC7">
              <w:rPr>
                <w:rFonts w:ascii="Times New Roman" w:hAnsi="Times New Roman"/>
                <w:sz w:val="18"/>
                <w:lang w:val="es-ES_tradnl"/>
              </w:rPr>
              <w:t>2019</w:t>
            </w:r>
          </w:p>
        </w:tc>
        <w:tc>
          <w:tcPr>
            <w:tcW w:w="1134" w:type="dxa"/>
          </w:tcPr>
          <w:p w:rsidR="003C6A31" w:rsidRPr="00455FC7" w:rsidRDefault="00081A23" w:rsidP="005C396F">
            <w:pPr>
              <w:rPr>
                <w:rFonts w:ascii="Times New Roman" w:hAnsi="Times New Roman"/>
                <w:sz w:val="18"/>
                <w:lang w:val="es-ES_tradnl"/>
              </w:rPr>
            </w:pPr>
            <w:r w:rsidRPr="00455FC7">
              <w:rPr>
                <w:rFonts w:ascii="Times New Roman" w:hAnsi="Times New Roman"/>
                <w:sz w:val="18"/>
                <w:lang w:val="es-ES_tradnl"/>
              </w:rPr>
              <w:t>Indicadores de Gestión de Riesgos de Desastre del BID, para Ecuador (2013)</w:t>
            </w:r>
            <w:r w:rsidRPr="00455FC7">
              <w:rPr>
                <w:rStyle w:val="FootnoteReference"/>
                <w:rFonts w:ascii="Times New Roman" w:hAnsi="Times New Roman"/>
                <w:sz w:val="18"/>
                <w:lang w:val="es-ES_tradnl"/>
              </w:rPr>
              <w:t xml:space="preserve"> </w:t>
            </w:r>
            <w:r w:rsidRPr="00455FC7">
              <w:rPr>
                <w:rStyle w:val="FootnoteReference"/>
                <w:rFonts w:ascii="Times New Roman" w:hAnsi="Times New Roman"/>
                <w:sz w:val="18"/>
                <w:lang w:val="es-ES_tradnl"/>
              </w:rPr>
              <w:footnoteReference w:id="69"/>
            </w:r>
          </w:p>
        </w:tc>
        <w:tc>
          <w:tcPr>
            <w:tcW w:w="2410" w:type="dxa"/>
          </w:tcPr>
          <w:p w:rsidR="003C6A31" w:rsidRPr="00455FC7" w:rsidRDefault="00081A23" w:rsidP="005C396F">
            <w:pPr>
              <w:rPr>
                <w:rFonts w:ascii="Times New Roman" w:hAnsi="Times New Roman"/>
                <w:sz w:val="18"/>
                <w:lang w:val="es-EC"/>
              </w:rPr>
            </w:pPr>
            <w:r w:rsidRPr="00455FC7">
              <w:rPr>
                <w:rFonts w:ascii="Times New Roman" w:hAnsi="Times New Roman"/>
                <w:sz w:val="18"/>
                <w:lang w:val="es-EC"/>
              </w:rPr>
              <w:t>El MD corresponde a la capacidad para la preparación ante fenómenos naturales a nivel nacional, institucional y comunidad. Su efectividad implica una real organización, capacidad y planificación operativa de instituciones y de los diversos actores que verían involucrados en casos de emergencia</w:t>
            </w:r>
            <w:r w:rsidRPr="00455FC7">
              <w:rPr>
                <w:rStyle w:val="FootnoteReference"/>
                <w:rFonts w:ascii="Times New Roman" w:hAnsi="Times New Roman"/>
                <w:sz w:val="18"/>
                <w:lang w:val="es-EC"/>
              </w:rPr>
              <w:footnoteReference w:id="70"/>
            </w:r>
            <w:r w:rsidRPr="00455FC7">
              <w:rPr>
                <w:rFonts w:ascii="Times New Roman" w:hAnsi="Times New Roman"/>
                <w:sz w:val="18"/>
                <w:lang w:val="es-EC"/>
              </w:rPr>
              <w:t xml:space="preserve">. </w:t>
            </w:r>
          </w:p>
        </w:tc>
      </w:tr>
      <w:tr w:rsidR="003C6A31" w:rsidRPr="006F6989" w:rsidTr="005C396F">
        <w:trPr>
          <w:trHeight w:val="994"/>
        </w:trPr>
        <w:tc>
          <w:tcPr>
            <w:tcW w:w="1785" w:type="dxa"/>
          </w:tcPr>
          <w:p w:rsidR="003C6A31" w:rsidRPr="00455FC7" w:rsidRDefault="00081A23" w:rsidP="005C396F">
            <w:pPr>
              <w:tabs>
                <w:tab w:val="left" w:pos="432"/>
              </w:tabs>
              <w:rPr>
                <w:rFonts w:ascii="Times New Roman" w:hAnsi="Times New Roman"/>
                <w:sz w:val="18"/>
                <w:lang w:val="es-EC"/>
              </w:rPr>
            </w:pPr>
            <w:r w:rsidRPr="00455FC7">
              <w:rPr>
                <w:rFonts w:ascii="Times New Roman" w:hAnsi="Times New Roman"/>
                <w:sz w:val="18"/>
                <w:lang w:val="es-EC"/>
              </w:rPr>
              <w:t>Identificación del riesgo, (IR)</w:t>
            </w:r>
            <w:r w:rsidRPr="00455FC7">
              <w:rPr>
                <w:rStyle w:val="FootnoteReference"/>
                <w:rFonts w:ascii="Times New Roman" w:hAnsi="Times New Roman"/>
                <w:sz w:val="18"/>
                <w:lang w:val="es-EC"/>
              </w:rPr>
              <w:footnoteReference w:id="71"/>
            </w:r>
          </w:p>
        </w:tc>
        <w:tc>
          <w:tcPr>
            <w:tcW w:w="767" w:type="dxa"/>
          </w:tcPr>
          <w:p w:rsidR="003C6A31" w:rsidRPr="00455FC7" w:rsidRDefault="00081A23" w:rsidP="005C396F">
            <w:pPr>
              <w:rPr>
                <w:rFonts w:ascii="Times New Roman" w:hAnsi="Times New Roman"/>
                <w:sz w:val="18"/>
                <w:lang w:val="es-EC"/>
              </w:rPr>
            </w:pPr>
            <w:r w:rsidRPr="00455FC7">
              <w:rPr>
                <w:rFonts w:ascii="Times New Roman" w:hAnsi="Times New Roman"/>
                <w:sz w:val="18"/>
                <w:lang w:val="es-EC"/>
              </w:rPr>
              <w:t>Indicador</w:t>
            </w:r>
          </w:p>
        </w:tc>
        <w:tc>
          <w:tcPr>
            <w:tcW w:w="851" w:type="dxa"/>
          </w:tcPr>
          <w:p w:rsidR="003C6A31" w:rsidRPr="00455FC7" w:rsidRDefault="00081A23" w:rsidP="005C396F">
            <w:pPr>
              <w:jc w:val="center"/>
              <w:rPr>
                <w:rFonts w:ascii="Times New Roman" w:hAnsi="Times New Roman"/>
                <w:sz w:val="18"/>
                <w:lang w:val="es-ES_tradnl"/>
              </w:rPr>
            </w:pPr>
            <w:r w:rsidRPr="00455FC7">
              <w:rPr>
                <w:rFonts w:ascii="Times New Roman" w:hAnsi="Times New Roman"/>
                <w:sz w:val="18"/>
                <w:lang w:val="es-ES_tradnl"/>
              </w:rPr>
              <w:t>43,68</w:t>
            </w:r>
          </w:p>
        </w:tc>
        <w:tc>
          <w:tcPr>
            <w:tcW w:w="850" w:type="dxa"/>
          </w:tcPr>
          <w:p w:rsidR="003C6A31" w:rsidRPr="00455FC7" w:rsidRDefault="00081A23" w:rsidP="005C396F">
            <w:pPr>
              <w:jc w:val="center"/>
              <w:rPr>
                <w:rFonts w:ascii="Times New Roman" w:hAnsi="Times New Roman"/>
                <w:sz w:val="18"/>
                <w:lang w:val="es-ES_tradnl"/>
              </w:rPr>
            </w:pPr>
            <w:r w:rsidRPr="00455FC7">
              <w:rPr>
                <w:rFonts w:ascii="Times New Roman" w:hAnsi="Times New Roman"/>
                <w:sz w:val="18"/>
                <w:lang w:val="es-ES_tradnl"/>
              </w:rPr>
              <w:t>2013</w:t>
            </w:r>
          </w:p>
        </w:tc>
        <w:tc>
          <w:tcPr>
            <w:tcW w:w="709" w:type="dxa"/>
          </w:tcPr>
          <w:p w:rsidR="003C6A31" w:rsidRPr="00455FC7" w:rsidRDefault="003C6A31" w:rsidP="005C396F">
            <w:pPr>
              <w:jc w:val="center"/>
              <w:rPr>
                <w:rFonts w:ascii="Times New Roman" w:hAnsi="Times New Roman"/>
                <w:sz w:val="18"/>
                <w:lang w:val="es-ES_tradnl"/>
              </w:rPr>
            </w:pPr>
          </w:p>
        </w:tc>
        <w:tc>
          <w:tcPr>
            <w:tcW w:w="709" w:type="dxa"/>
          </w:tcPr>
          <w:p w:rsidR="003C6A31" w:rsidRPr="00455FC7" w:rsidRDefault="003C6A31" w:rsidP="005C396F">
            <w:pPr>
              <w:jc w:val="center"/>
              <w:rPr>
                <w:rFonts w:ascii="Times New Roman" w:hAnsi="Times New Roman"/>
                <w:sz w:val="18"/>
                <w:lang w:val="es-ES_tradnl"/>
              </w:rPr>
            </w:pPr>
          </w:p>
        </w:tc>
        <w:tc>
          <w:tcPr>
            <w:tcW w:w="708" w:type="dxa"/>
          </w:tcPr>
          <w:p w:rsidR="003C6A31" w:rsidRPr="00455FC7" w:rsidRDefault="003C6A31" w:rsidP="005C396F">
            <w:pPr>
              <w:jc w:val="center"/>
              <w:rPr>
                <w:rFonts w:ascii="Times New Roman" w:hAnsi="Times New Roman"/>
                <w:sz w:val="18"/>
                <w:lang w:val="es-ES_tradnl"/>
              </w:rPr>
            </w:pPr>
          </w:p>
        </w:tc>
        <w:tc>
          <w:tcPr>
            <w:tcW w:w="806" w:type="dxa"/>
          </w:tcPr>
          <w:p w:rsidR="003C6A31" w:rsidRPr="00455FC7" w:rsidRDefault="003C6A31" w:rsidP="005C396F">
            <w:pPr>
              <w:jc w:val="center"/>
              <w:rPr>
                <w:rFonts w:ascii="Times New Roman" w:hAnsi="Times New Roman"/>
                <w:sz w:val="18"/>
                <w:lang w:val="es-ES_tradnl"/>
              </w:rPr>
            </w:pPr>
          </w:p>
        </w:tc>
        <w:tc>
          <w:tcPr>
            <w:tcW w:w="612" w:type="dxa"/>
          </w:tcPr>
          <w:p w:rsidR="003C6A31" w:rsidRPr="00455FC7" w:rsidRDefault="003C6A31" w:rsidP="005C396F">
            <w:pPr>
              <w:jc w:val="center"/>
              <w:rPr>
                <w:rFonts w:ascii="Times New Roman" w:hAnsi="Times New Roman"/>
                <w:sz w:val="18"/>
                <w:lang w:val="es-ES_tradnl"/>
              </w:rPr>
            </w:pPr>
          </w:p>
        </w:tc>
        <w:tc>
          <w:tcPr>
            <w:tcW w:w="709" w:type="dxa"/>
          </w:tcPr>
          <w:p w:rsidR="003C6A31" w:rsidRPr="00455FC7" w:rsidRDefault="003C6A31" w:rsidP="005C396F">
            <w:pPr>
              <w:jc w:val="center"/>
              <w:rPr>
                <w:rFonts w:ascii="Times New Roman" w:hAnsi="Times New Roman"/>
                <w:sz w:val="18"/>
                <w:lang w:val="es-ES_tradnl"/>
              </w:rPr>
            </w:pPr>
          </w:p>
        </w:tc>
        <w:tc>
          <w:tcPr>
            <w:tcW w:w="708" w:type="dxa"/>
          </w:tcPr>
          <w:p w:rsidR="003C6A31" w:rsidRPr="00455FC7" w:rsidRDefault="00081A23" w:rsidP="005C396F">
            <w:pPr>
              <w:jc w:val="center"/>
              <w:rPr>
                <w:rFonts w:ascii="Times New Roman" w:hAnsi="Times New Roman"/>
                <w:sz w:val="18"/>
                <w:lang w:val="es-EC"/>
              </w:rPr>
            </w:pPr>
            <w:r w:rsidRPr="00455FC7">
              <w:rPr>
                <w:rFonts w:ascii="Times New Roman" w:hAnsi="Times New Roman"/>
                <w:sz w:val="18"/>
                <w:lang w:val="es-EC"/>
              </w:rPr>
              <w:t>45.26</w:t>
            </w:r>
          </w:p>
        </w:tc>
        <w:tc>
          <w:tcPr>
            <w:tcW w:w="709" w:type="dxa"/>
          </w:tcPr>
          <w:p w:rsidR="003C6A31" w:rsidRPr="00455FC7" w:rsidRDefault="00081A23" w:rsidP="005C396F">
            <w:pPr>
              <w:jc w:val="center"/>
              <w:rPr>
                <w:rFonts w:ascii="Times New Roman" w:hAnsi="Times New Roman"/>
                <w:sz w:val="18"/>
                <w:lang w:val="es-ES_tradnl"/>
              </w:rPr>
            </w:pPr>
            <w:r w:rsidRPr="00455FC7">
              <w:rPr>
                <w:rFonts w:ascii="Times New Roman" w:hAnsi="Times New Roman"/>
                <w:sz w:val="18"/>
                <w:lang w:val="es-ES_tradnl"/>
              </w:rPr>
              <w:t>2019</w:t>
            </w:r>
          </w:p>
        </w:tc>
        <w:tc>
          <w:tcPr>
            <w:tcW w:w="1134" w:type="dxa"/>
          </w:tcPr>
          <w:p w:rsidR="003C6A31" w:rsidRPr="00455FC7" w:rsidRDefault="00081A23" w:rsidP="005C396F">
            <w:pPr>
              <w:rPr>
                <w:rFonts w:ascii="Times New Roman" w:hAnsi="Times New Roman"/>
                <w:sz w:val="18"/>
                <w:lang w:val="es-ES_tradnl"/>
              </w:rPr>
            </w:pPr>
            <w:r w:rsidRPr="00455FC7">
              <w:rPr>
                <w:rFonts w:ascii="Times New Roman" w:hAnsi="Times New Roman"/>
                <w:sz w:val="18"/>
                <w:lang w:val="es-ES_tradnl"/>
              </w:rPr>
              <w:t>El Mismo informe de Indicadores 2013 del IGR MD</w:t>
            </w:r>
            <w:r w:rsidRPr="00455FC7">
              <w:rPr>
                <w:rStyle w:val="FootnoteReference"/>
                <w:rFonts w:ascii="Times New Roman" w:hAnsi="Times New Roman"/>
                <w:sz w:val="18"/>
                <w:lang w:val="es-ES_tradnl"/>
              </w:rPr>
              <w:footnoteReference w:id="72"/>
            </w:r>
            <w:r w:rsidRPr="00455FC7">
              <w:rPr>
                <w:rFonts w:ascii="Times New Roman" w:hAnsi="Times New Roman"/>
                <w:sz w:val="18"/>
                <w:lang w:val="es-ES_tradnl"/>
              </w:rPr>
              <w:t xml:space="preserve">. </w:t>
            </w:r>
          </w:p>
        </w:tc>
        <w:tc>
          <w:tcPr>
            <w:tcW w:w="2410" w:type="dxa"/>
          </w:tcPr>
          <w:p w:rsidR="003C6A31" w:rsidRPr="00455FC7" w:rsidRDefault="00081A23" w:rsidP="005C396F">
            <w:pPr>
              <w:rPr>
                <w:rFonts w:ascii="Times New Roman" w:hAnsi="Times New Roman"/>
                <w:sz w:val="18"/>
                <w:lang w:val="es-EC"/>
              </w:rPr>
            </w:pPr>
            <w:r w:rsidRPr="00455FC7">
              <w:rPr>
                <w:rFonts w:ascii="Times New Roman" w:hAnsi="Times New Roman"/>
                <w:sz w:val="18"/>
                <w:lang w:val="es-EC"/>
              </w:rPr>
              <w:t xml:space="preserve">IGR IR comprende la capacidad y desempeño institucional y comunitario de monitoreo, registro, análisis y diseminación de información relacionado a la amenaza, vulnerabilidad y riesgo de desastres. Comunidades y </w:t>
            </w:r>
            <w:r w:rsidRPr="00455FC7">
              <w:rPr>
                <w:rFonts w:ascii="Times New Roman" w:hAnsi="Times New Roman"/>
                <w:sz w:val="18"/>
                <w:lang w:val="es-EC"/>
              </w:rPr>
              <w:lastRenderedPageBreak/>
              <w:t>tomadores de decisiones tengan los modelos, mapas e otra información para la identificacion.</w:t>
            </w:r>
            <w:r w:rsidRPr="00455FC7">
              <w:rPr>
                <w:rStyle w:val="FootnoteReference"/>
                <w:rFonts w:ascii="Times New Roman" w:hAnsi="Times New Roman"/>
                <w:sz w:val="18"/>
                <w:lang w:val="es-EC"/>
              </w:rPr>
              <w:footnoteReference w:id="73"/>
            </w:r>
          </w:p>
        </w:tc>
      </w:tr>
    </w:tbl>
    <w:p w:rsidR="003C6A31" w:rsidRPr="00FE6C9C" w:rsidRDefault="003C6A31" w:rsidP="00B04E11">
      <w:pPr>
        <w:rPr>
          <w:rFonts w:ascii="Times New Roman" w:hAnsi="Times New Roman"/>
          <w:lang w:val="es-EC" w:eastAsia="ja-JP"/>
        </w:rPr>
      </w:pPr>
    </w:p>
    <w:p w:rsidR="003C6A31" w:rsidRPr="00455FC7" w:rsidRDefault="00081A23" w:rsidP="003C6A31">
      <w:pPr>
        <w:spacing w:after="120"/>
        <w:jc w:val="center"/>
        <w:rPr>
          <w:rFonts w:ascii="Times New Roman" w:hAnsi="Times New Roman"/>
          <w:b/>
          <w:smallCaps/>
          <w:spacing w:val="5"/>
          <w:sz w:val="18"/>
          <w:lang w:val="es-ES_tradnl"/>
        </w:rPr>
      </w:pPr>
      <w:r w:rsidRPr="00455FC7">
        <w:rPr>
          <w:rStyle w:val="BookTitle"/>
          <w:rFonts w:ascii="Times New Roman" w:hAnsi="Times New Roman"/>
          <w:sz w:val="18"/>
          <w:lang w:val="es-ES_tradnl"/>
        </w:rPr>
        <w:t>RESULTADOS ESPERADOS</w:t>
      </w:r>
    </w:p>
    <w:tbl>
      <w:tblPr>
        <w:tblW w:w="137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990"/>
        <w:gridCol w:w="90"/>
        <w:gridCol w:w="848"/>
        <w:gridCol w:w="630"/>
        <w:gridCol w:w="720"/>
        <w:gridCol w:w="630"/>
        <w:gridCol w:w="720"/>
        <w:gridCol w:w="630"/>
        <w:gridCol w:w="923"/>
        <w:gridCol w:w="630"/>
        <w:gridCol w:w="1071"/>
        <w:gridCol w:w="630"/>
        <w:gridCol w:w="1710"/>
        <w:gridCol w:w="1440"/>
      </w:tblGrid>
      <w:tr w:rsidR="003C6A31" w:rsidRPr="00FE6C9C" w:rsidTr="005C396F">
        <w:trPr>
          <w:tblHeader/>
        </w:trPr>
        <w:tc>
          <w:tcPr>
            <w:tcW w:w="2070" w:type="dxa"/>
            <w:vMerge w:val="restart"/>
            <w:shd w:val="clear" w:color="auto" w:fill="C2D69B"/>
          </w:tcPr>
          <w:p w:rsidR="003C6A31" w:rsidRPr="00455FC7" w:rsidRDefault="00081A23" w:rsidP="005C396F">
            <w:pPr>
              <w:jc w:val="center"/>
              <w:rPr>
                <w:rFonts w:ascii="Times New Roman" w:hAnsi="Times New Roman"/>
                <w:sz w:val="18"/>
                <w:lang w:val="es-ES_tradnl"/>
              </w:rPr>
            </w:pPr>
            <w:r w:rsidRPr="00455FC7">
              <w:rPr>
                <w:rFonts w:ascii="Times New Roman" w:hAnsi="Times New Roman"/>
                <w:sz w:val="18"/>
                <w:lang w:val="es-ES_tradnl"/>
              </w:rPr>
              <w:t>Indicadores</w:t>
            </w:r>
          </w:p>
        </w:tc>
        <w:tc>
          <w:tcPr>
            <w:tcW w:w="1080" w:type="dxa"/>
            <w:gridSpan w:val="2"/>
            <w:vMerge w:val="restart"/>
            <w:shd w:val="clear" w:color="auto" w:fill="C2D69B"/>
          </w:tcPr>
          <w:p w:rsidR="003C6A31" w:rsidRPr="00455FC7" w:rsidRDefault="00081A23" w:rsidP="005C396F">
            <w:pPr>
              <w:jc w:val="center"/>
              <w:rPr>
                <w:rFonts w:ascii="Times New Roman" w:hAnsi="Times New Roman"/>
                <w:sz w:val="18"/>
                <w:lang w:val="es-ES_tradnl"/>
              </w:rPr>
            </w:pPr>
            <w:r w:rsidRPr="00455FC7">
              <w:rPr>
                <w:rFonts w:ascii="Times New Roman" w:hAnsi="Times New Roman"/>
                <w:sz w:val="18"/>
                <w:lang w:val="es-ES_tradnl"/>
              </w:rPr>
              <w:t>Unidad de medida</w:t>
            </w:r>
          </w:p>
        </w:tc>
        <w:tc>
          <w:tcPr>
            <w:tcW w:w="1478" w:type="dxa"/>
            <w:gridSpan w:val="2"/>
            <w:shd w:val="clear" w:color="auto" w:fill="C2D69B"/>
          </w:tcPr>
          <w:p w:rsidR="003C6A31" w:rsidRPr="00455FC7" w:rsidRDefault="00081A23" w:rsidP="005C396F">
            <w:pPr>
              <w:jc w:val="center"/>
              <w:rPr>
                <w:rFonts w:ascii="Times New Roman" w:hAnsi="Times New Roman"/>
                <w:sz w:val="18"/>
                <w:lang w:val="es-ES_tradnl"/>
              </w:rPr>
            </w:pPr>
            <w:r w:rsidRPr="00455FC7">
              <w:rPr>
                <w:rFonts w:ascii="Times New Roman" w:hAnsi="Times New Roman"/>
                <w:sz w:val="18"/>
                <w:lang w:val="es-ES_tradnl"/>
              </w:rPr>
              <w:t>Línea de base</w:t>
            </w:r>
          </w:p>
        </w:tc>
        <w:tc>
          <w:tcPr>
            <w:tcW w:w="4253" w:type="dxa"/>
            <w:gridSpan w:val="6"/>
            <w:shd w:val="clear" w:color="auto" w:fill="C2D69B"/>
          </w:tcPr>
          <w:p w:rsidR="003C6A31" w:rsidRPr="00455FC7" w:rsidRDefault="00081A23" w:rsidP="005C396F">
            <w:pPr>
              <w:jc w:val="center"/>
              <w:rPr>
                <w:rFonts w:ascii="Times New Roman" w:hAnsi="Times New Roman"/>
                <w:sz w:val="18"/>
                <w:lang w:val="es-ES_tradnl"/>
              </w:rPr>
            </w:pPr>
            <w:r w:rsidRPr="00455FC7">
              <w:rPr>
                <w:rFonts w:ascii="Times New Roman" w:hAnsi="Times New Roman"/>
                <w:sz w:val="18"/>
                <w:lang w:val="es-ES_tradnl"/>
              </w:rPr>
              <w:t>Mediciones intermedias</w:t>
            </w:r>
          </w:p>
        </w:tc>
        <w:tc>
          <w:tcPr>
            <w:tcW w:w="1701" w:type="dxa"/>
            <w:gridSpan w:val="2"/>
            <w:shd w:val="clear" w:color="auto" w:fill="C2D69B"/>
          </w:tcPr>
          <w:p w:rsidR="003C6A31" w:rsidRPr="00455FC7" w:rsidRDefault="00081A23" w:rsidP="005C396F">
            <w:pPr>
              <w:jc w:val="center"/>
              <w:rPr>
                <w:rFonts w:ascii="Times New Roman" w:hAnsi="Times New Roman"/>
                <w:sz w:val="18"/>
                <w:lang w:val="es-ES_tradnl"/>
              </w:rPr>
            </w:pPr>
            <w:r w:rsidRPr="00455FC7">
              <w:rPr>
                <w:rFonts w:ascii="Times New Roman" w:hAnsi="Times New Roman"/>
                <w:sz w:val="18"/>
                <w:lang w:val="es-ES_tradnl"/>
              </w:rPr>
              <w:t>Metas</w:t>
            </w:r>
          </w:p>
        </w:tc>
        <w:tc>
          <w:tcPr>
            <w:tcW w:w="1710" w:type="dxa"/>
            <w:vMerge w:val="restart"/>
            <w:shd w:val="clear" w:color="auto" w:fill="C2D69B"/>
          </w:tcPr>
          <w:p w:rsidR="003C6A31" w:rsidRPr="00455FC7" w:rsidRDefault="00081A23" w:rsidP="005C396F">
            <w:pPr>
              <w:jc w:val="center"/>
              <w:rPr>
                <w:rFonts w:ascii="Times New Roman" w:hAnsi="Times New Roman"/>
                <w:sz w:val="18"/>
                <w:lang w:val="es-ES_tradnl"/>
              </w:rPr>
            </w:pPr>
            <w:r w:rsidRPr="00455FC7">
              <w:rPr>
                <w:rFonts w:ascii="Times New Roman" w:hAnsi="Times New Roman"/>
                <w:sz w:val="18"/>
                <w:lang w:val="es-ES_tradnl"/>
              </w:rPr>
              <w:t>Fuente/ Medio de verificación</w:t>
            </w:r>
          </w:p>
        </w:tc>
        <w:tc>
          <w:tcPr>
            <w:tcW w:w="1440" w:type="dxa"/>
            <w:vMerge w:val="restart"/>
            <w:shd w:val="clear" w:color="auto" w:fill="C2D69B"/>
          </w:tcPr>
          <w:p w:rsidR="003C6A31" w:rsidRPr="00455FC7" w:rsidRDefault="00081A23" w:rsidP="005C396F">
            <w:pPr>
              <w:jc w:val="center"/>
              <w:rPr>
                <w:rFonts w:ascii="Times New Roman" w:hAnsi="Times New Roman"/>
                <w:sz w:val="18"/>
                <w:lang w:val="es-ES_tradnl"/>
              </w:rPr>
            </w:pPr>
            <w:r w:rsidRPr="00455FC7">
              <w:rPr>
                <w:rFonts w:ascii="Times New Roman" w:hAnsi="Times New Roman"/>
                <w:sz w:val="18"/>
                <w:lang w:val="es-ES_tradnl"/>
              </w:rPr>
              <w:t>Observaciones</w:t>
            </w:r>
          </w:p>
        </w:tc>
      </w:tr>
      <w:tr w:rsidR="003C6A31" w:rsidRPr="00FE6C9C" w:rsidTr="005C396F">
        <w:trPr>
          <w:tblHeader/>
        </w:trPr>
        <w:tc>
          <w:tcPr>
            <w:tcW w:w="2070" w:type="dxa"/>
            <w:vMerge/>
            <w:tcBorders>
              <w:bottom w:val="single" w:sz="4" w:space="0" w:color="000000"/>
            </w:tcBorders>
          </w:tcPr>
          <w:p w:rsidR="003C6A31" w:rsidRPr="00455FC7" w:rsidRDefault="003C6A31" w:rsidP="005C396F">
            <w:pPr>
              <w:jc w:val="center"/>
              <w:rPr>
                <w:rFonts w:ascii="Times New Roman" w:hAnsi="Times New Roman"/>
                <w:sz w:val="18"/>
                <w:lang w:val="es-ES_tradnl"/>
              </w:rPr>
            </w:pPr>
          </w:p>
        </w:tc>
        <w:tc>
          <w:tcPr>
            <w:tcW w:w="1080" w:type="dxa"/>
            <w:gridSpan w:val="2"/>
            <w:vMerge/>
            <w:tcBorders>
              <w:bottom w:val="single" w:sz="4" w:space="0" w:color="000000"/>
            </w:tcBorders>
          </w:tcPr>
          <w:p w:rsidR="003C6A31" w:rsidRPr="00455FC7" w:rsidRDefault="003C6A31" w:rsidP="005C396F">
            <w:pPr>
              <w:jc w:val="center"/>
              <w:rPr>
                <w:rFonts w:ascii="Times New Roman" w:hAnsi="Times New Roman"/>
                <w:sz w:val="18"/>
                <w:lang w:val="es-ES_tradnl"/>
              </w:rPr>
            </w:pPr>
          </w:p>
        </w:tc>
        <w:tc>
          <w:tcPr>
            <w:tcW w:w="848" w:type="dxa"/>
            <w:tcBorders>
              <w:bottom w:val="single" w:sz="4" w:space="0" w:color="000000"/>
            </w:tcBorders>
            <w:shd w:val="clear" w:color="auto" w:fill="C2D69B"/>
          </w:tcPr>
          <w:p w:rsidR="003C6A31" w:rsidRPr="00455FC7" w:rsidRDefault="00081A23" w:rsidP="005C396F">
            <w:pPr>
              <w:jc w:val="center"/>
              <w:rPr>
                <w:rFonts w:ascii="Times New Roman" w:hAnsi="Times New Roman"/>
                <w:sz w:val="18"/>
                <w:lang w:val="es-ES_tradnl"/>
              </w:rPr>
            </w:pPr>
            <w:r w:rsidRPr="00455FC7">
              <w:rPr>
                <w:rFonts w:ascii="Times New Roman" w:hAnsi="Times New Roman"/>
                <w:sz w:val="18"/>
                <w:lang w:val="es-ES_tradnl"/>
              </w:rPr>
              <w:t>Valor</w:t>
            </w:r>
          </w:p>
        </w:tc>
        <w:tc>
          <w:tcPr>
            <w:tcW w:w="630" w:type="dxa"/>
            <w:tcBorders>
              <w:bottom w:val="single" w:sz="4" w:space="0" w:color="000000"/>
            </w:tcBorders>
            <w:shd w:val="clear" w:color="auto" w:fill="C2D69B"/>
          </w:tcPr>
          <w:p w:rsidR="003C6A31" w:rsidRPr="00455FC7" w:rsidRDefault="00081A23" w:rsidP="005C396F">
            <w:pPr>
              <w:jc w:val="center"/>
              <w:rPr>
                <w:rFonts w:ascii="Times New Roman" w:hAnsi="Times New Roman"/>
                <w:sz w:val="18"/>
                <w:lang w:val="es-ES_tradnl"/>
              </w:rPr>
            </w:pPr>
            <w:r w:rsidRPr="00455FC7">
              <w:rPr>
                <w:rFonts w:ascii="Times New Roman" w:hAnsi="Times New Roman"/>
                <w:sz w:val="18"/>
                <w:lang w:val="es-ES_tradnl"/>
              </w:rPr>
              <w:t>Año</w:t>
            </w:r>
          </w:p>
        </w:tc>
        <w:tc>
          <w:tcPr>
            <w:tcW w:w="720" w:type="dxa"/>
            <w:tcBorders>
              <w:bottom w:val="single" w:sz="4" w:space="0" w:color="000000"/>
            </w:tcBorders>
            <w:shd w:val="clear" w:color="auto" w:fill="C2D69B"/>
          </w:tcPr>
          <w:p w:rsidR="003C6A31" w:rsidRPr="00455FC7" w:rsidRDefault="00081A23" w:rsidP="005C396F">
            <w:pPr>
              <w:jc w:val="center"/>
              <w:rPr>
                <w:rFonts w:ascii="Times New Roman" w:hAnsi="Times New Roman"/>
                <w:sz w:val="18"/>
                <w:lang w:val="es-ES_tradnl"/>
              </w:rPr>
            </w:pPr>
            <w:r w:rsidRPr="00455FC7">
              <w:rPr>
                <w:rFonts w:ascii="Times New Roman" w:hAnsi="Times New Roman"/>
                <w:sz w:val="18"/>
                <w:lang w:val="es-ES_tradnl"/>
              </w:rPr>
              <w:t>Valor</w:t>
            </w:r>
          </w:p>
        </w:tc>
        <w:tc>
          <w:tcPr>
            <w:tcW w:w="630" w:type="dxa"/>
            <w:tcBorders>
              <w:bottom w:val="single" w:sz="4" w:space="0" w:color="000000"/>
            </w:tcBorders>
            <w:shd w:val="clear" w:color="auto" w:fill="C2D69B"/>
          </w:tcPr>
          <w:p w:rsidR="003C6A31" w:rsidRPr="00455FC7" w:rsidRDefault="00081A23" w:rsidP="005C396F">
            <w:pPr>
              <w:jc w:val="center"/>
              <w:rPr>
                <w:rFonts w:ascii="Times New Roman" w:hAnsi="Times New Roman"/>
                <w:sz w:val="18"/>
                <w:lang w:val="es-ES_tradnl"/>
              </w:rPr>
            </w:pPr>
            <w:r w:rsidRPr="00455FC7">
              <w:rPr>
                <w:rFonts w:ascii="Times New Roman" w:hAnsi="Times New Roman"/>
                <w:sz w:val="18"/>
                <w:lang w:val="es-ES_tradnl"/>
              </w:rPr>
              <w:t>Año</w:t>
            </w:r>
          </w:p>
        </w:tc>
        <w:tc>
          <w:tcPr>
            <w:tcW w:w="720" w:type="dxa"/>
            <w:tcBorders>
              <w:bottom w:val="single" w:sz="4" w:space="0" w:color="000000"/>
            </w:tcBorders>
            <w:shd w:val="clear" w:color="auto" w:fill="C2D69B"/>
          </w:tcPr>
          <w:p w:rsidR="003C6A31" w:rsidRPr="00455FC7" w:rsidRDefault="00081A23" w:rsidP="005C396F">
            <w:pPr>
              <w:jc w:val="center"/>
              <w:rPr>
                <w:rFonts w:ascii="Times New Roman" w:hAnsi="Times New Roman"/>
                <w:sz w:val="18"/>
                <w:lang w:val="es-ES_tradnl"/>
              </w:rPr>
            </w:pPr>
            <w:r w:rsidRPr="00455FC7">
              <w:rPr>
                <w:rFonts w:ascii="Times New Roman" w:hAnsi="Times New Roman"/>
                <w:sz w:val="18"/>
                <w:lang w:val="es-ES_tradnl"/>
              </w:rPr>
              <w:t>Valor</w:t>
            </w:r>
          </w:p>
        </w:tc>
        <w:tc>
          <w:tcPr>
            <w:tcW w:w="630" w:type="dxa"/>
            <w:tcBorders>
              <w:bottom w:val="single" w:sz="4" w:space="0" w:color="000000"/>
            </w:tcBorders>
            <w:shd w:val="clear" w:color="auto" w:fill="C2D69B"/>
          </w:tcPr>
          <w:p w:rsidR="003C6A31" w:rsidRPr="00455FC7" w:rsidRDefault="00081A23" w:rsidP="005C396F">
            <w:pPr>
              <w:jc w:val="center"/>
              <w:rPr>
                <w:rFonts w:ascii="Times New Roman" w:hAnsi="Times New Roman"/>
                <w:sz w:val="18"/>
                <w:lang w:val="es-ES_tradnl"/>
              </w:rPr>
            </w:pPr>
            <w:r w:rsidRPr="00455FC7">
              <w:rPr>
                <w:rFonts w:ascii="Times New Roman" w:hAnsi="Times New Roman"/>
                <w:sz w:val="18"/>
                <w:lang w:val="es-ES_tradnl"/>
              </w:rPr>
              <w:t>Año</w:t>
            </w:r>
          </w:p>
        </w:tc>
        <w:tc>
          <w:tcPr>
            <w:tcW w:w="923" w:type="dxa"/>
            <w:tcBorders>
              <w:bottom w:val="single" w:sz="4" w:space="0" w:color="000000"/>
            </w:tcBorders>
            <w:shd w:val="clear" w:color="auto" w:fill="C2D69B"/>
          </w:tcPr>
          <w:p w:rsidR="003C6A31" w:rsidRPr="00455FC7" w:rsidRDefault="00081A23" w:rsidP="005C396F">
            <w:pPr>
              <w:jc w:val="center"/>
              <w:rPr>
                <w:rFonts w:ascii="Times New Roman" w:hAnsi="Times New Roman"/>
                <w:sz w:val="18"/>
                <w:lang w:val="es-ES_tradnl"/>
              </w:rPr>
            </w:pPr>
            <w:r w:rsidRPr="00455FC7">
              <w:rPr>
                <w:rFonts w:ascii="Times New Roman" w:hAnsi="Times New Roman"/>
                <w:sz w:val="18"/>
                <w:lang w:val="es-ES_tradnl"/>
              </w:rPr>
              <w:t>Valor</w:t>
            </w:r>
          </w:p>
        </w:tc>
        <w:tc>
          <w:tcPr>
            <w:tcW w:w="630" w:type="dxa"/>
            <w:tcBorders>
              <w:bottom w:val="single" w:sz="4" w:space="0" w:color="000000"/>
            </w:tcBorders>
            <w:shd w:val="clear" w:color="auto" w:fill="C2D69B"/>
          </w:tcPr>
          <w:p w:rsidR="003C6A31" w:rsidRPr="00455FC7" w:rsidRDefault="00081A23" w:rsidP="005C396F">
            <w:pPr>
              <w:jc w:val="center"/>
              <w:rPr>
                <w:rFonts w:ascii="Times New Roman" w:hAnsi="Times New Roman"/>
                <w:sz w:val="18"/>
                <w:lang w:val="es-ES_tradnl"/>
              </w:rPr>
            </w:pPr>
            <w:r w:rsidRPr="00455FC7">
              <w:rPr>
                <w:rFonts w:ascii="Times New Roman" w:hAnsi="Times New Roman"/>
                <w:sz w:val="18"/>
                <w:lang w:val="es-ES_tradnl"/>
              </w:rPr>
              <w:t>Año</w:t>
            </w:r>
          </w:p>
        </w:tc>
        <w:tc>
          <w:tcPr>
            <w:tcW w:w="1071" w:type="dxa"/>
            <w:tcBorders>
              <w:bottom w:val="single" w:sz="4" w:space="0" w:color="000000"/>
            </w:tcBorders>
            <w:shd w:val="clear" w:color="auto" w:fill="C2D69B"/>
          </w:tcPr>
          <w:p w:rsidR="003C6A31" w:rsidRPr="00455FC7" w:rsidRDefault="00081A23" w:rsidP="005C396F">
            <w:pPr>
              <w:jc w:val="center"/>
              <w:rPr>
                <w:rFonts w:ascii="Times New Roman" w:hAnsi="Times New Roman"/>
                <w:sz w:val="18"/>
                <w:lang w:val="es-ES_tradnl"/>
              </w:rPr>
            </w:pPr>
            <w:r w:rsidRPr="00455FC7">
              <w:rPr>
                <w:rFonts w:ascii="Times New Roman" w:hAnsi="Times New Roman"/>
                <w:sz w:val="18"/>
                <w:lang w:val="es-ES_tradnl"/>
              </w:rPr>
              <w:t>Valor</w:t>
            </w:r>
          </w:p>
        </w:tc>
        <w:tc>
          <w:tcPr>
            <w:tcW w:w="630" w:type="dxa"/>
            <w:tcBorders>
              <w:bottom w:val="single" w:sz="4" w:space="0" w:color="000000"/>
            </w:tcBorders>
            <w:shd w:val="clear" w:color="auto" w:fill="C2D69B"/>
          </w:tcPr>
          <w:p w:rsidR="003C6A31" w:rsidRPr="00455FC7" w:rsidRDefault="00081A23" w:rsidP="005C396F">
            <w:pPr>
              <w:jc w:val="center"/>
              <w:rPr>
                <w:rFonts w:ascii="Times New Roman" w:hAnsi="Times New Roman"/>
                <w:sz w:val="18"/>
                <w:lang w:val="es-ES_tradnl"/>
              </w:rPr>
            </w:pPr>
            <w:r w:rsidRPr="00455FC7">
              <w:rPr>
                <w:rFonts w:ascii="Times New Roman" w:hAnsi="Times New Roman"/>
                <w:sz w:val="18"/>
                <w:lang w:val="es-ES_tradnl"/>
              </w:rPr>
              <w:t>Año</w:t>
            </w:r>
          </w:p>
        </w:tc>
        <w:tc>
          <w:tcPr>
            <w:tcW w:w="1710" w:type="dxa"/>
            <w:vMerge/>
            <w:tcBorders>
              <w:bottom w:val="single" w:sz="4" w:space="0" w:color="000000"/>
            </w:tcBorders>
          </w:tcPr>
          <w:p w:rsidR="003C6A31" w:rsidRPr="00455FC7" w:rsidRDefault="003C6A31" w:rsidP="005C396F">
            <w:pPr>
              <w:jc w:val="center"/>
              <w:rPr>
                <w:rFonts w:ascii="Times New Roman" w:hAnsi="Times New Roman"/>
                <w:sz w:val="18"/>
                <w:lang w:val="es-ES_tradnl"/>
              </w:rPr>
            </w:pPr>
          </w:p>
        </w:tc>
        <w:tc>
          <w:tcPr>
            <w:tcW w:w="1440" w:type="dxa"/>
            <w:vMerge/>
            <w:tcBorders>
              <w:bottom w:val="single" w:sz="4" w:space="0" w:color="000000"/>
            </w:tcBorders>
          </w:tcPr>
          <w:p w:rsidR="003C6A31" w:rsidRPr="00455FC7" w:rsidRDefault="003C6A31" w:rsidP="005C396F">
            <w:pPr>
              <w:jc w:val="center"/>
              <w:rPr>
                <w:rFonts w:ascii="Times New Roman" w:hAnsi="Times New Roman"/>
                <w:sz w:val="18"/>
                <w:lang w:val="es-ES_tradnl"/>
              </w:rPr>
            </w:pPr>
          </w:p>
        </w:tc>
      </w:tr>
      <w:tr w:rsidR="003C6A31" w:rsidRPr="006F6989" w:rsidTr="005C396F">
        <w:tc>
          <w:tcPr>
            <w:tcW w:w="13732" w:type="dxa"/>
            <w:gridSpan w:val="15"/>
            <w:tcBorders>
              <w:bottom w:val="single" w:sz="4" w:space="0" w:color="000000"/>
            </w:tcBorders>
            <w:shd w:val="clear" w:color="auto" w:fill="BFBFBF" w:themeFill="background1" w:themeFillShade="BF"/>
          </w:tcPr>
          <w:p w:rsidR="003C6A31" w:rsidRPr="00455FC7" w:rsidRDefault="00081A23" w:rsidP="005C396F">
            <w:pPr>
              <w:rPr>
                <w:rFonts w:ascii="Times New Roman" w:hAnsi="Times New Roman"/>
                <w:sz w:val="18"/>
                <w:lang w:val="es-ES_tradnl"/>
              </w:rPr>
            </w:pPr>
            <w:r w:rsidRPr="00455FC7">
              <w:rPr>
                <w:rFonts w:ascii="Times New Roman" w:hAnsi="Times New Roman"/>
                <w:b/>
                <w:sz w:val="18"/>
                <w:u w:val="single"/>
                <w:lang w:val="es-ES_tradnl"/>
              </w:rPr>
              <w:t>COMPONENTE 1:</w:t>
            </w:r>
            <w:r w:rsidRPr="00455FC7">
              <w:rPr>
                <w:rFonts w:ascii="Times New Roman" w:hAnsi="Times New Roman"/>
                <w:sz w:val="18"/>
                <w:lang w:val="es-EC"/>
              </w:rPr>
              <w:t xml:space="preserve"> </w:t>
            </w:r>
            <w:r w:rsidRPr="00455FC7">
              <w:rPr>
                <w:rFonts w:ascii="Times New Roman" w:hAnsi="Times New Roman"/>
                <w:b/>
                <w:sz w:val="18"/>
                <w:u w:val="single"/>
                <w:lang w:val="es-ES_tradnl"/>
              </w:rPr>
              <w:t>Fortalecimiento de la Red Nacional de Monitoreo y el SAT</w:t>
            </w:r>
          </w:p>
        </w:tc>
      </w:tr>
      <w:tr w:rsidR="003C6A31" w:rsidRPr="006F6989" w:rsidTr="005C396F">
        <w:tc>
          <w:tcPr>
            <w:tcW w:w="2070" w:type="dxa"/>
            <w:tcBorders>
              <w:bottom w:val="single" w:sz="4" w:space="0" w:color="000000"/>
            </w:tcBorders>
          </w:tcPr>
          <w:p w:rsidR="003C6A31" w:rsidRPr="00455FC7" w:rsidRDefault="00081A23" w:rsidP="005C396F">
            <w:pPr>
              <w:tabs>
                <w:tab w:val="left" w:pos="63"/>
              </w:tabs>
              <w:ind w:left="63"/>
              <w:rPr>
                <w:rFonts w:ascii="Times New Roman" w:hAnsi="Times New Roman"/>
                <w:sz w:val="18"/>
                <w:lang w:val="es-ES_tradnl"/>
              </w:rPr>
            </w:pPr>
            <w:r w:rsidRPr="00455FC7">
              <w:rPr>
                <w:rFonts w:ascii="Times New Roman" w:hAnsi="Times New Roman"/>
                <w:sz w:val="18"/>
                <w:lang w:val="es-ES_tradnl"/>
              </w:rPr>
              <w:t>Tiempo de remisión de alertas desde el sismo hasta activación de la alerta por Tsunamis</w:t>
            </w:r>
          </w:p>
          <w:p w:rsidR="003C6A31" w:rsidRPr="00455FC7" w:rsidRDefault="003C6A31" w:rsidP="005C396F">
            <w:pPr>
              <w:tabs>
                <w:tab w:val="left" w:pos="63"/>
              </w:tabs>
              <w:ind w:left="63"/>
              <w:rPr>
                <w:rFonts w:ascii="Times New Roman" w:hAnsi="Times New Roman"/>
                <w:sz w:val="18"/>
                <w:lang w:val="es-ES_tradnl"/>
              </w:rPr>
            </w:pPr>
          </w:p>
        </w:tc>
        <w:tc>
          <w:tcPr>
            <w:tcW w:w="990" w:type="dxa"/>
            <w:tcBorders>
              <w:bottom w:val="single" w:sz="4" w:space="0" w:color="000000"/>
            </w:tcBorders>
          </w:tcPr>
          <w:p w:rsidR="003C6A31" w:rsidRPr="00455FC7" w:rsidRDefault="00081A23" w:rsidP="005C396F">
            <w:pPr>
              <w:rPr>
                <w:rFonts w:ascii="Times New Roman" w:hAnsi="Times New Roman"/>
                <w:sz w:val="18"/>
                <w:lang w:val="es-ES_tradnl"/>
              </w:rPr>
            </w:pPr>
            <w:r w:rsidRPr="00455FC7">
              <w:rPr>
                <w:rFonts w:ascii="Times New Roman" w:hAnsi="Times New Roman"/>
                <w:sz w:val="18"/>
                <w:lang w:val="es-ES_tradnl"/>
              </w:rPr>
              <w:t>Minutos</w:t>
            </w:r>
          </w:p>
        </w:tc>
        <w:tc>
          <w:tcPr>
            <w:tcW w:w="938" w:type="dxa"/>
            <w:gridSpan w:val="2"/>
            <w:tcBorders>
              <w:bottom w:val="single" w:sz="4" w:space="0" w:color="000000"/>
            </w:tcBorders>
          </w:tcPr>
          <w:p w:rsidR="003C6A31" w:rsidRPr="00455FC7" w:rsidRDefault="00081A23" w:rsidP="005C396F">
            <w:pPr>
              <w:jc w:val="center"/>
              <w:rPr>
                <w:rFonts w:ascii="Times New Roman" w:hAnsi="Times New Roman"/>
                <w:sz w:val="18"/>
                <w:lang w:val="es-ES_tradnl"/>
              </w:rPr>
            </w:pPr>
            <w:r w:rsidRPr="00455FC7">
              <w:rPr>
                <w:rFonts w:ascii="Times New Roman" w:hAnsi="Times New Roman"/>
                <w:sz w:val="18"/>
                <w:lang w:val="es-ES_tradnl"/>
              </w:rPr>
              <w:t>20</w:t>
            </w:r>
          </w:p>
        </w:tc>
        <w:tc>
          <w:tcPr>
            <w:tcW w:w="630" w:type="dxa"/>
            <w:tcBorders>
              <w:bottom w:val="single" w:sz="4" w:space="0" w:color="000000"/>
            </w:tcBorders>
          </w:tcPr>
          <w:p w:rsidR="003C6A31" w:rsidRPr="00455FC7" w:rsidRDefault="00081A23" w:rsidP="005C396F">
            <w:pPr>
              <w:jc w:val="center"/>
              <w:rPr>
                <w:rFonts w:ascii="Times New Roman" w:hAnsi="Times New Roman"/>
                <w:sz w:val="18"/>
                <w:lang w:val="es-ES_tradnl"/>
              </w:rPr>
            </w:pPr>
            <w:r w:rsidRPr="00455FC7">
              <w:rPr>
                <w:rFonts w:ascii="Times New Roman" w:hAnsi="Times New Roman"/>
                <w:sz w:val="18"/>
                <w:lang w:val="es-ES_tradnl"/>
              </w:rPr>
              <w:t>2016</w:t>
            </w:r>
          </w:p>
        </w:tc>
        <w:tc>
          <w:tcPr>
            <w:tcW w:w="720" w:type="dxa"/>
            <w:tcBorders>
              <w:bottom w:val="single" w:sz="4" w:space="0" w:color="000000"/>
            </w:tcBorders>
          </w:tcPr>
          <w:p w:rsidR="003C6A31" w:rsidRPr="00455FC7" w:rsidRDefault="003C6A31" w:rsidP="005C396F">
            <w:pPr>
              <w:jc w:val="center"/>
              <w:rPr>
                <w:rFonts w:ascii="Times New Roman" w:hAnsi="Times New Roman"/>
                <w:sz w:val="18"/>
                <w:lang w:val="es-ES_tradnl"/>
              </w:rPr>
            </w:pPr>
          </w:p>
        </w:tc>
        <w:tc>
          <w:tcPr>
            <w:tcW w:w="630" w:type="dxa"/>
            <w:tcBorders>
              <w:bottom w:val="single" w:sz="4" w:space="0" w:color="000000"/>
            </w:tcBorders>
          </w:tcPr>
          <w:p w:rsidR="003C6A31" w:rsidRPr="00455FC7" w:rsidRDefault="003C6A31" w:rsidP="005C396F">
            <w:pPr>
              <w:jc w:val="center"/>
              <w:rPr>
                <w:rFonts w:ascii="Times New Roman" w:hAnsi="Times New Roman"/>
                <w:sz w:val="18"/>
                <w:lang w:val="es-ES_tradnl"/>
              </w:rPr>
            </w:pPr>
          </w:p>
        </w:tc>
        <w:tc>
          <w:tcPr>
            <w:tcW w:w="720" w:type="dxa"/>
            <w:tcBorders>
              <w:bottom w:val="single" w:sz="4" w:space="0" w:color="000000"/>
            </w:tcBorders>
          </w:tcPr>
          <w:p w:rsidR="003C6A31" w:rsidRPr="00455FC7" w:rsidRDefault="003C6A31" w:rsidP="005C396F">
            <w:pPr>
              <w:jc w:val="center"/>
              <w:rPr>
                <w:rFonts w:ascii="Times New Roman" w:hAnsi="Times New Roman"/>
                <w:sz w:val="18"/>
                <w:lang w:val="es-ES_tradnl"/>
              </w:rPr>
            </w:pPr>
          </w:p>
        </w:tc>
        <w:tc>
          <w:tcPr>
            <w:tcW w:w="630" w:type="dxa"/>
            <w:tcBorders>
              <w:bottom w:val="single" w:sz="4" w:space="0" w:color="000000"/>
            </w:tcBorders>
          </w:tcPr>
          <w:p w:rsidR="003C6A31" w:rsidRPr="00455FC7" w:rsidRDefault="003C6A31" w:rsidP="005C396F">
            <w:pPr>
              <w:jc w:val="center"/>
              <w:rPr>
                <w:rFonts w:ascii="Times New Roman" w:hAnsi="Times New Roman"/>
                <w:sz w:val="18"/>
                <w:lang w:val="es-ES_tradnl"/>
              </w:rPr>
            </w:pPr>
          </w:p>
        </w:tc>
        <w:tc>
          <w:tcPr>
            <w:tcW w:w="923" w:type="dxa"/>
            <w:tcBorders>
              <w:bottom w:val="single" w:sz="4" w:space="0" w:color="000000"/>
            </w:tcBorders>
          </w:tcPr>
          <w:p w:rsidR="003C6A31" w:rsidRPr="00455FC7" w:rsidRDefault="00081A23" w:rsidP="005C396F">
            <w:pPr>
              <w:jc w:val="center"/>
              <w:rPr>
                <w:rFonts w:ascii="Times New Roman" w:hAnsi="Times New Roman"/>
                <w:sz w:val="18"/>
                <w:lang w:val="es-ES_tradnl"/>
              </w:rPr>
            </w:pPr>
            <w:r w:rsidRPr="00455FC7">
              <w:rPr>
                <w:rFonts w:ascii="Times New Roman" w:hAnsi="Times New Roman"/>
                <w:sz w:val="18"/>
                <w:lang w:val="es-ES_tradnl"/>
              </w:rPr>
              <w:t>12</w:t>
            </w:r>
          </w:p>
        </w:tc>
        <w:tc>
          <w:tcPr>
            <w:tcW w:w="630" w:type="dxa"/>
            <w:tcBorders>
              <w:bottom w:val="single" w:sz="4" w:space="0" w:color="000000"/>
            </w:tcBorders>
          </w:tcPr>
          <w:p w:rsidR="003C6A31" w:rsidRPr="00455FC7" w:rsidRDefault="00081A23" w:rsidP="005C396F">
            <w:pPr>
              <w:jc w:val="center"/>
              <w:rPr>
                <w:rFonts w:ascii="Times New Roman" w:hAnsi="Times New Roman"/>
                <w:sz w:val="18"/>
                <w:lang w:val="es-ES_tradnl"/>
              </w:rPr>
            </w:pPr>
            <w:r w:rsidRPr="00455FC7">
              <w:rPr>
                <w:rFonts w:ascii="Times New Roman" w:hAnsi="Times New Roman"/>
                <w:sz w:val="18"/>
                <w:lang w:val="es-ES_tradnl"/>
              </w:rPr>
              <w:t>2019</w:t>
            </w:r>
          </w:p>
        </w:tc>
        <w:tc>
          <w:tcPr>
            <w:tcW w:w="1071" w:type="dxa"/>
            <w:tcBorders>
              <w:bottom w:val="single" w:sz="4" w:space="0" w:color="000000"/>
            </w:tcBorders>
          </w:tcPr>
          <w:p w:rsidR="003C6A31" w:rsidRPr="00455FC7" w:rsidRDefault="00081A23" w:rsidP="005C396F">
            <w:pPr>
              <w:jc w:val="center"/>
              <w:rPr>
                <w:rFonts w:ascii="Times New Roman" w:hAnsi="Times New Roman"/>
                <w:sz w:val="18"/>
                <w:lang w:val="es-ES_tradnl"/>
              </w:rPr>
            </w:pPr>
            <w:r w:rsidRPr="00455FC7">
              <w:rPr>
                <w:rFonts w:ascii="Times New Roman" w:hAnsi="Times New Roman"/>
                <w:sz w:val="18"/>
                <w:lang w:val="es-ES_tradnl"/>
              </w:rPr>
              <w:t>12</w:t>
            </w:r>
          </w:p>
        </w:tc>
        <w:tc>
          <w:tcPr>
            <w:tcW w:w="630" w:type="dxa"/>
            <w:tcBorders>
              <w:bottom w:val="single" w:sz="4" w:space="0" w:color="000000"/>
            </w:tcBorders>
          </w:tcPr>
          <w:p w:rsidR="003C6A31" w:rsidRPr="00455FC7" w:rsidRDefault="00081A23" w:rsidP="005C396F">
            <w:pPr>
              <w:jc w:val="center"/>
              <w:rPr>
                <w:rFonts w:ascii="Times New Roman" w:hAnsi="Times New Roman"/>
                <w:sz w:val="18"/>
                <w:lang w:val="es-ES_tradnl"/>
              </w:rPr>
            </w:pPr>
            <w:r w:rsidRPr="00455FC7">
              <w:rPr>
                <w:rFonts w:ascii="Times New Roman" w:hAnsi="Times New Roman"/>
                <w:sz w:val="18"/>
                <w:lang w:val="es-ES_tradnl"/>
              </w:rPr>
              <w:t>2019</w:t>
            </w:r>
          </w:p>
        </w:tc>
        <w:tc>
          <w:tcPr>
            <w:tcW w:w="1710" w:type="dxa"/>
            <w:tcBorders>
              <w:bottom w:val="single" w:sz="4" w:space="0" w:color="000000"/>
            </w:tcBorders>
          </w:tcPr>
          <w:p w:rsidR="003C6A31" w:rsidRPr="00455FC7" w:rsidRDefault="00081A23" w:rsidP="005C396F">
            <w:pPr>
              <w:rPr>
                <w:rFonts w:ascii="Times New Roman" w:hAnsi="Times New Roman"/>
                <w:sz w:val="18"/>
                <w:lang w:val="es-ES_tradnl"/>
              </w:rPr>
            </w:pPr>
            <w:r w:rsidRPr="00455FC7">
              <w:rPr>
                <w:rFonts w:ascii="Times New Roman" w:hAnsi="Times New Roman"/>
                <w:sz w:val="18"/>
                <w:lang w:val="es-ES_tradnl"/>
              </w:rPr>
              <w:t>Informes avalados por la SGR basado en la simulación nacional</w:t>
            </w:r>
          </w:p>
        </w:tc>
        <w:tc>
          <w:tcPr>
            <w:tcW w:w="1440" w:type="dxa"/>
            <w:tcBorders>
              <w:bottom w:val="single" w:sz="4" w:space="0" w:color="000000"/>
            </w:tcBorders>
          </w:tcPr>
          <w:p w:rsidR="003C6A31" w:rsidRPr="00455FC7" w:rsidRDefault="00081A23" w:rsidP="005C396F">
            <w:pPr>
              <w:rPr>
                <w:rFonts w:ascii="Times New Roman" w:hAnsi="Times New Roman"/>
                <w:sz w:val="18"/>
                <w:lang w:val="es-ES_tradnl"/>
              </w:rPr>
            </w:pPr>
            <w:r w:rsidRPr="00455FC7">
              <w:rPr>
                <w:rFonts w:ascii="Times New Roman" w:hAnsi="Times New Roman"/>
                <w:sz w:val="18"/>
                <w:lang w:val="es-ES_tradnl"/>
              </w:rPr>
              <w:t xml:space="preserve">Tiempos estimados por simulaciones realizadas por la SGR </w:t>
            </w:r>
          </w:p>
        </w:tc>
      </w:tr>
      <w:tr w:rsidR="003C6A31" w:rsidRPr="006F6989" w:rsidTr="005C396F">
        <w:tc>
          <w:tcPr>
            <w:tcW w:w="2070" w:type="dxa"/>
            <w:tcBorders>
              <w:bottom w:val="single" w:sz="4" w:space="0" w:color="000000"/>
            </w:tcBorders>
            <w:shd w:val="clear" w:color="auto" w:fill="auto"/>
          </w:tcPr>
          <w:p w:rsidR="003C6A31" w:rsidRPr="00455FC7" w:rsidRDefault="00081A23" w:rsidP="005C396F">
            <w:pPr>
              <w:tabs>
                <w:tab w:val="left" w:pos="63"/>
              </w:tabs>
              <w:ind w:left="63"/>
              <w:rPr>
                <w:rFonts w:ascii="Times New Roman" w:hAnsi="Times New Roman"/>
                <w:sz w:val="18"/>
                <w:lang w:val="es-ES_tradnl"/>
              </w:rPr>
            </w:pPr>
            <w:r w:rsidRPr="00455FC7">
              <w:rPr>
                <w:rFonts w:ascii="Times New Roman" w:hAnsi="Times New Roman"/>
                <w:sz w:val="18"/>
                <w:lang w:val="es-ES_tradnl"/>
              </w:rPr>
              <w:t xml:space="preserve">Boletines (Avisos y Alertas) del monitoreo hidrológico en tiempo real </w:t>
            </w:r>
          </w:p>
        </w:tc>
        <w:tc>
          <w:tcPr>
            <w:tcW w:w="990" w:type="dxa"/>
            <w:tcBorders>
              <w:bottom w:val="single" w:sz="4" w:space="0" w:color="000000"/>
            </w:tcBorders>
            <w:shd w:val="clear" w:color="auto" w:fill="auto"/>
          </w:tcPr>
          <w:p w:rsidR="003C6A31" w:rsidRPr="00455FC7" w:rsidRDefault="00081A23" w:rsidP="005C396F">
            <w:pPr>
              <w:rPr>
                <w:rFonts w:ascii="Times New Roman" w:hAnsi="Times New Roman"/>
                <w:sz w:val="18"/>
                <w:lang w:val="es-ES_tradnl"/>
              </w:rPr>
            </w:pPr>
            <w:r w:rsidRPr="00455FC7">
              <w:rPr>
                <w:rFonts w:ascii="Times New Roman" w:hAnsi="Times New Roman"/>
                <w:sz w:val="18"/>
                <w:lang w:val="es-ES_tradnl"/>
              </w:rPr>
              <w:t xml:space="preserve">Cuencas en servicio </w:t>
            </w:r>
          </w:p>
        </w:tc>
        <w:tc>
          <w:tcPr>
            <w:tcW w:w="938" w:type="dxa"/>
            <w:gridSpan w:val="2"/>
            <w:tcBorders>
              <w:bottom w:val="single" w:sz="4" w:space="0" w:color="000000"/>
            </w:tcBorders>
            <w:shd w:val="clear" w:color="auto" w:fill="auto"/>
          </w:tcPr>
          <w:p w:rsidR="003C6A31" w:rsidRPr="00455FC7" w:rsidRDefault="00081A23" w:rsidP="005C396F">
            <w:pPr>
              <w:jc w:val="center"/>
              <w:rPr>
                <w:rFonts w:ascii="Times New Roman" w:hAnsi="Times New Roman"/>
                <w:sz w:val="18"/>
                <w:lang w:val="es-ES_tradnl"/>
              </w:rPr>
            </w:pPr>
            <w:r w:rsidRPr="00455FC7">
              <w:rPr>
                <w:rFonts w:ascii="Times New Roman" w:hAnsi="Times New Roman"/>
                <w:sz w:val="18"/>
                <w:lang w:val="es-ES_tradnl"/>
              </w:rPr>
              <w:t>0</w:t>
            </w:r>
          </w:p>
        </w:tc>
        <w:tc>
          <w:tcPr>
            <w:tcW w:w="630" w:type="dxa"/>
            <w:tcBorders>
              <w:bottom w:val="single" w:sz="4" w:space="0" w:color="000000"/>
            </w:tcBorders>
            <w:shd w:val="clear" w:color="auto" w:fill="auto"/>
          </w:tcPr>
          <w:p w:rsidR="003C6A31" w:rsidRPr="00455FC7" w:rsidRDefault="00081A23" w:rsidP="005C396F">
            <w:pPr>
              <w:jc w:val="center"/>
              <w:rPr>
                <w:rFonts w:ascii="Times New Roman" w:hAnsi="Times New Roman"/>
                <w:sz w:val="18"/>
                <w:lang w:val="es-ES_tradnl"/>
              </w:rPr>
            </w:pPr>
            <w:r w:rsidRPr="00455FC7">
              <w:rPr>
                <w:rFonts w:ascii="Times New Roman" w:hAnsi="Times New Roman"/>
                <w:sz w:val="18"/>
                <w:lang w:val="es-ES_tradnl"/>
              </w:rPr>
              <w:t>2016</w:t>
            </w:r>
          </w:p>
        </w:tc>
        <w:tc>
          <w:tcPr>
            <w:tcW w:w="720" w:type="dxa"/>
            <w:tcBorders>
              <w:bottom w:val="single" w:sz="4" w:space="0" w:color="000000"/>
            </w:tcBorders>
            <w:shd w:val="clear" w:color="auto" w:fill="auto"/>
          </w:tcPr>
          <w:p w:rsidR="003C6A31" w:rsidRPr="00455FC7" w:rsidRDefault="003C6A31" w:rsidP="005C396F">
            <w:pPr>
              <w:jc w:val="center"/>
              <w:rPr>
                <w:rFonts w:ascii="Times New Roman" w:hAnsi="Times New Roman"/>
                <w:sz w:val="18"/>
                <w:lang w:val="es-ES_tradnl"/>
              </w:rPr>
            </w:pPr>
          </w:p>
        </w:tc>
        <w:tc>
          <w:tcPr>
            <w:tcW w:w="630" w:type="dxa"/>
            <w:tcBorders>
              <w:bottom w:val="single" w:sz="4" w:space="0" w:color="000000"/>
            </w:tcBorders>
            <w:shd w:val="clear" w:color="auto" w:fill="auto"/>
          </w:tcPr>
          <w:p w:rsidR="003C6A31" w:rsidRPr="00455FC7" w:rsidRDefault="003C6A31" w:rsidP="005C396F">
            <w:pPr>
              <w:jc w:val="center"/>
              <w:rPr>
                <w:rFonts w:ascii="Times New Roman" w:hAnsi="Times New Roman"/>
                <w:sz w:val="18"/>
                <w:lang w:val="es-ES_tradnl"/>
              </w:rPr>
            </w:pPr>
          </w:p>
        </w:tc>
        <w:tc>
          <w:tcPr>
            <w:tcW w:w="720" w:type="dxa"/>
            <w:tcBorders>
              <w:bottom w:val="single" w:sz="4" w:space="0" w:color="000000"/>
            </w:tcBorders>
            <w:shd w:val="clear" w:color="auto" w:fill="auto"/>
          </w:tcPr>
          <w:p w:rsidR="003C6A31" w:rsidRPr="00455FC7" w:rsidRDefault="00081A23" w:rsidP="005C396F">
            <w:pPr>
              <w:jc w:val="center"/>
              <w:rPr>
                <w:rFonts w:ascii="Times New Roman" w:hAnsi="Times New Roman"/>
                <w:sz w:val="18"/>
                <w:lang w:val="es-ES_tradnl"/>
              </w:rPr>
            </w:pPr>
            <w:r w:rsidRPr="00455FC7">
              <w:rPr>
                <w:rFonts w:ascii="Times New Roman" w:hAnsi="Times New Roman"/>
                <w:sz w:val="18"/>
                <w:lang w:val="es-ES_tradnl"/>
              </w:rPr>
              <w:t>3</w:t>
            </w:r>
          </w:p>
        </w:tc>
        <w:tc>
          <w:tcPr>
            <w:tcW w:w="630" w:type="dxa"/>
            <w:tcBorders>
              <w:bottom w:val="single" w:sz="4" w:space="0" w:color="000000"/>
            </w:tcBorders>
            <w:shd w:val="clear" w:color="auto" w:fill="auto"/>
          </w:tcPr>
          <w:p w:rsidR="003C6A31" w:rsidRPr="00455FC7" w:rsidRDefault="00081A23" w:rsidP="005C396F">
            <w:pPr>
              <w:jc w:val="center"/>
              <w:rPr>
                <w:rFonts w:ascii="Times New Roman" w:hAnsi="Times New Roman"/>
                <w:sz w:val="18"/>
                <w:lang w:val="es-ES_tradnl"/>
              </w:rPr>
            </w:pPr>
            <w:r w:rsidRPr="00455FC7">
              <w:rPr>
                <w:rFonts w:ascii="Times New Roman" w:hAnsi="Times New Roman"/>
                <w:sz w:val="18"/>
                <w:lang w:val="es-ES_tradnl"/>
              </w:rPr>
              <w:t>2018</w:t>
            </w:r>
          </w:p>
        </w:tc>
        <w:tc>
          <w:tcPr>
            <w:tcW w:w="923" w:type="dxa"/>
            <w:tcBorders>
              <w:bottom w:val="single" w:sz="4" w:space="0" w:color="000000"/>
            </w:tcBorders>
            <w:shd w:val="clear" w:color="auto" w:fill="auto"/>
          </w:tcPr>
          <w:p w:rsidR="003C6A31" w:rsidRPr="00455FC7" w:rsidRDefault="003C6A31" w:rsidP="005C396F">
            <w:pPr>
              <w:jc w:val="center"/>
              <w:rPr>
                <w:rFonts w:ascii="Times New Roman" w:hAnsi="Times New Roman"/>
                <w:sz w:val="18"/>
                <w:lang w:val="es-ES_tradnl"/>
              </w:rPr>
            </w:pPr>
          </w:p>
        </w:tc>
        <w:tc>
          <w:tcPr>
            <w:tcW w:w="630" w:type="dxa"/>
            <w:tcBorders>
              <w:bottom w:val="single" w:sz="4" w:space="0" w:color="000000"/>
            </w:tcBorders>
            <w:shd w:val="clear" w:color="auto" w:fill="auto"/>
          </w:tcPr>
          <w:p w:rsidR="003C6A31" w:rsidRPr="00455FC7" w:rsidRDefault="003C6A31" w:rsidP="005C396F">
            <w:pPr>
              <w:rPr>
                <w:rFonts w:ascii="Times New Roman" w:hAnsi="Times New Roman"/>
                <w:sz w:val="18"/>
                <w:lang w:val="es-ES_tradnl"/>
              </w:rPr>
            </w:pPr>
          </w:p>
        </w:tc>
        <w:tc>
          <w:tcPr>
            <w:tcW w:w="1071" w:type="dxa"/>
            <w:tcBorders>
              <w:bottom w:val="single" w:sz="4" w:space="0" w:color="000000"/>
            </w:tcBorders>
            <w:shd w:val="clear" w:color="auto" w:fill="auto"/>
          </w:tcPr>
          <w:p w:rsidR="003C6A31" w:rsidRPr="00455FC7" w:rsidRDefault="00081A23" w:rsidP="005C396F">
            <w:pPr>
              <w:jc w:val="center"/>
              <w:rPr>
                <w:rFonts w:ascii="Times New Roman" w:hAnsi="Times New Roman"/>
                <w:sz w:val="18"/>
                <w:lang w:val="es-ES_tradnl"/>
              </w:rPr>
            </w:pPr>
            <w:r w:rsidRPr="00455FC7">
              <w:rPr>
                <w:rFonts w:ascii="Times New Roman" w:hAnsi="Times New Roman"/>
                <w:sz w:val="18"/>
                <w:lang w:val="es-ES_tradnl"/>
              </w:rPr>
              <w:t>3</w:t>
            </w:r>
          </w:p>
        </w:tc>
        <w:tc>
          <w:tcPr>
            <w:tcW w:w="630" w:type="dxa"/>
            <w:tcBorders>
              <w:bottom w:val="single" w:sz="4" w:space="0" w:color="000000"/>
            </w:tcBorders>
            <w:shd w:val="clear" w:color="auto" w:fill="auto"/>
          </w:tcPr>
          <w:p w:rsidR="003C6A31" w:rsidRPr="00455FC7" w:rsidRDefault="00081A23" w:rsidP="005C396F">
            <w:pPr>
              <w:jc w:val="center"/>
              <w:rPr>
                <w:rFonts w:ascii="Times New Roman" w:hAnsi="Times New Roman"/>
                <w:sz w:val="18"/>
                <w:lang w:val="es-ES_tradnl"/>
              </w:rPr>
            </w:pPr>
            <w:r w:rsidRPr="00455FC7">
              <w:rPr>
                <w:rFonts w:ascii="Times New Roman" w:hAnsi="Times New Roman"/>
                <w:sz w:val="18"/>
                <w:lang w:val="es-ES_tradnl"/>
              </w:rPr>
              <w:t>2019</w:t>
            </w:r>
          </w:p>
        </w:tc>
        <w:tc>
          <w:tcPr>
            <w:tcW w:w="1710" w:type="dxa"/>
            <w:tcBorders>
              <w:bottom w:val="single" w:sz="4" w:space="0" w:color="000000"/>
            </w:tcBorders>
            <w:shd w:val="clear" w:color="auto" w:fill="auto"/>
          </w:tcPr>
          <w:p w:rsidR="003C6A31" w:rsidRPr="00455FC7" w:rsidRDefault="00081A23" w:rsidP="005C396F">
            <w:pPr>
              <w:rPr>
                <w:rFonts w:ascii="Times New Roman" w:hAnsi="Times New Roman"/>
                <w:sz w:val="18"/>
                <w:lang w:val="es-ES_tradnl"/>
              </w:rPr>
            </w:pPr>
            <w:r w:rsidRPr="00455FC7">
              <w:rPr>
                <w:rFonts w:ascii="Times New Roman" w:hAnsi="Times New Roman"/>
                <w:sz w:val="18"/>
                <w:lang w:val="es-ES_tradnl"/>
              </w:rPr>
              <w:t>Informe Técnico del INAMHI</w:t>
            </w:r>
          </w:p>
        </w:tc>
        <w:tc>
          <w:tcPr>
            <w:tcW w:w="1440" w:type="dxa"/>
            <w:tcBorders>
              <w:bottom w:val="single" w:sz="4" w:space="0" w:color="000000"/>
            </w:tcBorders>
            <w:shd w:val="clear" w:color="auto" w:fill="auto"/>
          </w:tcPr>
          <w:p w:rsidR="003C6A31" w:rsidRPr="00455FC7" w:rsidRDefault="00081A23" w:rsidP="005C396F">
            <w:pPr>
              <w:rPr>
                <w:rFonts w:ascii="Times New Roman" w:hAnsi="Times New Roman"/>
                <w:sz w:val="18"/>
                <w:lang w:val="es-ES_tradnl"/>
              </w:rPr>
            </w:pPr>
            <w:r w:rsidRPr="00455FC7">
              <w:rPr>
                <w:rFonts w:ascii="Times New Roman" w:hAnsi="Times New Roman"/>
                <w:sz w:val="18"/>
                <w:lang w:val="es-ES_tradnl"/>
              </w:rPr>
              <w:t>Se tendrá el servicio en las cuencas de Chone, Portoviejo y Chongón</w:t>
            </w:r>
          </w:p>
        </w:tc>
      </w:tr>
      <w:tr w:rsidR="003C6A31" w:rsidRPr="00FE6C9C" w:rsidTr="005C396F">
        <w:tc>
          <w:tcPr>
            <w:tcW w:w="13732" w:type="dxa"/>
            <w:gridSpan w:val="15"/>
            <w:tcBorders>
              <w:bottom w:val="single" w:sz="4" w:space="0" w:color="000000"/>
            </w:tcBorders>
            <w:shd w:val="clear" w:color="auto" w:fill="BFBFBF" w:themeFill="background1" w:themeFillShade="BF"/>
          </w:tcPr>
          <w:p w:rsidR="003C6A31" w:rsidRPr="00455FC7" w:rsidRDefault="00081A23" w:rsidP="005C396F">
            <w:pPr>
              <w:rPr>
                <w:rFonts w:ascii="Times New Roman" w:hAnsi="Times New Roman"/>
                <w:sz w:val="18"/>
                <w:lang w:val="es-ES_tradnl"/>
              </w:rPr>
            </w:pPr>
            <w:r w:rsidRPr="00455FC7">
              <w:rPr>
                <w:rFonts w:ascii="Times New Roman" w:hAnsi="Times New Roman"/>
                <w:b/>
                <w:sz w:val="18"/>
                <w:u w:val="single"/>
                <w:lang w:val="es-ES_tradnl"/>
              </w:rPr>
              <w:t>COMPONENTE 2:</w:t>
            </w:r>
            <w:r w:rsidRPr="00455FC7">
              <w:rPr>
                <w:rFonts w:ascii="Times New Roman" w:hAnsi="Times New Roman"/>
                <w:sz w:val="18"/>
                <w:lang w:val="es-EC"/>
              </w:rPr>
              <w:t xml:space="preserve"> </w:t>
            </w:r>
            <w:r w:rsidRPr="00455FC7">
              <w:rPr>
                <w:rFonts w:ascii="Times New Roman" w:hAnsi="Times New Roman"/>
                <w:b/>
                <w:sz w:val="18"/>
                <w:u w:val="single"/>
                <w:lang w:val="es-ES_tradnl"/>
              </w:rPr>
              <w:t>Fortalecimiento de capacidad comunitaria frente a eventos de amenazas</w:t>
            </w:r>
          </w:p>
        </w:tc>
      </w:tr>
      <w:tr w:rsidR="003C6A31" w:rsidRPr="006F6989" w:rsidTr="005C396F">
        <w:tc>
          <w:tcPr>
            <w:tcW w:w="2070" w:type="dxa"/>
          </w:tcPr>
          <w:p w:rsidR="003C6A31" w:rsidRPr="00455FC7" w:rsidRDefault="00081A23" w:rsidP="005C396F">
            <w:pPr>
              <w:tabs>
                <w:tab w:val="left" w:pos="63"/>
              </w:tabs>
              <w:ind w:left="63"/>
              <w:rPr>
                <w:rFonts w:ascii="Times New Roman" w:hAnsi="Times New Roman"/>
                <w:sz w:val="18"/>
                <w:lang w:val="es-ES_tradnl"/>
              </w:rPr>
            </w:pPr>
            <w:r w:rsidRPr="00455FC7">
              <w:rPr>
                <w:rFonts w:ascii="Times New Roman" w:hAnsi="Times New Roman"/>
                <w:sz w:val="18"/>
                <w:lang w:val="es-ES_tradnl"/>
              </w:rPr>
              <w:t>Cobertura de población expuesta con acceso al SAT por Tsunami incrementada</w:t>
            </w:r>
            <w:r w:rsidRPr="00455FC7">
              <w:rPr>
                <w:rStyle w:val="FootnoteReference"/>
                <w:rFonts w:ascii="Times New Roman" w:hAnsi="Times New Roman"/>
                <w:sz w:val="18"/>
                <w:lang w:val="es-ES_tradnl"/>
              </w:rPr>
              <w:footnoteReference w:id="74"/>
            </w:r>
          </w:p>
          <w:p w:rsidR="003C6A31" w:rsidRPr="00455FC7" w:rsidRDefault="003C6A31" w:rsidP="005C396F">
            <w:pPr>
              <w:tabs>
                <w:tab w:val="left" w:pos="63"/>
              </w:tabs>
              <w:ind w:left="63"/>
              <w:rPr>
                <w:rFonts w:ascii="Times New Roman" w:hAnsi="Times New Roman"/>
                <w:sz w:val="18"/>
                <w:lang w:val="es-ES_tradnl"/>
              </w:rPr>
            </w:pPr>
          </w:p>
        </w:tc>
        <w:tc>
          <w:tcPr>
            <w:tcW w:w="990" w:type="dxa"/>
          </w:tcPr>
          <w:p w:rsidR="003C6A31" w:rsidRPr="00455FC7" w:rsidRDefault="00081A23" w:rsidP="005C396F">
            <w:pPr>
              <w:rPr>
                <w:rFonts w:ascii="Times New Roman" w:hAnsi="Times New Roman"/>
                <w:sz w:val="18"/>
                <w:lang w:val="es-ES_tradnl"/>
              </w:rPr>
            </w:pPr>
            <w:r w:rsidRPr="00455FC7">
              <w:rPr>
                <w:rFonts w:ascii="Times New Roman" w:hAnsi="Times New Roman"/>
                <w:sz w:val="18"/>
                <w:lang w:val="es-ES_tradnl"/>
              </w:rPr>
              <w:t>Habitantes</w:t>
            </w:r>
          </w:p>
        </w:tc>
        <w:tc>
          <w:tcPr>
            <w:tcW w:w="938" w:type="dxa"/>
            <w:gridSpan w:val="2"/>
          </w:tcPr>
          <w:p w:rsidR="003C6A31" w:rsidRPr="00455FC7" w:rsidRDefault="00EC38D0" w:rsidP="005C396F">
            <w:pPr>
              <w:jc w:val="center"/>
              <w:rPr>
                <w:rFonts w:ascii="Times New Roman" w:hAnsi="Times New Roman"/>
                <w:sz w:val="18"/>
                <w:lang w:val="es-ES_tradnl"/>
              </w:rPr>
            </w:pPr>
            <w:r>
              <w:rPr>
                <w:rFonts w:ascii="Times New Roman" w:hAnsi="Times New Roman"/>
                <w:sz w:val="18"/>
                <w:szCs w:val="18"/>
                <w:lang w:val="es-ES_tradnl"/>
              </w:rPr>
              <w:t>0</w:t>
            </w:r>
          </w:p>
        </w:tc>
        <w:tc>
          <w:tcPr>
            <w:tcW w:w="630" w:type="dxa"/>
          </w:tcPr>
          <w:p w:rsidR="003C6A31" w:rsidRPr="00455FC7" w:rsidRDefault="00081A23" w:rsidP="005C396F">
            <w:pPr>
              <w:jc w:val="center"/>
              <w:rPr>
                <w:rFonts w:ascii="Times New Roman" w:hAnsi="Times New Roman"/>
                <w:sz w:val="18"/>
                <w:lang w:val="es-ES_tradnl"/>
              </w:rPr>
            </w:pPr>
            <w:r w:rsidRPr="00455FC7">
              <w:rPr>
                <w:rFonts w:ascii="Times New Roman" w:hAnsi="Times New Roman"/>
                <w:sz w:val="18"/>
                <w:lang w:val="es-ES_tradnl"/>
              </w:rPr>
              <w:t>2016</w:t>
            </w:r>
          </w:p>
        </w:tc>
        <w:tc>
          <w:tcPr>
            <w:tcW w:w="720" w:type="dxa"/>
          </w:tcPr>
          <w:p w:rsidR="003C6A31" w:rsidRPr="00455FC7" w:rsidRDefault="003C6A31" w:rsidP="005C396F">
            <w:pPr>
              <w:jc w:val="center"/>
              <w:rPr>
                <w:rFonts w:ascii="Times New Roman" w:hAnsi="Times New Roman"/>
                <w:sz w:val="18"/>
                <w:lang w:val="es-ES_tradnl"/>
              </w:rPr>
            </w:pPr>
          </w:p>
        </w:tc>
        <w:tc>
          <w:tcPr>
            <w:tcW w:w="630" w:type="dxa"/>
          </w:tcPr>
          <w:p w:rsidR="003C6A31" w:rsidRPr="00455FC7" w:rsidRDefault="003C6A31" w:rsidP="005C396F">
            <w:pPr>
              <w:jc w:val="center"/>
              <w:rPr>
                <w:rFonts w:ascii="Times New Roman" w:hAnsi="Times New Roman"/>
                <w:sz w:val="18"/>
                <w:lang w:val="es-ES_tradnl"/>
              </w:rPr>
            </w:pPr>
          </w:p>
        </w:tc>
        <w:tc>
          <w:tcPr>
            <w:tcW w:w="720" w:type="dxa"/>
          </w:tcPr>
          <w:p w:rsidR="003C6A31" w:rsidRPr="00455FC7" w:rsidRDefault="003C6A31" w:rsidP="005C396F">
            <w:pPr>
              <w:jc w:val="center"/>
              <w:rPr>
                <w:rFonts w:ascii="Times New Roman" w:hAnsi="Times New Roman"/>
                <w:sz w:val="18"/>
                <w:lang w:val="es-ES_tradnl"/>
              </w:rPr>
            </w:pPr>
          </w:p>
        </w:tc>
        <w:tc>
          <w:tcPr>
            <w:tcW w:w="630" w:type="dxa"/>
          </w:tcPr>
          <w:p w:rsidR="003C6A31" w:rsidRPr="00455FC7" w:rsidRDefault="003C6A31" w:rsidP="005C396F">
            <w:pPr>
              <w:jc w:val="center"/>
              <w:rPr>
                <w:rFonts w:ascii="Times New Roman" w:hAnsi="Times New Roman"/>
                <w:sz w:val="18"/>
                <w:lang w:val="es-ES_tradnl"/>
              </w:rPr>
            </w:pPr>
          </w:p>
        </w:tc>
        <w:tc>
          <w:tcPr>
            <w:tcW w:w="923" w:type="dxa"/>
          </w:tcPr>
          <w:p w:rsidR="00406CAE" w:rsidRPr="00455FC7" w:rsidRDefault="00EC38D0" w:rsidP="00455FC7">
            <w:pPr>
              <w:ind w:right="-79"/>
              <w:jc w:val="center"/>
              <w:rPr>
                <w:rFonts w:ascii="Times New Roman" w:hAnsi="Times New Roman"/>
                <w:b/>
                <w:sz w:val="18"/>
                <w:lang w:val="es-ES_tradnl"/>
              </w:rPr>
            </w:pPr>
            <w:r>
              <w:rPr>
                <w:rFonts w:ascii="Times New Roman" w:hAnsi="Times New Roman"/>
                <w:sz w:val="18"/>
                <w:szCs w:val="18"/>
                <w:lang w:val="es-ES_tradnl"/>
              </w:rPr>
              <w:t>1.034.929</w:t>
            </w:r>
          </w:p>
        </w:tc>
        <w:tc>
          <w:tcPr>
            <w:tcW w:w="630" w:type="dxa"/>
          </w:tcPr>
          <w:p w:rsidR="003C6A31" w:rsidRPr="00455FC7" w:rsidRDefault="00081A23" w:rsidP="005C396F">
            <w:pPr>
              <w:jc w:val="center"/>
              <w:rPr>
                <w:rFonts w:ascii="Times New Roman" w:hAnsi="Times New Roman"/>
                <w:sz w:val="18"/>
                <w:lang w:val="es-ES_tradnl"/>
              </w:rPr>
            </w:pPr>
            <w:r w:rsidRPr="00455FC7">
              <w:rPr>
                <w:rFonts w:ascii="Times New Roman" w:hAnsi="Times New Roman"/>
                <w:sz w:val="18"/>
                <w:lang w:val="es-ES_tradnl"/>
              </w:rPr>
              <w:t>2019</w:t>
            </w:r>
          </w:p>
        </w:tc>
        <w:tc>
          <w:tcPr>
            <w:tcW w:w="1071" w:type="dxa"/>
          </w:tcPr>
          <w:p w:rsidR="003C6A31" w:rsidRPr="00455FC7" w:rsidRDefault="00081A23" w:rsidP="005C396F">
            <w:pPr>
              <w:jc w:val="center"/>
              <w:rPr>
                <w:rFonts w:ascii="Times New Roman" w:hAnsi="Times New Roman"/>
                <w:sz w:val="18"/>
                <w:lang w:val="es-ES_tradnl"/>
              </w:rPr>
            </w:pPr>
            <w:r w:rsidRPr="00455FC7">
              <w:rPr>
                <w:rFonts w:ascii="Times New Roman" w:hAnsi="Times New Roman"/>
                <w:sz w:val="18"/>
                <w:lang w:val="es-ES_tradnl"/>
              </w:rPr>
              <w:t>1.034.929</w:t>
            </w:r>
          </w:p>
        </w:tc>
        <w:tc>
          <w:tcPr>
            <w:tcW w:w="630" w:type="dxa"/>
          </w:tcPr>
          <w:p w:rsidR="003C6A31" w:rsidRPr="00455FC7" w:rsidRDefault="00081A23" w:rsidP="005C396F">
            <w:pPr>
              <w:jc w:val="center"/>
              <w:rPr>
                <w:rFonts w:ascii="Times New Roman" w:hAnsi="Times New Roman"/>
                <w:sz w:val="18"/>
                <w:lang w:val="es-ES_tradnl"/>
              </w:rPr>
            </w:pPr>
            <w:r w:rsidRPr="00455FC7">
              <w:rPr>
                <w:rFonts w:ascii="Times New Roman" w:hAnsi="Times New Roman"/>
                <w:sz w:val="18"/>
                <w:lang w:val="es-ES_tradnl"/>
              </w:rPr>
              <w:t>2019</w:t>
            </w:r>
          </w:p>
        </w:tc>
        <w:tc>
          <w:tcPr>
            <w:tcW w:w="1710" w:type="dxa"/>
          </w:tcPr>
          <w:p w:rsidR="003C6A31" w:rsidRPr="00455FC7" w:rsidRDefault="00081A23" w:rsidP="005C396F">
            <w:pPr>
              <w:rPr>
                <w:rFonts w:ascii="Times New Roman" w:hAnsi="Times New Roman"/>
                <w:sz w:val="18"/>
                <w:lang w:val="es-ES_tradnl"/>
              </w:rPr>
            </w:pPr>
            <w:r w:rsidRPr="00455FC7">
              <w:rPr>
                <w:rFonts w:ascii="Times New Roman" w:hAnsi="Times New Roman"/>
                <w:sz w:val="18"/>
                <w:lang w:val="es-ES_tradnl"/>
              </w:rPr>
              <w:t>Informes avalados por la SGR</w:t>
            </w:r>
          </w:p>
        </w:tc>
        <w:tc>
          <w:tcPr>
            <w:tcW w:w="1440" w:type="dxa"/>
          </w:tcPr>
          <w:p w:rsidR="003C6A31" w:rsidRPr="00455FC7" w:rsidRDefault="00081A23" w:rsidP="005C396F">
            <w:pPr>
              <w:rPr>
                <w:rFonts w:ascii="Times New Roman" w:hAnsi="Times New Roman"/>
                <w:sz w:val="18"/>
                <w:lang w:val="es-ES_tradnl"/>
              </w:rPr>
            </w:pPr>
            <w:r w:rsidRPr="00455FC7">
              <w:rPr>
                <w:rFonts w:ascii="Times New Roman" w:hAnsi="Times New Roman"/>
                <w:sz w:val="18"/>
                <w:lang w:val="es-ES_tradnl"/>
              </w:rPr>
              <w:t xml:space="preserve">Fuente de información (habitantes cada comunidad): Censo nacional </w:t>
            </w:r>
          </w:p>
        </w:tc>
      </w:tr>
      <w:tr w:rsidR="003C6A31" w:rsidRPr="006F6989" w:rsidTr="005C396F">
        <w:tc>
          <w:tcPr>
            <w:tcW w:w="2070" w:type="dxa"/>
          </w:tcPr>
          <w:p w:rsidR="003C6A31" w:rsidRPr="00455FC7" w:rsidRDefault="00081A23" w:rsidP="005C396F">
            <w:pPr>
              <w:tabs>
                <w:tab w:val="left" w:pos="63"/>
              </w:tabs>
              <w:ind w:left="63"/>
              <w:rPr>
                <w:rFonts w:ascii="Times New Roman" w:hAnsi="Times New Roman"/>
                <w:sz w:val="18"/>
                <w:lang w:val="es-ES_tradnl"/>
              </w:rPr>
            </w:pPr>
            <w:r w:rsidRPr="00455FC7">
              <w:rPr>
                <w:rFonts w:ascii="Times New Roman" w:hAnsi="Times New Roman"/>
                <w:sz w:val="18"/>
                <w:lang w:val="es-ES_tradnl"/>
              </w:rPr>
              <w:lastRenderedPageBreak/>
              <w:t>Cobertura de población expuesta con acceso al SAT por desbordamiento de ríos incrementada</w:t>
            </w:r>
            <w:r w:rsidRPr="00455FC7">
              <w:rPr>
                <w:rStyle w:val="FootnoteReference"/>
                <w:rFonts w:ascii="Times New Roman" w:hAnsi="Times New Roman"/>
                <w:sz w:val="18"/>
                <w:lang w:val="es-ES_tradnl"/>
              </w:rPr>
              <w:footnoteReference w:id="75"/>
            </w:r>
            <w:r w:rsidRPr="00455FC7">
              <w:rPr>
                <w:rFonts w:ascii="Times New Roman" w:hAnsi="Times New Roman"/>
                <w:sz w:val="18"/>
                <w:lang w:val="es-ES_tradnl"/>
              </w:rPr>
              <w:t xml:space="preserve"> </w:t>
            </w:r>
          </w:p>
          <w:p w:rsidR="003C6A31" w:rsidRPr="00455FC7" w:rsidRDefault="003C6A31" w:rsidP="005C396F">
            <w:pPr>
              <w:tabs>
                <w:tab w:val="left" w:pos="63"/>
              </w:tabs>
              <w:ind w:left="63"/>
              <w:rPr>
                <w:rFonts w:ascii="Times New Roman" w:hAnsi="Times New Roman"/>
                <w:sz w:val="18"/>
                <w:lang w:val="es-ES_tradnl"/>
              </w:rPr>
            </w:pPr>
          </w:p>
        </w:tc>
        <w:tc>
          <w:tcPr>
            <w:tcW w:w="990" w:type="dxa"/>
          </w:tcPr>
          <w:p w:rsidR="003C6A31" w:rsidRPr="00455FC7" w:rsidRDefault="00081A23" w:rsidP="005C396F">
            <w:pPr>
              <w:rPr>
                <w:rFonts w:ascii="Times New Roman" w:hAnsi="Times New Roman"/>
                <w:sz w:val="18"/>
                <w:lang w:val="es-ES_tradnl"/>
              </w:rPr>
            </w:pPr>
            <w:r w:rsidRPr="00455FC7">
              <w:rPr>
                <w:rFonts w:ascii="Times New Roman" w:hAnsi="Times New Roman"/>
                <w:sz w:val="18"/>
                <w:lang w:val="es-ES_tradnl"/>
              </w:rPr>
              <w:t xml:space="preserve">Habitantes </w:t>
            </w:r>
          </w:p>
        </w:tc>
        <w:tc>
          <w:tcPr>
            <w:tcW w:w="938" w:type="dxa"/>
            <w:gridSpan w:val="2"/>
          </w:tcPr>
          <w:p w:rsidR="003C6A31" w:rsidRPr="00455FC7" w:rsidRDefault="00081A23" w:rsidP="005C396F">
            <w:pPr>
              <w:jc w:val="center"/>
              <w:rPr>
                <w:rFonts w:ascii="Times New Roman" w:hAnsi="Times New Roman"/>
                <w:sz w:val="18"/>
                <w:lang w:val="es-ES_tradnl"/>
              </w:rPr>
            </w:pPr>
            <w:r w:rsidRPr="00455FC7">
              <w:rPr>
                <w:rFonts w:ascii="Times New Roman" w:hAnsi="Times New Roman"/>
                <w:sz w:val="18"/>
                <w:lang w:val="es-ES_tradnl"/>
              </w:rPr>
              <w:t>0</w:t>
            </w:r>
          </w:p>
        </w:tc>
        <w:tc>
          <w:tcPr>
            <w:tcW w:w="630" w:type="dxa"/>
          </w:tcPr>
          <w:p w:rsidR="003C6A31" w:rsidRPr="00455FC7" w:rsidRDefault="00081A23" w:rsidP="005C396F">
            <w:pPr>
              <w:jc w:val="center"/>
              <w:rPr>
                <w:rFonts w:ascii="Times New Roman" w:hAnsi="Times New Roman"/>
                <w:sz w:val="18"/>
                <w:lang w:val="es-ES_tradnl"/>
              </w:rPr>
            </w:pPr>
            <w:r w:rsidRPr="00455FC7">
              <w:rPr>
                <w:rFonts w:ascii="Times New Roman" w:hAnsi="Times New Roman"/>
                <w:sz w:val="18"/>
                <w:lang w:val="es-ES_tradnl"/>
              </w:rPr>
              <w:t>2016</w:t>
            </w:r>
          </w:p>
        </w:tc>
        <w:tc>
          <w:tcPr>
            <w:tcW w:w="720" w:type="dxa"/>
          </w:tcPr>
          <w:p w:rsidR="003C6A31" w:rsidRPr="00455FC7" w:rsidRDefault="003C6A31" w:rsidP="005C396F">
            <w:pPr>
              <w:jc w:val="center"/>
              <w:rPr>
                <w:rFonts w:ascii="Times New Roman" w:hAnsi="Times New Roman"/>
                <w:sz w:val="18"/>
                <w:lang w:val="es-ES_tradnl"/>
              </w:rPr>
            </w:pPr>
          </w:p>
        </w:tc>
        <w:tc>
          <w:tcPr>
            <w:tcW w:w="630" w:type="dxa"/>
          </w:tcPr>
          <w:p w:rsidR="003C6A31" w:rsidRPr="00455FC7" w:rsidRDefault="003C6A31" w:rsidP="005C396F">
            <w:pPr>
              <w:jc w:val="center"/>
              <w:rPr>
                <w:rFonts w:ascii="Times New Roman" w:hAnsi="Times New Roman"/>
                <w:sz w:val="18"/>
                <w:lang w:val="es-ES_tradnl"/>
              </w:rPr>
            </w:pPr>
          </w:p>
        </w:tc>
        <w:tc>
          <w:tcPr>
            <w:tcW w:w="720" w:type="dxa"/>
          </w:tcPr>
          <w:p w:rsidR="003C6A31" w:rsidRPr="00455FC7" w:rsidRDefault="003C6A31" w:rsidP="005C396F">
            <w:pPr>
              <w:jc w:val="center"/>
              <w:rPr>
                <w:rFonts w:ascii="Times New Roman" w:hAnsi="Times New Roman"/>
                <w:sz w:val="18"/>
                <w:lang w:val="es-ES_tradnl"/>
              </w:rPr>
            </w:pPr>
          </w:p>
        </w:tc>
        <w:tc>
          <w:tcPr>
            <w:tcW w:w="630" w:type="dxa"/>
          </w:tcPr>
          <w:p w:rsidR="003C6A31" w:rsidRPr="00455FC7" w:rsidRDefault="003C6A31" w:rsidP="005C396F">
            <w:pPr>
              <w:jc w:val="center"/>
              <w:rPr>
                <w:rFonts w:ascii="Times New Roman" w:hAnsi="Times New Roman"/>
                <w:sz w:val="18"/>
                <w:lang w:val="es-ES_tradnl"/>
              </w:rPr>
            </w:pPr>
          </w:p>
        </w:tc>
        <w:tc>
          <w:tcPr>
            <w:tcW w:w="923" w:type="dxa"/>
          </w:tcPr>
          <w:p w:rsidR="003C6A31" w:rsidRPr="00455FC7" w:rsidRDefault="00081A23" w:rsidP="005C396F">
            <w:pPr>
              <w:jc w:val="center"/>
              <w:rPr>
                <w:rFonts w:ascii="Times New Roman" w:hAnsi="Times New Roman"/>
                <w:sz w:val="18"/>
                <w:lang w:val="es-ES_tradnl"/>
              </w:rPr>
            </w:pPr>
            <w:r w:rsidRPr="00455FC7">
              <w:rPr>
                <w:rFonts w:ascii="Times New Roman" w:hAnsi="Times New Roman"/>
                <w:sz w:val="18"/>
                <w:lang w:val="es-ES_tradnl"/>
              </w:rPr>
              <w:t>721.456</w:t>
            </w:r>
          </w:p>
        </w:tc>
        <w:tc>
          <w:tcPr>
            <w:tcW w:w="630" w:type="dxa"/>
          </w:tcPr>
          <w:p w:rsidR="003C6A31" w:rsidRPr="00455FC7" w:rsidRDefault="00081A23" w:rsidP="005C396F">
            <w:pPr>
              <w:jc w:val="center"/>
              <w:rPr>
                <w:rFonts w:ascii="Times New Roman" w:hAnsi="Times New Roman"/>
                <w:sz w:val="18"/>
                <w:lang w:val="es-ES_tradnl"/>
              </w:rPr>
            </w:pPr>
            <w:r w:rsidRPr="00455FC7">
              <w:rPr>
                <w:rFonts w:ascii="Times New Roman" w:hAnsi="Times New Roman"/>
                <w:sz w:val="18"/>
                <w:lang w:val="es-ES_tradnl"/>
              </w:rPr>
              <w:t>2019</w:t>
            </w:r>
          </w:p>
        </w:tc>
        <w:tc>
          <w:tcPr>
            <w:tcW w:w="1071" w:type="dxa"/>
          </w:tcPr>
          <w:p w:rsidR="003C6A31" w:rsidRPr="00455FC7" w:rsidRDefault="00081A23" w:rsidP="005C396F">
            <w:pPr>
              <w:jc w:val="center"/>
              <w:rPr>
                <w:rFonts w:ascii="Times New Roman" w:hAnsi="Times New Roman"/>
                <w:sz w:val="18"/>
                <w:lang w:val="es-ES_tradnl"/>
              </w:rPr>
            </w:pPr>
            <w:r w:rsidRPr="00455FC7">
              <w:rPr>
                <w:rFonts w:ascii="Times New Roman" w:hAnsi="Times New Roman"/>
                <w:sz w:val="18"/>
                <w:lang w:val="es-ES_tradnl"/>
              </w:rPr>
              <w:t>721.456</w:t>
            </w:r>
          </w:p>
        </w:tc>
        <w:tc>
          <w:tcPr>
            <w:tcW w:w="630" w:type="dxa"/>
          </w:tcPr>
          <w:p w:rsidR="003C6A31" w:rsidRPr="00455FC7" w:rsidRDefault="00081A23" w:rsidP="005C396F">
            <w:pPr>
              <w:jc w:val="center"/>
              <w:rPr>
                <w:rFonts w:ascii="Times New Roman" w:hAnsi="Times New Roman"/>
                <w:sz w:val="18"/>
                <w:lang w:val="es-ES_tradnl"/>
              </w:rPr>
            </w:pPr>
            <w:r w:rsidRPr="00455FC7">
              <w:rPr>
                <w:rFonts w:ascii="Times New Roman" w:hAnsi="Times New Roman"/>
                <w:sz w:val="18"/>
                <w:lang w:val="es-ES_tradnl"/>
              </w:rPr>
              <w:t>2019</w:t>
            </w:r>
          </w:p>
        </w:tc>
        <w:tc>
          <w:tcPr>
            <w:tcW w:w="1710" w:type="dxa"/>
          </w:tcPr>
          <w:p w:rsidR="003C6A31" w:rsidRPr="00455FC7" w:rsidRDefault="00081A23" w:rsidP="005C396F">
            <w:pPr>
              <w:rPr>
                <w:rFonts w:ascii="Times New Roman" w:hAnsi="Times New Roman"/>
                <w:sz w:val="18"/>
                <w:lang w:val="es-ES_tradnl"/>
              </w:rPr>
            </w:pPr>
            <w:r w:rsidRPr="00455FC7">
              <w:rPr>
                <w:rFonts w:ascii="Times New Roman" w:hAnsi="Times New Roman"/>
                <w:sz w:val="18"/>
                <w:lang w:val="es-ES_tradnl"/>
              </w:rPr>
              <w:t>Informes avalados por la SGR</w:t>
            </w:r>
          </w:p>
        </w:tc>
        <w:tc>
          <w:tcPr>
            <w:tcW w:w="1440" w:type="dxa"/>
          </w:tcPr>
          <w:p w:rsidR="003C6A31" w:rsidRPr="00455FC7" w:rsidRDefault="00081A23" w:rsidP="005C396F">
            <w:pPr>
              <w:rPr>
                <w:rFonts w:ascii="Times New Roman" w:hAnsi="Times New Roman"/>
                <w:sz w:val="18"/>
                <w:lang w:val="es-ES_tradnl"/>
              </w:rPr>
            </w:pPr>
            <w:r w:rsidRPr="00455FC7">
              <w:rPr>
                <w:rFonts w:ascii="Times New Roman" w:hAnsi="Times New Roman"/>
                <w:sz w:val="18"/>
                <w:lang w:val="es-ES_tradnl"/>
              </w:rPr>
              <w:t>Fuente de información (habitantes cada comunidad): Censo nacional</w:t>
            </w:r>
          </w:p>
        </w:tc>
      </w:tr>
      <w:tr w:rsidR="003C6A31" w:rsidRPr="006F6989" w:rsidTr="005C396F">
        <w:tc>
          <w:tcPr>
            <w:tcW w:w="2070" w:type="dxa"/>
            <w:tcBorders>
              <w:bottom w:val="single" w:sz="4" w:space="0" w:color="000000"/>
            </w:tcBorders>
          </w:tcPr>
          <w:p w:rsidR="003C6A31" w:rsidRPr="00455FC7" w:rsidRDefault="00081A23" w:rsidP="005C396F">
            <w:pPr>
              <w:tabs>
                <w:tab w:val="left" w:pos="63"/>
              </w:tabs>
              <w:ind w:left="63"/>
              <w:rPr>
                <w:rFonts w:ascii="Times New Roman" w:hAnsi="Times New Roman"/>
                <w:sz w:val="18"/>
                <w:lang w:val="es-ES_tradnl"/>
              </w:rPr>
            </w:pPr>
            <w:r w:rsidRPr="00455FC7">
              <w:rPr>
                <w:rFonts w:ascii="Times New Roman" w:hAnsi="Times New Roman"/>
                <w:sz w:val="18"/>
                <w:lang w:val="es-ES_tradnl"/>
              </w:rPr>
              <w:t>Población expuesta que participa en los ejercicios de evacuación</w:t>
            </w:r>
          </w:p>
        </w:tc>
        <w:tc>
          <w:tcPr>
            <w:tcW w:w="990" w:type="dxa"/>
            <w:tcBorders>
              <w:bottom w:val="single" w:sz="4" w:space="0" w:color="000000"/>
            </w:tcBorders>
          </w:tcPr>
          <w:p w:rsidR="003C6A31" w:rsidRPr="00455FC7" w:rsidRDefault="00081A23" w:rsidP="005C396F">
            <w:pPr>
              <w:rPr>
                <w:rFonts w:ascii="Times New Roman" w:hAnsi="Times New Roman"/>
                <w:sz w:val="18"/>
                <w:lang w:val="es-ES_tradnl"/>
              </w:rPr>
            </w:pPr>
            <w:r w:rsidRPr="00455FC7">
              <w:rPr>
                <w:rFonts w:ascii="Times New Roman" w:hAnsi="Times New Roman"/>
                <w:sz w:val="18"/>
                <w:lang w:val="es-ES_tradnl"/>
              </w:rPr>
              <w:t>Habitantes</w:t>
            </w:r>
          </w:p>
        </w:tc>
        <w:tc>
          <w:tcPr>
            <w:tcW w:w="938" w:type="dxa"/>
            <w:gridSpan w:val="2"/>
            <w:tcBorders>
              <w:bottom w:val="single" w:sz="4" w:space="0" w:color="000000"/>
            </w:tcBorders>
          </w:tcPr>
          <w:p w:rsidR="003C6A31" w:rsidRPr="00455FC7" w:rsidRDefault="00081A23" w:rsidP="005C396F">
            <w:pPr>
              <w:jc w:val="center"/>
              <w:rPr>
                <w:rFonts w:ascii="Times New Roman" w:hAnsi="Times New Roman"/>
                <w:sz w:val="18"/>
                <w:lang w:val="es-ES_tradnl"/>
              </w:rPr>
            </w:pPr>
            <w:r w:rsidRPr="00455FC7">
              <w:rPr>
                <w:rFonts w:ascii="Times New Roman" w:hAnsi="Times New Roman"/>
                <w:sz w:val="18"/>
                <w:lang w:val="es-ES_tradnl"/>
              </w:rPr>
              <w:t xml:space="preserve">0 </w:t>
            </w:r>
          </w:p>
        </w:tc>
        <w:tc>
          <w:tcPr>
            <w:tcW w:w="630" w:type="dxa"/>
            <w:tcBorders>
              <w:bottom w:val="single" w:sz="4" w:space="0" w:color="000000"/>
            </w:tcBorders>
          </w:tcPr>
          <w:p w:rsidR="003C6A31" w:rsidRPr="00455FC7" w:rsidRDefault="00081A23" w:rsidP="005C396F">
            <w:pPr>
              <w:jc w:val="center"/>
              <w:rPr>
                <w:rFonts w:ascii="Times New Roman" w:hAnsi="Times New Roman"/>
                <w:sz w:val="18"/>
                <w:lang w:val="es-ES_tradnl"/>
              </w:rPr>
            </w:pPr>
            <w:r w:rsidRPr="00455FC7">
              <w:rPr>
                <w:rFonts w:ascii="Times New Roman" w:hAnsi="Times New Roman"/>
                <w:sz w:val="18"/>
                <w:lang w:val="es-ES_tradnl"/>
              </w:rPr>
              <w:t>2016</w:t>
            </w:r>
          </w:p>
        </w:tc>
        <w:tc>
          <w:tcPr>
            <w:tcW w:w="720" w:type="dxa"/>
            <w:tcBorders>
              <w:bottom w:val="single" w:sz="4" w:space="0" w:color="000000"/>
            </w:tcBorders>
          </w:tcPr>
          <w:p w:rsidR="003C6A31" w:rsidRPr="00455FC7" w:rsidRDefault="003C6A31" w:rsidP="005C396F">
            <w:pPr>
              <w:jc w:val="center"/>
              <w:rPr>
                <w:rFonts w:ascii="Times New Roman" w:hAnsi="Times New Roman"/>
                <w:sz w:val="18"/>
                <w:lang w:val="es-ES_tradnl"/>
              </w:rPr>
            </w:pPr>
          </w:p>
        </w:tc>
        <w:tc>
          <w:tcPr>
            <w:tcW w:w="630" w:type="dxa"/>
            <w:tcBorders>
              <w:bottom w:val="single" w:sz="4" w:space="0" w:color="000000"/>
            </w:tcBorders>
          </w:tcPr>
          <w:p w:rsidR="003C6A31" w:rsidRPr="00455FC7" w:rsidRDefault="003C6A31" w:rsidP="005C396F">
            <w:pPr>
              <w:jc w:val="center"/>
              <w:rPr>
                <w:rFonts w:ascii="Times New Roman" w:hAnsi="Times New Roman"/>
                <w:sz w:val="18"/>
                <w:lang w:val="es-ES_tradnl"/>
              </w:rPr>
            </w:pPr>
          </w:p>
        </w:tc>
        <w:tc>
          <w:tcPr>
            <w:tcW w:w="720" w:type="dxa"/>
            <w:tcBorders>
              <w:bottom w:val="single" w:sz="4" w:space="0" w:color="000000"/>
            </w:tcBorders>
          </w:tcPr>
          <w:p w:rsidR="003C6A31" w:rsidRPr="00455FC7" w:rsidRDefault="003C6A31" w:rsidP="005C396F">
            <w:pPr>
              <w:jc w:val="center"/>
              <w:rPr>
                <w:rFonts w:ascii="Times New Roman" w:hAnsi="Times New Roman"/>
                <w:sz w:val="18"/>
                <w:lang w:val="es-ES_tradnl"/>
              </w:rPr>
            </w:pPr>
          </w:p>
        </w:tc>
        <w:tc>
          <w:tcPr>
            <w:tcW w:w="630" w:type="dxa"/>
            <w:tcBorders>
              <w:bottom w:val="single" w:sz="4" w:space="0" w:color="000000"/>
            </w:tcBorders>
          </w:tcPr>
          <w:p w:rsidR="003C6A31" w:rsidRPr="00455FC7" w:rsidRDefault="003C6A31" w:rsidP="005C396F">
            <w:pPr>
              <w:jc w:val="center"/>
              <w:rPr>
                <w:rFonts w:ascii="Times New Roman" w:hAnsi="Times New Roman"/>
                <w:sz w:val="18"/>
                <w:lang w:val="es-ES_tradnl"/>
              </w:rPr>
            </w:pPr>
          </w:p>
        </w:tc>
        <w:tc>
          <w:tcPr>
            <w:tcW w:w="923" w:type="dxa"/>
            <w:tcBorders>
              <w:bottom w:val="single" w:sz="4" w:space="0" w:color="000000"/>
            </w:tcBorders>
          </w:tcPr>
          <w:p w:rsidR="003C6A31" w:rsidRPr="00455FC7" w:rsidRDefault="00081A23" w:rsidP="005C396F">
            <w:pPr>
              <w:jc w:val="center"/>
              <w:rPr>
                <w:rFonts w:ascii="Times New Roman" w:hAnsi="Times New Roman"/>
                <w:sz w:val="18"/>
                <w:lang w:val="es-ES_tradnl"/>
              </w:rPr>
            </w:pPr>
            <w:r w:rsidRPr="00455FC7">
              <w:rPr>
                <w:rFonts w:ascii="Times New Roman" w:hAnsi="Times New Roman"/>
                <w:sz w:val="18"/>
                <w:lang w:val="es-ES_tradnl"/>
              </w:rPr>
              <w:t>300.000</w:t>
            </w:r>
          </w:p>
        </w:tc>
        <w:tc>
          <w:tcPr>
            <w:tcW w:w="630" w:type="dxa"/>
            <w:tcBorders>
              <w:bottom w:val="single" w:sz="4" w:space="0" w:color="000000"/>
            </w:tcBorders>
          </w:tcPr>
          <w:p w:rsidR="003C6A31" w:rsidRPr="00455FC7" w:rsidRDefault="00081A23" w:rsidP="005C396F">
            <w:pPr>
              <w:jc w:val="center"/>
              <w:rPr>
                <w:rFonts w:ascii="Times New Roman" w:hAnsi="Times New Roman"/>
                <w:sz w:val="18"/>
                <w:lang w:val="es-ES_tradnl"/>
              </w:rPr>
            </w:pPr>
            <w:r w:rsidRPr="00455FC7">
              <w:rPr>
                <w:rFonts w:ascii="Times New Roman" w:hAnsi="Times New Roman"/>
                <w:sz w:val="18"/>
                <w:lang w:val="es-ES_tradnl"/>
              </w:rPr>
              <w:t>2019</w:t>
            </w:r>
          </w:p>
        </w:tc>
        <w:tc>
          <w:tcPr>
            <w:tcW w:w="1071" w:type="dxa"/>
            <w:tcBorders>
              <w:bottom w:val="single" w:sz="4" w:space="0" w:color="000000"/>
            </w:tcBorders>
          </w:tcPr>
          <w:p w:rsidR="003C6A31" w:rsidRPr="00455FC7" w:rsidRDefault="00081A23" w:rsidP="005C396F">
            <w:pPr>
              <w:jc w:val="center"/>
              <w:rPr>
                <w:rFonts w:ascii="Times New Roman" w:hAnsi="Times New Roman"/>
                <w:sz w:val="18"/>
                <w:lang w:val="es-ES_tradnl"/>
              </w:rPr>
            </w:pPr>
            <w:r w:rsidRPr="00455FC7">
              <w:rPr>
                <w:rFonts w:ascii="Times New Roman" w:hAnsi="Times New Roman"/>
                <w:sz w:val="18"/>
                <w:lang w:val="es-ES_tradnl"/>
              </w:rPr>
              <w:t>300.000</w:t>
            </w:r>
          </w:p>
        </w:tc>
        <w:tc>
          <w:tcPr>
            <w:tcW w:w="630" w:type="dxa"/>
            <w:tcBorders>
              <w:bottom w:val="single" w:sz="4" w:space="0" w:color="000000"/>
            </w:tcBorders>
          </w:tcPr>
          <w:p w:rsidR="003C6A31" w:rsidRPr="00455FC7" w:rsidRDefault="00081A23" w:rsidP="005C396F">
            <w:pPr>
              <w:jc w:val="center"/>
              <w:rPr>
                <w:rFonts w:ascii="Times New Roman" w:hAnsi="Times New Roman"/>
                <w:sz w:val="18"/>
                <w:lang w:val="es-ES_tradnl"/>
              </w:rPr>
            </w:pPr>
            <w:r w:rsidRPr="00455FC7">
              <w:rPr>
                <w:rFonts w:ascii="Times New Roman" w:hAnsi="Times New Roman"/>
                <w:sz w:val="18"/>
                <w:lang w:val="es-ES_tradnl"/>
              </w:rPr>
              <w:t>2019</w:t>
            </w:r>
          </w:p>
        </w:tc>
        <w:tc>
          <w:tcPr>
            <w:tcW w:w="1710" w:type="dxa"/>
            <w:tcBorders>
              <w:bottom w:val="single" w:sz="4" w:space="0" w:color="000000"/>
            </w:tcBorders>
          </w:tcPr>
          <w:p w:rsidR="003C6A31" w:rsidRPr="00455FC7" w:rsidRDefault="00081A23" w:rsidP="005C396F">
            <w:pPr>
              <w:rPr>
                <w:rFonts w:ascii="Times New Roman" w:hAnsi="Times New Roman"/>
                <w:sz w:val="18"/>
                <w:lang w:val="es-ES_tradnl"/>
              </w:rPr>
            </w:pPr>
            <w:r w:rsidRPr="00455FC7">
              <w:rPr>
                <w:rFonts w:ascii="Times New Roman" w:hAnsi="Times New Roman"/>
                <w:sz w:val="18"/>
                <w:lang w:val="es-ES_tradnl"/>
              </w:rPr>
              <w:t>Informes avalados por la SGR</w:t>
            </w:r>
          </w:p>
        </w:tc>
        <w:tc>
          <w:tcPr>
            <w:tcW w:w="1440" w:type="dxa"/>
            <w:tcBorders>
              <w:bottom w:val="single" w:sz="4" w:space="0" w:color="000000"/>
            </w:tcBorders>
          </w:tcPr>
          <w:p w:rsidR="003C6A31" w:rsidRPr="00455FC7" w:rsidRDefault="003C6A31" w:rsidP="005C396F">
            <w:pPr>
              <w:rPr>
                <w:rFonts w:ascii="Times New Roman" w:hAnsi="Times New Roman"/>
                <w:sz w:val="18"/>
                <w:lang w:val="es-ES_tradnl"/>
              </w:rPr>
            </w:pPr>
          </w:p>
        </w:tc>
      </w:tr>
    </w:tbl>
    <w:p w:rsidR="003C6A31" w:rsidRPr="00B04E11" w:rsidRDefault="003C6A31" w:rsidP="00B04E11">
      <w:pPr>
        <w:rPr>
          <w:rFonts w:ascii="Times New Roman" w:hAnsi="Times New Roman"/>
          <w:lang w:val="es-EC" w:eastAsia="ja-JP"/>
        </w:rPr>
      </w:pPr>
    </w:p>
    <w:p w:rsidR="003E3B74" w:rsidRPr="00F30F32" w:rsidRDefault="003C6A31" w:rsidP="003C6A31">
      <w:pPr>
        <w:spacing w:after="120"/>
        <w:rPr>
          <w:rFonts w:ascii="Times New Roman" w:hAnsi="Times New Roman"/>
          <w:sz w:val="22"/>
          <w:szCs w:val="22"/>
          <w:lang w:val="es-CR" w:eastAsia="zh-CN" w:bidi="hi-IN"/>
        </w:rPr>
        <w:sectPr w:rsidR="003E3B74" w:rsidRPr="00F30F32" w:rsidSect="00FB2C30">
          <w:pgSz w:w="15840" w:h="12240" w:orient="landscape" w:code="1"/>
          <w:pgMar w:top="1797" w:right="1440" w:bottom="1797" w:left="1440" w:header="720" w:footer="720" w:gutter="0"/>
          <w:cols w:space="720"/>
        </w:sectPr>
      </w:pPr>
      <w:r w:rsidRPr="00F30F32">
        <w:rPr>
          <w:rFonts w:ascii="Times New Roman" w:hAnsi="Times New Roman"/>
          <w:sz w:val="22"/>
          <w:szCs w:val="22"/>
          <w:lang w:val="es-CR" w:eastAsia="zh-CN" w:bidi="hi-IN"/>
        </w:rPr>
        <w:t xml:space="preserve"> </w:t>
      </w:r>
    </w:p>
    <w:p w:rsidR="00997E8C" w:rsidRDefault="00997E8C" w:rsidP="00997E8C">
      <w:pPr>
        <w:rPr>
          <w:rStyle w:val="Heading1Char"/>
          <w:rFonts w:ascii="Times New Roman" w:hAnsi="Times New Roman"/>
        </w:rPr>
      </w:pPr>
      <w:bookmarkStart w:id="322" w:name="_Toc465929638"/>
      <w:bookmarkStart w:id="323" w:name="_Toc468199845"/>
      <w:r w:rsidRPr="00997E8C">
        <w:rPr>
          <w:rStyle w:val="Heading1Char"/>
          <w:rFonts w:ascii="Times New Roman" w:hAnsi="Times New Roman"/>
        </w:rPr>
        <w:lastRenderedPageBreak/>
        <w:t xml:space="preserve">Anexo </w:t>
      </w:r>
      <w:r w:rsidR="00325C8A">
        <w:rPr>
          <w:rStyle w:val="Heading1Char"/>
          <w:rFonts w:ascii="Times New Roman" w:hAnsi="Times New Roman"/>
        </w:rPr>
        <w:t>E</w:t>
      </w:r>
      <w:r w:rsidRPr="00997E8C">
        <w:rPr>
          <w:rStyle w:val="Heading1Char"/>
          <w:rFonts w:ascii="Times New Roman" w:hAnsi="Times New Roman"/>
        </w:rPr>
        <w:t xml:space="preserve"> - </w:t>
      </w:r>
      <w:r>
        <w:rPr>
          <w:rStyle w:val="Heading1Char"/>
          <w:rFonts w:ascii="Times New Roman" w:hAnsi="Times New Roman"/>
        </w:rPr>
        <w:t xml:space="preserve"> </w:t>
      </w:r>
      <w:r w:rsidR="00B04E11">
        <w:rPr>
          <w:rStyle w:val="Heading1Char"/>
          <w:rFonts w:ascii="Times New Roman" w:hAnsi="Times New Roman"/>
        </w:rPr>
        <w:t>Caso Base – Flujo de Fondos Proyectado</w:t>
      </w:r>
      <w:bookmarkEnd w:id="322"/>
      <w:bookmarkEnd w:id="323"/>
    </w:p>
    <w:p w:rsidR="00874F67" w:rsidRDefault="00874F67" w:rsidP="00997E8C">
      <w:pPr>
        <w:rPr>
          <w:rStyle w:val="Heading1Char"/>
          <w:rFonts w:ascii="Times New Roman" w:hAnsi="Times New Roman"/>
          <w:b w:val="0"/>
          <w:i w:val="0"/>
        </w:rPr>
      </w:pPr>
    </w:p>
    <w:p w:rsidR="00F30F32" w:rsidRPr="00837476" w:rsidRDefault="00F30F32" w:rsidP="00F30F32">
      <w:pPr>
        <w:rPr>
          <w:lang w:val="es-ES_tradnl"/>
        </w:rPr>
      </w:pPr>
    </w:p>
    <w:p w:rsidR="00F30F32" w:rsidRDefault="00F30F32" w:rsidP="00F30F32">
      <w:pPr>
        <w:jc w:val="both"/>
        <w:rPr>
          <w:rFonts w:ascii="Times New Roman" w:hAnsi="Times New Roman"/>
          <w:sz w:val="22"/>
          <w:szCs w:val="22"/>
          <w:lang w:val="es-ES"/>
        </w:rPr>
      </w:pPr>
      <w:r w:rsidRPr="00F30F32">
        <w:rPr>
          <w:rFonts w:ascii="Times New Roman" w:hAnsi="Times New Roman"/>
          <w:sz w:val="22"/>
          <w:szCs w:val="22"/>
          <w:lang w:val="es-ES"/>
        </w:rPr>
        <w:t xml:space="preserve">Se presenta a continuación en dos hojas la síntesis de las planillas de cálculo que resumen el </w:t>
      </w:r>
      <w:r w:rsidR="005A5D79">
        <w:rPr>
          <w:rFonts w:ascii="Times New Roman" w:hAnsi="Times New Roman"/>
          <w:sz w:val="22"/>
          <w:szCs w:val="22"/>
          <w:lang w:val="es-ES"/>
        </w:rPr>
        <w:t>f</w:t>
      </w:r>
      <w:r w:rsidR="005A5D79" w:rsidRPr="00F30F32">
        <w:rPr>
          <w:rFonts w:ascii="Times New Roman" w:hAnsi="Times New Roman"/>
          <w:sz w:val="22"/>
          <w:szCs w:val="22"/>
          <w:lang w:val="es-ES"/>
        </w:rPr>
        <w:t xml:space="preserve">lujo </w:t>
      </w:r>
      <w:r w:rsidRPr="00F30F32">
        <w:rPr>
          <w:rFonts w:ascii="Times New Roman" w:hAnsi="Times New Roman"/>
          <w:sz w:val="22"/>
          <w:szCs w:val="22"/>
          <w:lang w:val="es-ES"/>
        </w:rPr>
        <w:t>de fondos proyectado. La primera contempla los primeros 10 años de impacto esperado de</w:t>
      </w:r>
      <w:r>
        <w:rPr>
          <w:rFonts w:ascii="Times New Roman" w:hAnsi="Times New Roman"/>
          <w:sz w:val="22"/>
          <w:szCs w:val="22"/>
          <w:lang w:val="es-ES"/>
        </w:rPr>
        <w:t>l</w:t>
      </w:r>
      <w:r w:rsidRPr="00F30F32">
        <w:rPr>
          <w:rFonts w:ascii="Times New Roman" w:hAnsi="Times New Roman"/>
          <w:sz w:val="22"/>
          <w:szCs w:val="22"/>
          <w:lang w:val="es-ES"/>
        </w:rPr>
        <w:t xml:space="preserve"> Programa y la segunda los siguientes 10 años.</w:t>
      </w:r>
    </w:p>
    <w:p w:rsidR="00F30F32" w:rsidRPr="00F30F32" w:rsidRDefault="00F30F32" w:rsidP="00F30F32">
      <w:pPr>
        <w:jc w:val="both"/>
        <w:rPr>
          <w:rFonts w:ascii="Times New Roman" w:hAnsi="Times New Roman"/>
          <w:sz w:val="22"/>
          <w:szCs w:val="22"/>
          <w:lang w:val="es-ES"/>
        </w:rPr>
        <w:sectPr w:rsidR="00F30F32" w:rsidRPr="00F30F32" w:rsidSect="00874F67">
          <w:pgSz w:w="12240" w:h="15840" w:code="1"/>
          <w:pgMar w:top="1440" w:right="1797" w:bottom="1440" w:left="1797" w:header="720" w:footer="720" w:gutter="0"/>
          <w:cols w:space="720"/>
        </w:sectPr>
      </w:pPr>
    </w:p>
    <w:p w:rsidR="00874F67" w:rsidRDefault="00874F67" w:rsidP="00997E8C">
      <w:pPr>
        <w:rPr>
          <w:rStyle w:val="Heading1Char"/>
          <w:rFonts w:ascii="Times New Roman" w:hAnsi="Times New Roman"/>
          <w:b w:val="0"/>
          <w:i w:val="0"/>
        </w:rPr>
      </w:pPr>
      <w:r w:rsidRPr="00874F67">
        <w:rPr>
          <w:noProof/>
        </w:rPr>
        <w:lastRenderedPageBreak/>
        <w:drawing>
          <wp:inline distT="0" distB="0" distL="0" distR="0" wp14:anchorId="3F9759D6" wp14:editId="2C5E2D8D">
            <wp:extent cx="5674622" cy="6352795"/>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679665" cy="6358441"/>
                    </a:xfrm>
                    <a:prstGeom prst="rect">
                      <a:avLst/>
                    </a:prstGeom>
                    <a:noFill/>
                    <a:ln>
                      <a:noFill/>
                    </a:ln>
                  </pic:spPr>
                </pic:pic>
              </a:graphicData>
            </a:graphic>
          </wp:inline>
        </w:drawing>
      </w:r>
    </w:p>
    <w:p w:rsidR="00874F67" w:rsidRDefault="00874F67" w:rsidP="00997E8C">
      <w:pPr>
        <w:rPr>
          <w:rStyle w:val="Heading1Char"/>
          <w:rFonts w:ascii="Times New Roman" w:hAnsi="Times New Roman"/>
          <w:b w:val="0"/>
          <w:i w:val="0"/>
        </w:rPr>
      </w:pPr>
    </w:p>
    <w:p w:rsidR="00874F67" w:rsidRDefault="00874F67" w:rsidP="00997E8C">
      <w:pPr>
        <w:rPr>
          <w:rStyle w:val="Heading1Char"/>
          <w:rFonts w:ascii="Times New Roman" w:hAnsi="Times New Roman"/>
          <w:b w:val="0"/>
          <w:i w:val="0"/>
        </w:rPr>
      </w:pPr>
    </w:p>
    <w:p w:rsidR="00874F67" w:rsidRDefault="00874F67" w:rsidP="00997E8C">
      <w:pPr>
        <w:rPr>
          <w:rStyle w:val="Heading1Char"/>
          <w:rFonts w:ascii="Times New Roman" w:hAnsi="Times New Roman"/>
          <w:b w:val="0"/>
          <w:i w:val="0"/>
        </w:rPr>
      </w:pPr>
    </w:p>
    <w:p w:rsidR="000C05C6" w:rsidRDefault="000C05C6">
      <w:pPr>
        <w:rPr>
          <w:rFonts w:eastAsia="Calibri"/>
          <w:lang w:val="es-AR"/>
        </w:rPr>
      </w:pPr>
    </w:p>
    <w:p w:rsidR="000C05C6" w:rsidRDefault="000C05C6">
      <w:pPr>
        <w:rPr>
          <w:rFonts w:eastAsia="Calibri"/>
          <w:lang w:val="es-AR"/>
        </w:rPr>
      </w:pPr>
    </w:p>
    <w:p w:rsidR="000C05C6" w:rsidRDefault="000C05C6">
      <w:pPr>
        <w:rPr>
          <w:rFonts w:eastAsia="Calibri"/>
          <w:lang w:val="es-AR"/>
        </w:rPr>
      </w:pPr>
    </w:p>
    <w:p w:rsidR="000C05C6" w:rsidRDefault="000C05C6">
      <w:pPr>
        <w:rPr>
          <w:rFonts w:eastAsia="Calibri"/>
          <w:lang w:val="es-AR"/>
        </w:rPr>
      </w:pPr>
    </w:p>
    <w:p w:rsidR="000C05C6" w:rsidRDefault="000C05C6">
      <w:pPr>
        <w:rPr>
          <w:rFonts w:eastAsia="Calibri"/>
          <w:lang w:val="es-AR"/>
        </w:rPr>
      </w:pPr>
    </w:p>
    <w:p w:rsidR="000C05C6" w:rsidRDefault="000C05C6">
      <w:pPr>
        <w:rPr>
          <w:rFonts w:eastAsia="Calibri"/>
          <w:lang w:val="es-AR"/>
        </w:rPr>
      </w:pPr>
    </w:p>
    <w:p w:rsidR="000C05C6" w:rsidRDefault="000C05C6">
      <w:pPr>
        <w:rPr>
          <w:rFonts w:eastAsia="Calibri"/>
          <w:lang w:val="es-AR"/>
        </w:rPr>
      </w:pPr>
    </w:p>
    <w:p w:rsidR="000C5BBC" w:rsidRDefault="000C5BBC">
      <w:pPr>
        <w:rPr>
          <w:rFonts w:eastAsia="Calibri"/>
          <w:lang w:val="es-AR"/>
        </w:rPr>
      </w:pPr>
    </w:p>
    <w:p w:rsidR="00715B95" w:rsidRDefault="00715B95">
      <w:pPr>
        <w:rPr>
          <w:rFonts w:eastAsia="Calibri"/>
          <w:lang w:val="es-AR"/>
        </w:rPr>
      </w:pPr>
    </w:p>
    <w:p w:rsidR="000C5BBC" w:rsidRDefault="000C5BBC">
      <w:pPr>
        <w:rPr>
          <w:rFonts w:eastAsia="Calibri"/>
          <w:lang w:val="es-AR"/>
        </w:rPr>
      </w:pPr>
    </w:p>
    <w:p w:rsidR="00997E8C" w:rsidRDefault="00874F67">
      <w:pPr>
        <w:rPr>
          <w:rFonts w:ascii="Times New Roman" w:eastAsia="Calibri" w:hAnsi="Times New Roman"/>
          <w:b/>
          <w:bCs/>
          <w:i/>
          <w:iCs/>
          <w:sz w:val="22"/>
          <w:szCs w:val="22"/>
          <w:lang w:val="es-ES_tradnl"/>
        </w:rPr>
      </w:pPr>
      <w:r w:rsidRPr="00874F67">
        <w:rPr>
          <w:rFonts w:eastAsia="Calibri"/>
          <w:noProof/>
        </w:rPr>
        <w:drawing>
          <wp:inline distT="0" distB="0" distL="0" distR="0" wp14:anchorId="340646A7" wp14:editId="6FD132A2">
            <wp:extent cx="5490210" cy="6198779"/>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490210" cy="6198779"/>
                    </a:xfrm>
                    <a:prstGeom prst="rect">
                      <a:avLst/>
                    </a:prstGeom>
                    <a:noFill/>
                    <a:ln>
                      <a:noFill/>
                    </a:ln>
                  </pic:spPr>
                </pic:pic>
              </a:graphicData>
            </a:graphic>
          </wp:inline>
        </w:drawing>
      </w:r>
    </w:p>
    <w:p w:rsidR="00874F67" w:rsidRDefault="00874F67">
      <w:pPr>
        <w:rPr>
          <w:rFonts w:ascii="Times New Roman" w:eastAsia="Calibri" w:hAnsi="Times New Roman"/>
          <w:b/>
          <w:bCs/>
          <w:i/>
          <w:iCs/>
          <w:sz w:val="22"/>
          <w:szCs w:val="22"/>
          <w:lang w:val="es-ES_tradnl"/>
        </w:rPr>
      </w:pPr>
    </w:p>
    <w:p w:rsidR="00874F67" w:rsidRDefault="00874F67">
      <w:pPr>
        <w:rPr>
          <w:rFonts w:ascii="Times New Roman" w:eastAsia="Calibri" w:hAnsi="Times New Roman"/>
          <w:b/>
          <w:bCs/>
          <w:i/>
          <w:iCs/>
          <w:sz w:val="22"/>
          <w:szCs w:val="22"/>
          <w:lang w:val="es-ES_tradnl"/>
        </w:rPr>
      </w:pPr>
    </w:p>
    <w:p w:rsidR="00874F67" w:rsidRDefault="00874F67">
      <w:pPr>
        <w:rPr>
          <w:rFonts w:ascii="Times New Roman" w:eastAsia="Calibri" w:hAnsi="Times New Roman"/>
          <w:b/>
          <w:bCs/>
          <w:i/>
          <w:iCs/>
          <w:sz w:val="22"/>
          <w:szCs w:val="22"/>
          <w:lang w:val="es-ES_tradnl"/>
        </w:rPr>
      </w:pPr>
    </w:p>
    <w:p w:rsidR="00874F67" w:rsidRDefault="00874F67">
      <w:pPr>
        <w:rPr>
          <w:rFonts w:ascii="Times New Roman" w:eastAsia="Calibri" w:hAnsi="Times New Roman"/>
          <w:b/>
          <w:bCs/>
          <w:i/>
          <w:iCs/>
          <w:sz w:val="22"/>
          <w:szCs w:val="22"/>
          <w:lang w:val="es-ES_tradnl"/>
        </w:rPr>
      </w:pPr>
    </w:p>
    <w:p w:rsidR="00874F67" w:rsidRDefault="00874F67">
      <w:pPr>
        <w:rPr>
          <w:rFonts w:ascii="Times New Roman" w:eastAsia="Calibri" w:hAnsi="Times New Roman"/>
          <w:b/>
          <w:bCs/>
          <w:i/>
          <w:iCs/>
          <w:sz w:val="22"/>
          <w:szCs w:val="22"/>
          <w:lang w:val="es-ES_tradnl"/>
        </w:rPr>
      </w:pPr>
    </w:p>
    <w:p w:rsidR="00874F67" w:rsidRDefault="00874F67">
      <w:pPr>
        <w:rPr>
          <w:rFonts w:ascii="Times New Roman" w:eastAsia="Calibri" w:hAnsi="Times New Roman"/>
          <w:b/>
          <w:bCs/>
          <w:i/>
          <w:iCs/>
          <w:sz w:val="22"/>
          <w:szCs w:val="22"/>
          <w:lang w:val="es-ES_tradnl"/>
        </w:rPr>
      </w:pPr>
    </w:p>
    <w:p w:rsidR="00874F67" w:rsidRDefault="00874F67">
      <w:pPr>
        <w:rPr>
          <w:rFonts w:ascii="Times New Roman" w:eastAsia="Calibri" w:hAnsi="Times New Roman"/>
          <w:b/>
          <w:bCs/>
          <w:i/>
          <w:iCs/>
          <w:sz w:val="22"/>
          <w:szCs w:val="22"/>
          <w:lang w:val="es-ES_tradnl"/>
        </w:rPr>
      </w:pPr>
    </w:p>
    <w:p w:rsidR="00874F67" w:rsidRDefault="00874F67">
      <w:pPr>
        <w:rPr>
          <w:rFonts w:ascii="Times New Roman" w:eastAsia="Calibri" w:hAnsi="Times New Roman"/>
          <w:b/>
          <w:bCs/>
          <w:i/>
          <w:iCs/>
          <w:sz w:val="22"/>
          <w:szCs w:val="22"/>
          <w:lang w:val="es-ES_tradnl"/>
        </w:rPr>
      </w:pPr>
    </w:p>
    <w:p w:rsidR="00874F67" w:rsidRDefault="00874F67">
      <w:pPr>
        <w:rPr>
          <w:rFonts w:ascii="Times New Roman" w:eastAsia="Calibri" w:hAnsi="Times New Roman"/>
          <w:b/>
          <w:bCs/>
          <w:i/>
          <w:iCs/>
          <w:sz w:val="22"/>
          <w:szCs w:val="22"/>
          <w:lang w:val="es-ES_tradnl"/>
        </w:rPr>
      </w:pPr>
    </w:p>
    <w:p w:rsidR="00874F67" w:rsidRDefault="00874F67">
      <w:pPr>
        <w:rPr>
          <w:rFonts w:ascii="Times New Roman" w:eastAsia="Calibri" w:hAnsi="Times New Roman"/>
          <w:b/>
          <w:bCs/>
          <w:i/>
          <w:iCs/>
          <w:sz w:val="22"/>
          <w:szCs w:val="22"/>
          <w:lang w:val="es-ES_tradnl"/>
        </w:rPr>
      </w:pPr>
    </w:p>
    <w:p w:rsidR="00874F67" w:rsidRDefault="00874F67">
      <w:pPr>
        <w:rPr>
          <w:rFonts w:ascii="Times New Roman" w:eastAsia="Calibri" w:hAnsi="Times New Roman"/>
          <w:b/>
          <w:bCs/>
          <w:i/>
          <w:iCs/>
          <w:sz w:val="22"/>
          <w:szCs w:val="22"/>
          <w:lang w:val="es-ES_tradnl"/>
        </w:rPr>
      </w:pPr>
    </w:p>
    <w:p w:rsidR="00874F67" w:rsidRDefault="00874F67">
      <w:pPr>
        <w:rPr>
          <w:rFonts w:ascii="Times New Roman" w:eastAsia="Calibri" w:hAnsi="Times New Roman"/>
          <w:b/>
          <w:bCs/>
          <w:i/>
          <w:iCs/>
          <w:sz w:val="22"/>
          <w:szCs w:val="22"/>
          <w:lang w:val="es-ES_tradnl"/>
        </w:rPr>
      </w:pPr>
    </w:p>
    <w:p w:rsidR="00D72CDF" w:rsidRPr="005622B8" w:rsidRDefault="00D72CDF" w:rsidP="00F87407">
      <w:pPr>
        <w:pStyle w:val="Heading1"/>
        <w:jc w:val="both"/>
        <w:rPr>
          <w:noProof/>
          <w:lang w:val="es-AR"/>
        </w:rPr>
      </w:pPr>
      <w:bookmarkStart w:id="324" w:name="_Toc465929639"/>
      <w:bookmarkStart w:id="325" w:name="_Toc468199846"/>
      <w:r w:rsidRPr="005622B8">
        <w:rPr>
          <w:rFonts w:eastAsia="Calibri"/>
        </w:rPr>
        <w:t>Bibliografía consultada y fuentes de información</w:t>
      </w:r>
      <w:bookmarkEnd w:id="324"/>
      <w:bookmarkEnd w:id="325"/>
    </w:p>
    <w:p w:rsidR="00D72CDF" w:rsidRDefault="00D72CDF" w:rsidP="00D72CDF">
      <w:pPr>
        <w:autoSpaceDE w:val="0"/>
        <w:autoSpaceDN w:val="0"/>
        <w:adjustRightInd w:val="0"/>
        <w:rPr>
          <w:rFonts w:ascii="Times New Roman" w:hAnsi="Times New Roman"/>
          <w:bCs/>
          <w:noProof/>
          <w:color w:val="231F20"/>
          <w:lang w:val="es-ES_tradnl"/>
        </w:rPr>
      </w:pPr>
    </w:p>
    <w:p w:rsidR="00105964" w:rsidRDefault="00C11FBF" w:rsidP="00C11FBF">
      <w:pPr>
        <w:numPr>
          <w:ilvl w:val="0"/>
          <w:numId w:val="5"/>
        </w:numPr>
        <w:jc w:val="both"/>
        <w:rPr>
          <w:rFonts w:ascii="Times New Roman" w:hAnsi="Times New Roman"/>
          <w:sz w:val="22"/>
          <w:szCs w:val="22"/>
          <w:lang w:val="es-AR"/>
        </w:rPr>
      </w:pPr>
      <w:r w:rsidRPr="00C11FBF">
        <w:rPr>
          <w:rFonts w:ascii="Times New Roman" w:hAnsi="Times New Roman"/>
          <w:sz w:val="22"/>
          <w:szCs w:val="22"/>
          <w:lang w:val="es-AR"/>
        </w:rPr>
        <w:t>BID. Ocurrencia y gestión de inundaciones en América Latina y el Caribe: factores claves y experiencia adquirida</w:t>
      </w:r>
      <w:r>
        <w:rPr>
          <w:rFonts w:ascii="Times New Roman" w:hAnsi="Times New Roman"/>
          <w:sz w:val="22"/>
          <w:szCs w:val="22"/>
          <w:lang w:val="es-AR"/>
        </w:rPr>
        <w:t>.</w:t>
      </w:r>
      <w:r w:rsidRPr="00C11FBF">
        <w:rPr>
          <w:rFonts w:ascii="Times New Roman" w:hAnsi="Times New Roman"/>
          <w:sz w:val="22"/>
          <w:szCs w:val="22"/>
          <w:lang w:val="es-AR"/>
        </w:rPr>
        <w:t>/ Fernández Illescas</w:t>
      </w:r>
      <w:r>
        <w:rPr>
          <w:rFonts w:ascii="Times New Roman" w:hAnsi="Times New Roman"/>
          <w:sz w:val="22"/>
          <w:szCs w:val="22"/>
          <w:lang w:val="es-AR"/>
        </w:rPr>
        <w:t xml:space="preserve"> C.</w:t>
      </w:r>
      <w:r w:rsidRPr="00C11FBF">
        <w:rPr>
          <w:rFonts w:ascii="Times New Roman" w:hAnsi="Times New Roman"/>
          <w:sz w:val="22"/>
          <w:szCs w:val="22"/>
          <w:lang w:val="es-AR"/>
        </w:rPr>
        <w:t>, Buss</w:t>
      </w:r>
      <w:r>
        <w:rPr>
          <w:rFonts w:ascii="Times New Roman" w:hAnsi="Times New Roman"/>
          <w:sz w:val="22"/>
          <w:szCs w:val="22"/>
          <w:lang w:val="es-AR"/>
        </w:rPr>
        <w:t xml:space="preserve"> </w:t>
      </w:r>
      <w:proofErr w:type="gramStart"/>
      <w:r>
        <w:rPr>
          <w:rFonts w:ascii="Times New Roman" w:hAnsi="Times New Roman"/>
          <w:sz w:val="22"/>
          <w:szCs w:val="22"/>
          <w:lang w:val="es-AR"/>
        </w:rPr>
        <w:t>S.</w:t>
      </w:r>
      <w:r w:rsidRPr="00C11FBF">
        <w:rPr>
          <w:rFonts w:ascii="Times New Roman" w:hAnsi="Times New Roman"/>
          <w:sz w:val="22"/>
          <w:szCs w:val="22"/>
          <w:lang w:val="es-AR"/>
        </w:rPr>
        <w:t>.</w:t>
      </w:r>
      <w:proofErr w:type="gramEnd"/>
      <w:r w:rsidRPr="00C11FBF">
        <w:rPr>
          <w:rFonts w:ascii="Times New Roman" w:hAnsi="Times New Roman"/>
          <w:sz w:val="22"/>
          <w:szCs w:val="22"/>
          <w:lang w:val="es-AR"/>
        </w:rPr>
        <w:t xml:space="preserve"> Nota técnica </w:t>
      </w:r>
      <w:r>
        <w:rPr>
          <w:rFonts w:ascii="Times New Roman" w:hAnsi="Times New Roman"/>
          <w:sz w:val="22"/>
          <w:szCs w:val="22"/>
          <w:lang w:val="es-AR"/>
        </w:rPr>
        <w:t xml:space="preserve"> 924. 2016.</w:t>
      </w:r>
    </w:p>
    <w:p w:rsidR="00490D03" w:rsidRPr="00490D03" w:rsidRDefault="00490D03" w:rsidP="005E2636">
      <w:pPr>
        <w:ind w:left="720"/>
        <w:jc w:val="both"/>
        <w:rPr>
          <w:rFonts w:ascii="Times New Roman" w:hAnsi="Times New Roman"/>
          <w:sz w:val="22"/>
          <w:szCs w:val="22"/>
          <w:lang w:val="es-AR"/>
        </w:rPr>
      </w:pPr>
      <w:r w:rsidRPr="00490D03">
        <w:rPr>
          <w:rFonts w:ascii="Times New Roman" w:hAnsi="Times New Roman"/>
          <w:sz w:val="22"/>
          <w:szCs w:val="22"/>
          <w:lang w:val="es-AR"/>
        </w:rPr>
        <w:t>Copenhagen Consensus. Natural Disasters</w:t>
      </w:r>
      <w:r>
        <w:rPr>
          <w:rFonts w:ascii="Times New Roman" w:hAnsi="Times New Roman"/>
          <w:sz w:val="22"/>
          <w:szCs w:val="22"/>
          <w:lang w:val="es-AR"/>
        </w:rPr>
        <w:t>.</w:t>
      </w:r>
      <w:r w:rsidRPr="00490D03">
        <w:rPr>
          <w:rFonts w:ascii="Times New Roman" w:hAnsi="Times New Roman"/>
          <w:sz w:val="22"/>
          <w:szCs w:val="22"/>
          <w:lang w:val="es-AR"/>
        </w:rPr>
        <w:t xml:space="preserve"> </w:t>
      </w:r>
      <w:r>
        <w:rPr>
          <w:rFonts w:ascii="Times New Roman" w:hAnsi="Times New Roman"/>
          <w:sz w:val="22"/>
          <w:szCs w:val="22"/>
          <w:lang w:val="es-AR"/>
        </w:rPr>
        <w:t>Kunreuthe, H.,</w:t>
      </w:r>
      <w:r w:rsidRPr="00490D03">
        <w:rPr>
          <w:rFonts w:ascii="Times New Roman" w:hAnsi="Times New Roman"/>
          <w:sz w:val="22"/>
          <w:szCs w:val="22"/>
          <w:lang w:val="es-AR"/>
        </w:rPr>
        <w:t xml:space="preserve"> Michel-Kerjan</w:t>
      </w:r>
      <w:r>
        <w:rPr>
          <w:rFonts w:ascii="Times New Roman" w:hAnsi="Times New Roman"/>
          <w:sz w:val="22"/>
          <w:szCs w:val="22"/>
          <w:lang w:val="es-AR"/>
        </w:rPr>
        <w:t>, E.</w:t>
      </w:r>
      <w:r w:rsidRPr="00490D03">
        <w:rPr>
          <w:rFonts w:ascii="Times New Roman" w:hAnsi="Times New Roman"/>
          <w:sz w:val="22"/>
          <w:szCs w:val="22"/>
          <w:lang w:val="es-AR"/>
        </w:rPr>
        <w:t xml:space="preserve"> 2012.</w:t>
      </w:r>
    </w:p>
    <w:p w:rsidR="001F0832" w:rsidRDefault="001F0832" w:rsidP="00490D03">
      <w:pPr>
        <w:numPr>
          <w:ilvl w:val="0"/>
          <w:numId w:val="5"/>
        </w:numPr>
        <w:jc w:val="both"/>
        <w:rPr>
          <w:rFonts w:ascii="Times New Roman" w:hAnsi="Times New Roman"/>
          <w:sz w:val="22"/>
          <w:szCs w:val="22"/>
          <w:lang w:val="es-AR"/>
        </w:rPr>
      </w:pPr>
      <w:r>
        <w:rPr>
          <w:rFonts w:ascii="Times New Roman" w:hAnsi="Times New Roman"/>
          <w:sz w:val="22"/>
          <w:szCs w:val="22"/>
          <w:lang w:val="es-AR"/>
        </w:rPr>
        <w:t>CENAPRED. Sistemas de Alerta temprana con enfoque de género. UNDP. 2010.</w:t>
      </w:r>
    </w:p>
    <w:p w:rsidR="00721780" w:rsidRDefault="0054379F" w:rsidP="00490D03">
      <w:pPr>
        <w:numPr>
          <w:ilvl w:val="0"/>
          <w:numId w:val="5"/>
        </w:numPr>
        <w:jc w:val="both"/>
        <w:rPr>
          <w:rFonts w:ascii="Times New Roman" w:hAnsi="Times New Roman"/>
          <w:sz w:val="22"/>
          <w:szCs w:val="22"/>
          <w:lang w:val="es-AR"/>
        </w:rPr>
      </w:pPr>
      <w:r w:rsidRPr="0044575B">
        <w:rPr>
          <w:rFonts w:ascii="Times New Roman" w:hAnsi="Times New Roman"/>
          <w:sz w:val="22"/>
          <w:szCs w:val="22"/>
          <w:lang w:val="es-AR"/>
        </w:rPr>
        <w:t>Facultad de Ingeniería y Dirección Nacional de Defensa Civil.</w:t>
      </w:r>
      <w:r w:rsidR="0044575B" w:rsidRPr="0044575B">
        <w:rPr>
          <w:rFonts w:ascii="Times New Roman" w:hAnsi="Times New Roman"/>
          <w:sz w:val="22"/>
          <w:szCs w:val="22"/>
          <w:lang w:val="es-AR"/>
        </w:rPr>
        <w:t>R</w:t>
      </w:r>
      <w:r w:rsidR="004973CE">
        <w:rPr>
          <w:rFonts w:ascii="Times New Roman" w:hAnsi="Times New Roman"/>
          <w:sz w:val="22"/>
          <w:szCs w:val="22"/>
          <w:lang w:val="es-AR"/>
        </w:rPr>
        <w:t>iesgos por tsunami en la costa ecuatoriana</w:t>
      </w:r>
      <w:r w:rsidR="0044575B" w:rsidRPr="0044575B">
        <w:rPr>
          <w:rFonts w:ascii="Times New Roman" w:hAnsi="Times New Roman"/>
          <w:sz w:val="22"/>
          <w:szCs w:val="22"/>
          <w:lang w:val="es-AR"/>
        </w:rPr>
        <w:t>.  M</w:t>
      </w:r>
      <w:r w:rsidR="00D96B48">
        <w:rPr>
          <w:rFonts w:ascii="Times New Roman" w:hAnsi="Times New Roman"/>
          <w:sz w:val="22"/>
          <w:szCs w:val="22"/>
          <w:lang w:val="es-AR"/>
        </w:rPr>
        <w:t>ario</w:t>
      </w:r>
      <w:r w:rsidR="0044575B" w:rsidRPr="0044575B">
        <w:rPr>
          <w:rFonts w:ascii="Times New Roman" w:hAnsi="Times New Roman"/>
          <w:sz w:val="22"/>
          <w:szCs w:val="22"/>
          <w:lang w:val="es-AR"/>
        </w:rPr>
        <w:t xml:space="preserve"> A. C</w:t>
      </w:r>
      <w:r w:rsidR="00D96B48">
        <w:rPr>
          <w:rFonts w:ascii="Times New Roman" w:hAnsi="Times New Roman"/>
          <w:sz w:val="22"/>
          <w:szCs w:val="22"/>
          <w:lang w:val="es-AR"/>
        </w:rPr>
        <w:t>ruz</w:t>
      </w:r>
      <w:r w:rsidR="0044575B" w:rsidRPr="0044575B">
        <w:rPr>
          <w:rFonts w:ascii="Times New Roman" w:hAnsi="Times New Roman"/>
          <w:sz w:val="22"/>
          <w:szCs w:val="22"/>
          <w:lang w:val="es-AR"/>
        </w:rPr>
        <w:t xml:space="preserve"> DeH</w:t>
      </w:r>
      <w:r w:rsidR="00D96B48">
        <w:rPr>
          <w:rFonts w:ascii="Times New Roman" w:hAnsi="Times New Roman"/>
          <w:sz w:val="22"/>
          <w:szCs w:val="22"/>
          <w:lang w:val="es-AR"/>
        </w:rPr>
        <w:t>owitt</w:t>
      </w:r>
      <w:r w:rsidR="0044575B" w:rsidRPr="0044575B">
        <w:rPr>
          <w:rFonts w:ascii="Times New Roman" w:hAnsi="Times New Roman"/>
          <w:sz w:val="22"/>
          <w:szCs w:val="22"/>
          <w:lang w:val="es-AR"/>
        </w:rPr>
        <w:t>; M</w:t>
      </w:r>
      <w:r w:rsidR="00D96B48">
        <w:rPr>
          <w:rFonts w:ascii="Times New Roman" w:hAnsi="Times New Roman"/>
          <w:sz w:val="22"/>
          <w:szCs w:val="22"/>
          <w:lang w:val="es-AR"/>
        </w:rPr>
        <w:t>. C.</w:t>
      </w:r>
      <w:r w:rsidR="0044575B" w:rsidRPr="0044575B">
        <w:rPr>
          <w:rFonts w:ascii="Times New Roman" w:hAnsi="Times New Roman"/>
          <w:sz w:val="22"/>
          <w:szCs w:val="22"/>
          <w:lang w:val="es-AR"/>
        </w:rPr>
        <w:t xml:space="preserve"> A</w:t>
      </w:r>
      <w:r w:rsidR="00D96B48">
        <w:rPr>
          <w:rFonts w:ascii="Times New Roman" w:hAnsi="Times New Roman"/>
          <w:sz w:val="22"/>
          <w:szCs w:val="22"/>
          <w:lang w:val="es-AR"/>
        </w:rPr>
        <w:t>costa</w:t>
      </w:r>
      <w:r w:rsidR="0044575B" w:rsidRPr="0044575B">
        <w:rPr>
          <w:rFonts w:ascii="Times New Roman" w:hAnsi="Times New Roman"/>
          <w:sz w:val="22"/>
          <w:szCs w:val="22"/>
          <w:lang w:val="es-AR"/>
        </w:rPr>
        <w:t>; N</w:t>
      </w:r>
      <w:r w:rsidR="00D366BE">
        <w:rPr>
          <w:rFonts w:ascii="Times New Roman" w:hAnsi="Times New Roman"/>
          <w:sz w:val="22"/>
          <w:szCs w:val="22"/>
          <w:lang w:val="es-AR"/>
        </w:rPr>
        <w:t>elson  Vasquez</w:t>
      </w:r>
      <w:r w:rsidR="0044575B" w:rsidRPr="0044575B">
        <w:rPr>
          <w:rFonts w:ascii="Times New Roman" w:hAnsi="Times New Roman"/>
          <w:sz w:val="22"/>
          <w:szCs w:val="22"/>
          <w:lang w:val="es-AR"/>
        </w:rPr>
        <w:t xml:space="preserve">. 2006. </w:t>
      </w:r>
    </w:p>
    <w:p w:rsidR="001F61A9" w:rsidRDefault="001F61A9" w:rsidP="00490D03">
      <w:pPr>
        <w:numPr>
          <w:ilvl w:val="0"/>
          <w:numId w:val="5"/>
        </w:numPr>
        <w:jc w:val="both"/>
        <w:rPr>
          <w:rFonts w:ascii="Times New Roman" w:hAnsi="Times New Roman"/>
          <w:sz w:val="22"/>
          <w:szCs w:val="22"/>
          <w:lang w:val="es-AR"/>
        </w:rPr>
      </w:pPr>
      <w:r w:rsidRPr="00837476">
        <w:rPr>
          <w:rFonts w:ascii="Times New Roman" w:hAnsi="Times New Roman"/>
          <w:sz w:val="22"/>
          <w:szCs w:val="22"/>
        </w:rPr>
        <w:t xml:space="preserve">Hallegate, Stephane. The Economics of Natural Disasters Concepts </w:t>
      </w:r>
      <w:proofErr w:type="gramStart"/>
      <w:r w:rsidRPr="00837476">
        <w:rPr>
          <w:rFonts w:ascii="Times New Roman" w:hAnsi="Times New Roman"/>
          <w:sz w:val="22"/>
          <w:szCs w:val="22"/>
        </w:rPr>
        <w:t>and  Methods</w:t>
      </w:r>
      <w:proofErr w:type="gramEnd"/>
      <w:r w:rsidRPr="00837476">
        <w:rPr>
          <w:rFonts w:ascii="Times New Roman" w:hAnsi="Times New Roman"/>
          <w:sz w:val="22"/>
          <w:szCs w:val="22"/>
        </w:rPr>
        <w:t xml:space="preserve">. </w:t>
      </w:r>
      <w:r>
        <w:rPr>
          <w:rFonts w:ascii="Times New Roman" w:hAnsi="Times New Roman"/>
          <w:sz w:val="22"/>
          <w:szCs w:val="22"/>
          <w:lang w:val="es-AR"/>
        </w:rPr>
        <w:t xml:space="preserve">2010. </w:t>
      </w:r>
      <w:r w:rsidRPr="001F61A9">
        <w:rPr>
          <w:rFonts w:ascii="Times New Roman" w:hAnsi="Times New Roman"/>
          <w:sz w:val="22"/>
          <w:szCs w:val="22"/>
          <w:lang w:val="es-AR"/>
        </w:rPr>
        <w:t>World Bank.</w:t>
      </w:r>
    </w:p>
    <w:p w:rsidR="0054379F" w:rsidRPr="00C67C36" w:rsidRDefault="0054379F" w:rsidP="00490D03">
      <w:pPr>
        <w:numPr>
          <w:ilvl w:val="0"/>
          <w:numId w:val="5"/>
        </w:numPr>
        <w:jc w:val="both"/>
        <w:rPr>
          <w:rFonts w:ascii="Times New Roman" w:hAnsi="Times New Roman"/>
          <w:sz w:val="22"/>
          <w:szCs w:val="22"/>
          <w:lang w:val="es-AR"/>
        </w:rPr>
      </w:pPr>
      <w:r w:rsidRPr="00837476">
        <w:rPr>
          <w:rFonts w:ascii="Times New Roman" w:hAnsi="Times New Roman"/>
          <w:sz w:val="22"/>
          <w:szCs w:val="22"/>
        </w:rPr>
        <w:t>Hallegatte, Stéphane. 2012. “A Cost Effective Solution to Reduce Disaster Losses in Developing Countries: Hydro-Meteorological Services, Early Warning, and Evacuation.</w:t>
      </w:r>
      <w:proofErr w:type="gramStart"/>
      <w:r w:rsidRPr="00837476">
        <w:rPr>
          <w:rFonts w:ascii="Times New Roman" w:hAnsi="Times New Roman"/>
          <w:sz w:val="22"/>
          <w:szCs w:val="22"/>
        </w:rPr>
        <w:t>”.</w:t>
      </w:r>
      <w:proofErr w:type="gramEnd"/>
      <w:r w:rsidRPr="009C57BF">
        <w:t xml:space="preserve"> </w:t>
      </w:r>
      <w:hyperlink r:id="rId43" w:history="1">
        <w:r w:rsidRPr="00FF5E3D">
          <w:rPr>
            <w:rStyle w:val="Hyperlink"/>
            <w:rFonts w:ascii="Times New Roman" w:hAnsi="Times New Roman"/>
            <w:sz w:val="22"/>
            <w:szCs w:val="22"/>
            <w:lang w:val="es-AR"/>
          </w:rPr>
          <w:t>http://elibrary.worldbank.org/doi/abs/10.1596/1813-9450-6058</w:t>
        </w:r>
      </w:hyperlink>
    </w:p>
    <w:p w:rsidR="00C67C36" w:rsidRPr="0054379F" w:rsidRDefault="00081A23" w:rsidP="00490D03">
      <w:pPr>
        <w:numPr>
          <w:ilvl w:val="0"/>
          <w:numId w:val="5"/>
        </w:numPr>
        <w:jc w:val="both"/>
        <w:rPr>
          <w:rFonts w:ascii="Times New Roman" w:hAnsi="Times New Roman"/>
          <w:sz w:val="22"/>
          <w:szCs w:val="22"/>
          <w:lang w:val="es-AR"/>
        </w:rPr>
      </w:pPr>
      <w:r w:rsidRPr="00455FC7">
        <w:rPr>
          <w:rFonts w:ascii="Times New Roman" w:hAnsi="Times New Roman"/>
          <w:sz w:val="22"/>
          <w:szCs w:val="22"/>
        </w:rPr>
        <w:t xml:space="preserve">TohokunUniversity-IRIDeS. A Global Assessment of tsunami hazards over the last 400 years. </w:t>
      </w:r>
      <w:r w:rsidR="00C67C36" w:rsidRPr="00C67C36">
        <w:rPr>
          <w:rFonts w:ascii="Times New Roman" w:hAnsi="Times New Roman"/>
          <w:sz w:val="22"/>
          <w:szCs w:val="22"/>
          <w:lang w:val="es-AR"/>
        </w:rPr>
        <w:t>2016.</w:t>
      </w:r>
    </w:p>
    <w:p w:rsidR="0054379F" w:rsidRPr="00046EFF" w:rsidRDefault="0054379F" w:rsidP="0054379F">
      <w:pPr>
        <w:numPr>
          <w:ilvl w:val="0"/>
          <w:numId w:val="5"/>
        </w:numPr>
        <w:jc w:val="both"/>
        <w:rPr>
          <w:rFonts w:ascii="Times New Roman" w:hAnsi="Times New Roman"/>
          <w:sz w:val="22"/>
          <w:szCs w:val="22"/>
          <w:lang w:val="es-AR"/>
        </w:rPr>
      </w:pPr>
      <w:r w:rsidRPr="00837476">
        <w:rPr>
          <w:rFonts w:ascii="Times New Roman" w:hAnsi="Times New Roman"/>
          <w:sz w:val="22"/>
          <w:szCs w:val="22"/>
        </w:rPr>
        <w:t>Paul, B. K., 2009. Why Relatively Fewer People Died? The Case of Bangladesh’s Cyclone Sidr, Natural    Hazards 50, 289–304.</w:t>
      </w:r>
      <w:r w:rsidRPr="0068072F">
        <w:t xml:space="preserve"> </w:t>
      </w:r>
      <w:hyperlink r:id="rId44" w:history="1">
        <w:r w:rsidRPr="0095739B">
          <w:rPr>
            <w:rStyle w:val="Hyperlink"/>
            <w:rFonts w:ascii="Times New Roman" w:hAnsi="Times New Roman"/>
            <w:sz w:val="22"/>
            <w:szCs w:val="22"/>
            <w:lang w:val="es-AR"/>
          </w:rPr>
          <w:t>http://link.springer.com/article/10.1007/s11069-008-9340-5</w:t>
        </w:r>
      </w:hyperlink>
    </w:p>
    <w:p w:rsidR="00046EFF" w:rsidRDefault="00046EFF" w:rsidP="0054379F">
      <w:pPr>
        <w:numPr>
          <w:ilvl w:val="0"/>
          <w:numId w:val="5"/>
        </w:numPr>
        <w:jc w:val="both"/>
        <w:rPr>
          <w:rFonts w:ascii="Times New Roman" w:hAnsi="Times New Roman"/>
          <w:sz w:val="22"/>
          <w:szCs w:val="22"/>
          <w:lang w:val="es-AR"/>
        </w:rPr>
      </w:pPr>
      <w:r w:rsidRPr="00837476">
        <w:rPr>
          <w:rFonts w:ascii="Times New Roman" w:hAnsi="Times New Roman"/>
          <w:sz w:val="22"/>
          <w:szCs w:val="22"/>
        </w:rPr>
        <w:t xml:space="preserve">Ocean &amp; Coastal Management: Managing tsunamis though early warning systems. </w:t>
      </w:r>
      <w:r w:rsidRPr="00046EFF">
        <w:rPr>
          <w:rFonts w:ascii="Times New Roman" w:hAnsi="Times New Roman"/>
          <w:sz w:val="22"/>
          <w:szCs w:val="22"/>
          <w:lang w:val="es-AR"/>
        </w:rPr>
        <w:t>A multidisciplinary approach. 2011</w:t>
      </w:r>
      <w:r>
        <w:rPr>
          <w:rFonts w:ascii="Times New Roman" w:hAnsi="Times New Roman"/>
          <w:sz w:val="22"/>
          <w:szCs w:val="22"/>
          <w:lang w:val="es-AR"/>
        </w:rPr>
        <w:t>.</w:t>
      </w:r>
    </w:p>
    <w:p w:rsidR="004973CE" w:rsidRDefault="0054379F" w:rsidP="00490D03">
      <w:pPr>
        <w:numPr>
          <w:ilvl w:val="0"/>
          <w:numId w:val="5"/>
        </w:numPr>
        <w:jc w:val="both"/>
        <w:rPr>
          <w:rFonts w:ascii="Times New Roman" w:hAnsi="Times New Roman"/>
          <w:sz w:val="22"/>
          <w:szCs w:val="22"/>
          <w:lang w:val="es-AR"/>
        </w:rPr>
      </w:pPr>
      <w:r>
        <w:rPr>
          <w:rFonts w:ascii="Times New Roman" w:hAnsi="Times New Roman"/>
          <w:sz w:val="22"/>
          <w:szCs w:val="22"/>
          <w:lang w:val="es-AR"/>
        </w:rPr>
        <w:t xml:space="preserve">SGR. </w:t>
      </w:r>
      <w:r w:rsidRPr="0054379F">
        <w:rPr>
          <w:rFonts w:ascii="Times New Roman" w:hAnsi="Times New Roman"/>
          <w:sz w:val="22"/>
          <w:szCs w:val="22"/>
          <w:lang w:val="es-AR"/>
        </w:rPr>
        <w:t>ECUADOR: Referencias básicas para la gestión de riesgos 2013-2014. Elaborado en 2012 por  SGR y la Oficina de las Naciones Unidas para la Reducción del Riesgo de Desast</w:t>
      </w:r>
      <w:r w:rsidR="002A4837">
        <w:rPr>
          <w:rFonts w:ascii="Times New Roman" w:hAnsi="Times New Roman"/>
          <w:sz w:val="22"/>
          <w:szCs w:val="22"/>
          <w:lang w:val="es-AR"/>
        </w:rPr>
        <w:t>res UNISDR.</w:t>
      </w:r>
    </w:p>
    <w:p w:rsidR="002A4837" w:rsidRDefault="002A4837" w:rsidP="00490D03">
      <w:pPr>
        <w:numPr>
          <w:ilvl w:val="0"/>
          <w:numId w:val="5"/>
        </w:numPr>
        <w:jc w:val="both"/>
        <w:rPr>
          <w:rFonts w:ascii="Times New Roman" w:hAnsi="Times New Roman"/>
          <w:sz w:val="22"/>
          <w:szCs w:val="22"/>
          <w:lang w:val="es-AR"/>
        </w:rPr>
      </w:pPr>
      <w:r>
        <w:rPr>
          <w:rFonts w:ascii="Times New Roman" w:hAnsi="Times New Roman"/>
          <w:sz w:val="22"/>
          <w:szCs w:val="22"/>
          <w:lang w:val="es-AR"/>
        </w:rPr>
        <w:t xml:space="preserve">SGR. </w:t>
      </w:r>
      <w:r w:rsidRPr="002A4837">
        <w:rPr>
          <w:rFonts w:ascii="Times New Roman" w:hAnsi="Times New Roman"/>
          <w:sz w:val="22"/>
          <w:szCs w:val="22"/>
          <w:lang w:val="es-AR"/>
        </w:rPr>
        <w:t>Informe de Cier</w:t>
      </w:r>
      <w:r>
        <w:rPr>
          <w:rFonts w:ascii="Times New Roman" w:hAnsi="Times New Roman"/>
          <w:sz w:val="22"/>
          <w:szCs w:val="22"/>
          <w:lang w:val="es-AR"/>
        </w:rPr>
        <w:t xml:space="preserve">re de etapa invernal. 2016. </w:t>
      </w:r>
    </w:p>
    <w:p w:rsidR="005E2636" w:rsidRDefault="005E2636" w:rsidP="00490D03">
      <w:pPr>
        <w:numPr>
          <w:ilvl w:val="0"/>
          <w:numId w:val="5"/>
        </w:numPr>
        <w:jc w:val="both"/>
        <w:rPr>
          <w:rFonts w:ascii="Times New Roman" w:hAnsi="Times New Roman"/>
          <w:sz w:val="22"/>
          <w:szCs w:val="22"/>
          <w:lang w:val="es-AR"/>
        </w:rPr>
      </w:pPr>
      <w:r w:rsidRPr="00837476">
        <w:rPr>
          <w:rFonts w:ascii="Times New Roman" w:hAnsi="Times New Roman"/>
          <w:sz w:val="22"/>
          <w:szCs w:val="22"/>
        </w:rPr>
        <w:t xml:space="preserve">SOPAC.Fiji Technical Report </w:t>
      </w:r>
      <w:proofErr w:type="gramStart"/>
      <w:r w:rsidRPr="00837476">
        <w:rPr>
          <w:rFonts w:ascii="Times New Roman" w:hAnsi="Times New Roman"/>
          <w:sz w:val="22"/>
          <w:szCs w:val="22"/>
        </w:rPr>
        <w:t>An</w:t>
      </w:r>
      <w:proofErr w:type="gramEnd"/>
      <w:r w:rsidRPr="00837476">
        <w:rPr>
          <w:rFonts w:ascii="Times New Roman" w:hAnsi="Times New Roman"/>
          <w:sz w:val="22"/>
          <w:szCs w:val="22"/>
        </w:rPr>
        <w:t xml:space="preserve"> economic analysis for early flood warning in Navua. </w:t>
      </w:r>
      <w:r w:rsidRPr="005E2636">
        <w:rPr>
          <w:rFonts w:ascii="Times New Roman" w:hAnsi="Times New Roman"/>
          <w:sz w:val="22"/>
          <w:szCs w:val="22"/>
          <w:lang w:val="es-AR"/>
        </w:rPr>
        <w:t>Project Report 2008.</w:t>
      </w:r>
    </w:p>
    <w:p w:rsidR="00267B31" w:rsidRPr="00105964" w:rsidRDefault="00267B31" w:rsidP="00490D03">
      <w:pPr>
        <w:numPr>
          <w:ilvl w:val="0"/>
          <w:numId w:val="5"/>
        </w:numPr>
        <w:jc w:val="both"/>
        <w:rPr>
          <w:rFonts w:ascii="Times New Roman" w:hAnsi="Times New Roman"/>
          <w:sz w:val="22"/>
          <w:szCs w:val="22"/>
          <w:lang w:val="es-AR"/>
        </w:rPr>
      </w:pPr>
      <w:r w:rsidRPr="00837476">
        <w:rPr>
          <w:rFonts w:ascii="Times New Roman" w:hAnsi="Times New Roman"/>
          <w:sz w:val="22"/>
          <w:szCs w:val="22"/>
        </w:rPr>
        <w:t xml:space="preserve">Strobl E. The economic growth impact of hurricanes: evidence from US coastal counties. </w:t>
      </w:r>
      <w:r w:rsidRPr="00267B31">
        <w:rPr>
          <w:rFonts w:ascii="Times New Roman" w:hAnsi="Times New Roman"/>
          <w:sz w:val="22"/>
          <w:szCs w:val="22"/>
          <w:lang w:val="es-AR"/>
        </w:rPr>
        <w:t>Review of Economics and Statistics 93:575–589.</w:t>
      </w:r>
      <w:r>
        <w:rPr>
          <w:rFonts w:ascii="Times New Roman" w:hAnsi="Times New Roman"/>
          <w:sz w:val="22"/>
          <w:szCs w:val="22"/>
          <w:lang w:val="es-AR"/>
        </w:rPr>
        <w:t xml:space="preserve"> 2011.</w:t>
      </w:r>
    </w:p>
    <w:p w:rsidR="0054379F" w:rsidRDefault="0054379F" w:rsidP="0054379F">
      <w:pPr>
        <w:numPr>
          <w:ilvl w:val="0"/>
          <w:numId w:val="5"/>
        </w:numPr>
        <w:jc w:val="both"/>
        <w:rPr>
          <w:rFonts w:ascii="Times New Roman" w:hAnsi="Times New Roman"/>
          <w:sz w:val="22"/>
          <w:szCs w:val="22"/>
          <w:lang w:val="es-AR"/>
        </w:rPr>
      </w:pPr>
      <w:r w:rsidRPr="00837476">
        <w:rPr>
          <w:rFonts w:ascii="Times New Roman" w:hAnsi="Times New Roman"/>
          <w:sz w:val="22"/>
          <w:szCs w:val="22"/>
          <w:lang w:val="es-ES_tradnl"/>
        </w:rPr>
        <w:t>UNDP. Reto Global: Desastre y Pobreza</w:t>
      </w:r>
      <w:r w:rsidRPr="004973CE">
        <w:rPr>
          <w:rFonts w:ascii="Times New Roman" w:hAnsi="Times New Roman"/>
          <w:sz w:val="22"/>
          <w:szCs w:val="22"/>
          <w:lang w:val="es-AR"/>
        </w:rPr>
        <w:t>. Informe de evaluación global sobre la reducción del riesgo de desastres. 2009</w:t>
      </w:r>
      <w:r>
        <w:rPr>
          <w:rFonts w:ascii="Times New Roman" w:hAnsi="Times New Roman"/>
          <w:sz w:val="22"/>
          <w:szCs w:val="22"/>
          <w:lang w:val="es-AR"/>
        </w:rPr>
        <w:t>.</w:t>
      </w:r>
    </w:p>
    <w:p w:rsidR="0044003B" w:rsidRDefault="0044003B" w:rsidP="0054379F">
      <w:pPr>
        <w:numPr>
          <w:ilvl w:val="0"/>
          <w:numId w:val="5"/>
        </w:numPr>
        <w:jc w:val="both"/>
        <w:rPr>
          <w:rFonts w:ascii="Times New Roman" w:hAnsi="Times New Roman"/>
          <w:sz w:val="22"/>
          <w:szCs w:val="22"/>
          <w:lang w:val="es-AR"/>
        </w:rPr>
      </w:pPr>
      <w:r w:rsidRPr="00837476">
        <w:rPr>
          <w:rFonts w:ascii="Times New Roman" w:hAnsi="Times New Roman"/>
          <w:sz w:val="22"/>
          <w:szCs w:val="22"/>
        </w:rPr>
        <w:t xml:space="preserve">Worl Bank. Costs and benefits of early warning systems. </w:t>
      </w:r>
      <w:r>
        <w:rPr>
          <w:rFonts w:ascii="Times New Roman" w:hAnsi="Times New Roman"/>
          <w:sz w:val="22"/>
          <w:szCs w:val="22"/>
          <w:lang w:val="es-AR"/>
        </w:rPr>
        <w:t>Rogers and Tsirkunov. 2010</w:t>
      </w:r>
    </w:p>
    <w:p w:rsidR="0054379F" w:rsidRDefault="0054379F" w:rsidP="0054379F">
      <w:pPr>
        <w:numPr>
          <w:ilvl w:val="0"/>
          <w:numId w:val="5"/>
        </w:numPr>
        <w:jc w:val="both"/>
        <w:rPr>
          <w:rFonts w:ascii="Times New Roman" w:hAnsi="Times New Roman"/>
          <w:sz w:val="22"/>
          <w:szCs w:val="22"/>
          <w:lang w:val="es-AR"/>
        </w:rPr>
      </w:pPr>
      <w:r w:rsidRPr="00837476">
        <w:rPr>
          <w:rFonts w:ascii="Times New Roman" w:hAnsi="Times New Roman"/>
          <w:sz w:val="22"/>
          <w:szCs w:val="22"/>
        </w:rPr>
        <w:t xml:space="preserve">World Bank. Benefit-Cost Analysis for Risk Management: Summary of Selected Examples. </w:t>
      </w:r>
      <w:r w:rsidRPr="00216DD9">
        <w:rPr>
          <w:rFonts w:ascii="Times New Roman" w:hAnsi="Times New Roman"/>
          <w:sz w:val="22"/>
          <w:szCs w:val="22"/>
          <w:lang w:val="es-AR"/>
        </w:rPr>
        <w:t xml:space="preserve">Background paper for the World Development Report 2014. </w:t>
      </w:r>
      <w:r>
        <w:rPr>
          <w:rFonts w:ascii="Times New Roman" w:hAnsi="Times New Roman"/>
          <w:sz w:val="22"/>
          <w:szCs w:val="22"/>
          <w:lang w:val="es-AR"/>
        </w:rPr>
        <w:t>Kyla Wethli.</w:t>
      </w:r>
    </w:p>
    <w:p w:rsidR="0054379F" w:rsidRDefault="0054379F" w:rsidP="0044003B">
      <w:pPr>
        <w:ind w:left="720"/>
        <w:jc w:val="both"/>
        <w:rPr>
          <w:rFonts w:ascii="Times New Roman" w:hAnsi="Times New Roman"/>
          <w:sz w:val="22"/>
          <w:szCs w:val="22"/>
          <w:lang w:val="es-AR"/>
        </w:rPr>
      </w:pPr>
    </w:p>
    <w:p w:rsidR="00721780" w:rsidRDefault="00721780" w:rsidP="00721780">
      <w:pPr>
        <w:pStyle w:val="ListParagraph"/>
        <w:rPr>
          <w:rFonts w:ascii="Times New Roman" w:eastAsia="Calibri" w:hAnsi="Times New Roman"/>
          <w:sz w:val="22"/>
          <w:szCs w:val="22"/>
          <w:lang w:val="es-ES"/>
        </w:rPr>
      </w:pPr>
    </w:p>
    <w:p w:rsidR="00F17E9B" w:rsidRDefault="00F17E9B" w:rsidP="002B302D">
      <w:pPr>
        <w:autoSpaceDE w:val="0"/>
        <w:autoSpaceDN w:val="0"/>
        <w:adjustRightInd w:val="0"/>
        <w:rPr>
          <w:lang w:val="es-ES"/>
        </w:rPr>
      </w:pPr>
    </w:p>
    <w:p w:rsidR="00B020D2" w:rsidRDefault="00B020D2" w:rsidP="002B302D">
      <w:pPr>
        <w:autoSpaceDE w:val="0"/>
        <w:autoSpaceDN w:val="0"/>
        <w:adjustRightInd w:val="0"/>
        <w:rPr>
          <w:lang w:val="es-ES"/>
        </w:rPr>
      </w:pPr>
    </w:p>
    <w:p w:rsidR="00B020D2" w:rsidRDefault="00B020D2" w:rsidP="002B302D">
      <w:pPr>
        <w:autoSpaceDE w:val="0"/>
        <w:autoSpaceDN w:val="0"/>
        <w:adjustRightInd w:val="0"/>
        <w:rPr>
          <w:lang w:val="es-ES"/>
        </w:rPr>
      </w:pPr>
    </w:p>
    <w:p w:rsidR="00B020D2" w:rsidRDefault="00B020D2" w:rsidP="002B302D">
      <w:pPr>
        <w:autoSpaceDE w:val="0"/>
        <w:autoSpaceDN w:val="0"/>
        <w:adjustRightInd w:val="0"/>
        <w:rPr>
          <w:lang w:val="es-ES"/>
        </w:rPr>
      </w:pPr>
    </w:p>
    <w:p w:rsidR="00B020D2" w:rsidRDefault="00B020D2" w:rsidP="002B302D">
      <w:pPr>
        <w:autoSpaceDE w:val="0"/>
        <w:autoSpaceDN w:val="0"/>
        <w:adjustRightInd w:val="0"/>
        <w:rPr>
          <w:lang w:val="es-ES"/>
        </w:rPr>
      </w:pPr>
    </w:p>
    <w:p w:rsidR="00B020D2" w:rsidRDefault="00B020D2" w:rsidP="002B302D">
      <w:pPr>
        <w:autoSpaceDE w:val="0"/>
        <w:autoSpaceDN w:val="0"/>
        <w:adjustRightInd w:val="0"/>
        <w:rPr>
          <w:lang w:val="es-ES"/>
        </w:rPr>
      </w:pPr>
    </w:p>
    <w:p w:rsidR="00B020D2" w:rsidRDefault="00B020D2" w:rsidP="002B302D">
      <w:pPr>
        <w:autoSpaceDE w:val="0"/>
        <w:autoSpaceDN w:val="0"/>
        <w:adjustRightInd w:val="0"/>
        <w:rPr>
          <w:lang w:val="es-ES"/>
        </w:rPr>
      </w:pPr>
    </w:p>
    <w:p w:rsidR="00B020D2" w:rsidRDefault="00B020D2" w:rsidP="002B302D">
      <w:pPr>
        <w:autoSpaceDE w:val="0"/>
        <w:autoSpaceDN w:val="0"/>
        <w:adjustRightInd w:val="0"/>
        <w:rPr>
          <w:lang w:val="es-ES"/>
        </w:rPr>
      </w:pPr>
    </w:p>
    <w:p w:rsidR="00B020D2" w:rsidRDefault="00B020D2" w:rsidP="002B302D">
      <w:pPr>
        <w:autoSpaceDE w:val="0"/>
        <w:autoSpaceDN w:val="0"/>
        <w:adjustRightInd w:val="0"/>
        <w:rPr>
          <w:lang w:val="es-ES"/>
        </w:rPr>
      </w:pPr>
    </w:p>
    <w:p w:rsidR="00B020D2" w:rsidRDefault="00B020D2" w:rsidP="002B302D">
      <w:pPr>
        <w:autoSpaceDE w:val="0"/>
        <w:autoSpaceDN w:val="0"/>
        <w:adjustRightInd w:val="0"/>
        <w:rPr>
          <w:lang w:val="es-ES"/>
        </w:rPr>
      </w:pPr>
    </w:p>
    <w:p w:rsidR="00B020D2" w:rsidRDefault="00B020D2" w:rsidP="002B302D">
      <w:pPr>
        <w:autoSpaceDE w:val="0"/>
        <w:autoSpaceDN w:val="0"/>
        <w:adjustRightInd w:val="0"/>
        <w:rPr>
          <w:lang w:val="es-ES"/>
        </w:rPr>
      </w:pPr>
    </w:p>
    <w:p w:rsidR="00B020D2" w:rsidRDefault="00B020D2" w:rsidP="002B302D">
      <w:pPr>
        <w:autoSpaceDE w:val="0"/>
        <w:autoSpaceDN w:val="0"/>
        <w:adjustRightInd w:val="0"/>
        <w:rPr>
          <w:lang w:val="es-ES"/>
        </w:rPr>
      </w:pPr>
    </w:p>
    <w:p w:rsidR="00B020D2" w:rsidRDefault="00B020D2" w:rsidP="002B302D">
      <w:pPr>
        <w:autoSpaceDE w:val="0"/>
        <w:autoSpaceDN w:val="0"/>
        <w:adjustRightInd w:val="0"/>
        <w:rPr>
          <w:lang w:val="es-ES"/>
        </w:rPr>
      </w:pPr>
    </w:p>
    <w:p w:rsidR="00B020D2" w:rsidRDefault="00B020D2" w:rsidP="002B302D">
      <w:pPr>
        <w:autoSpaceDE w:val="0"/>
        <w:autoSpaceDN w:val="0"/>
        <w:adjustRightInd w:val="0"/>
        <w:rPr>
          <w:lang w:val="es-ES"/>
        </w:rPr>
      </w:pPr>
    </w:p>
    <w:p w:rsidR="00B020D2" w:rsidRDefault="00B020D2" w:rsidP="002B302D">
      <w:pPr>
        <w:autoSpaceDE w:val="0"/>
        <w:autoSpaceDN w:val="0"/>
        <w:adjustRightInd w:val="0"/>
        <w:rPr>
          <w:lang w:val="es-ES"/>
        </w:rPr>
      </w:pPr>
    </w:p>
    <w:sectPr w:rsidR="00B020D2" w:rsidSect="00874F67">
      <w:footerReference w:type="even" r:id="rId45"/>
      <w:footerReference w:type="default" r:id="rId46"/>
      <w:pgSz w:w="12240" w:h="15840" w:code="1"/>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48F" w:rsidRDefault="000D648F">
      <w:r>
        <w:separator/>
      </w:r>
    </w:p>
  </w:endnote>
  <w:endnote w:type="continuationSeparator" w:id="0">
    <w:p w:rsidR="000D648F" w:rsidRDefault="000D648F">
      <w:r>
        <w:continuationSeparator/>
      </w:r>
    </w:p>
  </w:endnote>
  <w:endnote w:type="continuationNotice" w:id="1">
    <w:p w:rsidR="000D648F" w:rsidRDefault="000D64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CAE" w:rsidRPr="00F32DB1" w:rsidRDefault="00406CAE" w:rsidP="00E13636">
    <w:pPr>
      <w:pStyle w:val="Footer"/>
      <w:rPr>
        <w:sz w:val="18"/>
        <w:szCs w:val="18"/>
      </w:rPr>
    </w:pPr>
    <w:r>
      <w:rPr>
        <w:sz w:val="18"/>
        <w:szCs w:val="18"/>
      </w:rPr>
      <w:t>EC 1221</w:t>
    </w:r>
    <w:r w:rsidRPr="005A504D">
      <w:rPr>
        <w:sz w:val="18"/>
        <w:szCs w:val="18"/>
      </w:rPr>
      <w:t xml:space="preserve"> – Eval</w:t>
    </w:r>
    <w:r>
      <w:rPr>
        <w:sz w:val="18"/>
        <w:szCs w:val="18"/>
      </w:rPr>
      <w:t>uación</w:t>
    </w:r>
    <w:r w:rsidRPr="005A504D">
      <w:rPr>
        <w:sz w:val="18"/>
        <w:szCs w:val="18"/>
      </w:rPr>
      <w:t xml:space="preserve"> </w:t>
    </w:r>
    <w:r>
      <w:rPr>
        <w:sz w:val="18"/>
        <w:szCs w:val="18"/>
      </w:rPr>
      <w:t>e</w:t>
    </w:r>
    <w:r w:rsidRPr="005A504D">
      <w:rPr>
        <w:sz w:val="18"/>
        <w:szCs w:val="18"/>
      </w:rPr>
      <w:t>conómica</w:t>
    </w:r>
    <w:r>
      <w:rPr>
        <w:sz w:val="18"/>
        <w:szCs w:val="18"/>
      </w:rPr>
      <w:t xml:space="preserve"> /V. final </w:t>
    </w:r>
    <w:r>
      <w:rPr>
        <w:sz w:val="20"/>
        <w:szCs w:val="20"/>
      </w:rPr>
      <w:t xml:space="preserve">               1</w:t>
    </w:r>
    <w:r w:rsidRPr="00F32DB1">
      <w:rPr>
        <w:sz w:val="18"/>
        <w:szCs w:val="18"/>
      </w:rPr>
      <w:t xml:space="preserve"> de </w:t>
    </w:r>
    <w:r>
      <w:rPr>
        <w:sz w:val="18"/>
        <w:szCs w:val="18"/>
      </w:rPr>
      <w:t>noviembre</w:t>
    </w:r>
    <w:r w:rsidRPr="00F32DB1">
      <w:rPr>
        <w:sz w:val="18"/>
        <w:szCs w:val="18"/>
      </w:rPr>
      <w:t xml:space="preserve"> de 201</w:t>
    </w:r>
    <w:r>
      <w:rPr>
        <w:sz w:val="18"/>
        <w:szCs w:val="18"/>
      </w:rPr>
      <w:t xml:space="preserve">6                         </w:t>
    </w:r>
    <w:r w:rsidRPr="00F32DB1">
      <w:rPr>
        <w:sz w:val="18"/>
        <w:szCs w:val="18"/>
      </w:rPr>
      <w:t xml:space="preserve">Página </w:t>
    </w:r>
    <w:r w:rsidRPr="00F32DB1">
      <w:rPr>
        <w:sz w:val="18"/>
        <w:szCs w:val="18"/>
      </w:rPr>
      <w:fldChar w:fldCharType="begin"/>
    </w:r>
    <w:r w:rsidRPr="00F32DB1">
      <w:rPr>
        <w:sz w:val="18"/>
        <w:szCs w:val="18"/>
      </w:rPr>
      <w:instrText>PAGE</w:instrText>
    </w:r>
    <w:r w:rsidRPr="00F32DB1">
      <w:rPr>
        <w:sz w:val="18"/>
        <w:szCs w:val="18"/>
      </w:rPr>
      <w:fldChar w:fldCharType="separate"/>
    </w:r>
    <w:r w:rsidR="00A873ED">
      <w:rPr>
        <w:noProof/>
        <w:sz w:val="18"/>
        <w:szCs w:val="18"/>
      </w:rPr>
      <w:t>1</w:t>
    </w:r>
    <w:r w:rsidRPr="00F32DB1">
      <w:rPr>
        <w:sz w:val="18"/>
        <w:szCs w:val="18"/>
      </w:rPr>
      <w:fldChar w:fldCharType="end"/>
    </w:r>
    <w:r w:rsidRPr="00F32DB1">
      <w:rPr>
        <w:sz w:val="18"/>
        <w:szCs w:val="18"/>
      </w:rPr>
      <w:t xml:space="preserve"> de </w:t>
    </w:r>
    <w:r w:rsidRPr="00F32DB1">
      <w:rPr>
        <w:sz w:val="18"/>
        <w:szCs w:val="18"/>
      </w:rPr>
      <w:fldChar w:fldCharType="begin"/>
    </w:r>
    <w:r w:rsidRPr="00F32DB1">
      <w:rPr>
        <w:sz w:val="18"/>
        <w:szCs w:val="18"/>
      </w:rPr>
      <w:instrText>NUMPAGES</w:instrText>
    </w:r>
    <w:r w:rsidRPr="00F32DB1">
      <w:rPr>
        <w:sz w:val="18"/>
        <w:szCs w:val="18"/>
      </w:rPr>
      <w:fldChar w:fldCharType="separate"/>
    </w:r>
    <w:r w:rsidR="00A873ED">
      <w:rPr>
        <w:noProof/>
        <w:sz w:val="18"/>
        <w:szCs w:val="18"/>
      </w:rPr>
      <w:t>58</w:t>
    </w:r>
    <w:r w:rsidRPr="00F32DB1">
      <w:rPr>
        <w:sz w:val="18"/>
        <w:szCs w:val="18"/>
      </w:rPr>
      <w:fldChar w:fldCharType="end"/>
    </w:r>
  </w:p>
  <w:p w:rsidR="00406CAE" w:rsidRDefault="00406CAE" w:rsidP="00E13636">
    <w:pPr>
      <w:pStyle w:val="Footer"/>
      <w:ind w:right="360"/>
    </w:pPr>
  </w:p>
  <w:p w:rsidR="00406CAE" w:rsidRDefault="00406CAE">
    <w:pPr>
      <w:pStyle w:val="Footer"/>
    </w:pPr>
  </w:p>
  <w:p w:rsidR="00406CAE" w:rsidRDefault="00406C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CAE" w:rsidRDefault="00406C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6CAE" w:rsidRDefault="00406CA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CAE" w:rsidRPr="00626FCC" w:rsidRDefault="00406CAE" w:rsidP="00FB74D9">
    <w:pPr>
      <w:pStyle w:val="Footer"/>
      <w:rPr>
        <w:sz w:val="20"/>
        <w:szCs w:val="20"/>
      </w:rPr>
    </w:pPr>
    <w:r>
      <w:rPr>
        <w:sz w:val="20"/>
        <w:szCs w:val="20"/>
      </w:rPr>
      <w:t xml:space="preserve">BO 1179 – Eval. Económica – Plan Eval Impacto/Plan Trabajo      Agosto de 2016              </w:t>
    </w:r>
    <w:r w:rsidRPr="00626FCC">
      <w:rPr>
        <w:sz w:val="20"/>
        <w:szCs w:val="20"/>
      </w:rPr>
      <w:t xml:space="preserve">Página </w:t>
    </w:r>
    <w:r w:rsidRPr="00626FCC">
      <w:rPr>
        <w:sz w:val="20"/>
        <w:szCs w:val="20"/>
      </w:rPr>
      <w:fldChar w:fldCharType="begin"/>
    </w:r>
    <w:r w:rsidRPr="00626FCC">
      <w:rPr>
        <w:sz w:val="20"/>
        <w:szCs w:val="20"/>
      </w:rPr>
      <w:instrText>PAGE</w:instrText>
    </w:r>
    <w:r w:rsidRPr="00626FCC">
      <w:rPr>
        <w:sz w:val="20"/>
        <w:szCs w:val="20"/>
      </w:rPr>
      <w:fldChar w:fldCharType="separate"/>
    </w:r>
    <w:r w:rsidR="00A873ED">
      <w:rPr>
        <w:noProof/>
        <w:sz w:val="20"/>
        <w:szCs w:val="20"/>
      </w:rPr>
      <w:t>58</w:t>
    </w:r>
    <w:r w:rsidRPr="00626FCC">
      <w:rPr>
        <w:sz w:val="20"/>
        <w:szCs w:val="20"/>
      </w:rPr>
      <w:fldChar w:fldCharType="end"/>
    </w:r>
    <w:r w:rsidRPr="00626FCC">
      <w:rPr>
        <w:sz w:val="20"/>
        <w:szCs w:val="20"/>
      </w:rPr>
      <w:t xml:space="preserve"> de </w:t>
    </w:r>
    <w:r w:rsidRPr="00626FCC">
      <w:rPr>
        <w:sz w:val="20"/>
        <w:szCs w:val="20"/>
      </w:rPr>
      <w:fldChar w:fldCharType="begin"/>
    </w:r>
    <w:r w:rsidRPr="00626FCC">
      <w:rPr>
        <w:sz w:val="20"/>
        <w:szCs w:val="20"/>
      </w:rPr>
      <w:instrText>NUMPAGES</w:instrText>
    </w:r>
    <w:r w:rsidRPr="00626FCC">
      <w:rPr>
        <w:sz w:val="20"/>
        <w:szCs w:val="20"/>
      </w:rPr>
      <w:fldChar w:fldCharType="separate"/>
    </w:r>
    <w:r w:rsidR="00A873ED">
      <w:rPr>
        <w:noProof/>
        <w:sz w:val="20"/>
        <w:szCs w:val="20"/>
      </w:rPr>
      <w:t>58</w:t>
    </w:r>
    <w:r w:rsidRPr="00626FCC">
      <w:rPr>
        <w:sz w:val="20"/>
        <w:szCs w:val="20"/>
      </w:rPr>
      <w:fldChar w:fldCharType="end"/>
    </w:r>
  </w:p>
  <w:p w:rsidR="00406CAE" w:rsidRDefault="00406CA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48F" w:rsidRDefault="000D648F">
      <w:r>
        <w:separator/>
      </w:r>
    </w:p>
  </w:footnote>
  <w:footnote w:type="continuationSeparator" w:id="0">
    <w:p w:rsidR="000D648F" w:rsidRDefault="000D648F">
      <w:r>
        <w:continuationSeparator/>
      </w:r>
    </w:p>
  </w:footnote>
  <w:footnote w:type="continuationNotice" w:id="1">
    <w:p w:rsidR="000D648F" w:rsidRDefault="000D648F"/>
  </w:footnote>
  <w:footnote w:id="2">
    <w:p w:rsidR="00406CAE" w:rsidRPr="00ED41C2" w:rsidRDefault="00406CAE">
      <w:pPr>
        <w:pStyle w:val="FootnoteText"/>
        <w:rPr>
          <w:lang w:val="es-AR"/>
        </w:rPr>
      </w:pPr>
      <w:r w:rsidRPr="00F42E61">
        <w:rPr>
          <w:rStyle w:val="FootnoteReference"/>
          <w:rFonts w:ascii="Times New Roman" w:hAnsi="Times New Roman"/>
          <w:sz w:val="18"/>
          <w:szCs w:val="18"/>
        </w:rPr>
        <w:footnoteRef/>
      </w:r>
      <w:r w:rsidRPr="00837476">
        <w:rPr>
          <w:lang w:val="es-ES_tradnl"/>
        </w:rPr>
        <w:t xml:space="preserve"> </w:t>
      </w:r>
      <w:r w:rsidRPr="00837476">
        <w:rPr>
          <w:rFonts w:ascii="Times New Roman" w:hAnsi="Times New Roman"/>
          <w:sz w:val="16"/>
          <w:szCs w:val="16"/>
          <w:lang w:val="es-ES_tradnl"/>
        </w:rPr>
        <w:t>Probabilidad de 1:500 años</w:t>
      </w:r>
      <w:r w:rsidRPr="00837476">
        <w:rPr>
          <w:sz w:val="16"/>
          <w:szCs w:val="16"/>
          <w:lang w:val="es-ES_tradnl"/>
        </w:rPr>
        <w:t xml:space="preserve"> </w:t>
      </w:r>
      <w:r w:rsidRPr="00837476">
        <w:rPr>
          <w:rFonts w:ascii="Times New Roman" w:hAnsi="Times New Roman"/>
          <w:sz w:val="16"/>
          <w:szCs w:val="16"/>
          <w:lang w:val="es-ES_tradnl"/>
        </w:rPr>
        <w:t>con un impacto</w:t>
      </w:r>
      <w:r>
        <w:rPr>
          <w:rFonts w:ascii="Times New Roman" w:hAnsi="Times New Roman"/>
          <w:sz w:val="16"/>
          <w:szCs w:val="16"/>
          <w:lang w:val="es-ES_tradnl"/>
        </w:rPr>
        <w:t xml:space="preserve"> </w:t>
      </w:r>
      <w:r w:rsidRPr="00837476">
        <w:rPr>
          <w:rFonts w:ascii="Times New Roman" w:hAnsi="Times New Roman"/>
          <w:sz w:val="16"/>
          <w:szCs w:val="16"/>
          <w:lang w:val="es-ES_tradnl"/>
        </w:rPr>
        <w:t>potencial de 21.003 muertes (poblacion vulnerable bajo amenaza 1.034.929 habitantes).</w:t>
      </w:r>
    </w:p>
  </w:footnote>
  <w:footnote w:id="3">
    <w:p w:rsidR="00406CAE" w:rsidRPr="00837476" w:rsidRDefault="00406CAE">
      <w:pPr>
        <w:pStyle w:val="FootnoteText"/>
      </w:pPr>
      <w:r w:rsidRPr="00F42E61">
        <w:rPr>
          <w:rStyle w:val="FootnoteReference"/>
          <w:rFonts w:ascii="Times New Roman" w:hAnsi="Times New Roman"/>
          <w:sz w:val="18"/>
          <w:szCs w:val="18"/>
        </w:rPr>
        <w:footnoteRef/>
      </w:r>
      <w:r w:rsidRPr="00837476">
        <w:rPr>
          <w:sz w:val="18"/>
          <w:szCs w:val="18"/>
          <w:lang w:val="es-ES_tradnl"/>
        </w:rPr>
        <w:t xml:space="preserve"> </w:t>
      </w:r>
      <w:r w:rsidRPr="00391B8F">
        <w:rPr>
          <w:sz w:val="16"/>
          <w:szCs w:val="16"/>
          <w:lang w:val="es-AR"/>
        </w:rPr>
        <w:t>S</w:t>
      </w:r>
      <w:r w:rsidRPr="00391B8F">
        <w:rPr>
          <w:rFonts w:ascii="Times New Roman" w:hAnsi="Times New Roman"/>
          <w:sz w:val="16"/>
          <w:szCs w:val="16"/>
          <w:lang w:val="es-AR"/>
        </w:rPr>
        <w:t xml:space="preserve">iguiendo </w:t>
      </w:r>
      <w:r>
        <w:rPr>
          <w:rFonts w:ascii="Times New Roman" w:hAnsi="Times New Roman"/>
          <w:sz w:val="16"/>
          <w:szCs w:val="16"/>
          <w:lang w:val="es-AR"/>
        </w:rPr>
        <w:t xml:space="preserve">valoraciones aplicadas por </w:t>
      </w:r>
      <w:r w:rsidRPr="00391B8F">
        <w:rPr>
          <w:rFonts w:ascii="Times New Roman" w:hAnsi="Times New Roman"/>
          <w:sz w:val="16"/>
          <w:szCs w:val="16"/>
          <w:lang w:val="es-AR"/>
        </w:rPr>
        <w:t xml:space="preserve">Copenhagen Consensus. </w:t>
      </w:r>
      <w:proofErr w:type="gramStart"/>
      <w:r w:rsidRPr="00837476">
        <w:rPr>
          <w:rFonts w:ascii="Times New Roman" w:hAnsi="Times New Roman"/>
          <w:sz w:val="16"/>
          <w:szCs w:val="16"/>
        </w:rPr>
        <w:t>Natural Disasters.</w:t>
      </w:r>
      <w:proofErr w:type="gramEnd"/>
      <w:r w:rsidRPr="00837476">
        <w:rPr>
          <w:rFonts w:ascii="Times New Roman" w:hAnsi="Times New Roman"/>
          <w:sz w:val="16"/>
          <w:szCs w:val="16"/>
        </w:rPr>
        <w:t xml:space="preserve"> </w:t>
      </w:r>
      <w:proofErr w:type="gramStart"/>
      <w:r w:rsidRPr="00837476">
        <w:rPr>
          <w:rFonts w:ascii="Times New Roman" w:hAnsi="Times New Roman"/>
          <w:sz w:val="16"/>
          <w:szCs w:val="16"/>
        </w:rPr>
        <w:t>Kunreuthe, H., Michel-Kerjan, E. 2012.</w:t>
      </w:r>
      <w:proofErr w:type="gramEnd"/>
    </w:p>
  </w:footnote>
  <w:footnote w:id="4">
    <w:p w:rsidR="00406CAE" w:rsidRPr="00F42E61" w:rsidRDefault="00406CAE" w:rsidP="00046EFF">
      <w:pPr>
        <w:pStyle w:val="FootnoteText"/>
        <w:spacing w:after="60"/>
        <w:jc w:val="both"/>
        <w:rPr>
          <w:lang w:val="es-AR"/>
        </w:rPr>
      </w:pPr>
      <w:r w:rsidRPr="00F42E61">
        <w:rPr>
          <w:rStyle w:val="FootnoteReference"/>
          <w:rFonts w:ascii="Times New Roman" w:hAnsi="Times New Roman"/>
          <w:sz w:val="18"/>
          <w:szCs w:val="18"/>
        </w:rPr>
        <w:footnoteRef/>
      </w:r>
      <w:r w:rsidRPr="00837476">
        <w:rPr>
          <w:rFonts w:ascii="Times New Roman" w:hAnsi="Times New Roman"/>
          <w:sz w:val="18"/>
          <w:szCs w:val="18"/>
          <w:lang w:val="es-ES_tradnl"/>
        </w:rPr>
        <w:t xml:space="preserve"> La literatura establece que la exposición y la recurrencia ante desastres mantienen a las regiones en retraso. </w:t>
      </w:r>
      <w:r w:rsidRPr="00837476">
        <w:rPr>
          <w:rFonts w:ascii="Times New Roman" w:hAnsi="Times New Roman"/>
          <w:sz w:val="16"/>
          <w:szCs w:val="16"/>
          <w:lang w:val="es-ES_tradnl"/>
        </w:rPr>
        <w:t>No  han sido valorizados las contribuciones del SAT al consolidar</w:t>
      </w:r>
      <w:r w:rsidRPr="00F42E61">
        <w:rPr>
          <w:rFonts w:ascii="Times New Roman" w:hAnsi="Times New Roman"/>
          <w:sz w:val="16"/>
          <w:szCs w:val="16"/>
          <w:lang w:val="es-AR"/>
        </w:rPr>
        <w:t xml:space="preserve"> </w:t>
      </w:r>
      <w:r>
        <w:rPr>
          <w:rFonts w:ascii="Times New Roman" w:hAnsi="Times New Roman"/>
          <w:sz w:val="16"/>
          <w:szCs w:val="16"/>
          <w:lang w:val="es-AR"/>
        </w:rPr>
        <w:t>aspectos</w:t>
      </w:r>
      <w:r w:rsidRPr="00F42E61">
        <w:rPr>
          <w:rFonts w:ascii="Times New Roman" w:hAnsi="Times New Roman"/>
          <w:sz w:val="16"/>
          <w:szCs w:val="16"/>
          <w:lang w:val="es-AR"/>
        </w:rPr>
        <w:t xml:space="preserve"> estructurales que alienta</w:t>
      </w:r>
      <w:r>
        <w:rPr>
          <w:rFonts w:ascii="Times New Roman" w:hAnsi="Times New Roman"/>
          <w:sz w:val="16"/>
          <w:szCs w:val="16"/>
          <w:lang w:val="es-AR"/>
        </w:rPr>
        <w:t xml:space="preserve">n el desarrollo socio-económico, mitigando restricciones a la inversión por aversión al riesgo. Adicionalmnete el SAT presiona hacia  acciones de ordenamiento territorial y regulaciones que  reduzan la vulnerabilidad en el largo plazo. Estos aspectos  se traducirán </w:t>
      </w:r>
      <w:r w:rsidRPr="00F42E61">
        <w:rPr>
          <w:rFonts w:ascii="Times New Roman" w:hAnsi="Times New Roman"/>
          <w:sz w:val="16"/>
          <w:szCs w:val="16"/>
          <w:lang w:val="es-AR"/>
        </w:rPr>
        <w:t>en impactos efectivos</w:t>
      </w:r>
      <w:r>
        <w:rPr>
          <w:rFonts w:ascii="Times New Roman" w:hAnsi="Times New Roman"/>
          <w:sz w:val="16"/>
          <w:szCs w:val="16"/>
          <w:lang w:val="es-AR"/>
        </w:rPr>
        <w:t xml:space="preserve"> a largo plazo.</w:t>
      </w:r>
    </w:p>
  </w:footnote>
  <w:footnote w:id="5">
    <w:p w:rsidR="00406CAE" w:rsidRPr="00622D14" w:rsidRDefault="00406CAE" w:rsidP="0058048A">
      <w:pPr>
        <w:pStyle w:val="FootnoteText"/>
        <w:spacing w:after="60"/>
        <w:jc w:val="both"/>
        <w:rPr>
          <w:lang w:val="es-AR"/>
        </w:rPr>
      </w:pPr>
      <w:r>
        <w:rPr>
          <w:rStyle w:val="FootnoteReference"/>
        </w:rPr>
        <w:footnoteRef/>
      </w:r>
      <w:r w:rsidRPr="00837476">
        <w:rPr>
          <w:rFonts w:ascii="Times New Roman" w:hAnsi="Times New Roman"/>
          <w:sz w:val="16"/>
          <w:szCs w:val="16"/>
          <w:lang w:val="es-ES_tradnl"/>
        </w:rPr>
        <w:t xml:space="preserve"> Se plantea la tasa del 7% para establecer un rango de resultados a contraponer frente a los que arrojan el valor </w:t>
      </w:r>
      <w:r w:rsidRPr="00622D14">
        <w:rPr>
          <w:rFonts w:ascii="Times New Roman" w:hAnsi="Times New Roman"/>
          <w:sz w:val="16"/>
          <w:szCs w:val="16"/>
          <w:lang w:val="es-AR"/>
        </w:rPr>
        <w:t>de descuento del 12% que refleja el nivel máximo generalmente utilizado en evaluaciones de los OMT. Los estudios es materia de desastres incluyen una variada gama de tasas con un mínimo del 5% (utilizada en Copengahen Consensus y otros estudios de WB).</w:t>
      </w:r>
    </w:p>
  </w:footnote>
  <w:footnote w:id="6">
    <w:p w:rsidR="00406CAE" w:rsidRPr="00416DE3" w:rsidRDefault="00406CAE" w:rsidP="00B037BC">
      <w:pPr>
        <w:pStyle w:val="FootnoteText"/>
        <w:jc w:val="both"/>
        <w:rPr>
          <w:lang w:val="es-AR"/>
        </w:rPr>
      </w:pPr>
      <w:r w:rsidRPr="00416DE3">
        <w:rPr>
          <w:rStyle w:val="FootnoteReference"/>
          <w:rFonts w:ascii="Times New Roman" w:hAnsi="Times New Roman"/>
        </w:rPr>
        <w:footnoteRef/>
      </w:r>
      <w:r w:rsidRPr="00837476">
        <w:rPr>
          <w:rFonts w:ascii="Times New Roman" w:hAnsi="Times New Roman"/>
          <w:lang w:val="es-ES_tradnl"/>
        </w:rPr>
        <w:t xml:space="preserve"> </w:t>
      </w:r>
      <w:r w:rsidRPr="00416DE3">
        <w:rPr>
          <w:rFonts w:ascii="Times New Roman" w:hAnsi="Times New Roman"/>
          <w:sz w:val="16"/>
          <w:szCs w:val="16"/>
          <w:lang w:val="es-AR"/>
        </w:rPr>
        <w:t xml:space="preserve">Otros estudios trabajan con probabilidades de ocurrencia entre 1:100 años y 1:500 años. </w:t>
      </w:r>
      <w:r w:rsidRPr="00837476">
        <w:rPr>
          <w:rFonts w:ascii="Times New Roman" w:hAnsi="Times New Roman"/>
          <w:sz w:val="16"/>
          <w:szCs w:val="16"/>
        </w:rPr>
        <w:t xml:space="preserve">Fuente: Ocean &amp; Coastal Management: Managing tsunamis though early warning systems. </w:t>
      </w:r>
      <w:r w:rsidRPr="00416DE3">
        <w:rPr>
          <w:rFonts w:ascii="Times New Roman" w:hAnsi="Times New Roman"/>
          <w:sz w:val="16"/>
          <w:szCs w:val="16"/>
          <w:lang w:val="es-AR"/>
        </w:rPr>
        <w:t>A multidisciplinary approach.2011.</w:t>
      </w:r>
      <w:r>
        <w:rPr>
          <w:rFonts w:ascii="Times New Roman" w:hAnsi="Times New Roman"/>
          <w:sz w:val="16"/>
          <w:szCs w:val="16"/>
          <w:lang w:val="es-AR"/>
        </w:rPr>
        <w:t xml:space="preserve"> En función del rango de tiempo considerado, el impacto potencial o pérdida máxima esperada varía de forma no lineal. Cuanto más amplio es el período considerado, mayor es la magnitud de la amenaza probable, por lo que también es mayor la pérdida máxima posible. En función de estudios de UNISDR (Country Risk Report Ecuador 2015 y otros países en la región) se estableció la relación entre las hipótesis de eventos en períodos de  250 y 500 años.</w:t>
      </w:r>
    </w:p>
  </w:footnote>
  <w:footnote w:id="7">
    <w:p w:rsidR="00406CAE" w:rsidRPr="00E772ED" w:rsidRDefault="00406CAE" w:rsidP="00667D53">
      <w:pPr>
        <w:pStyle w:val="FootnoteText"/>
        <w:spacing w:after="60"/>
        <w:jc w:val="both"/>
        <w:rPr>
          <w:lang w:val="es-ES"/>
        </w:rPr>
      </w:pPr>
      <w:r w:rsidRPr="00411F33">
        <w:rPr>
          <w:rStyle w:val="FootnoteReference"/>
          <w:rFonts w:ascii="Times New Roman" w:hAnsi="Times New Roman"/>
          <w:sz w:val="16"/>
          <w:szCs w:val="16"/>
        </w:rPr>
        <w:footnoteRef/>
      </w:r>
      <w:r w:rsidRPr="00837476">
        <w:rPr>
          <w:lang w:val="es-ES_tradnl"/>
        </w:rPr>
        <w:t xml:space="preserve"> </w:t>
      </w:r>
      <w:r w:rsidRPr="00837476">
        <w:rPr>
          <w:rFonts w:ascii="Times New Roman" w:hAnsi="Times New Roman"/>
          <w:sz w:val="16"/>
          <w:szCs w:val="16"/>
          <w:lang w:val="es-ES_tradnl"/>
        </w:rPr>
        <w:t>L</w:t>
      </w:r>
      <w:r w:rsidRPr="00411F33">
        <w:rPr>
          <w:rFonts w:ascii="Times New Roman" w:hAnsi="Times New Roman"/>
          <w:sz w:val="16"/>
          <w:szCs w:val="16"/>
          <w:lang w:val="es-ES"/>
        </w:rPr>
        <w:t xml:space="preserve">a región de América Latina y el Caribe es altamente vulnerable a los desastres naturales con un promedio de daños económicos elevado con relación a otras áreas (0.18% del PIB por evento). Entre 1980-2010, los daños económicos asociados sobrepasaron el total </w:t>
      </w:r>
      <w:r>
        <w:rPr>
          <w:rFonts w:ascii="Times New Roman" w:hAnsi="Times New Roman"/>
          <w:sz w:val="16"/>
          <w:szCs w:val="16"/>
          <w:lang w:val="es-ES"/>
        </w:rPr>
        <w:t>registrado</w:t>
      </w:r>
      <w:r w:rsidRPr="00411F33">
        <w:rPr>
          <w:rFonts w:ascii="Times New Roman" w:hAnsi="Times New Roman"/>
          <w:sz w:val="16"/>
          <w:szCs w:val="16"/>
          <w:lang w:val="es-ES"/>
        </w:rPr>
        <w:t xml:space="preserve"> en las ocho décadas previas (1900-1980). Las poblaciones más pobres y vulnerables de la región son las más afectadas por los desastres naturales (BID-CEPAL, 2000; Banco Mundial, 2003). Existen factores asociados al incremento de </w:t>
      </w:r>
      <w:r>
        <w:rPr>
          <w:rFonts w:ascii="Times New Roman" w:hAnsi="Times New Roman"/>
          <w:sz w:val="16"/>
          <w:szCs w:val="16"/>
          <w:lang w:val="es-ES"/>
        </w:rPr>
        <w:t>los</w:t>
      </w:r>
      <w:r w:rsidRPr="00411F33">
        <w:rPr>
          <w:rFonts w:ascii="Times New Roman" w:hAnsi="Times New Roman"/>
          <w:sz w:val="16"/>
          <w:szCs w:val="16"/>
          <w:lang w:val="es-ES"/>
        </w:rPr>
        <w:t xml:space="preserve"> impactos</w:t>
      </w:r>
      <w:r>
        <w:rPr>
          <w:rFonts w:ascii="Times New Roman" w:hAnsi="Times New Roman"/>
          <w:sz w:val="16"/>
          <w:szCs w:val="16"/>
          <w:lang w:val="es-ES"/>
        </w:rPr>
        <w:t xml:space="preserve">: </w:t>
      </w:r>
      <w:r w:rsidRPr="00411F33">
        <w:rPr>
          <w:rFonts w:ascii="Times New Roman" w:hAnsi="Times New Roman"/>
          <w:sz w:val="16"/>
          <w:szCs w:val="16"/>
          <w:lang w:val="es-ES"/>
        </w:rPr>
        <w:t>urbanización rápida y no planificada en áreas peligrosas, degradación ambiental y falta de gobernabilidad. BID, 2013. Ocurrencia y gestión de inundaciones en A</w:t>
      </w:r>
      <w:r>
        <w:rPr>
          <w:rFonts w:ascii="Times New Roman" w:hAnsi="Times New Roman"/>
          <w:sz w:val="16"/>
          <w:szCs w:val="16"/>
          <w:lang w:val="es-ES"/>
        </w:rPr>
        <w:t>LC</w:t>
      </w:r>
      <w:r w:rsidRPr="00411F33">
        <w:rPr>
          <w:rFonts w:ascii="Times New Roman" w:hAnsi="Times New Roman"/>
          <w:sz w:val="16"/>
          <w:szCs w:val="16"/>
          <w:lang w:val="es-ES"/>
        </w:rPr>
        <w:t>: factores claves y experiencia</w:t>
      </w:r>
      <w:r>
        <w:rPr>
          <w:rFonts w:ascii="Times New Roman" w:hAnsi="Times New Roman"/>
          <w:sz w:val="16"/>
          <w:szCs w:val="16"/>
          <w:lang w:val="es-ES"/>
        </w:rPr>
        <w:t xml:space="preserve"> </w:t>
      </w:r>
      <w:r w:rsidRPr="00837476">
        <w:rPr>
          <w:rFonts w:ascii="Times New Roman" w:hAnsi="Times New Roman"/>
          <w:sz w:val="16"/>
          <w:szCs w:val="16"/>
          <w:lang w:val="es-ES_tradnl"/>
        </w:rPr>
        <w:t>adquirida</w:t>
      </w:r>
      <w:proofErr w:type="gramStart"/>
      <w:r w:rsidRPr="00837476">
        <w:rPr>
          <w:rFonts w:ascii="Times New Roman" w:hAnsi="Times New Roman"/>
          <w:sz w:val="16"/>
          <w:szCs w:val="16"/>
          <w:lang w:val="es-ES_tradnl"/>
        </w:rPr>
        <w:t>./</w:t>
      </w:r>
      <w:proofErr w:type="gramEnd"/>
      <w:r w:rsidRPr="00837476">
        <w:rPr>
          <w:rFonts w:ascii="Times New Roman" w:hAnsi="Times New Roman"/>
          <w:sz w:val="16"/>
          <w:szCs w:val="16"/>
          <w:lang w:val="es-ES_tradnl"/>
        </w:rPr>
        <w:t xml:space="preserve"> </w:t>
      </w:r>
      <w:r w:rsidRPr="00455FC7">
        <w:rPr>
          <w:rFonts w:ascii="Times New Roman" w:hAnsi="Times New Roman"/>
          <w:sz w:val="16"/>
          <w:szCs w:val="16"/>
          <w:lang w:val="es-ES_tradnl"/>
        </w:rPr>
        <w:t>Fernández Illescas C., Buss S.Nota técnica 924. 2016.</w:t>
      </w:r>
    </w:p>
  </w:footnote>
  <w:footnote w:id="8">
    <w:p w:rsidR="00406CAE" w:rsidRPr="00D00F4D" w:rsidRDefault="00406CAE" w:rsidP="00046EFF">
      <w:pPr>
        <w:pStyle w:val="FootnoteText"/>
        <w:spacing w:after="60"/>
        <w:jc w:val="both"/>
        <w:rPr>
          <w:lang w:val="es-ES"/>
        </w:rPr>
      </w:pPr>
      <w:r w:rsidRPr="00046EFF">
        <w:rPr>
          <w:rStyle w:val="FootnoteReference"/>
          <w:rFonts w:ascii="Times New Roman" w:hAnsi="Times New Roman"/>
          <w:sz w:val="18"/>
          <w:szCs w:val="18"/>
        </w:rPr>
        <w:footnoteRef/>
      </w:r>
      <w:r w:rsidRPr="00837476">
        <w:rPr>
          <w:rFonts w:ascii="Times New Roman" w:hAnsi="Times New Roman"/>
          <w:sz w:val="18"/>
          <w:szCs w:val="18"/>
          <w:lang w:val="es-ES_tradnl"/>
        </w:rPr>
        <w:t xml:space="preserve"> </w:t>
      </w:r>
      <w:r w:rsidRPr="00837476">
        <w:rPr>
          <w:rFonts w:ascii="Times New Roman" w:hAnsi="Times New Roman"/>
          <w:sz w:val="16"/>
          <w:szCs w:val="16"/>
          <w:lang w:val="es-ES_tradnl"/>
        </w:rPr>
        <w:t>A 50 Km. de la costa ecuatoriana se encuentra una gran depresión en el suelo del océano, la fosa oceánica, lugar de convergencia de las placas tectónicas de Nazca y Sudamérica, constituyéndose esta interacción en la fuente sismogenética más activa e importante del País. Protocolo de Coordinación del Sistema Nacional de Alerta de Tsunami en el Ecuador. 2016.</w:t>
      </w:r>
    </w:p>
  </w:footnote>
  <w:footnote w:id="9">
    <w:p w:rsidR="00406CAE" w:rsidRPr="00105E81" w:rsidRDefault="00406CAE" w:rsidP="00667D53">
      <w:pPr>
        <w:pStyle w:val="FootnoteText"/>
        <w:spacing w:after="60"/>
        <w:rPr>
          <w:lang w:val="es-ES"/>
        </w:rPr>
      </w:pPr>
      <w:r w:rsidRPr="00046EFF">
        <w:rPr>
          <w:rStyle w:val="FootnoteReference"/>
          <w:rFonts w:ascii="Times New Roman" w:hAnsi="Times New Roman"/>
          <w:sz w:val="18"/>
          <w:szCs w:val="18"/>
        </w:rPr>
        <w:footnoteRef/>
      </w:r>
      <w:r w:rsidRPr="00837476">
        <w:rPr>
          <w:rFonts w:ascii="Times New Roman" w:hAnsi="Times New Roman"/>
          <w:sz w:val="16"/>
          <w:szCs w:val="16"/>
          <w:lang w:val="es-ES_tradnl"/>
        </w:rPr>
        <w:t xml:space="preserve"> Ecuador: Referencias básicas para la gestión de riesgos 2013-2014. </w:t>
      </w:r>
      <w:r w:rsidRPr="00E772ED">
        <w:rPr>
          <w:rFonts w:ascii="Times New Roman" w:hAnsi="Times New Roman"/>
          <w:sz w:val="16"/>
          <w:szCs w:val="16"/>
          <w:lang w:val="es-ES_tradnl"/>
        </w:rPr>
        <w:t>Secretaría de Gestión de Riesgos. Referido en EC-L1014.</w:t>
      </w:r>
    </w:p>
  </w:footnote>
  <w:footnote w:id="10">
    <w:p w:rsidR="00406CAE" w:rsidRPr="00105E81" w:rsidRDefault="00406CAE" w:rsidP="00E772ED">
      <w:pPr>
        <w:pStyle w:val="FootnoteText"/>
        <w:jc w:val="both"/>
        <w:rPr>
          <w:lang w:val="es-ES"/>
        </w:rPr>
      </w:pPr>
      <w:r w:rsidRPr="00411F33">
        <w:rPr>
          <w:rStyle w:val="FootnoteReference"/>
          <w:rFonts w:ascii="Times New Roman" w:hAnsi="Times New Roman"/>
          <w:sz w:val="16"/>
          <w:szCs w:val="16"/>
        </w:rPr>
        <w:footnoteRef/>
      </w:r>
      <w:r w:rsidRPr="00837476">
        <w:rPr>
          <w:rFonts w:ascii="Times New Roman" w:hAnsi="Times New Roman"/>
          <w:sz w:val="16"/>
          <w:szCs w:val="16"/>
          <w:lang w:val="es-ES_tradnl"/>
        </w:rPr>
        <w:t xml:space="preserve"> El Fenómeno del Niño 1997-1998: memoria, retos y soluciones. Volumen IV: Ecuador. CAF, 2000</w:t>
      </w:r>
      <w:r w:rsidRPr="00837476">
        <w:rPr>
          <w:lang w:val="es-ES_tradnl"/>
        </w:rPr>
        <w:t xml:space="preserve">. </w:t>
      </w:r>
      <w:r w:rsidRPr="00E772ED">
        <w:rPr>
          <w:rFonts w:ascii="Times New Roman" w:hAnsi="Times New Roman"/>
          <w:sz w:val="16"/>
          <w:szCs w:val="16"/>
          <w:lang w:val="es-MX"/>
        </w:rPr>
        <w:t>Referido en EC-L1014.</w:t>
      </w:r>
    </w:p>
  </w:footnote>
  <w:footnote w:id="11">
    <w:p w:rsidR="00406CAE" w:rsidRPr="00BE6D44" w:rsidRDefault="00406CAE" w:rsidP="00046EFF">
      <w:pPr>
        <w:pStyle w:val="FootnoteText"/>
        <w:spacing w:after="60"/>
        <w:jc w:val="both"/>
        <w:rPr>
          <w:sz w:val="16"/>
          <w:szCs w:val="16"/>
          <w:lang w:val="es-ES"/>
        </w:rPr>
      </w:pPr>
      <w:r w:rsidRPr="00411F33">
        <w:rPr>
          <w:rStyle w:val="FootnoteReference"/>
          <w:rFonts w:ascii="Times New Roman" w:hAnsi="Times New Roman"/>
          <w:sz w:val="16"/>
          <w:szCs w:val="16"/>
        </w:rPr>
        <w:footnoteRef/>
      </w:r>
      <w:r w:rsidRPr="00837476">
        <w:rPr>
          <w:rFonts w:ascii="Times New Roman" w:hAnsi="Times New Roman"/>
          <w:sz w:val="16"/>
          <w:szCs w:val="16"/>
          <w:lang w:val="es-ES_tradnl"/>
        </w:rPr>
        <w:t xml:space="preserve"> </w:t>
      </w:r>
      <w:r w:rsidRPr="00BE6D44">
        <w:rPr>
          <w:rFonts w:ascii="Times New Roman" w:hAnsi="Times New Roman"/>
          <w:bCs/>
          <w:sz w:val="16"/>
          <w:szCs w:val="16"/>
          <w:lang w:val="es-ES"/>
        </w:rPr>
        <w:t>GRD está incluida en la Constitución del Ecuador votada el 2008 (el Estado protege a las personas, las colectividades y la naturaleza frente a los efectos negativos de los desastres de origen natural o antrópico).</w:t>
      </w:r>
      <w:r>
        <w:rPr>
          <w:rFonts w:ascii="Times New Roman" w:hAnsi="Times New Roman"/>
          <w:bCs/>
          <w:sz w:val="16"/>
          <w:szCs w:val="16"/>
          <w:lang w:val="es-ES"/>
        </w:rPr>
        <w:t xml:space="preserve"> A su vez</w:t>
      </w:r>
      <w:r w:rsidRPr="00BE6D44">
        <w:rPr>
          <w:rFonts w:ascii="Times New Roman" w:hAnsi="Times New Roman"/>
          <w:bCs/>
          <w:sz w:val="16"/>
          <w:szCs w:val="16"/>
          <w:lang w:val="es-ES"/>
        </w:rPr>
        <w:t xml:space="preserve">, el Plan Nacional del Buen Vivir (PNBV) 2013-2017, </w:t>
      </w:r>
      <w:r>
        <w:rPr>
          <w:rFonts w:ascii="Times New Roman" w:hAnsi="Times New Roman"/>
          <w:bCs/>
          <w:sz w:val="16"/>
          <w:szCs w:val="16"/>
          <w:lang w:val="es-ES"/>
        </w:rPr>
        <w:t xml:space="preserve">establece </w:t>
      </w:r>
      <w:r w:rsidRPr="00BE6D44">
        <w:rPr>
          <w:rFonts w:ascii="Times New Roman" w:hAnsi="Times New Roman"/>
          <w:bCs/>
          <w:sz w:val="16"/>
          <w:szCs w:val="16"/>
          <w:lang w:val="es-ES"/>
        </w:rPr>
        <w:t xml:space="preserve"> que la reducción del riesgo de desastres es una condic</w:t>
      </w:r>
      <w:r>
        <w:rPr>
          <w:rFonts w:ascii="Times New Roman" w:hAnsi="Times New Roman"/>
          <w:bCs/>
          <w:sz w:val="16"/>
          <w:szCs w:val="16"/>
          <w:lang w:val="es-ES"/>
        </w:rPr>
        <w:t>ión para sus objetivos</w:t>
      </w:r>
      <w:r w:rsidRPr="00BE6D44">
        <w:rPr>
          <w:rFonts w:ascii="Times New Roman" w:hAnsi="Times New Roman"/>
          <w:bCs/>
          <w:sz w:val="16"/>
          <w:szCs w:val="16"/>
          <w:lang w:val="es-ES"/>
        </w:rPr>
        <w:t>.</w:t>
      </w:r>
    </w:p>
  </w:footnote>
  <w:footnote w:id="12">
    <w:p w:rsidR="00406CAE" w:rsidRPr="00D723AA" w:rsidRDefault="00406CAE" w:rsidP="00771AFB">
      <w:pPr>
        <w:pStyle w:val="FootnoteText"/>
        <w:rPr>
          <w:rFonts w:ascii="Times New Roman" w:hAnsi="Times New Roman"/>
          <w:sz w:val="16"/>
          <w:szCs w:val="16"/>
          <w:lang w:val="es-ES"/>
        </w:rPr>
      </w:pPr>
      <w:r w:rsidRPr="00771AFB">
        <w:rPr>
          <w:rStyle w:val="FootnoteReference"/>
          <w:rFonts w:ascii="Times New Roman" w:hAnsi="Times New Roman"/>
          <w:sz w:val="16"/>
          <w:szCs w:val="16"/>
        </w:rPr>
        <w:footnoteRef/>
      </w:r>
      <w:r w:rsidRPr="00837476">
        <w:rPr>
          <w:rFonts w:ascii="Times New Roman" w:hAnsi="Times New Roman"/>
          <w:sz w:val="16"/>
          <w:szCs w:val="16"/>
          <w:lang w:val="es-ES_tradnl"/>
        </w:rPr>
        <w:t xml:space="preserve"> </w:t>
      </w:r>
      <w:r w:rsidRPr="00D723AA">
        <w:rPr>
          <w:rFonts w:ascii="Times New Roman" w:hAnsi="Times New Roman"/>
          <w:sz w:val="16"/>
          <w:szCs w:val="16"/>
          <w:lang w:val="es-ES"/>
        </w:rPr>
        <w:t>Pobreza por consumo: Esmeraldas 43.1% y Manabí 31,3%. Fuente: INEC Censo 2010.</w:t>
      </w:r>
    </w:p>
  </w:footnote>
  <w:footnote w:id="13">
    <w:p w:rsidR="00406CAE" w:rsidRPr="00D723AA" w:rsidRDefault="00406CAE" w:rsidP="00771AFB">
      <w:pPr>
        <w:pStyle w:val="FootnoteText"/>
        <w:rPr>
          <w:rFonts w:ascii="Times New Roman" w:hAnsi="Times New Roman"/>
          <w:sz w:val="16"/>
          <w:szCs w:val="16"/>
          <w:lang w:val="es-ES"/>
        </w:rPr>
      </w:pPr>
      <w:r w:rsidRPr="00D723AA">
        <w:rPr>
          <w:rStyle w:val="FootnoteReference"/>
          <w:rFonts w:ascii="Times New Roman" w:hAnsi="Times New Roman"/>
          <w:sz w:val="16"/>
          <w:szCs w:val="16"/>
          <w:lang w:val="es-ES"/>
        </w:rPr>
        <w:footnoteRef/>
      </w:r>
      <w:r w:rsidRPr="00D723AA">
        <w:rPr>
          <w:rFonts w:ascii="Times New Roman" w:hAnsi="Times New Roman"/>
          <w:sz w:val="16"/>
          <w:szCs w:val="16"/>
          <w:lang w:val="es-ES"/>
        </w:rPr>
        <w:t xml:space="preserve"> Viviendas sin techos de hormigón: Esmeraldas 88.2% y Manabí 85.6%. INEC Censo 2010.</w:t>
      </w:r>
    </w:p>
  </w:footnote>
  <w:footnote w:id="14">
    <w:p w:rsidR="00406CAE" w:rsidRPr="0026493E" w:rsidRDefault="00406CAE" w:rsidP="0080208C">
      <w:pPr>
        <w:pStyle w:val="FootnoteText"/>
        <w:rPr>
          <w:rFonts w:cs="Arial"/>
          <w:sz w:val="18"/>
          <w:szCs w:val="18"/>
          <w:lang w:val="es-ES" w:eastAsia="ja-JP"/>
        </w:rPr>
      </w:pPr>
      <w:r w:rsidRPr="00411F33">
        <w:rPr>
          <w:rStyle w:val="FootnoteReference"/>
          <w:rFonts w:ascii="Times New Roman" w:hAnsi="Times New Roman"/>
          <w:sz w:val="16"/>
          <w:szCs w:val="16"/>
          <w:lang w:val="es-ES"/>
        </w:rPr>
        <w:footnoteRef/>
      </w:r>
      <w:r w:rsidRPr="00411F33">
        <w:rPr>
          <w:rFonts w:ascii="Times New Roman" w:hAnsi="Times New Roman"/>
          <w:sz w:val="16"/>
          <w:szCs w:val="16"/>
          <w:lang w:val="es-ES"/>
        </w:rPr>
        <w:t xml:space="preserve"> </w:t>
      </w:r>
      <w:r>
        <w:rPr>
          <w:rFonts w:ascii="Times New Roman" w:hAnsi="Times New Roman"/>
          <w:sz w:val="16"/>
          <w:szCs w:val="16"/>
          <w:lang w:val="es-ES" w:eastAsia="ja-JP"/>
        </w:rPr>
        <w:t>P</w:t>
      </w:r>
      <w:r w:rsidRPr="00D723AA">
        <w:rPr>
          <w:rFonts w:ascii="Times New Roman" w:hAnsi="Times New Roman"/>
          <w:sz w:val="16"/>
          <w:szCs w:val="16"/>
          <w:lang w:val="es-ES" w:eastAsia="ja-JP"/>
        </w:rPr>
        <w:t xml:space="preserve">ropuesta de SIS ECU 911 </w:t>
      </w:r>
      <w:r>
        <w:rPr>
          <w:rFonts w:ascii="Times New Roman" w:hAnsi="Times New Roman"/>
          <w:sz w:val="16"/>
          <w:szCs w:val="16"/>
          <w:lang w:val="es-ES" w:eastAsia="ja-JP"/>
        </w:rPr>
        <w:t xml:space="preserve">sobre </w:t>
      </w:r>
      <w:r w:rsidRPr="00D723AA">
        <w:rPr>
          <w:rFonts w:ascii="Times New Roman" w:hAnsi="Times New Roman"/>
          <w:sz w:val="16"/>
          <w:szCs w:val="16"/>
          <w:lang w:val="es-ES" w:eastAsia="ja-JP"/>
        </w:rPr>
        <w:t>el Sistema de Alerta Temprana (SAT) http://www.ecu911.gob.ec/biblioteca/</w:t>
      </w:r>
    </w:p>
  </w:footnote>
  <w:footnote w:id="15">
    <w:p w:rsidR="00406CAE" w:rsidRPr="0011729D" w:rsidRDefault="00406CAE" w:rsidP="0011729D">
      <w:pPr>
        <w:pStyle w:val="FootnoteText"/>
        <w:jc w:val="both"/>
        <w:rPr>
          <w:lang w:val="es-ES"/>
        </w:rPr>
      </w:pPr>
      <w:r>
        <w:rPr>
          <w:rStyle w:val="FootnoteReference"/>
        </w:rPr>
        <w:footnoteRef/>
      </w:r>
      <w:r w:rsidRPr="00837476">
        <w:rPr>
          <w:lang w:val="es-ES_tradnl"/>
        </w:rPr>
        <w:t xml:space="preserve"> </w:t>
      </w:r>
      <w:r w:rsidRPr="00837476">
        <w:rPr>
          <w:rFonts w:ascii="Times New Roman" w:hAnsi="Times New Roman"/>
          <w:sz w:val="16"/>
          <w:szCs w:val="16"/>
          <w:lang w:val="es-ES_tradnl"/>
        </w:rPr>
        <w:t>Adicionalmente, el SAT puede tener algunos impactos adicionales en las comunidades a partir del uso múltiple de la sirena comunitaria que genera solidaridad adicional de la comunidad (por ejemplo campañas de prevención de la delincuencia juvenil).</w:t>
      </w:r>
    </w:p>
  </w:footnote>
  <w:footnote w:id="16">
    <w:p w:rsidR="00406CAE" w:rsidRPr="00D00F4D" w:rsidRDefault="00406CAE" w:rsidP="00F661EC">
      <w:pPr>
        <w:pStyle w:val="FootnoteText"/>
        <w:spacing w:after="60"/>
        <w:rPr>
          <w:lang w:val="es-ES"/>
        </w:rPr>
      </w:pPr>
      <w:r w:rsidRPr="00F661EC">
        <w:rPr>
          <w:rStyle w:val="FootnoteReference"/>
          <w:rFonts w:ascii="Times New Roman" w:hAnsi="Times New Roman"/>
        </w:rPr>
        <w:footnoteRef/>
      </w:r>
      <w:r w:rsidRPr="00837476">
        <w:rPr>
          <w:rFonts w:ascii="Times New Roman" w:hAnsi="Times New Roman"/>
          <w:lang w:val="es-ES_tradnl"/>
        </w:rPr>
        <w:t xml:space="preserve"> </w:t>
      </w:r>
      <w:r w:rsidRPr="00837476">
        <w:rPr>
          <w:rFonts w:ascii="Times New Roman" w:hAnsi="Times New Roman"/>
          <w:sz w:val="16"/>
          <w:szCs w:val="16"/>
          <w:lang w:val="es-ES_tradnl"/>
        </w:rPr>
        <w:t>Fuente: Proyecto SAT. Agosto 2016.</w:t>
      </w:r>
    </w:p>
  </w:footnote>
  <w:footnote w:id="17">
    <w:p w:rsidR="00406CAE" w:rsidRPr="00837476" w:rsidRDefault="00406CAE">
      <w:pPr>
        <w:pStyle w:val="FootnoteText"/>
        <w:rPr>
          <w:rFonts w:ascii="Times New Roman" w:hAnsi="Times New Roman"/>
          <w:sz w:val="16"/>
          <w:szCs w:val="16"/>
          <w:lang w:val="es-ES_tradnl"/>
        </w:rPr>
      </w:pPr>
      <w:r w:rsidRPr="00F661EC">
        <w:rPr>
          <w:rStyle w:val="FootnoteReference"/>
          <w:rFonts w:ascii="Times New Roman" w:hAnsi="Times New Roman"/>
        </w:rPr>
        <w:footnoteRef/>
      </w:r>
      <w:r w:rsidRPr="00837476">
        <w:rPr>
          <w:rFonts w:ascii="Times New Roman" w:hAnsi="Times New Roman"/>
          <w:sz w:val="16"/>
          <w:szCs w:val="16"/>
          <w:lang w:val="es-ES_tradnl"/>
        </w:rPr>
        <w:t xml:space="preserve"> Por ejemplo, ¿Cuáles serían las probabilidades  que un huracán de magnitud  5 cause  golpee en un area específica de América Central  o el Caribe, o en la Costa Este de USA, en los próximos 10 años</w:t>
      </w:r>
      <w:proofErr w:type="gramStart"/>
      <w:r w:rsidRPr="00837476">
        <w:rPr>
          <w:rFonts w:ascii="Times New Roman" w:hAnsi="Times New Roman"/>
          <w:sz w:val="16"/>
          <w:szCs w:val="16"/>
          <w:lang w:val="es-ES_tradnl"/>
        </w:rPr>
        <w:t>?.</w:t>
      </w:r>
      <w:proofErr w:type="gramEnd"/>
      <w:r w:rsidRPr="00837476">
        <w:rPr>
          <w:rFonts w:ascii="Times New Roman" w:hAnsi="Times New Roman"/>
          <w:sz w:val="16"/>
          <w:szCs w:val="16"/>
          <w:lang w:val="es-ES_tradnl"/>
        </w:rPr>
        <w:t xml:space="preserve"> </w:t>
      </w:r>
    </w:p>
    <w:p w:rsidR="00406CAE" w:rsidRPr="0031039A" w:rsidRDefault="00406CAE">
      <w:pPr>
        <w:pStyle w:val="FootnoteText"/>
        <w:rPr>
          <w:lang w:val="es-ES"/>
        </w:rPr>
      </w:pPr>
    </w:p>
  </w:footnote>
  <w:footnote w:id="18">
    <w:p w:rsidR="00406CAE" w:rsidRPr="00FE3229" w:rsidRDefault="00406CAE" w:rsidP="00046EFF">
      <w:pPr>
        <w:pStyle w:val="FootnoteText"/>
        <w:spacing w:after="60"/>
        <w:jc w:val="both"/>
        <w:rPr>
          <w:rFonts w:ascii="Times New Roman" w:hAnsi="Times New Roman"/>
          <w:sz w:val="16"/>
          <w:szCs w:val="16"/>
          <w:lang w:val="es-ES"/>
        </w:rPr>
      </w:pPr>
      <w:r w:rsidRPr="00D96B48">
        <w:rPr>
          <w:rStyle w:val="FootnoteReference"/>
          <w:rFonts w:ascii="Times New Roman" w:hAnsi="Times New Roman"/>
          <w:sz w:val="18"/>
          <w:szCs w:val="18"/>
        </w:rPr>
        <w:footnoteRef/>
      </w:r>
      <w:r w:rsidRPr="00455FC7">
        <w:rPr>
          <w:lang w:val="es-ES_tradnl"/>
        </w:rPr>
        <w:t xml:space="preserve"> </w:t>
      </w:r>
      <w:r w:rsidRPr="00455FC7">
        <w:rPr>
          <w:rFonts w:ascii="Times New Roman" w:hAnsi="Times New Roman"/>
          <w:sz w:val="16"/>
          <w:szCs w:val="16"/>
          <w:lang w:val="es-ES_tradnl"/>
        </w:rPr>
        <w:t xml:space="preserve">Fuente: Copenhagen Consensus. 2012. Natural Disasters. </w:t>
      </w:r>
      <w:r w:rsidRPr="00837476">
        <w:rPr>
          <w:rFonts w:ascii="Times New Roman" w:hAnsi="Times New Roman"/>
          <w:sz w:val="16"/>
          <w:szCs w:val="16"/>
          <w:lang w:val="es-ES_tradnl"/>
        </w:rPr>
        <w:t xml:space="preserve">Adicionalmente, recientes investigaciones encontraron que las personas a menudo perciben </w:t>
      </w:r>
      <w:proofErr w:type="gramStart"/>
      <w:r w:rsidRPr="00837476">
        <w:rPr>
          <w:rFonts w:ascii="Times New Roman" w:hAnsi="Times New Roman"/>
          <w:sz w:val="16"/>
          <w:szCs w:val="16"/>
          <w:lang w:val="es-ES_tradnl"/>
        </w:rPr>
        <w:t>los eventos de baja probabilidad y de graves consecuencias de forma diferente a los expertos, afectado</w:t>
      </w:r>
      <w:proofErr w:type="gramEnd"/>
      <w:r w:rsidRPr="00837476">
        <w:rPr>
          <w:rFonts w:ascii="Times New Roman" w:hAnsi="Times New Roman"/>
          <w:sz w:val="16"/>
          <w:szCs w:val="16"/>
          <w:lang w:val="es-ES_tradnl"/>
        </w:rPr>
        <w:t xml:space="preserve"> su comportamiento en situaciones extremas. Frente a ello la comunidad científica ha comenzado a prestar más atención a los factores psicológicos y sociológicoses, e incorporando las emociones humanas más destacadas como el miedo y la ansiedad en los modelos de decisión.</w:t>
      </w:r>
    </w:p>
  </w:footnote>
  <w:footnote w:id="19">
    <w:p w:rsidR="00406CAE" w:rsidRPr="000016E0" w:rsidRDefault="00406CAE" w:rsidP="00D96B48">
      <w:pPr>
        <w:pStyle w:val="FootnoteText"/>
        <w:spacing w:after="60"/>
        <w:jc w:val="both"/>
        <w:rPr>
          <w:lang w:val="es-ES_tradnl"/>
        </w:rPr>
      </w:pPr>
      <w:r w:rsidRPr="00D96B48">
        <w:rPr>
          <w:rStyle w:val="FootnoteReference"/>
          <w:rFonts w:ascii="Times New Roman" w:hAnsi="Times New Roman"/>
          <w:sz w:val="18"/>
          <w:szCs w:val="18"/>
        </w:rPr>
        <w:footnoteRef/>
      </w:r>
      <w:r w:rsidRPr="00837476">
        <w:rPr>
          <w:sz w:val="18"/>
          <w:szCs w:val="18"/>
          <w:lang w:val="es-ES_tradnl"/>
        </w:rPr>
        <w:t xml:space="preserve"> </w:t>
      </w:r>
      <w:r w:rsidRPr="00837476">
        <w:rPr>
          <w:rFonts w:ascii="Times New Roman" w:hAnsi="Times New Roman"/>
          <w:sz w:val="22"/>
          <w:szCs w:val="22"/>
          <w:lang w:val="es-ES_tradnl"/>
        </w:rPr>
        <w:t xml:space="preserve"> </w:t>
      </w:r>
      <w:r w:rsidRPr="00837476">
        <w:rPr>
          <w:rFonts w:ascii="Times New Roman" w:hAnsi="Times New Roman"/>
          <w:sz w:val="16"/>
          <w:szCs w:val="16"/>
          <w:lang w:val="es-ES_tradnl"/>
        </w:rPr>
        <w:t xml:space="preserve">El rango de valores que utilizan lose studios téoricos considera una amplia gama de estimaciones. Se aplica en este trabajo el promedio de dos puntos de referencia: (a) un valor mínimo de US$ 110.000 que surge del promedio de valor de vida ajustado por discapacidad -DALY, y b) un máximo de 456.ooo que resulta del valor estadístico empleado por USA de US$ 6.000.000, ajustado en base a la relación de PBI per capita entre Ecuador y USA (comparando cifras de 2014).  </w:t>
      </w:r>
      <w:r w:rsidRPr="000016E0">
        <w:rPr>
          <w:rFonts w:ascii="Times New Roman" w:hAnsi="Times New Roman"/>
          <w:sz w:val="16"/>
          <w:szCs w:val="16"/>
          <w:lang w:val="es-ES_tradnl"/>
        </w:rPr>
        <w:t>Ambas referencias son utilizados por el equipo de Consenso de Copenhague para establecer distintos parámetros de valoración y aplicados en otros estudios sobre esta materia (Banco Mundial).</w:t>
      </w:r>
      <w:r>
        <w:rPr>
          <w:rFonts w:ascii="Times New Roman" w:hAnsi="Times New Roman"/>
          <w:sz w:val="16"/>
          <w:szCs w:val="16"/>
          <w:lang w:val="es-ES_tradnl"/>
        </w:rPr>
        <w:t xml:space="preserve"> Ver: </w:t>
      </w:r>
      <w:r w:rsidRPr="00D96B48">
        <w:rPr>
          <w:rFonts w:ascii="Times New Roman" w:hAnsi="Times New Roman"/>
          <w:sz w:val="16"/>
          <w:szCs w:val="16"/>
          <w:lang w:val="es-ES_tradnl"/>
        </w:rPr>
        <w:t>7.</w:t>
      </w:r>
      <w:r w:rsidRPr="00D96B48">
        <w:rPr>
          <w:rFonts w:ascii="Times New Roman" w:hAnsi="Times New Roman"/>
          <w:sz w:val="16"/>
          <w:szCs w:val="16"/>
          <w:lang w:val="es-ES_tradnl"/>
        </w:rPr>
        <w:tab/>
        <w:t>Copenhagen Consensus. Natural Disasters. Kunreuthe, H., Michel-Kerjan, E. 2012.</w:t>
      </w:r>
    </w:p>
  </w:footnote>
  <w:footnote w:id="20">
    <w:p w:rsidR="00406CAE" w:rsidRPr="000E5919" w:rsidRDefault="00406CAE">
      <w:pPr>
        <w:pStyle w:val="FootnoteText"/>
        <w:rPr>
          <w:lang w:val="es-AR"/>
        </w:rPr>
      </w:pPr>
      <w:r w:rsidRPr="008E0C13">
        <w:rPr>
          <w:rStyle w:val="FootnoteReference"/>
          <w:rFonts w:ascii="Times New Roman" w:hAnsi="Times New Roman"/>
          <w:sz w:val="16"/>
          <w:szCs w:val="16"/>
        </w:rPr>
        <w:footnoteRef/>
      </w:r>
      <w:r w:rsidRPr="00837476">
        <w:rPr>
          <w:rFonts w:ascii="Times New Roman" w:hAnsi="Times New Roman"/>
          <w:sz w:val="16"/>
          <w:szCs w:val="16"/>
          <w:lang w:val="es-ES_tradnl"/>
        </w:rPr>
        <w:t xml:space="preserve">  Informe de evaluación global sobre la reducción del riesgo de desastres. </w:t>
      </w:r>
      <w:r w:rsidRPr="008E0C13">
        <w:rPr>
          <w:rFonts w:ascii="Times New Roman" w:hAnsi="Times New Roman"/>
          <w:sz w:val="16"/>
          <w:szCs w:val="16"/>
          <w:lang w:val="es-ES_tradnl"/>
        </w:rPr>
        <w:t>Capítulo 2. UNDP. 2009.</w:t>
      </w:r>
      <w:r w:rsidRPr="00455FC7">
        <w:rPr>
          <w:lang w:val="es-ES_tradnl"/>
        </w:rPr>
        <w:t xml:space="preserve"> </w:t>
      </w:r>
    </w:p>
  </w:footnote>
  <w:footnote w:id="21">
    <w:p w:rsidR="00406CAE" w:rsidRPr="007C246A" w:rsidRDefault="00406CAE">
      <w:pPr>
        <w:pStyle w:val="FootnoteText"/>
        <w:rPr>
          <w:lang w:val="es-AR"/>
        </w:rPr>
      </w:pPr>
      <w:r w:rsidRPr="00D96B48">
        <w:rPr>
          <w:rStyle w:val="FootnoteReference"/>
          <w:rFonts w:ascii="Times New Roman" w:hAnsi="Times New Roman"/>
          <w:sz w:val="18"/>
          <w:szCs w:val="18"/>
        </w:rPr>
        <w:footnoteRef/>
      </w:r>
      <w:r w:rsidRPr="00837476">
        <w:rPr>
          <w:rFonts w:ascii="Times New Roman" w:hAnsi="Times New Roman"/>
          <w:sz w:val="18"/>
          <w:szCs w:val="18"/>
          <w:lang w:val="es-ES_tradnl"/>
        </w:rPr>
        <w:t xml:space="preserve"> </w:t>
      </w:r>
      <w:r w:rsidRPr="00837476">
        <w:rPr>
          <w:lang w:val="es-ES_tradnl"/>
        </w:rPr>
        <w:t xml:space="preserve"> </w:t>
      </w:r>
      <w:r w:rsidRPr="00837476">
        <w:rPr>
          <w:rFonts w:ascii="Times New Roman" w:hAnsi="Times New Roman"/>
          <w:sz w:val="16"/>
          <w:szCs w:val="16"/>
          <w:lang w:val="es-ES_tradnl"/>
        </w:rPr>
        <w:t>Podrían existir ademas otros</w:t>
      </w:r>
      <w:r w:rsidRPr="007C246A">
        <w:rPr>
          <w:rFonts w:ascii="Times New Roman" w:hAnsi="Times New Roman"/>
          <w:sz w:val="16"/>
          <w:szCs w:val="16"/>
          <w:lang w:val="es-AR"/>
        </w:rPr>
        <w:t xml:space="preserve"> </w:t>
      </w:r>
      <w:r>
        <w:rPr>
          <w:rFonts w:ascii="Times New Roman" w:hAnsi="Times New Roman"/>
          <w:sz w:val="16"/>
          <w:szCs w:val="16"/>
          <w:lang w:val="es-AR"/>
        </w:rPr>
        <w:t xml:space="preserve">factores de carácter antrópico, </w:t>
      </w:r>
      <w:r w:rsidRPr="007C246A">
        <w:rPr>
          <w:rFonts w:ascii="Times New Roman" w:hAnsi="Times New Roman"/>
          <w:sz w:val="16"/>
          <w:szCs w:val="16"/>
          <w:lang w:val="es-AR"/>
        </w:rPr>
        <w:t>pero fuera del alcance del Programa.</w:t>
      </w:r>
    </w:p>
  </w:footnote>
  <w:footnote w:id="22">
    <w:p w:rsidR="00406CAE" w:rsidRPr="007C246A" w:rsidRDefault="00406CAE" w:rsidP="00AE08BC">
      <w:pPr>
        <w:pStyle w:val="FootnoteText"/>
        <w:jc w:val="both"/>
        <w:rPr>
          <w:lang w:val="es-AR"/>
        </w:rPr>
      </w:pPr>
      <w:r w:rsidRPr="00D96B48">
        <w:rPr>
          <w:rStyle w:val="FootnoteReference"/>
          <w:rFonts w:ascii="Times New Roman" w:hAnsi="Times New Roman"/>
          <w:sz w:val="18"/>
          <w:szCs w:val="18"/>
        </w:rPr>
        <w:footnoteRef/>
      </w:r>
      <w:r w:rsidRPr="00837476">
        <w:rPr>
          <w:rFonts w:ascii="Times New Roman" w:hAnsi="Times New Roman"/>
          <w:sz w:val="18"/>
          <w:szCs w:val="18"/>
          <w:lang w:val="es-ES_tradnl"/>
        </w:rPr>
        <w:t xml:space="preserve"> </w:t>
      </w:r>
      <w:r w:rsidRPr="00837476">
        <w:rPr>
          <w:lang w:val="es-ES_tradnl"/>
        </w:rPr>
        <w:t xml:space="preserve"> </w:t>
      </w:r>
      <w:r w:rsidRPr="00AE08BC">
        <w:rPr>
          <w:rFonts w:ascii="Times New Roman" w:hAnsi="Times New Roman"/>
          <w:sz w:val="16"/>
          <w:szCs w:val="16"/>
          <w:lang w:val="es-ES_tradnl"/>
        </w:rPr>
        <w:t xml:space="preserve">Cuanto mayor sea la probabilidad de ocurrencia de un desastre más probable </w:t>
      </w:r>
      <w:r>
        <w:rPr>
          <w:rFonts w:ascii="Times New Roman" w:hAnsi="Times New Roman"/>
          <w:sz w:val="16"/>
          <w:szCs w:val="16"/>
          <w:lang w:val="es-ES_tradnl"/>
        </w:rPr>
        <w:t>sería alcanzar</w:t>
      </w:r>
      <w:r w:rsidRPr="00AE08BC">
        <w:rPr>
          <w:rFonts w:ascii="Times New Roman" w:hAnsi="Times New Roman"/>
          <w:sz w:val="16"/>
          <w:szCs w:val="16"/>
          <w:lang w:val="es-ES_tradnl"/>
        </w:rPr>
        <w:t xml:space="preserve"> los beneficios esperados (ahorro en pérdida de vidas, daños personales y otro</w:t>
      </w:r>
      <w:r>
        <w:rPr>
          <w:rFonts w:ascii="Times New Roman" w:hAnsi="Times New Roman"/>
          <w:sz w:val="16"/>
          <w:szCs w:val="16"/>
          <w:lang w:val="es-ES_tradnl"/>
        </w:rPr>
        <w:t>s</w:t>
      </w:r>
      <w:r w:rsidRPr="00AE08BC">
        <w:rPr>
          <w:rFonts w:ascii="Times New Roman" w:hAnsi="Times New Roman"/>
          <w:sz w:val="16"/>
          <w:szCs w:val="16"/>
          <w:lang w:val="es-ES_tradnl"/>
        </w:rPr>
        <w:t xml:space="preserve"> efectos sobre la infraestructura).</w:t>
      </w:r>
      <w:r w:rsidRPr="00837476">
        <w:rPr>
          <w:lang w:val="es-ES_tradnl"/>
        </w:rPr>
        <w:t xml:space="preserve"> </w:t>
      </w:r>
    </w:p>
  </w:footnote>
  <w:footnote w:id="23">
    <w:p w:rsidR="00406CAE" w:rsidRPr="00F23AE0" w:rsidRDefault="00406CAE">
      <w:pPr>
        <w:pStyle w:val="FootnoteText"/>
        <w:rPr>
          <w:lang w:val="es-ES"/>
        </w:rPr>
      </w:pPr>
      <w:r w:rsidRPr="001A3AFE">
        <w:rPr>
          <w:rStyle w:val="FootnoteReference"/>
          <w:rFonts w:ascii="Times New Roman" w:hAnsi="Times New Roman"/>
          <w:sz w:val="18"/>
          <w:szCs w:val="18"/>
        </w:rPr>
        <w:footnoteRef/>
      </w:r>
      <w:r w:rsidRPr="00837476">
        <w:rPr>
          <w:rFonts w:ascii="Times New Roman" w:hAnsi="Times New Roman"/>
          <w:sz w:val="18"/>
          <w:szCs w:val="18"/>
          <w:lang w:val="es-ES_tradnl"/>
        </w:rPr>
        <w:t xml:space="preserve"> </w:t>
      </w:r>
      <w:r w:rsidRPr="00F23AE0">
        <w:rPr>
          <w:rFonts w:ascii="Times New Roman" w:hAnsi="Times New Roman"/>
          <w:sz w:val="16"/>
          <w:szCs w:val="16"/>
          <w:lang w:val="es-ES"/>
        </w:rPr>
        <w:t>Paralelamente se crean condiciones para mitigar los efectos sobre la infraestructura, aunque la efectividad del SAT en este aspecto es menor y queda altamente condiionada ala naturaleza del evento (</w:t>
      </w:r>
      <w:r>
        <w:rPr>
          <w:rFonts w:ascii="Times New Roman" w:hAnsi="Times New Roman"/>
          <w:sz w:val="16"/>
          <w:szCs w:val="16"/>
          <w:lang w:val="es-ES"/>
        </w:rPr>
        <w:t>si la anticipación que brinda el alerta es muy escaso las acciones que pueden efectuarse son practivcamente nulas).</w:t>
      </w:r>
    </w:p>
  </w:footnote>
  <w:footnote w:id="24">
    <w:p w:rsidR="00406CAE" w:rsidRPr="00216DD9" w:rsidRDefault="00406CAE" w:rsidP="000131F0">
      <w:pPr>
        <w:pStyle w:val="FootnoteText"/>
        <w:jc w:val="both"/>
        <w:rPr>
          <w:lang w:val="es-AR"/>
        </w:rPr>
      </w:pPr>
      <w:r>
        <w:rPr>
          <w:rStyle w:val="FootnoteReference"/>
        </w:rPr>
        <w:footnoteRef/>
      </w:r>
      <w:r>
        <w:t xml:space="preserve"> </w:t>
      </w:r>
      <w:proofErr w:type="gramStart"/>
      <w:r w:rsidRPr="00216DD9">
        <w:rPr>
          <w:rFonts w:ascii="Times New Roman" w:hAnsi="Times New Roman"/>
          <w:sz w:val="16"/>
          <w:szCs w:val="16"/>
        </w:rPr>
        <w:t>World Bank.</w:t>
      </w:r>
      <w:proofErr w:type="gramEnd"/>
      <w:r w:rsidRPr="00216DD9">
        <w:rPr>
          <w:rFonts w:ascii="Times New Roman" w:hAnsi="Times New Roman"/>
          <w:sz w:val="16"/>
          <w:szCs w:val="16"/>
        </w:rPr>
        <w:t xml:space="preserve"> Benefit-Cost Analysis for Risk Management: Summary of Selected Examples. </w:t>
      </w:r>
      <w:r w:rsidRPr="00455FC7">
        <w:rPr>
          <w:rFonts w:ascii="Times New Roman" w:hAnsi="Times New Roman"/>
          <w:sz w:val="16"/>
          <w:szCs w:val="16"/>
          <w:lang w:val="es-ES_tradnl"/>
        </w:rPr>
        <w:t xml:space="preserve">Background paper for the World Development Report </w:t>
      </w:r>
      <w:proofErr w:type="gramStart"/>
      <w:r w:rsidRPr="00455FC7">
        <w:rPr>
          <w:rFonts w:ascii="Times New Roman" w:hAnsi="Times New Roman"/>
          <w:sz w:val="16"/>
          <w:szCs w:val="16"/>
          <w:lang w:val="es-ES_tradnl"/>
        </w:rPr>
        <w:t>2014 .</w:t>
      </w:r>
      <w:proofErr w:type="gramEnd"/>
      <w:r w:rsidRPr="00455FC7">
        <w:rPr>
          <w:rFonts w:ascii="Times New Roman" w:hAnsi="Times New Roman"/>
          <w:sz w:val="16"/>
          <w:szCs w:val="16"/>
          <w:lang w:val="es-ES_tradnl"/>
        </w:rPr>
        <w:t xml:space="preserve"> Kyla Wethli.</w:t>
      </w:r>
    </w:p>
  </w:footnote>
  <w:footnote w:id="25">
    <w:p w:rsidR="00406CAE" w:rsidRPr="00837476" w:rsidRDefault="00406CAE" w:rsidP="009E0C92">
      <w:pPr>
        <w:pStyle w:val="FootnoteText"/>
        <w:jc w:val="both"/>
      </w:pPr>
      <w:r w:rsidRPr="009E0C92">
        <w:rPr>
          <w:rStyle w:val="FootnoteReference"/>
          <w:rFonts w:ascii="Times New Roman" w:hAnsi="Times New Roman"/>
          <w:sz w:val="18"/>
          <w:szCs w:val="18"/>
        </w:rPr>
        <w:footnoteRef/>
      </w:r>
      <w:r w:rsidRPr="00837476">
        <w:rPr>
          <w:rFonts w:ascii="Times New Roman" w:hAnsi="Times New Roman"/>
          <w:sz w:val="18"/>
          <w:szCs w:val="18"/>
          <w:lang w:val="es-ES_tradnl"/>
        </w:rPr>
        <w:t xml:space="preserve">  </w:t>
      </w:r>
      <w:r w:rsidRPr="00837476">
        <w:rPr>
          <w:rFonts w:ascii="Times New Roman" w:hAnsi="Times New Roman"/>
          <w:sz w:val="16"/>
          <w:szCs w:val="16"/>
          <w:lang w:val="es-ES_tradnl"/>
        </w:rPr>
        <w:t xml:space="preserve">La reflexión e interrogante es si la Tasa debiera disminuir con el tiempo, para reflejar el aumento de la incertidumbre sobre los costes y beneficios que afectan a las generaciones más lejos en el futuro. </w:t>
      </w:r>
      <w:r w:rsidRPr="000131F0">
        <w:rPr>
          <w:rFonts w:ascii="Times New Roman" w:hAnsi="Times New Roman"/>
          <w:sz w:val="16"/>
          <w:szCs w:val="16"/>
        </w:rPr>
        <w:t xml:space="preserve">Arrow, Kenneth </w:t>
      </w:r>
      <w:proofErr w:type="gramStart"/>
      <w:r w:rsidRPr="000131F0">
        <w:rPr>
          <w:rFonts w:ascii="Times New Roman" w:hAnsi="Times New Roman"/>
          <w:sz w:val="16"/>
          <w:szCs w:val="16"/>
        </w:rPr>
        <w:t>et</w:t>
      </w:r>
      <w:proofErr w:type="gramEnd"/>
      <w:r w:rsidRPr="000131F0">
        <w:rPr>
          <w:rFonts w:ascii="Times New Roman" w:hAnsi="Times New Roman"/>
          <w:sz w:val="16"/>
          <w:szCs w:val="16"/>
        </w:rPr>
        <w:t xml:space="preserve"> all. “How Should Benefits and Costs Be </w:t>
      </w:r>
      <w:proofErr w:type="gramStart"/>
      <w:r w:rsidRPr="000131F0">
        <w:rPr>
          <w:rFonts w:ascii="Times New Roman" w:hAnsi="Times New Roman"/>
          <w:sz w:val="16"/>
          <w:szCs w:val="16"/>
        </w:rPr>
        <w:t>Discounted  in</w:t>
      </w:r>
      <w:proofErr w:type="gramEnd"/>
      <w:r w:rsidRPr="000131F0">
        <w:rPr>
          <w:rFonts w:ascii="Times New Roman" w:hAnsi="Times New Roman"/>
          <w:sz w:val="16"/>
          <w:szCs w:val="16"/>
        </w:rPr>
        <w:t xml:space="preserve"> an Intergenerational Context?” 2012. Resources for the Future Discussion Paper 12-53, Resources for the Future, Washington DC</w:t>
      </w:r>
      <w:r>
        <w:rPr>
          <w:rFonts w:ascii="Times New Roman" w:hAnsi="Times New Roman"/>
          <w:sz w:val="16"/>
          <w:szCs w:val="16"/>
        </w:rPr>
        <w:t xml:space="preserve">. </w:t>
      </w:r>
    </w:p>
  </w:footnote>
  <w:footnote w:id="26">
    <w:p w:rsidR="00406CAE" w:rsidRPr="00837476" w:rsidRDefault="00406CAE" w:rsidP="00C21200">
      <w:pPr>
        <w:pStyle w:val="FootnoteText"/>
        <w:jc w:val="both"/>
      </w:pPr>
      <w:r w:rsidRPr="00C21200">
        <w:rPr>
          <w:rStyle w:val="FootnoteReference"/>
          <w:rFonts w:ascii="Times New Roman" w:hAnsi="Times New Roman"/>
          <w:sz w:val="18"/>
          <w:szCs w:val="18"/>
        </w:rPr>
        <w:footnoteRef/>
      </w:r>
      <w:r w:rsidRPr="00837476">
        <w:rPr>
          <w:rFonts w:ascii="Times New Roman" w:hAnsi="Times New Roman"/>
          <w:sz w:val="18"/>
          <w:szCs w:val="18"/>
          <w:lang w:val="es-ES_tradnl"/>
        </w:rPr>
        <w:t xml:space="preserve"> </w:t>
      </w:r>
      <w:r w:rsidRPr="00837476">
        <w:rPr>
          <w:rFonts w:ascii="Times New Roman" w:hAnsi="Times New Roman"/>
          <w:sz w:val="16"/>
          <w:szCs w:val="16"/>
          <w:lang w:val="es-ES_tradnl"/>
        </w:rPr>
        <w:t>Casos: Riesgo de inundaciones en Fiji   (ratio 3.6-7.3), inundaciones en Pakintá (ratio 1.6), Ciclon en Bangladessh (ratio 40.8), inundaciones ne Sri Lanka (0.9), pronostico del tiempo en Vietnam (ratio 10.4</w:t>
      </w:r>
      <w:proofErr w:type="gramStart"/>
      <w:r w:rsidRPr="00837476">
        <w:rPr>
          <w:rFonts w:ascii="Times New Roman" w:hAnsi="Times New Roman"/>
          <w:sz w:val="16"/>
          <w:szCs w:val="16"/>
          <w:lang w:val="es-ES_tradnl"/>
        </w:rPr>
        <w:t>) ,</w:t>
      </w:r>
      <w:proofErr w:type="gramEnd"/>
      <w:r w:rsidRPr="00837476">
        <w:rPr>
          <w:rFonts w:ascii="Times New Roman" w:hAnsi="Times New Roman"/>
          <w:sz w:val="16"/>
          <w:szCs w:val="16"/>
          <w:lang w:val="es-ES_tradnl"/>
        </w:rPr>
        <w:t xml:space="preserve"> inundaciones en  Tailandia (ratio 1.76). </w:t>
      </w:r>
      <w:proofErr w:type="gramStart"/>
      <w:r w:rsidRPr="00837476">
        <w:rPr>
          <w:rFonts w:ascii="Times New Roman" w:hAnsi="Times New Roman"/>
          <w:sz w:val="16"/>
          <w:szCs w:val="16"/>
        </w:rPr>
        <w:t>World Bank.</w:t>
      </w:r>
      <w:proofErr w:type="gramEnd"/>
      <w:r w:rsidRPr="00837476">
        <w:rPr>
          <w:rFonts w:ascii="Times New Roman" w:hAnsi="Times New Roman"/>
          <w:sz w:val="16"/>
          <w:szCs w:val="16"/>
        </w:rPr>
        <w:t xml:space="preserve"> 2014. Kyla Wethli.</w:t>
      </w:r>
    </w:p>
  </w:footnote>
  <w:footnote w:id="27">
    <w:p w:rsidR="00406CAE" w:rsidRPr="00837476" w:rsidRDefault="00406CAE" w:rsidP="009C7439">
      <w:pPr>
        <w:pStyle w:val="FootnoteText"/>
        <w:jc w:val="both"/>
        <w:rPr>
          <w:rFonts w:ascii="Times New Roman" w:hAnsi="Times New Roman"/>
          <w:sz w:val="16"/>
          <w:szCs w:val="16"/>
        </w:rPr>
      </w:pPr>
      <w:r w:rsidRPr="00C21200">
        <w:rPr>
          <w:rStyle w:val="FootnoteReference"/>
          <w:rFonts w:ascii="Times New Roman" w:hAnsi="Times New Roman"/>
          <w:sz w:val="18"/>
          <w:szCs w:val="18"/>
        </w:rPr>
        <w:footnoteRef/>
      </w:r>
      <w:r w:rsidRPr="00C21200">
        <w:rPr>
          <w:rFonts w:ascii="Times New Roman" w:hAnsi="Times New Roman"/>
          <w:sz w:val="18"/>
          <w:szCs w:val="18"/>
        </w:rPr>
        <w:t xml:space="preserve"> </w:t>
      </w:r>
      <w:r w:rsidRPr="009C7439">
        <w:rPr>
          <w:rFonts w:ascii="Times New Roman" w:hAnsi="Times New Roman"/>
          <w:sz w:val="16"/>
          <w:szCs w:val="16"/>
        </w:rPr>
        <w:t xml:space="preserve">Hallegatte, Stéphane. 2012. “A Cost Effective Solution to Reduce Disaster Losses in </w:t>
      </w:r>
      <w:proofErr w:type="gramStart"/>
      <w:r w:rsidRPr="009C7439">
        <w:rPr>
          <w:rFonts w:ascii="Times New Roman" w:hAnsi="Times New Roman"/>
          <w:sz w:val="16"/>
          <w:szCs w:val="16"/>
        </w:rPr>
        <w:t>Developing  Countries</w:t>
      </w:r>
      <w:proofErr w:type="gramEnd"/>
      <w:r w:rsidRPr="009C7439">
        <w:rPr>
          <w:rFonts w:ascii="Times New Roman" w:hAnsi="Times New Roman"/>
          <w:sz w:val="16"/>
          <w:szCs w:val="16"/>
        </w:rPr>
        <w:t xml:space="preserve">: Hydro-Meteorological Services, Early Warning, and Evacuation.” </w:t>
      </w:r>
    </w:p>
  </w:footnote>
  <w:footnote w:id="28">
    <w:p w:rsidR="00406CAE" w:rsidRPr="00814D61" w:rsidRDefault="00406CAE">
      <w:pPr>
        <w:pStyle w:val="FootnoteText"/>
        <w:rPr>
          <w:lang w:val="es-AR"/>
        </w:rPr>
      </w:pPr>
      <w:r w:rsidRPr="00745A58">
        <w:rPr>
          <w:rStyle w:val="FootnoteReference"/>
          <w:rFonts w:ascii="Times New Roman" w:hAnsi="Times New Roman"/>
          <w:sz w:val="18"/>
          <w:szCs w:val="18"/>
        </w:rPr>
        <w:footnoteRef/>
      </w:r>
      <w:r w:rsidRPr="00837476">
        <w:rPr>
          <w:rFonts w:ascii="Times New Roman" w:hAnsi="Times New Roman"/>
          <w:sz w:val="18"/>
          <w:szCs w:val="18"/>
          <w:lang w:val="es-ES_tradnl"/>
        </w:rPr>
        <w:t xml:space="preserve"> </w:t>
      </w:r>
      <w:r w:rsidRPr="00837476">
        <w:rPr>
          <w:rFonts w:ascii="Times New Roman" w:hAnsi="Times New Roman"/>
          <w:sz w:val="16"/>
          <w:szCs w:val="16"/>
          <w:lang w:val="es-ES_tradnl"/>
        </w:rPr>
        <w:t xml:space="preserve">Reto Global: Desastre y Pobreza. </w:t>
      </w:r>
      <w:r w:rsidRPr="00814D61">
        <w:rPr>
          <w:rFonts w:ascii="Times New Roman" w:hAnsi="Times New Roman"/>
          <w:sz w:val="16"/>
          <w:szCs w:val="16"/>
          <w:lang w:val="es-AR"/>
        </w:rPr>
        <w:t>Informe de Evaluación Global sobre la evaluación de Riesgo de desastres. Capíatulo 2. PNUD</w:t>
      </w:r>
      <w:proofErr w:type="gramStart"/>
      <w:r w:rsidRPr="00814D61">
        <w:rPr>
          <w:rFonts w:ascii="Times New Roman" w:hAnsi="Times New Roman"/>
          <w:sz w:val="16"/>
          <w:szCs w:val="16"/>
          <w:lang w:val="es-AR"/>
        </w:rPr>
        <w:t>,2009</w:t>
      </w:r>
      <w:proofErr w:type="gramEnd"/>
      <w:r w:rsidRPr="00814D61">
        <w:rPr>
          <w:rFonts w:ascii="Times New Roman" w:hAnsi="Times New Roman"/>
          <w:sz w:val="16"/>
          <w:szCs w:val="16"/>
          <w:lang w:val="es-AR"/>
        </w:rPr>
        <w:t>.</w:t>
      </w:r>
    </w:p>
  </w:footnote>
  <w:footnote w:id="29">
    <w:p w:rsidR="00406CAE" w:rsidRPr="00745A58" w:rsidRDefault="00406CAE">
      <w:pPr>
        <w:pStyle w:val="FootnoteText"/>
        <w:rPr>
          <w:rFonts w:ascii="Times New Roman" w:hAnsi="Times New Roman"/>
          <w:sz w:val="18"/>
          <w:szCs w:val="18"/>
          <w:lang w:val="es-ES"/>
        </w:rPr>
      </w:pPr>
      <w:r w:rsidRPr="00745A58">
        <w:rPr>
          <w:rStyle w:val="FootnoteReference"/>
          <w:rFonts w:ascii="Times New Roman" w:hAnsi="Times New Roman"/>
          <w:sz w:val="18"/>
          <w:szCs w:val="18"/>
        </w:rPr>
        <w:footnoteRef/>
      </w:r>
      <w:r w:rsidRPr="00837476">
        <w:rPr>
          <w:rFonts w:ascii="Times New Roman" w:hAnsi="Times New Roman"/>
          <w:sz w:val="18"/>
          <w:szCs w:val="18"/>
          <w:lang w:val="es-ES_tradnl"/>
        </w:rPr>
        <w:t xml:space="preserve"> Ver Anexo A Características de los tsunamis.</w:t>
      </w:r>
    </w:p>
  </w:footnote>
  <w:footnote w:id="30">
    <w:p w:rsidR="00406CAE" w:rsidRPr="0044575B" w:rsidRDefault="00406CAE">
      <w:pPr>
        <w:pStyle w:val="FootnoteText"/>
        <w:rPr>
          <w:lang w:val="es-ES"/>
        </w:rPr>
      </w:pPr>
      <w:r>
        <w:rPr>
          <w:rStyle w:val="FootnoteReference"/>
        </w:rPr>
        <w:footnoteRef/>
      </w:r>
      <w:r w:rsidRPr="00837476">
        <w:rPr>
          <w:lang w:val="es-ES_tradnl"/>
        </w:rPr>
        <w:t xml:space="preserve"> </w:t>
      </w:r>
      <w:r w:rsidRPr="0044575B">
        <w:rPr>
          <w:rFonts w:ascii="Times New Roman" w:hAnsi="Times New Roman"/>
          <w:sz w:val="16"/>
          <w:szCs w:val="16"/>
          <w:lang w:val="es-ES"/>
        </w:rPr>
        <w:t>Fuente: R</w:t>
      </w:r>
      <w:r>
        <w:rPr>
          <w:rFonts w:ascii="Times New Roman" w:hAnsi="Times New Roman"/>
          <w:sz w:val="16"/>
          <w:szCs w:val="16"/>
          <w:lang w:val="es-ES"/>
        </w:rPr>
        <w:t>iesgos por Tsunami en la costa ecuatoriana</w:t>
      </w:r>
      <w:r w:rsidRPr="0044575B">
        <w:rPr>
          <w:rFonts w:ascii="Times New Roman" w:hAnsi="Times New Roman"/>
          <w:sz w:val="16"/>
          <w:szCs w:val="16"/>
          <w:lang w:val="es-ES"/>
        </w:rPr>
        <w:t>.  M</w:t>
      </w:r>
      <w:r>
        <w:rPr>
          <w:rFonts w:ascii="Times New Roman" w:hAnsi="Times New Roman"/>
          <w:sz w:val="16"/>
          <w:szCs w:val="16"/>
          <w:lang w:val="es-ES"/>
        </w:rPr>
        <w:t>ario</w:t>
      </w:r>
      <w:r w:rsidRPr="0044575B">
        <w:rPr>
          <w:rFonts w:ascii="Times New Roman" w:hAnsi="Times New Roman"/>
          <w:sz w:val="16"/>
          <w:szCs w:val="16"/>
          <w:lang w:val="es-ES"/>
        </w:rPr>
        <w:t xml:space="preserve"> A. C</w:t>
      </w:r>
      <w:r>
        <w:rPr>
          <w:rFonts w:ascii="Times New Roman" w:hAnsi="Times New Roman"/>
          <w:sz w:val="16"/>
          <w:szCs w:val="16"/>
          <w:lang w:val="es-ES"/>
        </w:rPr>
        <w:t xml:space="preserve">ruz, </w:t>
      </w:r>
      <w:r w:rsidRPr="0044575B">
        <w:rPr>
          <w:rFonts w:ascii="Times New Roman" w:hAnsi="Times New Roman"/>
          <w:sz w:val="16"/>
          <w:szCs w:val="16"/>
          <w:lang w:val="es-ES"/>
        </w:rPr>
        <w:t xml:space="preserve"> DeHOWITT; M</w:t>
      </w:r>
      <w:r>
        <w:rPr>
          <w:rFonts w:ascii="Times New Roman" w:hAnsi="Times New Roman"/>
          <w:sz w:val="16"/>
          <w:szCs w:val="16"/>
          <w:lang w:val="es-ES"/>
        </w:rPr>
        <w:t>áría Cristina</w:t>
      </w:r>
      <w:r w:rsidRPr="0044575B">
        <w:rPr>
          <w:rFonts w:ascii="Times New Roman" w:hAnsi="Times New Roman"/>
          <w:sz w:val="16"/>
          <w:szCs w:val="16"/>
          <w:lang w:val="es-ES"/>
        </w:rPr>
        <w:t xml:space="preserve"> ACOSTA (1); N</w:t>
      </w:r>
      <w:r>
        <w:rPr>
          <w:rFonts w:ascii="Times New Roman" w:hAnsi="Times New Roman"/>
          <w:sz w:val="16"/>
          <w:szCs w:val="16"/>
          <w:lang w:val="es-ES"/>
        </w:rPr>
        <w:t xml:space="preserve">elson </w:t>
      </w:r>
      <w:r w:rsidRPr="0044575B">
        <w:rPr>
          <w:rFonts w:ascii="Times New Roman" w:hAnsi="Times New Roman"/>
          <w:sz w:val="16"/>
          <w:szCs w:val="16"/>
          <w:lang w:val="es-ES"/>
        </w:rPr>
        <w:t xml:space="preserve">VÁ </w:t>
      </w:r>
      <w:proofErr w:type="gramStart"/>
      <w:r w:rsidRPr="0044575B">
        <w:rPr>
          <w:rFonts w:ascii="Times New Roman" w:hAnsi="Times New Roman"/>
          <w:sz w:val="16"/>
          <w:szCs w:val="16"/>
          <w:lang w:val="es-ES"/>
        </w:rPr>
        <w:t>SQUEZ .</w:t>
      </w:r>
      <w:proofErr w:type="gramEnd"/>
      <w:r w:rsidRPr="0044575B">
        <w:rPr>
          <w:rFonts w:ascii="Times New Roman" w:hAnsi="Times New Roman"/>
          <w:sz w:val="16"/>
          <w:szCs w:val="16"/>
          <w:lang w:val="es-ES"/>
        </w:rPr>
        <w:t xml:space="preserve"> 2006. Facultad de Ingeniería y Dirección Nacional de Defensa Civil.</w:t>
      </w:r>
      <w:r>
        <w:rPr>
          <w:lang w:val="es-ES"/>
        </w:rPr>
        <w:t xml:space="preserve"> </w:t>
      </w:r>
    </w:p>
  </w:footnote>
  <w:footnote w:id="31">
    <w:p w:rsidR="00406CAE" w:rsidRPr="000B1273" w:rsidRDefault="00406CAE" w:rsidP="000B1273">
      <w:pPr>
        <w:pStyle w:val="FootnoteText"/>
        <w:rPr>
          <w:lang w:val="es-AR"/>
        </w:rPr>
      </w:pPr>
      <w:r w:rsidRPr="00F539FC">
        <w:rPr>
          <w:rStyle w:val="FootnoteReference"/>
          <w:rFonts w:ascii="Times New Roman" w:hAnsi="Times New Roman"/>
          <w:sz w:val="18"/>
          <w:szCs w:val="18"/>
        </w:rPr>
        <w:footnoteRef/>
      </w:r>
      <w:r w:rsidRPr="00837476">
        <w:rPr>
          <w:rFonts w:ascii="Times New Roman" w:hAnsi="Times New Roman"/>
          <w:sz w:val="18"/>
          <w:szCs w:val="18"/>
          <w:lang w:val="es-ES_tradnl"/>
        </w:rPr>
        <w:t xml:space="preserve"> </w:t>
      </w:r>
      <w:r w:rsidRPr="00837476">
        <w:rPr>
          <w:rFonts w:ascii="Times New Roman" w:hAnsi="Times New Roman"/>
          <w:sz w:val="16"/>
          <w:szCs w:val="16"/>
          <w:lang w:val="es-ES_tradnl"/>
        </w:rPr>
        <w:t xml:space="preserve">Proyecto DIPECHO VI "Aprendizajes y Adaptación frente a Tsunami en Ecuador, Colombia, Perú y Chile", implementado por la Oficina Regional de Educación para América Latina y el Caribe de la UNESCO”. </w:t>
      </w:r>
      <w:r w:rsidRPr="00455FC7">
        <w:rPr>
          <w:rFonts w:ascii="Times New Roman" w:hAnsi="Times New Roman"/>
          <w:sz w:val="16"/>
          <w:szCs w:val="16"/>
          <w:lang w:val="es-ES_tradnl"/>
        </w:rPr>
        <w:t>2011.</w:t>
      </w:r>
    </w:p>
  </w:footnote>
  <w:footnote w:id="32">
    <w:p w:rsidR="00406CAE" w:rsidRPr="00FA0081" w:rsidRDefault="00406CAE">
      <w:pPr>
        <w:pStyle w:val="FootnoteText"/>
        <w:rPr>
          <w:lang w:val="es-AR"/>
        </w:rPr>
      </w:pPr>
      <w:r w:rsidRPr="00F539FC">
        <w:rPr>
          <w:rStyle w:val="FootnoteReference"/>
          <w:rFonts w:ascii="Times New Roman" w:hAnsi="Times New Roman"/>
          <w:sz w:val="18"/>
          <w:szCs w:val="18"/>
        </w:rPr>
        <w:footnoteRef/>
      </w:r>
      <w:r w:rsidRPr="00837476">
        <w:rPr>
          <w:rFonts w:ascii="Times New Roman" w:hAnsi="Times New Roman"/>
          <w:sz w:val="18"/>
          <w:szCs w:val="18"/>
          <w:lang w:val="es-ES_tradnl"/>
        </w:rPr>
        <w:t xml:space="preserve"> </w:t>
      </w:r>
      <w:r w:rsidRPr="00837476">
        <w:rPr>
          <w:rFonts w:ascii="Times New Roman" w:hAnsi="Times New Roman"/>
          <w:sz w:val="16"/>
          <w:szCs w:val="16"/>
          <w:lang w:val="es-ES_tradnl"/>
        </w:rPr>
        <w:t>Reto Global: Desastre y Pobreza</w:t>
      </w:r>
      <w:r w:rsidRPr="00837476">
        <w:rPr>
          <w:rFonts w:ascii="Times New Roman" w:hAnsi="Times New Roman"/>
          <w:lang w:val="es-ES_tradnl"/>
        </w:rPr>
        <w:t xml:space="preserve">. </w:t>
      </w:r>
      <w:r w:rsidRPr="00E263C8">
        <w:rPr>
          <w:rFonts w:ascii="Times New Roman" w:hAnsi="Times New Roman"/>
          <w:sz w:val="16"/>
          <w:szCs w:val="16"/>
          <w:lang w:val="es-AR"/>
        </w:rPr>
        <w:t>Informe de Evaluación Global sobre la evaluación de Riesgo de desastres. Capítulo 2. PNUD</w:t>
      </w:r>
      <w:proofErr w:type="gramStart"/>
      <w:r w:rsidRPr="00E263C8">
        <w:rPr>
          <w:rFonts w:ascii="Times New Roman" w:hAnsi="Times New Roman"/>
          <w:sz w:val="16"/>
          <w:szCs w:val="16"/>
          <w:lang w:val="es-AR"/>
        </w:rPr>
        <w:t>,2009</w:t>
      </w:r>
      <w:proofErr w:type="gramEnd"/>
      <w:r w:rsidRPr="00E263C8">
        <w:rPr>
          <w:rFonts w:ascii="Times New Roman" w:hAnsi="Times New Roman"/>
          <w:sz w:val="16"/>
          <w:szCs w:val="16"/>
          <w:lang w:val="es-AR"/>
        </w:rPr>
        <w:t>.</w:t>
      </w:r>
    </w:p>
  </w:footnote>
  <w:footnote w:id="33">
    <w:p w:rsidR="00406CAE" w:rsidRPr="00ED6C08" w:rsidRDefault="00406CAE" w:rsidP="00F93B6F">
      <w:pPr>
        <w:pStyle w:val="FootnoteText"/>
        <w:jc w:val="both"/>
        <w:rPr>
          <w:lang w:val="es-AR"/>
        </w:rPr>
      </w:pPr>
      <w:r w:rsidRPr="00F539FC">
        <w:rPr>
          <w:rStyle w:val="FootnoteReference"/>
          <w:rFonts w:ascii="Times New Roman" w:hAnsi="Times New Roman"/>
          <w:sz w:val="18"/>
          <w:szCs w:val="18"/>
        </w:rPr>
        <w:footnoteRef/>
      </w:r>
      <w:r w:rsidRPr="00837476">
        <w:rPr>
          <w:lang w:val="es-ES_tradnl"/>
        </w:rPr>
        <w:t xml:space="preserve"> </w:t>
      </w:r>
      <w:r w:rsidRPr="00837476">
        <w:rPr>
          <w:rFonts w:ascii="Times New Roman" w:hAnsi="Times New Roman"/>
          <w:sz w:val="16"/>
          <w:szCs w:val="16"/>
          <w:lang w:val="es-ES_tradnl"/>
        </w:rPr>
        <w:t>Reto Global: Desastre y Pobreza. Informe de Evaluación Global sobre la evaluación de Riesgo de desastres. Capítulo 2. PNUD</w:t>
      </w:r>
      <w:proofErr w:type="gramStart"/>
      <w:r w:rsidRPr="00837476">
        <w:rPr>
          <w:rFonts w:ascii="Times New Roman" w:hAnsi="Times New Roman"/>
          <w:sz w:val="16"/>
          <w:szCs w:val="16"/>
          <w:lang w:val="es-ES_tradnl"/>
        </w:rPr>
        <w:t>,2009</w:t>
      </w:r>
      <w:proofErr w:type="gramEnd"/>
      <w:r w:rsidRPr="00837476">
        <w:rPr>
          <w:rFonts w:ascii="Times New Roman" w:hAnsi="Times New Roman"/>
          <w:sz w:val="16"/>
          <w:szCs w:val="16"/>
          <w:lang w:val="es-ES_tradnl"/>
        </w:rPr>
        <w:t>. La amenaza real de que haya un tsunami  en una zona concreta de estos países depende de la  topografía local, la batimetría y otros factores. Por ejemplo, aunque la costa de Filipinas podría verse afectada en tan solo 9 minutos por olas de hasta 16 metros de altura, las zonas de mayor impacto quedarían fuera de la  ciudad de Manila.</w:t>
      </w:r>
    </w:p>
  </w:footnote>
  <w:footnote w:id="34">
    <w:p w:rsidR="00406CAE" w:rsidRPr="00B973F5" w:rsidRDefault="00406CAE" w:rsidP="00F93B6F">
      <w:pPr>
        <w:pStyle w:val="FootnoteText"/>
        <w:jc w:val="both"/>
        <w:rPr>
          <w:lang w:val="es-AR"/>
        </w:rPr>
      </w:pPr>
      <w:r w:rsidRPr="00F539FC">
        <w:rPr>
          <w:rStyle w:val="FootnoteReference"/>
          <w:rFonts w:ascii="Times New Roman" w:hAnsi="Times New Roman"/>
          <w:sz w:val="18"/>
          <w:szCs w:val="18"/>
        </w:rPr>
        <w:footnoteRef/>
      </w:r>
      <w:r w:rsidRPr="00837476">
        <w:rPr>
          <w:lang w:val="es-ES_tradnl"/>
        </w:rPr>
        <w:t xml:space="preserve"> </w:t>
      </w:r>
      <w:r w:rsidRPr="00837476">
        <w:rPr>
          <w:rFonts w:ascii="Times New Roman" w:hAnsi="Times New Roman"/>
          <w:sz w:val="16"/>
          <w:szCs w:val="16"/>
          <w:lang w:val="es-ES_tradnl"/>
        </w:rPr>
        <w:t>Diagnóstico de los Sistemas de Alerta Temprana ante Tsunami en el Pacífico Sudeste. VI Plan de Acción para Sudamérica del Programa de Preparación para Desastres.2011.</w:t>
      </w:r>
    </w:p>
  </w:footnote>
  <w:footnote w:id="35">
    <w:p w:rsidR="00406CAE" w:rsidRPr="0099111B" w:rsidRDefault="00406CAE" w:rsidP="003A66DB">
      <w:pPr>
        <w:pStyle w:val="FootnoteText"/>
        <w:jc w:val="both"/>
        <w:rPr>
          <w:lang w:val="es-AR"/>
        </w:rPr>
      </w:pPr>
      <w:r>
        <w:rPr>
          <w:rStyle w:val="FootnoteReference"/>
        </w:rPr>
        <w:footnoteRef/>
      </w:r>
      <w:r w:rsidRPr="00837476">
        <w:rPr>
          <w:lang w:val="es-ES_tradnl"/>
        </w:rPr>
        <w:t xml:space="preserve"> </w:t>
      </w:r>
      <w:r w:rsidRPr="00837476">
        <w:rPr>
          <w:rFonts w:ascii="Times New Roman" w:hAnsi="Times New Roman"/>
          <w:sz w:val="16"/>
          <w:szCs w:val="16"/>
          <w:lang w:val="es-ES_tradnl"/>
        </w:rPr>
        <w:t xml:space="preserve">El evento afectó el territorio entre Valparaíso y la Araucanía, donde viven cerca de 13 millones de personas, el 80% de la población nacional. En Maule y Bío Bío, las regiones más golpeadas por el terremoto y tsunami, habitan 2.769.659 personas, el 19% de la población total del país. El desastre ocasionó 512 muertos, 16 desaparecidos y 800 mil personas damnifi cadas. La mayor cantidad de fallecidos fue debido al tsunami </w:t>
      </w:r>
      <w:proofErr w:type="gramStart"/>
      <w:r w:rsidRPr="00837476">
        <w:rPr>
          <w:rFonts w:ascii="Times New Roman" w:hAnsi="Times New Roman"/>
          <w:sz w:val="16"/>
          <w:szCs w:val="16"/>
          <w:lang w:val="es-ES_tradnl"/>
        </w:rPr>
        <w:t>( por</w:t>
      </w:r>
      <w:proofErr w:type="gramEnd"/>
      <w:r w:rsidRPr="00837476">
        <w:rPr>
          <w:rFonts w:ascii="Times New Roman" w:hAnsi="Times New Roman"/>
          <w:sz w:val="16"/>
          <w:szCs w:val="16"/>
          <w:lang w:val="es-ES_tradnl"/>
        </w:rPr>
        <w:t xml:space="preserve"> ejemplo en la comuna de Pelluhue se registraron 47 muertos, 6 eran pobladores de este lugar y 41 fueron turistas chilenos).</w:t>
      </w:r>
    </w:p>
  </w:footnote>
  <w:footnote w:id="36">
    <w:p w:rsidR="00406CAE" w:rsidRPr="00C67C36" w:rsidRDefault="00406CAE">
      <w:pPr>
        <w:pStyle w:val="FootnoteText"/>
        <w:rPr>
          <w:rFonts w:ascii="Times New Roman" w:hAnsi="Times New Roman"/>
          <w:sz w:val="16"/>
          <w:szCs w:val="16"/>
          <w:lang w:val="es-ES"/>
        </w:rPr>
      </w:pPr>
      <w:r w:rsidRPr="00C67C36">
        <w:rPr>
          <w:rStyle w:val="FootnoteReference"/>
          <w:rFonts w:ascii="Times New Roman" w:hAnsi="Times New Roman"/>
          <w:sz w:val="16"/>
          <w:szCs w:val="16"/>
        </w:rPr>
        <w:footnoteRef/>
      </w:r>
      <w:r w:rsidRPr="00C67C36">
        <w:rPr>
          <w:rFonts w:ascii="Times New Roman" w:hAnsi="Times New Roman"/>
          <w:sz w:val="16"/>
          <w:szCs w:val="16"/>
        </w:rPr>
        <w:t xml:space="preserve"> </w:t>
      </w:r>
      <w:proofErr w:type="gramStart"/>
      <w:r w:rsidRPr="00455FC7">
        <w:rPr>
          <w:rFonts w:ascii="Times New Roman" w:hAnsi="Times New Roman"/>
          <w:sz w:val="16"/>
          <w:szCs w:val="16"/>
        </w:rPr>
        <w:t>TohokunUniversity-IRIDeS.</w:t>
      </w:r>
      <w:proofErr w:type="gramEnd"/>
      <w:r w:rsidRPr="00455FC7">
        <w:rPr>
          <w:rFonts w:ascii="Times New Roman" w:hAnsi="Times New Roman"/>
          <w:sz w:val="16"/>
          <w:szCs w:val="16"/>
        </w:rPr>
        <w:t xml:space="preserve"> A Global Assessment of tsunami hazards over the last 400 years. </w:t>
      </w:r>
      <w:r>
        <w:rPr>
          <w:rFonts w:ascii="Times New Roman" w:hAnsi="Times New Roman"/>
          <w:sz w:val="16"/>
          <w:szCs w:val="16"/>
          <w:lang w:val="es-ES"/>
        </w:rPr>
        <w:t>2016.</w:t>
      </w:r>
    </w:p>
  </w:footnote>
  <w:footnote w:id="37">
    <w:p w:rsidR="00406CAE" w:rsidRPr="0054379F" w:rsidRDefault="00406CAE" w:rsidP="0054379F">
      <w:pPr>
        <w:rPr>
          <w:rFonts w:ascii="Times New Roman" w:hAnsi="Times New Roman"/>
          <w:color w:val="000000"/>
          <w:sz w:val="18"/>
          <w:szCs w:val="18"/>
          <w:lang w:val="es-AR" w:eastAsia="es-AR"/>
        </w:rPr>
      </w:pPr>
      <w:r w:rsidRPr="0054379F">
        <w:rPr>
          <w:rStyle w:val="FootnoteReference"/>
          <w:rFonts w:ascii="Times New Roman" w:hAnsi="Times New Roman"/>
          <w:sz w:val="18"/>
          <w:szCs w:val="18"/>
        </w:rPr>
        <w:footnoteRef/>
      </w:r>
      <w:r w:rsidRPr="00837476">
        <w:rPr>
          <w:rFonts w:ascii="Times New Roman" w:hAnsi="Times New Roman"/>
          <w:sz w:val="18"/>
          <w:szCs w:val="18"/>
          <w:lang w:val="es-AR"/>
        </w:rPr>
        <w:t xml:space="preserve"> </w:t>
      </w:r>
      <w:r w:rsidRPr="0054379F">
        <w:rPr>
          <w:rFonts w:ascii="Times New Roman" w:hAnsi="Times New Roman"/>
          <w:color w:val="000000"/>
          <w:sz w:val="16"/>
          <w:szCs w:val="16"/>
          <w:lang w:val="es-AR" w:eastAsia="es-AR"/>
        </w:rPr>
        <w:t>https://online.desinventar.org/desinventar/#ECU-DISASTER</w:t>
      </w:r>
      <w:r>
        <w:rPr>
          <w:rFonts w:ascii="Times New Roman" w:hAnsi="Times New Roman"/>
          <w:color w:val="000000"/>
          <w:sz w:val="16"/>
          <w:szCs w:val="16"/>
          <w:lang w:val="es-AR" w:eastAsia="es-AR"/>
        </w:rPr>
        <w:t>.</w:t>
      </w:r>
    </w:p>
  </w:footnote>
  <w:footnote w:id="38">
    <w:p w:rsidR="00406CAE" w:rsidRPr="0054379F" w:rsidRDefault="00406CAE">
      <w:pPr>
        <w:pStyle w:val="FootnoteText"/>
        <w:rPr>
          <w:lang w:val="es-ES"/>
        </w:rPr>
      </w:pPr>
      <w:r w:rsidRPr="0054379F">
        <w:rPr>
          <w:rStyle w:val="FootnoteReference"/>
          <w:rFonts w:ascii="Times New Roman" w:hAnsi="Times New Roman"/>
          <w:sz w:val="18"/>
          <w:szCs w:val="18"/>
        </w:rPr>
        <w:footnoteRef/>
      </w:r>
      <w:r w:rsidRPr="00837476">
        <w:rPr>
          <w:rFonts w:ascii="Times New Roman" w:hAnsi="Times New Roman"/>
          <w:sz w:val="18"/>
          <w:szCs w:val="18"/>
          <w:lang w:val="es-ES_tradnl"/>
        </w:rPr>
        <w:t xml:space="preserve"> </w:t>
      </w:r>
      <w:r w:rsidRPr="00837476">
        <w:rPr>
          <w:rFonts w:ascii="Times New Roman" w:hAnsi="Times New Roman"/>
          <w:sz w:val="16"/>
          <w:szCs w:val="16"/>
          <w:lang w:val="es-ES_tradnl"/>
        </w:rPr>
        <w:t>ECUADOR: Referencias básicas para la gestión de riesgos 2013-2014. Elaborado en 2012 por  SGR y la Oficina de las Naciones Unidas para la Reducción del Riesgo de Desastres UNISDR.</w:t>
      </w:r>
      <w:r w:rsidRPr="00837476">
        <w:rPr>
          <w:rFonts w:ascii="Times New Roman" w:hAnsi="Times New Roman"/>
          <w:sz w:val="16"/>
          <w:szCs w:val="16"/>
          <w:lang w:val="es-ES_tradnl"/>
        </w:rPr>
        <w:tab/>
      </w:r>
      <w:r w:rsidRPr="00837476">
        <w:rPr>
          <w:lang w:val="es-ES_tradnl"/>
        </w:rPr>
        <w:tab/>
      </w:r>
      <w:r w:rsidRPr="00837476">
        <w:rPr>
          <w:lang w:val="es-ES_tradnl"/>
        </w:rPr>
        <w:tab/>
      </w:r>
    </w:p>
  </w:footnote>
  <w:footnote w:id="39">
    <w:p w:rsidR="00406CAE" w:rsidRPr="00AB6A12" w:rsidRDefault="00406CAE">
      <w:pPr>
        <w:pStyle w:val="FootnoteText"/>
        <w:rPr>
          <w:rFonts w:ascii="Times New Roman" w:hAnsi="Times New Roman"/>
          <w:sz w:val="18"/>
          <w:szCs w:val="18"/>
          <w:lang w:val="es-ES"/>
        </w:rPr>
      </w:pPr>
      <w:r w:rsidRPr="00AB6A12">
        <w:rPr>
          <w:rStyle w:val="FootnoteReference"/>
          <w:rFonts w:ascii="Times New Roman" w:hAnsi="Times New Roman"/>
          <w:sz w:val="18"/>
          <w:szCs w:val="18"/>
        </w:rPr>
        <w:footnoteRef/>
      </w:r>
      <w:r w:rsidRPr="00455FC7">
        <w:rPr>
          <w:rFonts w:ascii="Times New Roman" w:hAnsi="Times New Roman"/>
          <w:sz w:val="18"/>
          <w:szCs w:val="18"/>
          <w:lang w:val="es-ES_tradnl"/>
        </w:rPr>
        <w:t xml:space="preserve"> Informe de Cierre de etapa invernal. 2016. SGR.</w:t>
      </w:r>
    </w:p>
  </w:footnote>
  <w:footnote w:id="40">
    <w:p w:rsidR="00406CAE" w:rsidRPr="001F1256" w:rsidRDefault="00406CAE">
      <w:pPr>
        <w:pStyle w:val="FootnoteText"/>
      </w:pPr>
      <w:r>
        <w:rPr>
          <w:rStyle w:val="FootnoteReference"/>
        </w:rPr>
        <w:footnoteRef/>
      </w:r>
      <w:r w:rsidRPr="00455FC7">
        <w:rPr>
          <w:lang w:val="es-ES_tradnl"/>
        </w:rPr>
        <w:t xml:space="preserve"> </w:t>
      </w:r>
      <w:r w:rsidRPr="00455FC7">
        <w:rPr>
          <w:rFonts w:ascii="Times New Roman" w:hAnsi="Times New Roman"/>
          <w:sz w:val="18"/>
          <w:szCs w:val="18"/>
          <w:lang w:val="es-AR"/>
        </w:rPr>
        <w:t xml:space="preserve">Escenario probabilidad de ocurrencia de desbordamiento de ríos. </w:t>
      </w:r>
      <w:r w:rsidRPr="006F6989">
        <w:rPr>
          <w:rFonts w:ascii="Times New Roman" w:hAnsi="Times New Roman"/>
          <w:sz w:val="18"/>
          <w:szCs w:val="18"/>
        </w:rPr>
        <w:t xml:space="preserve">Diciembre de 2015. </w:t>
      </w:r>
      <w:proofErr w:type="gramStart"/>
      <w:r w:rsidRPr="00455FC7">
        <w:rPr>
          <w:rFonts w:ascii="Times New Roman" w:hAnsi="Times New Roman"/>
          <w:sz w:val="18"/>
          <w:szCs w:val="18"/>
        </w:rPr>
        <w:t>SGR.</w:t>
      </w:r>
      <w:proofErr w:type="gramEnd"/>
      <w:r w:rsidRPr="00455FC7">
        <w:rPr>
          <w:rFonts w:ascii="Times New Roman" w:hAnsi="Times New Roman"/>
          <w:sz w:val="18"/>
          <w:szCs w:val="18"/>
        </w:rPr>
        <w:t xml:space="preserve"> </w:t>
      </w:r>
    </w:p>
  </w:footnote>
  <w:footnote w:id="41">
    <w:p w:rsidR="00406CAE" w:rsidRPr="00837476" w:rsidRDefault="00406CAE" w:rsidP="000F6CAE">
      <w:pPr>
        <w:pStyle w:val="FootnoteText"/>
        <w:jc w:val="both"/>
      </w:pPr>
      <w:r w:rsidRPr="001B6AA1">
        <w:rPr>
          <w:rStyle w:val="FootnoteReference"/>
          <w:rFonts w:ascii="Times New Roman" w:hAnsi="Times New Roman"/>
          <w:sz w:val="18"/>
          <w:szCs w:val="18"/>
        </w:rPr>
        <w:footnoteRef/>
      </w:r>
      <w:r w:rsidRPr="001B6AA1">
        <w:rPr>
          <w:rFonts w:ascii="Times New Roman" w:hAnsi="Times New Roman"/>
          <w:sz w:val="18"/>
          <w:szCs w:val="18"/>
        </w:rPr>
        <w:t xml:space="preserve"> </w:t>
      </w:r>
      <w:r>
        <w:rPr>
          <w:rFonts w:ascii="Times New Roman" w:hAnsi="Times New Roman"/>
          <w:sz w:val="16"/>
          <w:szCs w:val="16"/>
        </w:rPr>
        <w:t xml:space="preserve">Hallegatte, Stéphane. 2012. </w:t>
      </w:r>
      <w:r w:rsidRPr="000F6CAE">
        <w:rPr>
          <w:rFonts w:ascii="Times New Roman" w:hAnsi="Times New Roman"/>
          <w:sz w:val="16"/>
          <w:szCs w:val="16"/>
        </w:rPr>
        <w:t>A Cost Effective Solution to Reduce Disaster Losses in Developing Countries: Hydro-Meteorological Services, Early Warn</w:t>
      </w:r>
      <w:r>
        <w:rPr>
          <w:rFonts w:ascii="Times New Roman" w:hAnsi="Times New Roman"/>
          <w:sz w:val="16"/>
          <w:szCs w:val="16"/>
        </w:rPr>
        <w:t>ing, and Evacuation.</w:t>
      </w:r>
    </w:p>
  </w:footnote>
  <w:footnote w:id="42">
    <w:p w:rsidR="00406CAE" w:rsidRPr="0064219E" w:rsidRDefault="00406CAE">
      <w:pPr>
        <w:pStyle w:val="FootnoteText"/>
        <w:rPr>
          <w:lang w:val="es-AR"/>
        </w:rPr>
      </w:pPr>
      <w:r>
        <w:rPr>
          <w:rStyle w:val="FootnoteReference"/>
        </w:rPr>
        <w:footnoteRef/>
      </w:r>
      <w:r w:rsidRPr="00837476">
        <w:rPr>
          <w:lang w:val="es-ES_tradnl"/>
        </w:rPr>
        <w:t xml:space="preserve"> </w:t>
      </w:r>
      <w:r w:rsidRPr="0064219E">
        <w:rPr>
          <w:rFonts w:ascii="Times New Roman" w:hAnsi="Times New Roman"/>
          <w:sz w:val="16"/>
          <w:szCs w:val="16"/>
          <w:lang w:val="es-AR"/>
        </w:rPr>
        <w:t xml:space="preserve">Siguiendo el análisis de Hallegatte, el </w:t>
      </w:r>
      <w:r w:rsidRPr="00137FC7">
        <w:rPr>
          <w:rFonts w:ascii="Times New Roman" w:hAnsi="Times New Roman"/>
          <w:sz w:val="16"/>
          <w:szCs w:val="16"/>
          <w:u w:val="single"/>
          <w:lang w:val="es-AR"/>
        </w:rPr>
        <w:t>beneficio anual</w:t>
      </w:r>
      <w:r w:rsidRPr="0064219E">
        <w:rPr>
          <w:rFonts w:ascii="Times New Roman" w:hAnsi="Times New Roman"/>
          <w:sz w:val="16"/>
          <w:szCs w:val="16"/>
          <w:lang w:val="es-AR"/>
        </w:rPr>
        <w:t xml:space="preserve"> de un SAT en Ecuador se ubicaría entre </w:t>
      </w:r>
      <w:r w:rsidRPr="00137FC7">
        <w:rPr>
          <w:rFonts w:ascii="Times New Roman" w:hAnsi="Times New Roman"/>
          <w:sz w:val="16"/>
          <w:szCs w:val="16"/>
          <w:u w:val="single"/>
          <w:lang w:val="es-AR"/>
        </w:rPr>
        <w:t>US$ 1.9 y 11.0 Millones</w:t>
      </w:r>
      <w:r w:rsidRPr="0064219E">
        <w:rPr>
          <w:rFonts w:ascii="Times New Roman" w:hAnsi="Times New Roman"/>
          <w:sz w:val="16"/>
          <w:szCs w:val="16"/>
          <w:lang w:val="es-AR"/>
        </w:rPr>
        <w:t>.</w:t>
      </w:r>
      <w:r>
        <w:rPr>
          <w:rFonts w:ascii="Times New Roman" w:hAnsi="Times New Roman"/>
          <w:sz w:val="16"/>
          <w:szCs w:val="16"/>
          <w:lang w:val="es-AR"/>
        </w:rPr>
        <w:t xml:space="preserve"> (PIB US$ 64.823 Millones en 2014). </w:t>
      </w:r>
    </w:p>
  </w:footnote>
  <w:footnote w:id="43">
    <w:p w:rsidR="00406CAE" w:rsidRPr="001B6AA1" w:rsidRDefault="00406CAE">
      <w:pPr>
        <w:pStyle w:val="FootnoteText"/>
        <w:rPr>
          <w:rFonts w:ascii="Times New Roman" w:hAnsi="Times New Roman"/>
          <w:sz w:val="18"/>
          <w:szCs w:val="18"/>
          <w:lang w:val="es-ES"/>
        </w:rPr>
      </w:pPr>
      <w:r w:rsidRPr="001B6AA1">
        <w:rPr>
          <w:rStyle w:val="FootnoteReference"/>
          <w:rFonts w:ascii="Times New Roman" w:hAnsi="Times New Roman"/>
          <w:sz w:val="18"/>
          <w:szCs w:val="18"/>
        </w:rPr>
        <w:footnoteRef/>
      </w:r>
      <w:r w:rsidRPr="00837476">
        <w:rPr>
          <w:rFonts w:ascii="Times New Roman" w:hAnsi="Times New Roman"/>
          <w:sz w:val="18"/>
          <w:szCs w:val="18"/>
          <w:lang w:val="es-ES_tradnl"/>
        </w:rPr>
        <w:t xml:space="preserve"> Ver Anexo. Efectos del terremoto 2016 en Ecuador.</w:t>
      </w:r>
    </w:p>
  </w:footnote>
  <w:footnote w:id="44">
    <w:p w:rsidR="00406CAE" w:rsidRPr="00AC26AB" w:rsidRDefault="00406CAE">
      <w:pPr>
        <w:pStyle w:val="FootnoteText"/>
        <w:rPr>
          <w:lang w:val="es-ES"/>
        </w:rPr>
      </w:pPr>
      <w:r w:rsidRPr="00AC26AB">
        <w:rPr>
          <w:rStyle w:val="FootnoteReference"/>
          <w:rFonts w:ascii="Times New Roman" w:hAnsi="Times New Roman"/>
          <w:sz w:val="18"/>
          <w:szCs w:val="18"/>
        </w:rPr>
        <w:footnoteRef/>
      </w:r>
      <w:r w:rsidRPr="00837476">
        <w:rPr>
          <w:rFonts w:ascii="Times New Roman" w:hAnsi="Times New Roman"/>
          <w:sz w:val="18"/>
          <w:szCs w:val="18"/>
          <w:lang w:val="es-ES_tradnl"/>
        </w:rPr>
        <w:t xml:space="preserve">  Las viviendas afectadas alcanzaron a 4.688 en Esmeraldas y 6.345 en Guayas.</w:t>
      </w:r>
      <w:r w:rsidRPr="00837476">
        <w:rPr>
          <w:rFonts w:ascii="Times New Roman" w:hAnsi="Times New Roman"/>
          <w:sz w:val="16"/>
          <w:szCs w:val="16"/>
          <w:lang w:val="es-ES_tradnl"/>
        </w:rPr>
        <w:t>En el caso del Litoral ecuatoriano para el año 1997-98, ante la presencia de El Niño se registraron lluvias con períodos de retorno superiores a los 500 años que trajo como resultado la destrucción total o parcial de los puentes (no permite el paso de los caudales extremos  generados por tales lluvias por debajo del mismo). Caso similar ocurrió con tramos de  carreteras que trabajan como un gran dique y sus alcantarillas no tienen la capacida  hidráulica suficiente, el agua pasa por encima, se erosionan los taludes, aunados estos factores  al empuje del agua y colapsan.</w:t>
      </w:r>
      <w:r w:rsidRPr="00837476">
        <w:rPr>
          <w:lang w:val="es-ES_tradnl"/>
        </w:rPr>
        <w:t xml:space="preserve">  </w:t>
      </w:r>
    </w:p>
  </w:footnote>
  <w:footnote w:id="45">
    <w:p w:rsidR="00406CAE" w:rsidRPr="00455FC7" w:rsidRDefault="00406CAE">
      <w:pPr>
        <w:pStyle w:val="FootnoteText"/>
        <w:rPr>
          <w:lang w:val="es-AR"/>
        </w:rPr>
      </w:pPr>
      <w:r>
        <w:rPr>
          <w:rStyle w:val="FootnoteReference"/>
        </w:rPr>
        <w:footnoteRef/>
      </w:r>
      <w:r w:rsidRPr="00455FC7">
        <w:rPr>
          <w:lang w:val="es-ES_tradnl"/>
        </w:rPr>
        <w:t xml:space="preserve"> </w:t>
      </w:r>
      <w:r w:rsidRPr="00837476">
        <w:rPr>
          <w:rFonts w:ascii="Times New Roman" w:hAnsi="Times New Roman"/>
          <w:sz w:val="16"/>
          <w:szCs w:val="16"/>
          <w:lang w:val="es-ES_tradnl"/>
        </w:rPr>
        <w:t>Diagnóstico de los Sistemas de Alerta Temprana ante Tsunami en el Pacífico Sudeste. VI Plan de Acción para Sudamérica del Programa de Preparación para Desastres.2011.</w:t>
      </w:r>
      <w:r>
        <w:rPr>
          <w:rFonts w:ascii="Times New Roman" w:hAnsi="Times New Roman"/>
          <w:sz w:val="16"/>
          <w:szCs w:val="16"/>
          <w:lang w:val="es-ES_tradnl"/>
        </w:rPr>
        <w:t xml:space="preserve"> Para una pérdida de vidas de 50.000, las viviendas colapsadas e inhabitables alcanzaron a 548.700 (relación  de 11 a 1 entre viviendas afectadas y personas afectadas). </w:t>
      </w:r>
    </w:p>
  </w:footnote>
  <w:footnote w:id="46">
    <w:p w:rsidR="00406CAE" w:rsidRPr="00455FC7" w:rsidRDefault="00406CAE">
      <w:pPr>
        <w:pStyle w:val="FootnoteText"/>
        <w:rPr>
          <w:lang w:val="es-AR"/>
        </w:rPr>
      </w:pPr>
      <w:r>
        <w:rPr>
          <w:rStyle w:val="FootnoteReference"/>
        </w:rPr>
        <w:footnoteRef/>
      </w:r>
      <w:r w:rsidRPr="00455FC7">
        <w:rPr>
          <w:lang w:val="es-ES_tradnl"/>
        </w:rPr>
        <w:t xml:space="preserve"> </w:t>
      </w:r>
      <w:r w:rsidRPr="00455FC7">
        <w:rPr>
          <w:rFonts w:ascii="Times New Roman" w:hAnsi="Times New Roman"/>
          <w:lang w:val="es-ES_tradnl"/>
        </w:rPr>
        <w:t>Evaluación de los efectos e impactos del terremoto del 16 de abril, 2016. Gobierno de Ecuador,</w:t>
      </w:r>
    </w:p>
  </w:footnote>
  <w:footnote w:id="47">
    <w:p w:rsidR="00406CAE" w:rsidRPr="00455FC7" w:rsidRDefault="00406CAE">
      <w:pPr>
        <w:pStyle w:val="FootnoteText"/>
        <w:rPr>
          <w:rFonts w:ascii="Times New Roman" w:hAnsi="Times New Roman"/>
          <w:sz w:val="16"/>
          <w:szCs w:val="16"/>
          <w:lang w:val="es-AR"/>
        </w:rPr>
      </w:pPr>
      <w:r>
        <w:rPr>
          <w:rStyle w:val="FootnoteReference"/>
        </w:rPr>
        <w:footnoteRef/>
      </w:r>
      <w:r w:rsidRPr="00455FC7">
        <w:rPr>
          <w:lang w:val="es-ES_tradnl"/>
        </w:rPr>
        <w:t xml:space="preserve"> </w:t>
      </w:r>
      <w:r w:rsidRPr="006A10F1">
        <w:rPr>
          <w:rFonts w:ascii="Times New Roman" w:hAnsi="Times New Roman"/>
          <w:sz w:val="16"/>
          <w:szCs w:val="16"/>
          <w:lang w:val="es-ES_tradnl"/>
        </w:rPr>
        <w:t>Cabe reforzar el concepto de que los efectos de un tsunami sobre la infraestructura podrían ser relevantes, pero considerando que el Sistema de Alerta Temprana no tendría incidencia significativa en términos de reducción de los mismos, su estimación no forma parte del presente estudio. Las medidas de mitigación de este tipo de daños son habitualmente de otras características.</w:t>
      </w:r>
    </w:p>
  </w:footnote>
  <w:footnote w:id="48">
    <w:p w:rsidR="00406CAE" w:rsidRPr="001F1256" w:rsidRDefault="00406CAE">
      <w:pPr>
        <w:pStyle w:val="FootnoteText"/>
      </w:pPr>
      <w:r>
        <w:rPr>
          <w:rStyle w:val="FootnoteReference"/>
        </w:rPr>
        <w:footnoteRef/>
      </w:r>
      <w:r w:rsidRPr="00455FC7">
        <w:rPr>
          <w:lang w:val="es-ES_tradnl"/>
        </w:rPr>
        <w:t xml:space="preserve"> </w:t>
      </w:r>
      <w:r w:rsidRPr="00455FC7">
        <w:rPr>
          <w:rFonts w:ascii="Times New Roman" w:hAnsi="Times New Roman"/>
          <w:sz w:val="16"/>
          <w:szCs w:val="16"/>
          <w:lang w:val="es-AR"/>
        </w:rPr>
        <w:t xml:space="preserve">Escenario probabilidad de ocurrencia de desbordamiento de ríos. </w:t>
      </w:r>
      <w:proofErr w:type="gramStart"/>
      <w:r w:rsidRPr="00455FC7">
        <w:rPr>
          <w:rFonts w:ascii="Times New Roman" w:hAnsi="Times New Roman"/>
          <w:sz w:val="16"/>
          <w:szCs w:val="16"/>
        </w:rPr>
        <w:t>Diciembre de 2015.</w:t>
      </w:r>
      <w:proofErr w:type="gramEnd"/>
      <w:r w:rsidRPr="00455FC7">
        <w:rPr>
          <w:rFonts w:ascii="Times New Roman" w:hAnsi="Times New Roman"/>
          <w:sz w:val="16"/>
          <w:szCs w:val="16"/>
        </w:rPr>
        <w:t xml:space="preserve"> </w:t>
      </w:r>
      <w:proofErr w:type="gramStart"/>
      <w:r w:rsidRPr="00455FC7">
        <w:rPr>
          <w:rFonts w:ascii="Times New Roman" w:hAnsi="Times New Roman"/>
          <w:sz w:val="16"/>
          <w:szCs w:val="16"/>
        </w:rPr>
        <w:t>SGR.</w:t>
      </w:r>
      <w:proofErr w:type="gramEnd"/>
    </w:p>
  </w:footnote>
  <w:footnote w:id="49">
    <w:p w:rsidR="00406CAE" w:rsidRPr="00455FC7" w:rsidRDefault="00406CAE" w:rsidP="00FA7F8E">
      <w:pPr>
        <w:pStyle w:val="FootnoteText"/>
      </w:pPr>
      <w:r>
        <w:rPr>
          <w:rStyle w:val="FootnoteReference"/>
        </w:rPr>
        <w:footnoteRef/>
      </w:r>
      <w:r>
        <w:t xml:space="preserve"> </w:t>
      </w:r>
      <w:r w:rsidRPr="00837476">
        <w:rPr>
          <w:rFonts w:ascii="Times New Roman" w:hAnsi="Times New Roman"/>
          <w:sz w:val="16"/>
          <w:szCs w:val="16"/>
        </w:rPr>
        <w:t xml:space="preserve">Fuente: The Economics of Natural Disasters Concepts and Methods. </w:t>
      </w:r>
      <w:proofErr w:type="gramStart"/>
      <w:r w:rsidRPr="00455FC7">
        <w:rPr>
          <w:rFonts w:ascii="Times New Roman" w:hAnsi="Times New Roman"/>
          <w:sz w:val="16"/>
          <w:szCs w:val="16"/>
        </w:rPr>
        <w:t>Hallegate 2010.</w:t>
      </w:r>
      <w:proofErr w:type="gramEnd"/>
      <w:r w:rsidRPr="00455FC7">
        <w:rPr>
          <w:rFonts w:ascii="Times New Roman" w:hAnsi="Times New Roman"/>
          <w:sz w:val="16"/>
          <w:szCs w:val="16"/>
        </w:rPr>
        <w:t xml:space="preserve"> </w:t>
      </w:r>
      <w:proofErr w:type="gramStart"/>
      <w:r w:rsidRPr="00455FC7">
        <w:rPr>
          <w:rFonts w:ascii="Times New Roman" w:hAnsi="Times New Roman"/>
          <w:sz w:val="16"/>
          <w:szCs w:val="16"/>
        </w:rPr>
        <w:t>World Bank.</w:t>
      </w:r>
      <w:proofErr w:type="gramEnd"/>
      <w:r w:rsidRPr="00455FC7">
        <w:t xml:space="preserve"> </w:t>
      </w:r>
    </w:p>
  </w:footnote>
  <w:footnote w:id="50">
    <w:p w:rsidR="00406CAE" w:rsidRPr="00455FC7" w:rsidRDefault="00406CAE" w:rsidP="00267B31">
      <w:pPr>
        <w:pStyle w:val="FootnoteText"/>
        <w:rPr>
          <w:rFonts w:ascii="Times New Roman" w:hAnsi="Times New Roman"/>
          <w:sz w:val="18"/>
          <w:szCs w:val="18"/>
        </w:rPr>
      </w:pPr>
      <w:r w:rsidRPr="00267B31">
        <w:rPr>
          <w:rStyle w:val="FootnoteReference"/>
          <w:rFonts w:ascii="Times New Roman" w:hAnsi="Times New Roman"/>
          <w:sz w:val="18"/>
          <w:szCs w:val="18"/>
        </w:rPr>
        <w:footnoteRef/>
      </w:r>
      <w:r w:rsidRPr="00267B31">
        <w:rPr>
          <w:rFonts w:ascii="Times New Roman" w:hAnsi="Times New Roman"/>
          <w:sz w:val="18"/>
          <w:szCs w:val="18"/>
        </w:rPr>
        <w:t xml:space="preserve"> </w:t>
      </w:r>
      <w:r w:rsidRPr="00267B31">
        <w:rPr>
          <w:rFonts w:ascii="Times New Roman" w:hAnsi="Times New Roman"/>
          <w:sz w:val="16"/>
          <w:szCs w:val="16"/>
        </w:rPr>
        <w:t xml:space="preserve">Strobl E (2011) </w:t>
      </w:r>
      <w:proofErr w:type="gramStart"/>
      <w:r w:rsidRPr="00267B31">
        <w:rPr>
          <w:rFonts w:ascii="Times New Roman" w:hAnsi="Times New Roman"/>
          <w:sz w:val="16"/>
          <w:szCs w:val="16"/>
        </w:rPr>
        <w:t>The</w:t>
      </w:r>
      <w:proofErr w:type="gramEnd"/>
      <w:r w:rsidRPr="00267B31">
        <w:rPr>
          <w:rFonts w:ascii="Times New Roman" w:hAnsi="Times New Roman"/>
          <w:sz w:val="16"/>
          <w:szCs w:val="16"/>
        </w:rPr>
        <w:t xml:space="preserve"> economic growth impact of hurricanes: evidence from US coastal counties. Review of Economics and Statistics 93:575–589.</w:t>
      </w:r>
    </w:p>
  </w:footnote>
  <w:footnote w:id="51">
    <w:p w:rsidR="00406CAE" w:rsidRPr="00837476" w:rsidRDefault="00406CAE">
      <w:pPr>
        <w:pStyle w:val="FootnoteText"/>
      </w:pPr>
      <w:r w:rsidRPr="005E2636">
        <w:rPr>
          <w:rStyle w:val="FootnoteReference"/>
          <w:rFonts w:ascii="Times New Roman" w:hAnsi="Times New Roman"/>
          <w:sz w:val="18"/>
          <w:szCs w:val="18"/>
        </w:rPr>
        <w:footnoteRef/>
      </w:r>
      <w:r w:rsidRPr="005E2636">
        <w:rPr>
          <w:rFonts w:ascii="Times New Roman" w:hAnsi="Times New Roman"/>
          <w:sz w:val="18"/>
          <w:szCs w:val="18"/>
        </w:rPr>
        <w:t xml:space="preserve"> </w:t>
      </w:r>
      <w:r w:rsidRPr="001B2AE5">
        <w:rPr>
          <w:rFonts w:ascii="Times New Roman" w:hAnsi="Times New Roman"/>
          <w:sz w:val="16"/>
          <w:szCs w:val="16"/>
        </w:rPr>
        <w:t xml:space="preserve">Paul, B. K., 2009. Why Relatively Fewer People Died? </w:t>
      </w:r>
      <w:proofErr w:type="gramStart"/>
      <w:r w:rsidRPr="001B2AE5">
        <w:rPr>
          <w:rFonts w:ascii="Times New Roman" w:hAnsi="Times New Roman"/>
          <w:sz w:val="16"/>
          <w:szCs w:val="16"/>
        </w:rPr>
        <w:t>The Case of Bangladesh’s Cyclone Sidr, Natural Hazards 50, 289–304.</w:t>
      </w:r>
      <w:proofErr w:type="gramEnd"/>
    </w:p>
  </w:footnote>
  <w:footnote w:id="52">
    <w:p w:rsidR="00406CAE" w:rsidRPr="00837476" w:rsidRDefault="00406CAE">
      <w:pPr>
        <w:pStyle w:val="FootnoteText"/>
        <w:rPr>
          <w:rFonts w:ascii="Times New Roman" w:hAnsi="Times New Roman"/>
          <w:sz w:val="16"/>
          <w:szCs w:val="16"/>
        </w:rPr>
      </w:pPr>
      <w:r w:rsidRPr="005E2636">
        <w:rPr>
          <w:rStyle w:val="FootnoteReference"/>
          <w:rFonts w:ascii="Times New Roman" w:hAnsi="Times New Roman"/>
          <w:sz w:val="18"/>
          <w:szCs w:val="18"/>
        </w:rPr>
        <w:footnoteRef/>
      </w:r>
      <w:r w:rsidRPr="005E2636">
        <w:rPr>
          <w:rFonts w:ascii="Times New Roman" w:hAnsi="Times New Roman"/>
          <w:sz w:val="18"/>
          <w:szCs w:val="18"/>
        </w:rPr>
        <w:t xml:space="preserve"> </w:t>
      </w:r>
      <w:r w:rsidRPr="00837476">
        <w:rPr>
          <w:rFonts w:ascii="Times New Roman" w:hAnsi="Times New Roman"/>
          <w:bCs/>
          <w:sz w:val="16"/>
          <w:szCs w:val="16"/>
        </w:rPr>
        <w:t xml:space="preserve">Fuente: Fiji Technical Report An economic analysis for early flood warning in Navua. </w:t>
      </w:r>
      <w:proofErr w:type="gramStart"/>
      <w:r w:rsidRPr="00837476">
        <w:rPr>
          <w:rFonts w:ascii="Times New Roman" w:hAnsi="Times New Roman"/>
          <w:bCs/>
          <w:sz w:val="16"/>
          <w:szCs w:val="16"/>
        </w:rPr>
        <w:t>SOPAC Project Report 2008.</w:t>
      </w:r>
      <w:proofErr w:type="gramEnd"/>
      <w:r w:rsidRPr="00837476">
        <w:rPr>
          <w:rFonts w:ascii="Times New Roman" w:hAnsi="Times New Roman"/>
          <w:bCs/>
          <w:sz w:val="16"/>
          <w:szCs w:val="16"/>
        </w:rPr>
        <w:t xml:space="preserve"> </w:t>
      </w:r>
      <w:proofErr w:type="gramStart"/>
      <w:r w:rsidRPr="00837476">
        <w:rPr>
          <w:rFonts w:ascii="Times New Roman" w:hAnsi="Times New Roman"/>
          <w:bCs/>
          <w:sz w:val="16"/>
          <w:szCs w:val="16"/>
        </w:rPr>
        <w:t>SAMOA technical report.</w:t>
      </w:r>
      <w:proofErr w:type="gramEnd"/>
      <w:r w:rsidRPr="00837476">
        <w:rPr>
          <w:rFonts w:ascii="Times New Roman" w:hAnsi="Times New Roman"/>
          <w:bCs/>
          <w:sz w:val="16"/>
          <w:szCs w:val="16"/>
        </w:rPr>
        <w:t xml:space="preserve"> </w:t>
      </w:r>
      <w:proofErr w:type="gramStart"/>
      <w:r w:rsidRPr="00837476">
        <w:rPr>
          <w:rFonts w:ascii="Times New Roman" w:hAnsi="Times New Roman"/>
          <w:bCs/>
          <w:sz w:val="16"/>
          <w:szCs w:val="16"/>
        </w:rPr>
        <w:t>Economic Analysis.</w:t>
      </w:r>
      <w:proofErr w:type="gramEnd"/>
      <w:r w:rsidRPr="00837476">
        <w:rPr>
          <w:rFonts w:ascii="Times New Roman" w:hAnsi="Times New Roman"/>
          <w:bCs/>
          <w:sz w:val="16"/>
          <w:szCs w:val="16"/>
        </w:rPr>
        <w:t xml:space="preserve"> 2008.</w:t>
      </w:r>
    </w:p>
  </w:footnote>
  <w:footnote w:id="53">
    <w:p w:rsidR="00406CAE" w:rsidRPr="0044003B" w:rsidRDefault="00406CAE">
      <w:pPr>
        <w:pStyle w:val="FootnoteText"/>
        <w:rPr>
          <w:rFonts w:ascii="Times New Roman" w:hAnsi="Times New Roman"/>
          <w:sz w:val="18"/>
          <w:szCs w:val="18"/>
          <w:lang w:val="es-ES"/>
        </w:rPr>
      </w:pPr>
      <w:r w:rsidRPr="0044003B">
        <w:rPr>
          <w:rStyle w:val="FootnoteReference"/>
          <w:rFonts w:ascii="Times New Roman" w:hAnsi="Times New Roman"/>
          <w:sz w:val="18"/>
          <w:szCs w:val="18"/>
        </w:rPr>
        <w:footnoteRef/>
      </w:r>
      <w:r w:rsidRPr="0044003B">
        <w:rPr>
          <w:rFonts w:ascii="Times New Roman" w:hAnsi="Times New Roman"/>
          <w:sz w:val="18"/>
          <w:szCs w:val="18"/>
        </w:rPr>
        <w:t xml:space="preserve"> </w:t>
      </w:r>
      <w:r w:rsidRPr="00837476">
        <w:rPr>
          <w:rFonts w:ascii="Times New Roman" w:hAnsi="Times New Roman"/>
          <w:sz w:val="16"/>
          <w:szCs w:val="16"/>
        </w:rPr>
        <w:t xml:space="preserve">Worl Bank. </w:t>
      </w:r>
      <w:proofErr w:type="gramStart"/>
      <w:r w:rsidRPr="00837476">
        <w:rPr>
          <w:rFonts w:ascii="Times New Roman" w:hAnsi="Times New Roman"/>
          <w:sz w:val="16"/>
          <w:szCs w:val="16"/>
        </w:rPr>
        <w:t>Costs and benefits of early warning systems.</w:t>
      </w:r>
      <w:proofErr w:type="gramEnd"/>
      <w:r w:rsidRPr="00837476">
        <w:rPr>
          <w:rFonts w:ascii="Times New Roman" w:hAnsi="Times New Roman"/>
          <w:sz w:val="16"/>
          <w:szCs w:val="16"/>
        </w:rPr>
        <w:t xml:space="preserve"> </w:t>
      </w:r>
      <w:r w:rsidRPr="0044003B">
        <w:rPr>
          <w:rFonts w:ascii="Times New Roman" w:hAnsi="Times New Roman"/>
          <w:sz w:val="16"/>
          <w:szCs w:val="16"/>
          <w:lang w:val="es-AR"/>
        </w:rPr>
        <w:t>Rogers and Tsirkunov. 2010</w:t>
      </w:r>
    </w:p>
  </w:footnote>
  <w:footnote w:id="54">
    <w:p w:rsidR="00406CAE" w:rsidRPr="0044003B" w:rsidRDefault="00406CAE" w:rsidP="00177E5A">
      <w:pPr>
        <w:pStyle w:val="FootnoteText"/>
        <w:jc w:val="both"/>
        <w:rPr>
          <w:rFonts w:ascii="Times New Roman" w:hAnsi="Times New Roman"/>
          <w:sz w:val="18"/>
          <w:szCs w:val="18"/>
          <w:lang w:val="es-ES"/>
        </w:rPr>
      </w:pPr>
      <w:r w:rsidRPr="0044003B">
        <w:rPr>
          <w:rStyle w:val="FootnoteReference"/>
          <w:rFonts w:ascii="Times New Roman" w:hAnsi="Times New Roman"/>
          <w:sz w:val="18"/>
          <w:szCs w:val="18"/>
        </w:rPr>
        <w:footnoteRef/>
      </w:r>
      <w:r w:rsidRPr="00837476">
        <w:rPr>
          <w:rFonts w:ascii="Times New Roman" w:hAnsi="Times New Roman"/>
          <w:sz w:val="18"/>
          <w:szCs w:val="18"/>
          <w:lang w:val="es-ES_tradnl"/>
        </w:rPr>
        <w:t xml:space="preserve"> </w:t>
      </w:r>
      <w:r w:rsidRPr="00837476">
        <w:rPr>
          <w:rFonts w:ascii="Times New Roman" w:hAnsi="Times New Roman"/>
          <w:sz w:val="16"/>
          <w:szCs w:val="16"/>
          <w:lang w:val="es-ES_tradnl"/>
        </w:rPr>
        <w:t>Durante las jornadas de trabajo en Ecuador el equipo del Gobierno comentó que existen oleoductos en la zona de la costa preparados para cerrar válvulas de seguridad ante la recpeción del alerta de tsunami, lo que minimizaría eventuales derrames de magnitud indeterminada.</w:t>
      </w:r>
      <w:r w:rsidRPr="00837476">
        <w:rPr>
          <w:rFonts w:ascii="Times New Roman" w:hAnsi="Times New Roman"/>
          <w:sz w:val="18"/>
          <w:szCs w:val="18"/>
          <w:lang w:val="es-ES_tradnl"/>
        </w:rPr>
        <w:t xml:space="preserve"> </w:t>
      </w:r>
    </w:p>
  </w:footnote>
  <w:footnote w:id="55">
    <w:p w:rsidR="00406CAE" w:rsidRPr="00177E5A" w:rsidRDefault="00406CAE" w:rsidP="00177E5A">
      <w:pPr>
        <w:pStyle w:val="FootnoteText"/>
        <w:jc w:val="both"/>
        <w:rPr>
          <w:rFonts w:ascii="Times New Roman" w:hAnsi="Times New Roman"/>
          <w:sz w:val="18"/>
          <w:szCs w:val="18"/>
          <w:lang w:val="es-ES"/>
        </w:rPr>
      </w:pPr>
      <w:r w:rsidRPr="00177E5A">
        <w:rPr>
          <w:rStyle w:val="FootnoteReference"/>
          <w:rFonts w:ascii="Times New Roman" w:hAnsi="Times New Roman"/>
          <w:sz w:val="18"/>
          <w:szCs w:val="18"/>
        </w:rPr>
        <w:footnoteRef/>
      </w:r>
      <w:r w:rsidRPr="00837476">
        <w:rPr>
          <w:rFonts w:ascii="Times New Roman" w:hAnsi="Times New Roman"/>
          <w:sz w:val="18"/>
          <w:szCs w:val="18"/>
          <w:lang w:val="es-ES_tradnl"/>
        </w:rPr>
        <w:t xml:space="preserve"> </w:t>
      </w:r>
      <w:r w:rsidRPr="00837476">
        <w:rPr>
          <w:rFonts w:ascii="Times New Roman" w:hAnsi="Times New Roman"/>
          <w:sz w:val="16"/>
          <w:szCs w:val="16"/>
          <w:lang w:val="es-ES_tradnl"/>
        </w:rPr>
        <w:t>Los equipos de trabajo del GdE no tienen una posición definitive sobre los efectos esperados del SAT en material de reducción de impactos. Sin embargo, la reflexiones preliminaries indicaron que sus expectativas son de una significativa mejora en terminos de potenciales muertes  evitadas en caso de tsunamis (entre 50 y 70%), mientras que en desbordamiento de ríos los beneficios superiors se presentarían en terminos de protección de actives (30-40%).</w:t>
      </w:r>
    </w:p>
  </w:footnote>
  <w:footnote w:id="56">
    <w:p w:rsidR="00406CAE" w:rsidRPr="005C15BC" w:rsidRDefault="00406CAE" w:rsidP="00AD78F4">
      <w:pPr>
        <w:pStyle w:val="FootnoteText"/>
        <w:jc w:val="both"/>
        <w:rPr>
          <w:rFonts w:ascii="Times New Roman" w:hAnsi="Times New Roman"/>
          <w:sz w:val="18"/>
          <w:szCs w:val="18"/>
          <w:lang w:val="es-ES"/>
        </w:rPr>
      </w:pPr>
      <w:r w:rsidRPr="005C15BC">
        <w:rPr>
          <w:rStyle w:val="FootnoteReference"/>
          <w:rFonts w:ascii="Times New Roman" w:hAnsi="Times New Roman"/>
          <w:sz w:val="18"/>
          <w:szCs w:val="18"/>
        </w:rPr>
        <w:footnoteRef/>
      </w:r>
      <w:r w:rsidRPr="00720E01">
        <w:rPr>
          <w:rFonts w:ascii="Times New Roman" w:hAnsi="Times New Roman"/>
          <w:sz w:val="18"/>
          <w:szCs w:val="18"/>
          <w:lang w:val="es-ES_tradnl"/>
        </w:rPr>
        <w:t xml:space="preserve"> </w:t>
      </w:r>
      <w:r>
        <w:rPr>
          <w:rFonts w:ascii="Times New Roman" w:hAnsi="Times New Roman"/>
          <w:sz w:val="16"/>
          <w:szCs w:val="16"/>
          <w:lang w:val="es-ES"/>
        </w:rPr>
        <w:t>A modo de ejemplo, para la amenaza</w:t>
      </w:r>
      <w:r w:rsidRPr="005C15BC">
        <w:rPr>
          <w:rFonts w:ascii="Times New Roman" w:hAnsi="Times New Roman"/>
          <w:sz w:val="16"/>
          <w:szCs w:val="16"/>
          <w:lang w:val="es-ES"/>
        </w:rPr>
        <w:t xml:space="preserve"> tsunami fue </w:t>
      </w:r>
      <w:r>
        <w:rPr>
          <w:rFonts w:ascii="Times New Roman" w:hAnsi="Times New Roman"/>
          <w:sz w:val="16"/>
          <w:szCs w:val="16"/>
          <w:lang w:val="es-ES"/>
        </w:rPr>
        <w:t>estimada</w:t>
      </w:r>
      <w:r w:rsidRPr="005C15BC">
        <w:rPr>
          <w:rFonts w:ascii="Times New Roman" w:hAnsi="Times New Roman"/>
          <w:sz w:val="16"/>
          <w:szCs w:val="16"/>
          <w:lang w:val="es-ES"/>
        </w:rPr>
        <w:t xml:space="preserve"> una pérdida potencial máxima de vidas de 21.000 casos. Considerando que el VeV se aplica sobre la base de un promedio </w:t>
      </w:r>
      <w:r>
        <w:rPr>
          <w:rFonts w:ascii="Times New Roman" w:hAnsi="Times New Roman"/>
          <w:sz w:val="16"/>
          <w:szCs w:val="16"/>
          <w:lang w:val="es-ES"/>
        </w:rPr>
        <w:t xml:space="preserve">para Ecuador </w:t>
      </w:r>
      <w:r w:rsidRPr="005C15BC">
        <w:rPr>
          <w:rFonts w:ascii="Times New Roman" w:hAnsi="Times New Roman"/>
          <w:sz w:val="16"/>
          <w:szCs w:val="16"/>
          <w:lang w:val="es-ES"/>
        </w:rPr>
        <w:t>de US$ 283.000, la magnitud máxima calculada alcanzaría a US$ 5.943 Millones. Cómo este valor responde a una probabilidad de 500 años, su ponderación a los fines de estimar un valor anualizado representaría US$ 11.9 Millones por año.</w:t>
      </w:r>
      <w:r>
        <w:rPr>
          <w:rFonts w:ascii="Times New Roman" w:hAnsi="Times New Roman"/>
          <w:sz w:val="16"/>
          <w:szCs w:val="16"/>
          <w:lang w:val="es-ES"/>
        </w:rPr>
        <w:t xml:space="preserve"> Dado ese cálculo de pérdida potencial anual por efecto del tsunami, la implementación del SAT que impulsa el Programa permitiría reducir un 45% los daños humanos del fenómeno. La aplicación del 45%  de ahorro en vidas sobre los US$ 11. 9 Millones determinan el beneficio anual por este concepto, lo que para el planteo efectuado sería US$ 5.3 Millones años. La Tabla 14 presenta los valores año por año agregados de forma simple y el VAN del flujo de beneficios para el período de 20 años considerado.</w:t>
      </w:r>
    </w:p>
  </w:footnote>
  <w:footnote w:id="57">
    <w:p w:rsidR="00406CAE" w:rsidRDefault="00406CAE" w:rsidP="00455FC7">
      <w:pPr>
        <w:pStyle w:val="FootnoteText"/>
        <w:jc w:val="both"/>
        <w:rPr>
          <w:lang w:val="es-ES"/>
        </w:rPr>
      </w:pPr>
      <w:r>
        <w:rPr>
          <w:rStyle w:val="FootnoteReference"/>
        </w:rPr>
        <w:footnoteRef/>
      </w:r>
      <w:r w:rsidRPr="00837476">
        <w:rPr>
          <w:lang w:val="es-ES_tradnl"/>
        </w:rPr>
        <w:t xml:space="preserve"> </w:t>
      </w:r>
      <w:r w:rsidRPr="00C7489D">
        <w:rPr>
          <w:rFonts w:ascii="Times New Roman" w:hAnsi="Times New Roman"/>
          <w:sz w:val="16"/>
          <w:szCs w:val="16"/>
          <w:lang w:val="es-ES_tradnl"/>
        </w:rPr>
        <w:t>Los equipos de INOCAR mencionaron que la vida útil de ls boyas adquiridas podría no supercar los 5 años. Existen constant</w:t>
      </w:r>
      <w:r>
        <w:rPr>
          <w:rFonts w:ascii="Times New Roman" w:hAnsi="Times New Roman"/>
          <w:sz w:val="16"/>
          <w:szCs w:val="16"/>
          <w:lang w:val="es-ES_tradnl"/>
        </w:rPr>
        <w:t>e</w:t>
      </w:r>
      <w:r w:rsidRPr="00C7489D">
        <w:rPr>
          <w:rFonts w:ascii="Times New Roman" w:hAnsi="Times New Roman"/>
          <w:sz w:val="16"/>
          <w:szCs w:val="16"/>
          <w:lang w:val="es-ES_tradnl"/>
        </w:rPr>
        <w:t>s advances tecnológicos que llevan a la necesidad de  contar con equipos de mayor precision y confiabilidad.</w:t>
      </w:r>
    </w:p>
  </w:footnote>
  <w:footnote w:id="58">
    <w:p w:rsidR="00406CAE" w:rsidRPr="00622D14" w:rsidRDefault="00406CAE" w:rsidP="00F44D2B">
      <w:pPr>
        <w:pStyle w:val="FootnoteText"/>
        <w:spacing w:after="60"/>
        <w:jc w:val="both"/>
        <w:rPr>
          <w:lang w:val="es-AR"/>
        </w:rPr>
      </w:pPr>
      <w:r w:rsidRPr="00F44D2B">
        <w:rPr>
          <w:rStyle w:val="FootnoteReference"/>
          <w:rFonts w:ascii="Times New Roman" w:hAnsi="Times New Roman"/>
          <w:sz w:val="18"/>
          <w:szCs w:val="18"/>
        </w:rPr>
        <w:footnoteRef/>
      </w:r>
      <w:r w:rsidRPr="00837476">
        <w:rPr>
          <w:rFonts w:ascii="Times New Roman" w:hAnsi="Times New Roman"/>
          <w:sz w:val="16"/>
          <w:szCs w:val="16"/>
          <w:lang w:val="es-ES_tradnl"/>
        </w:rPr>
        <w:t xml:space="preserve"> Se plantea la tasa del 7% para establecer un rango de resultados a contraponer frente a los que arrojan el valor </w:t>
      </w:r>
      <w:r w:rsidRPr="00622D14">
        <w:rPr>
          <w:rFonts w:ascii="Times New Roman" w:hAnsi="Times New Roman"/>
          <w:sz w:val="16"/>
          <w:szCs w:val="16"/>
          <w:lang w:val="es-AR"/>
        </w:rPr>
        <w:t>de descuento del 12% que refleja el nivel máximo generalmente utilizado en evaluaciones de los OMT. Los estudios es materia de desastres incluyen una variada gama de tasas con un mínimo del 5% (utilizada en Copengahen Consensus y otros estudios de WB).</w:t>
      </w:r>
    </w:p>
  </w:footnote>
  <w:footnote w:id="59">
    <w:p w:rsidR="00406CAE" w:rsidRPr="00416DE3" w:rsidRDefault="00406CAE" w:rsidP="009C3402">
      <w:pPr>
        <w:pStyle w:val="FootnoteText"/>
        <w:jc w:val="both"/>
        <w:rPr>
          <w:lang w:val="es-AR"/>
        </w:rPr>
      </w:pPr>
      <w:r w:rsidRPr="00F44D2B">
        <w:rPr>
          <w:rStyle w:val="FootnoteReference"/>
          <w:rFonts w:ascii="Times New Roman" w:hAnsi="Times New Roman"/>
          <w:sz w:val="18"/>
          <w:szCs w:val="18"/>
        </w:rPr>
        <w:footnoteRef/>
      </w:r>
      <w:r w:rsidRPr="00837476">
        <w:rPr>
          <w:rFonts w:ascii="Times New Roman" w:hAnsi="Times New Roman"/>
          <w:sz w:val="18"/>
          <w:szCs w:val="18"/>
          <w:lang w:val="es-ES_tradnl"/>
        </w:rPr>
        <w:t xml:space="preserve"> </w:t>
      </w:r>
      <w:r w:rsidRPr="00416DE3">
        <w:rPr>
          <w:rFonts w:ascii="Times New Roman" w:hAnsi="Times New Roman"/>
          <w:sz w:val="16"/>
          <w:szCs w:val="16"/>
          <w:lang w:val="es-AR"/>
        </w:rPr>
        <w:t xml:space="preserve">Otros estudios trabajan con probabilidades de ocurrencia entre 1:100 años y 1:500 años. </w:t>
      </w:r>
      <w:r w:rsidRPr="00837476">
        <w:rPr>
          <w:rFonts w:ascii="Times New Roman" w:hAnsi="Times New Roman"/>
          <w:sz w:val="16"/>
          <w:szCs w:val="16"/>
        </w:rPr>
        <w:t xml:space="preserve">Fuente: Ocean &amp; Coastal Management: Managing tsunamis though early warning systems. </w:t>
      </w:r>
      <w:r w:rsidRPr="00416DE3">
        <w:rPr>
          <w:rFonts w:ascii="Times New Roman" w:hAnsi="Times New Roman"/>
          <w:sz w:val="16"/>
          <w:szCs w:val="16"/>
          <w:lang w:val="es-AR"/>
        </w:rPr>
        <w:t>A multidisciplinary approach.2011.</w:t>
      </w:r>
    </w:p>
  </w:footnote>
  <w:footnote w:id="60">
    <w:p w:rsidR="00406CAE" w:rsidRPr="00833697" w:rsidRDefault="00406CAE">
      <w:pPr>
        <w:pStyle w:val="FootnoteText"/>
        <w:rPr>
          <w:lang w:val="es-AR"/>
        </w:rPr>
      </w:pPr>
      <w:r>
        <w:rPr>
          <w:rStyle w:val="FootnoteReference"/>
        </w:rPr>
        <w:footnoteRef/>
      </w:r>
      <w:r w:rsidRPr="00455FC7">
        <w:rPr>
          <w:lang w:val="es-ES_tradnl"/>
        </w:rPr>
        <w:t xml:space="preserve"> </w:t>
      </w:r>
      <w:r w:rsidRPr="00455FC7">
        <w:rPr>
          <w:rFonts w:ascii="Times New Roman" w:hAnsi="Times New Roman"/>
          <w:sz w:val="16"/>
          <w:szCs w:val="16"/>
          <w:lang w:val="es-ES_tradnl"/>
        </w:rPr>
        <w:t>El evento máximo en la hipótesis de 250 años tendría un impacto máximo en pérdida de vidas de 5.253 Sin Proyecto y 2.889 Con Proyecto.</w:t>
      </w:r>
    </w:p>
  </w:footnote>
  <w:footnote w:id="61">
    <w:p w:rsidR="00406CAE" w:rsidRPr="00F44D2B" w:rsidRDefault="00406CAE" w:rsidP="008005CB">
      <w:pPr>
        <w:pStyle w:val="FootnoteText"/>
        <w:jc w:val="both"/>
        <w:rPr>
          <w:lang w:val="es-AR"/>
        </w:rPr>
      </w:pPr>
      <w:r>
        <w:rPr>
          <w:rStyle w:val="FootnoteReference"/>
        </w:rPr>
        <w:footnoteRef/>
      </w:r>
      <w:r w:rsidRPr="00837476">
        <w:rPr>
          <w:lang w:val="es-ES_tradnl"/>
        </w:rPr>
        <w:t xml:space="preserve"> </w:t>
      </w:r>
      <w:r w:rsidRPr="00F44D2B">
        <w:rPr>
          <w:rFonts w:ascii="Times New Roman" w:hAnsi="Times New Roman"/>
          <w:sz w:val="16"/>
          <w:szCs w:val="16"/>
          <w:lang w:val="es-ES_tradnl"/>
        </w:rPr>
        <w:t xml:space="preserve">Los puntos débiles en </w:t>
      </w:r>
      <w:r>
        <w:rPr>
          <w:rFonts w:ascii="Times New Roman" w:hAnsi="Times New Roman"/>
          <w:sz w:val="16"/>
          <w:szCs w:val="16"/>
          <w:lang w:val="es-ES_tradnl"/>
        </w:rPr>
        <w:t>la</w:t>
      </w:r>
      <w:r w:rsidRPr="00F44D2B">
        <w:rPr>
          <w:rFonts w:ascii="Times New Roman" w:hAnsi="Times New Roman"/>
          <w:sz w:val="16"/>
          <w:szCs w:val="16"/>
          <w:lang w:val="es-ES_tradnl"/>
        </w:rPr>
        <w:t xml:space="preserve"> sostenibilidad s</w:t>
      </w:r>
      <w:r>
        <w:rPr>
          <w:rFonts w:ascii="Times New Roman" w:hAnsi="Times New Roman"/>
          <w:sz w:val="16"/>
          <w:szCs w:val="16"/>
          <w:lang w:val="es-ES_tradnl"/>
        </w:rPr>
        <w:t>uelen ser acc</w:t>
      </w:r>
      <w:r w:rsidRPr="00F44D2B">
        <w:rPr>
          <w:rFonts w:ascii="Times New Roman" w:hAnsi="Times New Roman"/>
          <w:sz w:val="16"/>
          <w:szCs w:val="16"/>
          <w:lang w:val="es-ES_tradnl"/>
        </w:rPr>
        <w:t xml:space="preserve">iones directas de responsabilidad del nivel local municipal que </w:t>
      </w:r>
      <w:r>
        <w:rPr>
          <w:rFonts w:ascii="Times New Roman" w:hAnsi="Times New Roman"/>
          <w:sz w:val="16"/>
          <w:szCs w:val="16"/>
          <w:lang w:val="es-ES_tradnl"/>
        </w:rPr>
        <w:t xml:space="preserve">este </w:t>
      </w:r>
      <w:r w:rsidRPr="00F44D2B">
        <w:rPr>
          <w:rFonts w:ascii="Times New Roman" w:hAnsi="Times New Roman"/>
          <w:sz w:val="16"/>
          <w:szCs w:val="16"/>
          <w:lang w:val="es-ES_tradnl"/>
        </w:rPr>
        <w:t>no puede proveer. Las municipalidades no cuentan con recursos humanos ni presupuesto para el seguimiento de las tareas de mantenimiento.Es prioritario que el sector municipal se comprometa a velar por la efectiva operación de sirenas, sensores y otros equipos instalados en el SAT</w:t>
      </w:r>
      <w:r>
        <w:rPr>
          <w:rFonts w:ascii="Times New Roman" w:hAnsi="Times New Roman"/>
          <w:sz w:val="16"/>
          <w:szCs w:val="16"/>
          <w:lang w:val="es-ES_tradnl"/>
        </w:rPr>
        <w:t xml:space="preserve"> y planificar la generación de recursos a tal fin</w:t>
      </w:r>
      <w:r w:rsidRPr="004F0702">
        <w:rPr>
          <w:rFonts w:ascii="Times New Roman" w:hAnsi="Times New Roman"/>
          <w:sz w:val="22"/>
          <w:szCs w:val="22"/>
          <w:lang w:val="es-ES_tradnl"/>
        </w:rPr>
        <w:t>.</w:t>
      </w:r>
    </w:p>
  </w:footnote>
  <w:footnote w:id="62">
    <w:p w:rsidR="00406CAE" w:rsidRPr="003231DB" w:rsidRDefault="00406CAE" w:rsidP="003231DB">
      <w:pPr>
        <w:jc w:val="both"/>
        <w:rPr>
          <w:sz w:val="16"/>
          <w:szCs w:val="16"/>
          <w:lang w:val="es-AR"/>
        </w:rPr>
      </w:pPr>
      <w:r>
        <w:rPr>
          <w:rStyle w:val="FootnoteReference"/>
        </w:rPr>
        <w:footnoteRef/>
      </w:r>
      <w:r w:rsidRPr="00837476">
        <w:rPr>
          <w:lang w:val="es-ES_tradnl"/>
        </w:rPr>
        <w:t xml:space="preserve"> </w:t>
      </w:r>
      <w:r w:rsidRPr="003231DB">
        <w:rPr>
          <w:rFonts w:ascii="Times New Roman" w:hAnsi="Times New Roman"/>
          <w:sz w:val="16"/>
          <w:szCs w:val="16"/>
          <w:lang w:val="es-AR"/>
        </w:rPr>
        <w:t>Iniciativas complementarias</w:t>
      </w:r>
      <w:r>
        <w:rPr>
          <w:rFonts w:ascii="Times New Roman" w:hAnsi="Times New Roman"/>
          <w:sz w:val="16"/>
          <w:szCs w:val="16"/>
          <w:lang w:val="es-AR"/>
        </w:rPr>
        <w:t xml:space="preserve"> plantean </w:t>
      </w:r>
      <w:r w:rsidRPr="003231DB">
        <w:rPr>
          <w:rFonts w:ascii="Times New Roman" w:hAnsi="Times New Roman"/>
          <w:sz w:val="16"/>
          <w:szCs w:val="16"/>
          <w:lang w:val="es-ES"/>
        </w:rPr>
        <w:t>la necesidad de desarrollar coordinadamente sistemas de alerta temprana a nivel global para reducir las brechas entre naciones respecto al tema de alerta de desastres (en el caso del tsunami que afectó al Océano Índico el año 2004, que carecía de un sistema de alerta temprana, en comparación con el SAT que existe en el Pacífico norte).</w:t>
      </w:r>
      <w:r>
        <w:rPr>
          <w:rFonts w:ascii="Times New Roman" w:hAnsi="Times New Roman"/>
          <w:sz w:val="16"/>
          <w:szCs w:val="16"/>
          <w:lang w:val="es-ES"/>
        </w:rPr>
        <w:t xml:space="preserve">. </w:t>
      </w:r>
      <w:r w:rsidRPr="003231DB">
        <w:rPr>
          <w:rFonts w:ascii="Times New Roman" w:hAnsi="Times New Roman"/>
          <w:sz w:val="16"/>
          <w:szCs w:val="16"/>
          <w:lang w:val="es-ES"/>
        </w:rPr>
        <w:t xml:space="preserve">III Conferencia Internacional sobre Alerta </w:t>
      </w:r>
      <w:r>
        <w:rPr>
          <w:rFonts w:ascii="Times New Roman" w:hAnsi="Times New Roman"/>
          <w:sz w:val="16"/>
          <w:szCs w:val="16"/>
          <w:lang w:val="es-ES"/>
        </w:rPr>
        <w:t>Temprana (III EWC</w:t>
      </w:r>
      <w:r w:rsidRPr="003231DB">
        <w:rPr>
          <w:rFonts w:ascii="Times New Roman" w:hAnsi="Times New Roman"/>
          <w:sz w:val="16"/>
          <w:szCs w:val="16"/>
          <w:lang w:val="es-ES"/>
        </w:rPr>
        <w:t>), dirigida por la O</w:t>
      </w:r>
      <w:r>
        <w:rPr>
          <w:rFonts w:ascii="Times New Roman" w:hAnsi="Times New Roman"/>
          <w:sz w:val="16"/>
          <w:szCs w:val="16"/>
          <w:lang w:val="es-ES"/>
        </w:rPr>
        <w:t>NU</w:t>
      </w:r>
      <w:r w:rsidRPr="003231DB">
        <w:rPr>
          <w:rFonts w:ascii="Times New Roman" w:hAnsi="Times New Roman"/>
          <w:sz w:val="16"/>
          <w:szCs w:val="16"/>
          <w:lang w:val="es-ES"/>
        </w:rPr>
        <w:t xml:space="preserve"> para la </w:t>
      </w:r>
      <w:r>
        <w:rPr>
          <w:rFonts w:ascii="Times New Roman" w:hAnsi="Times New Roman"/>
          <w:sz w:val="16"/>
          <w:szCs w:val="16"/>
          <w:lang w:val="es-ES"/>
        </w:rPr>
        <w:t xml:space="preserve"> </w:t>
      </w:r>
      <w:r w:rsidRPr="003231DB">
        <w:rPr>
          <w:rFonts w:ascii="Times New Roman" w:hAnsi="Times New Roman"/>
          <w:sz w:val="16"/>
          <w:szCs w:val="16"/>
          <w:lang w:val="es-ES"/>
        </w:rPr>
        <w:t>reducción de riesgo de desastres (UNISDR</w:t>
      </w:r>
      <w:r>
        <w:rPr>
          <w:rFonts w:ascii="Times New Roman" w:hAnsi="Times New Roman"/>
          <w:sz w:val="16"/>
          <w:szCs w:val="16"/>
          <w:lang w:val="es-ES"/>
        </w:rPr>
        <w:t>).</w:t>
      </w:r>
    </w:p>
  </w:footnote>
  <w:footnote w:id="63">
    <w:p w:rsidR="00406CAE" w:rsidRPr="00E0640C" w:rsidRDefault="00406CAE" w:rsidP="003231DB">
      <w:pPr>
        <w:pStyle w:val="FootnoteText"/>
        <w:rPr>
          <w:lang w:val="es-AR"/>
        </w:rPr>
      </w:pPr>
      <w:r>
        <w:rPr>
          <w:rStyle w:val="FootnoteReference"/>
        </w:rPr>
        <w:footnoteRef/>
      </w:r>
      <w:r w:rsidRPr="00837476">
        <w:rPr>
          <w:lang w:val="es-ES_tradnl"/>
        </w:rPr>
        <w:t xml:space="preserve"> </w:t>
      </w:r>
      <w:r w:rsidRPr="00837476">
        <w:rPr>
          <w:rFonts w:ascii="Times New Roman" w:hAnsi="Times New Roman"/>
          <w:sz w:val="16"/>
          <w:szCs w:val="16"/>
          <w:lang w:val="es-ES_tradnl"/>
        </w:rPr>
        <w:t>Fuente: ISDR. EWC III. Tercera Conferencia Internacional sobre Alerta Temprana. Desarrollo Sistemas de Alerta temprana, 2006.</w:t>
      </w:r>
    </w:p>
  </w:footnote>
  <w:footnote w:id="64">
    <w:p w:rsidR="00406CAE" w:rsidRPr="001731D1" w:rsidRDefault="00406CAE">
      <w:pPr>
        <w:pStyle w:val="FootnoteText"/>
        <w:rPr>
          <w:lang w:val="es-AR"/>
        </w:rPr>
      </w:pPr>
      <w:r w:rsidRPr="00F30F32">
        <w:rPr>
          <w:rStyle w:val="FootnoteReference"/>
          <w:rFonts w:ascii="Times New Roman" w:hAnsi="Times New Roman"/>
          <w:sz w:val="18"/>
          <w:szCs w:val="18"/>
        </w:rPr>
        <w:footnoteRef/>
      </w:r>
      <w:r w:rsidRPr="00837476">
        <w:rPr>
          <w:rFonts w:ascii="Times New Roman" w:hAnsi="Times New Roman"/>
          <w:sz w:val="18"/>
          <w:szCs w:val="18"/>
          <w:lang w:val="es-ES_tradnl"/>
        </w:rPr>
        <w:t xml:space="preserve"> </w:t>
      </w:r>
      <w:r w:rsidRPr="00F30F32">
        <w:rPr>
          <w:rFonts w:ascii="Times New Roman" w:hAnsi="Times New Roman"/>
          <w:sz w:val="18"/>
          <w:szCs w:val="18"/>
          <w:lang w:val="es-ES"/>
        </w:rPr>
        <w:t>I</w:t>
      </w:r>
      <w:r w:rsidRPr="00F30F32">
        <w:rPr>
          <w:rFonts w:ascii="Times New Roman" w:hAnsi="Times New Roman"/>
          <w:sz w:val="16"/>
          <w:szCs w:val="16"/>
          <w:lang w:val="es-ES"/>
        </w:rPr>
        <w:t xml:space="preserve">nforme mundial sobre iniciativas para la reducción de desastres. EIRD. Capítulo 5. Los sistemas de Alerta temprana. </w:t>
      </w:r>
    </w:p>
  </w:footnote>
  <w:footnote w:id="65">
    <w:p w:rsidR="00406CAE" w:rsidRPr="00FE292F" w:rsidRDefault="00406CAE" w:rsidP="00EF0E45">
      <w:pPr>
        <w:pStyle w:val="FootnoteText"/>
        <w:rPr>
          <w:rFonts w:ascii="Times New Roman" w:hAnsi="Times New Roman"/>
          <w:sz w:val="16"/>
          <w:szCs w:val="16"/>
          <w:lang w:val="es-MX"/>
        </w:rPr>
      </w:pPr>
      <w:r w:rsidRPr="00FE292F">
        <w:rPr>
          <w:rStyle w:val="FootnoteReference"/>
          <w:rFonts w:ascii="Times New Roman" w:hAnsi="Times New Roman"/>
        </w:rPr>
        <w:footnoteRef/>
      </w:r>
      <w:r w:rsidRPr="00FE292F">
        <w:rPr>
          <w:rFonts w:ascii="Times New Roman" w:hAnsi="Times New Roman"/>
          <w:lang w:val="es-MX"/>
        </w:rPr>
        <w:t xml:space="preserve"> </w:t>
      </w:r>
      <w:r w:rsidRPr="00FE292F">
        <w:rPr>
          <w:rFonts w:ascii="Times New Roman" w:hAnsi="Times New Roman"/>
          <w:sz w:val="16"/>
          <w:szCs w:val="16"/>
          <w:lang w:val="es-MX"/>
        </w:rPr>
        <w:t>Se llegó a tener operativas 32 plantas de tratamiento móviles</w:t>
      </w:r>
    </w:p>
  </w:footnote>
  <w:footnote w:id="66">
    <w:p w:rsidR="00406CAE" w:rsidRPr="00FE292F" w:rsidRDefault="00406CAE" w:rsidP="00EF0E45">
      <w:pPr>
        <w:pStyle w:val="FootnoteText"/>
        <w:rPr>
          <w:rFonts w:ascii="Times New Roman" w:hAnsi="Times New Roman"/>
          <w:sz w:val="16"/>
          <w:szCs w:val="16"/>
          <w:lang w:val="es-MX"/>
        </w:rPr>
      </w:pPr>
      <w:r w:rsidRPr="00FE292F">
        <w:rPr>
          <w:rStyle w:val="FootnoteReference"/>
          <w:rFonts w:ascii="Times New Roman" w:hAnsi="Times New Roman"/>
        </w:rPr>
        <w:footnoteRef/>
      </w:r>
      <w:r w:rsidRPr="00FE292F">
        <w:rPr>
          <w:rFonts w:ascii="Times New Roman" w:hAnsi="Times New Roman"/>
          <w:lang w:val="es-MX"/>
        </w:rPr>
        <w:t xml:space="preserve"> </w:t>
      </w:r>
      <w:r w:rsidRPr="00FE292F">
        <w:rPr>
          <w:rFonts w:ascii="Times New Roman" w:hAnsi="Times New Roman"/>
          <w:sz w:val="16"/>
          <w:szCs w:val="16"/>
          <w:lang w:val="es-MX"/>
        </w:rPr>
        <w:t>Se llegó a contar con 70 tanqueros de diferentes capacidades para distribuir el agua</w:t>
      </w:r>
    </w:p>
  </w:footnote>
  <w:footnote w:id="67">
    <w:p w:rsidR="00406CAE" w:rsidRPr="0024411D" w:rsidRDefault="00406CAE" w:rsidP="00EF0E45">
      <w:pPr>
        <w:pStyle w:val="FootnoteText"/>
        <w:spacing w:line="60" w:lineRule="atLeast"/>
        <w:jc w:val="both"/>
        <w:rPr>
          <w:rFonts w:ascii="Cambria Math" w:hAnsi="Cambria Math"/>
          <w:lang w:val="es-MX"/>
        </w:rPr>
      </w:pPr>
      <w:r w:rsidRPr="00FE292F">
        <w:rPr>
          <w:rStyle w:val="FootnoteReference"/>
          <w:rFonts w:ascii="Times New Roman" w:hAnsi="Times New Roman"/>
        </w:rPr>
        <w:footnoteRef/>
      </w:r>
      <w:r w:rsidRPr="00FE292F">
        <w:rPr>
          <w:rFonts w:ascii="Times New Roman" w:hAnsi="Times New Roman"/>
          <w:lang w:val="es-MX"/>
        </w:rPr>
        <w:t xml:space="preserve"> </w:t>
      </w:r>
      <w:r w:rsidRPr="00EF0E45">
        <w:rPr>
          <w:rFonts w:ascii="Times New Roman" w:hAnsi="Times New Roman"/>
          <w:sz w:val="16"/>
          <w:szCs w:val="16"/>
          <w:lang w:val="es-MX"/>
        </w:rPr>
        <w:t>La Unidad Nacional de Almacenamiento (UNA) ubicada en Portoviejo, uno de los centros de procesamiento y acopio de granos de mayor tamaño fue gravemente dañada: dos silos de capacidad de 5,000 quintales cada uno se destruyeron totalmente, y  la unidad para secar el maíz dejó de funcionar.</w:t>
      </w:r>
    </w:p>
  </w:footnote>
  <w:footnote w:id="68">
    <w:p w:rsidR="00406CAE" w:rsidRPr="00455FC7" w:rsidRDefault="00406CAE" w:rsidP="003C6A31">
      <w:pPr>
        <w:ind w:left="360" w:hanging="360"/>
        <w:jc w:val="both"/>
        <w:rPr>
          <w:rFonts w:ascii="Times New Roman" w:hAnsi="Times New Roman"/>
          <w:sz w:val="18"/>
          <w:lang w:val="es-EC"/>
        </w:rPr>
      </w:pPr>
      <w:r w:rsidRPr="00E52E3C">
        <w:rPr>
          <w:rStyle w:val="FootnoteReference"/>
          <w:rFonts w:cs="Arial"/>
          <w:sz w:val="18"/>
          <w:szCs w:val="18"/>
        </w:rPr>
        <w:footnoteRef/>
      </w:r>
      <w:r w:rsidRPr="00E52E3C">
        <w:rPr>
          <w:rFonts w:cs="Arial"/>
          <w:sz w:val="18"/>
          <w:szCs w:val="18"/>
          <w:lang w:val="es-EC"/>
        </w:rPr>
        <w:t xml:space="preserve"> </w:t>
      </w:r>
      <w:r>
        <w:rPr>
          <w:rFonts w:cs="Arial" w:hint="eastAsia"/>
          <w:sz w:val="18"/>
          <w:szCs w:val="18"/>
          <w:lang w:val="es-EC" w:eastAsia="ja-JP"/>
        </w:rPr>
        <w:tab/>
      </w:r>
      <w:r w:rsidRPr="00455FC7">
        <w:rPr>
          <w:rFonts w:ascii="Times New Roman" w:hAnsi="Times New Roman"/>
          <w:sz w:val="18"/>
          <w:lang w:val="es-EC"/>
        </w:rPr>
        <w:t xml:space="preserve">Forma parte del Índice de Gestión del Riesgo (IGR), El objetivo del IGR es la medición del desempeño o performance de la gestión del riesgo de desastres (GRD). Es una medición cuantitativa de la gestión con base en unos niveles preestablecidos (targets, o hitos) del nivel uno a cinco. El IGR incluyen: Identificación del riesgo (IR); Reducción del riesgo (RR); Manejo de desastres (MD); y Gobernabilidad y Protección financiera (PF). Ver el informe técnica: </w:t>
      </w:r>
      <w:hyperlink r:id="rId1" w:history="1">
        <w:r w:rsidRPr="00455FC7">
          <w:rPr>
            <w:rStyle w:val="Hyperlink"/>
            <w:rFonts w:ascii="Times New Roman" w:hAnsi="Times New Roman"/>
            <w:sz w:val="18"/>
            <w:lang w:val="es-EC"/>
          </w:rPr>
          <w:t>http://eird.org/pr14/cd/documentos/espanol/Publicacionesrelevantes/Documentosguiaglobales/BID-Metodologia-Indicadores.pdf</w:t>
        </w:r>
      </w:hyperlink>
    </w:p>
  </w:footnote>
  <w:footnote w:id="69">
    <w:p w:rsidR="00406CAE" w:rsidRPr="00455FC7" w:rsidRDefault="00406CAE" w:rsidP="003C6A31">
      <w:pPr>
        <w:pStyle w:val="FootnoteText"/>
        <w:ind w:left="360" w:hanging="360"/>
        <w:jc w:val="both"/>
        <w:rPr>
          <w:rFonts w:ascii="Times New Roman" w:hAnsi="Times New Roman"/>
          <w:sz w:val="18"/>
          <w:lang w:val="es-EC"/>
        </w:rPr>
      </w:pPr>
      <w:r w:rsidRPr="00455FC7">
        <w:rPr>
          <w:rStyle w:val="FootnoteReference"/>
          <w:rFonts w:ascii="Times New Roman" w:hAnsi="Times New Roman"/>
          <w:sz w:val="18"/>
        </w:rPr>
        <w:footnoteRef/>
      </w:r>
      <w:r w:rsidRPr="00455FC7">
        <w:rPr>
          <w:rFonts w:ascii="Times New Roman" w:hAnsi="Times New Roman"/>
          <w:sz w:val="18"/>
          <w:lang w:val="es-EC"/>
        </w:rPr>
        <w:t xml:space="preserve"> </w:t>
      </w:r>
      <w:r w:rsidRPr="00455FC7">
        <w:rPr>
          <w:rFonts w:ascii="Times New Roman" w:hAnsi="Times New Roman"/>
          <w:sz w:val="18"/>
          <w:lang w:val="es-EC"/>
        </w:rPr>
        <w:tab/>
        <w:t>Provisional presentado por el BID, en revisión por el País.</w:t>
      </w:r>
    </w:p>
  </w:footnote>
  <w:footnote w:id="70">
    <w:p w:rsidR="00406CAE" w:rsidRPr="00455FC7" w:rsidRDefault="00406CAE" w:rsidP="003C6A31">
      <w:pPr>
        <w:ind w:left="360" w:hanging="360"/>
        <w:jc w:val="both"/>
        <w:rPr>
          <w:rFonts w:ascii="Times New Roman" w:hAnsi="Times New Roman"/>
          <w:sz w:val="18"/>
          <w:lang w:val="es-EC"/>
        </w:rPr>
      </w:pPr>
      <w:r w:rsidRPr="00455FC7">
        <w:rPr>
          <w:rStyle w:val="FootnoteReference"/>
          <w:rFonts w:ascii="Times New Roman" w:hAnsi="Times New Roman"/>
          <w:sz w:val="18"/>
        </w:rPr>
        <w:footnoteRef/>
      </w:r>
      <w:r w:rsidRPr="00455FC7">
        <w:rPr>
          <w:rFonts w:ascii="Times New Roman" w:hAnsi="Times New Roman"/>
          <w:sz w:val="18"/>
          <w:lang w:val="es-EC"/>
        </w:rPr>
        <w:t xml:space="preserve"> </w:t>
      </w:r>
      <w:r w:rsidRPr="00455FC7">
        <w:rPr>
          <w:rFonts w:ascii="Times New Roman" w:hAnsi="Times New Roman"/>
          <w:sz w:val="18"/>
          <w:lang w:val="es-EC"/>
        </w:rPr>
        <w:tab/>
        <w:t xml:space="preserve">El IGR MD incluyen 6 sub-indicadores: MD1. Organización y coordinación de operaciones de emergencia; MD2. Planificación de la respuesta y sistemas de alerta; MD3. Dotación de equipos; MD4. Simulación, actualización y prueba; MD5. Preparación y capacitación comunitaria; MD6. Planificación para la rehabilitación y reconstrucción. Proyección o contribución del Programa: DM2: 3→4 </w:t>
      </w:r>
    </w:p>
  </w:footnote>
  <w:footnote w:id="71">
    <w:p w:rsidR="00406CAE" w:rsidRPr="00455FC7" w:rsidRDefault="00406CAE" w:rsidP="003C6A31">
      <w:pPr>
        <w:pStyle w:val="FootnoteText"/>
        <w:ind w:left="360" w:hanging="360"/>
        <w:jc w:val="both"/>
        <w:rPr>
          <w:rFonts w:ascii="Times New Roman" w:hAnsi="Times New Roman"/>
          <w:sz w:val="18"/>
          <w:lang w:val="es-EC"/>
        </w:rPr>
      </w:pPr>
      <w:r w:rsidRPr="00455FC7">
        <w:rPr>
          <w:rStyle w:val="FootnoteReference"/>
          <w:rFonts w:ascii="Times New Roman" w:hAnsi="Times New Roman"/>
          <w:sz w:val="18"/>
        </w:rPr>
        <w:footnoteRef/>
      </w:r>
      <w:r w:rsidRPr="00455FC7">
        <w:rPr>
          <w:rFonts w:ascii="Times New Roman" w:hAnsi="Times New Roman"/>
          <w:sz w:val="18"/>
          <w:lang w:val="es-EC"/>
        </w:rPr>
        <w:t xml:space="preserve"> </w:t>
      </w:r>
      <w:r w:rsidRPr="00455FC7">
        <w:rPr>
          <w:rFonts w:ascii="Times New Roman" w:hAnsi="Times New Roman"/>
          <w:sz w:val="18"/>
          <w:lang w:val="es-EC"/>
        </w:rPr>
        <w:tab/>
        <w:t xml:space="preserve">Forma parte del IGR. Ver nota de pie 1. </w:t>
      </w:r>
    </w:p>
  </w:footnote>
  <w:footnote w:id="72">
    <w:p w:rsidR="00406CAE" w:rsidRPr="00E52E3C" w:rsidRDefault="00406CAE" w:rsidP="003C6A31">
      <w:pPr>
        <w:pStyle w:val="FootnoteText"/>
        <w:ind w:left="360" w:hanging="360"/>
        <w:jc w:val="both"/>
        <w:rPr>
          <w:rFonts w:cs="Arial"/>
          <w:sz w:val="18"/>
          <w:szCs w:val="18"/>
          <w:lang w:val="es-EC"/>
        </w:rPr>
      </w:pPr>
      <w:r w:rsidRPr="00455FC7">
        <w:rPr>
          <w:rStyle w:val="FootnoteReference"/>
          <w:rFonts w:ascii="Times New Roman" w:hAnsi="Times New Roman"/>
          <w:sz w:val="18"/>
        </w:rPr>
        <w:footnoteRef/>
      </w:r>
      <w:r w:rsidRPr="00455FC7">
        <w:rPr>
          <w:rFonts w:ascii="Times New Roman" w:hAnsi="Times New Roman"/>
          <w:sz w:val="18"/>
          <w:lang w:val="es-EC"/>
        </w:rPr>
        <w:t xml:space="preserve"> </w:t>
      </w:r>
      <w:r w:rsidRPr="00455FC7">
        <w:rPr>
          <w:rFonts w:ascii="Times New Roman" w:hAnsi="Times New Roman"/>
          <w:sz w:val="18"/>
          <w:lang w:val="es-EC"/>
        </w:rPr>
        <w:tab/>
        <w:t>Ver nota de pie 2</w:t>
      </w:r>
    </w:p>
  </w:footnote>
  <w:footnote w:id="73">
    <w:p w:rsidR="00406CAE" w:rsidRPr="00455FC7" w:rsidRDefault="00406CAE" w:rsidP="003C6A31">
      <w:pPr>
        <w:pStyle w:val="FootnoteText"/>
        <w:ind w:left="360" w:hanging="360"/>
        <w:rPr>
          <w:sz w:val="16"/>
          <w:lang w:val="es-EC"/>
        </w:rPr>
      </w:pPr>
      <w:r w:rsidRPr="00455FC7">
        <w:rPr>
          <w:rStyle w:val="FootnoteReference"/>
          <w:rFonts w:ascii="Times New Roman" w:hAnsi="Times New Roman"/>
          <w:sz w:val="18"/>
        </w:rPr>
        <w:footnoteRef/>
      </w:r>
      <w:r w:rsidRPr="00E52E3C">
        <w:rPr>
          <w:rFonts w:cs="Arial"/>
          <w:sz w:val="18"/>
          <w:szCs w:val="18"/>
          <w:lang w:val="es-EC"/>
        </w:rPr>
        <w:t xml:space="preserve"> </w:t>
      </w:r>
      <w:r>
        <w:rPr>
          <w:rFonts w:cs="Arial" w:hint="eastAsia"/>
          <w:sz w:val="18"/>
          <w:szCs w:val="18"/>
          <w:lang w:val="es-EC" w:eastAsia="ja-JP"/>
        </w:rPr>
        <w:tab/>
      </w:r>
      <w:r w:rsidRPr="00455FC7">
        <w:rPr>
          <w:rFonts w:ascii="Times New Roman" w:hAnsi="Times New Roman"/>
          <w:sz w:val="16"/>
          <w:lang w:val="es-EC"/>
        </w:rPr>
        <w:t>El IGR IR incluyen 6 sub-indicadores: IR1. Inventario sistemático de desastres; IR2. Monitoreo de amenazas y pronóstico; IR3. Mapa de amenazas. IR4. Evaluación de vulnerabilidad y riesgo. IR5. Información pública y participación comunitaria. IR6. Capacitación y educación. Proyección o contribución del Programa: IR3: 3→4</w:t>
      </w:r>
      <w:r w:rsidRPr="00455FC7">
        <w:rPr>
          <w:sz w:val="16"/>
          <w:lang w:val="es-EC"/>
        </w:rPr>
        <w:t xml:space="preserve"> </w:t>
      </w:r>
    </w:p>
  </w:footnote>
  <w:footnote w:id="74">
    <w:p w:rsidR="00406CAE" w:rsidRPr="00455FC7" w:rsidRDefault="00406CAE" w:rsidP="003C6A31">
      <w:pPr>
        <w:pStyle w:val="FootnoteText"/>
        <w:ind w:left="360" w:hanging="360"/>
        <w:jc w:val="both"/>
        <w:rPr>
          <w:rFonts w:ascii="Times New Roman" w:hAnsi="Times New Roman"/>
          <w:sz w:val="18"/>
          <w:lang w:val="es-EC"/>
        </w:rPr>
      </w:pPr>
      <w:r w:rsidRPr="00455FC7">
        <w:rPr>
          <w:rStyle w:val="FootnoteReference"/>
          <w:rFonts w:ascii="Times New Roman" w:hAnsi="Times New Roman"/>
          <w:sz w:val="18"/>
        </w:rPr>
        <w:footnoteRef/>
      </w:r>
      <w:r w:rsidRPr="00455FC7">
        <w:rPr>
          <w:rFonts w:ascii="Times New Roman" w:hAnsi="Times New Roman"/>
          <w:sz w:val="18"/>
          <w:lang w:val="es-EC"/>
        </w:rPr>
        <w:t xml:space="preserve"> </w:t>
      </w:r>
      <w:r w:rsidRPr="00455FC7">
        <w:rPr>
          <w:rFonts w:ascii="Times New Roman" w:hAnsi="Times New Roman"/>
          <w:sz w:val="18"/>
          <w:lang w:val="es-EC"/>
        </w:rPr>
        <w:tab/>
      </w:r>
      <w:r w:rsidRPr="00455FC7">
        <w:rPr>
          <w:rFonts w:ascii="Times New Roman" w:hAnsi="Times New Roman"/>
          <w:sz w:val="16"/>
          <w:lang w:val="es-EC"/>
        </w:rPr>
        <w:t xml:space="preserve">El acceso al SAT por parte de la población expuesta, consiste en que dicha población pueda beneficiarse, en caso de un desastre, de un SAT que cuente con los tres elementos operando de manera articulada (Ver el POD </w:t>
      </w:r>
      <w:r w:rsidRPr="00455FC7">
        <w:rPr>
          <w:rFonts w:ascii="Times New Roman" w:hAnsi="Times New Roman"/>
          <w:sz w:val="16"/>
          <w:lang w:val="es-ES_tradnl"/>
        </w:rPr>
        <w:t>¶1.7</w:t>
      </w:r>
      <w:r w:rsidRPr="00455FC7">
        <w:rPr>
          <w:rFonts w:ascii="Times New Roman" w:hAnsi="Times New Roman"/>
          <w:sz w:val="16"/>
          <w:lang w:val="es-EC"/>
        </w:rPr>
        <w:t xml:space="preserve">). En el caso de Tsunamis, el SAT involucra el monitoreo de amenazas por parte del IG-EPN, el análisis de la probabilidad de ocurrencia de Tsunamis por parte del INOCAR, la toma de decisiones para la activación del SAT por parte de la SGR; la comunicación de la alerta a la comunidad, a través de las sirenas comunitarias de ECU-911 y otros medios de comunicación; la garantía de contar con los canales de comunicación necesarios entre las instituciones y los socorristas y las acciones preparativas y de capacitación necesarias para la comunidad por parte de la SGR. </w:t>
      </w:r>
    </w:p>
  </w:footnote>
  <w:footnote w:id="75">
    <w:p w:rsidR="00406CAE" w:rsidRPr="00455FC7" w:rsidRDefault="00406CAE" w:rsidP="003C6A31">
      <w:pPr>
        <w:pStyle w:val="FootnoteText"/>
        <w:ind w:left="360" w:hanging="360"/>
        <w:jc w:val="both"/>
        <w:rPr>
          <w:rFonts w:ascii="Times New Roman" w:hAnsi="Times New Roman"/>
          <w:sz w:val="18"/>
          <w:lang w:val="es-EC"/>
        </w:rPr>
      </w:pPr>
      <w:r w:rsidRPr="00455FC7">
        <w:rPr>
          <w:rStyle w:val="FootnoteReference"/>
          <w:rFonts w:ascii="Times New Roman" w:hAnsi="Times New Roman"/>
          <w:sz w:val="18"/>
        </w:rPr>
        <w:footnoteRef/>
      </w:r>
      <w:r w:rsidRPr="00455FC7">
        <w:rPr>
          <w:rFonts w:ascii="Times New Roman" w:hAnsi="Times New Roman"/>
          <w:sz w:val="18"/>
          <w:lang w:val="es-EC"/>
        </w:rPr>
        <w:t xml:space="preserve"> </w:t>
      </w:r>
      <w:r w:rsidRPr="00455FC7">
        <w:rPr>
          <w:rFonts w:ascii="Times New Roman" w:hAnsi="Times New Roman"/>
          <w:sz w:val="18"/>
          <w:lang w:val="es-EC"/>
        </w:rPr>
        <w:tab/>
        <w:t xml:space="preserve">Ver nota de pie 8. En el caso de desbordamiento de ríos, el SAT involucra, en vez de IG-EPN y INOCAR (observatorios sísmicos y tunamigenico), los elementos del monitoreo hidrometeorológico a cargo del INAMHI. Las funciones de SGR y ECU-911 son las mismas del caso de tsunamis. </w:t>
      </w:r>
    </w:p>
    <w:p w:rsidR="00406CAE" w:rsidRPr="00E52E3C" w:rsidRDefault="00406CAE" w:rsidP="003C6A31">
      <w:pPr>
        <w:pStyle w:val="FootnoteText"/>
        <w:rPr>
          <w:rFonts w:cs="Arial"/>
          <w:sz w:val="18"/>
          <w:szCs w:val="18"/>
          <w:lang w:val="es-EC"/>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CAE" w:rsidRDefault="00406C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D42BE8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2B4A89"/>
    <w:multiLevelType w:val="hybridMultilevel"/>
    <w:tmpl w:val="8708B572"/>
    <w:lvl w:ilvl="0" w:tplc="7ED64E2C">
      <w:start w:val="1"/>
      <w:numFmt w:val="bullet"/>
      <w:lvlText w:val=""/>
      <w:lvlJc w:val="left"/>
      <w:pPr>
        <w:ind w:left="1438" w:hanging="360"/>
      </w:pPr>
      <w:rPr>
        <w:rFonts w:ascii="Wingdings" w:hAnsi="Wingdings" w:hint="default"/>
      </w:rPr>
    </w:lvl>
    <w:lvl w:ilvl="1" w:tplc="78AA940C">
      <w:numFmt w:val="bullet"/>
      <w:lvlText w:val="•"/>
      <w:lvlJc w:val="left"/>
      <w:pPr>
        <w:ind w:left="2158" w:hanging="360"/>
      </w:pPr>
      <w:rPr>
        <w:rFonts w:ascii="Times New Roman" w:eastAsia="Times New Roman" w:hAnsi="Times New Roman" w:cs="Times New Roman" w:hint="default"/>
      </w:rPr>
    </w:lvl>
    <w:lvl w:ilvl="2" w:tplc="2C0A0005" w:tentative="1">
      <w:start w:val="1"/>
      <w:numFmt w:val="bullet"/>
      <w:lvlText w:val=""/>
      <w:lvlJc w:val="left"/>
      <w:pPr>
        <w:ind w:left="2878" w:hanging="360"/>
      </w:pPr>
      <w:rPr>
        <w:rFonts w:ascii="Wingdings" w:hAnsi="Wingdings" w:hint="default"/>
      </w:rPr>
    </w:lvl>
    <w:lvl w:ilvl="3" w:tplc="2C0A0001" w:tentative="1">
      <w:start w:val="1"/>
      <w:numFmt w:val="bullet"/>
      <w:lvlText w:val=""/>
      <w:lvlJc w:val="left"/>
      <w:pPr>
        <w:ind w:left="3598" w:hanging="360"/>
      </w:pPr>
      <w:rPr>
        <w:rFonts w:ascii="Symbol" w:hAnsi="Symbol" w:hint="default"/>
      </w:rPr>
    </w:lvl>
    <w:lvl w:ilvl="4" w:tplc="2C0A0003" w:tentative="1">
      <w:start w:val="1"/>
      <w:numFmt w:val="bullet"/>
      <w:lvlText w:val="o"/>
      <w:lvlJc w:val="left"/>
      <w:pPr>
        <w:ind w:left="4318" w:hanging="360"/>
      </w:pPr>
      <w:rPr>
        <w:rFonts w:ascii="Courier New" w:hAnsi="Courier New" w:cs="Courier New" w:hint="default"/>
      </w:rPr>
    </w:lvl>
    <w:lvl w:ilvl="5" w:tplc="2C0A0005" w:tentative="1">
      <w:start w:val="1"/>
      <w:numFmt w:val="bullet"/>
      <w:lvlText w:val=""/>
      <w:lvlJc w:val="left"/>
      <w:pPr>
        <w:ind w:left="5038" w:hanging="360"/>
      </w:pPr>
      <w:rPr>
        <w:rFonts w:ascii="Wingdings" w:hAnsi="Wingdings" w:hint="default"/>
      </w:rPr>
    </w:lvl>
    <w:lvl w:ilvl="6" w:tplc="2C0A0001" w:tentative="1">
      <w:start w:val="1"/>
      <w:numFmt w:val="bullet"/>
      <w:lvlText w:val=""/>
      <w:lvlJc w:val="left"/>
      <w:pPr>
        <w:ind w:left="5758" w:hanging="360"/>
      </w:pPr>
      <w:rPr>
        <w:rFonts w:ascii="Symbol" w:hAnsi="Symbol" w:hint="default"/>
      </w:rPr>
    </w:lvl>
    <w:lvl w:ilvl="7" w:tplc="2C0A0003" w:tentative="1">
      <w:start w:val="1"/>
      <w:numFmt w:val="bullet"/>
      <w:lvlText w:val="o"/>
      <w:lvlJc w:val="left"/>
      <w:pPr>
        <w:ind w:left="6478" w:hanging="360"/>
      </w:pPr>
      <w:rPr>
        <w:rFonts w:ascii="Courier New" w:hAnsi="Courier New" w:cs="Courier New" w:hint="default"/>
      </w:rPr>
    </w:lvl>
    <w:lvl w:ilvl="8" w:tplc="2C0A0005" w:tentative="1">
      <w:start w:val="1"/>
      <w:numFmt w:val="bullet"/>
      <w:lvlText w:val=""/>
      <w:lvlJc w:val="left"/>
      <w:pPr>
        <w:ind w:left="7198" w:hanging="360"/>
      </w:pPr>
      <w:rPr>
        <w:rFonts w:ascii="Wingdings" w:hAnsi="Wingdings" w:hint="default"/>
      </w:rPr>
    </w:lvl>
  </w:abstractNum>
  <w:abstractNum w:abstractNumId="2">
    <w:nsid w:val="04FA23BF"/>
    <w:multiLevelType w:val="multilevel"/>
    <w:tmpl w:val="796CCA1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9F3020"/>
    <w:multiLevelType w:val="multilevel"/>
    <w:tmpl w:val="31725D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rPr>
        <w:rFonts w:hint="default"/>
        <w:b w:val="0"/>
        <w:i/>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6D975FD"/>
    <w:multiLevelType w:val="hybridMultilevel"/>
    <w:tmpl w:val="FBFECF8E"/>
    <w:lvl w:ilvl="0" w:tplc="04090005">
      <w:start w:val="1"/>
      <w:numFmt w:val="bullet"/>
      <w:lvlText w:val=""/>
      <w:lvlJc w:val="left"/>
      <w:pPr>
        <w:ind w:left="643"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DAB7FC9"/>
    <w:multiLevelType w:val="multilevel"/>
    <w:tmpl w:val="E6225EE2"/>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810"/>
        </w:tabs>
        <w:ind w:left="810" w:hanging="720"/>
      </w:pPr>
      <w:rPr>
        <w:b w:val="0"/>
        <w:lang w:val="es-ES_tradnl"/>
      </w:r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6">
    <w:nsid w:val="0E726948"/>
    <w:multiLevelType w:val="multilevel"/>
    <w:tmpl w:val="31725D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rPr>
        <w:rFonts w:hint="default"/>
        <w:b w:val="0"/>
        <w:i/>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5C0265D"/>
    <w:multiLevelType w:val="multilevel"/>
    <w:tmpl w:val="4188624E"/>
    <w:lvl w:ilvl="0">
      <w:start w:val="2"/>
      <w:numFmt w:val="decimal"/>
      <w:lvlText w:val="%1"/>
      <w:lvlJc w:val="left"/>
      <w:pPr>
        <w:tabs>
          <w:tab w:val="num" w:pos="432"/>
        </w:tabs>
        <w:ind w:left="432" w:hanging="432"/>
      </w:pPr>
      <w:rPr>
        <w:rFonts w:hint="default"/>
      </w:rPr>
    </w:lvl>
    <w:lvl w:ilvl="1">
      <w:start w:val="51"/>
      <w:numFmt w:val="decimal"/>
      <w:lvlText w:val="%1.%2"/>
      <w:lvlJc w:val="left"/>
      <w:pPr>
        <w:tabs>
          <w:tab w:val="num" w:pos="718"/>
        </w:tabs>
        <w:ind w:left="718" w:hanging="576"/>
      </w:pPr>
      <w:rPr>
        <w:rFonts w:hint="default"/>
        <w:b w:val="0"/>
        <w:i/>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72942B8"/>
    <w:multiLevelType w:val="multilevel"/>
    <w:tmpl w:val="B61837C8"/>
    <w:lvl w:ilvl="0">
      <w:start w:val="1"/>
      <w:numFmt w:val="decimal"/>
      <w:lvlText w:val="%1"/>
      <w:lvlJc w:val="left"/>
      <w:pPr>
        <w:tabs>
          <w:tab w:val="num" w:pos="432"/>
        </w:tabs>
        <w:ind w:left="432" w:hanging="432"/>
      </w:pPr>
      <w:rPr>
        <w:rFonts w:hint="default"/>
      </w:rPr>
    </w:lvl>
    <w:lvl w:ilvl="1">
      <w:start w:val="1"/>
      <w:numFmt w:val="bullet"/>
      <w:lvlText w:val=""/>
      <w:lvlJc w:val="left"/>
      <w:pPr>
        <w:tabs>
          <w:tab w:val="num" w:pos="718"/>
        </w:tabs>
        <w:ind w:left="718" w:hanging="576"/>
      </w:pPr>
      <w:rPr>
        <w:rFonts w:ascii="Wingdings" w:hAnsi="Wingdings" w:hint="default"/>
        <w:b w:val="0"/>
        <w:i/>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07E03F1"/>
    <w:multiLevelType w:val="multilevel"/>
    <w:tmpl w:val="3D60DFAC"/>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rPr>
        <w:rFonts w:ascii="Times New Roman" w:hAnsi="Times New Roman" w:cs="Times New Roman"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DB21299"/>
    <w:multiLevelType w:val="multilevel"/>
    <w:tmpl w:val="8D126CE0"/>
    <w:lvl w:ilvl="0">
      <w:start w:val="1"/>
      <w:numFmt w:val="upperRoman"/>
      <w:lvlText w:val="%1."/>
      <w:lvlJc w:val="center"/>
      <w:pPr>
        <w:tabs>
          <w:tab w:val="num" w:pos="648"/>
        </w:tabs>
        <w:ind w:left="144" w:firstLine="144"/>
      </w:pPr>
      <w:rPr>
        <w:rFonts w:hint="default"/>
        <w:b/>
        <w:i w:val="0"/>
        <w:sz w:val="24"/>
      </w:rPr>
    </w:lvl>
    <w:lvl w:ilvl="1">
      <w:start w:val="1"/>
      <w:numFmt w:val="decimal"/>
      <w:pStyle w:val="SecHeading"/>
      <w:lvlText w:val="2.%2"/>
      <w:lvlJc w:val="left"/>
      <w:pPr>
        <w:tabs>
          <w:tab w:val="num" w:pos="1440"/>
        </w:tabs>
        <w:ind w:left="810" w:hanging="9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0"/>
        <w:u w:val="none"/>
        <w:vertAlign w:val="baseline"/>
        <w:em w:val="none"/>
        <w:lang w:val="es-ES"/>
      </w:rPr>
    </w:lvl>
    <w:lvl w:ilvl="2">
      <w:start w:val="1"/>
      <w:numFmt w:val="decimal"/>
      <w:lvlText w:val="%3."/>
      <w:lvlJc w:val="left"/>
      <w:pPr>
        <w:tabs>
          <w:tab w:val="num" w:pos="2880"/>
        </w:tabs>
        <w:ind w:left="1152" w:firstLine="288"/>
      </w:pPr>
      <w:rPr>
        <w:rFonts w:hint="default"/>
      </w:rPr>
    </w:lvl>
    <w:lvl w:ilvl="3">
      <w:start w:val="1"/>
      <w:numFmt w:val="decimal"/>
      <w:lvlRestart w:val="1"/>
      <w:lvlText w:val="1.%4."/>
      <w:lvlJc w:val="right"/>
      <w:pPr>
        <w:tabs>
          <w:tab w:val="num" w:pos="0"/>
        </w:tabs>
        <w:ind w:left="1440" w:hanging="1440"/>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1">
    <w:nsid w:val="483901DE"/>
    <w:multiLevelType w:val="hybridMultilevel"/>
    <w:tmpl w:val="9B1E7CF6"/>
    <w:lvl w:ilvl="0" w:tplc="2C0A000D">
      <w:start w:val="1"/>
      <w:numFmt w:val="bullet"/>
      <w:lvlText w:val=""/>
      <w:lvlJc w:val="left"/>
      <w:pPr>
        <w:ind w:left="720" w:hanging="360"/>
      </w:pPr>
      <w:rPr>
        <w:rFonts w:ascii="Wingdings" w:hAnsi="Wingdings" w:hint="default"/>
      </w:rPr>
    </w:lvl>
    <w:lvl w:ilvl="1" w:tplc="2C0A000D">
      <w:start w:val="1"/>
      <w:numFmt w:val="bullet"/>
      <w:lvlText w:val=""/>
      <w:lvlJc w:val="left"/>
      <w:pPr>
        <w:ind w:left="1440" w:hanging="360"/>
      </w:pPr>
      <w:rPr>
        <w:rFonts w:ascii="Wingdings" w:hAnsi="Wingdings"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49DA69BE"/>
    <w:multiLevelType w:val="multilevel"/>
    <w:tmpl w:val="CFB8842A"/>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rPr>
        <w:rFonts w:hint="default"/>
        <w:b w:val="0"/>
        <w:i/>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4ADA5B92"/>
    <w:multiLevelType w:val="multilevel"/>
    <w:tmpl w:val="F0E2BAAE"/>
    <w:lvl w:ilvl="0">
      <w:start w:val="1"/>
      <w:numFmt w:val="decimal"/>
      <w:pStyle w:val="SPLAP1"/>
      <w:lvlText w:val="%1."/>
      <w:lvlJc w:val="left"/>
      <w:pPr>
        <w:tabs>
          <w:tab w:val="num" w:pos="360"/>
        </w:tabs>
        <w:ind w:left="360" w:hanging="360"/>
      </w:pPr>
      <w:rPr>
        <w:rFonts w:ascii="Arial" w:hAnsi="Arial" w:hint="default"/>
        <w:b/>
      </w:rPr>
    </w:lvl>
    <w:lvl w:ilvl="1">
      <w:start w:val="1"/>
      <w:numFmt w:val="decimal"/>
      <w:pStyle w:val="SPLAP2"/>
      <w:lvlText w:val="%1.%2."/>
      <w:lvlJc w:val="left"/>
      <w:pPr>
        <w:tabs>
          <w:tab w:val="num" w:pos="720"/>
        </w:tabs>
        <w:ind w:left="432" w:hanging="432"/>
      </w:pPr>
      <w:rPr>
        <w:rFonts w:hint="default"/>
      </w:rPr>
    </w:lvl>
    <w:lvl w:ilvl="2">
      <w:start w:val="1"/>
      <w:numFmt w:val="decimal"/>
      <w:pStyle w:val="SPLAP3"/>
      <w:lvlText w:val="%1.%2.%3."/>
      <w:lvlJc w:val="left"/>
      <w:pPr>
        <w:tabs>
          <w:tab w:val="num" w:pos="2139"/>
        </w:tabs>
        <w:ind w:left="1923"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4B1F31DF"/>
    <w:multiLevelType w:val="multilevel"/>
    <w:tmpl w:val="31725D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rPr>
        <w:rFonts w:hint="default"/>
        <w:b w:val="0"/>
        <w:i/>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4CD7187D"/>
    <w:multiLevelType w:val="multilevel"/>
    <w:tmpl w:val="31725D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rPr>
        <w:rFonts w:hint="default"/>
        <w:b w:val="0"/>
        <w:i/>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65E2A50"/>
    <w:multiLevelType w:val="multilevel"/>
    <w:tmpl w:val="D0F60484"/>
    <w:lvl w:ilvl="0">
      <w:start w:val="1"/>
      <w:numFmt w:val="upperRoman"/>
      <w:lvlText w:val="%1."/>
      <w:lvlJc w:val="righ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5ED721FC"/>
    <w:multiLevelType w:val="multilevel"/>
    <w:tmpl w:val="31725D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rPr>
        <w:rFonts w:hint="default"/>
        <w:b w:val="0"/>
        <w:i/>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609E579B"/>
    <w:multiLevelType w:val="multilevel"/>
    <w:tmpl w:val="31725D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rPr>
        <w:rFonts w:hint="default"/>
        <w:b w:val="0"/>
        <w:i/>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69B1FA6"/>
    <w:multiLevelType w:val="multilevel"/>
    <w:tmpl w:val="31725D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rPr>
        <w:rFonts w:hint="default"/>
        <w:b w:val="0"/>
        <w:i/>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A923CAB"/>
    <w:multiLevelType w:val="hybridMultilevel"/>
    <w:tmpl w:val="2B282954"/>
    <w:lvl w:ilvl="0" w:tplc="083E94D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190B5D"/>
    <w:multiLevelType w:val="hybridMultilevel"/>
    <w:tmpl w:val="2EBE8A7E"/>
    <w:lvl w:ilvl="0" w:tplc="46327E00">
      <w:numFmt w:val="bullet"/>
      <w:lvlText w:val=""/>
      <w:lvlJc w:val="left"/>
      <w:pPr>
        <w:ind w:left="720" w:hanging="360"/>
      </w:pPr>
      <w:rPr>
        <w:rFonts w:ascii="Symbol" w:eastAsia="Calibri" w:hAnsi="Symbol" w:cs="Arial" w:hint="default"/>
      </w:rPr>
    </w:lvl>
    <w:lvl w:ilvl="1" w:tplc="5A445A96">
      <w:start w:val="1"/>
      <w:numFmt w:val="bullet"/>
      <w:lvlText w:val="o"/>
      <w:lvlJc w:val="left"/>
      <w:pPr>
        <w:ind w:left="1440" w:hanging="360"/>
      </w:pPr>
      <w:rPr>
        <w:rFonts w:ascii="Courier New" w:hAnsi="Courier New" w:cs="Courier New" w:hint="default"/>
      </w:rPr>
    </w:lvl>
    <w:lvl w:ilvl="2" w:tplc="C91E1436">
      <w:start w:val="1"/>
      <w:numFmt w:val="bullet"/>
      <w:lvlText w:val=""/>
      <w:lvlJc w:val="left"/>
      <w:pPr>
        <w:ind w:left="2160" w:hanging="360"/>
      </w:pPr>
      <w:rPr>
        <w:rFonts w:ascii="Wingdings" w:hAnsi="Wingdings" w:hint="default"/>
      </w:rPr>
    </w:lvl>
    <w:lvl w:ilvl="3" w:tplc="C91A5DD8">
      <w:start w:val="1"/>
      <w:numFmt w:val="bullet"/>
      <w:lvlText w:val=""/>
      <w:lvlJc w:val="left"/>
      <w:pPr>
        <w:ind w:left="2880" w:hanging="360"/>
      </w:pPr>
      <w:rPr>
        <w:rFonts w:ascii="Symbol" w:hAnsi="Symbol" w:hint="default"/>
      </w:rPr>
    </w:lvl>
    <w:lvl w:ilvl="4" w:tplc="9942177A">
      <w:start w:val="1"/>
      <w:numFmt w:val="bullet"/>
      <w:lvlText w:val="o"/>
      <w:lvlJc w:val="left"/>
      <w:pPr>
        <w:ind w:left="3600" w:hanging="360"/>
      </w:pPr>
      <w:rPr>
        <w:rFonts w:ascii="Courier New" w:hAnsi="Courier New" w:cs="Courier New" w:hint="default"/>
      </w:rPr>
    </w:lvl>
    <w:lvl w:ilvl="5" w:tplc="027A48D4">
      <w:start w:val="1"/>
      <w:numFmt w:val="bullet"/>
      <w:lvlText w:val=""/>
      <w:lvlJc w:val="left"/>
      <w:pPr>
        <w:ind w:left="4320" w:hanging="360"/>
      </w:pPr>
      <w:rPr>
        <w:rFonts w:ascii="Wingdings" w:hAnsi="Wingdings" w:hint="default"/>
      </w:rPr>
    </w:lvl>
    <w:lvl w:ilvl="6" w:tplc="5DAE353C">
      <w:start w:val="1"/>
      <w:numFmt w:val="bullet"/>
      <w:lvlText w:val=""/>
      <w:lvlJc w:val="left"/>
      <w:pPr>
        <w:ind w:left="5040" w:hanging="360"/>
      </w:pPr>
      <w:rPr>
        <w:rFonts w:ascii="Symbol" w:hAnsi="Symbol" w:hint="default"/>
      </w:rPr>
    </w:lvl>
    <w:lvl w:ilvl="7" w:tplc="CFE63B1E">
      <w:start w:val="1"/>
      <w:numFmt w:val="bullet"/>
      <w:lvlText w:val="o"/>
      <w:lvlJc w:val="left"/>
      <w:pPr>
        <w:ind w:left="5760" w:hanging="360"/>
      </w:pPr>
      <w:rPr>
        <w:rFonts w:ascii="Courier New" w:hAnsi="Courier New" w:cs="Courier New" w:hint="default"/>
      </w:rPr>
    </w:lvl>
    <w:lvl w:ilvl="8" w:tplc="40880FCE">
      <w:start w:val="1"/>
      <w:numFmt w:val="bullet"/>
      <w:lvlText w:val=""/>
      <w:lvlJc w:val="left"/>
      <w:pPr>
        <w:ind w:left="6480" w:hanging="360"/>
      </w:pPr>
      <w:rPr>
        <w:rFonts w:ascii="Wingdings" w:hAnsi="Wingdings" w:hint="default"/>
      </w:rPr>
    </w:lvl>
  </w:abstractNum>
  <w:abstractNum w:abstractNumId="22">
    <w:nsid w:val="75B037B3"/>
    <w:multiLevelType w:val="hybridMultilevel"/>
    <w:tmpl w:val="FB081E9A"/>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3">
    <w:nsid w:val="77FF4E98"/>
    <w:multiLevelType w:val="hybridMultilevel"/>
    <w:tmpl w:val="ECF2BAD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nsid w:val="7F0A0837"/>
    <w:multiLevelType w:val="hybridMultilevel"/>
    <w:tmpl w:val="21C4A5DA"/>
    <w:lvl w:ilvl="0" w:tplc="2C0A0019">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3"/>
  </w:num>
  <w:num w:numId="2">
    <w:abstractNumId w:val="10"/>
  </w:num>
  <w:num w:numId="3">
    <w:abstractNumId w:val="0"/>
  </w:num>
  <w:num w:numId="4">
    <w:abstractNumId w:val="5"/>
  </w:num>
  <w:num w:numId="5">
    <w:abstractNumId w:val="24"/>
  </w:num>
  <w:num w:numId="6">
    <w:abstractNumId w:val="2"/>
  </w:num>
  <w:num w:numId="7">
    <w:abstractNumId w:val="16"/>
  </w:num>
  <w:num w:numId="8">
    <w:abstractNumId w:val="9"/>
  </w:num>
  <w:num w:numId="9">
    <w:abstractNumId w:val="4"/>
  </w:num>
  <w:num w:numId="10">
    <w:abstractNumId w:val="22"/>
  </w:num>
  <w:num w:numId="11">
    <w:abstractNumId w:val="21"/>
  </w:num>
  <w:num w:numId="12">
    <w:abstractNumId w:val="14"/>
  </w:num>
  <w:num w:numId="13">
    <w:abstractNumId w:val="1"/>
  </w:num>
  <w:num w:numId="14">
    <w:abstractNumId w:val="8"/>
  </w:num>
  <w:num w:numId="15">
    <w:abstractNumId w:val="11"/>
  </w:num>
  <w:num w:numId="16">
    <w:abstractNumId w:val="23"/>
  </w:num>
  <w:num w:numId="17">
    <w:abstractNumId w:val="17"/>
  </w:num>
  <w:num w:numId="18">
    <w:abstractNumId w:val="6"/>
  </w:num>
  <w:num w:numId="19">
    <w:abstractNumId w:val="18"/>
  </w:num>
  <w:num w:numId="20">
    <w:abstractNumId w:val="15"/>
  </w:num>
  <w:num w:numId="21">
    <w:abstractNumId w:val="3"/>
  </w:num>
  <w:num w:numId="22">
    <w:abstractNumId w:val="19"/>
  </w:num>
  <w:num w:numId="23">
    <w:abstractNumId w:val="20"/>
  </w:num>
  <w:num w:numId="24">
    <w:abstractNumId w:val="7"/>
  </w:num>
  <w:num w:numId="25">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63F"/>
    <w:rsid w:val="0000030D"/>
    <w:rsid w:val="000016E0"/>
    <w:rsid w:val="000021F9"/>
    <w:rsid w:val="00002849"/>
    <w:rsid w:val="000029A7"/>
    <w:rsid w:val="00002C29"/>
    <w:rsid w:val="00002E81"/>
    <w:rsid w:val="000035A6"/>
    <w:rsid w:val="000053E2"/>
    <w:rsid w:val="00005881"/>
    <w:rsid w:val="00006BC3"/>
    <w:rsid w:val="0000706E"/>
    <w:rsid w:val="000075F0"/>
    <w:rsid w:val="00007D91"/>
    <w:rsid w:val="00010753"/>
    <w:rsid w:val="0001111C"/>
    <w:rsid w:val="00012304"/>
    <w:rsid w:val="000131F0"/>
    <w:rsid w:val="00013257"/>
    <w:rsid w:val="00013702"/>
    <w:rsid w:val="00013786"/>
    <w:rsid w:val="00014C1A"/>
    <w:rsid w:val="0001557A"/>
    <w:rsid w:val="000161D6"/>
    <w:rsid w:val="00017171"/>
    <w:rsid w:val="00017400"/>
    <w:rsid w:val="000178B8"/>
    <w:rsid w:val="00017ADA"/>
    <w:rsid w:val="00017F25"/>
    <w:rsid w:val="00017F36"/>
    <w:rsid w:val="0002056A"/>
    <w:rsid w:val="00020B70"/>
    <w:rsid w:val="00020E2F"/>
    <w:rsid w:val="00021B5A"/>
    <w:rsid w:val="00021C84"/>
    <w:rsid w:val="000227D3"/>
    <w:rsid w:val="00022973"/>
    <w:rsid w:val="00022D68"/>
    <w:rsid w:val="000231BB"/>
    <w:rsid w:val="00023DBC"/>
    <w:rsid w:val="00024AD8"/>
    <w:rsid w:val="0002543B"/>
    <w:rsid w:val="00025B27"/>
    <w:rsid w:val="0002653F"/>
    <w:rsid w:val="00026908"/>
    <w:rsid w:val="00026B44"/>
    <w:rsid w:val="00027CC7"/>
    <w:rsid w:val="00031571"/>
    <w:rsid w:val="000318F6"/>
    <w:rsid w:val="000327A2"/>
    <w:rsid w:val="00033C06"/>
    <w:rsid w:val="00033F9D"/>
    <w:rsid w:val="00034B51"/>
    <w:rsid w:val="00035B2A"/>
    <w:rsid w:val="00040278"/>
    <w:rsid w:val="000402AC"/>
    <w:rsid w:val="00040491"/>
    <w:rsid w:val="00041F10"/>
    <w:rsid w:val="00042BC0"/>
    <w:rsid w:val="000435B8"/>
    <w:rsid w:val="000439FC"/>
    <w:rsid w:val="00043B54"/>
    <w:rsid w:val="00044543"/>
    <w:rsid w:val="000453CC"/>
    <w:rsid w:val="0004679F"/>
    <w:rsid w:val="00046C03"/>
    <w:rsid w:val="00046E2C"/>
    <w:rsid w:val="00046EFF"/>
    <w:rsid w:val="0004749C"/>
    <w:rsid w:val="000477C2"/>
    <w:rsid w:val="000511E7"/>
    <w:rsid w:val="000513F8"/>
    <w:rsid w:val="00051578"/>
    <w:rsid w:val="00052CA6"/>
    <w:rsid w:val="00053CE0"/>
    <w:rsid w:val="00053EE5"/>
    <w:rsid w:val="00054DB8"/>
    <w:rsid w:val="00055DFD"/>
    <w:rsid w:val="000601E6"/>
    <w:rsid w:val="00060771"/>
    <w:rsid w:val="00060C88"/>
    <w:rsid w:val="00061ED6"/>
    <w:rsid w:val="00061F89"/>
    <w:rsid w:val="00062F1C"/>
    <w:rsid w:val="000638A9"/>
    <w:rsid w:val="00064134"/>
    <w:rsid w:val="00064C7B"/>
    <w:rsid w:val="000661C0"/>
    <w:rsid w:val="00066AD5"/>
    <w:rsid w:val="00067076"/>
    <w:rsid w:val="00067AB6"/>
    <w:rsid w:val="00070A12"/>
    <w:rsid w:val="000710EE"/>
    <w:rsid w:val="00071E16"/>
    <w:rsid w:val="00071E19"/>
    <w:rsid w:val="00072D25"/>
    <w:rsid w:val="00073033"/>
    <w:rsid w:val="00073229"/>
    <w:rsid w:val="00073269"/>
    <w:rsid w:val="00073D80"/>
    <w:rsid w:val="00073ECC"/>
    <w:rsid w:val="00073F69"/>
    <w:rsid w:val="0007544D"/>
    <w:rsid w:val="00075515"/>
    <w:rsid w:val="00075E3F"/>
    <w:rsid w:val="0007612E"/>
    <w:rsid w:val="000761C7"/>
    <w:rsid w:val="0007638B"/>
    <w:rsid w:val="000769BA"/>
    <w:rsid w:val="00076A4A"/>
    <w:rsid w:val="00076F57"/>
    <w:rsid w:val="000806B9"/>
    <w:rsid w:val="0008098C"/>
    <w:rsid w:val="00081041"/>
    <w:rsid w:val="0008106B"/>
    <w:rsid w:val="00081371"/>
    <w:rsid w:val="00081589"/>
    <w:rsid w:val="000817E1"/>
    <w:rsid w:val="000818CE"/>
    <w:rsid w:val="000818E3"/>
    <w:rsid w:val="00081A23"/>
    <w:rsid w:val="000820CF"/>
    <w:rsid w:val="000822B7"/>
    <w:rsid w:val="000825B7"/>
    <w:rsid w:val="00082A7E"/>
    <w:rsid w:val="00082E6C"/>
    <w:rsid w:val="0008354C"/>
    <w:rsid w:val="000842E8"/>
    <w:rsid w:val="00084692"/>
    <w:rsid w:val="00084E05"/>
    <w:rsid w:val="00084FD2"/>
    <w:rsid w:val="00085519"/>
    <w:rsid w:val="00085D5D"/>
    <w:rsid w:val="00086447"/>
    <w:rsid w:val="00086CFA"/>
    <w:rsid w:val="00087099"/>
    <w:rsid w:val="000875A4"/>
    <w:rsid w:val="00087933"/>
    <w:rsid w:val="00087AA1"/>
    <w:rsid w:val="000906CA"/>
    <w:rsid w:val="00090EC6"/>
    <w:rsid w:val="00092699"/>
    <w:rsid w:val="00092AC6"/>
    <w:rsid w:val="00092CEB"/>
    <w:rsid w:val="00093AD7"/>
    <w:rsid w:val="00093ED9"/>
    <w:rsid w:val="0009499B"/>
    <w:rsid w:val="00094A80"/>
    <w:rsid w:val="00094CB7"/>
    <w:rsid w:val="000956F6"/>
    <w:rsid w:val="00095F2D"/>
    <w:rsid w:val="00096346"/>
    <w:rsid w:val="00096A49"/>
    <w:rsid w:val="00096E23"/>
    <w:rsid w:val="000A09C7"/>
    <w:rsid w:val="000A0C87"/>
    <w:rsid w:val="000A0DBA"/>
    <w:rsid w:val="000A1397"/>
    <w:rsid w:val="000A1E58"/>
    <w:rsid w:val="000A29FF"/>
    <w:rsid w:val="000A2DA5"/>
    <w:rsid w:val="000A3280"/>
    <w:rsid w:val="000A38CF"/>
    <w:rsid w:val="000A49A3"/>
    <w:rsid w:val="000A505A"/>
    <w:rsid w:val="000A52E0"/>
    <w:rsid w:val="000A547C"/>
    <w:rsid w:val="000A68E3"/>
    <w:rsid w:val="000A6E9F"/>
    <w:rsid w:val="000A7278"/>
    <w:rsid w:val="000B072D"/>
    <w:rsid w:val="000B0864"/>
    <w:rsid w:val="000B0C14"/>
    <w:rsid w:val="000B1144"/>
    <w:rsid w:val="000B1273"/>
    <w:rsid w:val="000B2616"/>
    <w:rsid w:val="000B43CE"/>
    <w:rsid w:val="000B477E"/>
    <w:rsid w:val="000B4A35"/>
    <w:rsid w:val="000B53BC"/>
    <w:rsid w:val="000B5501"/>
    <w:rsid w:val="000B5CD3"/>
    <w:rsid w:val="000B5E8F"/>
    <w:rsid w:val="000B6146"/>
    <w:rsid w:val="000B75CD"/>
    <w:rsid w:val="000C01EF"/>
    <w:rsid w:val="000C022B"/>
    <w:rsid w:val="000C05C6"/>
    <w:rsid w:val="000C15FD"/>
    <w:rsid w:val="000C1ABF"/>
    <w:rsid w:val="000C1B3D"/>
    <w:rsid w:val="000C1B44"/>
    <w:rsid w:val="000C1D24"/>
    <w:rsid w:val="000C246F"/>
    <w:rsid w:val="000C24CD"/>
    <w:rsid w:val="000C2E55"/>
    <w:rsid w:val="000C310B"/>
    <w:rsid w:val="000C4903"/>
    <w:rsid w:val="000C4BF1"/>
    <w:rsid w:val="000C5BBC"/>
    <w:rsid w:val="000C5CAD"/>
    <w:rsid w:val="000C6327"/>
    <w:rsid w:val="000C6719"/>
    <w:rsid w:val="000C7293"/>
    <w:rsid w:val="000C754A"/>
    <w:rsid w:val="000C7ACC"/>
    <w:rsid w:val="000C7EBF"/>
    <w:rsid w:val="000D00C2"/>
    <w:rsid w:val="000D01E1"/>
    <w:rsid w:val="000D0C18"/>
    <w:rsid w:val="000D130C"/>
    <w:rsid w:val="000D1637"/>
    <w:rsid w:val="000D1872"/>
    <w:rsid w:val="000D194F"/>
    <w:rsid w:val="000D1C40"/>
    <w:rsid w:val="000D226D"/>
    <w:rsid w:val="000D249E"/>
    <w:rsid w:val="000D2D85"/>
    <w:rsid w:val="000D2F32"/>
    <w:rsid w:val="000D3F74"/>
    <w:rsid w:val="000D4BE9"/>
    <w:rsid w:val="000D555B"/>
    <w:rsid w:val="000D5E3C"/>
    <w:rsid w:val="000D648F"/>
    <w:rsid w:val="000D64AE"/>
    <w:rsid w:val="000D6D9C"/>
    <w:rsid w:val="000D6F06"/>
    <w:rsid w:val="000D78D8"/>
    <w:rsid w:val="000D7A11"/>
    <w:rsid w:val="000D7FB8"/>
    <w:rsid w:val="000E04D5"/>
    <w:rsid w:val="000E0C67"/>
    <w:rsid w:val="000E18C2"/>
    <w:rsid w:val="000E19D7"/>
    <w:rsid w:val="000E2B73"/>
    <w:rsid w:val="000E3D9E"/>
    <w:rsid w:val="000E46F1"/>
    <w:rsid w:val="000E4A93"/>
    <w:rsid w:val="000E5919"/>
    <w:rsid w:val="000E59B4"/>
    <w:rsid w:val="000E65C1"/>
    <w:rsid w:val="000E78D7"/>
    <w:rsid w:val="000F0C37"/>
    <w:rsid w:val="000F190A"/>
    <w:rsid w:val="000F281D"/>
    <w:rsid w:val="000F38FB"/>
    <w:rsid w:val="000F3EAC"/>
    <w:rsid w:val="000F4349"/>
    <w:rsid w:val="000F4355"/>
    <w:rsid w:val="000F47D4"/>
    <w:rsid w:val="000F4A33"/>
    <w:rsid w:val="000F4BBB"/>
    <w:rsid w:val="000F4EAE"/>
    <w:rsid w:val="000F5078"/>
    <w:rsid w:val="000F55C9"/>
    <w:rsid w:val="000F573F"/>
    <w:rsid w:val="000F60A3"/>
    <w:rsid w:val="000F6B80"/>
    <w:rsid w:val="000F6CAE"/>
    <w:rsid w:val="000F6EDD"/>
    <w:rsid w:val="000F765C"/>
    <w:rsid w:val="0010007F"/>
    <w:rsid w:val="0010032C"/>
    <w:rsid w:val="00100871"/>
    <w:rsid w:val="0010137A"/>
    <w:rsid w:val="00101C08"/>
    <w:rsid w:val="001022B4"/>
    <w:rsid w:val="0010231E"/>
    <w:rsid w:val="00103190"/>
    <w:rsid w:val="00104428"/>
    <w:rsid w:val="0010503C"/>
    <w:rsid w:val="001054C1"/>
    <w:rsid w:val="00105964"/>
    <w:rsid w:val="00105E81"/>
    <w:rsid w:val="00105EE3"/>
    <w:rsid w:val="00107A65"/>
    <w:rsid w:val="00107B3F"/>
    <w:rsid w:val="00107E19"/>
    <w:rsid w:val="001104BC"/>
    <w:rsid w:val="001118B5"/>
    <w:rsid w:val="00111924"/>
    <w:rsid w:val="00111BCA"/>
    <w:rsid w:val="00111E9E"/>
    <w:rsid w:val="00112638"/>
    <w:rsid w:val="001131B4"/>
    <w:rsid w:val="00113E9B"/>
    <w:rsid w:val="001141F2"/>
    <w:rsid w:val="00114F3C"/>
    <w:rsid w:val="00115938"/>
    <w:rsid w:val="00115CE5"/>
    <w:rsid w:val="0011729D"/>
    <w:rsid w:val="001176A3"/>
    <w:rsid w:val="00117B76"/>
    <w:rsid w:val="001203FA"/>
    <w:rsid w:val="0012073F"/>
    <w:rsid w:val="001207EB"/>
    <w:rsid w:val="0012167B"/>
    <w:rsid w:val="0012190F"/>
    <w:rsid w:val="00121D70"/>
    <w:rsid w:val="0012252C"/>
    <w:rsid w:val="00122D34"/>
    <w:rsid w:val="00122E20"/>
    <w:rsid w:val="001230B9"/>
    <w:rsid w:val="001230C6"/>
    <w:rsid w:val="00123461"/>
    <w:rsid w:val="00123A45"/>
    <w:rsid w:val="00123B99"/>
    <w:rsid w:val="00123D37"/>
    <w:rsid w:val="00124F54"/>
    <w:rsid w:val="00125280"/>
    <w:rsid w:val="001256A1"/>
    <w:rsid w:val="001268A2"/>
    <w:rsid w:val="00127AE3"/>
    <w:rsid w:val="00130605"/>
    <w:rsid w:val="00130DE6"/>
    <w:rsid w:val="001317B7"/>
    <w:rsid w:val="00131C91"/>
    <w:rsid w:val="001320A0"/>
    <w:rsid w:val="0013444C"/>
    <w:rsid w:val="00134B0D"/>
    <w:rsid w:val="00135212"/>
    <w:rsid w:val="001357A0"/>
    <w:rsid w:val="001359C5"/>
    <w:rsid w:val="001363C5"/>
    <w:rsid w:val="00137636"/>
    <w:rsid w:val="001378AB"/>
    <w:rsid w:val="00137D0C"/>
    <w:rsid w:val="00137FC7"/>
    <w:rsid w:val="00140252"/>
    <w:rsid w:val="00140297"/>
    <w:rsid w:val="001402C0"/>
    <w:rsid w:val="00140510"/>
    <w:rsid w:val="00140820"/>
    <w:rsid w:val="0014166F"/>
    <w:rsid w:val="00141E98"/>
    <w:rsid w:val="00142C69"/>
    <w:rsid w:val="0014336F"/>
    <w:rsid w:val="001439A9"/>
    <w:rsid w:val="001441EA"/>
    <w:rsid w:val="0014465C"/>
    <w:rsid w:val="00150F38"/>
    <w:rsid w:val="00150FE6"/>
    <w:rsid w:val="0015137F"/>
    <w:rsid w:val="00151B0E"/>
    <w:rsid w:val="001520E6"/>
    <w:rsid w:val="00152929"/>
    <w:rsid w:val="0015301D"/>
    <w:rsid w:val="00153323"/>
    <w:rsid w:val="0015573D"/>
    <w:rsid w:val="00155F16"/>
    <w:rsid w:val="00160072"/>
    <w:rsid w:val="00160460"/>
    <w:rsid w:val="001604E1"/>
    <w:rsid w:val="00160FB3"/>
    <w:rsid w:val="001611AB"/>
    <w:rsid w:val="00161452"/>
    <w:rsid w:val="00162136"/>
    <w:rsid w:val="0016218F"/>
    <w:rsid w:val="00162C4A"/>
    <w:rsid w:val="001633EB"/>
    <w:rsid w:val="00163A66"/>
    <w:rsid w:val="00163AB1"/>
    <w:rsid w:val="0016432C"/>
    <w:rsid w:val="001643AB"/>
    <w:rsid w:val="001652C9"/>
    <w:rsid w:val="0016545E"/>
    <w:rsid w:val="00165AC0"/>
    <w:rsid w:val="00166478"/>
    <w:rsid w:val="00170099"/>
    <w:rsid w:val="001709F3"/>
    <w:rsid w:val="001717E8"/>
    <w:rsid w:val="001718B7"/>
    <w:rsid w:val="00171AF4"/>
    <w:rsid w:val="00171B63"/>
    <w:rsid w:val="00172FBB"/>
    <w:rsid w:val="001731D1"/>
    <w:rsid w:val="001733AF"/>
    <w:rsid w:val="0017373C"/>
    <w:rsid w:val="001737CF"/>
    <w:rsid w:val="00173AC0"/>
    <w:rsid w:val="001743BD"/>
    <w:rsid w:val="00174903"/>
    <w:rsid w:val="001752C6"/>
    <w:rsid w:val="001757A5"/>
    <w:rsid w:val="00175B63"/>
    <w:rsid w:val="00176B1D"/>
    <w:rsid w:val="0017747A"/>
    <w:rsid w:val="00177CB5"/>
    <w:rsid w:val="00177E5A"/>
    <w:rsid w:val="00180B9F"/>
    <w:rsid w:val="001810D5"/>
    <w:rsid w:val="0018113C"/>
    <w:rsid w:val="00181E10"/>
    <w:rsid w:val="001821D3"/>
    <w:rsid w:val="001823F0"/>
    <w:rsid w:val="00182B6A"/>
    <w:rsid w:val="0018355C"/>
    <w:rsid w:val="001845C4"/>
    <w:rsid w:val="001846B8"/>
    <w:rsid w:val="001862D7"/>
    <w:rsid w:val="0018635D"/>
    <w:rsid w:val="001864EA"/>
    <w:rsid w:val="00186A0D"/>
    <w:rsid w:val="0018746D"/>
    <w:rsid w:val="00187808"/>
    <w:rsid w:val="00187B86"/>
    <w:rsid w:val="0019007B"/>
    <w:rsid w:val="00190141"/>
    <w:rsid w:val="00190143"/>
    <w:rsid w:val="00190463"/>
    <w:rsid w:val="001907A7"/>
    <w:rsid w:val="00191529"/>
    <w:rsid w:val="0019178B"/>
    <w:rsid w:val="00191A4D"/>
    <w:rsid w:val="00191DBD"/>
    <w:rsid w:val="0019204D"/>
    <w:rsid w:val="0019296A"/>
    <w:rsid w:val="00193100"/>
    <w:rsid w:val="001933E7"/>
    <w:rsid w:val="00193B4A"/>
    <w:rsid w:val="0019459A"/>
    <w:rsid w:val="00194FF5"/>
    <w:rsid w:val="00195306"/>
    <w:rsid w:val="001964E0"/>
    <w:rsid w:val="001971B9"/>
    <w:rsid w:val="00197383"/>
    <w:rsid w:val="0019743D"/>
    <w:rsid w:val="001A011F"/>
    <w:rsid w:val="001A1248"/>
    <w:rsid w:val="001A14FB"/>
    <w:rsid w:val="001A1655"/>
    <w:rsid w:val="001A1A4E"/>
    <w:rsid w:val="001A1C35"/>
    <w:rsid w:val="001A1F5C"/>
    <w:rsid w:val="001A2C9C"/>
    <w:rsid w:val="001A3AFE"/>
    <w:rsid w:val="001A48AB"/>
    <w:rsid w:val="001A57A6"/>
    <w:rsid w:val="001A5808"/>
    <w:rsid w:val="001A6334"/>
    <w:rsid w:val="001A694C"/>
    <w:rsid w:val="001A7821"/>
    <w:rsid w:val="001A7E74"/>
    <w:rsid w:val="001A7FEC"/>
    <w:rsid w:val="001B061B"/>
    <w:rsid w:val="001B0C68"/>
    <w:rsid w:val="001B1807"/>
    <w:rsid w:val="001B1BB1"/>
    <w:rsid w:val="001B1F2F"/>
    <w:rsid w:val="001B2AE5"/>
    <w:rsid w:val="001B2F61"/>
    <w:rsid w:val="001B342C"/>
    <w:rsid w:val="001B47D1"/>
    <w:rsid w:val="001B480E"/>
    <w:rsid w:val="001B601F"/>
    <w:rsid w:val="001B675A"/>
    <w:rsid w:val="001B6AA1"/>
    <w:rsid w:val="001B78C8"/>
    <w:rsid w:val="001B7B25"/>
    <w:rsid w:val="001C15A7"/>
    <w:rsid w:val="001C2996"/>
    <w:rsid w:val="001C29EB"/>
    <w:rsid w:val="001C2B3A"/>
    <w:rsid w:val="001C3A24"/>
    <w:rsid w:val="001C43DE"/>
    <w:rsid w:val="001C4C28"/>
    <w:rsid w:val="001C4FB2"/>
    <w:rsid w:val="001C53F2"/>
    <w:rsid w:val="001C5704"/>
    <w:rsid w:val="001C5803"/>
    <w:rsid w:val="001C58B4"/>
    <w:rsid w:val="001C5A86"/>
    <w:rsid w:val="001C5F18"/>
    <w:rsid w:val="001C60B4"/>
    <w:rsid w:val="001C60F7"/>
    <w:rsid w:val="001C61ED"/>
    <w:rsid w:val="001C7958"/>
    <w:rsid w:val="001C7CCD"/>
    <w:rsid w:val="001D0298"/>
    <w:rsid w:val="001D0658"/>
    <w:rsid w:val="001D0805"/>
    <w:rsid w:val="001D0D0A"/>
    <w:rsid w:val="001D0D48"/>
    <w:rsid w:val="001D0E95"/>
    <w:rsid w:val="001D11AA"/>
    <w:rsid w:val="001D136A"/>
    <w:rsid w:val="001D1B2E"/>
    <w:rsid w:val="001D1E18"/>
    <w:rsid w:val="001D2AD3"/>
    <w:rsid w:val="001D3875"/>
    <w:rsid w:val="001D3EF0"/>
    <w:rsid w:val="001D3F7B"/>
    <w:rsid w:val="001D447C"/>
    <w:rsid w:val="001D44D1"/>
    <w:rsid w:val="001D5032"/>
    <w:rsid w:val="001D585B"/>
    <w:rsid w:val="001D5978"/>
    <w:rsid w:val="001D6047"/>
    <w:rsid w:val="001D66D9"/>
    <w:rsid w:val="001D69FA"/>
    <w:rsid w:val="001D6F7E"/>
    <w:rsid w:val="001D7995"/>
    <w:rsid w:val="001D7C0C"/>
    <w:rsid w:val="001E1D12"/>
    <w:rsid w:val="001E20B0"/>
    <w:rsid w:val="001E289A"/>
    <w:rsid w:val="001E30E6"/>
    <w:rsid w:val="001E316D"/>
    <w:rsid w:val="001E3DAF"/>
    <w:rsid w:val="001E40B2"/>
    <w:rsid w:val="001E46FA"/>
    <w:rsid w:val="001E4B0C"/>
    <w:rsid w:val="001E64DF"/>
    <w:rsid w:val="001E69F5"/>
    <w:rsid w:val="001E6EC7"/>
    <w:rsid w:val="001E7353"/>
    <w:rsid w:val="001E74A5"/>
    <w:rsid w:val="001E7507"/>
    <w:rsid w:val="001E7711"/>
    <w:rsid w:val="001E78DA"/>
    <w:rsid w:val="001F052A"/>
    <w:rsid w:val="001F0832"/>
    <w:rsid w:val="001F0A03"/>
    <w:rsid w:val="001F0B2F"/>
    <w:rsid w:val="001F0BAF"/>
    <w:rsid w:val="001F120F"/>
    <w:rsid w:val="001F1256"/>
    <w:rsid w:val="001F1610"/>
    <w:rsid w:val="001F1AD7"/>
    <w:rsid w:val="001F22B7"/>
    <w:rsid w:val="001F2E21"/>
    <w:rsid w:val="001F328F"/>
    <w:rsid w:val="001F3957"/>
    <w:rsid w:val="001F3A05"/>
    <w:rsid w:val="001F3B2E"/>
    <w:rsid w:val="001F3D7A"/>
    <w:rsid w:val="001F5F2D"/>
    <w:rsid w:val="001F61A9"/>
    <w:rsid w:val="001F62CD"/>
    <w:rsid w:val="001F6845"/>
    <w:rsid w:val="001F6E32"/>
    <w:rsid w:val="001F6EAB"/>
    <w:rsid w:val="001F7A76"/>
    <w:rsid w:val="002006C8"/>
    <w:rsid w:val="002006DE"/>
    <w:rsid w:val="00200810"/>
    <w:rsid w:val="00202933"/>
    <w:rsid w:val="00204003"/>
    <w:rsid w:val="00204153"/>
    <w:rsid w:val="0020443C"/>
    <w:rsid w:val="00204BC8"/>
    <w:rsid w:val="002050B9"/>
    <w:rsid w:val="00205252"/>
    <w:rsid w:val="002060F2"/>
    <w:rsid w:val="00206C7E"/>
    <w:rsid w:val="00206F78"/>
    <w:rsid w:val="0020770C"/>
    <w:rsid w:val="00207B49"/>
    <w:rsid w:val="00210D59"/>
    <w:rsid w:val="00212460"/>
    <w:rsid w:val="0021417B"/>
    <w:rsid w:val="00214BDB"/>
    <w:rsid w:val="00215647"/>
    <w:rsid w:val="002159D2"/>
    <w:rsid w:val="00215A98"/>
    <w:rsid w:val="00215B69"/>
    <w:rsid w:val="002163E3"/>
    <w:rsid w:val="00216776"/>
    <w:rsid w:val="00216D0C"/>
    <w:rsid w:val="00216DD9"/>
    <w:rsid w:val="00220498"/>
    <w:rsid w:val="00220B44"/>
    <w:rsid w:val="00221133"/>
    <w:rsid w:val="002215AD"/>
    <w:rsid w:val="00221681"/>
    <w:rsid w:val="00221F54"/>
    <w:rsid w:val="002227BB"/>
    <w:rsid w:val="0022380B"/>
    <w:rsid w:val="0022409C"/>
    <w:rsid w:val="00224EC2"/>
    <w:rsid w:val="0022522E"/>
    <w:rsid w:val="00225323"/>
    <w:rsid w:val="002254D0"/>
    <w:rsid w:val="00225B09"/>
    <w:rsid w:val="00225C5D"/>
    <w:rsid w:val="00226029"/>
    <w:rsid w:val="00226299"/>
    <w:rsid w:val="002267F0"/>
    <w:rsid w:val="00226BC1"/>
    <w:rsid w:val="00226C55"/>
    <w:rsid w:val="0022736F"/>
    <w:rsid w:val="002277EA"/>
    <w:rsid w:val="00230A38"/>
    <w:rsid w:val="00231271"/>
    <w:rsid w:val="0023133A"/>
    <w:rsid w:val="00232F5A"/>
    <w:rsid w:val="00233244"/>
    <w:rsid w:val="00233C88"/>
    <w:rsid w:val="00233D29"/>
    <w:rsid w:val="002343C2"/>
    <w:rsid w:val="0023453E"/>
    <w:rsid w:val="002359CD"/>
    <w:rsid w:val="00235BBF"/>
    <w:rsid w:val="002360FB"/>
    <w:rsid w:val="002364B5"/>
    <w:rsid w:val="00241895"/>
    <w:rsid w:val="00241C40"/>
    <w:rsid w:val="00242453"/>
    <w:rsid w:val="002433BF"/>
    <w:rsid w:val="0024509F"/>
    <w:rsid w:val="0024556D"/>
    <w:rsid w:val="00245707"/>
    <w:rsid w:val="00246811"/>
    <w:rsid w:val="00246E4C"/>
    <w:rsid w:val="00246EE4"/>
    <w:rsid w:val="0024763F"/>
    <w:rsid w:val="00247C9C"/>
    <w:rsid w:val="00250B3E"/>
    <w:rsid w:val="00251C46"/>
    <w:rsid w:val="00251D0E"/>
    <w:rsid w:val="002522A0"/>
    <w:rsid w:val="00253990"/>
    <w:rsid w:val="0025457D"/>
    <w:rsid w:val="00254A8D"/>
    <w:rsid w:val="00254F6D"/>
    <w:rsid w:val="002562AC"/>
    <w:rsid w:val="002566CE"/>
    <w:rsid w:val="0025692A"/>
    <w:rsid w:val="002573BD"/>
    <w:rsid w:val="0026093A"/>
    <w:rsid w:val="00261EFB"/>
    <w:rsid w:val="0026216B"/>
    <w:rsid w:val="002622C2"/>
    <w:rsid w:val="0026247E"/>
    <w:rsid w:val="00263244"/>
    <w:rsid w:val="00264092"/>
    <w:rsid w:val="00264AC8"/>
    <w:rsid w:val="002651F4"/>
    <w:rsid w:val="00265E6B"/>
    <w:rsid w:val="0026769D"/>
    <w:rsid w:val="00267B31"/>
    <w:rsid w:val="00267C2C"/>
    <w:rsid w:val="00267E00"/>
    <w:rsid w:val="00270E07"/>
    <w:rsid w:val="002712CB"/>
    <w:rsid w:val="00271BE8"/>
    <w:rsid w:val="00271E8A"/>
    <w:rsid w:val="00272584"/>
    <w:rsid w:val="00272E10"/>
    <w:rsid w:val="00272FC1"/>
    <w:rsid w:val="00273DC2"/>
    <w:rsid w:val="00273E11"/>
    <w:rsid w:val="00274157"/>
    <w:rsid w:val="00274669"/>
    <w:rsid w:val="00274740"/>
    <w:rsid w:val="0027498F"/>
    <w:rsid w:val="00274F55"/>
    <w:rsid w:val="00275057"/>
    <w:rsid w:val="002753E6"/>
    <w:rsid w:val="00275549"/>
    <w:rsid w:val="00276197"/>
    <w:rsid w:val="00276553"/>
    <w:rsid w:val="0027798E"/>
    <w:rsid w:val="00277EA4"/>
    <w:rsid w:val="002810A4"/>
    <w:rsid w:val="00282304"/>
    <w:rsid w:val="0028232B"/>
    <w:rsid w:val="00282B45"/>
    <w:rsid w:val="00282BDC"/>
    <w:rsid w:val="00282CD4"/>
    <w:rsid w:val="00282F29"/>
    <w:rsid w:val="00283C75"/>
    <w:rsid w:val="002842DB"/>
    <w:rsid w:val="00285011"/>
    <w:rsid w:val="0028504E"/>
    <w:rsid w:val="002858C9"/>
    <w:rsid w:val="00285A4D"/>
    <w:rsid w:val="00285F07"/>
    <w:rsid w:val="00286B6B"/>
    <w:rsid w:val="0028720B"/>
    <w:rsid w:val="00287A31"/>
    <w:rsid w:val="00290826"/>
    <w:rsid w:val="002909FA"/>
    <w:rsid w:val="00291027"/>
    <w:rsid w:val="00291AFF"/>
    <w:rsid w:val="00292450"/>
    <w:rsid w:val="002933A5"/>
    <w:rsid w:val="00293470"/>
    <w:rsid w:val="002944C5"/>
    <w:rsid w:val="002945DE"/>
    <w:rsid w:val="002947C6"/>
    <w:rsid w:val="0029525D"/>
    <w:rsid w:val="0029558C"/>
    <w:rsid w:val="002962E8"/>
    <w:rsid w:val="00296668"/>
    <w:rsid w:val="00297479"/>
    <w:rsid w:val="002A04C6"/>
    <w:rsid w:val="002A0552"/>
    <w:rsid w:val="002A05E3"/>
    <w:rsid w:val="002A0997"/>
    <w:rsid w:val="002A3DE6"/>
    <w:rsid w:val="002A4837"/>
    <w:rsid w:val="002A5559"/>
    <w:rsid w:val="002A55A5"/>
    <w:rsid w:val="002A617E"/>
    <w:rsid w:val="002A696D"/>
    <w:rsid w:val="002A6E1A"/>
    <w:rsid w:val="002A7005"/>
    <w:rsid w:val="002B000F"/>
    <w:rsid w:val="002B172C"/>
    <w:rsid w:val="002B1A35"/>
    <w:rsid w:val="002B1C6A"/>
    <w:rsid w:val="002B302D"/>
    <w:rsid w:val="002B30A7"/>
    <w:rsid w:val="002B33B6"/>
    <w:rsid w:val="002B3D1E"/>
    <w:rsid w:val="002B43A1"/>
    <w:rsid w:val="002B5B4F"/>
    <w:rsid w:val="002B5F75"/>
    <w:rsid w:val="002B6D13"/>
    <w:rsid w:val="002B71FA"/>
    <w:rsid w:val="002B7766"/>
    <w:rsid w:val="002C06F9"/>
    <w:rsid w:val="002C0887"/>
    <w:rsid w:val="002C0A6C"/>
    <w:rsid w:val="002C0C7F"/>
    <w:rsid w:val="002C1B74"/>
    <w:rsid w:val="002C1FE5"/>
    <w:rsid w:val="002C24CB"/>
    <w:rsid w:val="002C266E"/>
    <w:rsid w:val="002C2B98"/>
    <w:rsid w:val="002C332E"/>
    <w:rsid w:val="002C3461"/>
    <w:rsid w:val="002C3630"/>
    <w:rsid w:val="002C3C48"/>
    <w:rsid w:val="002C41BD"/>
    <w:rsid w:val="002C5931"/>
    <w:rsid w:val="002C6B66"/>
    <w:rsid w:val="002C6D55"/>
    <w:rsid w:val="002C7282"/>
    <w:rsid w:val="002C733C"/>
    <w:rsid w:val="002D0B12"/>
    <w:rsid w:val="002D194E"/>
    <w:rsid w:val="002D2DE2"/>
    <w:rsid w:val="002D4D06"/>
    <w:rsid w:val="002D51F3"/>
    <w:rsid w:val="002D532F"/>
    <w:rsid w:val="002D5379"/>
    <w:rsid w:val="002D5392"/>
    <w:rsid w:val="002D5A9B"/>
    <w:rsid w:val="002D5E71"/>
    <w:rsid w:val="002D684F"/>
    <w:rsid w:val="002D6BBD"/>
    <w:rsid w:val="002D79AF"/>
    <w:rsid w:val="002E1051"/>
    <w:rsid w:val="002E2A9A"/>
    <w:rsid w:val="002E3D0F"/>
    <w:rsid w:val="002E473D"/>
    <w:rsid w:val="002E47DE"/>
    <w:rsid w:val="002E5093"/>
    <w:rsid w:val="002E550E"/>
    <w:rsid w:val="002E5D25"/>
    <w:rsid w:val="002E696A"/>
    <w:rsid w:val="002E6D19"/>
    <w:rsid w:val="002E6E3E"/>
    <w:rsid w:val="002E74A0"/>
    <w:rsid w:val="002E7A8B"/>
    <w:rsid w:val="002F0AA9"/>
    <w:rsid w:val="002F12ED"/>
    <w:rsid w:val="002F188A"/>
    <w:rsid w:val="002F427A"/>
    <w:rsid w:val="002F43B1"/>
    <w:rsid w:val="002F501F"/>
    <w:rsid w:val="002F5BFB"/>
    <w:rsid w:val="002F601F"/>
    <w:rsid w:val="002F61DD"/>
    <w:rsid w:val="002F6348"/>
    <w:rsid w:val="002F7352"/>
    <w:rsid w:val="002F7B95"/>
    <w:rsid w:val="00300983"/>
    <w:rsid w:val="00300B2F"/>
    <w:rsid w:val="003014DD"/>
    <w:rsid w:val="00301C38"/>
    <w:rsid w:val="003031E7"/>
    <w:rsid w:val="00303BF2"/>
    <w:rsid w:val="0030445C"/>
    <w:rsid w:val="0030468B"/>
    <w:rsid w:val="0030477C"/>
    <w:rsid w:val="00304CAE"/>
    <w:rsid w:val="00306AA0"/>
    <w:rsid w:val="0030780F"/>
    <w:rsid w:val="00307E5B"/>
    <w:rsid w:val="0031039A"/>
    <w:rsid w:val="0031078D"/>
    <w:rsid w:val="0031131D"/>
    <w:rsid w:val="0031166E"/>
    <w:rsid w:val="00311D45"/>
    <w:rsid w:val="003121BC"/>
    <w:rsid w:val="00312278"/>
    <w:rsid w:val="00312481"/>
    <w:rsid w:val="00312488"/>
    <w:rsid w:val="0031312D"/>
    <w:rsid w:val="00313598"/>
    <w:rsid w:val="0031378A"/>
    <w:rsid w:val="00313A20"/>
    <w:rsid w:val="0031425D"/>
    <w:rsid w:val="0031467D"/>
    <w:rsid w:val="003154FE"/>
    <w:rsid w:val="003165CB"/>
    <w:rsid w:val="00316B4C"/>
    <w:rsid w:val="0031775D"/>
    <w:rsid w:val="00320054"/>
    <w:rsid w:val="003200CB"/>
    <w:rsid w:val="00320227"/>
    <w:rsid w:val="00320BDD"/>
    <w:rsid w:val="00320F9F"/>
    <w:rsid w:val="00321173"/>
    <w:rsid w:val="00321B5E"/>
    <w:rsid w:val="0032255D"/>
    <w:rsid w:val="003226CB"/>
    <w:rsid w:val="003231DB"/>
    <w:rsid w:val="003232D9"/>
    <w:rsid w:val="00323DE7"/>
    <w:rsid w:val="00324175"/>
    <w:rsid w:val="00324361"/>
    <w:rsid w:val="0032444D"/>
    <w:rsid w:val="00324582"/>
    <w:rsid w:val="00324865"/>
    <w:rsid w:val="00324A41"/>
    <w:rsid w:val="0032520D"/>
    <w:rsid w:val="0032561B"/>
    <w:rsid w:val="00325AF3"/>
    <w:rsid w:val="00325C8A"/>
    <w:rsid w:val="0032662C"/>
    <w:rsid w:val="00326DEE"/>
    <w:rsid w:val="0033047F"/>
    <w:rsid w:val="00330489"/>
    <w:rsid w:val="003305F6"/>
    <w:rsid w:val="003309FD"/>
    <w:rsid w:val="00331B72"/>
    <w:rsid w:val="003322E9"/>
    <w:rsid w:val="00332C65"/>
    <w:rsid w:val="00332DAD"/>
    <w:rsid w:val="0033386B"/>
    <w:rsid w:val="00334080"/>
    <w:rsid w:val="003343FC"/>
    <w:rsid w:val="0033451E"/>
    <w:rsid w:val="00335190"/>
    <w:rsid w:val="00335EBF"/>
    <w:rsid w:val="00336062"/>
    <w:rsid w:val="003369BA"/>
    <w:rsid w:val="00336BBF"/>
    <w:rsid w:val="00336BEE"/>
    <w:rsid w:val="00336DA8"/>
    <w:rsid w:val="00336EC5"/>
    <w:rsid w:val="00337206"/>
    <w:rsid w:val="00337F32"/>
    <w:rsid w:val="00340CBF"/>
    <w:rsid w:val="00340F38"/>
    <w:rsid w:val="0034138F"/>
    <w:rsid w:val="00341B23"/>
    <w:rsid w:val="00341D31"/>
    <w:rsid w:val="00341E88"/>
    <w:rsid w:val="003425F2"/>
    <w:rsid w:val="0034263C"/>
    <w:rsid w:val="0034396A"/>
    <w:rsid w:val="00343EB2"/>
    <w:rsid w:val="0034432F"/>
    <w:rsid w:val="00344337"/>
    <w:rsid w:val="00344375"/>
    <w:rsid w:val="00344722"/>
    <w:rsid w:val="00344974"/>
    <w:rsid w:val="00344B79"/>
    <w:rsid w:val="00345339"/>
    <w:rsid w:val="0034551B"/>
    <w:rsid w:val="0034552A"/>
    <w:rsid w:val="003470C2"/>
    <w:rsid w:val="00347B15"/>
    <w:rsid w:val="003501C1"/>
    <w:rsid w:val="003505B9"/>
    <w:rsid w:val="00351116"/>
    <w:rsid w:val="00352912"/>
    <w:rsid w:val="0035451A"/>
    <w:rsid w:val="00354A2E"/>
    <w:rsid w:val="00354F45"/>
    <w:rsid w:val="00355B65"/>
    <w:rsid w:val="00356737"/>
    <w:rsid w:val="00357BC3"/>
    <w:rsid w:val="00357F4F"/>
    <w:rsid w:val="00360CE0"/>
    <w:rsid w:val="00360E91"/>
    <w:rsid w:val="00361674"/>
    <w:rsid w:val="00362888"/>
    <w:rsid w:val="00362A45"/>
    <w:rsid w:val="00363299"/>
    <w:rsid w:val="00364CF9"/>
    <w:rsid w:val="003661E8"/>
    <w:rsid w:val="0036665C"/>
    <w:rsid w:val="00366687"/>
    <w:rsid w:val="003679D2"/>
    <w:rsid w:val="0037012F"/>
    <w:rsid w:val="00370DED"/>
    <w:rsid w:val="00371621"/>
    <w:rsid w:val="00371A2B"/>
    <w:rsid w:val="00371FA3"/>
    <w:rsid w:val="003722F0"/>
    <w:rsid w:val="00372D38"/>
    <w:rsid w:val="0037348A"/>
    <w:rsid w:val="00374A48"/>
    <w:rsid w:val="00376A63"/>
    <w:rsid w:val="00376D18"/>
    <w:rsid w:val="00376D49"/>
    <w:rsid w:val="003779EA"/>
    <w:rsid w:val="00381309"/>
    <w:rsid w:val="003819C5"/>
    <w:rsid w:val="003820BC"/>
    <w:rsid w:val="00382415"/>
    <w:rsid w:val="00382682"/>
    <w:rsid w:val="00382FC4"/>
    <w:rsid w:val="003863FE"/>
    <w:rsid w:val="00386558"/>
    <w:rsid w:val="00386AAA"/>
    <w:rsid w:val="003874DE"/>
    <w:rsid w:val="003875B5"/>
    <w:rsid w:val="00387F55"/>
    <w:rsid w:val="003902C5"/>
    <w:rsid w:val="00390308"/>
    <w:rsid w:val="00390429"/>
    <w:rsid w:val="00390779"/>
    <w:rsid w:val="00390A9F"/>
    <w:rsid w:val="00390EAC"/>
    <w:rsid w:val="003916E6"/>
    <w:rsid w:val="00391907"/>
    <w:rsid w:val="003919D7"/>
    <w:rsid w:val="00391AFA"/>
    <w:rsid w:val="00391B8F"/>
    <w:rsid w:val="0039257B"/>
    <w:rsid w:val="00392780"/>
    <w:rsid w:val="00392C92"/>
    <w:rsid w:val="003940AD"/>
    <w:rsid w:val="00395443"/>
    <w:rsid w:val="00397A41"/>
    <w:rsid w:val="00397B50"/>
    <w:rsid w:val="003A0146"/>
    <w:rsid w:val="003A0243"/>
    <w:rsid w:val="003A139B"/>
    <w:rsid w:val="003A1C0A"/>
    <w:rsid w:val="003A1E09"/>
    <w:rsid w:val="003A29D5"/>
    <w:rsid w:val="003A3723"/>
    <w:rsid w:val="003A41D5"/>
    <w:rsid w:val="003A5581"/>
    <w:rsid w:val="003A5ABC"/>
    <w:rsid w:val="003A653F"/>
    <w:rsid w:val="003A66DB"/>
    <w:rsid w:val="003A6E59"/>
    <w:rsid w:val="003A73D3"/>
    <w:rsid w:val="003B041B"/>
    <w:rsid w:val="003B04BD"/>
    <w:rsid w:val="003B15FD"/>
    <w:rsid w:val="003B1770"/>
    <w:rsid w:val="003B1E19"/>
    <w:rsid w:val="003B1F6F"/>
    <w:rsid w:val="003B25C9"/>
    <w:rsid w:val="003B2894"/>
    <w:rsid w:val="003B2A08"/>
    <w:rsid w:val="003B3270"/>
    <w:rsid w:val="003B39A9"/>
    <w:rsid w:val="003B3CF5"/>
    <w:rsid w:val="003B41E0"/>
    <w:rsid w:val="003B42BE"/>
    <w:rsid w:val="003B43E4"/>
    <w:rsid w:val="003B4679"/>
    <w:rsid w:val="003B4DB9"/>
    <w:rsid w:val="003B567D"/>
    <w:rsid w:val="003B5AA2"/>
    <w:rsid w:val="003B5ED3"/>
    <w:rsid w:val="003B5F6B"/>
    <w:rsid w:val="003B62A5"/>
    <w:rsid w:val="003C0558"/>
    <w:rsid w:val="003C0AC6"/>
    <w:rsid w:val="003C1658"/>
    <w:rsid w:val="003C252A"/>
    <w:rsid w:val="003C29B3"/>
    <w:rsid w:val="003C2D71"/>
    <w:rsid w:val="003C2D79"/>
    <w:rsid w:val="003C2E16"/>
    <w:rsid w:val="003C361A"/>
    <w:rsid w:val="003C4DC7"/>
    <w:rsid w:val="003C528D"/>
    <w:rsid w:val="003C57D2"/>
    <w:rsid w:val="003C6A31"/>
    <w:rsid w:val="003C6C1B"/>
    <w:rsid w:val="003C6CD1"/>
    <w:rsid w:val="003C6E0F"/>
    <w:rsid w:val="003D076A"/>
    <w:rsid w:val="003D0D26"/>
    <w:rsid w:val="003D17A5"/>
    <w:rsid w:val="003D1BDB"/>
    <w:rsid w:val="003D259F"/>
    <w:rsid w:val="003D27DE"/>
    <w:rsid w:val="003D37EB"/>
    <w:rsid w:val="003D4749"/>
    <w:rsid w:val="003D4993"/>
    <w:rsid w:val="003D4A95"/>
    <w:rsid w:val="003D4D5B"/>
    <w:rsid w:val="003D5AEA"/>
    <w:rsid w:val="003D7B32"/>
    <w:rsid w:val="003E1912"/>
    <w:rsid w:val="003E2AF3"/>
    <w:rsid w:val="003E3B74"/>
    <w:rsid w:val="003E59C0"/>
    <w:rsid w:val="003E5B41"/>
    <w:rsid w:val="003E60B7"/>
    <w:rsid w:val="003E6439"/>
    <w:rsid w:val="003E6562"/>
    <w:rsid w:val="003E6D01"/>
    <w:rsid w:val="003E71D4"/>
    <w:rsid w:val="003E7F64"/>
    <w:rsid w:val="003F11FB"/>
    <w:rsid w:val="003F14A8"/>
    <w:rsid w:val="003F17F4"/>
    <w:rsid w:val="003F2031"/>
    <w:rsid w:val="003F22F8"/>
    <w:rsid w:val="003F25C1"/>
    <w:rsid w:val="003F31BD"/>
    <w:rsid w:val="003F361C"/>
    <w:rsid w:val="003F4731"/>
    <w:rsid w:val="003F587F"/>
    <w:rsid w:val="003F7385"/>
    <w:rsid w:val="003F75C2"/>
    <w:rsid w:val="00400313"/>
    <w:rsid w:val="0040125C"/>
    <w:rsid w:val="00401776"/>
    <w:rsid w:val="00402A74"/>
    <w:rsid w:val="00402BC0"/>
    <w:rsid w:val="00402D4C"/>
    <w:rsid w:val="00403409"/>
    <w:rsid w:val="00403D5D"/>
    <w:rsid w:val="00405993"/>
    <w:rsid w:val="004059EC"/>
    <w:rsid w:val="00405D55"/>
    <w:rsid w:val="00406CAE"/>
    <w:rsid w:val="00406D66"/>
    <w:rsid w:val="0040785A"/>
    <w:rsid w:val="004079A3"/>
    <w:rsid w:val="0041075B"/>
    <w:rsid w:val="00410986"/>
    <w:rsid w:val="00410A87"/>
    <w:rsid w:val="004112FE"/>
    <w:rsid w:val="00411F33"/>
    <w:rsid w:val="00412146"/>
    <w:rsid w:val="00412860"/>
    <w:rsid w:val="00412B85"/>
    <w:rsid w:val="00413908"/>
    <w:rsid w:val="00413F1A"/>
    <w:rsid w:val="00414A1E"/>
    <w:rsid w:val="00415688"/>
    <w:rsid w:val="00415C1D"/>
    <w:rsid w:val="00415D57"/>
    <w:rsid w:val="00416632"/>
    <w:rsid w:val="004167A1"/>
    <w:rsid w:val="00416C4C"/>
    <w:rsid w:val="00416DE3"/>
    <w:rsid w:val="0041718B"/>
    <w:rsid w:val="00417466"/>
    <w:rsid w:val="004212B9"/>
    <w:rsid w:val="00421E04"/>
    <w:rsid w:val="00422327"/>
    <w:rsid w:val="00422330"/>
    <w:rsid w:val="0042311B"/>
    <w:rsid w:val="004236AC"/>
    <w:rsid w:val="004241BF"/>
    <w:rsid w:val="00424794"/>
    <w:rsid w:val="00424F41"/>
    <w:rsid w:val="0042619F"/>
    <w:rsid w:val="004269B2"/>
    <w:rsid w:val="004270AF"/>
    <w:rsid w:val="00427548"/>
    <w:rsid w:val="00427817"/>
    <w:rsid w:val="00427C01"/>
    <w:rsid w:val="00430D29"/>
    <w:rsid w:val="0043144B"/>
    <w:rsid w:val="00431F4B"/>
    <w:rsid w:val="00432EFE"/>
    <w:rsid w:val="00433416"/>
    <w:rsid w:val="004339A1"/>
    <w:rsid w:val="00433A30"/>
    <w:rsid w:val="00434A97"/>
    <w:rsid w:val="00434E9C"/>
    <w:rsid w:val="004352A9"/>
    <w:rsid w:val="00435669"/>
    <w:rsid w:val="00435965"/>
    <w:rsid w:val="0043624D"/>
    <w:rsid w:val="00436FD2"/>
    <w:rsid w:val="004370C2"/>
    <w:rsid w:val="00437666"/>
    <w:rsid w:val="00437BBE"/>
    <w:rsid w:val="00437F64"/>
    <w:rsid w:val="0044003B"/>
    <w:rsid w:val="00440921"/>
    <w:rsid w:val="00440AD8"/>
    <w:rsid w:val="00440E39"/>
    <w:rsid w:val="004414CA"/>
    <w:rsid w:val="00442B17"/>
    <w:rsid w:val="00442F9D"/>
    <w:rsid w:val="00443241"/>
    <w:rsid w:val="004433D6"/>
    <w:rsid w:val="00443D5A"/>
    <w:rsid w:val="00444D2D"/>
    <w:rsid w:val="00444D8F"/>
    <w:rsid w:val="004451AA"/>
    <w:rsid w:val="00445473"/>
    <w:rsid w:val="0044575B"/>
    <w:rsid w:val="00445D44"/>
    <w:rsid w:val="00445E50"/>
    <w:rsid w:val="004462E0"/>
    <w:rsid w:val="0044703B"/>
    <w:rsid w:val="004470C9"/>
    <w:rsid w:val="0044747C"/>
    <w:rsid w:val="004474EA"/>
    <w:rsid w:val="004475CC"/>
    <w:rsid w:val="004500E8"/>
    <w:rsid w:val="0045090B"/>
    <w:rsid w:val="0045093F"/>
    <w:rsid w:val="004514F1"/>
    <w:rsid w:val="0045207A"/>
    <w:rsid w:val="0045227E"/>
    <w:rsid w:val="004524D3"/>
    <w:rsid w:val="0045316A"/>
    <w:rsid w:val="00453923"/>
    <w:rsid w:val="0045416A"/>
    <w:rsid w:val="00454A36"/>
    <w:rsid w:val="00455FC7"/>
    <w:rsid w:val="00456219"/>
    <w:rsid w:val="00456867"/>
    <w:rsid w:val="00456B00"/>
    <w:rsid w:val="004571C7"/>
    <w:rsid w:val="00457E78"/>
    <w:rsid w:val="004607A4"/>
    <w:rsid w:val="00460CB4"/>
    <w:rsid w:val="00460F10"/>
    <w:rsid w:val="00460F6D"/>
    <w:rsid w:val="00461DA8"/>
    <w:rsid w:val="00462097"/>
    <w:rsid w:val="004623A4"/>
    <w:rsid w:val="00462526"/>
    <w:rsid w:val="00464065"/>
    <w:rsid w:val="00464118"/>
    <w:rsid w:val="004642CA"/>
    <w:rsid w:val="0046568F"/>
    <w:rsid w:val="00466B91"/>
    <w:rsid w:val="00467080"/>
    <w:rsid w:val="00467144"/>
    <w:rsid w:val="004701EC"/>
    <w:rsid w:val="004703A6"/>
    <w:rsid w:val="004705B5"/>
    <w:rsid w:val="00470F97"/>
    <w:rsid w:val="004710B9"/>
    <w:rsid w:val="00471A2C"/>
    <w:rsid w:val="00471AC4"/>
    <w:rsid w:val="004724BB"/>
    <w:rsid w:val="00473131"/>
    <w:rsid w:val="004733DD"/>
    <w:rsid w:val="00473E56"/>
    <w:rsid w:val="00474767"/>
    <w:rsid w:val="00474FDF"/>
    <w:rsid w:val="00475416"/>
    <w:rsid w:val="00475421"/>
    <w:rsid w:val="00477193"/>
    <w:rsid w:val="00480123"/>
    <w:rsid w:val="00480186"/>
    <w:rsid w:val="004801D6"/>
    <w:rsid w:val="004806D0"/>
    <w:rsid w:val="00480C0D"/>
    <w:rsid w:val="00480DBE"/>
    <w:rsid w:val="00481099"/>
    <w:rsid w:val="00481572"/>
    <w:rsid w:val="0048264A"/>
    <w:rsid w:val="00482CE0"/>
    <w:rsid w:val="00483304"/>
    <w:rsid w:val="0048336C"/>
    <w:rsid w:val="004835E2"/>
    <w:rsid w:val="00483711"/>
    <w:rsid w:val="0048414D"/>
    <w:rsid w:val="00484B09"/>
    <w:rsid w:val="00485688"/>
    <w:rsid w:val="004859B7"/>
    <w:rsid w:val="00485DB9"/>
    <w:rsid w:val="00486FD8"/>
    <w:rsid w:val="004879A7"/>
    <w:rsid w:val="00487A42"/>
    <w:rsid w:val="0049004B"/>
    <w:rsid w:val="004908BA"/>
    <w:rsid w:val="00490BFB"/>
    <w:rsid w:val="00490D03"/>
    <w:rsid w:val="00490ED9"/>
    <w:rsid w:val="00492AA5"/>
    <w:rsid w:val="00492E4A"/>
    <w:rsid w:val="00493514"/>
    <w:rsid w:val="00493679"/>
    <w:rsid w:val="00493D70"/>
    <w:rsid w:val="004941ED"/>
    <w:rsid w:val="004949B5"/>
    <w:rsid w:val="00494BA0"/>
    <w:rsid w:val="004968CF"/>
    <w:rsid w:val="00496A87"/>
    <w:rsid w:val="00496F6C"/>
    <w:rsid w:val="004973CE"/>
    <w:rsid w:val="004A0161"/>
    <w:rsid w:val="004A03DC"/>
    <w:rsid w:val="004A245D"/>
    <w:rsid w:val="004A470D"/>
    <w:rsid w:val="004A4EEF"/>
    <w:rsid w:val="004A5CD7"/>
    <w:rsid w:val="004A7177"/>
    <w:rsid w:val="004A7B52"/>
    <w:rsid w:val="004A7EF0"/>
    <w:rsid w:val="004B138B"/>
    <w:rsid w:val="004B1B6C"/>
    <w:rsid w:val="004B29D1"/>
    <w:rsid w:val="004B3372"/>
    <w:rsid w:val="004B382B"/>
    <w:rsid w:val="004B4FC4"/>
    <w:rsid w:val="004B5FB1"/>
    <w:rsid w:val="004B767D"/>
    <w:rsid w:val="004B7714"/>
    <w:rsid w:val="004C0846"/>
    <w:rsid w:val="004C0C11"/>
    <w:rsid w:val="004C10DF"/>
    <w:rsid w:val="004C140F"/>
    <w:rsid w:val="004C1755"/>
    <w:rsid w:val="004C2A18"/>
    <w:rsid w:val="004C2FDB"/>
    <w:rsid w:val="004C368B"/>
    <w:rsid w:val="004C3736"/>
    <w:rsid w:val="004C4266"/>
    <w:rsid w:val="004C42DE"/>
    <w:rsid w:val="004C4E80"/>
    <w:rsid w:val="004C5317"/>
    <w:rsid w:val="004C5A3B"/>
    <w:rsid w:val="004C642D"/>
    <w:rsid w:val="004C665D"/>
    <w:rsid w:val="004C6D19"/>
    <w:rsid w:val="004C7204"/>
    <w:rsid w:val="004C792C"/>
    <w:rsid w:val="004C7F2D"/>
    <w:rsid w:val="004D05C1"/>
    <w:rsid w:val="004D17EA"/>
    <w:rsid w:val="004D1A03"/>
    <w:rsid w:val="004D1BF9"/>
    <w:rsid w:val="004D1D4E"/>
    <w:rsid w:val="004D22D5"/>
    <w:rsid w:val="004D2A94"/>
    <w:rsid w:val="004D2F33"/>
    <w:rsid w:val="004D329F"/>
    <w:rsid w:val="004D549A"/>
    <w:rsid w:val="004D56B2"/>
    <w:rsid w:val="004D5DDA"/>
    <w:rsid w:val="004D618E"/>
    <w:rsid w:val="004D722D"/>
    <w:rsid w:val="004D76D3"/>
    <w:rsid w:val="004E0874"/>
    <w:rsid w:val="004E0AC8"/>
    <w:rsid w:val="004E0B18"/>
    <w:rsid w:val="004E1481"/>
    <w:rsid w:val="004E1C1A"/>
    <w:rsid w:val="004E1E06"/>
    <w:rsid w:val="004E23D1"/>
    <w:rsid w:val="004E2EDF"/>
    <w:rsid w:val="004E3E87"/>
    <w:rsid w:val="004E4B48"/>
    <w:rsid w:val="004E4F25"/>
    <w:rsid w:val="004E51C8"/>
    <w:rsid w:val="004E5A06"/>
    <w:rsid w:val="004E5EC3"/>
    <w:rsid w:val="004E6CC9"/>
    <w:rsid w:val="004E6FAA"/>
    <w:rsid w:val="004E7D88"/>
    <w:rsid w:val="004F0702"/>
    <w:rsid w:val="004F14F3"/>
    <w:rsid w:val="004F15B3"/>
    <w:rsid w:val="004F2262"/>
    <w:rsid w:val="004F2275"/>
    <w:rsid w:val="004F2939"/>
    <w:rsid w:val="004F2AE7"/>
    <w:rsid w:val="004F2DA0"/>
    <w:rsid w:val="004F2E71"/>
    <w:rsid w:val="004F2FB8"/>
    <w:rsid w:val="004F5F20"/>
    <w:rsid w:val="00501792"/>
    <w:rsid w:val="005018D5"/>
    <w:rsid w:val="005026E6"/>
    <w:rsid w:val="00502F17"/>
    <w:rsid w:val="00503F47"/>
    <w:rsid w:val="00504996"/>
    <w:rsid w:val="00505F6E"/>
    <w:rsid w:val="00506809"/>
    <w:rsid w:val="00506B1B"/>
    <w:rsid w:val="00506F7A"/>
    <w:rsid w:val="00507620"/>
    <w:rsid w:val="005076BB"/>
    <w:rsid w:val="00507D11"/>
    <w:rsid w:val="00507F64"/>
    <w:rsid w:val="0051024C"/>
    <w:rsid w:val="0051036F"/>
    <w:rsid w:val="00512177"/>
    <w:rsid w:val="005126EA"/>
    <w:rsid w:val="00512C09"/>
    <w:rsid w:val="00513845"/>
    <w:rsid w:val="00513EFA"/>
    <w:rsid w:val="00514485"/>
    <w:rsid w:val="005146EA"/>
    <w:rsid w:val="00514B51"/>
    <w:rsid w:val="005150D1"/>
    <w:rsid w:val="0051561E"/>
    <w:rsid w:val="00515B57"/>
    <w:rsid w:val="00515C13"/>
    <w:rsid w:val="00515C27"/>
    <w:rsid w:val="00515D9A"/>
    <w:rsid w:val="00516D37"/>
    <w:rsid w:val="005171B1"/>
    <w:rsid w:val="005174D2"/>
    <w:rsid w:val="005178F1"/>
    <w:rsid w:val="00517F3C"/>
    <w:rsid w:val="005215B6"/>
    <w:rsid w:val="00521655"/>
    <w:rsid w:val="00521714"/>
    <w:rsid w:val="00521A47"/>
    <w:rsid w:val="00521BEB"/>
    <w:rsid w:val="00521D72"/>
    <w:rsid w:val="0052263F"/>
    <w:rsid w:val="00523254"/>
    <w:rsid w:val="00523DFD"/>
    <w:rsid w:val="00524585"/>
    <w:rsid w:val="005245DD"/>
    <w:rsid w:val="00524B23"/>
    <w:rsid w:val="005258E4"/>
    <w:rsid w:val="0052592E"/>
    <w:rsid w:val="0052640E"/>
    <w:rsid w:val="00526A5F"/>
    <w:rsid w:val="00526AE4"/>
    <w:rsid w:val="00526B00"/>
    <w:rsid w:val="00527587"/>
    <w:rsid w:val="0053004F"/>
    <w:rsid w:val="0053032C"/>
    <w:rsid w:val="0053051F"/>
    <w:rsid w:val="00530DF5"/>
    <w:rsid w:val="00531178"/>
    <w:rsid w:val="0053210D"/>
    <w:rsid w:val="00532B5E"/>
    <w:rsid w:val="00533520"/>
    <w:rsid w:val="00533635"/>
    <w:rsid w:val="0053364D"/>
    <w:rsid w:val="00533DEF"/>
    <w:rsid w:val="0053437D"/>
    <w:rsid w:val="005349CC"/>
    <w:rsid w:val="00535E87"/>
    <w:rsid w:val="00536F93"/>
    <w:rsid w:val="00537B9B"/>
    <w:rsid w:val="00540105"/>
    <w:rsid w:val="005406E0"/>
    <w:rsid w:val="00540729"/>
    <w:rsid w:val="00540782"/>
    <w:rsid w:val="005415E1"/>
    <w:rsid w:val="00541CD0"/>
    <w:rsid w:val="0054238C"/>
    <w:rsid w:val="0054317F"/>
    <w:rsid w:val="0054374D"/>
    <w:rsid w:val="0054379F"/>
    <w:rsid w:val="00543E19"/>
    <w:rsid w:val="00543F0B"/>
    <w:rsid w:val="00546799"/>
    <w:rsid w:val="00547336"/>
    <w:rsid w:val="00547997"/>
    <w:rsid w:val="00550DD8"/>
    <w:rsid w:val="00551731"/>
    <w:rsid w:val="005523D2"/>
    <w:rsid w:val="0055250E"/>
    <w:rsid w:val="00553E06"/>
    <w:rsid w:val="00554595"/>
    <w:rsid w:val="005549BF"/>
    <w:rsid w:val="00554D9D"/>
    <w:rsid w:val="005559C3"/>
    <w:rsid w:val="00555D39"/>
    <w:rsid w:val="0055610D"/>
    <w:rsid w:val="00556C40"/>
    <w:rsid w:val="00556F0E"/>
    <w:rsid w:val="00557630"/>
    <w:rsid w:val="00557633"/>
    <w:rsid w:val="0055785C"/>
    <w:rsid w:val="00557D06"/>
    <w:rsid w:val="0056076B"/>
    <w:rsid w:val="00560ECD"/>
    <w:rsid w:val="00561021"/>
    <w:rsid w:val="005611FD"/>
    <w:rsid w:val="00561566"/>
    <w:rsid w:val="005622B8"/>
    <w:rsid w:val="005628D2"/>
    <w:rsid w:val="00562E7C"/>
    <w:rsid w:val="0056306E"/>
    <w:rsid w:val="00563788"/>
    <w:rsid w:val="00563917"/>
    <w:rsid w:val="00563E23"/>
    <w:rsid w:val="00563FC4"/>
    <w:rsid w:val="00564D72"/>
    <w:rsid w:val="00565830"/>
    <w:rsid w:val="00565A10"/>
    <w:rsid w:val="00565BB4"/>
    <w:rsid w:val="00565BC8"/>
    <w:rsid w:val="00565BE2"/>
    <w:rsid w:val="00566C52"/>
    <w:rsid w:val="00567D1E"/>
    <w:rsid w:val="0057088B"/>
    <w:rsid w:val="0057203E"/>
    <w:rsid w:val="005726E9"/>
    <w:rsid w:val="005727B8"/>
    <w:rsid w:val="005727ED"/>
    <w:rsid w:val="005729D2"/>
    <w:rsid w:val="00574867"/>
    <w:rsid w:val="005759CD"/>
    <w:rsid w:val="00575C68"/>
    <w:rsid w:val="00576A5B"/>
    <w:rsid w:val="00576BD4"/>
    <w:rsid w:val="0057749C"/>
    <w:rsid w:val="00577608"/>
    <w:rsid w:val="00577F9C"/>
    <w:rsid w:val="005801B1"/>
    <w:rsid w:val="0058045B"/>
    <w:rsid w:val="0058048A"/>
    <w:rsid w:val="005806F4"/>
    <w:rsid w:val="005829DD"/>
    <w:rsid w:val="00582E1A"/>
    <w:rsid w:val="00583E52"/>
    <w:rsid w:val="00584CD6"/>
    <w:rsid w:val="00585B31"/>
    <w:rsid w:val="00585B7D"/>
    <w:rsid w:val="00586A77"/>
    <w:rsid w:val="005875CF"/>
    <w:rsid w:val="005901B0"/>
    <w:rsid w:val="005907F8"/>
    <w:rsid w:val="00590C9C"/>
    <w:rsid w:val="00590D5C"/>
    <w:rsid w:val="00591370"/>
    <w:rsid w:val="00591A34"/>
    <w:rsid w:val="00591B91"/>
    <w:rsid w:val="00591BA6"/>
    <w:rsid w:val="00591C79"/>
    <w:rsid w:val="00593740"/>
    <w:rsid w:val="00594A67"/>
    <w:rsid w:val="005963DA"/>
    <w:rsid w:val="005974AC"/>
    <w:rsid w:val="00597D90"/>
    <w:rsid w:val="005A0CA0"/>
    <w:rsid w:val="005A0E4B"/>
    <w:rsid w:val="005A1097"/>
    <w:rsid w:val="005A10C7"/>
    <w:rsid w:val="005A12C9"/>
    <w:rsid w:val="005A17C2"/>
    <w:rsid w:val="005A2162"/>
    <w:rsid w:val="005A261D"/>
    <w:rsid w:val="005A29B2"/>
    <w:rsid w:val="005A363A"/>
    <w:rsid w:val="005A46CC"/>
    <w:rsid w:val="005A46E5"/>
    <w:rsid w:val="005A504D"/>
    <w:rsid w:val="005A5D79"/>
    <w:rsid w:val="005A64B5"/>
    <w:rsid w:val="005A70B3"/>
    <w:rsid w:val="005A774B"/>
    <w:rsid w:val="005A7A8D"/>
    <w:rsid w:val="005A7D6A"/>
    <w:rsid w:val="005B002F"/>
    <w:rsid w:val="005B041D"/>
    <w:rsid w:val="005B0E64"/>
    <w:rsid w:val="005B0FC1"/>
    <w:rsid w:val="005B2609"/>
    <w:rsid w:val="005B2AFC"/>
    <w:rsid w:val="005B2D06"/>
    <w:rsid w:val="005B2D21"/>
    <w:rsid w:val="005B37CF"/>
    <w:rsid w:val="005B3994"/>
    <w:rsid w:val="005B3CEE"/>
    <w:rsid w:val="005B4673"/>
    <w:rsid w:val="005B5A35"/>
    <w:rsid w:val="005B5FD1"/>
    <w:rsid w:val="005B7168"/>
    <w:rsid w:val="005C0234"/>
    <w:rsid w:val="005C057F"/>
    <w:rsid w:val="005C0D01"/>
    <w:rsid w:val="005C1580"/>
    <w:rsid w:val="005C15BC"/>
    <w:rsid w:val="005C1680"/>
    <w:rsid w:val="005C17FE"/>
    <w:rsid w:val="005C2322"/>
    <w:rsid w:val="005C305A"/>
    <w:rsid w:val="005C388B"/>
    <w:rsid w:val="005C396F"/>
    <w:rsid w:val="005C4A79"/>
    <w:rsid w:val="005C563D"/>
    <w:rsid w:val="005C67F9"/>
    <w:rsid w:val="005C6AE4"/>
    <w:rsid w:val="005C6F62"/>
    <w:rsid w:val="005C7328"/>
    <w:rsid w:val="005C751B"/>
    <w:rsid w:val="005D039D"/>
    <w:rsid w:val="005D0FC9"/>
    <w:rsid w:val="005D1C5B"/>
    <w:rsid w:val="005D1CAA"/>
    <w:rsid w:val="005D2082"/>
    <w:rsid w:val="005D2AA2"/>
    <w:rsid w:val="005D3090"/>
    <w:rsid w:val="005D383F"/>
    <w:rsid w:val="005D3FF0"/>
    <w:rsid w:val="005D40FD"/>
    <w:rsid w:val="005D48C8"/>
    <w:rsid w:val="005D495D"/>
    <w:rsid w:val="005D51FA"/>
    <w:rsid w:val="005D63FB"/>
    <w:rsid w:val="005D7652"/>
    <w:rsid w:val="005D7F4E"/>
    <w:rsid w:val="005E053E"/>
    <w:rsid w:val="005E05FE"/>
    <w:rsid w:val="005E0620"/>
    <w:rsid w:val="005E171C"/>
    <w:rsid w:val="005E1857"/>
    <w:rsid w:val="005E1B04"/>
    <w:rsid w:val="005E1CC1"/>
    <w:rsid w:val="005E2636"/>
    <w:rsid w:val="005E26F8"/>
    <w:rsid w:val="005E385B"/>
    <w:rsid w:val="005E38C0"/>
    <w:rsid w:val="005E3CD6"/>
    <w:rsid w:val="005E4338"/>
    <w:rsid w:val="005E502E"/>
    <w:rsid w:val="005E6E58"/>
    <w:rsid w:val="005E72FD"/>
    <w:rsid w:val="005E77D6"/>
    <w:rsid w:val="005E7BA3"/>
    <w:rsid w:val="005F02C2"/>
    <w:rsid w:val="005F03A0"/>
    <w:rsid w:val="005F2102"/>
    <w:rsid w:val="005F22B0"/>
    <w:rsid w:val="005F2996"/>
    <w:rsid w:val="005F3003"/>
    <w:rsid w:val="005F33D3"/>
    <w:rsid w:val="005F346D"/>
    <w:rsid w:val="005F3708"/>
    <w:rsid w:val="005F5BEE"/>
    <w:rsid w:val="005F6535"/>
    <w:rsid w:val="005F6628"/>
    <w:rsid w:val="005F6D75"/>
    <w:rsid w:val="005F6F16"/>
    <w:rsid w:val="005F7617"/>
    <w:rsid w:val="00600976"/>
    <w:rsid w:val="00601281"/>
    <w:rsid w:val="006017EF"/>
    <w:rsid w:val="0060383B"/>
    <w:rsid w:val="006046A9"/>
    <w:rsid w:val="006048B2"/>
    <w:rsid w:val="0060492E"/>
    <w:rsid w:val="00604BEE"/>
    <w:rsid w:val="00605042"/>
    <w:rsid w:val="00605096"/>
    <w:rsid w:val="00605C0C"/>
    <w:rsid w:val="00605DEF"/>
    <w:rsid w:val="00607009"/>
    <w:rsid w:val="00607B17"/>
    <w:rsid w:val="0061041F"/>
    <w:rsid w:val="0061062E"/>
    <w:rsid w:val="0061077A"/>
    <w:rsid w:val="00610B6F"/>
    <w:rsid w:val="00610CAB"/>
    <w:rsid w:val="00611108"/>
    <w:rsid w:val="00611CA2"/>
    <w:rsid w:val="00611DAE"/>
    <w:rsid w:val="006125DA"/>
    <w:rsid w:val="00612A1A"/>
    <w:rsid w:val="00612B26"/>
    <w:rsid w:val="00612C19"/>
    <w:rsid w:val="00612D51"/>
    <w:rsid w:val="00613239"/>
    <w:rsid w:val="006137EC"/>
    <w:rsid w:val="00613E47"/>
    <w:rsid w:val="006141FA"/>
    <w:rsid w:val="00614A07"/>
    <w:rsid w:val="00614EBC"/>
    <w:rsid w:val="0061567A"/>
    <w:rsid w:val="00615802"/>
    <w:rsid w:val="00615995"/>
    <w:rsid w:val="006159C8"/>
    <w:rsid w:val="0061626E"/>
    <w:rsid w:val="006172EE"/>
    <w:rsid w:val="0061733B"/>
    <w:rsid w:val="0061784A"/>
    <w:rsid w:val="00617BEF"/>
    <w:rsid w:val="00617C8D"/>
    <w:rsid w:val="00620600"/>
    <w:rsid w:val="0062116F"/>
    <w:rsid w:val="006219E9"/>
    <w:rsid w:val="00621B7F"/>
    <w:rsid w:val="00621F99"/>
    <w:rsid w:val="006222CC"/>
    <w:rsid w:val="00622456"/>
    <w:rsid w:val="00622D14"/>
    <w:rsid w:val="006232E7"/>
    <w:rsid w:val="00623CB0"/>
    <w:rsid w:val="0062446E"/>
    <w:rsid w:val="00625500"/>
    <w:rsid w:val="006260B4"/>
    <w:rsid w:val="00626511"/>
    <w:rsid w:val="00626516"/>
    <w:rsid w:val="006267D9"/>
    <w:rsid w:val="00626FCC"/>
    <w:rsid w:val="006300F2"/>
    <w:rsid w:val="00630608"/>
    <w:rsid w:val="006306AA"/>
    <w:rsid w:val="00631116"/>
    <w:rsid w:val="00631316"/>
    <w:rsid w:val="00631AEE"/>
    <w:rsid w:val="0063286A"/>
    <w:rsid w:val="00632886"/>
    <w:rsid w:val="0063291F"/>
    <w:rsid w:val="00632A4C"/>
    <w:rsid w:val="006331AD"/>
    <w:rsid w:val="006339A5"/>
    <w:rsid w:val="00633BAD"/>
    <w:rsid w:val="006347AD"/>
    <w:rsid w:val="0063659E"/>
    <w:rsid w:val="00637027"/>
    <w:rsid w:val="0063757C"/>
    <w:rsid w:val="006376BC"/>
    <w:rsid w:val="00637D8E"/>
    <w:rsid w:val="00640EDB"/>
    <w:rsid w:val="006418BB"/>
    <w:rsid w:val="00641E3F"/>
    <w:rsid w:val="0064219E"/>
    <w:rsid w:val="00642F9E"/>
    <w:rsid w:val="006437F8"/>
    <w:rsid w:val="00643AC0"/>
    <w:rsid w:val="00644871"/>
    <w:rsid w:val="006454E2"/>
    <w:rsid w:val="00645A09"/>
    <w:rsid w:val="00647536"/>
    <w:rsid w:val="00647689"/>
    <w:rsid w:val="00647EC8"/>
    <w:rsid w:val="00650430"/>
    <w:rsid w:val="0065055E"/>
    <w:rsid w:val="006509BB"/>
    <w:rsid w:val="006523EF"/>
    <w:rsid w:val="00652571"/>
    <w:rsid w:val="006525D5"/>
    <w:rsid w:val="00652AB6"/>
    <w:rsid w:val="0065312E"/>
    <w:rsid w:val="006533EC"/>
    <w:rsid w:val="00653618"/>
    <w:rsid w:val="00653EEA"/>
    <w:rsid w:val="006552D5"/>
    <w:rsid w:val="00657365"/>
    <w:rsid w:val="006574C6"/>
    <w:rsid w:val="00657845"/>
    <w:rsid w:val="00657EEA"/>
    <w:rsid w:val="0066022A"/>
    <w:rsid w:val="00660A87"/>
    <w:rsid w:val="00660CB2"/>
    <w:rsid w:val="00660EDE"/>
    <w:rsid w:val="0066126E"/>
    <w:rsid w:val="006615A0"/>
    <w:rsid w:val="00661AEA"/>
    <w:rsid w:val="006620C3"/>
    <w:rsid w:val="00662CD5"/>
    <w:rsid w:val="00662D11"/>
    <w:rsid w:val="00662E81"/>
    <w:rsid w:val="00662FB9"/>
    <w:rsid w:val="0066337A"/>
    <w:rsid w:val="0066375F"/>
    <w:rsid w:val="006637AD"/>
    <w:rsid w:val="00665246"/>
    <w:rsid w:val="0066546F"/>
    <w:rsid w:val="00665A20"/>
    <w:rsid w:val="00666005"/>
    <w:rsid w:val="006660F9"/>
    <w:rsid w:val="00666539"/>
    <w:rsid w:val="006667AA"/>
    <w:rsid w:val="00667D53"/>
    <w:rsid w:val="0067012A"/>
    <w:rsid w:val="0067078A"/>
    <w:rsid w:val="006707B9"/>
    <w:rsid w:val="00671281"/>
    <w:rsid w:val="00671321"/>
    <w:rsid w:val="006713E9"/>
    <w:rsid w:val="00671567"/>
    <w:rsid w:val="0067177B"/>
    <w:rsid w:val="006721A9"/>
    <w:rsid w:val="006722C0"/>
    <w:rsid w:val="00672C0F"/>
    <w:rsid w:val="00673163"/>
    <w:rsid w:val="00673CC8"/>
    <w:rsid w:val="00674767"/>
    <w:rsid w:val="00674F4D"/>
    <w:rsid w:val="00675459"/>
    <w:rsid w:val="0067571F"/>
    <w:rsid w:val="0067668A"/>
    <w:rsid w:val="006766EC"/>
    <w:rsid w:val="00676928"/>
    <w:rsid w:val="00677C69"/>
    <w:rsid w:val="0068032A"/>
    <w:rsid w:val="0068072F"/>
    <w:rsid w:val="00680E60"/>
    <w:rsid w:val="0068112A"/>
    <w:rsid w:val="00681284"/>
    <w:rsid w:val="00681CBC"/>
    <w:rsid w:val="0068280C"/>
    <w:rsid w:val="00682A8C"/>
    <w:rsid w:val="00682ABA"/>
    <w:rsid w:val="00682F4D"/>
    <w:rsid w:val="00683209"/>
    <w:rsid w:val="00683882"/>
    <w:rsid w:val="00684270"/>
    <w:rsid w:val="00684283"/>
    <w:rsid w:val="006844E5"/>
    <w:rsid w:val="00684AFE"/>
    <w:rsid w:val="00685318"/>
    <w:rsid w:val="00685536"/>
    <w:rsid w:val="00687234"/>
    <w:rsid w:val="00690DB7"/>
    <w:rsid w:val="0069102F"/>
    <w:rsid w:val="0069211B"/>
    <w:rsid w:val="00692961"/>
    <w:rsid w:val="00693210"/>
    <w:rsid w:val="00693D96"/>
    <w:rsid w:val="0069402F"/>
    <w:rsid w:val="006940F0"/>
    <w:rsid w:val="00695498"/>
    <w:rsid w:val="00695D72"/>
    <w:rsid w:val="006962FF"/>
    <w:rsid w:val="006968D0"/>
    <w:rsid w:val="006968D8"/>
    <w:rsid w:val="00696C61"/>
    <w:rsid w:val="00696C9A"/>
    <w:rsid w:val="006972D1"/>
    <w:rsid w:val="0069767E"/>
    <w:rsid w:val="006A10F1"/>
    <w:rsid w:val="006A1279"/>
    <w:rsid w:val="006A14B6"/>
    <w:rsid w:val="006A218A"/>
    <w:rsid w:val="006A27BC"/>
    <w:rsid w:val="006A2907"/>
    <w:rsid w:val="006A29A4"/>
    <w:rsid w:val="006A4263"/>
    <w:rsid w:val="006A44D5"/>
    <w:rsid w:val="006A455F"/>
    <w:rsid w:val="006A4785"/>
    <w:rsid w:val="006A4908"/>
    <w:rsid w:val="006A545F"/>
    <w:rsid w:val="006A60E0"/>
    <w:rsid w:val="006A67AB"/>
    <w:rsid w:val="006A6C1C"/>
    <w:rsid w:val="006B0043"/>
    <w:rsid w:val="006B0316"/>
    <w:rsid w:val="006B0BBA"/>
    <w:rsid w:val="006B2456"/>
    <w:rsid w:val="006B29A5"/>
    <w:rsid w:val="006B2E89"/>
    <w:rsid w:val="006B3338"/>
    <w:rsid w:val="006B3494"/>
    <w:rsid w:val="006B36AA"/>
    <w:rsid w:val="006B3B19"/>
    <w:rsid w:val="006B4050"/>
    <w:rsid w:val="006B4795"/>
    <w:rsid w:val="006B4966"/>
    <w:rsid w:val="006B4D83"/>
    <w:rsid w:val="006B4EA6"/>
    <w:rsid w:val="006B51E4"/>
    <w:rsid w:val="006B564F"/>
    <w:rsid w:val="006B5CCE"/>
    <w:rsid w:val="006B63EE"/>
    <w:rsid w:val="006B66D5"/>
    <w:rsid w:val="006B713A"/>
    <w:rsid w:val="006B78E2"/>
    <w:rsid w:val="006B7FBB"/>
    <w:rsid w:val="006C08E1"/>
    <w:rsid w:val="006C0BF6"/>
    <w:rsid w:val="006C162F"/>
    <w:rsid w:val="006C1650"/>
    <w:rsid w:val="006C1998"/>
    <w:rsid w:val="006C2061"/>
    <w:rsid w:val="006C212F"/>
    <w:rsid w:val="006C2F38"/>
    <w:rsid w:val="006C36F5"/>
    <w:rsid w:val="006C439A"/>
    <w:rsid w:val="006C4DF8"/>
    <w:rsid w:val="006C5604"/>
    <w:rsid w:val="006D0AA1"/>
    <w:rsid w:val="006D0F41"/>
    <w:rsid w:val="006D130A"/>
    <w:rsid w:val="006D2C8E"/>
    <w:rsid w:val="006D45DA"/>
    <w:rsid w:val="006D488F"/>
    <w:rsid w:val="006D4D3B"/>
    <w:rsid w:val="006D5544"/>
    <w:rsid w:val="006D5FE0"/>
    <w:rsid w:val="006D6948"/>
    <w:rsid w:val="006D79DC"/>
    <w:rsid w:val="006D7E58"/>
    <w:rsid w:val="006E0860"/>
    <w:rsid w:val="006E2187"/>
    <w:rsid w:val="006E2730"/>
    <w:rsid w:val="006E299A"/>
    <w:rsid w:val="006E2E48"/>
    <w:rsid w:val="006E38AE"/>
    <w:rsid w:val="006E3A70"/>
    <w:rsid w:val="006E3D1D"/>
    <w:rsid w:val="006E42A2"/>
    <w:rsid w:val="006E43EB"/>
    <w:rsid w:val="006E46BE"/>
    <w:rsid w:val="006E46C4"/>
    <w:rsid w:val="006E46EA"/>
    <w:rsid w:val="006E4A87"/>
    <w:rsid w:val="006E530B"/>
    <w:rsid w:val="006E54F7"/>
    <w:rsid w:val="006E6264"/>
    <w:rsid w:val="006E632A"/>
    <w:rsid w:val="006F02F2"/>
    <w:rsid w:val="006F05A4"/>
    <w:rsid w:val="006F06A2"/>
    <w:rsid w:val="006F0F2E"/>
    <w:rsid w:val="006F1169"/>
    <w:rsid w:val="006F1189"/>
    <w:rsid w:val="006F1DC2"/>
    <w:rsid w:val="006F237F"/>
    <w:rsid w:val="006F2A38"/>
    <w:rsid w:val="006F2B91"/>
    <w:rsid w:val="006F2F33"/>
    <w:rsid w:val="006F4987"/>
    <w:rsid w:val="006F52D1"/>
    <w:rsid w:val="006F5A7E"/>
    <w:rsid w:val="006F6453"/>
    <w:rsid w:val="006F6989"/>
    <w:rsid w:val="006F7FAB"/>
    <w:rsid w:val="0070038F"/>
    <w:rsid w:val="007007F1"/>
    <w:rsid w:val="00701950"/>
    <w:rsid w:val="00701B09"/>
    <w:rsid w:val="00702552"/>
    <w:rsid w:val="00702C39"/>
    <w:rsid w:val="00703CCF"/>
    <w:rsid w:val="00704E9B"/>
    <w:rsid w:val="007065FC"/>
    <w:rsid w:val="007068FB"/>
    <w:rsid w:val="00707259"/>
    <w:rsid w:val="00707805"/>
    <w:rsid w:val="00710508"/>
    <w:rsid w:val="00710F1D"/>
    <w:rsid w:val="0071125D"/>
    <w:rsid w:val="00711F43"/>
    <w:rsid w:val="00711F50"/>
    <w:rsid w:val="00712059"/>
    <w:rsid w:val="00712234"/>
    <w:rsid w:val="0071330B"/>
    <w:rsid w:val="007133CF"/>
    <w:rsid w:val="007142A5"/>
    <w:rsid w:val="00714EC9"/>
    <w:rsid w:val="00715B95"/>
    <w:rsid w:val="00715EE3"/>
    <w:rsid w:val="007160B7"/>
    <w:rsid w:val="00716835"/>
    <w:rsid w:val="00716E8A"/>
    <w:rsid w:val="0071705A"/>
    <w:rsid w:val="00717060"/>
    <w:rsid w:val="00717681"/>
    <w:rsid w:val="0071776B"/>
    <w:rsid w:val="00717852"/>
    <w:rsid w:val="007204B6"/>
    <w:rsid w:val="0072057F"/>
    <w:rsid w:val="007205E2"/>
    <w:rsid w:val="0072072D"/>
    <w:rsid w:val="00720E3A"/>
    <w:rsid w:val="00721353"/>
    <w:rsid w:val="007213BA"/>
    <w:rsid w:val="00721469"/>
    <w:rsid w:val="007214BE"/>
    <w:rsid w:val="00721553"/>
    <w:rsid w:val="00721557"/>
    <w:rsid w:val="00721780"/>
    <w:rsid w:val="00721CD5"/>
    <w:rsid w:val="0072327F"/>
    <w:rsid w:val="007244B1"/>
    <w:rsid w:val="007246D3"/>
    <w:rsid w:val="007257BB"/>
    <w:rsid w:val="00725B6D"/>
    <w:rsid w:val="00725BBF"/>
    <w:rsid w:val="00727997"/>
    <w:rsid w:val="00730E01"/>
    <w:rsid w:val="00730F8C"/>
    <w:rsid w:val="00731476"/>
    <w:rsid w:val="00731CC6"/>
    <w:rsid w:val="0073217D"/>
    <w:rsid w:val="00732C03"/>
    <w:rsid w:val="007330C2"/>
    <w:rsid w:val="0073393D"/>
    <w:rsid w:val="00733AEA"/>
    <w:rsid w:val="00734562"/>
    <w:rsid w:val="00734B7B"/>
    <w:rsid w:val="007353A8"/>
    <w:rsid w:val="00735A4B"/>
    <w:rsid w:val="00735B29"/>
    <w:rsid w:val="00735CA0"/>
    <w:rsid w:val="00736025"/>
    <w:rsid w:val="007370D2"/>
    <w:rsid w:val="00740480"/>
    <w:rsid w:val="0074074F"/>
    <w:rsid w:val="007409E4"/>
    <w:rsid w:val="007413E5"/>
    <w:rsid w:val="007418B6"/>
    <w:rsid w:val="00741ADD"/>
    <w:rsid w:val="00741F17"/>
    <w:rsid w:val="00742394"/>
    <w:rsid w:val="007425AB"/>
    <w:rsid w:val="007441A7"/>
    <w:rsid w:val="00744315"/>
    <w:rsid w:val="007448C2"/>
    <w:rsid w:val="00745A58"/>
    <w:rsid w:val="00745BD7"/>
    <w:rsid w:val="00746067"/>
    <w:rsid w:val="007461CB"/>
    <w:rsid w:val="00750119"/>
    <w:rsid w:val="0075048A"/>
    <w:rsid w:val="0075063D"/>
    <w:rsid w:val="007509C9"/>
    <w:rsid w:val="00751527"/>
    <w:rsid w:val="00752C5A"/>
    <w:rsid w:val="00752FCD"/>
    <w:rsid w:val="00753F12"/>
    <w:rsid w:val="0075577B"/>
    <w:rsid w:val="00755FB7"/>
    <w:rsid w:val="007561B9"/>
    <w:rsid w:val="00756FD5"/>
    <w:rsid w:val="0076090A"/>
    <w:rsid w:val="007617A3"/>
    <w:rsid w:val="00761B41"/>
    <w:rsid w:val="00761B6E"/>
    <w:rsid w:val="007620A2"/>
    <w:rsid w:val="00763239"/>
    <w:rsid w:val="00763617"/>
    <w:rsid w:val="007639D3"/>
    <w:rsid w:val="00763BA6"/>
    <w:rsid w:val="00764976"/>
    <w:rsid w:val="007649D2"/>
    <w:rsid w:val="007667FA"/>
    <w:rsid w:val="0077065B"/>
    <w:rsid w:val="0077079D"/>
    <w:rsid w:val="007718B5"/>
    <w:rsid w:val="00771AEF"/>
    <w:rsid w:val="00771AFB"/>
    <w:rsid w:val="00771BFC"/>
    <w:rsid w:val="007729A1"/>
    <w:rsid w:val="00772F5B"/>
    <w:rsid w:val="00773536"/>
    <w:rsid w:val="00773AD9"/>
    <w:rsid w:val="0077564E"/>
    <w:rsid w:val="007758A4"/>
    <w:rsid w:val="00775B9B"/>
    <w:rsid w:val="00775E97"/>
    <w:rsid w:val="00775F75"/>
    <w:rsid w:val="007760D3"/>
    <w:rsid w:val="007776EE"/>
    <w:rsid w:val="00780825"/>
    <w:rsid w:val="007825D3"/>
    <w:rsid w:val="0078351B"/>
    <w:rsid w:val="00783AE9"/>
    <w:rsid w:val="0078407C"/>
    <w:rsid w:val="00784C6A"/>
    <w:rsid w:val="00784D56"/>
    <w:rsid w:val="007854C4"/>
    <w:rsid w:val="007855FD"/>
    <w:rsid w:val="007870D0"/>
    <w:rsid w:val="00787641"/>
    <w:rsid w:val="00787A76"/>
    <w:rsid w:val="007901EA"/>
    <w:rsid w:val="00790411"/>
    <w:rsid w:val="0079107F"/>
    <w:rsid w:val="00791225"/>
    <w:rsid w:val="00791564"/>
    <w:rsid w:val="007925F7"/>
    <w:rsid w:val="007933C4"/>
    <w:rsid w:val="00793710"/>
    <w:rsid w:val="007939EA"/>
    <w:rsid w:val="007940F6"/>
    <w:rsid w:val="0079425C"/>
    <w:rsid w:val="007942D8"/>
    <w:rsid w:val="00794F49"/>
    <w:rsid w:val="00794FB6"/>
    <w:rsid w:val="0079515D"/>
    <w:rsid w:val="007953C0"/>
    <w:rsid w:val="007959E6"/>
    <w:rsid w:val="00795D2F"/>
    <w:rsid w:val="00796191"/>
    <w:rsid w:val="00796C51"/>
    <w:rsid w:val="00797037"/>
    <w:rsid w:val="00797756"/>
    <w:rsid w:val="00797CF3"/>
    <w:rsid w:val="00797F8A"/>
    <w:rsid w:val="007A03EA"/>
    <w:rsid w:val="007A0694"/>
    <w:rsid w:val="007A0A9F"/>
    <w:rsid w:val="007A0BD5"/>
    <w:rsid w:val="007A3A3C"/>
    <w:rsid w:val="007A44B3"/>
    <w:rsid w:val="007A4501"/>
    <w:rsid w:val="007A4594"/>
    <w:rsid w:val="007A467B"/>
    <w:rsid w:val="007A4717"/>
    <w:rsid w:val="007A58BC"/>
    <w:rsid w:val="007A63D3"/>
    <w:rsid w:val="007A72A5"/>
    <w:rsid w:val="007A7519"/>
    <w:rsid w:val="007A75DF"/>
    <w:rsid w:val="007A775F"/>
    <w:rsid w:val="007B0B74"/>
    <w:rsid w:val="007B0E4F"/>
    <w:rsid w:val="007B0EF8"/>
    <w:rsid w:val="007B12FA"/>
    <w:rsid w:val="007B2F0E"/>
    <w:rsid w:val="007B3126"/>
    <w:rsid w:val="007B341A"/>
    <w:rsid w:val="007B4332"/>
    <w:rsid w:val="007B50B2"/>
    <w:rsid w:val="007B50B7"/>
    <w:rsid w:val="007B61E8"/>
    <w:rsid w:val="007B6634"/>
    <w:rsid w:val="007B6F77"/>
    <w:rsid w:val="007B7BF7"/>
    <w:rsid w:val="007C052C"/>
    <w:rsid w:val="007C0CAA"/>
    <w:rsid w:val="007C14AB"/>
    <w:rsid w:val="007C1874"/>
    <w:rsid w:val="007C1C31"/>
    <w:rsid w:val="007C246A"/>
    <w:rsid w:val="007C27A2"/>
    <w:rsid w:val="007C2A4B"/>
    <w:rsid w:val="007C3376"/>
    <w:rsid w:val="007C343E"/>
    <w:rsid w:val="007C3777"/>
    <w:rsid w:val="007C3EF4"/>
    <w:rsid w:val="007C44E2"/>
    <w:rsid w:val="007C4E89"/>
    <w:rsid w:val="007C524F"/>
    <w:rsid w:val="007C55F6"/>
    <w:rsid w:val="007C6340"/>
    <w:rsid w:val="007C7084"/>
    <w:rsid w:val="007C7925"/>
    <w:rsid w:val="007C7FC8"/>
    <w:rsid w:val="007D0355"/>
    <w:rsid w:val="007D04DC"/>
    <w:rsid w:val="007D0B13"/>
    <w:rsid w:val="007D14E8"/>
    <w:rsid w:val="007D2AEF"/>
    <w:rsid w:val="007D3A98"/>
    <w:rsid w:val="007D479D"/>
    <w:rsid w:val="007D4B0A"/>
    <w:rsid w:val="007D4DDA"/>
    <w:rsid w:val="007D57F5"/>
    <w:rsid w:val="007D59A5"/>
    <w:rsid w:val="007D6464"/>
    <w:rsid w:val="007D647F"/>
    <w:rsid w:val="007D672B"/>
    <w:rsid w:val="007D696F"/>
    <w:rsid w:val="007D7AB8"/>
    <w:rsid w:val="007D7C9B"/>
    <w:rsid w:val="007E044D"/>
    <w:rsid w:val="007E05F3"/>
    <w:rsid w:val="007E0676"/>
    <w:rsid w:val="007E08B0"/>
    <w:rsid w:val="007E0A71"/>
    <w:rsid w:val="007E4987"/>
    <w:rsid w:val="007E5598"/>
    <w:rsid w:val="007E67D3"/>
    <w:rsid w:val="007E6A15"/>
    <w:rsid w:val="007E716D"/>
    <w:rsid w:val="007E7A73"/>
    <w:rsid w:val="007F0ABD"/>
    <w:rsid w:val="007F1559"/>
    <w:rsid w:val="007F1877"/>
    <w:rsid w:val="007F1E7F"/>
    <w:rsid w:val="007F23E3"/>
    <w:rsid w:val="007F3FAC"/>
    <w:rsid w:val="007F47C5"/>
    <w:rsid w:val="007F5188"/>
    <w:rsid w:val="007F541D"/>
    <w:rsid w:val="007F5469"/>
    <w:rsid w:val="007F54C4"/>
    <w:rsid w:val="007F62C7"/>
    <w:rsid w:val="007F66F8"/>
    <w:rsid w:val="007F7304"/>
    <w:rsid w:val="007F78CC"/>
    <w:rsid w:val="008005CB"/>
    <w:rsid w:val="00800915"/>
    <w:rsid w:val="0080125C"/>
    <w:rsid w:val="008019E5"/>
    <w:rsid w:val="0080208C"/>
    <w:rsid w:val="00802887"/>
    <w:rsid w:val="00802EE1"/>
    <w:rsid w:val="008038F3"/>
    <w:rsid w:val="0080464F"/>
    <w:rsid w:val="0080471A"/>
    <w:rsid w:val="008053D4"/>
    <w:rsid w:val="00805534"/>
    <w:rsid w:val="0080560E"/>
    <w:rsid w:val="00806069"/>
    <w:rsid w:val="00806F65"/>
    <w:rsid w:val="0080726B"/>
    <w:rsid w:val="008077EE"/>
    <w:rsid w:val="00807EBC"/>
    <w:rsid w:val="008102E8"/>
    <w:rsid w:val="00810AB8"/>
    <w:rsid w:val="0081244D"/>
    <w:rsid w:val="00812D0C"/>
    <w:rsid w:val="00813788"/>
    <w:rsid w:val="00813EFE"/>
    <w:rsid w:val="00814A7E"/>
    <w:rsid w:val="00814C42"/>
    <w:rsid w:val="00814D61"/>
    <w:rsid w:val="00814F83"/>
    <w:rsid w:val="008151BB"/>
    <w:rsid w:val="00815978"/>
    <w:rsid w:val="00815C78"/>
    <w:rsid w:val="00816603"/>
    <w:rsid w:val="008166EF"/>
    <w:rsid w:val="00816850"/>
    <w:rsid w:val="00816D4A"/>
    <w:rsid w:val="00817065"/>
    <w:rsid w:val="00817443"/>
    <w:rsid w:val="00817BBC"/>
    <w:rsid w:val="0082031C"/>
    <w:rsid w:val="00820470"/>
    <w:rsid w:val="00820CEF"/>
    <w:rsid w:val="008217E7"/>
    <w:rsid w:val="00822068"/>
    <w:rsid w:val="008220C1"/>
    <w:rsid w:val="00822550"/>
    <w:rsid w:val="00822E52"/>
    <w:rsid w:val="00823A77"/>
    <w:rsid w:val="00823FA8"/>
    <w:rsid w:val="00823FD8"/>
    <w:rsid w:val="0082406A"/>
    <w:rsid w:val="00824B3F"/>
    <w:rsid w:val="008254C4"/>
    <w:rsid w:val="00825CE7"/>
    <w:rsid w:val="00826681"/>
    <w:rsid w:val="00826989"/>
    <w:rsid w:val="00826AC0"/>
    <w:rsid w:val="00826EA1"/>
    <w:rsid w:val="00827189"/>
    <w:rsid w:val="008275C9"/>
    <w:rsid w:val="008278CC"/>
    <w:rsid w:val="00827F65"/>
    <w:rsid w:val="00830162"/>
    <w:rsid w:val="00830714"/>
    <w:rsid w:val="008309D6"/>
    <w:rsid w:val="00831109"/>
    <w:rsid w:val="00832ECC"/>
    <w:rsid w:val="00833697"/>
    <w:rsid w:val="00835203"/>
    <w:rsid w:val="00835533"/>
    <w:rsid w:val="00835676"/>
    <w:rsid w:val="00837476"/>
    <w:rsid w:val="00837BA5"/>
    <w:rsid w:val="008403EE"/>
    <w:rsid w:val="008406DC"/>
    <w:rsid w:val="00840B90"/>
    <w:rsid w:val="00841A98"/>
    <w:rsid w:val="00841C55"/>
    <w:rsid w:val="00841FEA"/>
    <w:rsid w:val="00842E5E"/>
    <w:rsid w:val="0084328D"/>
    <w:rsid w:val="008435D6"/>
    <w:rsid w:val="00843B04"/>
    <w:rsid w:val="008449CB"/>
    <w:rsid w:val="008451BF"/>
    <w:rsid w:val="008453EC"/>
    <w:rsid w:val="008457D9"/>
    <w:rsid w:val="00845EE5"/>
    <w:rsid w:val="0084606E"/>
    <w:rsid w:val="00846B51"/>
    <w:rsid w:val="008470A1"/>
    <w:rsid w:val="008523AA"/>
    <w:rsid w:val="00852494"/>
    <w:rsid w:val="008528AF"/>
    <w:rsid w:val="00852EC7"/>
    <w:rsid w:val="00853914"/>
    <w:rsid w:val="0085433C"/>
    <w:rsid w:val="0085487A"/>
    <w:rsid w:val="00854ABD"/>
    <w:rsid w:val="00854F61"/>
    <w:rsid w:val="00855F0F"/>
    <w:rsid w:val="008571F2"/>
    <w:rsid w:val="008574FF"/>
    <w:rsid w:val="00857B46"/>
    <w:rsid w:val="00857B53"/>
    <w:rsid w:val="00857B92"/>
    <w:rsid w:val="00860163"/>
    <w:rsid w:val="008608D2"/>
    <w:rsid w:val="00860D38"/>
    <w:rsid w:val="008615F3"/>
    <w:rsid w:val="00862785"/>
    <w:rsid w:val="00862836"/>
    <w:rsid w:val="00863922"/>
    <w:rsid w:val="00863DEE"/>
    <w:rsid w:val="00864F76"/>
    <w:rsid w:val="008653FD"/>
    <w:rsid w:val="008658BC"/>
    <w:rsid w:val="00870125"/>
    <w:rsid w:val="00870542"/>
    <w:rsid w:val="008706FF"/>
    <w:rsid w:val="00871846"/>
    <w:rsid w:val="0087234A"/>
    <w:rsid w:val="00872488"/>
    <w:rsid w:val="0087251A"/>
    <w:rsid w:val="00872A76"/>
    <w:rsid w:val="00872C20"/>
    <w:rsid w:val="00872D29"/>
    <w:rsid w:val="00872F78"/>
    <w:rsid w:val="00873322"/>
    <w:rsid w:val="00873C6F"/>
    <w:rsid w:val="00874012"/>
    <w:rsid w:val="008743BE"/>
    <w:rsid w:val="00874CF5"/>
    <w:rsid w:val="00874F67"/>
    <w:rsid w:val="00874F8C"/>
    <w:rsid w:val="00875752"/>
    <w:rsid w:val="00875C1A"/>
    <w:rsid w:val="00876613"/>
    <w:rsid w:val="0087693A"/>
    <w:rsid w:val="00876BD4"/>
    <w:rsid w:val="0087727B"/>
    <w:rsid w:val="00880863"/>
    <w:rsid w:val="00880B0B"/>
    <w:rsid w:val="00880C30"/>
    <w:rsid w:val="00880FDB"/>
    <w:rsid w:val="00881431"/>
    <w:rsid w:val="008818EE"/>
    <w:rsid w:val="00881F9E"/>
    <w:rsid w:val="008826F8"/>
    <w:rsid w:val="00882FD5"/>
    <w:rsid w:val="00883299"/>
    <w:rsid w:val="00883536"/>
    <w:rsid w:val="0088399B"/>
    <w:rsid w:val="00884157"/>
    <w:rsid w:val="008857B3"/>
    <w:rsid w:val="008858C1"/>
    <w:rsid w:val="00885AB4"/>
    <w:rsid w:val="00885B78"/>
    <w:rsid w:val="00885DB0"/>
    <w:rsid w:val="00886796"/>
    <w:rsid w:val="00886D12"/>
    <w:rsid w:val="008875A4"/>
    <w:rsid w:val="00887670"/>
    <w:rsid w:val="00890A44"/>
    <w:rsid w:val="0089245B"/>
    <w:rsid w:val="008926DF"/>
    <w:rsid w:val="00893552"/>
    <w:rsid w:val="0089395E"/>
    <w:rsid w:val="00893F43"/>
    <w:rsid w:val="0089548D"/>
    <w:rsid w:val="00895769"/>
    <w:rsid w:val="00895B20"/>
    <w:rsid w:val="008A0743"/>
    <w:rsid w:val="008A0F26"/>
    <w:rsid w:val="008A131D"/>
    <w:rsid w:val="008A166B"/>
    <w:rsid w:val="008A17EE"/>
    <w:rsid w:val="008A1802"/>
    <w:rsid w:val="008A21DF"/>
    <w:rsid w:val="008A24C2"/>
    <w:rsid w:val="008A24DE"/>
    <w:rsid w:val="008A2589"/>
    <w:rsid w:val="008A2BB1"/>
    <w:rsid w:val="008A3329"/>
    <w:rsid w:val="008A54D1"/>
    <w:rsid w:val="008A66F5"/>
    <w:rsid w:val="008A685C"/>
    <w:rsid w:val="008A74AF"/>
    <w:rsid w:val="008A77F7"/>
    <w:rsid w:val="008B0DBB"/>
    <w:rsid w:val="008B0E25"/>
    <w:rsid w:val="008B1474"/>
    <w:rsid w:val="008B18FD"/>
    <w:rsid w:val="008B1D7F"/>
    <w:rsid w:val="008B2D1A"/>
    <w:rsid w:val="008B3438"/>
    <w:rsid w:val="008B3AE9"/>
    <w:rsid w:val="008B3E06"/>
    <w:rsid w:val="008B45BF"/>
    <w:rsid w:val="008B460B"/>
    <w:rsid w:val="008B4D14"/>
    <w:rsid w:val="008B505D"/>
    <w:rsid w:val="008B5ACB"/>
    <w:rsid w:val="008B62FA"/>
    <w:rsid w:val="008B673A"/>
    <w:rsid w:val="008B6B6B"/>
    <w:rsid w:val="008B6CAE"/>
    <w:rsid w:val="008B6D02"/>
    <w:rsid w:val="008B6F10"/>
    <w:rsid w:val="008B6F4A"/>
    <w:rsid w:val="008B78BF"/>
    <w:rsid w:val="008C0276"/>
    <w:rsid w:val="008C02BB"/>
    <w:rsid w:val="008C070A"/>
    <w:rsid w:val="008C145C"/>
    <w:rsid w:val="008C1898"/>
    <w:rsid w:val="008C18C7"/>
    <w:rsid w:val="008C190A"/>
    <w:rsid w:val="008C1ABC"/>
    <w:rsid w:val="008C22EB"/>
    <w:rsid w:val="008C24F2"/>
    <w:rsid w:val="008C26A4"/>
    <w:rsid w:val="008C36A8"/>
    <w:rsid w:val="008C374A"/>
    <w:rsid w:val="008C3AB8"/>
    <w:rsid w:val="008C425A"/>
    <w:rsid w:val="008C4708"/>
    <w:rsid w:val="008C4BB7"/>
    <w:rsid w:val="008C55E4"/>
    <w:rsid w:val="008C5AF8"/>
    <w:rsid w:val="008C60FC"/>
    <w:rsid w:val="008C6874"/>
    <w:rsid w:val="008C7755"/>
    <w:rsid w:val="008C7C86"/>
    <w:rsid w:val="008C7FCE"/>
    <w:rsid w:val="008D0DB1"/>
    <w:rsid w:val="008D0E79"/>
    <w:rsid w:val="008D1225"/>
    <w:rsid w:val="008D17A9"/>
    <w:rsid w:val="008D2D1E"/>
    <w:rsid w:val="008D40F2"/>
    <w:rsid w:val="008D4610"/>
    <w:rsid w:val="008D4F94"/>
    <w:rsid w:val="008D53A5"/>
    <w:rsid w:val="008D6027"/>
    <w:rsid w:val="008D6395"/>
    <w:rsid w:val="008D681D"/>
    <w:rsid w:val="008D6878"/>
    <w:rsid w:val="008D746E"/>
    <w:rsid w:val="008D7932"/>
    <w:rsid w:val="008D7ADE"/>
    <w:rsid w:val="008E0224"/>
    <w:rsid w:val="008E0A0E"/>
    <w:rsid w:val="008E0C13"/>
    <w:rsid w:val="008E0E93"/>
    <w:rsid w:val="008E12B6"/>
    <w:rsid w:val="008E2901"/>
    <w:rsid w:val="008E2BA6"/>
    <w:rsid w:val="008E31CA"/>
    <w:rsid w:val="008E38AB"/>
    <w:rsid w:val="008E3C2C"/>
    <w:rsid w:val="008E4A4B"/>
    <w:rsid w:val="008E4BD4"/>
    <w:rsid w:val="008E510B"/>
    <w:rsid w:val="008E6524"/>
    <w:rsid w:val="008E6540"/>
    <w:rsid w:val="008E674F"/>
    <w:rsid w:val="008E6ACC"/>
    <w:rsid w:val="008E6BA6"/>
    <w:rsid w:val="008F0650"/>
    <w:rsid w:val="008F0D13"/>
    <w:rsid w:val="008F1768"/>
    <w:rsid w:val="008F185A"/>
    <w:rsid w:val="008F18E8"/>
    <w:rsid w:val="008F1E3D"/>
    <w:rsid w:val="008F2054"/>
    <w:rsid w:val="008F282F"/>
    <w:rsid w:val="008F2B62"/>
    <w:rsid w:val="008F2BB3"/>
    <w:rsid w:val="008F2DDD"/>
    <w:rsid w:val="008F3B64"/>
    <w:rsid w:val="008F4418"/>
    <w:rsid w:val="008F49B0"/>
    <w:rsid w:val="008F5213"/>
    <w:rsid w:val="008F52B1"/>
    <w:rsid w:val="008F56C7"/>
    <w:rsid w:val="008F5871"/>
    <w:rsid w:val="008F5A70"/>
    <w:rsid w:val="008F66DD"/>
    <w:rsid w:val="008F680B"/>
    <w:rsid w:val="008F7662"/>
    <w:rsid w:val="008F7702"/>
    <w:rsid w:val="008F7A4C"/>
    <w:rsid w:val="0090089C"/>
    <w:rsid w:val="009010E1"/>
    <w:rsid w:val="00902136"/>
    <w:rsid w:val="0090218A"/>
    <w:rsid w:val="00902B62"/>
    <w:rsid w:val="0090311D"/>
    <w:rsid w:val="009033D4"/>
    <w:rsid w:val="009038B5"/>
    <w:rsid w:val="00903F40"/>
    <w:rsid w:val="00904854"/>
    <w:rsid w:val="00904ACE"/>
    <w:rsid w:val="00905A19"/>
    <w:rsid w:val="009060AE"/>
    <w:rsid w:val="00906384"/>
    <w:rsid w:val="0090662F"/>
    <w:rsid w:val="009071DD"/>
    <w:rsid w:val="0090721C"/>
    <w:rsid w:val="009076F2"/>
    <w:rsid w:val="009108BD"/>
    <w:rsid w:val="00910B46"/>
    <w:rsid w:val="00910CE5"/>
    <w:rsid w:val="0091161E"/>
    <w:rsid w:val="00911834"/>
    <w:rsid w:val="00911962"/>
    <w:rsid w:val="00911B5B"/>
    <w:rsid w:val="00911C5F"/>
    <w:rsid w:val="00911D40"/>
    <w:rsid w:val="00912421"/>
    <w:rsid w:val="009131E3"/>
    <w:rsid w:val="009131E7"/>
    <w:rsid w:val="00913ED9"/>
    <w:rsid w:val="009140CC"/>
    <w:rsid w:val="009142D5"/>
    <w:rsid w:val="009144D2"/>
    <w:rsid w:val="00914DBE"/>
    <w:rsid w:val="009164BD"/>
    <w:rsid w:val="009174DE"/>
    <w:rsid w:val="009178BC"/>
    <w:rsid w:val="00917DA2"/>
    <w:rsid w:val="00920B3C"/>
    <w:rsid w:val="00920B87"/>
    <w:rsid w:val="00920BA6"/>
    <w:rsid w:val="0092117F"/>
    <w:rsid w:val="009216B4"/>
    <w:rsid w:val="00921791"/>
    <w:rsid w:val="009217CE"/>
    <w:rsid w:val="00921F71"/>
    <w:rsid w:val="0092261C"/>
    <w:rsid w:val="00922684"/>
    <w:rsid w:val="00922ED1"/>
    <w:rsid w:val="00923038"/>
    <w:rsid w:val="00924900"/>
    <w:rsid w:val="0092567E"/>
    <w:rsid w:val="0092706C"/>
    <w:rsid w:val="00927464"/>
    <w:rsid w:val="009300B0"/>
    <w:rsid w:val="009301A1"/>
    <w:rsid w:val="0093078E"/>
    <w:rsid w:val="00930802"/>
    <w:rsid w:val="0093107B"/>
    <w:rsid w:val="00931261"/>
    <w:rsid w:val="009323B5"/>
    <w:rsid w:val="009333AE"/>
    <w:rsid w:val="0093411F"/>
    <w:rsid w:val="00934219"/>
    <w:rsid w:val="00934794"/>
    <w:rsid w:val="00935368"/>
    <w:rsid w:val="009364F8"/>
    <w:rsid w:val="009372C5"/>
    <w:rsid w:val="009372E8"/>
    <w:rsid w:val="00940E43"/>
    <w:rsid w:val="009413D4"/>
    <w:rsid w:val="0094148D"/>
    <w:rsid w:val="009415D4"/>
    <w:rsid w:val="0094194B"/>
    <w:rsid w:val="009428B1"/>
    <w:rsid w:val="00942982"/>
    <w:rsid w:val="00942EA3"/>
    <w:rsid w:val="00942F5C"/>
    <w:rsid w:val="00943025"/>
    <w:rsid w:val="009435D0"/>
    <w:rsid w:val="0094367A"/>
    <w:rsid w:val="00943CDD"/>
    <w:rsid w:val="00943E1E"/>
    <w:rsid w:val="00944A0F"/>
    <w:rsid w:val="00944DED"/>
    <w:rsid w:val="00944E58"/>
    <w:rsid w:val="00945729"/>
    <w:rsid w:val="009458DD"/>
    <w:rsid w:val="00945E6D"/>
    <w:rsid w:val="00946395"/>
    <w:rsid w:val="00946524"/>
    <w:rsid w:val="00946B61"/>
    <w:rsid w:val="00946B64"/>
    <w:rsid w:val="00946EDD"/>
    <w:rsid w:val="00947157"/>
    <w:rsid w:val="0095041C"/>
    <w:rsid w:val="00950DFC"/>
    <w:rsid w:val="009515A5"/>
    <w:rsid w:val="009521DF"/>
    <w:rsid w:val="00952F70"/>
    <w:rsid w:val="009535A5"/>
    <w:rsid w:val="0095389F"/>
    <w:rsid w:val="00953AA1"/>
    <w:rsid w:val="00953B82"/>
    <w:rsid w:val="00954991"/>
    <w:rsid w:val="00954E70"/>
    <w:rsid w:val="00956FC8"/>
    <w:rsid w:val="0095702B"/>
    <w:rsid w:val="009574C3"/>
    <w:rsid w:val="0095777A"/>
    <w:rsid w:val="00957821"/>
    <w:rsid w:val="009607E0"/>
    <w:rsid w:val="00961052"/>
    <w:rsid w:val="009617BB"/>
    <w:rsid w:val="00961F6B"/>
    <w:rsid w:val="00962C97"/>
    <w:rsid w:val="0096315B"/>
    <w:rsid w:val="009632BB"/>
    <w:rsid w:val="009633F2"/>
    <w:rsid w:val="00963520"/>
    <w:rsid w:val="0096383D"/>
    <w:rsid w:val="00963A10"/>
    <w:rsid w:val="00963B48"/>
    <w:rsid w:val="0096409A"/>
    <w:rsid w:val="0096438D"/>
    <w:rsid w:val="00964E69"/>
    <w:rsid w:val="0096551C"/>
    <w:rsid w:val="00967C24"/>
    <w:rsid w:val="009700ED"/>
    <w:rsid w:val="0097015C"/>
    <w:rsid w:val="0097043C"/>
    <w:rsid w:val="009705D1"/>
    <w:rsid w:val="0097114B"/>
    <w:rsid w:val="0097115C"/>
    <w:rsid w:val="00971551"/>
    <w:rsid w:val="009718DD"/>
    <w:rsid w:val="00971FCB"/>
    <w:rsid w:val="009720A3"/>
    <w:rsid w:val="00974594"/>
    <w:rsid w:val="00974C5C"/>
    <w:rsid w:val="009751DF"/>
    <w:rsid w:val="009755FC"/>
    <w:rsid w:val="0097560A"/>
    <w:rsid w:val="00975D88"/>
    <w:rsid w:val="00976BB0"/>
    <w:rsid w:val="009808AA"/>
    <w:rsid w:val="009808F4"/>
    <w:rsid w:val="00980DA0"/>
    <w:rsid w:val="009815A5"/>
    <w:rsid w:val="00981A06"/>
    <w:rsid w:val="00983731"/>
    <w:rsid w:val="0098433F"/>
    <w:rsid w:val="00984346"/>
    <w:rsid w:val="00984647"/>
    <w:rsid w:val="00984978"/>
    <w:rsid w:val="009854DF"/>
    <w:rsid w:val="00985C3D"/>
    <w:rsid w:val="00985E54"/>
    <w:rsid w:val="00986C77"/>
    <w:rsid w:val="00986C88"/>
    <w:rsid w:val="00990B73"/>
    <w:rsid w:val="0099111B"/>
    <w:rsid w:val="0099129E"/>
    <w:rsid w:val="00991F55"/>
    <w:rsid w:val="0099203E"/>
    <w:rsid w:val="00992C7B"/>
    <w:rsid w:val="00993137"/>
    <w:rsid w:val="00993854"/>
    <w:rsid w:val="00993E41"/>
    <w:rsid w:val="009949A6"/>
    <w:rsid w:val="00995201"/>
    <w:rsid w:val="00995E38"/>
    <w:rsid w:val="00996C6F"/>
    <w:rsid w:val="00996EE2"/>
    <w:rsid w:val="00996EF6"/>
    <w:rsid w:val="00996F77"/>
    <w:rsid w:val="00997E8C"/>
    <w:rsid w:val="009A0527"/>
    <w:rsid w:val="009A122C"/>
    <w:rsid w:val="009A1D22"/>
    <w:rsid w:val="009A2298"/>
    <w:rsid w:val="009A2628"/>
    <w:rsid w:val="009A30C1"/>
    <w:rsid w:val="009A33BE"/>
    <w:rsid w:val="009A34F2"/>
    <w:rsid w:val="009A3795"/>
    <w:rsid w:val="009A3854"/>
    <w:rsid w:val="009A406B"/>
    <w:rsid w:val="009A51AD"/>
    <w:rsid w:val="009A5318"/>
    <w:rsid w:val="009A536C"/>
    <w:rsid w:val="009A57E1"/>
    <w:rsid w:val="009A589F"/>
    <w:rsid w:val="009A59B7"/>
    <w:rsid w:val="009A5A1E"/>
    <w:rsid w:val="009A5BE4"/>
    <w:rsid w:val="009A5FE3"/>
    <w:rsid w:val="009A74C0"/>
    <w:rsid w:val="009B0588"/>
    <w:rsid w:val="009B0CCF"/>
    <w:rsid w:val="009B1529"/>
    <w:rsid w:val="009B1619"/>
    <w:rsid w:val="009B1792"/>
    <w:rsid w:val="009B1E02"/>
    <w:rsid w:val="009B1EB7"/>
    <w:rsid w:val="009B1FF5"/>
    <w:rsid w:val="009B2559"/>
    <w:rsid w:val="009B25A8"/>
    <w:rsid w:val="009B2E82"/>
    <w:rsid w:val="009B3181"/>
    <w:rsid w:val="009B3318"/>
    <w:rsid w:val="009B3336"/>
    <w:rsid w:val="009B402A"/>
    <w:rsid w:val="009B4DDE"/>
    <w:rsid w:val="009B51CF"/>
    <w:rsid w:val="009B547D"/>
    <w:rsid w:val="009B5FA4"/>
    <w:rsid w:val="009B65DC"/>
    <w:rsid w:val="009B6840"/>
    <w:rsid w:val="009B783D"/>
    <w:rsid w:val="009C10BF"/>
    <w:rsid w:val="009C14FA"/>
    <w:rsid w:val="009C18B2"/>
    <w:rsid w:val="009C240D"/>
    <w:rsid w:val="009C3068"/>
    <w:rsid w:val="009C3402"/>
    <w:rsid w:val="009C3657"/>
    <w:rsid w:val="009C48D7"/>
    <w:rsid w:val="009C57BF"/>
    <w:rsid w:val="009C62A4"/>
    <w:rsid w:val="009C646E"/>
    <w:rsid w:val="009C64E8"/>
    <w:rsid w:val="009C6EC6"/>
    <w:rsid w:val="009C73C5"/>
    <w:rsid w:val="009C7439"/>
    <w:rsid w:val="009C7D72"/>
    <w:rsid w:val="009D0A6B"/>
    <w:rsid w:val="009D0AE6"/>
    <w:rsid w:val="009D1727"/>
    <w:rsid w:val="009D284F"/>
    <w:rsid w:val="009D31D7"/>
    <w:rsid w:val="009D3311"/>
    <w:rsid w:val="009D33DE"/>
    <w:rsid w:val="009D3518"/>
    <w:rsid w:val="009D428D"/>
    <w:rsid w:val="009D43EE"/>
    <w:rsid w:val="009D4F3A"/>
    <w:rsid w:val="009D5323"/>
    <w:rsid w:val="009D58FE"/>
    <w:rsid w:val="009D6083"/>
    <w:rsid w:val="009D63B0"/>
    <w:rsid w:val="009D65BD"/>
    <w:rsid w:val="009D6D36"/>
    <w:rsid w:val="009D6E33"/>
    <w:rsid w:val="009D7B90"/>
    <w:rsid w:val="009D7BF4"/>
    <w:rsid w:val="009E0C92"/>
    <w:rsid w:val="009E0DAF"/>
    <w:rsid w:val="009E0DD6"/>
    <w:rsid w:val="009E10F7"/>
    <w:rsid w:val="009E134D"/>
    <w:rsid w:val="009E2329"/>
    <w:rsid w:val="009E2560"/>
    <w:rsid w:val="009E2821"/>
    <w:rsid w:val="009E2E6C"/>
    <w:rsid w:val="009E347B"/>
    <w:rsid w:val="009E3636"/>
    <w:rsid w:val="009E36F1"/>
    <w:rsid w:val="009E3A9E"/>
    <w:rsid w:val="009E3AAD"/>
    <w:rsid w:val="009E42E6"/>
    <w:rsid w:val="009E44F3"/>
    <w:rsid w:val="009E4EE3"/>
    <w:rsid w:val="009E5757"/>
    <w:rsid w:val="009E71DF"/>
    <w:rsid w:val="009E7DFE"/>
    <w:rsid w:val="009F011F"/>
    <w:rsid w:val="009F027B"/>
    <w:rsid w:val="009F063D"/>
    <w:rsid w:val="009F14F8"/>
    <w:rsid w:val="009F1687"/>
    <w:rsid w:val="009F2203"/>
    <w:rsid w:val="009F2500"/>
    <w:rsid w:val="009F2B36"/>
    <w:rsid w:val="009F2C9F"/>
    <w:rsid w:val="009F2D37"/>
    <w:rsid w:val="009F3F8E"/>
    <w:rsid w:val="009F42E6"/>
    <w:rsid w:val="009F45A5"/>
    <w:rsid w:val="009F49A3"/>
    <w:rsid w:val="009F4B82"/>
    <w:rsid w:val="009F574C"/>
    <w:rsid w:val="009F5A7B"/>
    <w:rsid w:val="009F5D5B"/>
    <w:rsid w:val="009F5FD8"/>
    <w:rsid w:val="009F6177"/>
    <w:rsid w:val="009F668C"/>
    <w:rsid w:val="009F710B"/>
    <w:rsid w:val="00A00102"/>
    <w:rsid w:val="00A011C8"/>
    <w:rsid w:val="00A015A4"/>
    <w:rsid w:val="00A0187B"/>
    <w:rsid w:val="00A01BB2"/>
    <w:rsid w:val="00A02467"/>
    <w:rsid w:val="00A03D71"/>
    <w:rsid w:val="00A04CA7"/>
    <w:rsid w:val="00A055E2"/>
    <w:rsid w:val="00A057A2"/>
    <w:rsid w:val="00A06EFB"/>
    <w:rsid w:val="00A07772"/>
    <w:rsid w:val="00A078C0"/>
    <w:rsid w:val="00A07A04"/>
    <w:rsid w:val="00A07E41"/>
    <w:rsid w:val="00A11B8A"/>
    <w:rsid w:val="00A11D45"/>
    <w:rsid w:val="00A11F7E"/>
    <w:rsid w:val="00A1227D"/>
    <w:rsid w:val="00A124F6"/>
    <w:rsid w:val="00A12A54"/>
    <w:rsid w:val="00A137C0"/>
    <w:rsid w:val="00A141FB"/>
    <w:rsid w:val="00A150DC"/>
    <w:rsid w:val="00A156F8"/>
    <w:rsid w:val="00A15AC7"/>
    <w:rsid w:val="00A16614"/>
    <w:rsid w:val="00A16E65"/>
    <w:rsid w:val="00A175B8"/>
    <w:rsid w:val="00A20087"/>
    <w:rsid w:val="00A20E17"/>
    <w:rsid w:val="00A21916"/>
    <w:rsid w:val="00A22BD3"/>
    <w:rsid w:val="00A23790"/>
    <w:rsid w:val="00A2469F"/>
    <w:rsid w:val="00A24DCA"/>
    <w:rsid w:val="00A2634E"/>
    <w:rsid w:val="00A265F2"/>
    <w:rsid w:val="00A26AC9"/>
    <w:rsid w:val="00A26C72"/>
    <w:rsid w:val="00A2745E"/>
    <w:rsid w:val="00A27D45"/>
    <w:rsid w:val="00A31E5C"/>
    <w:rsid w:val="00A3222C"/>
    <w:rsid w:val="00A3230A"/>
    <w:rsid w:val="00A326D1"/>
    <w:rsid w:val="00A3280D"/>
    <w:rsid w:val="00A342D1"/>
    <w:rsid w:val="00A34A44"/>
    <w:rsid w:val="00A355F0"/>
    <w:rsid w:val="00A363E7"/>
    <w:rsid w:val="00A37905"/>
    <w:rsid w:val="00A4059C"/>
    <w:rsid w:val="00A40EF7"/>
    <w:rsid w:val="00A41231"/>
    <w:rsid w:val="00A412D7"/>
    <w:rsid w:val="00A42994"/>
    <w:rsid w:val="00A42A6E"/>
    <w:rsid w:val="00A434FB"/>
    <w:rsid w:val="00A437A9"/>
    <w:rsid w:val="00A442D9"/>
    <w:rsid w:val="00A44692"/>
    <w:rsid w:val="00A4523D"/>
    <w:rsid w:val="00A4548E"/>
    <w:rsid w:val="00A468A3"/>
    <w:rsid w:val="00A469FB"/>
    <w:rsid w:val="00A46EB0"/>
    <w:rsid w:val="00A47D3C"/>
    <w:rsid w:val="00A50153"/>
    <w:rsid w:val="00A504D0"/>
    <w:rsid w:val="00A50711"/>
    <w:rsid w:val="00A50727"/>
    <w:rsid w:val="00A51C27"/>
    <w:rsid w:val="00A52C4D"/>
    <w:rsid w:val="00A53804"/>
    <w:rsid w:val="00A53A18"/>
    <w:rsid w:val="00A53F16"/>
    <w:rsid w:val="00A5598D"/>
    <w:rsid w:val="00A5643B"/>
    <w:rsid w:val="00A574C0"/>
    <w:rsid w:val="00A575D0"/>
    <w:rsid w:val="00A579F7"/>
    <w:rsid w:val="00A60030"/>
    <w:rsid w:val="00A60055"/>
    <w:rsid w:val="00A600E9"/>
    <w:rsid w:val="00A60656"/>
    <w:rsid w:val="00A60F90"/>
    <w:rsid w:val="00A6157E"/>
    <w:rsid w:val="00A61869"/>
    <w:rsid w:val="00A636D5"/>
    <w:rsid w:val="00A63723"/>
    <w:rsid w:val="00A63733"/>
    <w:rsid w:val="00A63A4D"/>
    <w:rsid w:val="00A6499E"/>
    <w:rsid w:val="00A657DE"/>
    <w:rsid w:val="00A66858"/>
    <w:rsid w:val="00A66D43"/>
    <w:rsid w:val="00A67EA0"/>
    <w:rsid w:val="00A67F35"/>
    <w:rsid w:val="00A705F6"/>
    <w:rsid w:val="00A70F71"/>
    <w:rsid w:val="00A7148D"/>
    <w:rsid w:val="00A714B0"/>
    <w:rsid w:val="00A71618"/>
    <w:rsid w:val="00A71BC1"/>
    <w:rsid w:val="00A7251C"/>
    <w:rsid w:val="00A73039"/>
    <w:rsid w:val="00A73401"/>
    <w:rsid w:val="00A74162"/>
    <w:rsid w:val="00A74327"/>
    <w:rsid w:val="00A74A95"/>
    <w:rsid w:val="00A74E2F"/>
    <w:rsid w:val="00A754D2"/>
    <w:rsid w:val="00A75D49"/>
    <w:rsid w:val="00A76027"/>
    <w:rsid w:val="00A760C7"/>
    <w:rsid w:val="00A7621B"/>
    <w:rsid w:val="00A76800"/>
    <w:rsid w:val="00A7776E"/>
    <w:rsid w:val="00A8054C"/>
    <w:rsid w:val="00A817AF"/>
    <w:rsid w:val="00A81A0F"/>
    <w:rsid w:val="00A81EA6"/>
    <w:rsid w:val="00A823B8"/>
    <w:rsid w:val="00A82705"/>
    <w:rsid w:val="00A82B0D"/>
    <w:rsid w:val="00A84334"/>
    <w:rsid w:val="00A84658"/>
    <w:rsid w:val="00A8487E"/>
    <w:rsid w:val="00A85132"/>
    <w:rsid w:val="00A85606"/>
    <w:rsid w:val="00A8577B"/>
    <w:rsid w:val="00A857B8"/>
    <w:rsid w:val="00A857C8"/>
    <w:rsid w:val="00A85887"/>
    <w:rsid w:val="00A85957"/>
    <w:rsid w:val="00A85A86"/>
    <w:rsid w:val="00A85F8B"/>
    <w:rsid w:val="00A870B6"/>
    <w:rsid w:val="00A8735D"/>
    <w:rsid w:val="00A873ED"/>
    <w:rsid w:val="00A90262"/>
    <w:rsid w:val="00A905EB"/>
    <w:rsid w:val="00A9084B"/>
    <w:rsid w:val="00A91664"/>
    <w:rsid w:val="00A91F75"/>
    <w:rsid w:val="00A922ED"/>
    <w:rsid w:val="00A92560"/>
    <w:rsid w:val="00A929AA"/>
    <w:rsid w:val="00A92F89"/>
    <w:rsid w:val="00A92FDB"/>
    <w:rsid w:val="00A933C8"/>
    <w:rsid w:val="00A939EB"/>
    <w:rsid w:val="00A949B4"/>
    <w:rsid w:val="00A951AD"/>
    <w:rsid w:val="00A95698"/>
    <w:rsid w:val="00A95A4D"/>
    <w:rsid w:val="00A95C83"/>
    <w:rsid w:val="00A96825"/>
    <w:rsid w:val="00A974E5"/>
    <w:rsid w:val="00A975B3"/>
    <w:rsid w:val="00A97AD6"/>
    <w:rsid w:val="00AA0169"/>
    <w:rsid w:val="00AA06F4"/>
    <w:rsid w:val="00AA1A00"/>
    <w:rsid w:val="00AA223F"/>
    <w:rsid w:val="00AA22FE"/>
    <w:rsid w:val="00AA3754"/>
    <w:rsid w:val="00AA3AB5"/>
    <w:rsid w:val="00AA3BFB"/>
    <w:rsid w:val="00AA4453"/>
    <w:rsid w:val="00AA497D"/>
    <w:rsid w:val="00AA4A72"/>
    <w:rsid w:val="00AA50FE"/>
    <w:rsid w:val="00AA677C"/>
    <w:rsid w:val="00AA71C0"/>
    <w:rsid w:val="00AA7250"/>
    <w:rsid w:val="00AA7CCB"/>
    <w:rsid w:val="00AA7DA3"/>
    <w:rsid w:val="00AB0D10"/>
    <w:rsid w:val="00AB0E31"/>
    <w:rsid w:val="00AB0E56"/>
    <w:rsid w:val="00AB1CD6"/>
    <w:rsid w:val="00AB1E08"/>
    <w:rsid w:val="00AB246D"/>
    <w:rsid w:val="00AB333A"/>
    <w:rsid w:val="00AB3B8D"/>
    <w:rsid w:val="00AB3BB9"/>
    <w:rsid w:val="00AB40F2"/>
    <w:rsid w:val="00AB48DD"/>
    <w:rsid w:val="00AB4A91"/>
    <w:rsid w:val="00AB4CDB"/>
    <w:rsid w:val="00AB4F3D"/>
    <w:rsid w:val="00AB4FB2"/>
    <w:rsid w:val="00AB5169"/>
    <w:rsid w:val="00AB5A61"/>
    <w:rsid w:val="00AB5C38"/>
    <w:rsid w:val="00AB6381"/>
    <w:rsid w:val="00AB671E"/>
    <w:rsid w:val="00AB6A12"/>
    <w:rsid w:val="00AB7B92"/>
    <w:rsid w:val="00AB7DBE"/>
    <w:rsid w:val="00AB7FC2"/>
    <w:rsid w:val="00AC13E6"/>
    <w:rsid w:val="00AC1420"/>
    <w:rsid w:val="00AC1494"/>
    <w:rsid w:val="00AC23F5"/>
    <w:rsid w:val="00AC26AB"/>
    <w:rsid w:val="00AC3148"/>
    <w:rsid w:val="00AC3E08"/>
    <w:rsid w:val="00AC4DC8"/>
    <w:rsid w:val="00AC58AA"/>
    <w:rsid w:val="00AC5B8A"/>
    <w:rsid w:val="00AC5C76"/>
    <w:rsid w:val="00AC616F"/>
    <w:rsid w:val="00AC674A"/>
    <w:rsid w:val="00AC7AC4"/>
    <w:rsid w:val="00AD0515"/>
    <w:rsid w:val="00AD082D"/>
    <w:rsid w:val="00AD2E17"/>
    <w:rsid w:val="00AD3168"/>
    <w:rsid w:val="00AD364A"/>
    <w:rsid w:val="00AD42F4"/>
    <w:rsid w:val="00AD5080"/>
    <w:rsid w:val="00AD563B"/>
    <w:rsid w:val="00AD5730"/>
    <w:rsid w:val="00AD5A74"/>
    <w:rsid w:val="00AD5C91"/>
    <w:rsid w:val="00AD5D5F"/>
    <w:rsid w:val="00AD638A"/>
    <w:rsid w:val="00AD65B9"/>
    <w:rsid w:val="00AD7003"/>
    <w:rsid w:val="00AD731B"/>
    <w:rsid w:val="00AD78F4"/>
    <w:rsid w:val="00AE06CF"/>
    <w:rsid w:val="00AE08BC"/>
    <w:rsid w:val="00AE14D8"/>
    <w:rsid w:val="00AE181F"/>
    <w:rsid w:val="00AE2590"/>
    <w:rsid w:val="00AE3977"/>
    <w:rsid w:val="00AE4349"/>
    <w:rsid w:val="00AE568A"/>
    <w:rsid w:val="00AE5890"/>
    <w:rsid w:val="00AE641E"/>
    <w:rsid w:val="00AE69C8"/>
    <w:rsid w:val="00AE7D94"/>
    <w:rsid w:val="00AE7FC5"/>
    <w:rsid w:val="00AF0F69"/>
    <w:rsid w:val="00AF0FAE"/>
    <w:rsid w:val="00AF14BA"/>
    <w:rsid w:val="00AF166E"/>
    <w:rsid w:val="00AF1CD9"/>
    <w:rsid w:val="00AF1F4F"/>
    <w:rsid w:val="00AF2093"/>
    <w:rsid w:val="00AF270F"/>
    <w:rsid w:val="00AF2894"/>
    <w:rsid w:val="00AF2E4B"/>
    <w:rsid w:val="00AF3017"/>
    <w:rsid w:val="00AF3F1B"/>
    <w:rsid w:val="00AF44CE"/>
    <w:rsid w:val="00AF51B8"/>
    <w:rsid w:val="00AF55D9"/>
    <w:rsid w:val="00AF6914"/>
    <w:rsid w:val="00AF6AC2"/>
    <w:rsid w:val="00AF6EEF"/>
    <w:rsid w:val="00AF7A3B"/>
    <w:rsid w:val="00AF7C7C"/>
    <w:rsid w:val="00AF7FE9"/>
    <w:rsid w:val="00B01233"/>
    <w:rsid w:val="00B020D2"/>
    <w:rsid w:val="00B02244"/>
    <w:rsid w:val="00B02343"/>
    <w:rsid w:val="00B02D31"/>
    <w:rsid w:val="00B03193"/>
    <w:rsid w:val="00B03440"/>
    <w:rsid w:val="00B03495"/>
    <w:rsid w:val="00B037BC"/>
    <w:rsid w:val="00B04503"/>
    <w:rsid w:val="00B0453B"/>
    <w:rsid w:val="00B04695"/>
    <w:rsid w:val="00B04BE0"/>
    <w:rsid w:val="00B04E11"/>
    <w:rsid w:val="00B05464"/>
    <w:rsid w:val="00B05962"/>
    <w:rsid w:val="00B05C3C"/>
    <w:rsid w:val="00B06025"/>
    <w:rsid w:val="00B06F41"/>
    <w:rsid w:val="00B0725A"/>
    <w:rsid w:val="00B11701"/>
    <w:rsid w:val="00B12C80"/>
    <w:rsid w:val="00B1330D"/>
    <w:rsid w:val="00B13722"/>
    <w:rsid w:val="00B13EC3"/>
    <w:rsid w:val="00B13F6E"/>
    <w:rsid w:val="00B146C3"/>
    <w:rsid w:val="00B15025"/>
    <w:rsid w:val="00B151B9"/>
    <w:rsid w:val="00B1562F"/>
    <w:rsid w:val="00B15903"/>
    <w:rsid w:val="00B163F8"/>
    <w:rsid w:val="00B17712"/>
    <w:rsid w:val="00B20083"/>
    <w:rsid w:val="00B20096"/>
    <w:rsid w:val="00B20D76"/>
    <w:rsid w:val="00B21592"/>
    <w:rsid w:val="00B21683"/>
    <w:rsid w:val="00B21903"/>
    <w:rsid w:val="00B22039"/>
    <w:rsid w:val="00B22663"/>
    <w:rsid w:val="00B229A5"/>
    <w:rsid w:val="00B22C05"/>
    <w:rsid w:val="00B23A2E"/>
    <w:rsid w:val="00B24085"/>
    <w:rsid w:val="00B242EC"/>
    <w:rsid w:val="00B24F4B"/>
    <w:rsid w:val="00B24F6D"/>
    <w:rsid w:val="00B25028"/>
    <w:rsid w:val="00B2700D"/>
    <w:rsid w:val="00B274FD"/>
    <w:rsid w:val="00B275A3"/>
    <w:rsid w:val="00B27E6E"/>
    <w:rsid w:val="00B313C9"/>
    <w:rsid w:val="00B3143D"/>
    <w:rsid w:val="00B318C1"/>
    <w:rsid w:val="00B32713"/>
    <w:rsid w:val="00B32F5D"/>
    <w:rsid w:val="00B33B89"/>
    <w:rsid w:val="00B34439"/>
    <w:rsid w:val="00B34969"/>
    <w:rsid w:val="00B34ACB"/>
    <w:rsid w:val="00B36077"/>
    <w:rsid w:val="00B36394"/>
    <w:rsid w:val="00B36958"/>
    <w:rsid w:val="00B36E71"/>
    <w:rsid w:val="00B370A8"/>
    <w:rsid w:val="00B40068"/>
    <w:rsid w:val="00B403C5"/>
    <w:rsid w:val="00B4092A"/>
    <w:rsid w:val="00B40C4C"/>
    <w:rsid w:val="00B42613"/>
    <w:rsid w:val="00B42825"/>
    <w:rsid w:val="00B429D1"/>
    <w:rsid w:val="00B42B6A"/>
    <w:rsid w:val="00B43545"/>
    <w:rsid w:val="00B43AC8"/>
    <w:rsid w:val="00B44914"/>
    <w:rsid w:val="00B45527"/>
    <w:rsid w:val="00B45F55"/>
    <w:rsid w:val="00B460DA"/>
    <w:rsid w:val="00B467D3"/>
    <w:rsid w:val="00B47029"/>
    <w:rsid w:val="00B50FBD"/>
    <w:rsid w:val="00B51701"/>
    <w:rsid w:val="00B51793"/>
    <w:rsid w:val="00B525DD"/>
    <w:rsid w:val="00B53040"/>
    <w:rsid w:val="00B5367F"/>
    <w:rsid w:val="00B53A99"/>
    <w:rsid w:val="00B5517A"/>
    <w:rsid w:val="00B5531B"/>
    <w:rsid w:val="00B556EB"/>
    <w:rsid w:val="00B56456"/>
    <w:rsid w:val="00B5725A"/>
    <w:rsid w:val="00B579C3"/>
    <w:rsid w:val="00B607E5"/>
    <w:rsid w:val="00B60E3E"/>
    <w:rsid w:val="00B60FBA"/>
    <w:rsid w:val="00B61223"/>
    <w:rsid w:val="00B612A3"/>
    <w:rsid w:val="00B6132B"/>
    <w:rsid w:val="00B624E8"/>
    <w:rsid w:val="00B62830"/>
    <w:rsid w:val="00B629F4"/>
    <w:rsid w:val="00B63A63"/>
    <w:rsid w:val="00B640D5"/>
    <w:rsid w:val="00B64451"/>
    <w:rsid w:val="00B65659"/>
    <w:rsid w:val="00B65C2E"/>
    <w:rsid w:val="00B65FAC"/>
    <w:rsid w:val="00B6659F"/>
    <w:rsid w:val="00B66E25"/>
    <w:rsid w:val="00B66ED6"/>
    <w:rsid w:val="00B67204"/>
    <w:rsid w:val="00B70EA1"/>
    <w:rsid w:val="00B70FA6"/>
    <w:rsid w:val="00B70FB6"/>
    <w:rsid w:val="00B710BA"/>
    <w:rsid w:val="00B715EB"/>
    <w:rsid w:val="00B718A2"/>
    <w:rsid w:val="00B71E69"/>
    <w:rsid w:val="00B722D3"/>
    <w:rsid w:val="00B73307"/>
    <w:rsid w:val="00B73A0C"/>
    <w:rsid w:val="00B73A63"/>
    <w:rsid w:val="00B73E52"/>
    <w:rsid w:val="00B74090"/>
    <w:rsid w:val="00B753DD"/>
    <w:rsid w:val="00B7681B"/>
    <w:rsid w:val="00B76ACA"/>
    <w:rsid w:val="00B76C7F"/>
    <w:rsid w:val="00B779F4"/>
    <w:rsid w:val="00B77A63"/>
    <w:rsid w:val="00B77D8F"/>
    <w:rsid w:val="00B80D6A"/>
    <w:rsid w:val="00B81FA0"/>
    <w:rsid w:val="00B83D64"/>
    <w:rsid w:val="00B84313"/>
    <w:rsid w:val="00B8458D"/>
    <w:rsid w:val="00B8532A"/>
    <w:rsid w:val="00B85393"/>
    <w:rsid w:val="00B8561D"/>
    <w:rsid w:val="00B85A26"/>
    <w:rsid w:val="00B865C3"/>
    <w:rsid w:val="00B865F8"/>
    <w:rsid w:val="00B86A21"/>
    <w:rsid w:val="00B86A40"/>
    <w:rsid w:val="00B877DA"/>
    <w:rsid w:val="00B87801"/>
    <w:rsid w:val="00B879F4"/>
    <w:rsid w:val="00B87A8C"/>
    <w:rsid w:val="00B92AD9"/>
    <w:rsid w:val="00B9348E"/>
    <w:rsid w:val="00B941AC"/>
    <w:rsid w:val="00B94E9D"/>
    <w:rsid w:val="00B95A95"/>
    <w:rsid w:val="00B95DBB"/>
    <w:rsid w:val="00B967F6"/>
    <w:rsid w:val="00B96A06"/>
    <w:rsid w:val="00B96BEF"/>
    <w:rsid w:val="00B973F5"/>
    <w:rsid w:val="00B97B4C"/>
    <w:rsid w:val="00B97FA4"/>
    <w:rsid w:val="00BA00B3"/>
    <w:rsid w:val="00BA0957"/>
    <w:rsid w:val="00BA0BD8"/>
    <w:rsid w:val="00BA0EDD"/>
    <w:rsid w:val="00BA1559"/>
    <w:rsid w:val="00BA26C9"/>
    <w:rsid w:val="00BA2D20"/>
    <w:rsid w:val="00BA3450"/>
    <w:rsid w:val="00BA3D13"/>
    <w:rsid w:val="00BA409B"/>
    <w:rsid w:val="00BA4A78"/>
    <w:rsid w:val="00BA4C80"/>
    <w:rsid w:val="00BA56BC"/>
    <w:rsid w:val="00BA5CC0"/>
    <w:rsid w:val="00BA5EDF"/>
    <w:rsid w:val="00BA6A54"/>
    <w:rsid w:val="00BA7353"/>
    <w:rsid w:val="00BA77AB"/>
    <w:rsid w:val="00BA77D5"/>
    <w:rsid w:val="00BB05CE"/>
    <w:rsid w:val="00BB060F"/>
    <w:rsid w:val="00BB169F"/>
    <w:rsid w:val="00BB1F0F"/>
    <w:rsid w:val="00BB22D5"/>
    <w:rsid w:val="00BB2E9D"/>
    <w:rsid w:val="00BB43B6"/>
    <w:rsid w:val="00BB4CC4"/>
    <w:rsid w:val="00BB4E3C"/>
    <w:rsid w:val="00BB4EA5"/>
    <w:rsid w:val="00BB5008"/>
    <w:rsid w:val="00BB55EB"/>
    <w:rsid w:val="00BB5EC6"/>
    <w:rsid w:val="00BB67BC"/>
    <w:rsid w:val="00BC0B29"/>
    <w:rsid w:val="00BC0BF4"/>
    <w:rsid w:val="00BC2FEE"/>
    <w:rsid w:val="00BC3151"/>
    <w:rsid w:val="00BC3CD4"/>
    <w:rsid w:val="00BC3D26"/>
    <w:rsid w:val="00BC3FD7"/>
    <w:rsid w:val="00BC46CA"/>
    <w:rsid w:val="00BC54AC"/>
    <w:rsid w:val="00BC5957"/>
    <w:rsid w:val="00BC5DC4"/>
    <w:rsid w:val="00BC6AC9"/>
    <w:rsid w:val="00BC6F29"/>
    <w:rsid w:val="00BD0BBA"/>
    <w:rsid w:val="00BD0C10"/>
    <w:rsid w:val="00BD0E49"/>
    <w:rsid w:val="00BD0F2F"/>
    <w:rsid w:val="00BD17C2"/>
    <w:rsid w:val="00BD19E9"/>
    <w:rsid w:val="00BD1A45"/>
    <w:rsid w:val="00BD1B63"/>
    <w:rsid w:val="00BD1F7B"/>
    <w:rsid w:val="00BD2077"/>
    <w:rsid w:val="00BD26BE"/>
    <w:rsid w:val="00BD28E7"/>
    <w:rsid w:val="00BD41E0"/>
    <w:rsid w:val="00BD47AC"/>
    <w:rsid w:val="00BD47B9"/>
    <w:rsid w:val="00BD4983"/>
    <w:rsid w:val="00BD5E54"/>
    <w:rsid w:val="00BD614D"/>
    <w:rsid w:val="00BD6785"/>
    <w:rsid w:val="00BD6922"/>
    <w:rsid w:val="00BD6991"/>
    <w:rsid w:val="00BD69C1"/>
    <w:rsid w:val="00BD7D58"/>
    <w:rsid w:val="00BE15CF"/>
    <w:rsid w:val="00BE1E32"/>
    <w:rsid w:val="00BE23B4"/>
    <w:rsid w:val="00BE2DE3"/>
    <w:rsid w:val="00BE344B"/>
    <w:rsid w:val="00BE41E8"/>
    <w:rsid w:val="00BE48DA"/>
    <w:rsid w:val="00BE4B30"/>
    <w:rsid w:val="00BE516A"/>
    <w:rsid w:val="00BE52E1"/>
    <w:rsid w:val="00BE6ADE"/>
    <w:rsid w:val="00BE6B32"/>
    <w:rsid w:val="00BE6D44"/>
    <w:rsid w:val="00BE7719"/>
    <w:rsid w:val="00BF100F"/>
    <w:rsid w:val="00BF1122"/>
    <w:rsid w:val="00BF1F0C"/>
    <w:rsid w:val="00BF264E"/>
    <w:rsid w:val="00BF2C1F"/>
    <w:rsid w:val="00BF2C6D"/>
    <w:rsid w:val="00BF35C6"/>
    <w:rsid w:val="00BF39E0"/>
    <w:rsid w:val="00BF47EF"/>
    <w:rsid w:val="00BF4B3A"/>
    <w:rsid w:val="00BF5DC4"/>
    <w:rsid w:val="00BF5E9F"/>
    <w:rsid w:val="00C0000A"/>
    <w:rsid w:val="00C00374"/>
    <w:rsid w:val="00C004E6"/>
    <w:rsid w:val="00C00ABF"/>
    <w:rsid w:val="00C0134D"/>
    <w:rsid w:val="00C0183D"/>
    <w:rsid w:val="00C021A6"/>
    <w:rsid w:val="00C02571"/>
    <w:rsid w:val="00C02BEC"/>
    <w:rsid w:val="00C02D43"/>
    <w:rsid w:val="00C0304C"/>
    <w:rsid w:val="00C03318"/>
    <w:rsid w:val="00C03DA5"/>
    <w:rsid w:val="00C05AD9"/>
    <w:rsid w:val="00C06600"/>
    <w:rsid w:val="00C06BAC"/>
    <w:rsid w:val="00C06D0F"/>
    <w:rsid w:val="00C07204"/>
    <w:rsid w:val="00C1086A"/>
    <w:rsid w:val="00C11028"/>
    <w:rsid w:val="00C116BA"/>
    <w:rsid w:val="00C118AB"/>
    <w:rsid w:val="00C11B68"/>
    <w:rsid w:val="00C11FBF"/>
    <w:rsid w:val="00C1282D"/>
    <w:rsid w:val="00C1347A"/>
    <w:rsid w:val="00C13855"/>
    <w:rsid w:val="00C14AA0"/>
    <w:rsid w:val="00C1533C"/>
    <w:rsid w:val="00C15A62"/>
    <w:rsid w:val="00C163BB"/>
    <w:rsid w:val="00C165DE"/>
    <w:rsid w:val="00C16F20"/>
    <w:rsid w:val="00C17575"/>
    <w:rsid w:val="00C20229"/>
    <w:rsid w:val="00C20377"/>
    <w:rsid w:val="00C20ECD"/>
    <w:rsid w:val="00C21200"/>
    <w:rsid w:val="00C217BF"/>
    <w:rsid w:val="00C2216E"/>
    <w:rsid w:val="00C22A12"/>
    <w:rsid w:val="00C22DA2"/>
    <w:rsid w:val="00C23199"/>
    <w:rsid w:val="00C23709"/>
    <w:rsid w:val="00C23CA9"/>
    <w:rsid w:val="00C2421D"/>
    <w:rsid w:val="00C24818"/>
    <w:rsid w:val="00C2585D"/>
    <w:rsid w:val="00C25FD1"/>
    <w:rsid w:val="00C26465"/>
    <w:rsid w:val="00C26C09"/>
    <w:rsid w:val="00C276C8"/>
    <w:rsid w:val="00C27881"/>
    <w:rsid w:val="00C27CDC"/>
    <w:rsid w:val="00C300F2"/>
    <w:rsid w:val="00C30758"/>
    <w:rsid w:val="00C3189C"/>
    <w:rsid w:val="00C324BA"/>
    <w:rsid w:val="00C32859"/>
    <w:rsid w:val="00C32967"/>
    <w:rsid w:val="00C32A97"/>
    <w:rsid w:val="00C32E55"/>
    <w:rsid w:val="00C34557"/>
    <w:rsid w:val="00C34FBC"/>
    <w:rsid w:val="00C35080"/>
    <w:rsid w:val="00C355C8"/>
    <w:rsid w:val="00C3567D"/>
    <w:rsid w:val="00C35ECC"/>
    <w:rsid w:val="00C3624C"/>
    <w:rsid w:val="00C364AA"/>
    <w:rsid w:val="00C36B96"/>
    <w:rsid w:val="00C36D38"/>
    <w:rsid w:val="00C3736E"/>
    <w:rsid w:val="00C37DD7"/>
    <w:rsid w:val="00C40F11"/>
    <w:rsid w:val="00C41BCB"/>
    <w:rsid w:val="00C41FDC"/>
    <w:rsid w:val="00C428BC"/>
    <w:rsid w:val="00C44168"/>
    <w:rsid w:val="00C444DB"/>
    <w:rsid w:val="00C45074"/>
    <w:rsid w:val="00C455A0"/>
    <w:rsid w:val="00C45F13"/>
    <w:rsid w:val="00C461F8"/>
    <w:rsid w:val="00C47AF2"/>
    <w:rsid w:val="00C47BB0"/>
    <w:rsid w:val="00C521D3"/>
    <w:rsid w:val="00C5236A"/>
    <w:rsid w:val="00C52B89"/>
    <w:rsid w:val="00C5369E"/>
    <w:rsid w:val="00C54B56"/>
    <w:rsid w:val="00C54B8D"/>
    <w:rsid w:val="00C5521D"/>
    <w:rsid w:val="00C556E5"/>
    <w:rsid w:val="00C5599A"/>
    <w:rsid w:val="00C559ED"/>
    <w:rsid w:val="00C563FC"/>
    <w:rsid w:val="00C56B97"/>
    <w:rsid w:val="00C57999"/>
    <w:rsid w:val="00C57E07"/>
    <w:rsid w:val="00C605EC"/>
    <w:rsid w:val="00C60615"/>
    <w:rsid w:val="00C614B9"/>
    <w:rsid w:val="00C6273F"/>
    <w:rsid w:val="00C62AD5"/>
    <w:rsid w:val="00C62DBC"/>
    <w:rsid w:val="00C62EE1"/>
    <w:rsid w:val="00C630C4"/>
    <w:rsid w:val="00C6348E"/>
    <w:rsid w:val="00C63C29"/>
    <w:rsid w:val="00C63C79"/>
    <w:rsid w:val="00C643CB"/>
    <w:rsid w:val="00C64814"/>
    <w:rsid w:val="00C64D89"/>
    <w:rsid w:val="00C65E27"/>
    <w:rsid w:val="00C665E6"/>
    <w:rsid w:val="00C667C6"/>
    <w:rsid w:val="00C667FC"/>
    <w:rsid w:val="00C66AFC"/>
    <w:rsid w:val="00C672AD"/>
    <w:rsid w:val="00C67C34"/>
    <w:rsid w:val="00C67C36"/>
    <w:rsid w:val="00C70764"/>
    <w:rsid w:val="00C7103E"/>
    <w:rsid w:val="00C72176"/>
    <w:rsid w:val="00C7489D"/>
    <w:rsid w:val="00C75F74"/>
    <w:rsid w:val="00C768F0"/>
    <w:rsid w:val="00C76A36"/>
    <w:rsid w:val="00C80953"/>
    <w:rsid w:val="00C809FC"/>
    <w:rsid w:val="00C8120B"/>
    <w:rsid w:val="00C820CB"/>
    <w:rsid w:val="00C826B8"/>
    <w:rsid w:val="00C82BFC"/>
    <w:rsid w:val="00C83319"/>
    <w:rsid w:val="00C83A87"/>
    <w:rsid w:val="00C83CE2"/>
    <w:rsid w:val="00C84258"/>
    <w:rsid w:val="00C85668"/>
    <w:rsid w:val="00C85AEC"/>
    <w:rsid w:val="00C86CB7"/>
    <w:rsid w:val="00C873C5"/>
    <w:rsid w:val="00C91A31"/>
    <w:rsid w:val="00C9202B"/>
    <w:rsid w:val="00C9291D"/>
    <w:rsid w:val="00C932E8"/>
    <w:rsid w:val="00C93F2E"/>
    <w:rsid w:val="00C94408"/>
    <w:rsid w:val="00C9468C"/>
    <w:rsid w:val="00C949CC"/>
    <w:rsid w:val="00C94D73"/>
    <w:rsid w:val="00C951C3"/>
    <w:rsid w:val="00C95266"/>
    <w:rsid w:val="00C95815"/>
    <w:rsid w:val="00C960DB"/>
    <w:rsid w:val="00C96630"/>
    <w:rsid w:val="00C96BED"/>
    <w:rsid w:val="00C96C23"/>
    <w:rsid w:val="00C96DA1"/>
    <w:rsid w:val="00C96E65"/>
    <w:rsid w:val="00C970A4"/>
    <w:rsid w:val="00C974F2"/>
    <w:rsid w:val="00C979C7"/>
    <w:rsid w:val="00CA0FFB"/>
    <w:rsid w:val="00CA24D1"/>
    <w:rsid w:val="00CA2A47"/>
    <w:rsid w:val="00CA3E1F"/>
    <w:rsid w:val="00CA4302"/>
    <w:rsid w:val="00CA50CD"/>
    <w:rsid w:val="00CA5291"/>
    <w:rsid w:val="00CA5587"/>
    <w:rsid w:val="00CA5A40"/>
    <w:rsid w:val="00CA607F"/>
    <w:rsid w:val="00CA734C"/>
    <w:rsid w:val="00CA7712"/>
    <w:rsid w:val="00CB1135"/>
    <w:rsid w:val="00CB2353"/>
    <w:rsid w:val="00CB3858"/>
    <w:rsid w:val="00CB3ADD"/>
    <w:rsid w:val="00CB3B1C"/>
    <w:rsid w:val="00CB3F5A"/>
    <w:rsid w:val="00CB4A69"/>
    <w:rsid w:val="00CB4CAF"/>
    <w:rsid w:val="00CB4EB8"/>
    <w:rsid w:val="00CB57A9"/>
    <w:rsid w:val="00CB5CC3"/>
    <w:rsid w:val="00CB67CA"/>
    <w:rsid w:val="00CB717A"/>
    <w:rsid w:val="00CB7240"/>
    <w:rsid w:val="00CB77F9"/>
    <w:rsid w:val="00CB7BF8"/>
    <w:rsid w:val="00CB7E63"/>
    <w:rsid w:val="00CC0367"/>
    <w:rsid w:val="00CC0CFF"/>
    <w:rsid w:val="00CC11A8"/>
    <w:rsid w:val="00CC193E"/>
    <w:rsid w:val="00CC2957"/>
    <w:rsid w:val="00CC29A8"/>
    <w:rsid w:val="00CC3430"/>
    <w:rsid w:val="00CC4337"/>
    <w:rsid w:val="00CC4814"/>
    <w:rsid w:val="00CC49E4"/>
    <w:rsid w:val="00CC5158"/>
    <w:rsid w:val="00CC57DD"/>
    <w:rsid w:val="00CC6778"/>
    <w:rsid w:val="00CC6C37"/>
    <w:rsid w:val="00CC6C45"/>
    <w:rsid w:val="00CC782D"/>
    <w:rsid w:val="00CD0A36"/>
    <w:rsid w:val="00CD0DF1"/>
    <w:rsid w:val="00CD0EE2"/>
    <w:rsid w:val="00CD1C29"/>
    <w:rsid w:val="00CD31E1"/>
    <w:rsid w:val="00CD3D0E"/>
    <w:rsid w:val="00CD4184"/>
    <w:rsid w:val="00CD41C8"/>
    <w:rsid w:val="00CD4869"/>
    <w:rsid w:val="00CD4BC3"/>
    <w:rsid w:val="00CD4CEB"/>
    <w:rsid w:val="00CD570D"/>
    <w:rsid w:val="00CD59A0"/>
    <w:rsid w:val="00CD5C16"/>
    <w:rsid w:val="00CD5F3F"/>
    <w:rsid w:val="00CD6874"/>
    <w:rsid w:val="00CD69F4"/>
    <w:rsid w:val="00CD6B3E"/>
    <w:rsid w:val="00CD6D0C"/>
    <w:rsid w:val="00CD6E40"/>
    <w:rsid w:val="00CD79F2"/>
    <w:rsid w:val="00CE0038"/>
    <w:rsid w:val="00CE00E4"/>
    <w:rsid w:val="00CE0DA1"/>
    <w:rsid w:val="00CE1919"/>
    <w:rsid w:val="00CE38D4"/>
    <w:rsid w:val="00CE398B"/>
    <w:rsid w:val="00CE482D"/>
    <w:rsid w:val="00CE4E2E"/>
    <w:rsid w:val="00CE6194"/>
    <w:rsid w:val="00CE6277"/>
    <w:rsid w:val="00CE63D1"/>
    <w:rsid w:val="00CE6882"/>
    <w:rsid w:val="00CE6991"/>
    <w:rsid w:val="00CF1499"/>
    <w:rsid w:val="00CF14C8"/>
    <w:rsid w:val="00CF1C9D"/>
    <w:rsid w:val="00CF2DD0"/>
    <w:rsid w:val="00CF33E3"/>
    <w:rsid w:val="00CF3938"/>
    <w:rsid w:val="00CF3A8B"/>
    <w:rsid w:val="00CF3ACC"/>
    <w:rsid w:val="00CF3DA3"/>
    <w:rsid w:val="00CF4424"/>
    <w:rsid w:val="00CF456B"/>
    <w:rsid w:val="00CF4BE6"/>
    <w:rsid w:val="00CF6E6C"/>
    <w:rsid w:val="00CF7256"/>
    <w:rsid w:val="00CF73C1"/>
    <w:rsid w:val="00CF7721"/>
    <w:rsid w:val="00CF7F79"/>
    <w:rsid w:val="00D00817"/>
    <w:rsid w:val="00D00925"/>
    <w:rsid w:val="00D00F4D"/>
    <w:rsid w:val="00D017AA"/>
    <w:rsid w:val="00D0244F"/>
    <w:rsid w:val="00D02578"/>
    <w:rsid w:val="00D02D28"/>
    <w:rsid w:val="00D059E5"/>
    <w:rsid w:val="00D05D92"/>
    <w:rsid w:val="00D05FA7"/>
    <w:rsid w:val="00D0722D"/>
    <w:rsid w:val="00D0746D"/>
    <w:rsid w:val="00D0771A"/>
    <w:rsid w:val="00D07FDF"/>
    <w:rsid w:val="00D1046D"/>
    <w:rsid w:val="00D1093B"/>
    <w:rsid w:val="00D10DF2"/>
    <w:rsid w:val="00D110C9"/>
    <w:rsid w:val="00D11BFD"/>
    <w:rsid w:val="00D12195"/>
    <w:rsid w:val="00D13A52"/>
    <w:rsid w:val="00D15D80"/>
    <w:rsid w:val="00D15EEC"/>
    <w:rsid w:val="00D1628A"/>
    <w:rsid w:val="00D175F2"/>
    <w:rsid w:val="00D17618"/>
    <w:rsid w:val="00D206C7"/>
    <w:rsid w:val="00D20884"/>
    <w:rsid w:val="00D210AB"/>
    <w:rsid w:val="00D21437"/>
    <w:rsid w:val="00D2172B"/>
    <w:rsid w:val="00D21B65"/>
    <w:rsid w:val="00D21F9D"/>
    <w:rsid w:val="00D22FC7"/>
    <w:rsid w:val="00D23F77"/>
    <w:rsid w:val="00D24518"/>
    <w:rsid w:val="00D2454C"/>
    <w:rsid w:val="00D24995"/>
    <w:rsid w:val="00D24B3E"/>
    <w:rsid w:val="00D25F27"/>
    <w:rsid w:val="00D26564"/>
    <w:rsid w:val="00D278F7"/>
    <w:rsid w:val="00D303C9"/>
    <w:rsid w:val="00D310C6"/>
    <w:rsid w:val="00D3171A"/>
    <w:rsid w:val="00D31D14"/>
    <w:rsid w:val="00D31D3A"/>
    <w:rsid w:val="00D31D61"/>
    <w:rsid w:val="00D327A3"/>
    <w:rsid w:val="00D32FC2"/>
    <w:rsid w:val="00D343C5"/>
    <w:rsid w:val="00D345E9"/>
    <w:rsid w:val="00D34B50"/>
    <w:rsid w:val="00D34D3E"/>
    <w:rsid w:val="00D358F2"/>
    <w:rsid w:val="00D366BE"/>
    <w:rsid w:val="00D368C7"/>
    <w:rsid w:val="00D36B53"/>
    <w:rsid w:val="00D36FFC"/>
    <w:rsid w:val="00D370C4"/>
    <w:rsid w:val="00D373D0"/>
    <w:rsid w:val="00D373E0"/>
    <w:rsid w:val="00D402B1"/>
    <w:rsid w:val="00D416D8"/>
    <w:rsid w:val="00D41AD2"/>
    <w:rsid w:val="00D41B04"/>
    <w:rsid w:val="00D42787"/>
    <w:rsid w:val="00D42B5F"/>
    <w:rsid w:val="00D43115"/>
    <w:rsid w:val="00D449F6"/>
    <w:rsid w:val="00D46864"/>
    <w:rsid w:val="00D46EBF"/>
    <w:rsid w:val="00D5072C"/>
    <w:rsid w:val="00D509CC"/>
    <w:rsid w:val="00D521BD"/>
    <w:rsid w:val="00D52ED9"/>
    <w:rsid w:val="00D546EB"/>
    <w:rsid w:val="00D547DE"/>
    <w:rsid w:val="00D557E8"/>
    <w:rsid w:val="00D55D7C"/>
    <w:rsid w:val="00D5649A"/>
    <w:rsid w:val="00D5671A"/>
    <w:rsid w:val="00D5694E"/>
    <w:rsid w:val="00D56D38"/>
    <w:rsid w:val="00D570FB"/>
    <w:rsid w:val="00D5752E"/>
    <w:rsid w:val="00D604A3"/>
    <w:rsid w:val="00D604CA"/>
    <w:rsid w:val="00D614F1"/>
    <w:rsid w:val="00D61924"/>
    <w:rsid w:val="00D6231C"/>
    <w:rsid w:val="00D6312A"/>
    <w:rsid w:val="00D639BB"/>
    <w:rsid w:val="00D63E12"/>
    <w:rsid w:val="00D64778"/>
    <w:rsid w:val="00D647EC"/>
    <w:rsid w:val="00D64FA8"/>
    <w:rsid w:val="00D64FDA"/>
    <w:rsid w:val="00D656A0"/>
    <w:rsid w:val="00D66639"/>
    <w:rsid w:val="00D66E7A"/>
    <w:rsid w:val="00D6775E"/>
    <w:rsid w:val="00D678A9"/>
    <w:rsid w:val="00D67D1A"/>
    <w:rsid w:val="00D67D1B"/>
    <w:rsid w:val="00D70095"/>
    <w:rsid w:val="00D70B6E"/>
    <w:rsid w:val="00D70BF8"/>
    <w:rsid w:val="00D71F9E"/>
    <w:rsid w:val="00D723AA"/>
    <w:rsid w:val="00D72BBB"/>
    <w:rsid w:val="00D72CDF"/>
    <w:rsid w:val="00D73129"/>
    <w:rsid w:val="00D73173"/>
    <w:rsid w:val="00D73C34"/>
    <w:rsid w:val="00D7486A"/>
    <w:rsid w:val="00D754CA"/>
    <w:rsid w:val="00D755A1"/>
    <w:rsid w:val="00D75D2F"/>
    <w:rsid w:val="00D765F2"/>
    <w:rsid w:val="00D76D0C"/>
    <w:rsid w:val="00D77E78"/>
    <w:rsid w:val="00D80017"/>
    <w:rsid w:val="00D802B2"/>
    <w:rsid w:val="00D8052E"/>
    <w:rsid w:val="00D80691"/>
    <w:rsid w:val="00D81580"/>
    <w:rsid w:val="00D82FA9"/>
    <w:rsid w:val="00D835DA"/>
    <w:rsid w:val="00D8387B"/>
    <w:rsid w:val="00D8413E"/>
    <w:rsid w:val="00D84728"/>
    <w:rsid w:val="00D849D9"/>
    <w:rsid w:val="00D84A7B"/>
    <w:rsid w:val="00D85C43"/>
    <w:rsid w:val="00D86098"/>
    <w:rsid w:val="00D8623C"/>
    <w:rsid w:val="00D86501"/>
    <w:rsid w:val="00D86C2F"/>
    <w:rsid w:val="00D86F39"/>
    <w:rsid w:val="00D87AB4"/>
    <w:rsid w:val="00D9004C"/>
    <w:rsid w:val="00D90436"/>
    <w:rsid w:val="00D905B8"/>
    <w:rsid w:val="00D90E80"/>
    <w:rsid w:val="00D9198B"/>
    <w:rsid w:val="00D92B40"/>
    <w:rsid w:val="00D92FAE"/>
    <w:rsid w:val="00D93270"/>
    <w:rsid w:val="00D93E64"/>
    <w:rsid w:val="00D9500C"/>
    <w:rsid w:val="00D9531C"/>
    <w:rsid w:val="00D9549C"/>
    <w:rsid w:val="00D95805"/>
    <w:rsid w:val="00D9695A"/>
    <w:rsid w:val="00D96B48"/>
    <w:rsid w:val="00D9782A"/>
    <w:rsid w:val="00D97B24"/>
    <w:rsid w:val="00DA00F9"/>
    <w:rsid w:val="00DA036F"/>
    <w:rsid w:val="00DA06F6"/>
    <w:rsid w:val="00DA14A5"/>
    <w:rsid w:val="00DA1566"/>
    <w:rsid w:val="00DA1938"/>
    <w:rsid w:val="00DA2921"/>
    <w:rsid w:val="00DA41A5"/>
    <w:rsid w:val="00DA5B35"/>
    <w:rsid w:val="00DA682A"/>
    <w:rsid w:val="00DA6B74"/>
    <w:rsid w:val="00DB0106"/>
    <w:rsid w:val="00DB0302"/>
    <w:rsid w:val="00DB1D5A"/>
    <w:rsid w:val="00DB323D"/>
    <w:rsid w:val="00DB3282"/>
    <w:rsid w:val="00DB3DF5"/>
    <w:rsid w:val="00DB3E6A"/>
    <w:rsid w:val="00DB407E"/>
    <w:rsid w:val="00DB4823"/>
    <w:rsid w:val="00DB4E88"/>
    <w:rsid w:val="00DB535E"/>
    <w:rsid w:val="00DB618D"/>
    <w:rsid w:val="00DB6B42"/>
    <w:rsid w:val="00DB7742"/>
    <w:rsid w:val="00DC01A0"/>
    <w:rsid w:val="00DC0E7B"/>
    <w:rsid w:val="00DC0FE1"/>
    <w:rsid w:val="00DC1321"/>
    <w:rsid w:val="00DC13FD"/>
    <w:rsid w:val="00DC1836"/>
    <w:rsid w:val="00DC1843"/>
    <w:rsid w:val="00DC1E96"/>
    <w:rsid w:val="00DC2134"/>
    <w:rsid w:val="00DC2194"/>
    <w:rsid w:val="00DC2252"/>
    <w:rsid w:val="00DC28E3"/>
    <w:rsid w:val="00DC29D8"/>
    <w:rsid w:val="00DC2C71"/>
    <w:rsid w:val="00DC37FF"/>
    <w:rsid w:val="00DC40AA"/>
    <w:rsid w:val="00DC5AA2"/>
    <w:rsid w:val="00DC6A25"/>
    <w:rsid w:val="00DC6CA0"/>
    <w:rsid w:val="00DC7080"/>
    <w:rsid w:val="00DC77B1"/>
    <w:rsid w:val="00DC78F8"/>
    <w:rsid w:val="00DD05AF"/>
    <w:rsid w:val="00DD0AF5"/>
    <w:rsid w:val="00DD0C70"/>
    <w:rsid w:val="00DD101F"/>
    <w:rsid w:val="00DD2028"/>
    <w:rsid w:val="00DD239D"/>
    <w:rsid w:val="00DD2D41"/>
    <w:rsid w:val="00DD2DC1"/>
    <w:rsid w:val="00DD30C8"/>
    <w:rsid w:val="00DD3757"/>
    <w:rsid w:val="00DD3BCA"/>
    <w:rsid w:val="00DD3EE5"/>
    <w:rsid w:val="00DD41DE"/>
    <w:rsid w:val="00DD43E7"/>
    <w:rsid w:val="00DD4C30"/>
    <w:rsid w:val="00DD57C9"/>
    <w:rsid w:val="00DD5D9F"/>
    <w:rsid w:val="00DD6689"/>
    <w:rsid w:val="00DD6D73"/>
    <w:rsid w:val="00DD76AE"/>
    <w:rsid w:val="00DE088E"/>
    <w:rsid w:val="00DE091B"/>
    <w:rsid w:val="00DE0FD3"/>
    <w:rsid w:val="00DE1B67"/>
    <w:rsid w:val="00DE2915"/>
    <w:rsid w:val="00DE313D"/>
    <w:rsid w:val="00DE361D"/>
    <w:rsid w:val="00DE3F74"/>
    <w:rsid w:val="00DE4AE2"/>
    <w:rsid w:val="00DE65C8"/>
    <w:rsid w:val="00DE7673"/>
    <w:rsid w:val="00DF0DA7"/>
    <w:rsid w:val="00DF1150"/>
    <w:rsid w:val="00DF115F"/>
    <w:rsid w:val="00DF12C9"/>
    <w:rsid w:val="00DF266D"/>
    <w:rsid w:val="00DF2892"/>
    <w:rsid w:val="00DF28AA"/>
    <w:rsid w:val="00DF28E1"/>
    <w:rsid w:val="00DF3669"/>
    <w:rsid w:val="00DF3D74"/>
    <w:rsid w:val="00DF403A"/>
    <w:rsid w:val="00DF45E6"/>
    <w:rsid w:val="00DF4619"/>
    <w:rsid w:val="00DF5117"/>
    <w:rsid w:val="00DF5F4F"/>
    <w:rsid w:val="00DF6D56"/>
    <w:rsid w:val="00E0042E"/>
    <w:rsid w:val="00E007DF"/>
    <w:rsid w:val="00E013A0"/>
    <w:rsid w:val="00E016A5"/>
    <w:rsid w:val="00E0260D"/>
    <w:rsid w:val="00E02B87"/>
    <w:rsid w:val="00E03553"/>
    <w:rsid w:val="00E039E1"/>
    <w:rsid w:val="00E043A2"/>
    <w:rsid w:val="00E04A41"/>
    <w:rsid w:val="00E04D8A"/>
    <w:rsid w:val="00E05042"/>
    <w:rsid w:val="00E052E3"/>
    <w:rsid w:val="00E05E8F"/>
    <w:rsid w:val="00E0640C"/>
    <w:rsid w:val="00E06422"/>
    <w:rsid w:val="00E06C4F"/>
    <w:rsid w:val="00E07C97"/>
    <w:rsid w:val="00E10A8C"/>
    <w:rsid w:val="00E10B76"/>
    <w:rsid w:val="00E10C8A"/>
    <w:rsid w:val="00E10D8C"/>
    <w:rsid w:val="00E115D5"/>
    <w:rsid w:val="00E11910"/>
    <w:rsid w:val="00E11A16"/>
    <w:rsid w:val="00E11BF0"/>
    <w:rsid w:val="00E11E43"/>
    <w:rsid w:val="00E12057"/>
    <w:rsid w:val="00E124AB"/>
    <w:rsid w:val="00E135B8"/>
    <w:rsid w:val="00E135EA"/>
    <w:rsid w:val="00E13636"/>
    <w:rsid w:val="00E1364A"/>
    <w:rsid w:val="00E14049"/>
    <w:rsid w:val="00E14C94"/>
    <w:rsid w:val="00E14E31"/>
    <w:rsid w:val="00E150BC"/>
    <w:rsid w:val="00E15E2C"/>
    <w:rsid w:val="00E1600D"/>
    <w:rsid w:val="00E16137"/>
    <w:rsid w:val="00E16E52"/>
    <w:rsid w:val="00E1713A"/>
    <w:rsid w:val="00E17142"/>
    <w:rsid w:val="00E2016B"/>
    <w:rsid w:val="00E205B9"/>
    <w:rsid w:val="00E20C9A"/>
    <w:rsid w:val="00E20E26"/>
    <w:rsid w:val="00E21979"/>
    <w:rsid w:val="00E2240D"/>
    <w:rsid w:val="00E2266A"/>
    <w:rsid w:val="00E229CD"/>
    <w:rsid w:val="00E23BF4"/>
    <w:rsid w:val="00E259D1"/>
    <w:rsid w:val="00E263C8"/>
    <w:rsid w:val="00E272B4"/>
    <w:rsid w:val="00E27937"/>
    <w:rsid w:val="00E27D53"/>
    <w:rsid w:val="00E3045D"/>
    <w:rsid w:val="00E30B2E"/>
    <w:rsid w:val="00E31242"/>
    <w:rsid w:val="00E31EB0"/>
    <w:rsid w:val="00E32188"/>
    <w:rsid w:val="00E32644"/>
    <w:rsid w:val="00E32744"/>
    <w:rsid w:val="00E33A7E"/>
    <w:rsid w:val="00E33B5E"/>
    <w:rsid w:val="00E344C3"/>
    <w:rsid w:val="00E34A10"/>
    <w:rsid w:val="00E356C9"/>
    <w:rsid w:val="00E35766"/>
    <w:rsid w:val="00E37729"/>
    <w:rsid w:val="00E37AFE"/>
    <w:rsid w:val="00E37D25"/>
    <w:rsid w:val="00E37E3F"/>
    <w:rsid w:val="00E4032F"/>
    <w:rsid w:val="00E40688"/>
    <w:rsid w:val="00E408F0"/>
    <w:rsid w:val="00E410F2"/>
    <w:rsid w:val="00E41251"/>
    <w:rsid w:val="00E41368"/>
    <w:rsid w:val="00E4250B"/>
    <w:rsid w:val="00E428AA"/>
    <w:rsid w:val="00E4353D"/>
    <w:rsid w:val="00E43EAE"/>
    <w:rsid w:val="00E4476E"/>
    <w:rsid w:val="00E44C0C"/>
    <w:rsid w:val="00E45AF2"/>
    <w:rsid w:val="00E4633B"/>
    <w:rsid w:val="00E46571"/>
    <w:rsid w:val="00E46953"/>
    <w:rsid w:val="00E46A4F"/>
    <w:rsid w:val="00E46B07"/>
    <w:rsid w:val="00E46D03"/>
    <w:rsid w:val="00E4700F"/>
    <w:rsid w:val="00E47210"/>
    <w:rsid w:val="00E472AF"/>
    <w:rsid w:val="00E500A8"/>
    <w:rsid w:val="00E5038F"/>
    <w:rsid w:val="00E5097E"/>
    <w:rsid w:val="00E50A61"/>
    <w:rsid w:val="00E50B6A"/>
    <w:rsid w:val="00E51B1F"/>
    <w:rsid w:val="00E5202B"/>
    <w:rsid w:val="00E52163"/>
    <w:rsid w:val="00E52280"/>
    <w:rsid w:val="00E52AA1"/>
    <w:rsid w:val="00E53812"/>
    <w:rsid w:val="00E53B8B"/>
    <w:rsid w:val="00E546CC"/>
    <w:rsid w:val="00E54936"/>
    <w:rsid w:val="00E54B91"/>
    <w:rsid w:val="00E56150"/>
    <w:rsid w:val="00E573DC"/>
    <w:rsid w:val="00E57EF0"/>
    <w:rsid w:val="00E605AB"/>
    <w:rsid w:val="00E60EBC"/>
    <w:rsid w:val="00E6105A"/>
    <w:rsid w:val="00E613A6"/>
    <w:rsid w:val="00E61EB5"/>
    <w:rsid w:val="00E62560"/>
    <w:rsid w:val="00E6334A"/>
    <w:rsid w:val="00E6352A"/>
    <w:rsid w:val="00E637D8"/>
    <w:rsid w:val="00E64025"/>
    <w:rsid w:val="00E6480F"/>
    <w:rsid w:val="00E64AEB"/>
    <w:rsid w:val="00E64D3F"/>
    <w:rsid w:val="00E65561"/>
    <w:rsid w:val="00E65E23"/>
    <w:rsid w:val="00E66102"/>
    <w:rsid w:val="00E661D8"/>
    <w:rsid w:val="00E6630D"/>
    <w:rsid w:val="00E66FD4"/>
    <w:rsid w:val="00E67352"/>
    <w:rsid w:val="00E675FF"/>
    <w:rsid w:val="00E678EB"/>
    <w:rsid w:val="00E67AAF"/>
    <w:rsid w:val="00E7007F"/>
    <w:rsid w:val="00E70221"/>
    <w:rsid w:val="00E70836"/>
    <w:rsid w:val="00E708AC"/>
    <w:rsid w:val="00E70B27"/>
    <w:rsid w:val="00E70FB7"/>
    <w:rsid w:val="00E717F3"/>
    <w:rsid w:val="00E72DB1"/>
    <w:rsid w:val="00E72FEB"/>
    <w:rsid w:val="00E73987"/>
    <w:rsid w:val="00E73DDC"/>
    <w:rsid w:val="00E74032"/>
    <w:rsid w:val="00E7464B"/>
    <w:rsid w:val="00E748B0"/>
    <w:rsid w:val="00E772ED"/>
    <w:rsid w:val="00E777D0"/>
    <w:rsid w:val="00E778B3"/>
    <w:rsid w:val="00E80AE8"/>
    <w:rsid w:val="00E80DDD"/>
    <w:rsid w:val="00E81247"/>
    <w:rsid w:val="00E81469"/>
    <w:rsid w:val="00E8238C"/>
    <w:rsid w:val="00E828E3"/>
    <w:rsid w:val="00E8295D"/>
    <w:rsid w:val="00E8313B"/>
    <w:rsid w:val="00E83FD9"/>
    <w:rsid w:val="00E84B89"/>
    <w:rsid w:val="00E85348"/>
    <w:rsid w:val="00E85831"/>
    <w:rsid w:val="00E8714C"/>
    <w:rsid w:val="00E90474"/>
    <w:rsid w:val="00E90861"/>
    <w:rsid w:val="00E90928"/>
    <w:rsid w:val="00E90B04"/>
    <w:rsid w:val="00E90D8C"/>
    <w:rsid w:val="00E91653"/>
    <w:rsid w:val="00E91A16"/>
    <w:rsid w:val="00E91C34"/>
    <w:rsid w:val="00E92F97"/>
    <w:rsid w:val="00E93986"/>
    <w:rsid w:val="00E944D4"/>
    <w:rsid w:val="00E945AC"/>
    <w:rsid w:val="00E951F7"/>
    <w:rsid w:val="00E95A37"/>
    <w:rsid w:val="00E9608F"/>
    <w:rsid w:val="00E96193"/>
    <w:rsid w:val="00E96BE5"/>
    <w:rsid w:val="00E9783B"/>
    <w:rsid w:val="00EA0126"/>
    <w:rsid w:val="00EA0C3F"/>
    <w:rsid w:val="00EA1130"/>
    <w:rsid w:val="00EA1934"/>
    <w:rsid w:val="00EA22C6"/>
    <w:rsid w:val="00EA2593"/>
    <w:rsid w:val="00EA26AA"/>
    <w:rsid w:val="00EA2DB6"/>
    <w:rsid w:val="00EA2EF6"/>
    <w:rsid w:val="00EA39F8"/>
    <w:rsid w:val="00EA4383"/>
    <w:rsid w:val="00EA4388"/>
    <w:rsid w:val="00EA551E"/>
    <w:rsid w:val="00EA572D"/>
    <w:rsid w:val="00EA5BEA"/>
    <w:rsid w:val="00EA6883"/>
    <w:rsid w:val="00EA7553"/>
    <w:rsid w:val="00EA7A0C"/>
    <w:rsid w:val="00EA7BB0"/>
    <w:rsid w:val="00EA7C34"/>
    <w:rsid w:val="00EB04E9"/>
    <w:rsid w:val="00EB0749"/>
    <w:rsid w:val="00EB1098"/>
    <w:rsid w:val="00EB1740"/>
    <w:rsid w:val="00EB19FF"/>
    <w:rsid w:val="00EB26C7"/>
    <w:rsid w:val="00EB287D"/>
    <w:rsid w:val="00EB3D97"/>
    <w:rsid w:val="00EB4B0C"/>
    <w:rsid w:val="00EB5C57"/>
    <w:rsid w:val="00EB610B"/>
    <w:rsid w:val="00EB6AFE"/>
    <w:rsid w:val="00EB703B"/>
    <w:rsid w:val="00EB7792"/>
    <w:rsid w:val="00EB7CBB"/>
    <w:rsid w:val="00EC0640"/>
    <w:rsid w:val="00EC0776"/>
    <w:rsid w:val="00EC0979"/>
    <w:rsid w:val="00EC1B3E"/>
    <w:rsid w:val="00EC1C06"/>
    <w:rsid w:val="00EC2198"/>
    <w:rsid w:val="00EC38D0"/>
    <w:rsid w:val="00EC6604"/>
    <w:rsid w:val="00EC6B3F"/>
    <w:rsid w:val="00EC6E27"/>
    <w:rsid w:val="00EC75A5"/>
    <w:rsid w:val="00EC7851"/>
    <w:rsid w:val="00EC78FF"/>
    <w:rsid w:val="00ED04D1"/>
    <w:rsid w:val="00ED07FE"/>
    <w:rsid w:val="00ED0B37"/>
    <w:rsid w:val="00ED1105"/>
    <w:rsid w:val="00ED135C"/>
    <w:rsid w:val="00ED165D"/>
    <w:rsid w:val="00ED1D63"/>
    <w:rsid w:val="00ED2748"/>
    <w:rsid w:val="00ED3339"/>
    <w:rsid w:val="00ED41C2"/>
    <w:rsid w:val="00ED4356"/>
    <w:rsid w:val="00ED43F2"/>
    <w:rsid w:val="00ED54CD"/>
    <w:rsid w:val="00ED5681"/>
    <w:rsid w:val="00ED5CBA"/>
    <w:rsid w:val="00ED5F0B"/>
    <w:rsid w:val="00ED64DA"/>
    <w:rsid w:val="00ED6C08"/>
    <w:rsid w:val="00ED795D"/>
    <w:rsid w:val="00ED7966"/>
    <w:rsid w:val="00EE0066"/>
    <w:rsid w:val="00EE02B3"/>
    <w:rsid w:val="00EE05A1"/>
    <w:rsid w:val="00EE0960"/>
    <w:rsid w:val="00EE0B17"/>
    <w:rsid w:val="00EE1BD8"/>
    <w:rsid w:val="00EE1BD9"/>
    <w:rsid w:val="00EE272E"/>
    <w:rsid w:val="00EE297F"/>
    <w:rsid w:val="00EE2991"/>
    <w:rsid w:val="00EE3BE3"/>
    <w:rsid w:val="00EE3CF5"/>
    <w:rsid w:val="00EE4146"/>
    <w:rsid w:val="00EE56B4"/>
    <w:rsid w:val="00EE5B78"/>
    <w:rsid w:val="00EE6021"/>
    <w:rsid w:val="00EE67CF"/>
    <w:rsid w:val="00EE7133"/>
    <w:rsid w:val="00EE7395"/>
    <w:rsid w:val="00EE7D9E"/>
    <w:rsid w:val="00EF0E45"/>
    <w:rsid w:val="00EF0ED2"/>
    <w:rsid w:val="00EF1121"/>
    <w:rsid w:val="00EF1974"/>
    <w:rsid w:val="00EF2C09"/>
    <w:rsid w:val="00EF311C"/>
    <w:rsid w:val="00EF34F4"/>
    <w:rsid w:val="00EF3DDF"/>
    <w:rsid w:val="00EF49C2"/>
    <w:rsid w:val="00EF5544"/>
    <w:rsid w:val="00EF5586"/>
    <w:rsid w:val="00EF6BF0"/>
    <w:rsid w:val="00EF7089"/>
    <w:rsid w:val="00EF7364"/>
    <w:rsid w:val="00EF78E2"/>
    <w:rsid w:val="00EF7916"/>
    <w:rsid w:val="00F00AF0"/>
    <w:rsid w:val="00F00B1F"/>
    <w:rsid w:val="00F0224C"/>
    <w:rsid w:val="00F0257F"/>
    <w:rsid w:val="00F036E8"/>
    <w:rsid w:val="00F03853"/>
    <w:rsid w:val="00F045ED"/>
    <w:rsid w:val="00F04DF5"/>
    <w:rsid w:val="00F068A9"/>
    <w:rsid w:val="00F06D3A"/>
    <w:rsid w:val="00F06F4A"/>
    <w:rsid w:val="00F071B2"/>
    <w:rsid w:val="00F07C6E"/>
    <w:rsid w:val="00F07E5B"/>
    <w:rsid w:val="00F103CD"/>
    <w:rsid w:val="00F12720"/>
    <w:rsid w:val="00F1298F"/>
    <w:rsid w:val="00F12AE6"/>
    <w:rsid w:val="00F12FCF"/>
    <w:rsid w:val="00F13515"/>
    <w:rsid w:val="00F151DC"/>
    <w:rsid w:val="00F15B54"/>
    <w:rsid w:val="00F15BC0"/>
    <w:rsid w:val="00F15DBD"/>
    <w:rsid w:val="00F162F4"/>
    <w:rsid w:val="00F1633A"/>
    <w:rsid w:val="00F167F6"/>
    <w:rsid w:val="00F17E9B"/>
    <w:rsid w:val="00F212DF"/>
    <w:rsid w:val="00F2160D"/>
    <w:rsid w:val="00F2202E"/>
    <w:rsid w:val="00F22820"/>
    <w:rsid w:val="00F238E1"/>
    <w:rsid w:val="00F23AE0"/>
    <w:rsid w:val="00F24269"/>
    <w:rsid w:val="00F24612"/>
    <w:rsid w:val="00F24C4C"/>
    <w:rsid w:val="00F250C5"/>
    <w:rsid w:val="00F25ADF"/>
    <w:rsid w:val="00F27314"/>
    <w:rsid w:val="00F27652"/>
    <w:rsid w:val="00F277C3"/>
    <w:rsid w:val="00F304AA"/>
    <w:rsid w:val="00F30916"/>
    <w:rsid w:val="00F30D48"/>
    <w:rsid w:val="00F30F32"/>
    <w:rsid w:val="00F31569"/>
    <w:rsid w:val="00F32404"/>
    <w:rsid w:val="00F32DB1"/>
    <w:rsid w:val="00F33FA8"/>
    <w:rsid w:val="00F3432A"/>
    <w:rsid w:val="00F35366"/>
    <w:rsid w:val="00F35493"/>
    <w:rsid w:val="00F35656"/>
    <w:rsid w:val="00F35CD6"/>
    <w:rsid w:val="00F36AB9"/>
    <w:rsid w:val="00F36B01"/>
    <w:rsid w:val="00F36C54"/>
    <w:rsid w:val="00F36DA3"/>
    <w:rsid w:val="00F37203"/>
    <w:rsid w:val="00F37423"/>
    <w:rsid w:val="00F37656"/>
    <w:rsid w:val="00F378E0"/>
    <w:rsid w:val="00F379B1"/>
    <w:rsid w:val="00F37E80"/>
    <w:rsid w:val="00F42E61"/>
    <w:rsid w:val="00F4371F"/>
    <w:rsid w:val="00F43A94"/>
    <w:rsid w:val="00F43ACE"/>
    <w:rsid w:val="00F44267"/>
    <w:rsid w:val="00F44593"/>
    <w:rsid w:val="00F44D2B"/>
    <w:rsid w:val="00F45145"/>
    <w:rsid w:val="00F4683C"/>
    <w:rsid w:val="00F479DC"/>
    <w:rsid w:val="00F47BC5"/>
    <w:rsid w:val="00F47D92"/>
    <w:rsid w:val="00F503B8"/>
    <w:rsid w:val="00F5069D"/>
    <w:rsid w:val="00F50741"/>
    <w:rsid w:val="00F51097"/>
    <w:rsid w:val="00F5112D"/>
    <w:rsid w:val="00F5156D"/>
    <w:rsid w:val="00F518EC"/>
    <w:rsid w:val="00F5272D"/>
    <w:rsid w:val="00F52B83"/>
    <w:rsid w:val="00F52D7D"/>
    <w:rsid w:val="00F5315D"/>
    <w:rsid w:val="00F53934"/>
    <w:rsid w:val="00F539FC"/>
    <w:rsid w:val="00F553EC"/>
    <w:rsid w:val="00F5598F"/>
    <w:rsid w:val="00F57F35"/>
    <w:rsid w:val="00F608E5"/>
    <w:rsid w:val="00F60E4F"/>
    <w:rsid w:val="00F61145"/>
    <w:rsid w:val="00F612C8"/>
    <w:rsid w:val="00F61744"/>
    <w:rsid w:val="00F61945"/>
    <w:rsid w:val="00F621CD"/>
    <w:rsid w:val="00F62357"/>
    <w:rsid w:val="00F624CC"/>
    <w:rsid w:val="00F6336B"/>
    <w:rsid w:val="00F637E7"/>
    <w:rsid w:val="00F63991"/>
    <w:rsid w:val="00F645ED"/>
    <w:rsid w:val="00F64AC1"/>
    <w:rsid w:val="00F64FC2"/>
    <w:rsid w:val="00F6508F"/>
    <w:rsid w:val="00F65331"/>
    <w:rsid w:val="00F65F05"/>
    <w:rsid w:val="00F65F79"/>
    <w:rsid w:val="00F661EC"/>
    <w:rsid w:val="00F662B8"/>
    <w:rsid w:val="00F66EE2"/>
    <w:rsid w:val="00F676B1"/>
    <w:rsid w:val="00F711D1"/>
    <w:rsid w:val="00F713B1"/>
    <w:rsid w:val="00F717BF"/>
    <w:rsid w:val="00F71AF4"/>
    <w:rsid w:val="00F71E87"/>
    <w:rsid w:val="00F71F42"/>
    <w:rsid w:val="00F72283"/>
    <w:rsid w:val="00F722A2"/>
    <w:rsid w:val="00F72376"/>
    <w:rsid w:val="00F728CD"/>
    <w:rsid w:val="00F731CA"/>
    <w:rsid w:val="00F73316"/>
    <w:rsid w:val="00F73775"/>
    <w:rsid w:val="00F73852"/>
    <w:rsid w:val="00F738F9"/>
    <w:rsid w:val="00F73EDB"/>
    <w:rsid w:val="00F7548F"/>
    <w:rsid w:val="00F7629E"/>
    <w:rsid w:val="00F77061"/>
    <w:rsid w:val="00F771BC"/>
    <w:rsid w:val="00F7726D"/>
    <w:rsid w:val="00F77D4B"/>
    <w:rsid w:val="00F81160"/>
    <w:rsid w:val="00F81450"/>
    <w:rsid w:val="00F81A6E"/>
    <w:rsid w:val="00F82E48"/>
    <w:rsid w:val="00F83A5A"/>
    <w:rsid w:val="00F83D36"/>
    <w:rsid w:val="00F84673"/>
    <w:rsid w:val="00F8565D"/>
    <w:rsid w:val="00F85A31"/>
    <w:rsid w:val="00F86649"/>
    <w:rsid w:val="00F87407"/>
    <w:rsid w:val="00F87DCC"/>
    <w:rsid w:val="00F87F41"/>
    <w:rsid w:val="00F909E5"/>
    <w:rsid w:val="00F91DAD"/>
    <w:rsid w:val="00F927F8"/>
    <w:rsid w:val="00F928C1"/>
    <w:rsid w:val="00F92EB0"/>
    <w:rsid w:val="00F93B6F"/>
    <w:rsid w:val="00F93EF0"/>
    <w:rsid w:val="00F9451B"/>
    <w:rsid w:val="00F9466C"/>
    <w:rsid w:val="00F94D33"/>
    <w:rsid w:val="00F94ED2"/>
    <w:rsid w:val="00F950B0"/>
    <w:rsid w:val="00F95791"/>
    <w:rsid w:val="00F968F4"/>
    <w:rsid w:val="00F96BCA"/>
    <w:rsid w:val="00F972D5"/>
    <w:rsid w:val="00F97B52"/>
    <w:rsid w:val="00F97C4E"/>
    <w:rsid w:val="00FA0081"/>
    <w:rsid w:val="00FA064C"/>
    <w:rsid w:val="00FA0902"/>
    <w:rsid w:val="00FA0E42"/>
    <w:rsid w:val="00FA11B2"/>
    <w:rsid w:val="00FA1C29"/>
    <w:rsid w:val="00FA218A"/>
    <w:rsid w:val="00FA26D5"/>
    <w:rsid w:val="00FA3561"/>
    <w:rsid w:val="00FA359A"/>
    <w:rsid w:val="00FA3A3C"/>
    <w:rsid w:val="00FA428B"/>
    <w:rsid w:val="00FA4A35"/>
    <w:rsid w:val="00FA4E14"/>
    <w:rsid w:val="00FA5033"/>
    <w:rsid w:val="00FA5379"/>
    <w:rsid w:val="00FA768F"/>
    <w:rsid w:val="00FA7917"/>
    <w:rsid w:val="00FA7E57"/>
    <w:rsid w:val="00FA7F8E"/>
    <w:rsid w:val="00FA7FC6"/>
    <w:rsid w:val="00FB0046"/>
    <w:rsid w:val="00FB0054"/>
    <w:rsid w:val="00FB05A7"/>
    <w:rsid w:val="00FB0760"/>
    <w:rsid w:val="00FB14BA"/>
    <w:rsid w:val="00FB2C30"/>
    <w:rsid w:val="00FB39F4"/>
    <w:rsid w:val="00FB6C2D"/>
    <w:rsid w:val="00FB74D9"/>
    <w:rsid w:val="00FB76D2"/>
    <w:rsid w:val="00FB7EE8"/>
    <w:rsid w:val="00FB7F14"/>
    <w:rsid w:val="00FC06C2"/>
    <w:rsid w:val="00FC1055"/>
    <w:rsid w:val="00FC16F8"/>
    <w:rsid w:val="00FC24E5"/>
    <w:rsid w:val="00FC2F42"/>
    <w:rsid w:val="00FC2F94"/>
    <w:rsid w:val="00FC3191"/>
    <w:rsid w:val="00FC45E6"/>
    <w:rsid w:val="00FC5774"/>
    <w:rsid w:val="00FC5DEE"/>
    <w:rsid w:val="00FC5E4A"/>
    <w:rsid w:val="00FC6B56"/>
    <w:rsid w:val="00FD04BD"/>
    <w:rsid w:val="00FD0A82"/>
    <w:rsid w:val="00FD0B0C"/>
    <w:rsid w:val="00FD0F0E"/>
    <w:rsid w:val="00FD1A20"/>
    <w:rsid w:val="00FD2396"/>
    <w:rsid w:val="00FD3378"/>
    <w:rsid w:val="00FD3DB3"/>
    <w:rsid w:val="00FD5019"/>
    <w:rsid w:val="00FD61EE"/>
    <w:rsid w:val="00FD698F"/>
    <w:rsid w:val="00FD6AFE"/>
    <w:rsid w:val="00FD6B44"/>
    <w:rsid w:val="00FD6CEE"/>
    <w:rsid w:val="00FD7313"/>
    <w:rsid w:val="00FD75F1"/>
    <w:rsid w:val="00FE1570"/>
    <w:rsid w:val="00FE1878"/>
    <w:rsid w:val="00FE1D4B"/>
    <w:rsid w:val="00FE22C5"/>
    <w:rsid w:val="00FE236E"/>
    <w:rsid w:val="00FE292F"/>
    <w:rsid w:val="00FE2E5F"/>
    <w:rsid w:val="00FE3229"/>
    <w:rsid w:val="00FE3587"/>
    <w:rsid w:val="00FE3DCC"/>
    <w:rsid w:val="00FE3E8F"/>
    <w:rsid w:val="00FE42A7"/>
    <w:rsid w:val="00FE4912"/>
    <w:rsid w:val="00FE495E"/>
    <w:rsid w:val="00FE4F90"/>
    <w:rsid w:val="00FE6814"/>
    <w:rsid w:val="00FE6C9C"/>
    <w:rsid w:val="00FE7BA6"/>
    <w:rsid w:val="00FF1242"/>
    <w:rsid w:val="00FF1494"/>
    <w:rsid w:val="00FF1504"/>
    <w:rsid w:val="00FF1D67"/>
    <w:rsid w:val="00FF213D"/>
    <w:rsid w:val="00FF247B"/>
    <w:rsid w:val="00FF37F3"/>
    <w:rsid w:val="00FF3A61"/>
    <w:rsid w:val="00FF3AB4"/>
    <w:rsid w:val="00FF444C"/>
    <w:rsid w:val="00FF4833"/>
    <w:rsid w:val="00FF4D4E"/>
    <w:rsid w:val="00FF4F3D"/>
    <w:rsid w:val="00FF514C"/>
    <w:rsid w:val="00FF51AD"/>
    <w:rsid w:val="00FF5664"/>
    <w:rsid w:val="00FF5C16"/>
    <w:rsid w:val="00FF63A0"/>
    <w:rsid w:val="00FF70D4"/>
    <w:rsid w:val="00FF7A19"/>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Default Paragraph Font" w:uiPriority="1"/>
    <w:lsdException w:name="Subtitle" w:uiPriority="11" w:qFormat="1"/>
    <w:lsdException w:name="Body Text Indent 3" w:uiPriority="99"/>
    <w:lsdException w:name="Hyperlink" w:uiPriority="99"/>
    <w:lsdException w:name="Strong" w:qFormat="1"/>
    <w:lsdException w:name="Emphasis"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C2E55"/>
    <w:rPr>
      <w:rFonts w:ascii="Arial" w:hAnsi="Arial"/>
      <w:lang w:val="en-US" w:eastAsia="en-US"/>
    </w:rPr>
  </w:style>
  <w:style w:type="paragraph" w:styleId="Heading1">
    <w:name w:val="heading 1"/>
    <w:basedOn w:val="Heading2"/>
    <w:next w:val="Normal"/>
    <w:link w:val="Heading1Char"/>
    <w:qFormat/>
    <w:rsid w:val="00504996"/>
    <w:pPr>
      <w:outlineLvl w:val="0"/>
    </w:pPr>
    <w:rPr>
      <w:i/>
    </w:rPr>
  </w:style>
  <w:style w:type="paragraph" w:styleId="Heading2">
    <w:name w:val="heading 2"/>
    <w:basedOn w:val="Normal"/>
    <w:next w:val="Normal"/>
    <w:link w:val="Heading2Char"/>
    <w:qFormat/>
    <w:rsid w:val="004524D3"/>
    <w:pPr>
      <w:keepNext/>
      <w:jc w:val="center"/>
      <w:outlineLvl w:val="1"/>
    </w:pPr>
    <w:rPr>
      <w:rFonts w:ascii="Times New Roman" w:hAnsi="Times New Roman"/>
      <w:b/>
      <w:bCs/>
      <w:iCs/>
      <w:sz w:val="22"/>
      <w:szCs w:val="22"/>
      <w:lang w:val="es-ES_tradnl"/>
    </w:rPr>
  </w:style>
  <w:style w:type="paragraph" w:styleId="Heading3">
    <w:name w:val="heading 3"/>
    <w:basedOn w:val="Normal"/>
    <w:next w:val="Normal"/>
    <w:link w:val="Heading3Char"/>
    <w:qFormat/>
    <w:rsid w:val="00685536"/>
    <w:pPr>
      <w:keepNext/>
      <w:spacing w:before="240" w:after="60"/>
      <w:outlineLvl w:val="2"/>
    </w:pPr>
    <w:rPr>
      <w:rFonts w:ascii="Times New Roman" w:hAnsi="Times New Roman" w:cs="Arial"/>
      <w:bCs/>
      <w:i/>
      <w:sz w:val="24"/>
      <w:szCs w:val="26"/>
    </w:rPr>
  </w:style>
  <w:style w:type="paragraph" w:styleId="Heading4">
    <w:name w:val="heading 4"/>
    <w:basedOn w:val="Normal"/>
    <w:next w:val="Normal"/>
    <w:link w:val="Heading4Char"/>
    <w:semiHidden/>
    <w:unhideWhenUsed/>
    <w:qFormat/>
    <w:rsid w:val="009216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57EEA"/>
    <w:pPr>
      <w:jc w:val="center"/>
    </w:pPr>
    <w:rPr>
      <w:rFonts w:ascii="Times New Roman" w:hAnsi="Times New Roman"/>
      <w:b/>
      <w:bCs/>
      <w:sz w:val="28"/>
      <w:szCs w:val="24"/>
      <w:lang w:val="es-ES_tradnl"/>
    </w:rPr>
  </w:style>
  <w:style w:type="paragraph" w:styleId="Footer">
    <w:name w:val="footer"/>
    <w:basedOn w:val="Normal"/>
    <w:link w:val="FooterChar"/>
    <w:uiPriority w:val="99"/>
    <w:rsid w:val="00657EEA"/>
    <w:pPr>
      <w:tabs>
        <w:tab w:val="center" w:pos="4320"/>
        <w:tab w:val="right" w:pos="8640"/>
      </w:tabs>
    </w:pPr>
    <w:rPr>
      <w:rFonts w:ascii="Times New Roman" w:hAnsi="Times New Roman"/>
      <w:sz w:val="24"/>
      <w:szCs w:val="24"/>
      <w:lang w:val="es-ES"/>
    </w:rPr>
  </w:style>
  <w:style w:type="character" w:styleId="PageNumber">
    <w:name w:val="page number"/>
    <w:basedOn w:val="DefaultParagraphFont"/>
    <w:rsid w:val="00657EEA"/>
  </w:style>
  <w:style w:type="paragraph" w:styleId="BodyText3">
    <w:name w:val="Body Text 3"/>
    <w:basedOn w:val="Normal"/>
    <w:rsid w:val="00657EEA"/>
    <w:pPr>
      <w:jc w:val="center"/>
    </w:pPr>
    <w:rPr>
      <w:rFonts w:ascii="Times New Roman" w:hAnsi="Times New Roman"/>
      <w:b/>
      <w:bCs/>
      <w:sz w:val="24"/>
      <w:szCs w:val="24"/>
      <w:lang w:val="es-ES_tradnl"/>
    </w:rPr>
  </w:style>
  <w:style w:type="paragraph" w:styleId="FootnoteText">
    <w:name w:val="footnote text"/>
    <w:aliases w:val="fn,Texto de rodapé,nota_rodapé,nota de rodapé,footnote,single space,FOOTNOTES,footnote text,Footnote Text Char Char,Footnote Text Char,ft"/>
    <w:basedOn w:val="Normal"/>
    <w:link w:val="FootnoteTextChar1"/>
    <w:uiPriority w:val="99"/>
    <w:rsid w:val="00B2700D"/>
  </w:style>
  <w:style w:type="character" w:styleId="FootnoteReference">
    <w:name w:val="footnote reference"/>
    <w:aliases w:val="titulo 2,Ref. de nota al pie.,Footnote Referencefra,Referência de rodapé,ftref,FC,referencia nota al pie,Style 24,pie pddes,16 Point,Superscript 6 Point,(Ref. de nota al pie),Ref,de nota al pie,Ref. de nota al pie EDEP"/>
    <w:uiPriority w:val="99"/>
    <w:rsid w:val="00B2700D"/>
    <w:rPr>
      <w:vertAlign w:val="superscript"/>
    </w:rPr>
  </w:style>
  <w:style w:type="paragraph" w:customStyle="1" w:styleId="Default">
    <w:name w:val="Default"/>
    <w:rsid w:val="0010137A"/>
    <w:pPr>
      <w:autoSpaceDE w:val="0"/>
      <w:autoSpaceDN w:val="0"/>
      <w:adjustRightInd w:val="0"/>
    </w:pPr>
    <w:rPr>
      <w:color w:val="000000"/>
      <w:sz w:val="24"/>
      <w:szCs w:val="24"/>
      <w:lang w:val="es-ES" w:eastAsia="es-ES"/>
    </w:rPr>
  </w:style>
  <w:style w:type="paragraph" w:styleId="NormalWeb">
    <w:name w:val="Normal (Web)"/>
    <w:basedOn w:val="Normal"/>
    <w:uiPriority w:val="99"/>
    <w:rsid w:val="00605042"/>
    <w:rPr>
      <w:rFonts w:ascii="Times New Roman" w:hAnsi="Times New Roman"/>
      <w:sz w:val="24"/>
      <w:szCs w:val="24"/>
    </w:rPr>
  </w:style>
  <w:style w:type="paragraph" w:styleId="TOCHeading">
    <w:name w:val="TOC Heading"/>
    <w:basedOn w:val="Heading1"/>
    <w:next w:val="Normal"/>
    <w:uiPriority w:val="39"/>
    <w:qFormat/>
    <w:rsid w:val="00685536"/>
    <w:pPr>
      <w:keepLines/>
      <w:spacing w:before="480" w:line="276" w:lineRule="auto"/>
      <w:outlineLvl w:val="9"/>
    </w:pPr>
    <w:rPr>
      <w:rFonts w:ascii="Cambria" w:hAnsi="Cambria"/>
      <w:color w:val="365F91"/>
      <w:sz w:val="28"/>
      <w:szCs w:val="28"/>
      <w:lang w:val="es-ES"/>
    </w:rPr>
  </w:style>
  <w:style w:type="paragraph" w:styleId="TOC3">
    <w:name w:val="toc 3"/>
    <w:basedOn w:val="Normal"/>
    <w:next w:val="Normal"/>
    <w:autoRedefine/>
    <w:uiPriority w:val="39"/>
    <w:unhideWhenUsed/>
    <w:rsid w:val="00456867"/>
    <w:pPr>
      <w:tabs>
        <w:tab w:val="right" w:leader="dot" w:pos="8630"/>
      </w:tabs>
      <w:ind w:left="400"/>
    </w:pPr>
    <w:rPr>
      <w:rFonts w:ascii="Times New Roman" w:hAnsi="Times New Roman"/>
      <w:i/>
      <w:iCs/>
      <w:noProof/>
      <w:lang w:val="es-ES_tradnl"/>
    </w:rPr>
  </w:style>
  <w:style w:type="paragraph" w:styleId="TOC2">
    <w:name w:val="toc 2"/>
    <w:basedOn w:val="Normal"/>
    <w:next w:val="Normal"/>
    <w:autoRedefine/>
    <w:uiPriority w:val="39"/>
    <w:unhideWhenUsed/>
    <w:rsid w:val="00E039E1"/>
    <w:pPr>
      <w:tabs>
        <w:tab w:val="right" w:leader="dot" w:pos="8630"/>
      </w:tabs>
    </w:pPr>
    <w:rPr>
      <w:rFonts w:ascii="Times New Roman" w:hAnsi="Times New Roman"/>
      <w:smallCaps/>
      <w:noProof/>
    </w:rPr>
  </w:style>
  <w:style w:type="character" w:styleId="Hyperlink">
    <w:name w:val="Hyperlink"/>
    <w:uiPriority w:val="99"/>
    <w:unhideWhenUsed/>
    <w:rsid w:val="00685536"/>
    <w:rPr>
      <w:color w:val="0000FF"/>
      <w:u w:val="single"/>
    </w:rPr>
  </w:style>
  <w:style w:type="paragraph" w:styleId="Subtitle">
    <w:name w:val="Subtitle"/>
    <w:basedOn w:val="Normal"/>
    <w:next w:val="Normal"/>
    <w:link w:val="SubtitleChar"/>
    <w:uiPriority w:val="11"/>
    <w:qFormat/>
    <w:rsid w:val="00685536"/>
    <w:pPr>
      <w:spacing w:after="60"/>
      <w:jc w:val="center"/>
      <w:outlineLvl w:val="1"/>
    </w:pPr>
    <w:rPr>
      <w:rFonts w:ascii="Cambria" w:hAnsi="Cambria"/>
      <w:sz w:val="24"/>
      <w:szCs w:val="24"/>
    </w:rPr>
  </w:style>
  <w:style w:type="character" w:customStyle="1" w:styleId="SubtitleChar">
    <w:name w:val="Subtitle Char"/>
    <w:link w:val="Subtitle"/>
    <w:uiPriority w:val="11"/>
    <w:rsid w:val="00685536"/>
    <w:rPr>
      <w:rFonts w:ascii="Cambria" w:eastAsia="Times New Roman" w:hAnsi="Cambria" w:cs="Times New Roman"/>
      <w:sz w:val="24"/>
      <w:szCs w:val="24"/>
      <w:lang w:val="en-US" w:eastAsia="en-US"/>
    </w:rPr>
  </w:style>
  <w:style w:type="paragraph" w:styleId="EndnoteText">
    <w:name w:val="endnote text"/>
    <w:basedOn w:val="Normal"/>
    <w:link w:val="EndnoteTextChar"/>
    <w:uiPriority w:val="99"/>
    <w:semiHidden/>
    <w:unhideWhenUsed/>
    <w:rsid w:val="00685536"/>
  </w:style>
  <w:style w:type="character" w:customStyle="1" w:styleId="EndnoteTextChar">
    <w:name w:val="Endnote Text Char"/>
    <w:link w:val="EndnoteText"/>
    <w:uiPriority w:val="99"/>
    <w:semiHidden/>
    <w:rsid w:val="00685536"/>
    <w:rPr>
      <w:rFonts w:ascii="Arial" w:hAnsi="Arial"/>
      <w:lang w:val="en-US" w:eastAsia="en-US"/>
    </w:rPr>
  </w:style>
  <w:style w:type="character" w:styleId="EndnoteReference">
    <w:name w:val="endnote reference"/>
    <w:uiPriority w:val="99"/>
    <w:semiHidden/>
    <w:unhideWhenUsed/>
    <w:rsid w:val="00685536"/>
    <w:rPr>
      <w:vertAlign w:val="superscript"/>
    </w:rPr>
  </w:style>
  <w:style w:type="paragraph" w:styleId="ListParagraph">
    <w:name w:val="List Paragraph"/>
    <w:basedOn w:val="Normal"/>
    <w:link w:val="ListParagraphChar"/>
    <w:uiPriority w:val="34"/>
    <w:qFormat/>
    <w:rsid w:val="00207B49"/>
    <w:pPr>
      <w:ind w:left="708"/>
    </w:pPr>
  </w:style>
  <w:style w:type="paragraph" w:styleId="TOC1">
    <w:name w:val="toc 1"/>
    <w:basedOn w:val="Normal"/>
    <w:next w:val="Normal"/>
    <w:autoRedefine/>
    <w:uiPriority w:val="39"/>
    <w:unhideWhenUsed/>
    <w:rsid w:val="00621F99"/>
    <w:pPr>
      <w:tabs>
        <w:tab w:val="left" w:pos="600"/>
        <w:tab w:val="right" w:leader="dot" w:pos="8636"/>
      </w:tabs>
      <w:spacing w:before="120" w:after="120"/>
    </w:pPr>
    <w:rPr>
      <w:rFonts w:ascii="Times New Roman" w:hAnsi="Times New Roman"/>
      <w:bCs/>
      <w:caps/>
      <w:noProof/>
    </w:rPr>
  </w:style>
  <w:style w:type="paragraph" w:styleId="BalloonText">
    <w:name w:val="Balloon Text"/>
    <w:basedOn w:val="Normal"/>
    <w:link w:val="BalloonTextChar"/>
    <w:uiPriority w:val="99"/>
    <w:semiHidden/>
    <w:rsid w:val="00A71618"/>
    <w:rPr>
      <w:rFonts w:ascii="Tahoma" w:hAnsi="Tahoma" w:cs="Tahoma"/>
      <w:sz w:val="16"/>
      <w:szCs w:val="16"/>
    </w:rPr>
  </w:style>
  <w:style w:type="character" w:customStyle="1" w:styleId="Heading3Char">
    <w:name w:val="Heading 3 Char"/>
    <w:link w:val="Heading3"/>
    <w:rsid w:val="00362A45"/>
    <w:rPr>
      <w:rFonts w:cs="Arial"/>
      <w:bCs/>
      <w:i/>
      <w:sz w:val="24"/>
      <w:szCs w:val="26"/>
      <w:lang w:val="en-US" w:eastAsia="en-US" w:bidi="ar-SA"/>
    </w:rPr>
  </w:style>
  <w:style w:type="paragraph" w:customStyle="1" w:styleId="Titulo4">
    <w:name w:val="Titulo 4"/>
    <w:basedOn w:val="Normal"/>
    <w:link w:val="Titulo4Car"/>
    <w:rsid w:val="007068FB"/>
    <w:pPr>
      <w:ind w:left="720"/>
    </w:pPr>
    <w:rPr>
      <w:u w:val="single"/>
    </w:rPr>
  </w:style>
  <w:style w:type="character" w:customStyle="1" w:styleId="Titulo4Car">
    <w:name w:val="Titulo 4 Car"/>
    <w:link w:val="Titulo4"/>
    <w:rsid w:val="007068FB"/>
    <w:rPr>
      <w:rFonts w:ascii="Arial" w:hAnsi="Arial"/>
      <w:u w:val="single"/>
      <w:lang w:val="en-US" w:eastAsia="en-US" w:bidi="ar-SA"/>
    </w:rPr>
  </w:style>
  <w:style w:type="paragraph" w:customStyle="1" w:styleId="NormalTimesNewRoman">
    <w:name w:val="Normal + Times New Roman"/>
    <w:aliases w:val="11 pt,Justificado,Titulo4"/>
    <w:basedOn w:val="Normal"/>
    <w:rsid w:val="007068FB"/>
    <w:pPr>
      <w:tabs>
        <w:tab w:val="num" w:pos="958"/>
      </w:tabs>
      <w:ind w:left="144"/>
      <w:jc w:val="both"/>
    </w:pPr>
    <w:rPr>
      <w:rFonts w:ascii="Times New Roman" w:hAnsi="Times New Roman"/>
      <w:sz w:val="22"/>
      <w:szCs w:val="22"/>
    </w:rPr>
  </w:style>
  <w:style w:type="paragraph" w:styleId="TOC5">
    <w:name w:val="toc 5"/>
    <w:basedOn w:val="Normal"/>
    <w:next w:val="Normal"/>
    <w:autoRedefine/>
    <w:semiHidden/>
    <w:rsid w:val="000822B7"/>
    <w:pPr>
      <w:ind w:left="800"/>
    </w:pPr>
    <w:rPr>
      <w:rFonts w:ascii="Times New Roman" w:hAnsi="Times New Roman"/>
      <w:sz w:val="18"/>
      <w:szCs w:val="18"/>
    </w:rPr>
  </w:style>
  <w:style w:type="paragraph" w:styleId="TOC4">
    <w:name w:val="toc 4"/>
    <w:basedOn w:val="Normal"/>
    <w:next w:val="Normal"/>
    <w:autoRedefine/>
    <w:semiHidden/>
    <w:rsid w:val="000822B7"/>
    <w:pPr>
      <w:ind w:left="600"/>
    </w:pPr>
    <w:rPr>
      <w:rFonts w:ascii="Times New Roman" w:hAnsi="Times New Roman"/>
      <w:sz w:val="18"/>
      <w:szCs w:val="18"/>
    </w:rPr>
  </w:style>
  <w:style w:type="paragraph" w:styleId="TOC6">
    <w:name w:val="toc 6"/>
    <w:basedOn w:val="Normal"/>
    <w:next w:val="Normal"/>
    <w:autoRedefine/>
    <w:semiHidden/>
    <w:rsid w:val="000822B7"/>
    <w:pPr>
      <w:ind w:left="1000"/>
    </w:pPr>
    <w:rPr>
      <w:rFonts w:ascii="Times New Roman" w:hAnsi="Times New Roman"/>
      <w:sz w:val="18"/>
      <w:szCs w:val="18"/>
    </w:rPr>
  </w:style>
  <w:style w:type="paragraph" w:styleId="TOC7">
    <w:name w:val="toc 7"/>
    <w:basedOn w:val="Normal"/>
    <w:next w:val="Normal"/>
    <w:autoRedefine/>
    <w:semiHidden/>
    <w:rsid w:val="000822B7"/>
    <w:pPr>
      <w:ind w:left="1200"/>
    </w:pPr>
    <w:rPr>
      <w:rFonts w:ascii="Times New Roman" w:hAnsi="Times New Roman"/>
      <w:sz w:val="18"/>
      <w:szCs w:val="18"/>
    </w:rPr>
  </w:style>
  <w:style w:type="paragraph" w:styleId="TOC8">
    <w:name w:val="toc 8"/>
    <w:basedOn w:val="Normal"/>
    <w:next w:val="Normal"/>
    <w:autoRedefine/>
    <w:semiHidden/>
    <w:rsid w:val="000822B7"/>
    <w:pPr>
      <w:ind w:left="1400"/>
    </w:pPr>
    <w:rPr>
      <w:rFonts w:ascii="Times New Roman" w:hAnsi="Times New Roman"/>
      <w:sz w:val="18"/>
      <w:szCs w:val="18"/>
    </w:rPr>
  </w:style>
  <w:style w:type="paragraph" w:styleId="TOC9">
    <w:name w:val="toc 9"/>
    <w:basedOn w:val="Normal"/>
    <w:next w:val="Normal"/>
    <w:autoRedefine/>
    <w:semiHidden/>
    <w:rsid w:val="000822B7"/>
    <w:pPr>
      <w:ind w:left="1600"/>
    </w:pPr>
    <w:rPr>
      <w:rFonts w:ascii="Times New Roman" w:hAnsi="Times New Roman"/>
      <w:sz w:val="18"/>
      <w:szCs w:val="18"/>
    </w:rPr>
  </w:style>
  <w:style w:type="paragraph" w:customStyle="1" w:styleId="NormalWeb1">
    <w:name w:val="Normal (Web)1"/>
    <w:basedOn w:val="Normal"/>
    <w:rsid w:val="00717681"/>
    <w:pPr>
      <w:spacing w:before="100" w:beforeAutospacing="1" w:after="100" w:afterAutospacing="1"/>
    </w:pPr>
    <w:rPr>
      <w:rFonts w:ascii="Times New Roman" w:hAnsi="Times New Roman"/>
      <w:sz w:val="24"/>
      <w:szCs w:val="24"/>
      <w:lang w:val="es-ES" w:eastAsia="es-ES"/>
    </w:rPr>
  </w:style>
  <w:style w:type="paragraph" w:styleId="Header">
    <w:name w:val="header"/>
    <w:basedOn w:val="Normal"/>
    <w:link w:val="HeaderChar"/>
    <w:uiPriority w:val="99"/>
    <w:rsid w:val="00717681"/>
    <w:pPr>
      <w:tabs>
        <w:tab w:val="center" w:pos="4252"/>
        <w:tab w:val="right" w:pos="8504"/>
      </w:tabs>
    </w:pPr>
  </w:style>
  <w:style w:type="table" w:styleId="TableWeb2">
    <w:name w:val="Table Web 2"/>
    <w:basedOn w:val="TableNormal"/>
    <w:rsid w:val="00D70095"/>
    <w:tblPr>
      <w:tblCellSpacing w:w="20" w:type="dxa"/>
    </w:tblPr>
    <w:trPr>
      <w:tblCellSpacing w:w="20" w:type="dxa"/>
    </w:trPr>
    <w:tcPr>
      <w:shd w:val="clear" w:color="auto" w:fill="F3F3F3"/>
    </w:tcPr>
    <w:tblStylePr w:type="firstRow">
      <w:rPr>
        <w:b/>
        <w:color w:val="000000"/>
      </w:rPr>
      <w:tblPr/>
      <w:tcPr>
        <w:shd w:val="clear" w:color="auto" w:fill="CCFFFF"/>
      </w:tcPr>
    </w:tblStylePr>
    <w:tblStylePr w:type="firstCol">
      <w:rPr>
        <w:b/>
      </w:rPr>
      <w:tblPr/>
      <w:tcPr>
        <w:shd w:val="clear" w:color="auto" w:fill="CCFFFF"/>
      </w:tcPr>
    </w:tblStylePr>
    <w:tblStylePr w:type="nwCell">
      <w:rPr>
        <w:b/>
        <w:color w:val="auto"/>
        <w:sz w:val="24"/>
      </w:rPr>
      <w:tblPr/>
      <w:tcPr>
        <w:shd w:val="clear" w:color="auto" w:fill="CCFFFF"/>
      </w:tcPr>
    </w:tblStylePr>
  </w:style>
  <w:style w:type="character" w:customStyle="1" w:styleId="HeaderChar">
    <w:name w:val="Header Char"/>
    <w:link w:val="Header"/>
    <w:uiPriority w:val="99"/>
    <w:rsid w:val="00DD3757"/>
    <w:rPr>
      <w:rFonts w:ascii="Arial" w:hAnsi="Arial"/>
      <w:lang w:val="en-US" w:eastAsia="en-US" w:bidi="ar-SA"/>
    </w:rPr>
  </w:style>
  <w:style w:type="paragraph" w:customStyle="1" w:styleId="SPLAP1">
    <w:name w:val="SPLAP 1"/>
    <w:basedOn w:val="Heading1"/>
    <w:rsid w:val="00D0244F"/>
    <w:pPr>
      <w:numPr>
        <w:numId w:val="1"/>
      </w:numPr>
      <w:pBdr>
        <w:bottom w:val="single" w:sz="4" w:space="1" w:color="auto"/>
      </w:pBdr>
      <w:spacing w:before="240" w:after="240"/>
      <w:jc w:val="left"/>
    </w:pPr>
    <w:rPr>
      <w:rFonts w:ascii="Arial" w:eastAsia="Times" w:hAnsi="Arial"/>
      <w:bCs w:val="0"/>
      <w:i w:val="0"/>
      <w:iCs w:val="0"/>
      <w:kern w:val="32"/>
      <w:sz w:val="24"/>
      <w:szCs w:val="32"/>
      <w:lang w:val="en-AU"/>
    </w:rPr>
  </w:style>
  <w:style w:type="paragraph" w:customStyle="1" w:styleId="SPLAP2">
    <w:name w:val="SPLAP 2"/>
    <w:basedOn w:val="Heading2"/>
    <w:rsid w:val="00D0244F"/>
    <w:pPr>
      <w:numPr>
        <w:ilvl w:val="1"/>
        <w:numId w:val="1"/>
      </w:numPr>
      <w:tabs>
        <w:tab w:val="num" w:pos="567"/>
      </w:tabs>
      <w:spacing w:before="240" w:after="60"/>
      <w:ind w:left="567" w:hanging="567"/>
      <w:jc w:val="left"/>
      <w:outlineLvl w:val="0"/>
    </w:pPr>
    <w:rPr>
      <w:rFonts w:ascii="Arial" w:eastAsia="Times" w:hAnsi="Arial"/>
      <w:bCs w:val="0"/>
      <w:i/>
      <w:iCs w:val="0"/>
      <w:sz w:val="24"/>
      <w:szCs w:val="28"/>
      <w:lang w:val="en-AU"/>
    </w:rPr>
  </w:style>
  <w:style w:type="paragraph" w:customStyle="1" w:styleId="SPLAP3">
    <w:name w:val="SPLAP 3"/>
    <w:basedOn w:val="Heading3"/>
    <w:rsid w:val="00D0244F"/>
    <w:pPr>
      <w:numPr>
        <w:ilvl w:val="2"/>
        <w:numId w:val="1"/>
      </w:numPr>
    </w:pPr>
    <w:rPr>
      <w:rFonts w:ascii="Arial" w:eastAsia="Times" w:hAnsi="Arial" w:cs="Times New Roman"/>
      <w:bCs w:val="0"/>
      <w:lang w:val="en-AU"/>
    </w:rPr>
  </w:style>
  <w:style w:type="paragraph" w:customStyle="1" w:styleId="ICLEIfont">
    <w:name w:val="ICLEI font"/>
    <w:basedOn w:val="Normal"/>
    <w:rsid w:val="00D0244F"/>
    <w:pPr>
      <w:spacing w:after="120"/>
    </w:pPr>
    <w:rPr>
      <w:rFonts w:eastAsia="Times"/>
      <w:sz w:val="22"/>
      <w:lang w:val="en-AU"/>
    </w:rPr>
  </w:style>
  <w:style w:type="paragraph" w:customStyle="1" w:styleId="LAPbodytext">
    <w:name w:val="LAP body text"/>
    <w:basedOn w:val="Normal"/>
    <w:rsid w:val="004701EC"/>
    <w:pPr>
      <w:jc w:val="both"/>
    </w:pPr>
    <w:rPr>
      <w:rFonts w:ascii="Verdana" w:hAnsi="Verdana"/>
      <w:color w:val="003366"/>
      <w:lang w:val="en-AU"/>
    </w:rPr>
  </w:style>
  <w:style w:type="character" w:styleId="FollowedHyperlink">
    <w:name w:val="FollowedHyperlink"/>
    <w:rsid w:val="00C03318"/>
    <w:rPr>
      <w:color w:val="800080"/>
      <w:u w:val="single"/>
    </w:rPr>
  </w:style>
  <w:style w:type="character" w:styleId="Emphasis">
    <w:name w:val="Emphasis"/>
    <w:qFormat/>
    <w:rsid w:val="007A0A9F"/>
    <w:rPr>
      <w:i/>
      <w:iCs/>
    </w:rPr>
  </w:style>
  <w:style w:type="paragraph" w:customStyle="1" w:styleId="SecHeading">
    <w:name w:val="SecHeading"/>
    <w:basedOn w:val="Normal"/>
    <w:next w:val="Normal"/>
    <w:rsid w:val="00BA1559"/>
    <w:pPr>
      <w:keepNext/>
      <w:numPr>
        <w:ilvl w:val="1"/>
        <w:numId w:val="2"/>
      </w:numPr>
      <w:tabs>
        <w:tab w:val="left" w:pos="720"/>
      </w:tabs>
      <w:spacing w:before="120" w:after="120"/>
      <w:jc w:val="both"/>
    </w:pPr>
    <w:rPr>
      <w:rFonts w:ascii="Times New Roman" w:hAnsi="Times New Roman"/>
      <w:sz w:val="24"/>
      <w:lang w:val="es-ES_tradnl"/>
    </w:rPr>
  </w:style>
  <w:style w:type="character" w:customStyle="1" w:styleId="FootnoteTextChar1">
    <w:name w:val="Footnote Text Char1"/>
    <w:aliases w:val="fn Char,Texto de rodapé Char,nota_rodapé Char,nota de rodapé Char,footnote Char,single space Char,FOOTNOTES Char,footnote text Char,Footnote Text Char Char Char,Footnote Text Char Char1,ft Char"/>
    <w:link w:val="FootnoteText"/>
    <w:uiPriority w:val="99"/>
    <w:rsid w:val="00336BBF"/>
    <w:rPr>
      <w:rFonts w:ascii="Arial" w:hAnsi="Arial"/>
      <w:lang w:val="en-US" w:eastAsia="en-US"/>
    </w:rPr>
  </w:style>
  <w:style w:type="table" w:customStyle="1" w:styleId="Sombreadoclaro1">
    <w:name w:val="Sombreado claro1"/>
    <w:basedOn w:val="TableNormal"/>
    <w:uiPriority w:val="60"/>
    <w:rsid w:val="00E64D3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Classic1">
    <w:name w:val="Table Classic 1"/>
    <w:basedOn w:val="TableNormal"/>
    <w:rsid w:val="002F12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F12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D22FC7"/>
    <w:pPr>
      <w:spacing w:after="120" w:line="480" w:lineRule="auto"/>
      <w:ind w:left="283"/>
    </w:pPr>
    <w:rPr>
      <w:rFonts w:ascii="Times New Roman" w:hAnsi="Times New Roman"/>
      <w:bCs/>
      <w:sz w:val="24"/>
      <w:szCs w:val="24"/>
    </w:rPr>
  </w:style>
  <w:style w:type="character" w:customStyle="1" w:styleId="BodyTextIndent2Char">
    <w:name w:val="Body Text Indent 2 Char"/>
    <w:link w:val="BodyTextIndent2"/>
    <w:rsid w:val="00D22FC7"/>
    <w:rPr>
      <w:bCs/>
      <w:sz w:val="24"/>
      <w:szCs w:val="24"/>
      <w:lang w:val="en-US" w:eastAsia="en-US"/>
    </w:rPr>
  </w:style>
  <w:style w:type="character" w:customStyle="1" w:styleId="TitleChar">
    <w:name w:val="Title Char"/>
    <w:link w:val="Title"/>
    <w:rsid w:val="00D93270"/>
    <w:rPr>
      <w:b/>
      <w:bCs/>
      <w:sz w:val="28"/>
      <w:szCs w:val="24"/>
      <w:lang w:val="es-ES_tradnl" w:eastAsia="en-US"/>
    </w:rPr>
  </w:style>
  <w:style w:type="paragraph" w:styleId="BodyText">
    <w:name w:val="Body Text"/>
    <w:basedOn w:val="Normal"/>
    <w:link w:val="BodyTextChar"/>
    <w:rsid w:val="00CD6874"/>
    <w:pPr>
      <w:widowControl w:val="0"/>
      <w:adjustRightInd w:val="0"/>
      <w:spacing w:after="120" w:line="276" w:lineRule="auto"/>
      <w:jc w:val="both"/>
      <w:textAlignment w:val="baseline"/>
    </w:pPr>
    <w:rPr>
      <w:rFonts w:ascii="Times New Roman" w:eastAsia="Calibri" w:hAnsi="Times New Roman"/>
      <w:sz w:val="22"/>
      <w:szCs w:val="22"/>
      <w:lang w:val="es-PE"/>
    </w:rPr>
  </w:style>
  <w:style w:type="character" w:customStyle="1" w:styleId="BodyTextChar">
    <w:name w:val="Body Text Char"/>
    <w:basedOn w:val="DefaultParagraphFont"/>
    <w:link w:val="BodyText"/>
    <w:rsid w:val="00CD6874"/>
    <w:rPr>
      <w:rFonts w:eastAsia="Calibri"/>
      <w:sz w:val="22"/>
      <w:szCs w:val="22"/>
      <w:lang w:val="es-PE" w:eastAsia="en-US"/>
    </w:rPr>
  </w:style>
  <w:style w:type="paragraph" w:customStyle="1" w:styleId="NoSpacing1">
    <w:name w:val="No Spacing1"/>
    <w:basedOn w:val="Normal"/>
    <w:link w:val="NoSpacingChar"/>
    <w:rsid w:val="00CB3ADD"/>
    <w:pPr>
      <w:widowControl w:val="0"/>
      <w:adjustRightInd w:val="0"/>
      <w:jc w:val="both"/>
      <w:textAlignment w:val="baseline"/>
    </w:pPr>
    <w:rPr>
      <w:rFonts w:ascii="Times New Roman" w:eastAsia="Calibri" w:hAnsi="Times New Roman"/>
      <w:sz w:val="22"/>
      <w:szCs w:val="22"/>
      <w:lang w:val="es-PE"/>
    </w:rPr>
  </w:style>
  <w:style w:type="character" w:customStyle="1" w:styleId="NoSpacingChar">
    <w:name w:val="No Spacing Char"/>
    <w:link w:val="NoSpacing1"/>
    <w:locked/>
    <w:rsid w:val="00CB3ADD"/>
    <w:rPr>
      <w:rFonts w:eastAsia="Calibri"/>
      <w:sz w:val="22"/>
      <w:szCs w:val="22"/>
      <w:lang w:val="es-PE" w:eastAsia="en-US"/>
    </w:rPr>
  </w:style>
  <w:style w:type="paragraph" w:styleId="NoSpacing">
    <w:name w:val="No Spacing"/>
    <w:link w:val="NoSpacingChar1"/>
    <w:uiPriority w:val="99"/>
    <w:qFormat/>
    <w:rsid w:val="00405993"/>
    <w:rPr>
      <w:rFonts w:ascii="Calibri" w:eastAsia="Calibri" w:hAnsi="Calibri"/>
      <w:sz w:val="22"/>
      <w:szCs w:val="22"/>
      <w:lang w:val="es-MX" w:eastAsia="en-US"/>
    </w:rPr>
  </w:style>
  <w:style w:type="character" w:customStyle="1" w:styleId="NoSpacingChar1">
    <w:name w:val="No Spacing Char1"/>
    <w:basedOn w:val="DefaultParagraphFont"/>
    <w:link w:val="NoSpacing"/>
    <w:uiPriority w:val="99"/>
    <w:locked/>
    <w:rsid w:val="00405993"/>
    <w:rPr>
      <w:rFonts w:ascii="Calibri" w:eastAsia="Calibri" w:hAnsi="Calibri"/>
      <w:sz w:val="22"/>
      <w:szCs w:val="22"/>
      <w:lang w:val="es-MX" w:eastAsia="en-US" w:bidi="ar-SA"/>
    </w:rPr>
  </w:style>
  <w:style w:type="paragraph" w:styleId="BodyTextIndent3">
    <w:name w:val="Body Text Indent 3"/>
    <w:basedOn w:val="Normal"/>
    <w:link w:val="BodyTextIndent3Char"/>
    <w:uiPriority w:val="99"/>
    <w:rsid w:val="00405993"/>
    <w:pPr>
      <w:widowControl w:val="0"/>
      <w:spacing w:after="120"/>
      <w:ind w:left="283"/>
    </w:pPr>
    <w:rPr>
      <w:rFonts w:ascii="Times New Roman" w:hAnsi="Times New Roman"/>
      <w:sz w:val="16"/>
      <w:szCs w:val="16"/>
      <w:lang w:val="es-PE" w:eastAsia="es-ES"/>
    </w:rPr>
  </w:style>
  <w:style w:type="character" w:customStyle="1" w:styleId="BodyTextIndent3Char">
    <w:name w:val="Body Text Indent 3 Char"/>
    <w:basedOn w:val="DefaultParagraphFont"/>
    <w:link w:val="BodyTextIndent3"/>
    <w:uiPriority w:val="99"/>
    <w:rsid w:val="00405993"/>
    <w:rPr>
      <w:sz w:val="16"/>
      <w:szCs w:val="16"/>
      <w:lang w:val="es-PE" w:eastAsia="es-ES"/>
    </w:rPr>
  </w:style>
  <w:style w:type="paragraph" w:customStyle="1" w:styleId="Bibliography1">
    <w:name w:val="Bibliography1"/>
    <w:basedOn w:val="Normal"/>
    <w:next w:val="Normal"/>
    <w:uiPriority w:val="99"/>
    <w:semiHidden/>
    <w:rsid w:val="00405993"/>
    <w:rPr>
      <w:rFonts w:ascii="Times New Roman" w:hAnsi="Times New Roman"/>
      <w:sz w:val="24"/>
      <w:szCs w:val="24"/>
      <w:lang w:val="es-PE"/>
    </w:rPr>
  </w:style>
  <w:style w:type="paragraph" w:customStyle="1" w:styleId="reference">
    <w:name w:val="reference"/>
    <w:basedOn w:val="Normal"/>
    <w:uiPriority w:val="99"/>
    <w:rsid w:val="00405993"/>
    <w:pPr>
      <w:ind w:left="1440" w:hanging="720"/>
    </w:pPr>
    <w:rPr>
      <w:rFonts w:ascii="Times New Roman" w:hAnsi="Times New Roman"/>
      <w:sz w:val="22"/>
    </w:rPr>
  </w:style>
  <w:style w:type="paragraph" w:customStyle="1" w:styleId="Reference0">
    <w:name w:val="Reference"/>
    <w:basedOn w:val="Normal"/>
    <w:uiPriority w:val="99"/>
    <w:rsid w:val="00405993"/>
    <w:pPr>
      <w:ind w:left="360" w:hanging="360"/>
    </w:pPr>
    <w:rPr>
      <w:rFonts w:ascii="Times New Roman" w:hAnsi="Times New Roman"/>
      <w:sz w:val="18"/>
      <w:lang w:val="es-ES"/>
    </w:rPr>
  </w:style>
  <w:style w:type="paragraph" w:styleId="ListBullet">
    <w:name w:val="List Bullet"/>
    <w:basedOn w:val="Normal"/>
    <w:rsid w:val="00862836"/>
    <w:pPr>
      <w:numPr>
        <w:numId w:val="3"/>
      </w:numPr>
      <w:contextualSpacing/>
    </w:pPr>
  </w:style>
  <w:style w:type="paragraph" w:customStyle="1" w:styleId="Chapter">
    <w:name w:val="Chapter"/>
    <w:basedOn w:val="Normal"/>
    <w:next w:val="Normal"/>
    <w:rsid w:val="00826AC0"/>
    <w:pPr>
      <w:numPr>
        <w:numId w:val="4"/>
      </w:numPr>
      <w:tabs>
        <w:tab w:val="left" w:pos="1440"/>
      </w:tabs>
      <w:spacing w:after="240"/>
      <w:jc w:val="center"/>
    </w:pPr>
    <w:rPr>
      <w:rFonts w:ascii="Times New Roman" w:hAnsi="Times New Roman"/>
      <w:b/>
      <w:smallCaps/>
      <w:sz w:val="24"/>
      <w:lang w:val="es-ES"/>
    </w:rPr>
  </w:style>
  <w:style w:type="paragraph" w:customStyle="1" w:styleId="Paragraph">
    <w:name w:val="Paragraph"/>
    <w:basedOn w:val="BodyTextIndent"/>
    <w:link w:val="ParagraphChar"/>
    <w:qFormat/>
    <w:rsid w:val="00826AC0"/>
    <w:pPr>
      <w:numPr>
        <w:ilvl w:val="1"/>
        <w:numId w:val="4"/>
      </w:numPr>
      <w:spacing w:before="120"/>
      <w:jc w:val="both"/>
      <w:outlineLvl w:val="1"/>
    </w:pPr>
    <w:rPr>
      <w:rFonts w:ascii="Times New Roman" w:hAnsi="Times New Roman"/>
      <w:sz w:val="24"/>
      <w:lang w:val="es-ES"/>
    </w:rPr>
  </w:style>
  <w:style w:type="paragraph" w:customStyle="1" w:styleId="subpar">
    <w:name w:val="subpar"/>
    <w:basedOn w:val="BodyTextIndent3"/>
    <w:rsid w:val="00826AC0"/>
    <w:pPr>
      <w:widowControl/>
      <w:numPr>
        <w:ilvl w:val="2"/>
        <w:numId w:val="4"/>
      </w:numPr>
      <w:spacing w:before="120"/>
      <w:jc w:val="both"/>
      <w:outlineLvl w:val="2"/>
    </w:pPr>
    <w:rPr>
      <w:sz w:val="24"/>
      <w:szCs w:val="20"/>
      <w:lang w:val="es-ES_tradnl" w:eastAsia="en-US"/>
    </w:rPr>
  </w:style>
  <w:style w:type="paragraph" w:customStyle="1" w:styleId="SubSubPar">
    <w:name w:val="SubSubPar"/>
    <w:basedOn w:val="subpar"/>
    <w:rsid w:val="00826AC0"/>
    <w:pPr>
      <w:numPr>
        <w:ilvl w:val="3"/>
      </w:numPr>
      <w:tabs>
        <w:tab w:val="clear" w:pos="1584"/>
        <w:tab w:val="num" w:pos="1152"/>
      </w:tabs>
      <w:ind w:left="1152" w:hanging="432"/>
    </w:pPr>
  </w:style>
  <w:style w:type="character" w:customStyle="1" w:styleId="ParagraphChar">
    <w:name w:val="Paragraph Char"/>
    <w:basedOn w:val="BodyTextIndentChar"/>
    <w:link w:val="Paragraph"/>
    <w:rsid w:val="00826AC0"/>
    <w:rPr>
      <w:rFonts w:ascii="Arial" w:hAnsi="Arial"/>
      <w:sz w:val="24"/>
      <w:lang w:val="es-ES" w:eastAsia="en-US"/>
    </w:rPr>
  </w:style>
  <w:style w:type="paragraph" w:styleId="BodyTextIndent">
    <w:name w:val="Body Text Indent"/>
    <w:basedOn w:val="Normal"/>
    <w:link w:val="BodyTextIndentChar"/>
    <w:rsid w:val="00826AC0"/>
    <w:pPr>
      <w:spacing w:after="120"/>
      <w:ind w:left="283"/>
    </w:pPr>
  </w:style>
  <w:style w:type="character" w:customStyle="1" w:styleId="BodyTextIndentChar">
    <w:name w:val="Body Text Indent Char"/>
    <w:basedOn w:val="DefaultParagraphFont"/>
    <w:link w:val="BodyTextIndent"/>
    <w:rsid w:val="00826AC0"/>
    <w:rPr>
      <w:rFonts w:ascii="Arial" w:hAnsi="Arial"/>
      <w:lang w:val="en-US" w:eastAsia="en-US"/>
    </w:rPr>
  </w:style>
  <w:style w:type="table" w:styleId="TableSimple2">
    <w:name w:val="Table Simple 2"/>
    <w:basedOn w:val="TableNormal"/>
    <w:rsid w:val="0060492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Heading1Char">
    <w:name w:val="Heading 1 Char"/>
    <w:basedOn w:val="DefaultParagraphFont"/>
    <w:link w:val="Heading1"/>
    <w:rsid w:val="008E2901"/>
    <w:rPr>
      <w:b/>
      <w:bCs/>
      <w:i/>
      <w:iCs/>
      <w:sz w:val="22"/>
      <w:szCs w:val="22"/>
      <w:lang w:val="es-ES_tradnl" w:eastAsia="en-US"/>
    </w:rPr>
  </w:style>
  <w:style w:type="character" w:styleId="CommentReference">
    <w:name w:val="annotation reference"/>
    <w:basedOn w:val="DefaultParagraphFont"/>
    <w:uiPriority w:val="99"/>
    <w:rsid w:val="00D02D28"/>
    <w:rPr>
      <w:sz w:val="16"/>
      <w:szCs w:val="16"/>
    </w:rPr>
  </w:style>
  <w:style w:type="paragraph" w:styleId="CommentText">
    <w:name w:val="annotation text"/>
    <w:basedOn w:val="Normal"/>
    <w:link w:val="CommentTextChar"/>
    <w:uiPriority w:val="99"/>
    <w:rsid w:val="00D02D28"/>
  </w:style>
  <w:style w:type="character" w:customStyle="1" w:styleId="CommentTextChar">
    <w:name w:val="Comment Text Char"/>
    <w:basedOn w:val="DefaultParagraphFont"/>
    <w:link w:val="CommentText"/>
    <w:uiPriority w:val="99"/>
    <w:rsid w:val="00D02D28"/>
    <w:rPr>
      <w:rFonts w:ascii="Arial" w:hAnsi="Arial"/>
    </w:rPr>
  </w:style>
  <w:style w:type="paragraph" w:styleId="CommentSubject">
    <w:name w:val="annotation subject"/>
    <w:basedOn w:val="CommentText"/>
    <w:next w:val="CommentText"/>
    <w:link w:val="CommentSubjectChar"/>
    <w:uiPriority w:val="99"/>
    <w:rsid w:val="00D02D28"/>
    <w:rPr>
      <w:b/>
      <w:bCs/>
    </w:rPr>
  </w:style>
  <w:style w:type="character" w:customStyle="1" w:styleId="CommentSubjectChar">
    <w:name w:val="Comment Subject Char"/>
    <w:basedOn w:val="CommentTextChar"/>
    <w:link w:val="CommentSubject"/>
    <w:uiPriority w:val="99"/>
    <w:rsid w:val="00D02D28"/>
    <w:rPr>
      <w:rFonts w:ascii="Arial" w:hAnsi="Arial"/>
      <w:b/>
      <w:bCs/>
    </w:rPr>
  </w:style>
  <w:style w:type="paragraph" w:styleId="Revision">
    <w:name w:val="Revision"/>
    <w:hidden/>
    <w:uiPriority w:val="99"/>
    <w:semiHidden/>
    <w:rsid w:val="00DF12C9"/>
    <w:rPr>
      <w:rFonts w:ascii="Arial" w:hAnsi="Arial"/>
      <w:lang w:val="en-US" w:eastAsia="en-US"/>
    </w:rPr>
  </w:style>
  <w:style w:type="paragraph" w:customStyle="1" w:styleId="Pa3">
    <w:name w:val="Pa3"/>
    <w:basedOn w:val="Default"/>
    <w:next w:val="Default"/>
    <w:rsid w:val="00456219"/>
    <w:pPr>
      <w:spacing w:line="201" w:lineRule="atLeast"/>
    </w:pPr>
    <w:rPr>
      <w:rFonts w:ascii="Palatino Linotype" w:hAnsi="Palatino Linotype"/>
      <w:color w:val="auto"/>
    </w:rPr>
  </w:style>
  <w:style w:type="character" w:customStyle="1" w:styleId="A4">
    <w:name w:val="A4"/>
    <w:rsid w:val="00456219"/>
    <w:rPr>
      <w:rFonts w:cs="Palatino Linotype"/>
      <w:color w:val="000000"/>
      <w:sz w:val="11"/>
      <w:szCs w:val="11"/>
    </w:rPr>
  </w:style>
  <w:style w:type="character" w:customStyle="1" w:styleId="FooterChar">
    <w:name w:val="Footer Char"/>
    <w:basedOn w:val="DefaultParagraphFont"/>
    <w:link w:val="Footer"/>
    <w:uiPriority w:val="99"/>
    <w:rsid w:val="00D557E8"/>
    <w:rPr>
      <w:sz w:val="24"/>
      <w:szCs w:val="24"/>
      <w:lang w:val="es-ES" w:eastAsia="en-US"/>
    </w:rPr>
  </w:style>
  <w:style w:type="paragraph" w:styleId="BodyText2">
    <w:name w:val="Body Text 2"/>
    <w:basedOn w:val="Normal"/>
    <w:link w:val="BodyText2Char"/>
    <w:rsid w:val="00460CB4"/>
    <w:pPr>
      <w:spacing w:after="120" w:line="480" w:lineRule="auto"/>
    </w:pPr>
  </w:style>
  <w:style w:type="character" w:customStyle="1" w:styleId="BodyText2Char">
    <w:name w:val="Body Text 2 Char"/>
    <w:basedOn w:val="DefaultParagraphFont"/>
    <w:link w:val="BodyText2"/>
    <w:rsid w:val="00460CB4"/>
    <w:rPr>
      <w:rFonts w:ascii="Arial" w:hAnsi="Arial"/>
      <w:lang w:val="en-US" w:eastAsia="en-US"/>
    </w:rPr>
  </w:style>
  <w:style w:type="paragraph" w:styleId="DocumentMap">
    <w:name w:val="Document Map"/>
    <w:basedOn w:val="Normal"/>
    <w:link w:val="DocumentMapChar"/>
    <w:rsid w:val="00D20884"/>
    <w:rPr>
      <w:rFonts w:ascii="Tahoma" w:hAnsi="Tahoma" w:cs="Tahoma"/>
      <w:sz w:val="16"/>
      <w:szCs w:val="16"/>
    </w:rPr>
  </w:style>
  <w:style w:type="character" w:customStyle="1" w:styleId="DocumentMapChar">
    <w:name w:val="Document Map Char"/>
    <w:basedOn w:val="DefaultParagraphFont"/>
    <w:link w:val="DocumentMap"/>
    <w:rsid w:val="00D20884"/>
    <w:rPr>
      <w:rFonts w:ascii="Tahoma" w:hAnsi="Tahoma" w:cs="Tahoma"/>
      <w:sz w:val="16"/>
      <w:szCs w:val="16"/>
      <w:lang w:val="en-US" w:eastAsia="en-US"/>
    </w:rPr>
  </w:style>
  <w:style w:type="paragraph" w:styleId="PlainText">
    <w:name w:val="Plain Text"/>
    <w:basedOn w:val="Normal"/>
    <w:link w:val="PlainTextChar"/>
    <w:uiPriority w:val="99"/>
    <w:unhideWhenUsed/>
    <w:rsid w:val="00591B91"/>
    <w:pPr>
      <w:spacing w:before="100" w:beforeAutospacing="1" w:after="100" w:afterAutospacing="1"/>
    </w:pPr>
    <w:rPr>
      <w:rFonts w:ascii="Times New Roman" w:hAnsi="Times New Roman"/>
      <w:sz w:val="24"/>
      <w:szCs w:val="24"/>
      <w:lang w:val="es-AR" w:eastAsia="es-AR"/>
    </w:rPr>
  </w:style>
  <w:style w:type="character" w:customStyle="1" w:styleId="PlainTextChar">
    <w:name w:val="Plain Text Char"/>
    <w:basedOn w:val="DefaultParagraphFont"/>
    <w:link w:val="PlainText"/>
    <w:uiPriority w:val="99"/>
    <w:rsid w:val="00591B91"/>
    <w:rPr>
      <w:sz w:val="24"/>
      <w:szCs w:val="24"/>
    </w:rPr>
  </w:style>
  <w:style w:type="character" w:styleId="BookTitle">
    <w:name w:val="Book Title"/>
    <w:basedOn w:val="DefaultParagraphFont"/>
    <w:uiPriority w:val="33"/>
    <w:qFormat/>
    <w:rsid w:val="00626FCC"/>
    <w:rPr>
      <w:b/>
      <w:bCs/>
      <w:smallCaps/>
      <w:spacing w:val="5"/>
    </w:rPr>
  </w:style>
  <w:style w:type="character" w:customStyle="1" w:styleId="ListParagraphChar">
    <w:name w:val="List Paragraph Char"/>
    <w:link w:val="ListParagraph"/>
    <w:uiPriority w:val="34"/>
    <w:rsid w:val="002962E8"/>
    <w:rPr>
      <w:rFonts w:ascii="Arial" w:hAnsi="Arial"/>
      <w:lang w:val="en-US" w:eastAsia="en-US"/>
    </w:rPr>
  </w:style>
  <w:style w:type="paragraph" w:customStyle="1" w:styleId="ListParagraph1">
    <w:name w:val="List Paragraph1"/>
    <w:basedOn w:val="Normal"/>
    <w:rsid w:val="003B3CF5"/>
    <w:pPr>
      <w:ind w:left="720"/>
      <w:contextualSpacing/>
    </w:pPr>
    <w:rPr>
      <w:rFonts w:ascii="Times New Roman" w:hAnsi="Times New Roman"/>
      <w:sz w:val="24"/>
      <w:szCs w:val="24"/>
      <w:lang w:val="es-ES_tradnl" w:eastAsia="es-ES_tradnl"/>
    </w:rPr>
  </w:style>
  <w:style w:type="character" w:customStyle="1" w:styleId="apple-converted-space">
    <w:name w:val="apple-converted-space"/>
    <w:basedOn w:val="DefaultParagraphFont"/>
    <w:rsid w:val="00B467D3"/>
  </w:style>
  <w:style w:type="table" w:styleId="TableGrid">
    <w:name w:val="Table Grid"/>
    <w:basedOn w:val="TableNormal"/>
    <w:uiPriority w:val="39"/>
    <w:rsid w:val="002E1051"/>
    <w:rPr>
      <w:rFonts w:ascii="Calibri" w:eastAsia="Calibri" w:hAnsi="Calibri"/>
      <w:lang w:val="es-NI" w:eastAsia="es-N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2">
    <w:name w:val="Párrafo de lista Car2"/>
    <w:uiPriority w:val="34"/>
    <w:locked/>
    <w:rsid w:val="009C18B2"/>
    <w:rPr>
      <w:rFonts w:ascii="Times New Roman" w:hAnsi="Times New Roman"/>
      <w:sz w:val="24"/>
      <w:szCs w:val="22"/>
      <w:lang w:val="en-US" w:eastAsia="en-US"/>
    </w:rPr>
  </w:style>
  <w:style w:type="paragraph" w:styleId="HTMLPreformatted">
    <w:name w:val="HTML Preformatted"/>
    <w:basedOn w:val="Normal"/>
    <w:link w:val="HTMLPreformattedChar"/>
    <w:uiPriority w:val="99"/>
    <w:unhideWhenUsed/>
    <w:rsid w:val="00303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AR" w:eastAsia="es-AR"/>
    </w:rPr>
  </w:style>
  <w:style w:type="character" w:customStyle="1" w:styleId="HTMLPreformattedChar">
    <w:name w:val="HTML Preformatted Char"/>
    <w:basedOn w:val="DefaultParagraphFont"/>
    <w:link w:val="HTMLPreformatted"/>
    <w:uiPriority w:val="99"/>
    <w:rsid w:val="00303BF2"/>
    <w:rPr>
      <w:rFonts w:ascii="Courier New" w:hAnsi="Courier New" w:cs="Courier New"/>
    </w:rPr>
  </w:style>
  <w:style w:type="character" w:customStyle="1" w:styleId="Heading2Char">
    <w:name w:val="Heading 2 Char"/>
    <w:basedOn w:val="DefaultParagraphFont"/>
    <w:link w:val="Heading2"/>
    <w:rsid w:val="00A4059C"/>
    <w:rPr>
      <w:b/>
      <w:bCs/>
      <w:iCs/>
      <w:sz w:val="22"/>
      <w:szCs w:val="22"/>
      <w:lang w:val="es-ES_tradnl" w:eastAsia="en-US"/>
    </w:rPr>
  </w:style>
  <w:style w:type="character" w:customStyle="1" w:styleId="Heading4Char">
    <w:name w:val="Heading 4 Char"/>
    <w:basedOn w:val="DefaultParagraphFont"/>
    <w:link w:val="Heading4"/>
    <w:semiHidden/>
    <w:rsid w:val="009216B4"/>
    <w:rPr>
      <w:rFonts w:asciiTheme="majorHAnsi" w:eastAsiaTheme="majorEastAsia" w:hAnsiTheme="majorHAnsi" w:cstheme="majorBidi"/>
      <w:b/>
      <w:bCs/>
      <w:i/>
      <w:iCs/>
      <w:color w:val="4F81BD" w:themeColor="accent1"/>
      <w:lang w:val="en-US" w:eastAsia="en-US"/>
    </w:rPr>
  </w:style>
  <w:style w:type="numbering" w:customStyle="1" w:styleId="Sinlista1">
    <w:name w:val="Sin lista1"/>
    <w:next w:val="NoList"/>
    <w:uiPriority w:val="99"/>
    <w:semiHidden/>
    <w:unhideWhenUsed/>
    <w:rsid w:val="003E3B74"/>
  </w:style>
  <w:style w:type="character" w:customStyle="1" w:styleId="BalloonTextChar">
    <w:name w:val="Balloon Text Char"/>
    <w:basedOn w:val="DefaultParagraphFont"/>
    <w:link w:val="BalloonText"/>
    <w:uiPriority w:val="99"/>
    <w:semiHidden/>
    <w:rsid w:val="003E3B7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Default Paragraph Font" w:uiPriority="1"/>
    <w:lsdException w:name="Subtitle" w:uiPriority="11" w:qFormat="1"/>
    <w:lsdException w:name="Body Text Indent 3" w:uiPriority="99"/>
    <w:lsdException w:name="Hyperlink" w:uiPriority="99"/>
    <w:lsdException w:name="Strong" w:qFormat="1"/>
    <w:lsdException w:name="Emphasis"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C2E55"/>
    <w:rPr>
      <w:rFonts w:ascii="Arial" w:hAnsi="Arial"/>
      <w:lang w:val="en-US" w:eastAsia="en-US"/>
    </w:rPr>
  </w:style>
  <w:style w:type="paragraph" w:styleId="Heading1">
    <w:name w:val="heading 1"/>
    <w:basedOn w:val="Heading2"/>
    <w:next w:val="Normal"/>
    <w:link w:val="Heading1Char"/>
    <w:qFormat/>
    <w:rsid w:val="00504996"/>
    <w:pPr>
      <w:outlineLvl w:val="0"/>
    </w:pPr>
    <w:rPr>
      <w:i/>
    </w:rPr>
  </w:style>
  <w:style w:type="paragraph" w:styleId="Heading2">
    <w:name w:val="heading 2"/>
    <w:basedOn w:val="Normal"/>
    <w:next w:val="Normal"/>
    <w:link w:val="Heading2Char"/>
    <w:qFormat/>
    <w:rsid w:val="004524D3"/>
    <w:pPr>
      <w:keepNext/>
      <w:jc w:val="center"/>
      <w:outlineLvl w:val="1"/>
    </w:pPr>
    <w:rPr>
      <w:rFonts w:ascii="Times New Roman" w:hAnsi="Times New Roman"/>
      <w:b/>
      <w:bCs/>
      <w:iCs/>
      <w:sz w:val="22"/>
      <w:szCs w:val="22"/>
      <w:lang w:val="es-ES_tradnl"/>
    </w:rPr>
  </w:style>
  <w:style w:type="paragraph" w:styleId="Heading3">
    <w:name w:val="heading 3"/>
    <w:basedOn w:val="Normal"/>
    <w:next w:val="Normal"/>
    <w:link w:val="Heading3Char"/>
    <w:qFormat/>
    <w:rsid w:val="00685536"/>
    <w:pPr>
      <w:keepNext/>
      <w:spacing w:before="240" w:after="60"/>
      <w:outlineLvl w:val="2"/>
    </w:pPr>
    <w:rPr>
      <w:rFonts w:ascii="Times New Roman" w:hAnsi="Times New Roman" w:cs="Arial"/>
      <w:bCs/>
      <w:i/>
      <w:sz w:val="24"/>
      <w:szCs w:val="26"/>
    </w:rPr>
  </w:style>
  <w:style w:type="paragraph" w:styleId="Heading4">
    <w:name w:val="heading 4"/>
    <w:basedOn w:val="Normal"/>
    <w:next w:val="Normal"/>
    <w:link w:val="Heading4Char"/>
    <w:semiHidden/>
    <w:unhideWhenUsed/>
    <w:qFormat/>
    <w:rsid w:val="009216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57EEA"/>
    <w:pPr>
      <w:jc w:val="center"/>
    </w:pPr>
    <w:rPr>
      <w:rFonts w:ascii="Times New Roman" w:hAnsi="Times New Roman"/>
      <w:b/>
      <w:bCs/>
      <w:sz w:val="28"/>
      <w:szCs w:val="24"/>
      <w:lang w:val="es-ES_tradnl"/>
    </w:rPr>
  </w:style>
  <w:style w:type="paragraph" w:styleId="Footer">
    <w:name w:val="footer"/>
    <w:basedOn w:val="Normal"/>
    <w:link w:val="FooterChar"/>
    <w:uiPriority w:val="99"/>
    <w:rsid w:val="00657EEA"/>
    <w:pPr>
      <w:tabs>
        <w:tab w:val="center" w:pos="4320"/>
        <w:tab w:val="right" w:pos="8640"/>
      </w:tabs>
    </w:pPr>
    <w:rPr>
      <w:rFonts w:ascii="Times New Roman" w:hAnsi="Times New Roman"/>
      <w:sz w:val="24"/>
      <w:szCs w:val="24"/>
      <w:lang w:val="es-ES"/>
    </w:rPr>
  </w:style>
  <w:style w:type="character" w:styleId="PageNumber">
    <w:name w:val="page number"/>
    <w:basedOn w:val="DefaultParagraphFont"/>
    <w:rsid w:val="00657EEA"/>
  </w:style>
  <w:style w:type="paragraph" w:styleId="BodyText3">
    <w:name w:val="Body Text 3"/>
    <w:basedOn w:val="Normal"/>
    <w:rsid w:val="00657EEA"/>
    <w:pPr>
      <w:jc w:val="center"/>
    </w:pPr>
    <w:rPr>
      <w:rFonts w:ascii="Times New Roman" w:hAnsi="Times New Roman"/>
      <w:b/>
      <w:bCs/>
      <w:sz w:val="24"/>
      <w:szCs w:val="24"/>
      <w:lang w:val="es-ES_tradnl"/>
    </w:rPr>
  </w:style>
  <w:style w:type="paragraph" w:styleId="FootnoteText">
    <w:name w:val="footnote text"/>
    <w:aliases w:val="fn,Texto de rodapé,nota_rodapé,nota de rodapé,footnote,single space,FOOTNOTES,footnote text,Footnote Text Char Char,Footnote Text Char,ft"/>
    <w:basedOn w:val="Normal"/>
    <w:link w:val="FootnoteTextChar1"/>
    <w:uiPriority w:val="99"/>
    <w:rsid w:val="00B2700D"/>
  </w:style>
  <w:style w:type="character" w:styleId="FootnoteReference">
    <w:name w:val="footnote reference"/>
    <w:aliases w:val="titulo 2,Ref. de nota al pie.,Footnote Referencefra,Referência de rodapé,ftref,FC,referencia nota al pie,Style 24,pie pddes,16 Point,Superscript 6 Point,(Ref. de nota al pie),Ref,de nota al pie,Ref. de nota al pie EDEP"/>
    <w:uiPriority w:val="99"/>
    <w:rsid w:val="00B2700D"/>
    <w:rPr>
      <w:vertAlign w:val="superscript"/>
    </w:rPr>
  </w:style>
  <w:style w:type="paragraph" w:customStyle="1" w:styleId="Default">
    <w:name w:val="Default"/>
    <w:rsid w:val="0010137A"/>
    <w:pPr>
      <w:autoSpaceDE w:val="0"/>
      <w:autoSpaceDN w:val="0"/>
      <w:adjustRightInd w:val="0"/>
    </w:pPr>
    <w:rPr>
      <w:color w:val="000000"/>
      <w:sz w:val="24"/>
      <w:szCs w:val="24"/>
      <w:lang w:val="es-ES" w:eastAsia="es-ES"/>
    </w:rPr>
  </w:style>
  <w:style w:type="paragraph" w:styleId="NormalWeb">
    <w:name w:val="Normal (Web)"/>
    <w:basedOn w:val="Normal"/>
    <w:uiPriority w:val="99"/>
    <w:rsid w:val="00605042"/>
    <w:rPr>
      <w:rFonts w:ascii="Times New Roman" w:hAnsi="Times New Roman"/>
      <w:sz w:val="24"/>
      <w:szCs w:val="24"/>
    </w:rPr>
  </w:style>
  <w:style w:type="paragraph" w:styleId="TOCHeading">
    <w:name w:val="TOC Heading"/>
    <w:basedOn w:val="Heading1"/>
    <w:next w:val="Normal"/>
    <w:uiPriority w:val="39"/>
    <w:qFormat/>
    <w:rsid w:val="00685536"/>
    <w:pPr>
      <w:keepLines/>
      <w:spacing w:before="480" w:line="276" w:lineRule="auto"/>
      <w:outlineLvl w:val="9"/>
    </w:pPr>
    <w:rPr>
      <w:rFonts w:ascii="Cambria" w:hAnsi="Cambria"/>
      <w:color w:val="365F91"/>
      <w:sz w:val="28"/>
      <w:szCs w:val="28"/>
      <w:lang w:val="es-ES"/>
    </w:rPr>
  </w:style>
  <w:style w:type="paragraph" w:styleId="TOC3">
    <w:name w:val="toc 3"/>
    <w:basedOn w:val="Normal"/>
    <w:next w:val="Normal"/>
    <w:autoRedefine/>
    <w:uiPriority w:val="39"/>
    <w:unhideWhenUsed/>
    <w:rsid w:val="00456867"/>
    <w:pPr>
      <w:tabs>
        <w:tab w:val="right" w:leader="dot" w:pos="8630"/>
      </w:tabs>
      <w:ind w:left="400"/>
    </w:pPr>
    <w:rPr>
      <w:rFonts w:ascii="Times New Roman" w:hAnsi="Times New Roman"/>
      <w:i/>
      <w:iCs/>
      <w:noProof/>
      <w:lang w:val="es-ES_tradnl"/>
    </w:rPr>
  </w:style>
  <w:style w:type="paragraph" w:styleId="TOC2">
    <w:name w:val="toc 2"/>
    <w:basedOn w:val="Normal"/>
    <w:next w:val="Normal"/>
    <w:autoRedefine/>
    <w:uiPriority w:val="39"/>
    <w:unhideWhenUsed/>
    <w:rsid w:val="00E039E1"/>
    <w:pPr>
      <w:tabs>
        <w:tab w:val="right" w:leader="dot" w:pos="8630"/>
      </w:tabs>
    </w:pPr>
    <w:rPr>
      <w:rFonts w:ascii="Times New Roman" w:hAnsi="Times New Roman"/>
      <w:smallCaps/>
      <w:noProof/>
    </w:rPr>
  </w:style>
  <w:style w:type="character" w:styleId="Hyperlink">
    <w:name w:val="Hyperlink"/>
    <w:uiPriority w:val="99"/>
    <w:unhideWhenUsed/>
    <w:rsid w:val="00685536"/>
    <w:rPr>
      <w:color w:val="0000FF"/>
      <w:u w:val="single"/>
    </w:rPr>
  </w:style>
  <w:style w:type="paragraph" w:styleId="Subtitle">
    <w:name w:val="Subtitle"/>
    <w:basedOn w:val="Normal"/>
    <w:next w:val="Normal"/>
    <w:link w:val="SubtitleChar"/>
    <w:uiPriority w:val="11"/>
    <w:qFormat/>
    <w:rsid w:val="00685536"/>
    <w:pPr>
      <w:spacing w:after="60"/>
      <w:jc w:val="center"/>
      <w:outlineLvl w:val="1"/>
    </w:pPr>
    <w:rPr>
      <w:rFonts w:ascii="Cambria" w:hAnsi="Cambria"/>
      <w:sz w:val="24"/>
      <w:szCs w:val="24"/>
    </w:rPr>
  </w:style>
  <w:style w:type="character" w:customStyle="1" w:styleId="SubtitleChar">
    <w:name w:val="Subtitle Char"/>
    <w:link w:val="Subtitle"/>
    <w:uiPriority w:val="11"/>
    <w:rsid w:val="00685536"/>
    <w:rPr>
      <w:rFonts w:ascii="Cambria" w:eastAsia="Times New Roman" w:hAnsi="Cambria" w:cs="Times New Roman"/>
      <w:sz w:val="24"/>
      <w:szCs w:val="24"/>
      <w:lang w:val="en-US" w:eastAsia="en-US"/>
    </w:rPr>
  </w:style>
  <w:style w:type="paragraph" w:styleId="EndnoteText">
    <w:name w:val="endnote text"/>
    <w:basedOn w:val="Normal"/>
    <w:link w:val="EndnoteTextChar"/>
    <w:uiPriority w:val="99"/>
    <w:semiHidden/>
    <w:unhideWhenUsed/>
    <w:rsid w:val="00685536"/>
  </w:style>
  <w:style w:type="character" w:customStyle="1" w:styleId="EndnoteTextChar">
    <w:name w:val="Endnote Text Char"/>
    <w:link w:val="EndnoteText"/>
    <w:uiPriority w:val="99"/>
    <w:semiHidden/>
    <w:rsid w:val="00685536"/>
    <w:rPr>
      <w:rFonts w:ascii="Arial" w:hAnsi="Arial"/>
      <w:lang w:val="en-US" w:eastAsia="en-US"/>
    </w:rPr>
  </w:style>
  <w:style w:type="character" w:styleId="EndnoteReference">
    <w:name w:val="endnote reference"/>
    <w:uiPriority w:val="99"/>
    <w:semiHidden/>
    <w:unhideWhenUsed/>
    <w:rsid w:val="00685536"/>
    <w:rPr>
      <w:vertAlign w:val="superscript"/>
    </w:rPr>
  </w:style>
  <w:style w:type="paragraph" w:styleId="ListParagraph">
    <w:name w:val="List Paragraph"/>
    <w:basedOn w:val="Normal"/>
    <w:link w:val="ListParagraphChar"/>
    <w:uiPriority w:val="34"/>
    <w:qFormat/>
    <w:rsid w:val="00207B49"/>
    <w:pPr>
      <w:ind w:left="708"/>
    </w:pPr>
  </w:style>
  <w:style w:type="paragraph" w:styleId="TOC1">
    <w:name w:val="toc 1"/>
    <w:basedOn w:val="Normal"/>
    <w:next w:val="Normal"/>
    <w:autoRedefine/>
    <w:uiPriority w:val="39"/>
    <w:unhideWhenUsed/>
    <w:rsid w:val="00621F99"/>
    <w:pPr>
      <w:tabs>
        <w:tab w:val="left" w:pos="600"/>
        <w:tab w:val="right" w:leader="dot" w:pos="8636"/>
      </w:tabs>
      <w:spacing w:before="120" w:after="120"/>
    </w:pPr>
    <w:rPr>
      <w:rFonts w:ascii="Times New Roman" w:hAnsi="Times New Roman"/>
      <w:bCs/>
      <w:caps/>
      <w:noProof/>
    </w:rPr>
  </w:style>
  <w:style w:type="paragraph" w:styleId="BalloonText">
    <w:name w:val="Balloon Text"/>
    <w:basedOn w:val="Normal"/>
    <w:link w:val="BalloonTextChar"/>
    <w:uiPriority w:val="99"/>
    <w:semiHidden/>
    <w:rsid w:val="00A71618"/>
    <w:rPr>
      <w:rFonts w:ascii="Tahoma" w:hAnsi="Tahoma" w:cs="Tahoma"/>
      <w:sz w:val="16"/>
      <w:szCs w:val="16"/>
    </w:rPr>
  </w:style>
  <w:style w:type="character" w:customStyle="1" w:styleId="Heading3Char">
    <w:name w:val="Heading 3 Char"/>
    <w:link w:val="Heading3"/>
    <w:rsid w:val="00362A45"/>
    <w:rPr>
      <w:rFonts w:cs="Arial"/>
      <w:bCs/>
      <w:i/>
      <w:sz w:val="24"/>
      <w:szCs w:val="26"/>
      <w:lang w:val="en-US" w:eastAsia="en-US" w:bidi="ar-SA"/>
    </w:rPr>
  </w:style>
  <w:style w:type="paragraph" w:customStyle="1" w:styleId="Titulo4">
    <w:name w:val="Titulo 4"/>
    <w:basedOn w:val="Normal"/>
    <w:link w:val="Titulo4Car"/>
    <w:rsid w:val="007068FB"/>
    <w:pPr>
      <w:ind w:left="720"/>
    </w:pPr>
    <w:rPr>
      <w:u w:val="single"/>
    </w:rPr>
  </w:style>
  <w:style w:type="character" w:customStyle="1" w:styleId="Titulo4Car">
    <w:name w:val="Titulo 4 Car"/>
    <w:link w:val="Titulo4"/>
    <w:rsid w:val="007068FB"/>
    <w:rPr>
      <w:rFonts w:ascii="Arial" w:hAnsi="Arial"/>
      <w:u w:val="single"/>
      <w:lang w:val="en-US" w:eastAsia="en-US" w:bidi="ar-SA"/>
    </w:rPr>
  </w:style>
  <w:style w:type="paragraph" w:customStyle="1" w:styleId="NormalTimesNewRoman">
    <w:name w:val="Normal + Times New Roman"/>
    <w:aliases w:val="11 pt,Justificado,Titulo4"/>
    <w:basedOn w:val="Normal"/>
    <w:rsid w:val="007068FB"/>
    <w:pPr>
      <w:tabs>
        <w:tab w:val="num" w:pos="958"/>
      </w:tabs>
      <w:ind w:left="144"/>
      <w:jc w:val="both"/>
    </w:pPr>
    <w:rPr>
      <w:rFonts w:ascii="Times New Roman" w:hAnsi="Times New Roman"/>
      <w:sz w:val="22"/>
      <w:szCs w:val="22"/>
    </w:rPr>
  </w:style>
  <w:style w:type="paragraph" w:styleId="TOC5">
    <w:name w:val="toc 5"/>
    <w:basedOn w:val="Normal"/>
    <w:next w:val="Normal"/>
    <w:autoRedefine/>
    <w:semiHidden/>
    <w:rsid w:val="000822B7"/>
    <w:pPr>
      <w:ind w:left="800"/>
    </w:pPr>
    <w:rPr>
      <w:rFonts w:ascii="Times New Roman" w:hAnsi="Times New Roman"/>
      <w:sz w:val="18"/>
      <w:szCs w:val="18"/>
    </w:rPr>
  </w:style>
  <w:style w:type="paragraph" w:styleId="TOC4">
    <w:name w:val="toc 4"/>
    <w:basedOn w:val="Normal"/>
    <w:next w:val="Normal"/>
    <w:autoRedefine/>
    <w:semiHidden/>
    <w:rsid w:val="000822B7"/>
    <w:pPr>
      <w:ind w:left="600"/>
    </w:pPr>
    <w:rPr>
      <w:rFonts w:ascii="Times New Roman" w:hAnsi="Times New Roman"/>
      <w:sz w:val="18"/>
      <w:szCs w:val="18"/>
    </w:rPr>
  </w:style>
  <w:style w:type="paragraph" w:styleId="TOC6">
    <w:name w:val="toc 6"/>
    <w:basedOn w:val="Normal"/>
    <w:next w:val="Normal"/>
    <w:autoRedefine/>
    <w:semiHidden/>
    <w:rsid w:val="000822B7"/>
    <w:pPr>
      <w:ind w:left="1000"/>
    </w:pPr>
    <w:rPr>
      <w:rFonts w:ascii="Times New Roman" w:hAnsi="Times New Roman"/>
      <w:sz w:val="18"/>
      <w:szCs w:val="18"/>
    </w:rPr>
  </w:style>
  <w:style w:type="paragraph" w:styleId="TOC7">
    <w:name w:val="toc 7"/>
    <w:basedOn w:val="Normal"/>
    <w:next w:val="Normal"/>
    <w:autoRedefine/>
    <w:semiHidden/>
    <w:rsid w:val="000822B7"/>
    <w:pPr>
      <w:ind w:left="1200"/>
    </w:pPr>
    <w:rPr>
      <w:rFonts w:ascii="Times New Roman" w:hAnsi="Times New Roman"/>
      <w:sz w:val="18"/>
      <w:szCs w:val="18"/>
    </w:rPr>
  </w:style>
  <w:style w:type="paragraph" w:styleId="TOC8">
    <w:name w:val="toc 8"/>
    <w:basedOn w:val="Normal"/>
    <w:next w:val="Normal"/>
    <w:autoRedefine/>
    <w:semiHidden/>
    <w:rsid w:val="000822B7"/>
    <w:pPr>
      <w:ind w:left="1400"/>
    </w:pPr>
    <w:rPr>
      <w:rFonts w:ascii="Times New Roman" w:hAnsi="Times New Roman"/>
      <w:sz w:val="18"/>
      <w:szCs w:val="18"/>
    </w:rPr>
  </w:style>
  <w:style w:type="paragraph" w:styleId="TOC9">
    <w:name w:val="toc 9"/>
    <w:basedOn w:val="Normal"/>
    <w:next w:val="Normal"/>
    <w:autoRedefine/>
    <w:semiHidden/>
    <w:rsid w:val="000822B7"/>
    <w:pPr>
      <w:ind w:left="1600"/>
    </w:pPr>
    <w:rPr>
      <w:rFonts w:ascii="Times New Roman" w:hAnsi="Times New Roman"/>
      <w:sz w:val="18"/>
      <w:szCs w:val="18"/>
    </w:rPr>
  </w:style>
  <w:style w:type="paragraph" w:customStyle="1" w:styleId="NormalWeb1">
    <w:name w:val="Normal (Web)1"/>
    <w:basedOn w:val="Normal"/>
    <w:rsid w:val="00717681"/>
    <w:pPr>
      <w:spacing w:before="100" w:beforeAutospacing="1" w:after="100" w:afterAutospacing="1"/>
    </w:pPr>
    <w:rPr>
      <w:rFonts w:ascii="Times New Roman" w:hAnsi="Times New Roman"/>
      <w:sz w:val="24"/>
      <w:szCs w:val="24"/>
      <w:lang w:val="es-ES" w:eastAsia="es-ES"/>
    </w:rPr>
  </w:style>
  <w:style w:type="paragraph" w:styleId="Header">
    <w:name w:val="header"/>
    <w:basedOn w:val="Normal"/>
    <w:link w:val="HeaderChar"/>
    <w:uiPriority w:val="99"/>
    <w:rsid w:val="00717681"/>
    <w:pPr>
      <w:tabs>
        <w:tab w:val="center" w:pos="4252"/>
        <w:tab w:val="right" w:pos="8504"/>
      </w:tabs>
    </w:pPr>
  </w:style>
  <w:style w:type="table" w:styleId="TableWeb2">
    <w:name w:val="Table Web 2"/>
    <w:basedOn w:val="TableNormal"/>
    <w:rsid w:val="00D70095"/>
    <w:tblPr>
      <w:tblCellSpacing w:w="20" w:type="dxa"/>
    </w:tblPr>
    <w:trPr>
      <w:tblCellSpacing w:w="20" w:type="dxa"/>
    </w:trPr>
    <w:tcPr>
      <w:shd w:val="clear" w:color="auto" w:fill="F3F3F3"/>
    </w:tcPr>
    <w:tblStylePr w:type="firstRow">
      <w:rPr>
        <w:b/>
        <w:color w:val="000000"/>
      </w:rPr>
      <w:tblPr/>
      <w:tcPr>
        <w:shd w:val="clear" w:color="auto" w:fill="CCFFFF"/>
      </w:tcPr>
    </w:tblStylePr>
    <w:tblStylePr w:type="firstCol">
      <w:rPr>
        <w:b/>
      </w:rPr>
      <w:tblPr/>
      <w:tcPr>
        <w:shd w:val="clear" w:color="auto" w:fill="CCFFFF"/>
      </w:tcPr>
    </w:tblStylePr>
    <w:tblStylePr w:type="nwCell">
      <w:rPr>
        <w:b/>
        <w:color w:val="auto"/>
        <w:sz w:val="24"/>
      </w:rPr>
      <w:tblPr/>
      <w:tcPr>
        <w:shd w:val="clear" w:color="auto" w:fill="CCFFFF"/>
      </w:tcPr>
    </w:tblStylePr>
  </w:style>
  <w:style w:type="character" w:customStyle="1" w:styleId="HeaderChar">
    <w:name w:val="Header Char"/>
    <w:link w:val="Header"/>
    <w:uiPriority w:val="99"/>
    <w:rsid w:val="00DD3757"/>
    <w:rPr>
      <w:rFonts w:ascii="Arial" w:hAnsi="Arial"/>
      <w:lang w:val="en-US" w:eastAsia="en-US" w:bidi="ar-SA"/>
    </w:rPr>
  </w:style>
  <w:style w:type="paragraph" w:customStyle="1" w:styleId="SPLAP1">
    <w:name w:val="SPLAP 1"/>
    <w:basedOn w:val="Heading1"/>
    <w:rsid w:val="00D0244F"/>
    <w:pPr>
      <w:numPr>
        <w:numId w:val="1"/>
      </w:numPr>
      <w:pBdr>
        <w:bottom w:val="single" w:sz="4" w:space="1" w:color="auto"/>
      </w:pBdr>
      <w:spacing w:before="240" w:after="240"/>
      <w:jc w:val="left"/>
    </w:pPr>
    <w:rPr>
      <w:rFonts w:ascii="Arial" w:eastAsia="Times" w:hAnsi="Arial"/>
      <w:bCs w:val="0"/>
      <w:i w:val="0"/>
      <w:iCs w:val="0"/>
      <w:kern w:val="32"/>
      <w:sz w:val="24"/>
      <w:szCs w:val="32"/>
      <w:lang w:val="en-AU"/>
    </w:rPr>
  </w:style>
  <w:style w:type="paragraph" w:customStyle="1" w:styleId="SPLAP2">
    <w:name w:val="SPLAP 2"/>
    <w:basedOn w:val="Heading2"/>
    <w:rsid w:val="00D0244F"/>
    <w:pPr>
      <w:numPr>
        <w:ilvl w:val="1"/>
        <w:numId w:val="1"/>
      </w:numPr>
      <w:tabs>
        <w:tab w:val="num" w:pos="567"/>
      </w:tabs>
      <w:spacing w:before="240" w:after="60"/>
      <w:ind w:left="567" w:hanging="567"/>
      <w:jc w:val="left"/>
      <w:outlineLvl w:val="0"/>
    </w:pPr>
    <w:rPr>
      <w:rFonts w:ascii="Arial" w:eastAsia="Times" w:hAnsi="Arial"/>
      <w:bCs w:val="0"/>
      <w:i/>
      <w:iCs w:val="0"/>
      <w:sz w:val="24"/>
      <w:szCs w:val="28"/>
      <w:lang w:val="en-AU"/>
    </w:rPr>
  </w:style>
  <w:style w:type="paragraph" w:customStyle="1" w:styleId="SPLAP3">
    <w:name w:val="SPLAP 3"/>
    <w:basedOn w:val="Heading3"/>
    <w:rsid w:val="00D0244F"/>
    <w:pPr>
      <w:numPr>
        <w:ilvl w:val="2"/>
        <w:numId w:val="1"/>
      </w:numPr>
    </w:pPr>
    <w:rPr>
      <w:rFonts w:ascii="Arial" w:eastAsia="Times" w:hAnsi="Arial" w:cs="Times New Roman"/>
      <w:bCs w:val="0"/>
      <w:lang w:val="en-AU"/>
    </w:rPr>
  </w:style>
  <w:style w:type="paragraph" w:customStyle="1" w:styleId="ICLEIfont">
    <w:name w:val="ICLEI font"/>
    <w:basedOn w:val="Normal"/>
    <w:rsid w:val="00D0244F"/>
    <w:pPr>
      <w:spacing w:after="120"/>
    </w:pPr>
    <w:rPr>
      <w:rFonts w:eastAsia="Times"/>
      <w:sz w:val="22"/>
      <w:lang w:val="en-AU"/>
    </w:rPr>
  </w:style>
  <w:style w:type="paragraph" w:customStyle="1" w:styleId="LAPbodytext">
    <w:name w:val="LAP body text"/>
    <w:basedOn w:val="Normal"/>
    <w:rsid w:val="004701EC"/>
    <w:pPr>
      <w:jc w:val="both"/>
    </w:pPr>
    <w:rPr>
      <w:rFonts w:ascii="Verdana" w:hAnsi="Verdana"/>
      <w:color w:val="003366"/>
      <w:lang w:val="en-AU"/>
    </w:rPr>
  </w:style>
  <w:style w:type="character" w:styleId="FollowedHyperlink">
    <w:name w:val="FollowedHyperlink"/>
    <w:rsid w:val="00C03318"/>
    <w:rPr>
      <w:color w:val="800080"/>
      <w:u w:val="single"/>
    </w:rPr>
  </w:style>
  <w:style w:type="character" w:styleId="Emphasis">
    <w:name w:val="Emphasis"/>
    <w:qFormat/>
    <w:rsid w:val="007A0A9F"/>
    <w:rPr>
      <w:i/>
      <w:iCs/>
    </w:rPr>
  </w:style>
  <w:style w:type="paragraph" w:customStyle="1" w:styleId="SecHeading">
    <w:name w:val="SecHeading"/>
    <w:basedOn w:val="Normal"/>
    <w:next w:val="Normal"/>
    <w:rsid w:val="00BA1559"/>
    <w:pPr>
      <w:keepNext/>
      <w:numPr>
        <w:ilvl w:val="1"/>
        <w:numId w:val="2"/>
      </w:numPr>
      <w:tabs>
        <w:tab w:val="left" w:pos="720"/>
      </w:tabs>
      <w:spacing w:before="120" w:after="120"/>
      <w:jc w:val="both"/>
    </w:pPr>
    <w:rPr>
      <w:rFonts w:ascii="Times New Roman" w:hAnsi="Times New Roman"/>
      <w:sz w:val="24"/>
      <w:lang w:val="es-ES_tradnl"/>
    </w:rPr>
  </w:style>
  <w:style w:type="character" w:customStyle="1" w:styleId="FootnoteTextChar1">
    <w:name w:val="Footnote Text Char1"/>
    <w:aliases w:val="fn Char,Texto de rodapé Char,nota_rodapé Char,nota de rodapé Char,footnote Char,single space Char,FOOTNOTES Char,footnote text Char,Footnote Text Char Char Char,Footnote Text Char Char1,ft Char"/>
    <w:link w:val="FootnoteText"/>
    <w:uiPriority w:val="99"/>
    <w:rsid w:val="00336BBF"/>
    <w:rPr>
      <w:rFonts w:ascii="Arial" w:hAnsi="Arial"/>
      <w:lang w:val="en-US" w:eastAsia="en-US"/>
    </w:rPr>
  </w:style>
  <w:style w:type="table" w:customStyle="1" w:styleId="Sombreadoclaro1">
    <w:name w:val="Sombreado claro1"/>
    <w:basedOn w:val="TableNormal"/>
    <w:uiPriority w:val="60"/>
    <w:rsid w:val="00E64D3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Classic1">
    <w:name w:val="Table Classic 1"/>
    <w:basedOn w:val="TableNormal"/>
    <w:rsid w:val="002F12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F12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D22FC7"/>
    <w:pPr>
      <w:spacing w:after="120" w:line="480" w:lineRule="auto"/>
      <w:ind w:left="283"/>
    </w:pPr>
    <w:rPr>
      <w:rFonts w:ascii="Times New Roman" w:hAnsi="Times New Roman"/>
      <w:bCs/>
      <w:sz w:val="24"/>
      <w:szCs w:val="24"/>
    </w:rPr>
  </w:style>
  <w:style w:type="character" w:customStyle="1" w:styleId="BodyTextIndent2Char">
    <w:name w:val="Body Text Indent 2 Char"/>
    <w:link w:val="BodyTextIndent2"/>
    <w:rsid w:val="00D22FC7"/>
    <w:rPr>
      <w:bCs/>
      <w:sz w:val="24"/>
      <w:szCs w:val="24"/>
      <w:lang w:val="en-US" w:eastAsia="en-US"/>
    </w:rPr>
  </w:style>
  <w:style w:type="character" w:customStyle="1" w:styleId="TitleChar">
    <w:name w:val="Title Char"/>
    <w:link w:val="Title"/>
    <w:rsid w:val="00D93270"/>
    <w:rPr>
      <w:b/>
      <w:bCs/>
      <w:sz w:val="28"/>
      <w:szCs w:val="24"/>
      <w:lang w:val="es-ES_tradnl" w:eastAsia="en-US"/>
    </w:rPr>
  </w:style>
  <w:style w:type="paragraph" w:styleId="BodyText">
    <w:name w:val="Body Text"/>
    <w:basedOn w:val="Normal"/>
    <w:link w:val="BodyTextChar"/>
    <w:rsid w:val="00CD6874"/>
    <w:pPr>
      <w:widowControl w:val="0"/>
      <w:adjustRightInd w:val="0"/>
      <w:spacing w:after="120" w:line="276" w:lineRule="auto"/>
      <w:jc w:val="both"/>
      <w:textAlignment w:val="baseline"/>
    </w:pPr>
    <w:rPr>
      <w:rFonts w:ascii="Times New Roman" w:eastAsia="Calibri" w:hAnsi="Times New Roman"/>
      <w:sz w:val="22"/>
      <w:szCs w:val="22"/>
      <w:lang w:val="es-PE"/>
    </w:rPr>
  </w:style>
  <w:style w:type="character" w:customStyle="1" w:styleId="BodyTextChar">
    <w:name w:val="Body Text Char"/>
    <w:basedOn w:val="DefaultParagraphFont"/>
    <w:link w:val="BodyText"/>
    <w:rsid w:val="00CD6874"/>
    <w:rPr>
      <w:rFonts w:eastAsia="Calibri"/>
      <w:sz w:val="22"/>
      <w:szCs w:val="22"/>
      <w:lang w:val="es-PE" w:eastAsia="en-US"/>
    </w:rPr>
  </w:style>
  <w:style w:type="paragraph" w:customStyle="1" w:styleId="NoSpacing1">
    <w:name w:val="No Spacing1"/>
    <w:basedOn w:val="Normal"/>
    <w:link w:val="NoSpacingChar"/>
    <w:rsid w:val="00CB3ADD"/>
    <w:pPr>
      <w:widowControl w:val="0"/>
      <w:adjustRightInd w:val="0"/>
      <w:jc w:val="both"/>
      <w:textAlignment w:val="baseline"/>
    </w:pPr>
    <w:rPr>
      <w:rFonts w:ascii="Times New Roman" w:eastAsia="Calibri" w:hAnsi="Times New Roman"/>
      <w:sz w:val="22"/>
      <w:szCs w:val="22"/>
      <w:lang w:val="es-PE"/>
    </w:rPr>
  </w:style>
  <w:style w:type="character" w:customStyle="1" w:styleId="NoSpacingChar">
    <w:name w:val="No Spacing Char"/>
    <w:link w:val="NoSpacing1"/>
    <w:locked/>
    <w:rsid w:val="00CB3ADD"/>
    <w:rPr>
      <w:rFonts w:eastAsia="Calibri"/>
      <w:sz w:val="22"/>
      <w:szCs w:val="22"/>
      <w:lang w:val="es-PE" w:eastAsia="en-US"/>
    </w:rPr>
  </w:style>
  <w:style w:type="paragraph" w:styleId="NoSpacing">
    <w:name w:val="No Spacing"/>
    <w:link w:val="NoSpacingChar1"/>
    <w:uiPriority w:val="99"/>
    <w:qFormat/>
    <w:rsid w:val="00405993"/>
    <w:rPr>
      <w:rFonts w:ascii="Calibri" w:eastAsia="Calibri" w:hAnsi="Calibri"/>
      <w:sz w:val="22"/>
      <w:szCs w:val="22"/>
      <w:lang w:val="es-MX" w:eastAsia="en-US"/>
    </w:rPr>
  </w:style>
  <w:style w:type="character" w:customStyle="1" w:styleId="NoSpacingChar1">
    <w:name w:val="No Spacing Char1"/>
    <w:basedOn w:val="DefaultParagraphFont"/>
    <w:link w:val="NoSpacing"/>
    <w:uiPriority w:val="99"/>
    <w:locked/>
    <w:rsid w:val="00405993"/>
    <w:rPr>
      <w:rFonts w:ascii="Calibri" w:eastAsia="Calibri" w:hAnsi="Calibri"/>
      <w:sz w:val="22"/>
      <w:szCs w:val="22"/>
      <w:lang w:val="es-MX" w:eastAsia="en-US" w:bidi="ar-SA"/>
    </w:rPr>
  </w:style>
  <w:style w:type="paragraph" w:styleId="BodyTextIndent3">
    <w:name w:val="Body Text Indent 3"/>
    <w:basedOn w:val="Normal"/>
    <w:link w:val="BodyTextIndent3Char"/>
    <w:uiPriority w:val="99"/>
    <w:rsid w:val="00405993"/>
    <w:pPr>
      <w:widowControl w:val="0"/>
      <w:spacing w:after="120"/>
      <w:ind w:left="283"/>
    </w:pPr>
    <w:rPr>
      <w:rFonts w:ascii="Times New Roman" w:hAnsi="Times New Roman"/>
      <w:sz w:val="16"/>
      <w:szCs w:val="16"/>
      <w:lang w:val="es-PE" w:eastAsia="es-ES"/>
    </w:rPr>
  </w:style>
  <w:style w:type="character" w:customStyle="1" w:styleId="BodyTextIndent3Char">
    <w:name w:val="Body Text Indent 3 Char"/>
    <w:basedOn w:val="DefaultParagraphFont"/>
    <w:link w:val="BodyTextIndent3"/>
    <w:uiPriority w:val="99"/>
    <w:rsid w:val="00405993"/>
    <w:rPr>
      <w:sz w:val="16"/>
      <w:szCs w:val="16"/>
      <w:lang w:val="es-PE" w:eastAsia="es-ES"/>
    </w:rPr>
  </w:style>
  <w:style w:type="paragraph" w:customStyle="1" w:styleId="Bibliography1">
    <w:name w:val="Bibliography1"/>
    <w:basedOn w:val="Normal"/>
    <w:next w:val="Normal"/>
    <w:uiPriority w:val="99"/>
    <w:semiHidden/>
    <w:rsid w:val="00405993"/>
    <w:rPr>
      <w:rFonts w:ascii="Times New Roman" w:hAnsi="Times New Roman"/>
      <w:sz w:val="24"/>
      <w:szCs w:val="24"/>
      <w:lang w:val="es-PE"/>
    </w:rPr>
  </w:style>
  <w:style w:type="paragraph" w:customStyle="1" w:styleId="reference">
    <w:name w:val="reference"/>
    <w:basedOn w:val="Normal"/>
    <w:uiPriority w:val="99"/>
    <w:rsid w:val="00405993"/>
    <w:pPr>
      <w:ind w:left="1440" w:hanging="720"/>
    </w:pPr>
    <w:rPr>
      <w:rFonts w:ascii="Times New Roman" w:hAnsi="Times New Roman"/>
      <w:sz w:val="22"/>
    </w:rPr>
  </w:style>
  <w:style w:type="paragraph" w:customStyle="1" w:styleId="Reference0">
    <w:name w:val="Reference"/>
    <w:basedOn w:val="Normal"/>
    <w:uiPriority w:val="99"/>
    <w:rsid w:val="00405993"/>
    <w:pPr>
      <w:ind w:left="360" w:hanging="360"/>
    </w:pPr>
    <w:rPr>
      <w:rFonts w:ascii="Times New Roman" w:hAnsi="Times New Roman"/>
      <w:sz w:val="18"/>
      <w:lang w:val="es-ES"/>
    </w:rPr>
  </w:style>
  <w:style w:type="paragraph" w:styleId="ListBullet">
    <w:name w:val="List Bullet"/>
    <w:basedOn w:val="Normal"/>
    <w:rsid w:val="00862836"/>
    <w:pPr>
      <w:numPr>
        <w:numId w:val="3"/>
      </w:numPr>
      <w:contextualSpacing/>
    </w:pPr>
  </w:style>
  <w:style w:type="paragraph" w:customStyle="1" w:styleId="Chapter">
    <w:name w:val="Chapter"/>
    <w:basedOn w:val="Normal"/>
    <w:next w:val="Normal"/>
    <w:rsid w:val="00826AC0"/>
    <w:pPr>
      <w:numPr>
        <w:numId w:val="4"/>
      </w:numPr>
      <w:tabs>
        <w:tab w:val="left" w:pos="1440"/>
      </w:tabs>
      <w:spacing w:after="240"/>
      <w:jc w:val="center"/>
    </w:pPr>
    <w:rPr>
      <w:rFonts w:ascii="Times New Roman" w:hAnsi="Times New Roman"/>
      <w:b/>
      <w:smallCaps/>
      <w:sz w:val="24"/>
      <w:lang w:val="es-ES"/>
    </w:rPr>
  </w:style>
  <w:style w:type="paragraph" w:customStyle="1" w:styleId="Paragraph">
    <w:name w:val="Paragraph"/>
    <w:basedOn w:val="BodyTextIndent"/>
    <w:link w:val="ParagraphChar"/>
    <w:qFormat/>
    <w:rsid w:val="00826AC0"/>
    <w:pPr>
      <w:numPr>
        <w:ilvl w:val="1"/>
        <w:numId w:val="4"/>
      </w:numPr>
      <w:spacing w:before="120"/>
      <w:jc w:val="both"/>
      <w:outlineLvl w:val="1"/>
    </w:pPr>
    <w:rPr>
      <w:rFonts w:ascii="Times New Roman" w:hAnsi="Times New Roman"/>
      <w:sz w:val="24"/>
      <w:lang w:val="es-ES"/>
    </w:rPr>
  </w:style>
  <w:style w:type="paragraph" w:customStyle="1" w:styleId="subpar">
    <w:name w:val="subpar"/>
    <w:basedOn w:val="BodyTextIndent3"/>
    <w:rsid w:val="00826AC0"/>
    <w:pPr>
      <w:widowControl/>
      <w:numPr>
        <w:ilvl w:val="2"/>
        <w:numId w:val="4"/>
      </w:numPr>
      <w:spacing w:before="120"/>
      <w:jc w:val="both"/>
      <w:outlineLvl w:val="2"/>
    </w:pPr>
    <w:rPr>
      <w:sz w:val="24"/>
      <w:szCs w:val="20"/>
      <w:lang w:val="es-ES_tradnl" w:eastAsia="en-US"/>
    </w:rPr>
  </w:style>
  <w:style w:type="paragraph" w:customStyle="1" w:styleId="SubSubPar">
    <w:name w:val="SubSubPar"/>
    <w:basedOn w:val="subpar"/>
    <w:rsid w:val="00826AC0"/>
    <w:pPr>
      <w:numPr>
        <w:ilvl w:val="3"/>
      </w:numPr>
      <w:tabs>
        <w:tab w:val="clear" w:pos="1584"/>
        <w:tab w:val="num" w:pos="1152"/>
      </w:tabs>
      <w:ind w:left="1152" w:hanging="432"/>
    </w:pPr>
  </w:style>
  <w:style w:type="character" w:customStyle="1" w:styleId="ParagraphChar">
    <w:name w:val="Paragraph Char"/>
    <w:basedOn w:val="BodyTextIndentChar"/>
    <w:link w:val="Paragraph"/>
    <w:rsid w:val="00826AC0"/>
    <w:rPr>
      <w:rFonts w:ascii="Arial" w:hAnsi="Arial"/>
      <w:sz w:val="24"/>
      <w:lang w:val="es-ES" w:eastAsia="en-US"/>
    </w:rPr>
  </w:style>
  <w:style w:type="paragraph" w:styleId="BodyTextIndent">
    <w:name w:val="Body Text Indent"/>
    <w:basedOn w:val="Normal"/>
    <w:link w:val="BodyTextIndentChar"/>
    <w:rsid w:val="00826AC0"/>
    <w:pPr>
      <w:spacing w:after="120"/>
      <w:ind w:left="283"/>
    </w:pPr>
  </w:style>
  <w:style w:type="character" w:customStyle="1" w:styleId="BodyTextIndentChar">
    <w:name w:val="Body Text Indent Char"/>
    <w:basedOn w:val="DefaultParagraphFont"/>
    <w:link w:val="BodyTextIndent"/>
    <w:rsid w:val="00826AC0"/>
    <w:rPr>
      <w:rFonts w:ascii="Arial" w:hAnsi="Arial"/>
      <w:lang w:val="en-US" w:eastAsia="en-US"/>
    </w:rPr>
  </w:style>
  <w:style w:type="table" w:styleId="TableSimple2">
    <w:name w:val="Table Simple 2"/>
    <w:basedOn w:val="TableNormal"/>
    <w:rsid w:val="0060492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Heading1Char">
    <w:name w:val="Heading 1 Char"/>
    <w:basedOn w:val="DefaultParagraphFont"/>
    <w:link w:val="Heading1"/>
    <w:rsid w:val="008E2901"/>
    <w:rPr>
      <w:b/>
      <w:bCs/>
      <w:i/>
      <w:iCs/>
      <w:sz w:val="22"/>
      <w:szCs w:val="22"/>
      <w:lang w:val="es-ES_tradnl" w:eastAsia="en-US"/>
    </w:rPr>
  </w:style>
  <w:style w:type="character" w:styleId="CommentReference">
    <w:name w:val="annotation reference"/>
    <w:basedOn w:val="DefaultParagraphFont"/>
    <w:uiPriority w:val="99"/>
    <w:rsid w:val="00D02D28"/>
    <w:rPr>
      <w:sz w:val="16"/>
      <w:szCs w:val="16"/>
    </w:rPr>
  </w:style>
  <w:style w:type="paragraph" w:styleId="CommentText">
    <w:name w:val="annotation text"/>
    <w:basedOn w:val="Normal"/>
    <w:link w:val="CommentTextChar"/>
    <w:uiPriority w:val="99"/>
    <w:rsid w:val="00D02D28"/>
  </w:style>
  <w:style w:type="character" w:customStyle="1" w:styleId="CommentTextChar">
    <w:name w:val="Comment Text Char"/>
    <w:basedOn w:val="DefaultParagraphFont"/>
    <w:link w:val="CommentText"/>
    <w:uiPriority w:val="99"/>
    <w:rsid w:val="00D02D28"/>
    <w:rPr>
      <w:rFonts w:ascii="Arial" w:hAnsi="Arial"/>
    </w:rPr>
  </w:style>
  <w:style w:type="paragraph" w:styleId="CommentSubject">
    <w:name w:val="annotation subject"/>
    <w:basedOn w:val="CommentText"/>
    <w:next w:val="CommentText"/>
    <w:link w:val="CommentSubjectChar"/>
    <w:uiPriority w:val="99"/>
    <w:rsid w:val="00D02D28"/>
    <w:rPr>
      <w:b/>
      <w:bCs/>
    </w:rPr>
  </w:style>
  <w:style w:type="character" w:customStyle="1" w:styleId="CommentSubjectChar">
    <w:name w:val="Comment Subject Char"/>
    <w:basedOn w:val="CommentTextChar"/>
    <w:link w:val="CommentSubject"/>
    <w:uiPriority w:val="99"/>
    <w:rsid w:val="00D02D28"/>
    <w:rPr>
      <w:rFonts w:ascii="Arial" w:hAnsi="Arial"/>
      <w:b/>
      <w:bCs/>
    </w:rPr>
  </w:style>
  <w:style w:type="paragraph" w:styleId="Revision">
    <w:name w:val="Revision"/>
    <w:hidden/>
    <w:uiPriority w:val="99"/>
    <w:semiHidden/>
    <w:rsid w:val="00DF12C9"/>
    <w:rPr>
      <w:rFonts w:ascii="Arial" w:hAnsi="Arial"/>
      <w:lang w:val="en-US" w:eastAsia="en-US"/>
    </w:rPr>
  </w:style>
  <w:style w:type="paragraph" w:customStyle="1" w:styleId="Pa3">
    <w:name w:val="Pa3"/>
    <w:basedOn w:val="Default"/>
    <w:next w:val="Default"/>
    <w:rsid w:val="00456219"/>
    <w:pPr>
      <w:spacing w:line="201" w:lineRule="atLeast"/>
    </w:pPr>
    <w:rPr>
      <w:rFonts w:ascii="Palatino Linotype" w:hAnsi="Palatino Linotype"/>
      <w:color w:val="auto"/>
    </w:rPr>
  </w:style>
  <w:style w:type="character" w:customStyle="1" w:styleId="A4">
    <w:name w:val="A4"/>
    <w:rsid w:val="00456219"/>
    <w:rPr>
      <w:rFonts w:cs="Palatino Linotype"/>
      <w:color w:val="000000"/>
      <w:sz w:val="11"/>
      <w:szCs w:val="11"/>
    </w:rPr>
  </w:style>
  <w:style w:type="character" w:customStyle="1" w:styleId="FooterChar">
    <w:name w:val="Footer Char"/>
    <w:basedOn w:val="DefaultParagraphFont"/>
    <w:link w:val="Footer"/>
    <w:uiPriority w:val="99"/>
    <w:rsid w:val="00D557E8"/>
    <w:rPr>
      <w:sz w:val="24"/>
      <w:szCs w:val="24"/>
      <w:lang w:val="es-ES" w:eastAsia="en-US"/>
    </w:rPr>
  </w:style>
  <w:style w:type="paragraph" w:styleId="BodyText2">
    <w:name w:val="Body Text 2"/>
    <w:basedOn w:val="Normal"/>
    <w:link w:val="BodyText2Char"/>
    <w:rsid w:val="00460CB4"/>
    <w:pPr>
      <w:spacing w:after="120" w:line="480" w:lineRule="auto"/>
    </w:pPr>
  </w:style>
  <w:style w:type="character" w:customStyle="1" w:styleId="BodyText2Char">
    <w:name w:val="Body Text 2 Char"/>
    <w:basedOn w:val="DefaultParagraphFont"/>
    <w:link w:val="BodyText2"/>
    <w:rsid w:val="00460CB4"/>
    <w:rPr>
      <w:rFonts w:ascii="Arial" w:hAnsi="Arial"/>
      <w:lang w:val="en-US" w:eastAsia="en-US"/>
    </w:rPr>
  </w:style>
  <w:style w:type="paragraph" w:styleId="DocumentMap">
    <w:name w:val="Document Map"/>
    <w:basedOn w:val="Normal"/>
    <w:link w:val="DocumentMapChar"/>
    <w:rsid w:val="00D20884"/>
    <w:rPr>
      <w:rFonts w:ascii="Tahoma" w:hAnsi="Tahoma" w:cs="Tahoma"/>
      <w:sz w:val="16"/>
      <w:szCs w:val="16"/>
    </w:rPr>
  </w:style>
  <w:style w:type="character" w:customStyle="1" w:styleId="DocumentMapChar">
    <w:name w:val="Document Map Char"/>
    <w:basedOn w:val="DefaultParagraphFont"/>
    <w:link w:val="DocumentMap"/>
    <w:rsid w:val="00D20884"/>
    <w:rPr>
      <w:rFonts w:ascii="Tahoma" w:hAnsi="Tahoma" w:cs="Tahoma"/>
      <w:sz w:val="16"/>
      <w:szCs w:val="16"/>
      <w:lang w:val="en-US" w:eastAsia="en-US"/>
    </w:rPr>
  </w:style>
  <w:style w:type="paragraph" w:styleId="PlainText">
    <w:name w:val="Plain Text"/>
    <w:basedOn w:val="Normal"/>
    <w:link w:val="PlainTextChar"/>
    <w:uiPriority w:val="99"/>
    <w:unhideWhenUsed/>
    <w:rsid w:val="00591B91"/>
    <w:pPr>
      <w:spacing w:before="100" w:beforeAutospacing="1" w:after="100" w:afterAutospacing="1"/>
    </w:pPr>
    <w:rPr>
      <w:rFonts w:ascii="Times New Roman" w:hAnsi="Times New Roman"/>
      <w:sz w:val="24"/>
      <w:szCs w:val="24"/>
      <w:lang w:val="es-AR" w:eastAsia="es-AR"/>
    </w:rPr>
  </w:style>
  <w:style w:type="character" w:customStyle="1" w:styleId="PlainTextChar">
    <w:name w:val="Plain Text Char"/>
    <w:basedOn w:val="DefaultParagraphFont"/>
    <w:link w:val="PlainText"/>
    <w:uiPriority w:val="99"/>
    <w:rsid w:val="00591B91"/>
    <w:rPr>
      <w:sz w:val="24"/>
      <w:szCs w:val="24"/>
    </w:rPr>
  </w:style>
  <w:style w:type="character" w:styleId="BookTitle">
    <w:name w:val="Book Title"/>
    <w:basedOn w:val="DefaultParagraphFont"/>
    <w:uiPriority w:val="33"/>
    <w:qFormat/>
    <w:rsid w:val="00626FCC"/>
    <w:rPr>
      <w:b/>
      <w:bCs/>
      <w:smallCaps/>
      <w:spacing w:val="5"/>
    </w:rPr>
  </w:style>
  <w:style w:type="character" w:customStyle="1" w:styleId="ListParagraphChar">
    <w:name w:val="List Paragraph Char"/>
    <w:link w:val="ListParagraph"/>
    <w:uiPriority w:val="34"/>
    <w:rsid w:val="002962E8"/>
    <w:rPr>
      <w:rFonts w:ascii="Arial" w:hAnsi="Arial"/>
      <w:lang w:val="en-US" w:eastAsia="en-US"/>
    </w:rPr>
  </w:style>
  <w:style w:type="paragraph" w:customStyle="1" w:styleId="ListParagraph1">
    <w:name w:val="List Paragraph1"/>
    <w:basedOn w:val="Normal"/>
    <w:rsid w:val="003B3CF5"/>
    <w:pPr>
      <w:ind w:left="720"/>
      <w:contextualSpacing/>
    </w:pPr>
    <w:rPr>
      <w:rFonts w:ascii="Times New Roman" w:hAnsi="Times New Roman"/>
      <w:sz w:val="24"/>
      <w:szCs w:val="24"/>
      <w:lang w:val="es-ES_tradnl" w:eastAsia="es-ES_tradnl"/>
    </w:rPr>
  </w:style>
  <w:style w:type="character" w:customStyle="1" w:styleId="apple-converted-space">
    <w:name w:val="apple-converted-space"/>
    <w:basedOn w:val="DefaultParagraphFont"/>
    <w:rsid w:val="00B467D3"/>
  </w:style>
  <w:style w:type="table" w:styleId="TableGrid">
    <w:name w:val="Table Grid"/>
    <w:basedOn w:val="TableNormal"/>
    <w:uiPriority w:val="39"/>
    <w:rsid w:val="002E1051"/>
    <w:rPr>
      <w:rFonts w:ascii="Calibri" w:eastAsia="Calibri" w:hAnsi="Calibri"/>
      <w:lang w:val="es-NI" w:eastAsia="es-N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2">
    <w:name w:val="Párrafo de lista Car2"/>
    <w:uiPriority w:val="34"/>
    <w:locked/>
    <w:rsid w:val="009C18B2"/>
    <w:rPr>
      <w:rFonts w:ascii="Times New Roman" w:hAnsi="Times New Roman"/>
      <w:sz w:val="24"/>
      <w:szCs w:val="22"/>
      <w:lang w:val="en-US" w:eastAsia="en-US"/>
    </w:rPr>
  </w:style>
  <w:style w:type="paragraph" w:styleId="HTMLPreformatted">
    <w:name w:val="HTML Preformatted"/>
    <w:basedOn w:val="Normal"/>
    <w:link w:val="HTMLPreformattedChar"/>
    <w:uiPriority w:val="99"/>
    <w:unhideWhenUsed/>
    <w:rsid w:val="00303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AR" w:eastAsia="es-AR"/>
    </w:rPr>
  </w:style>
  <w:style w:type="character" w:customStyle="1" w:styleId="HTMLPreformattedChar">
    <w:name w:val="HTML Preformatted Char"/>
    <w:basedOn w:val="DefaultParagraphFont"/>
    <w:link w:val="HTMLPreformatted"/>
    <w:uiPriority w:val="99"/>
    <w:rsid w:val="00303BF2"/>
    <w:rPr>
      <w:rFonts w:ascii="Courier New" w:hAnsi="Courier New" w:cs="Courier New"/>
    </w:rPr>
  </w:style>
  <w:style w:type="character" w:customStyle="1" w:styleId="Heading2Char">
    <w:name w:val="Heading 2 Char"/>
    <w:basedOn w:val="DefaultParagraphFont"/>
    <w:link w:val="Heading2"/>
    <w:rsid w:val="00A4059C"/>
    <w:rPr>
      <w:b/>
      <w:bCs/>
      <w:iCs/>
      <w:sz w:val="22"/>
      <w:szCs w:val="22"/>
      <w:lang w:val="es-ES_tradnl" w:eastAsia="en-US"/>
    </w:rPr>
  </w:style>
  <w:style w:type="character" w:customStyle="1" w:styleId="Heading4Char">
    <w:name w:val="Heading 4 Char"/>
    <w:basedOn w:val="DefaultParagraphFont"/>
    <w:link w:val="Heading4"/>
    <w:semiHidden/>
    <w:rsid w:val="009216B4"/>
    <w:rPr>
      <w:rFonts w:asciiTheme="majorHAnsi" w:eastAsiaTheme="majorEastAsia" w:hAnsiTheme="majorHAnsi" w:cstheme="majorBidi"/>
      <w:b/>
      <w:bCs/>
      <w:i/>
      <w:iCs/>
      <w:color w:val="4F81BD" w:themeColor="accent1"/>
      <w:lang w:val="en-US" w:eastAsia="en-US"/>
    </w:rPr>
  </w:style>
  <w:style w:type="numbering" w:customStyle="1" w:styleId="Sinlista1">
    <w:name w:val="Sin lista1"/>
    <w:next w:val="NoList"/>
    <w:uiPriority w:val="99"/>
    <w:semiHidden/>
    <w:unhideWhenUsed/>
    <w:rsid w:val="003E3B74"/>
  </w:style>
  <w:style w:type="character" w:customStyle="1" w:styleId="BalloonTextChar">
    <w:name w:val="Balloon Text Char"/>
    <w:basedOn w:val="DefaultParagraphFont"/>
    <w:link w:val="BalloonText"/>
    <w:uiPriority w:val="99"/>
    <w:semiHidden/>
    <w:rsid w:val="003E3B7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4552">
      <w:bodyDiv w:val="1"/>
      <w:marLeft w:val="0"/>
      <w:marRight w:val="0"/>
      <w:marTop w:val="0"/>
      <w:marBottom w:val="0"/>
      <w:divBdr>
        <w:top w:val="none" w:sz="0" w:space="0" w:color="auto"/>
        <w:left w:val="none" w:sz="0" w:space="0" w:color="auto"/>
        <w:bottom w:val="none" w:sz="0" w:space="0" w:color="auto"/>
        <w:right w:val="none" w:sz="0" w:space="0" w:color="auto"/>
      </w:divBdr>
    </w:div>
    <w:div w:id="23017936">
      <w:bodyDiv w:val="1"/>
      <w:marLeft w:val="0"/>
      <w:marRight w:val="0"/>
      <w:marTop w:val="0"/>
      <w:marBottom w:val="0"/>
      <w:divBdr>
        <w:top w:val="none" w:sz="0" w:space="0" w:color="auto"/>
        <w:left w:val="none" w:sz="0" w:space="0" w:color="auto"/>
        <w:bottom w:val="none" w:sz="0" w:space="0" w:color="auto"/>
        <w:right w:val="none" w:sz="0" w:space="0" w:color="auto"/>
      </w:divBdr>
    </w:div>
    <w:div w:id="45035828">
      <w:bodyDiv w:val="1"/>
      <w:marLeft w:val="0"/>
      <w:marRight w:val="0"/>
      <w:marTop w:val="0"/>
      <w:marBottom w:val="0"/>
      <w:divBdr>
        <w:top w:val="none" w:sz="0" w:space="0" w:color="auto"/>
        <w:left w:val="none" w:sz="0" w:space="0" w:color="auto"/>
        <w:bottom w:val="none" w:sz="0" w:space="0" w:color="auto"/>
        <w:right w:val="none" w:sz="0" w:space="0" w:color="auto"/>
      </w:divBdr>
    </w:div>
    <w:div w:id="49765834">
      <w:bodyDiv w:val="1"/>
      <w:marLeft w:val="0"/>
      <w:marRight w:val="0"/>
      <w:marTop w:val="0"/>
      <w:marBottom w:val="0"/>
      <w:divBdr>
        <w:top w:val="none" w:sz="0" w:space="0" w:color="auto"/>
        <w:left w:val="none" w:sz="0" w:space="0" w:color="auto"/>
        <w:bottom w:val="none" w:sz="0" w:space="0" w:color="auto"/>
        <w:right w:val="none" w:sz="0" w:space="0" w:color="auto"/>
      </w:divBdr>
    </w:div>
    <w:div w:id="50620903">
      <w:bodyDiv w:val="1"/>
      <w:marLeft w:val="0"/>
      <w:marRight w:val="0"/>
      <w:marTop w:val="0"/>
      <w:marBottom w:val="0"/>
      <w:divBdr>
        <w:top w:val="none" w:sz="0" w:space="0" w:color="auto"/>
        <w:left w:val="none" w:sz="0" w:space="0" w:color="auto"/>
        <w:bottom w:val="none" w:sz="0" w:space="0" w:color="auto"/>
        <w:right w:val="none" w:sz="0" w:space="0" w:color="auto"/>
      </w:divBdr>
    </w:div>
    <w:div w:id="80874055">
      <w:bodyDiv w:val="1"/>
      <w:marLeft w:val="0"/>
      <w:marRight w:val="0"/>
      <w:marTop w:val="0"/>
      <w:marBottom w:val="0"/>
      <w:divBdr>
        <w:top w:val="none" w:sz="0" w:space="0" w:color="auto"/>
        <w:left w:val="none" w:sz="0" w:space="0" w:color="auto"/>
        <w:bottom w:val="none" w:sz="0" w:space="0" w:color="auto"/>
        <w:right w:val="none" w:sz="0" w:space="0" w:color="auto"/>
      </w:divBdr>
    </w:div>
    <w:div w:id="82731015">
      <w:bodyDiv w:val="1"/>
      <w:marLeft w:val="0"/>
      <w:marRight w:val="0"/>
      <w:marTop w:val="0"/>
      <w:marBottom w:val="0"/>
      <w:divBdr>
        <w:top w:val="none" w:sz="0" w:space="0" w:color="auto"/>
        <w:left w:val="none" w:sz="0" w:space="0" w:color="auto"/>
        <w:bottom w:val="none" w:sz="0" w:space="0" w:color="auto"/>
        <w:right w:val="none" w:sz="0" w:space="0" w:color="auto"/>
      </w:divBdr>
      <w:divsChild>
        <w:div w:id="164367819">
          <w:marLeft w:val="547"/>
          <w:marRight w:val="0"/>
          <w:marTop w:val="86"/>
          <w:marBottom w:val="0"/>
          <w:divBdr>
            <w:top w:val="none" w:sz="0" w:space="0" w:color="auto"/>
            <w:left w:val="none" w:sz="0" w:space="0" w:color="auto"/>
            <w:bottom w:val="none" w:sz="0" w:space="0" w:color="auto"/>
            <w:right w:val="none" w:sz="0" w:space="0" w:color="auto"/>
          </w:divBdr>
        </w:div>
        <w:div w:id="581447716">
          <w:marLeft w:val="547"/>
          <w:marRight w:val="0"/>
          <w:marTop w:val="86"/>
          <w:marBottom w:val="0"/>
          <w:divBdr>
            <w:top w:val="none" w:sz="0" w:space="0" w:color="auto"/>
            <w:left w:val="none" w:sz="0" w:space="0" w:color="auto"/>
            <w:bottom w:val="none" w:sz="0" w:space="0" w:color="auto"/>
            <w:right w:val="none" w:sz="0" w:space="0" w:color="auto"/>
          </w:divBdr>
        </w:div>
        <w:div w:id="944964885">
          <w:marLeft w:val="0"/>
          <w:marRight w:val="0"/>
          <w:marTop w:val="86"/>
          <w:marBottom w:val="0"/>
          <w:divBdr>
            <w:top w:val="none" w:sz="0" w:space="0" w:color="auto"/>
            <w:left w:val="none" w:sz="0" w:space="0" w:color="auto"/>
            <w:bottom w:val="none" w:sz="0" w:space="0" w:color="auto"/>
            <w:right w:val="none" w:sz="0" w:space="0" w:color="auto"/>
          </w:divBdr>
        </w:div>
        <w:div w:id="1378161022">
          <w:marLeft w:val="547"/>
          <w:marRight w:val="0"/>
          <w:marTop w:val="86"/>
          <w:marBottom w:val="0"/>
          <w:divBdr>
            <w:top w:val="none" w:sz="0" w:space="0" w:color="auto"/>
            <w:left w:val="none" w:sz="0" w:space="0" w:color="auto"/>
            <w:bottom w:val="none" w:sz="0" w:space="0" w:color="auto"/>
            <w:right w:val="none" w:sz="0" w:space="0" w:color="auto"/>
          </w:divBdr>
        </w:div>
        <w:div w:id="1614366665">
          <w:marLeft w:val="547"/>
          <w:marRight w:val="0"/>
          <w:marTop w:val="86"/>
          <w:marBottom w:val="0"/>
          <w:divBdr>
            <w:top w:val="none" w:sz="0" w:space="0" w:color="auto"/>
            <w:left w:val="none" w:sz="0" w:space="0" w:color="auto"/>
            <w:bottom w:val="none" w:sz="0" w:space="0" w:color="auto"/>
            <w:right w:val="none" w:sz="0" w:space="0" w:color="auto"/>
          </w:divBdr>
        </w:div>
        <w:div w:id="1843741550">
          <w:marLeft w:val="547"/>
          <w:marRight w:val="0"/>
          <w:marTop w:val="86"/>
          <w:marBottom w:val="0"/>
          <w:divBdr>
            <w:top w:val="none" w:sz="0" w:space="0" w:color="auto"/>
            <w:left w:val="none" w:sz="0" w:space="0" w:color="auto"/>
            <w:bottom w:val="none" w:sz="0" w:space="0" w:color="auto"/>
            <w:right w:val="none" w:sz="0" w:space="0" w:color="auto"/>
          </w:divBdr>
        </w:div>
        <w:div w:id="2084599872">
          <w:marLeft w:val="547"/>
          <w:marRight w:val="0"/>
          <w:marTop w:val="86"/>
          <w:marBottom w:val="0"/>
          <w:divBdr>
            <w:top w:val="none" w:sz="0" w:space="0" w:color="auto"/>
            <w:left w:val="none" w:sz="0" w:space="0" w:color="auto"/>
            <w:bottom w:val="none" w:sz="0" w:space="0" w:color="auto"/>
            <w:right w:val="none" w:sz="0" w:space="0" w:color="auto"/>
          </w:divBdr>
        </w:div>
      </w:divsChild>
    </w:div>
    <w:div w:id="99377839">
      <w:bodyDiv w:val="1"/>
      <w:marLeft w:val="0"/>
      <w:marRight w:val="0"/>
      <w:marTop w:val="0"/>
      <w:marBottom w:val="0"/>
      <w:divBdr>
        <w:top w:val="none" w:sz="0" w:space="0" w:color="auto"/>
        <w:left w:val="none" w:sz="0" w:space="0" w:color="auto"/>
        <w:bottom w:val="none" w:sz="0" w:space="0" w:color="auto"/>
        <w:right w:val="none" w:sz="0" w:space="0" w:color="auto"/>
      </w:divBdr>
      <w:divsChild>
        <w:div w:id="1842772544">
          <w:marLeft w:val="0"/>
          <w:marRight w:val="0"/>
          <w:marTop w:val="0"/>
          <w:marBottom w:val="0"/>
          <w:divBdr>
            <w:top w:val="none" w:sz="0" w:space="0" w:color="auto"/>
            <w:left w:val="none" w:sz="0" w:space="0" w:color="auto"/>
            <w:bottom w:val="none" w:sz="0" w:space="0" w:color="auto"/>
            <w:right w:val="none" w:sz="0" w:space="0" w:color="auto"/>
          </w:divBdr>
          <w:divsChild>
            <w:div w:id="187374764">
              <w:marLeft w:val="0"/>
              <w:marRight w:val="0"/>
              <w:marTop w:val="0"/>
              <w:marBottom w:val="0"/>
              <w:divBdr>
                <w:top w:val="none" w:sz="0" w:space="0" w:color="auto"/>
                <w:left w:val="none" w:sz="0" w:space="0" w:color="auto"/>
                <w:bottom w:val="none" w:sz="0" w:space="0" w:color="auto"/>
                <w:right w:val="none" w:sz="0" w:space="0" w:color="auto"/>
              </w:divBdr>
            </w:div>
            <w:div w:id="293676307">
              <w:marLeft w:val="0"/>
              <w:marRight w:val="0"/>
              <w:marTop w:val="0"/>
              <w:marBottom w:val="0"/>
              <w:divBdr>
                <w:top w:val="none" w:sz="0" w:space="0" w:color="auto"/>
                <w:left w:val="none" w:sz="0" w:space="0" w:color="auto"/>
                <w:bottom w:val="none" w:sz="0" w:space="0" w:color="auto"/>
                <w:right w:val="none" w:sz="0" w:space="0" w:color="auto"/>
              </w:divBdr>
            </w:div>
            <w:div w:id="1308704602">
              <w:marLeft w:val="0"/>
              <w:marRight w:val="0"/>
              <w:marTop w:val="0"/>
              <w:marBottom w:val="0"/>
              <w:divBdr>
                <w:top w:val="none" w:sz="0" w:space="0" w:color="auto"/>
                <w:left w:val="none" w:sz="0" w:space="0" w:color="auto"/>
                <w:bottom w:val="none" w:sz="0" w:space="0" w:color="auto"/>
                <w:right w:val="none" w:sz="0" w:space="0" w:color="auto"/>
              </w:divBdr>
            </w:div>
            <w:div w:id="20893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4195">
      <w:bodyDiv w:val="1"/>
      <w:marLeft w:val="0"/>
      <w:marRight w:val="0"/>
      <w:marTop w:val="0"/>
      <w:marBottom w:val="0"/>
      <w:divBdr>
        <w:top w:val="none" w:sz="0" w:space="0" w:color="auto"/>
        <w:left w:val="none" w:sz="0" w:space="0" w:color="auto"/>
        <w:bottom w:val="none" w:sz="0" w:space="0" w:color="auto"/>
        <w:right w:val="none" w:sz="0" w:space="0" w:color="auto"/>
      </w:divBdr>
    </w:div>
    <w:div w:id="103158995">
      <w:bodyDiv w:val="1"/>
      <w:marLeft w:val="0"/>
      <w:marRight w:val="0"/>
      <w:marTop w:val="0"/>
      <w:marBottom w:val="0"/>
      <w:divBdr>
        <w:top w:val="none" w:sz="0" w:space="0" w:color="auto"/>
        <w:left w:val="none" w:sz="0" w:space="0" w:color="auto"/>
        <w:bottom w:val="none" w:sz="0" w:space="0" w:color="auto"/>
        <w:right w:val="none" w:sz="0" w:space="0" w:color="auto"/>
      </w:divBdr>
    </w:div>
    <w:div w:id="114100952">
      <w:bodyDiv w:val="1"/>
      <w:marLeft w:val="0"/>
      <w:marRight w:val="0"/>
      <w:marTop w:val="0"/>
      <w:marBottom w:val="0"/>
      <w:divBdr>
        <w:top w:val="none" w:sz="0" w:space="0" w:color="auto"/>
        <w:left w:val="none" w:sz="0" w:space="0" w:color="auto"/>
        <w:bottom w:val="none" w:sz="0" w:space="0" w:color="auto"/>
        <w:right w:val="none" w:sz="0" w:space="0" w:color="auto"/>
      </w:divBdr>
    </w:div>
    <w:div w:id="124274074">
      <w:bodyDiv w:val="1"/>
      <w:marLeft w:val="0"/>
      <w:marRight w:val="0"/>
      <w:marTop w:val="0"/>
      <w:marBottom w:val="0"/>
      <w:divBdr>
        <w:top w:val="none" w:sz="0" w:space="0" w:color="auto"/>
        <w:left w:val="none" w:sz="0" w:space="0" w:color="auto"/>
        <w:bottom w:val="none" w:sz="0" w:space="0" w:color="auto"/>
        <w:right w:val="none" w:sz="0" w:space="0" w:color="auto"/>
      </w:divBdr>
    </w:div>
    <w:div w:id="127478614">
      <w:bodyDiv w:val="1"/>
      <w:marLeft w:val="0"/>
      <w:marRight w:val="0"/>
      <w:marTop w:val="0"/>
      <w:marBottom w:val="0"/>
      <w:divBdr>
        <w:top w:val="none" w:sz="0" w:space="0" w:color="auto"/>
        <w:left w:val="none" w:sz="0" w:space="0" w:color="auto"/>
        <w:bottom w:val="none" w:sz="0" w:space="0" w:color="auto"/>
        <w:right w:val="none" w:sz="0" w:space="0" w:color="auto"/>
      </w:divBdr>
    </w:div>
    <w:div w:id="129441850">
      <w:bodyDiv w:val="1"/>
      <w:marLeft w:val="0"/>
      <w:marRight w:val="0"/>
      <w:marTop w:val="0"/>
      <w:marBottom w:val="0"/>
      <w:divBdr>
        <w:top w:val="none" w:sz="0" w:space="0" w:color="auto"/>
        <w:left w:val="none" w:sz="0" w:space="0" w:color="auto"/>
        <w:bottom w:val="none" w:sz="0" w:space="0" w:color="auto"/>
        <w:right w:val="none" w:sz="0" w:space="0" w:color="auto"/>
      </w:divBdr>
    </w:div>
    <w:div w:id="129709992">
      <w:bodyDiv w:val="1"/>
      <w:marLeft w:val="0"/>
      <w:marRight w:val="0"/>
      <w:marTop w:val="0"/>
      <w:marBottom w:val="0"/>
      <w:divBdr>
        <w:top w:val="none" w:sz="0" w:space="0" w:color="auto"/>
        <w:left w:val="none" w:sz="0" w:space="0" w:color="auto"/>
        <w:bottom w:val="none" w:sz="0" w:space="0" w:color="auto"/>
        <w:right w:val="none" w:sz="0" w:space="0" w:color="auto"/>
      </w:divBdr>
    </w:div>
    <w:div w:id="134296972">
      <w:bodyDiv w:val="1"/>
      <w:marLeft w:val="0"/>
      <w:marRight w:val="0"/>
      <w:marTop w:val="0"/>
      <w:marBottom w:val="0"/>
      <w:divBdr>
        <w:top w:val="none" w:sz="0" w:space="0" w:color="auto"/>
        <w:left w:val="none" w:sz="0" w:space="0" w:color="auto"/>
        <w:bottom w:val="none" w:sz="0" w:space="0" w:color="auto"/>
        <w:right w:val="none" w:sz="0" w:space="0" w:color="auto"/>
      </w:divBdr>
    </w:div>
    <w:div w:id="140388337">
      <w:bodyDiv w:val="1"/>
      <w:marLeft w:val="0"/>
      <w:marRight w:val="0"/>
      <w:marTop w:val="0"/>
      <w:marBottom w:val="0"/>
      <w:divBdr>
        <w:top w:val="none" w:sz="0" w:space="0" w:color="auto"/>
        <w:left w:val="none" w:sz="0" w:space="0" w:color="auto"/>
        <w:bottom w:val="none" w:sz="0" w:space="0" w:color="auto"/>
        <w:right w:val="none" w:sz="0" w:space="0" w:color="auto"/>
      </w:divBdr>
    </w:div>
    <w:div w:id="140582521">
      <w:bodyDiv w:val="1"/>
      <w:marLeft w:val="0"/>
      <w:marRight w:val="0"/>
      <w:marTop w:val="0"/>
      <w:marBottom w:val="0"/>
      <w:divBdr>
        <w:top w:val="none" w:sz="0" w:space="0" w:color="auto"/>
        <w:left w:val="none" w:sz="0" w:space="0" w:color="auto"/>
        <w:bottom w:val="none" w:sz="0" w:space="0" w:color="auto"/>
        <w:right w:val="none" w:sz="0" w:space="0" w:color="auto"/>
      </w:divBdr>
    </w:div>
    <w:div w:id="157774247">
      <w:bodyDiv w:val="1"/>
      <w:marLeft w:val="0"/>
      <w:marRight w:val="0"/>
      <w:marTop w:val="0"/>
      <w:marBottom w:val="0"/>
      <w:divBdr>
        <w:top w:val="none" w:sz="0" w:space="0" w:color="auto"/>
        <w:left w:val="none" w:sz="0" w:space="0" w:color="auto"/>
        <w:bottom w:val="none" w:sz="0" w:space="0" w:color="auto"/>
        <w:right w:val="none" w:sz="0" w:space="0" w:color="auto"/>
      </w:divBdr>
    </w:div>
    <w:div w:id="167839780">
      <w:bodyDiv w:val="1"/>
      <w:marLeft w:val="0"/>
      <w:marRight w:val="0"/>
      <w:marTop w:val="0"/>
      <w:marBottom w:val="0"/>
      <w:divBdr>
        <w:top w:val="none" w:sz="0" w:space="0" w:color="auto"/>
        <w:left w:val="none" w:sz="0" w:space="0" w:color="auto"/>
        <w:bottom w:val="none" w:sz="0" w:space="0" w:color="auto"/>
        <w:right w:val="none" w:sz="0" w:space="0" w:color="auto"/>
      </w:divBdr>
    </w:div>
    <w:div w:id="179706505">
      <w:bodyDiv w:val="1"/>
      <w:marLeft w:val="0"/>
      <w:marRight w:val="0"/>
      <w:marTop w:val="0"/>
      <w:marBottom w:val="0"/>
      <w:divBdr>
        <w:top w:val="none" w:sz="0" w:space="0" w:color="auto"/>
        <w:left w:val="none" w:sz="0" w:space="0" w:color="auto"/>
        <w:bottom w:val="none" w:sz="0" w:space="0" w:color="auto"/>
        <w:right w:val="none" w:sz="0" w:space="0" w:color="auto"/>
      </w:divBdr>
    </w:div>
    <w:div w:id="196744899">
      <w:bodyDiv w:val="1"/>
      <w:marLeft w:val="0"/>
      <w:marRight w:val="0"/>
      <w:marTop w:val="0"/>
      <w:marBottom w:val="0"/>
      <w:divBdr>
        <w:top w:val="none" w:sz="0" w:space="0" w:color="auto"/>
        <w:left w:val="none" w:sz="0" w:space="0" w:color="auto"/>
        <w:bottom w:val="none" w:sz="0" w:space="0" w:color="auto"/>
        <w:right w:val="none" w:sz="0" w:space="0" w:color="auto"/>
      </w:divBdr>
    </w:div>
    <w:div w:id="199557662">
      <w:bodyDiv w:val="1"/>
      <w:marLeft w:val="0"/>
      <w:marRight w:val="0"/>
      <w:marTop w:val="0"/>
      <w:marBottom w:val="0"/>
      <w:divBdr>
        <w:top w:val="none" w:sz="0" w:space="0" w:color="auto"/>
        <w:left w:val="none" w:sz="0" w:space="0" w:color="auto"/>
        <w:bottom w:val="none" w:sz="0" w:space="0" w:color="auto"/>
        <w:right w:val="none" w:sz="0" w:space="0" w:color="auto"/>
      </w:divBdr>
    </w:div>
    <w:div w:id="203716460">
      <w:bodyDiv w:val="1"/>
      <w:marLeft w:val="0"/>
      <w:marRight w:val="0"/>
      <w:marTop w:val="0"/>
      <w:marBottom w:val="0"/>
      <w:divBdr>
        <w:top w:val="none" w:sz="0" w:space="0" w:color="auto"/>
        <w:left w:val="none" w:sz="0" w:space="0" w:color="auto"/>
        <w:bottom w:val="none" w:sz="0" w:space="0" w:color="auto"/>
        <w:right w:val="none" w:sz="0" w:space="0" w:color="auto"/>
      </w:divBdr>
    </w:div>
    <w:div w:id="203913305">
      <w:bodyDiv w:val="1"/>
      <w:marLeft w:val="0"/>
      <w:marRight w:val="0"/>
      <w:marTop w:val="0"/>
      <w:marBottom w:val="0"/>
      <w:divBdr>
        <w:top w:val="none" w:sz="0" w:space="0" w:color="auto"/>
        <w:left w:val="none" w:sz="0" w:space="0" w:color="auto"/>
        <w:bottom w:val="none" w:sz="0" w:space="0" w:color="auto"/>
        <w:right w:val="none" w:sz="0" w:space="0" w:color="auto"/>
      </w:divBdr>
    </w:div>
    <w:div w:id="210196851">
      <w:bodyDiv w:val="1"/>
      <w:marLeft w:val="0"/>
      <w:marRight w:val="0"/>
      <w:marTop w:val="0"/>
      <w:marBottom w:val="0"/>
      <w:divBdr>
        <w:top w:val="none" w:sz="0" w:space="0" w:color="auto"/>
        <w:left w:val="none" w:sz="0" w:space="0" w:color="auto"/>
        <w:bottom w:val="none" w:sz="0" w:space="0" w:color="auto"/>
        <w:right w:val="none" w:sz="0" w:space="0" w:color="auto"/>
      </w:divBdr>
    </w:div>
    <w:div w:id="218323185">
      <w:bodyDiv w:val="1"/>
      <w:marLeft w:val="0"/>
      <w:marRight w:val="0"/>
      <w:marTop w:val="0"/>
      <w:marBottom w:val="0"/>
      <w:divBdr>
        <w:top w:val="none" w:sz="0" w:space="0" w:color="auto"/>
        <w:left w:val="none" w:sz="0" w:space="0" w:color="auto"/>
        <w:bottom w:val="none" w:sz="0" w:space="0" w:color="auto"/>
        <w:right w:val="none" w:sz="0" w:space="0" w:color="auto"/>
      </w:divBdr>
    </w:div>
    <w:div w:id="219440003">
      <w:bodyDiv w:val="1"/>
      <w:marLeft w:val="0"/>
      <w:marRight w:val="0"/>
      <w:marTop w:val="0"/>
      <w:marBottom w:val="0"/>
      <w:divBdr>
        <w:top w:val="none" w:sz="0" w:space="0" w:color="auto"/>
        <w:left w:val="none" w:sz="0" w:space="0" w:color="auto"/>
        <w:bottom w:val="none" w:sz="0" w:space="0" w:color="auto"/>
        <w:right w:val="none" w:sz="0" w:space="0" w:color="auto"/>
      </w:divBdr>
    </w:div>
    <w:div w:id="223680535">
      <w:bodyDiv w:val="1"/>
      <w:marLeft w:val="0"/>
      <w:marRight w:val="0"/>
      <w:marTop w:val="0"/>
      <w:marBottom w:val="0"/>
      <w:divBdr>
        <w:top w:val="none" w:sz="0" w:space="0" w:color="auto"/>
        <w:left w:val="none" w:sz="0" w:space="0" w:color="auto"/>
        <w:bottom w:val="none" w:sz="0" w:space="0" w:color="auto"/>
        <w:right w:val="none" w:sz="0" w:space="0" w:color="auto"/>
      </w:divBdr>
    </w:div>
    <w:div w:id="245891116">
      <w:bodyDiv w:val="1"/>
      <w:marLeft w:val="0"/>
      <w:marRight w:val="0"/>
      <w:marTop w:val="0"/>
      <w:marBottom w:val="0"/>
      <w:divBdr>
        <w:top w:val="none" w:sz="0" w:space="0" w:color="auto"/>
        <w:left w:val="none" w:sz="0" w:space="0" w:color="auto"/>
        <w:bottom w:val="none" w:sz="0" w:space="0" w:color="auto"/>
        <w:right w:val="none" w:sz="0" w:space="0" w:color="auto"/>
      </w:divBdr>
    </w:div>
    <w:div w:id="258101640">
      <w:bodyDiv w:val="1"/>
      <w:marLeft w:val="0"/>
      <w:marRight w:val="0"/>
      <w:marTop w:val="0"/>
      <w:marBottom w:val="0"/>
      <w:divBdr>
        <w:top w:val="none" w:sz="0" w:space="0" w:color="auto"/>
        <w:left w:val="none" w:sz="0" w:space="0" w:color="auto"/>
        <w:bottom w:val="none" w:sz="0" w:space="0" w:color="auto"/>
        <w:right w:val="none" w:sz="0" w:space="0" w:color="auto"/>
      </w:divBdr>
    </w:div>
    <w:div w:id="261646537">
      <w:bodyDiv w:val="1"/>
      <w:marLeft w:val="0"/>
      <w:marRight w:val="0"/>
      <w:marTop w:val="0"/>
      <w:marBottom w:val="0"/>
      <w:divBdr>
        <w:top w:val="none" w:sz="0" w:space="0" w:color="auto"/>
        <w:left w:val="none" w:sz="0" w:space="0" w:color="auto"/>
        <w:bottom w:val="none" w:sz="0" w:space="0" w:color="auto"/>
        <w:right w:val="none" w:sz="0" w:space="0" w:color="auto"/>
      </w:divBdr>
    </w:div>
    <w:div w:id="268202971">
      <w:bodyDiv w:val="1"/>
      <w:marLeft w:val="0"/>
      <w:marRight w:val="0"/>
      <w:marTop w:val="0"/>
      <w:marBottom w:val="0"/>
      <w:divBdr>
        <w:top w:val="none" w:sz="0" w:space="0" w:color="auto"/>
        <w:left w:val="none" w:sz="0" w:space="0" w:color="auto"/>
        <w:bottom w:val="none" w:sz="0" w:space="0" w:color="auto"/>
        <w:right w:val="none" w:sz="0" w:space="0" w:color="auto"/>
      </w:divBdr>
    </w:div>
    <w:div w:id="268782059">
      <w:bodyDiv w:val="1"/>
      <w:marLeft w:val="0"/>
      <w:marRight w:val="0"/>
      <w:marTop w:val="0"/>
      <w:marBottom w:val="0"/>
      <w:divBdr>
        <w:top w:val="none" w:sz="0" w:space="0" w:color="auto"/>
        <w:left w:val="none" w:sz="0" w:space="0" w:color="auto"/>
        <w:bottom w:val="none" w:sz="0" w:space="0" w:color="auto"/>
        <w:right w:val="none" w:sz="0" w:space="0" w:color="auto"/>
      </w:divBdr>
    </w:div>
    <w:div w:id="271210742">
      <w:bodyDiv w:val="1"/>
      <w:marLeft w:val="0"/>
      <w:marRight w:val="0"/>
      <w:marTop w:val="0"/>
      <w:marBottom w:val="0"/>
      <w:divBdr>
        <w:top w:val="none" w:sz="0" w:space="0" w:color="auto"/>
        <w:left w:val="none" w:sz="0" w:space="0" w:color="auto"/>
        <w:bottom w:val="none" w:sz="0" w:space="0" w:color="auto"/>
        <w:right w:val="none" w:sz="0" w:space="0" w:color="auto"/>
      </w:divBdr>
    </w:div>
    <w:div w:id="289358308">
      <w:bodyDiv w:val="1"/>
      <w:marLeft w:val="0"/>
      <w:marRight w:val="0"/>
      <w:marTop w:val="0"/>
      <w:marBottom w:val="0"/>
      <w:divBdr>
        <w:top w:val="none" w:sz="0" w:space="0" w:color="auto"/>
        <w:left w:val="none" w:sz="0" w:space="0" w:color="auto"/>
        <w:bottom w:val="none" w:sz="0" w:space="0" w:color="auto"/>
        <w:right w:val="none" w:sz="0" w:space="0" w:color="auto"/>
      </w:divBdr>
    </w:div>
    <w:div w:id="290937741">
      <w:bodyDiv w:val="1"/>
      <w:marLeft w:val="0"/>
      <w:marRight w:val="0"/>
      <w:marTop w:val="0"/>
      <w:marBottom w:val="0"/>
      <w:divBdr>
        <w:top w:val="none" w:sz="0" w:space="0" w:color="auto"/>
        <w:left w:val="none" w:sz="0" w:space="0" w:color="auto"/>
        <w:bottom w:val="none" w:sz="0" w:space="0" w:color="auto"/>
        <w:right w:val="none" w:sz="0" w:space="0" w:color="auto"/>
      </w:divBdr>
    </w:div>
    <w:div w:id="296956393">
      <w:bodyDiv w:val="1"/>
      <w:marLeft w:val="0"/>
      <w:marRight w:val="0"/>
      <w:marTop w:val="0"/>
      <w:marBottom w:val="0"/>
      <w:divBdr>
        <w:top w:val="none" w:sz="0" w:space="0" w:color="auto"/>
        <w:left w:val="none" w:sz="0" w:space="0" w:color="auto"/>
        <w:bottom w:val="none" w:sz="0" w:space="0" w:color="auto"/>
        <w:right w:val="none" w:sz="0" w:space="0" w:color="auto"/>
      </w:divBdr>
    </w:div>
    <w:div w:id="300110993">
      <w:bodyDiv w:val="1"/>
      <w:marLeft w:val="0"/>
      <w:marRight w:val="0"/>
      <w:marTop w:val="0"/>
      <w:marBottom w:val="0"/>
      <w:divBdr>
        <w:top w:val="none" w:sz="0" w:space="0" w:color="auto"/>
        <w:left w:val="none" w:sz="0" w:space="0" w:color="auto"/>
        <w:bottom w:val="none" w:sz="0" w:space="0" w:color="auto"/>
        <w:right w:val="none" w:sz="0" w:space="0" w:color="auto"/>
      </w:divBdr>
    </w:div>
    <w:div w:id="315691040">
      <w:bodyDiv w:val="1"/>
      <w:marLeft w:val="0"/>
      <w:marRight w:val="0"/>
      <w:marTop w:val="0"/>
      <w:marBottom w:val="0"/>
      <w:divBdr>
        <w:top w:val="none" w:sz="0" w:space="0" w:color="auto"/>
        <w:left w:val="none" w:sz="0" w:space="0" w:color="auto"/>
        <w:bottom w:val="none" w:sz="0" w:space="0" w:color="auto"/>
        <w:right w:val="none" w:sz="0" w:space="0" w:color="auto"/>
      </w:divBdr>
    </w:div>
    <w:div w:id="315956348">
      <w:bodyDiv w:val="1"/>
      <w:marLeft w:val="0"/>
      <w:marRight w:val="0"/>
      <w:marTop w:val="0"/>
      <w:marBottom w:val="0"/>
      <w:divBdr>
        <w:top w:val="none" w:sz="0" w:space="0" w:color="auto"/>
        <w:left w:val="none" w:sz="0" w:space="0" w:color="auto"/>
        <w:bottom w:val="none" w:sz="0" w:space="0" w:color="auto"/>
        <w:right w:val="none" w:sz="0" w:space="0" w:color="auto"/>
      </w:divBdr>
    </w:div>
    <w:div w:id="327097341">
      <w:bodyDiv w:val="1"/>
      <w:marLeft w:val="0"/>
      <w:marRight w:val="0"/>
      <w:marTop w:val="0"/>
      <w:marBottom w:val="0"/>
      <w:divBdr>
        <w:top w:val="none" w:sz="0" w:space="0" w:color="auto"/>
        <w:left w:val="none" w:sz="0" w:space="0" w:color="auto"/>
        <w:bottom w:val="none" w:sz="0" w:space="0" w:color="auto"/>
        <w:right w:val="none" w:sz="0" w:space="0" w:color="auto"/>
      </w:divBdr>
    </w:div>
    <w:div w:id="335379617">
      <w:bodyDiv w:val="1"/>
      <w:marLeft w:val="0"/>
      <w:marRight w:val="0"/>
      <w:marTop w:val="0"/>
      <w:marBottom w:val="0"/>
      <w:divBdr>
        <w:top w:val="none" w:sz="0" w:space="0" w:color="auto"/>
        <w:left w:val="none" w:sz="0" w:space="0" w:color="auto"/>
        <w:bottom w:val="none" w:sz="0" w:space="0" w:color="auto"/>
        <w:right w:val="none" w:sz="0" w:space="0" w:color="auto"/>
      </w:divBdr>
    </w:div>
    <w:div w:id="341932129">
      <w:bodyDiv w:val="1"/>
      <w:marLeft w:val="0"/>
      <w:marRight w:val="0"/>
      <w:marTop w:val="0"/>
      <w:marBottom w:val="0"/>
      <w:divBdr>
        <w:top w:val="none" w:sz="0" w:space="0" w:color="auto"/>
        <w:left w:val="none" w:sz="0" w:space="0" w:color="auto"/>
        <w:bottom w:val="none" w:sz="0" w:space="0" w:color="auto"/>
        <w:right w:val="none" w:sz="0" w:space="0" w:color="auto"/>
      </w:divBdr>
    </w:div>
    <w:div w:id="345669444">
      <w:bodyDiv w:val="1"/>
      <w:marLeft w:val="0"/>
      <w:marRight w:val="0"/>
      <w:marTop w:val="0"/>
      <w:marBottom w:val="0"/>
      <w:divBdr>
        <w:top w:val="none" w:sz="0" w:space="0" w:color="auto"/>
        <w:left w:val="none" w:sz="0" w:space="0" w:color="auto"/>
        <w:bottom w:val="none" w:sz="0" w:space="0" w:color="auto"/>
        <w:right w:val="none" w:sz="0" w:space="0" w:color="auto"/>
      </w:divBdr>
      <w:divsChild>
        <w:div w:id="97214251">
          <w:marLeft w:val="0"/>
          <w:marRight w:val="0"/>
          <w:marTop w:val="0"/>
          <w:marBottom w:val="0"/>
          <w:divBdr>
            <w:top w:val="none" w:sz="0" w:space="0" w:color="auto"/>
            <w:left w:val="none" w:sz="0" w:space="0" w:color="auto"/>
            <w:bottom w:val="none" w:sz="0" w:space="0" w:color="auto"/>
            <w:right w:val="none" w:sz="0" w:space="0" w:color="auto"/>
          </w:divBdr>
        </w:div>
        <w:div w:id="663358121">
          <w:marLeft w:val="0"/>
          <w:marRight w:val="0"/>
          <w:marTop w:val="0"/>
          <w:marBottom w:val="0"/>
          <w:divBdr>
            <w:top w:val="none" w:sz="0" w:space="0" w:color="auto"/>
            <w:left w:val="none" w:sz="0" w:space="0" w:color="auto"/>
            <w:bottom w:val="none" w:sz="0" w:space="0" w:color="auto"/>
            <w:right w:val="none" w:sz="0" w:space="0" w:color="auto"/>
          </w:divBdr>
        </w:div>
        <w:div w:id="2034182254">
          <w:marLeft w:val="0"/>
          <w:marRight w:val="0"/>
          <w:marTop w:val="0"/>
          <w:marBottom w:val="0"/>
          <w:divBdr>
            <w:top w:val="none" w:sz="0" w:space="0" w:color="auto"/>
            <w:left w:val="none" w:sz="0" w:space="0" w:color="auto"/>
            <w:bottom w:val="none" w:sz="0" w:space="0" w:color="auto"/>
            <w:right w:val="none" w:sz="0" w:space="0" w:color="auto"/>
          </w:divBdr>
        </w:div>
        <w:div w:id="454176491">
          <w:marLeft w:val="0"/>
          <w:marRight w:val="0"/>
          <w:marTop w:val="0"/>
          <w:marBottom w:val="0"/>
          <w:divBdr>
            <w:top w:val="none" w:sz="0" w:space="0" w:color="auto"/>
            <w:left w:val="none" w:sz="0" w:space="0" w:color="auto"/>
            <w:bottom w:val="none" w:sz="0" w:space="0" w:color="auto"/>
            <w:right w:val="none" w:sz="0" w:space="0" w:color="auto"/>
          </w:divBdr>
        </w:div>
      </w:divsChild>
    </w:div>
    <w:div w:id="348068084">
      <w:bodyDiv w:val="1"/>
      <w:marLeft w:val="0"/>
      <w:marRight w:val="0"/>
      <w:marTop w:val="0"/>
      <w:marBottom w:val="0"/>
      <w:divBdr>
        <w:top w:val="none" w:sz="0" w:space="0" w:color="auto"/>
        <w:left w:val="none" w:sz="0" w:space="0" w:color="auto"/>
        <w:bottom w:val="none" w:sz="0" w:space="0" w:color="auto"/>
        <w:right w:val="none" w:sz="0" w:space="0" w:color="auto"/>
      </w:divBdr>
    </w:div>
    <w:div w:id="350839169">
      <w:bodyDiv w:val="1"/>
      <w:marLeft w:val="0"/>
      <w:marRight w:val="0"/>
      <w:marTop w:val="0"/>
      <w:marBottom w:val="0"/>
      <w:divBdr>
        <w:top w:val="none" w:sz="0" w:space="0" w:color="auto"/>
        <w:left w:val="none" w:sz="0" w:space="0" w:color="auto"/>
        <w:bottom w:val="none" w:sz="0" w:space="0" w:color="auto"/>
        <w:right w:val="none" w:sz="0" w:space="0" w:color="auto"/>
      </w:divBdr>
    </w:div>
    <w:div w:id="354111087">
      <w:bodyDiv w:val="1"/>
      <w:marLeft w:val="0"/>
      <w:marRight w:val="0"/>
      <w:marTop w:val="0"/>
      <w:marBottom w:val="0"/>
      <w:divBdr>
        <w:top w:val="none" w:sz="0" w:space="0" w:color="auto"/>
        <w:left w:val="none" w:sz="0" w:space="0" w:color="auto"/>
        <w:bottom w:val="none" w:sz="0" w:space="0" w:color="auto"/>
        <w:right w:val="none" w:sz="0" w:space="0" w:color="auto"/>
      </w:divBdr>
    </w:div>
    <w:div w:id="367266163">
      <w:bodyDiv w:val="1"/>
      <w:marLeft w:val="0"/>
      <w:marRight w:val="0"/>
      <w:marTop w:val="0"/>
      <w:marBottom w:val="0"/>
      <w:divBdr>
        <w:top w:val="none" w:sz="0" w:space="0" w:color="auto"/>
        <w:left w:val="none" w:sz="0" w:space="0" w:color="auto"/>
        <w:bottom w:val="none" w:sz="0" w:space="0" w:color="auto"/>
        <w:right w:val="none" w:sz="0" w:space="0" w:color="auto"/>
      </w:divBdr>
    </w:div>
    <w:div w:id="370229090">
      <w:bodyDiv w:val="1"/>
      <w:marLeft w:val="0"/>
      <w:marRight w:val="0"/>
      <w:marTop w:val="0"/>
      <w:marBottom w:val="0"/>
      <w:divBdr>
        <w:top w:val="none" w:sz="0" w:space="0" w:color="auto"/>
        <w:left w:val="none" w:sz="0" w:space="0" w:color="auto"/>
        <w:bottom w:val="none" w:sz="0" w:space="0" w:color="auto"/>
        <w:right w:val="none" w:sz="0" w:space="0" w:color="auto"/>
      </w:divBdr>
    </w:div>
    <w:div w:id="390278136">
      <w:bodyDiv w:val="1"/>
      <w:marLeft w:val="0"/>
      <w:marRight w:val="0"/>
      <w:marTop w:val="0"/>
      <w:marBottom w:val="0"/>
      <w:divBdr>
        <w:top w:val="none" w:sz="0" w:space="0" w:color="auto"/>
        <w:left w:val="none" w:sz="0" w:space="0" w:color="auto"/>
        <w:bottom w:val="none" w:sz="0" w:space="0" w:color="auto"/>
        <w:right w:val="none" w:sz="0" w:space="0" w:color="auto"/>
      </w:divBdr>
    </w:div>
    <w:div w:id="420298921">
      <w:bodyDiv w:val="1"/>
      <w:marLeft w:val="0"/>
      <w:marRight w:val="0"/>
      <w:marTop w:val="0"/>
      <w:marBottom w:val="0"/>
      <w:divBdr>
        <w:top w:val="none" w:sz="0" w:space="0" w:color="auto"/>
        <w:left w:val="none" w:sz="0" w:space="0" w:color="auto"/>
        <w:bottom w:val="none" w:sz="0" w:space="0" w:color="auto"/>
        <w:right w:val="none" w:sz="0" w:space="0" w:color="auto"/>
      </w:divBdr>
    </w:div>
    <w:div w:id="449277254">
      <w:bodyDiv w:val="1"/>
      <w:marLeft w:val="0"/>
      <w:marRight w:val="0"/>
      <w:marTop w:val="0"/>
      <w:marBottom w:val="0"/>
      <w:divBdr>
        <w:top w:val="none" w:sz="0" w:space="0" w:color="auto"/>
        <w:left w:val="none" w:sz="0" w:space="0" w:color="auto"/>
        <w:bottom w:val="none" w:sz="0" w:space="0" w:color="auto"/>
        <w:right w:val="none" w:sz="0" w:space="0" w:color="auto"/>
      </w:divBdr>
      <w:divsChild>
        <w:div w:id="937373973">
          <w:marLeft w:val="0"/>
          <w:marRight w:val="0"/>
          <w:marTop w:val="0"/>
          <w:marBottom w:val="0"/>
          <w:divBdr>
            <w:top w:val="none" w:sz="0" w:space="0" w:color="auto"/>
            <w:left w:val="none" w:sz="0" w:space="0" w:color="auto"/>
            <w:bottom w:val="none" w:sz="0" w:space="0" w:color="auto"/>
            <w:right w:val="none" w:sz="0" w:space="0" w:color="auto"/>
          </w:divBdr>
          <w:divsChild>
            <w:div w:id="1963883170">
              <w:marLeft w:val="0"/>
              <w:marRight w:val="0"/>
              <w:marTop w:val="0"/>
              <w:marBottom w:val="0"/>
              <w:divBdr>
                <w:top w:val="none" w:sz="0" w:space="0" w:color="auto"/>
                <w:left w:val="none" w:sz="0" w:space="0" w:color="auto"/>
                <w:bottom w:val="none" w:sz="0" w:space="0" w:color="auto"/>
                <w:right w:val="none" w:sz="0" w:space="0" w:color="auto"/>
              </w:divBdr>
              <w:divsChild>
                <w:div w:id="1480224695">
                  <w:marLeft w:val="0"/>
                  <w:marRight w:val="0"/>
                  <w:marTop w:val="0"/>
                  <w:marBottom w:val="0"/>
                  <w:divBdr>
                    <w:top w:val="none" w:sz="0" w:space="0" w:color="auto"/>
                    <w:left w:val="none" w:sz="0" w:space="0" w:color="auto"/>
                    <w:bottom w:val="none" w:sz="0" w:space="0" w:color="auto"/>
                    <w:right w:val="none" w:sz="0" w:space="0" w:color="auto"/>
                  </w:divBdr>
                  <w:divsChild>
                    <w:div w:id="228734595">
                      <w:marLeft w:val="0"/>
                      <w:marRight w:val="0"/>
                      <w:marTop w:val="0"/>
                      <w:marBottom w:val="0"/>
                      <w:divBdr>
                        <w:top w:val="none" w:sz="0" w:space="0" w:color="auto"/>
                        <w:left w:val="none" w:sz="0" w:space="0" w:color="auto"/>
                        <w:bottom w:val="none" w:sz="0" w:space="0" w:color="auto"/>
                        <w:right w:val="none" w:sz="0" w:space="0" w:color="auto"/>
                      </w:divBdr>
                      <w:divsChild>
                        <w:div w:id="1162702963">
                          <w:marLeft w:val="0"/>
                          <w:marRight w:val="0"/>
                          <w:marTop w:val="0"/>
                          <w:marBottom w:val="0"/>
                          <w:divBdr>
                            <w:top w:val="none" w:sz="0" w:space="0" w:color="auto"/>
                            <w:left w:val="none" w:sz="0" w:space="0" w:color="auto"/>
                            <w:bottom w:val="none" w:sz="0" w:space="0" w:color="auto"/>
                            <w:right w:val="none" w:sz="0" w:space="0" w:color="auto"/>
                          </w:divBdr>
                          <w:divsChild>
                            <w:div w:id="605111983">
                              <w:marLeft w:val="0"/>
                              <w:marRight w:val="0"/>
                              <w:marTop w:val="240"/>
                              <w:marBottom w:val="240"/>
                              <w:divBdr>
                                <w:top w:val="none" w:sz="0" w:space="0" w:color="auto"/>
                                <w:left w:val="none" w:sz="0" w:space="0" w:color="auto"/>
                                <w:bottom w:val="none" w:sz="0" w:space="0" w:color="auto"/>
                                <w:right w:val="none" w:sz="0" w:space="0" w:color="auto"/>
                              </w:divBdr>
                              <w:divsChild>
                                <w:div w:id="1698316720">
                                  <w:marLeft w:val="0"/>
                                  <w:marRight w:val="0"/>
                                  <w:marTop w:val="0"/>
                                  <w:marBottom w:val="0"/>
                                  <w:divBdr>
                                    <w:top w:val="none" w:sz="0" w:space="0" w:color="auto"/>
                                    <w:left w:val="none" w:sz="0" w:space="0" w:color="auto"/>
                                    <w:bottom w:val="none" w:sz="0" w:space="0" w:color="auto"/>
                                    <w:right w:val="none" w:sz="0" w:space="0" w:color="auto"/>
                                  </w:divBdr>
                                  <w:divsChild>
                                    <w:div w:id="118478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175792">
      <w:bodyDiv w:val="1"/>
      <w:marLeft w:val="0"/>
      <w:marRight w:val="0"/>
      <w:marTop w:val="0"/>
      <w:marBottom w:val="0"/>
      <w:divBdr>
        <w:top w:val="none" w:sz="0" w:space="0" w:color="auto"/>
        <w:left w:val="none" w:sz="0" w:space="0" w:color="auto"/>
        <w:bottom w:val="none" w:sz="0" w:space="0" w:color="auto"/>
        <w:right w:val="none" w:sz="0" w:space="0" w:color="auto"/>
      </w:divBdr>
    </w:div>
    <w:div w:id="472677181">
      <w:bodyDiv w:val="1"/>
      <w:marLeft w:val="0"/>
      <w:marRight w:val="0"/>
      <w:marTop w:val="0"/>
      <w:marBottom w:val="0"/>
      <w:divBdr>
        <w:top w:val="none" w:sz="0" w:space="0" w:color="auto"/>
        <w:left w:val="none" w:sz="0" w:space="0" w:color="auto"/>
        <w:bottom w:val="none" w:sz="0" w:space="0" w:color="auto"/>
        <w:right w:val="none" w:sz="0" w:space="0" w:color="auto"/>
      </w:divBdr>
    </w:div>
    <w:div w:id="476343431">
      <w:bodyDiv w:val="1"/>
      <w:marLeft w:val="0"/>
      <w:marRight w:val="0"/>
      <w:marTop w:val="0"/>
      <w:marBottom w:val="0"/>
      <w:divBdr>
        <w:top w:val="none" w:sz="0" w:space="0" w:color="auto"/>
        <w:left w:val="none" w:sz="0" w:space="0" w:color="auto"/>
        <w:bottom w:val="none" w:sz="0" w:space="0" w:color="auto"/>
        <w:right w:val="none" w:sz="0" w:space="0" w:color="auto"/>
      </w:divBdr>
    </w:div>
    <w:div w:id="493304384">
      <w:bodyDiv w:val="1"/>
      <w:marLeft w:val="0"/>
      <w:marRight w:val="0"/>
      <w:marTop w:val="0"/>
      <w:marBottom w:val="0"/>
      <w:divBdr>
        <w:top w:val="none" w:sz="0" w:space="0" w:color="auto"/>
        <w:left w:val="none" w:sz="0" w:space="0" w:color="auto"/>
        <w:bottom w:val="none" w:sz="0" w:space="0" w:color="auto"/>
        <w:right w:val="none" w:sz="0" w:space="0" w:color="auto"/>
      </w:divBdr>
    </w:div>
    <w:div w:id="501819517">
      <w:bodyDiv w:val="1"/>
      <w:marLeft w:val="0"/>
      <w:marRight w:val="0"/>
      <w:marTop w:val="0"/>
      <w:marBottom w:val="0"/>
      <w:divBdr>
        <w:top w:val="none" w:sz="0" w:space="0" w:color="auto"/>
        <w:left w:val="none" w:sz="0" w:space="0" w:color="auto"/>
        <w:bottom w:val="none" w:sz="0" w:space="0" w:color="auto"/>
        <w:right w:val="none" w:sz="0" w:space="0" w:color="auto"/>
      </w:divBdr>
    </w:div>
    <w:div w:id="503016764">
      <w:bodyDiv w:val="1"/>
      <w:marLeft w:val="0"/>
      <w:marRight w:val="0"/>
      <w:marTop w:val="0"/>
      <w:marBottom w:val="0"/>
      <w:divBdr>
        <w:top w:val="none" w:sz="0" w:space="0" w:color="auto"/>
        <w:left w:val="none" w:sz="0" w:space="0" w:color="auto"/>
        <w:bottom w:val="none" w:sz="0" w:space="0" w:color="auto"/>
        <w:right w:val="none" w:sz="0" w:space="0" w:color="auto"/>
      </w:divBdr>
    </w:div>
    <w:div w:id="509682525">
      <w:bodyDiv w:val="1"/>
      <w:marLeft w:val="0"/>
      <w:marRight w:val="0"/>
      <w:marTop w:val="0"/>
      <w:marBottom w:val="0"/>
      <w:divBdr>
        <w:top w:val="none" w:sz="0" w:space="0" w:color="auto"/>
        <w:left w:val="none" w:sz="0" w:space="0" w:color="auto"/>
        <w:bottom w:val="none" w:sz="0" w:space="0" w:color="auto"/>
        <w:right w:val="none" w:sz="0" w:space="0" w:color="auto"/>
      </w:divBdr>
    </w:div>
    <w:div w:id="510678138">
      <w:bodyDiv w:val="1"/>
      <w:marLeft w:val="0"/>
      <w:marRight w:val="0"/>
      <w:marTop w:val="0"/>
      <w:marBottom w:val="0"/>
      <w:divBdr>
        <w:top w:val="none" w:sz="0" w:space="0" w:color="auto"/>
        <w:left w:val="none" w:sz="0" w:space="0" w:color="auto"/>
        <w:bottom w:val="none" w:sz="0" w:space="0" w:color="auto"/>
        <w:right w:val="none" w:sz="0" w:space="0" w:color="auto"/>
      </w:divBdr>
    </w:div>
    <w:div w:id="523329785">
      <w:bodyDiv w:val="1"/>
      <w:marLeft w:val="0"/>
      <w:marRight w:val="0"/>
      <w:marTop w:val="0"/>
      <w:marBottom w:val="0"/>
      <w:divBdr>
        <w:top w:val="none" w:sz="0" w:space="0" w:color="auto"/>
        <w:left w:val="none" w:sz="0" w:space="0" w:color="auto"/>
        <w:bottom w:val="none" w:sz="0" w:space="0" w:color="auto"/>
        <w:right w:val="none" w:sz="0" w:space="0" w:color="auto"/>
      </w:divBdr>
    </w:div>
    <w:div w:id="526329896">
      <w:bodyDiv w:val="1"/>
      <w:marLeft w:val="0"/>
      <w:marRight w:val="0"/>
      <w:marTop w:val="0"/>
      <w:marBottom w:val="0"/>
      <w:divBdr>
        <w:top w:val="none" w:sz="0" w:space="0" w:color="auto"/>
        <w:left w:val="none" w:sz="0" w:space="0" w:color="auto"/>
        <w:bottom w:val="none" w:sz="0" w:space="0" w:color="auto"/>
        <w:right w:val="none" w:sz="0" w:space="0" w:color="auto"/>
      </w:divBdr>
    </w:div>
    <w:div w:id="531842742">
      <w:bodyDiv w:val="1"/>
      <w:marLeft w:val="0"/>
      <w:marRight w:val="0"/>
      <w:marTop w:val="0"/>
      <w:marBottom w:val="0"/>
      <w:divBdr>
        <w:top w:val="none" w:sz="0" w:space="0" w:color="auto"/>
        <w:left w:val="none" w:sz="0" w:space="0" w:color="auto"/>
        <w:bottom w:val="none" w:sz="0" w:space="0" w:color="auto"/>
        <w:right w:val="none" w:sz="0" w:space="0" w:color="auto"/>
      </w:divBdr>
    </w:div>
    <w:div w:id="551619749">
      <w:bodyDiv w:val="1"/>
      <w:marLeft w:val="0"/>
      <w:marRight w:val="0"/>
      <w:marTop w:val="0"/>
      <w:marBottom w:val="0"/>
      <w:divBdr>
        <w:top w:val="none" w:sz="0" w:space="0" w:color="auto"/>
        <w:left w:val="none" w:sz="0" w:space="0" w:color="auto"/>
        <w:bottom w:val="none" w:sz="0" w:space="0" w:color="auto"/>
        <w:right w:val="none" w:sz="0" w:space="0" w:color="auto"/>
      </w:divBdr>
    </w:div>
    <w:div w:id="552890451">
      <w:bodyDiv w:val="1"/>
      <w:marLeft w:val="0"/>
      <w:marRight w:val="0"/>
      <w:marTop w:val="0"/>
      <w:marBottom w:val="0"/>
      <w:divBdr>
        <w:top w:val="none" w:sz="0" w:space="0" w:color="auto"/>
        <w:left w:val="none" w:sz="0" w:space="0" w:color="auto"/>
        <w:bottom w:val="none" w:sz="0" w:space="0" w:color="auto"/>
        <w:right w:val="none" w:sz="0" w:space="0" w:color="auto"/>
      </w:divBdr>
    </w:div>
    <w:div w:id="555817538">
      <w:bodyDiv w:val="1"/>
      <w:marLeft w:val="0"/>
      <w:marRight w:val="0"/>
      <w:marTop w:val="0"/>
      <w:marBottom w:val="0"/>
      <w:divBdr>
        <w:top w:val="none" w:sz="0" w:space="0" w:color="auto"/>
        <w:left w:val="none" w:sz="0" w:space="0" w:color="auto"/>
        <w:bottom w:val="none" w:sz="0" w:space="0" w:color="auto"/>
        <w:right w:val="none" w:sz="0" w:space="0" w:color="auto"/>
      </w:divBdr>
      <w:divsChild>
        <w:div w:id="2025015936">
          <w:marLeft w:val="547"/>
          <w:marRight w:val="0"/>
          <w:marTop w:val="106"/>
          <w:marBottom w:val="0"/>
          <w:divBdr>
            <w:top w:val="none" w:sz="0" w:space="0" w:color="auto"/>
            <w:left w:val="none" w:sz="0" w:space="0" w:color="auto"/>
            <w:bottom w:val="none" w:sz="0" w:space="0" w:color="auto"/>
            <w:right w:val="none" w:sz="0" w:space="0" w:color="auto"/>
          </w:divBdr>
        </w:div>
      </w:divsChild>
    </w:div>
    <w:div w:id="560138429">
      <w:bodyDiv w:val="1"/>
      <w:marLeft w:val="0"/>
      <w:marRight w:val="0"/>
      <w:marTop w:val="0"/>
      <w:marBottom w:val="0"/>
      <w:divBdr>
        <w:top w:val="none" w:sz="0" w:space="0" w:color="auto"/>
        <w:left w:val="none" w:sz="0" w:space="0" w:color="auto"/>
        <w:bottom w:val="none" w:sz="0" w:space="0" w:color="auto"/>
        <w:right w:val="none" w:sz="0" w:space="0" w:color="auto"/>
      </w:divBdr>
      <w:divsChild>
        <w:div w:id="23334804">
          <w:marLeft w:val="0"/>
          <w:marRight w:val="0"/>
          <w:marTop w:val="0"/>
          <w:marBottom w:val="0"/>
          <w:divBdr>
            <w:top w:val="none" w:sz="0" w:space="0" w:color="auto"/>
            <w:left w:val="none" w:sz="0" w:space="0" w:color="auto"/>
            <w:bottom w:val="none" w:sz="0" w:space="0" w:color="auto"/>
            <w:right w:val="none" w:sz="0" w:space="0" w:color="auto"/>
          </w:divBdr>
          <w:divsChild>
            <w:div w:id="160631819">
              <w:marLeft w:val="0"/>
              <w:marRight w:val="0"/>
              <w:marTop w:val="0"/>
              <w:marBottom w:val="0"/>
              <w:divBdr>
                <w:top w:val="none" w:sz="0" w:space="0" w:color="auto"/>
                <w:left w:val="none" w:sz="0" w:space="0" w:color="auto"/>
                <w:bottom w:val="none" w:sz="0" w:space="0" w:color="auto"/>
                <w:right w:val="none" w:sz="0" w:space="0" w:color="auto"/>
              </w:divBdr>
              <w:divsChild>
                <w:div w:id="1605848166">
                  <w:marLeft w:val="0"/>
                  <w:marRight w:val="0"/>
                  <w:marTop w:val="0"/>
                  <w:marBottom w:val="0"/>
                  <w:divBdr>
                    <w:top w:val="none" w:sz="0" w:space="0" w:color="auto"/>
                    <w:left w:val="none" w:sz="0" w:space="0" w:color="auto"/>
                    <w:bottom w:val="none" w:sz="0" w:space="0" w:color="auto"/>
                    <w:right w:val="none" w:sz="0" w:space="0" w:color="auto"/>
                  </w:divBdr>
                  <w:divsChild>
                    <w:div w:id="1549755078">
                      <w:marLeft w:val="0"/>
                      <w:marRight w:val="0"/>
                      <w:marTop w:val="0"/>
                      <w:marBottom w:val="0"/>
                      <w:divBdr>
                        <w:top w:val="none" w:sz="0" w:space="0" w:color="auto"/>
                        <w:left w:val="none" w:sz="0" w:space="0" w:color="auto"/>
                        <w:bottom w:val="none" w:sz="0" w:space="0" w:color="auto"/>
                        <w:right w:val="none" w:sz="0" w:space="0" w:color="auto"/>
                      </w:divBdr>
                      <w:divsChild>
                        <w:div w:id="626860614">
                          <w:marLeft w:val="0"/>
                          <w:marRight w:val="0"/>
                          <w:marTop w:val="0"/>
                          <w:marBottom w:val="0"/>
                          <w:divBdr>
                            <w:top w:val="none" w:sz="0" w:space="0" w:color="auto"/>
                            <w:left w:val="none" w:sz="0" w:space="0" w:color="auto"/>
                            <w:bottom w:val="none" w:sz="0" w:space="0" w:color="auto"/>
                            <w:right w:val="none" w:sz="0" w:space="0" w:color="auto"/>
                          </w:divBdr>
                          <w:divsChild>
                            <w:div w:id="137918376">
                              <w:marLeft w:val="0"/>
                              <w:marRight w:val="0"/>
                              <w:marTop w:val="240"/>
                              <w:marBottom w:val="240"/>
                              <w:divBdr>
                                <w:top w:val="none" w:sz="0" w:space="0" w:color="auto"/>
                                <w:left w:val="none" w:sz="0" w:space="0" w:color="auto"/>
                                <w:bottom w:val="none" w:sz="0" w:space="0" w:color="auto"/>
                                <w:right w:val="none" w:sz="0" w:space="0" w:color="auto"/>
                              </w:divBdr>
                              <w:divsChild>
                                <w:div w:id="1061368649">
                                  <w:marLeft w:val="0"/>
                                  <w:marRight w:val="0"/>
                                  <w:marTop w:val="0"/>
                                  <w:marBottom w:val="0"/>
                                  <w:divBdr>
                                    <w:top w:val="none" w:sz="0" w:space="0" w:color="auto"/>
                                    <w:left w:val="none" w:sz="0" w:space="0" w:color="auto"/>
                                    <w:bottom w:val="none" w:sz="0" w:space="0" w:color="auto"/>
                                    <w:right w:val="none" w:sz="0" w:space="0" w:color="auto"/>
                                  </w:divBdr>
                                  <w:divsChild>
                                    <w:div w:id="47942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350623">
      <w:bodyDiv w:val="1"/>
      <w:marLeft w:val="0"/>
      <w:marRight w:val="0"/>
      <w:marTop w:val="0"/>
      <w:marBottom w:val="0"/>
      <w:divBdr>
        <w:top w:val="none" w:sz="0" w:space="0" w:color="auto"/>
        <w:left w:val="none" w:sz="0" w:space="0" w:color="auto"/>
        <w:bottom w:val="none" w:sz="0" w:space="0" w:color="auto"/>
        <w:right w:val="none" w:sz="0" w:space="0" w:color="auto"/>
      </w:divBdr>
    </w:div>
    <w:div w:id="589772552">
      <w:bodyDiv w:val="1"/>
      <w:marLeft w:val="0"/>
      <w:marRight w:val="0"/>
      <w:marTop w:val="0"/>
      <w:marBottom w:val="0"/>
      <w:divBdr>
        <w:top w:val="none" w:sz="0" w:space="0" w:color="auto"/>
        <w:left w:val="none" w:sz="0" w:space="0" w:color="auto"/>
        <w:bottom w:val="none" w:sz="0" w:space="0" w:color="auto"/>
        <w:right w:val="none" w:sz="0" w:space="0" w:color="auto"/>
      </w:divBdr>
    </w:div>
    <w:div w:id="609237195">
      <w:bodyDiv w:val="1"/>
      <w:marLeft w:val="0"/>
      <w:marRight w:val="0"/>
      <w:marTop w:val="0"/>
      <w:marBottom w:val="0"/>
      <w:divBdr>
        <w:top w:val="none" w:sz="0" w:space="0" w:color="auto"/>
        <w:left w:val="none" w:sz="0" w:space="0" w:color="auto"/>
        <w:bottom w:val="none" w:sz="0" w:space="0" w:color="auto"/>
        <w:right w:val="none" w:sz="0" w:space="0" w:color="auto"/>
      </w:divBdr>
      <w:divsChild>
        <w:div w:id="476069516">
          <w:marLeft w:val="0"/>
          <w:marRight w:val="0"/>
          <w:marTop w:val="0"/>
          <w:marBottom w:val="0"/>
          <w:divBdr>
            <w:top w:val="none" w:sz="0" w:space="0" w:color="auto"/>
            <w:left w:val="none" w:sz="0" w:space="0" w:color="auto"/>
            <w:bottom w:val="none" w:sz="0" w:space="0" w:color="auto"/>
            <w:right w:val="none" w:sz="0" w:space="0" w:color="auto"/>
          </w:divBdr>
        </w:div>
      </w:divsChild>
    </w:div>
    <w:div w:id="623849266">
      <w:bodyDiv w:val="1"/>
      <w:marLeft w:val="0"/>
      <w:marRight w:val="0"/>
      <w:marTop w:val="0"/>
      <w:marBottom w:val="0"/>
      <w:divBdr>
        <w:top w:val="none" w:sz="0" w:space="0" w:color="auto"/>
        <w:left w:val="none" w:sz="0" w:space="0" w:color="auto"/>
        <w:bottom w:val="none" w:sz="0" w:space="0" w:color="auto"/>
        <w:right w:val="none" w:sz="0" w:space="0" w:color="auto"/>
      </w:divBdr>
    </w:div>
    <w:div w:id="643198588">
      <w:bodyDiv w:val="1"/>
      <w:marLeft w:val="0"/>
      <w:marRight w:val="0"/>
      <w:marTop w:val="0"/>
      <w:marBottom w:val="0"/>
      <w:divBdr>
        <w:top w:val="none" w:sz="0" w:space="0" w:color="auto"/>
        <w:left w:val="none" w:sz="0" w:space="0" w:color="auto"/>
        <w:bottom w:val="none" w:sz="0" w:space="0" w:color="auto"/>
        <w:right w:val="none" w:sz="0" w:space="0" w:color="auto"/>
      </w:divBdr>
      <w:divsChild>
        <w:div w:id="1344284315">
          <w:marLeft w:val="0"/>
          <w:marRight w:val="0"/>
          <w:marTop w:val="0"/>
          <w:marBottom w:val="0"/>
          <w:divBdr>
            <w:top w:val="none" w:sz="0" w:space="0" w:color="auto"/>
            <w:left w:val="none" w:sz="0" w:space="0" w:color="auto"/>
            <w:bottom w:val="none" w:sz="0" w:space="0" w:color="auto"/>
            <w:right w:val="none" w:sz="0" w:space="0" w:color="auto"/>
          </w:divBdr>
          <w:divsChild>
            <w:div w:id="1311982105">
              <w:marLeft w:val="0"/>
              <w:marRight w:val="0"/>
              <w:marTop w:val="0"/>
              <w:marBottom w:val="0"/>
              <w:divBdr>
                <w:top w:val="none" w:sz="0" w:space="0" w:color="auto"/>
                <w:left w:val="none" w:sz="0" w:space="0" w:color="auto"/>
                <w:bottom w:val="none" w:sz="0" w:space="0" w:color="auto"/>
                <w:right w:val="none" w:sz="0" w:space="0" w:color="auto"/>
              </w:divBdr>
              <w:divsChild>
                <w:div w:id="1780490031">
                  <w:marLeft w:val="0"/>
                  <w:marRight w:val="0"/>
                  <w:marTop w:val="0"/>
                  <w:marBottom w:val="0"/>
                  <w:divBdr>
                    <w:top w:val="none" w:sz="0" w:space="0" w:color="auto"/>
                    <w:left w:val="none" w:sz="0" w:space="0" w:color="auto"/>
                    <w:bottom w:val="none" w:sz="0" w:space="0" w:color="auto"/>
                    <w:right w:val="none" w:sz="0" w:space="0" w:color="auto"/>
                  </w:divBdr>
                  <w:divsChild>
                    <w:div w:id="528109493">
                      <w:marLeft w:val="0"/>
                      <w:marRight w:val="0"/>
                      <w:marTop w:val="0"/>
                      <w:marBottom w:val="0"/>
                      <w:divBdr>
                        <w:top w:val="none" w:sz="0" w:space="0" w:color="auto"/>
                        <w:left w:val="none" w:sz="0" w:space="0" w:color="auto"/>
                        <w:bottom w:val="none" w:sz="0" w:space="0" w:color="auto"/>
                        <w:right w:val="none" w:sz="0" w:space="0" w:color="auto"/>
                      </w:divBdr>
                      <w:divsChild>
                        <w:div w:id="2025281343">
                          <w:marLeft w:val="0"/>
                          <w:marRight w:val="0"/>
                          <w:marTop w:val="0"/>
                          <w:marBottom w:val="0"/>
                          <w:divBdr>
                            <w:top w:val="none" w:sz="0" w:space="0" w:color="auto"/>
                            <w:left w:val="none" w:sz="0" w:space="0" w:color="auto"/>
                            <w:bottom w:val="none" w:sz="0" w:space="0" w:color="auto"/>
                            <w:right w:val="none" w:sz="0" w:space="0" w:color="auto"/>
                          </w:divBdr>
                          <w:divsChild>
                            <w:div w:id="94276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605453">
      <w:bodyDiv w:val="1"/>
      <w:marLeft w:val="0"/>
      <w:marRight w:val="0"/>
      <w:marTop w:val="0"/>
      <w:marBottom w:val="0"/>
      <w:divBdr>
        <w:top w:val="none" w:sz="0" w:space="0" w:color="auto"/>
        <w:left w:val="none" w:sz="0" w:space="0" w:color="auto"/>
        <w:bottom w:val="none" w:sz="0" w:space="0" w:color="auto"/>
        <w:right w:val="none" w:sz="0" w:space="0" w:color="auto"/>
      </w:divBdr>
    </w:div>
    <w:div w:id="690449948">
      <w:bodyDiv w:val="1"/>
      <w:marLeft w:val="0"/>
      <w:marRight w:val="0"/>
      <w:marTop w:val="0"/>
      <w:marBottom w:val="0"/>
      <w:divBdr>
        <w:top w:val="none" w:sz="0" w:space="0" w:color="auto"/>
        <w:left w:val="none" w:sz="0" w:space="0" w:color="auto"/>
        <w:bottom w:val="none" w:sz="0" w:space="0" w:color="auto"/>
        <w:right w:val="none" w:sz="0" w:space="0" w:color="auto"/>
      </w:divBdr>
    </w:div>
    <w:div w:id="696590336">
      <w:bodyDiv w:val="1"/>
      <w:marLeft w:val="0"/>
      <w:marRight w:val="0"/>
      <w:marTop w:val="0"/>
      <w:marBottom w:val="0"/>
      <w:divBdr>
        <w:top w:val="none" w:sz="0" w:space="0" w:color="auto"/>
        <w:left w:val="none" w:sz="0" w:space="0" w:color="auto"/>
        <w:bottom w:val="none" w:sz="0" w:space="0" w:color="auto"/>
        <w:right w:val="none" w:sz="0" w:space="0" w:color="auto"/>
      </w:divBdr>
    </w:div>
    <w:div w:id="698362979">
      <w:bodyDiv w:val="1"/>
      <w:marLeft w:val="0"/>
      <w:marRight w:val="0"/>
      <w:marTop w:val="0"/>
      <w:marBottom w:val="0"/>
      <w:divBdr>
        <w:top w:val="none" w:sz="0" w:space="0" w:color="auto"/>
        <w:left w:val="none" w:sz="0" w:space="0" w:color="auto"/>
        <w:bottom w:val="none" w:sz="0" w:space="0" w:color="auto"/>
        <w:right w:val="none" w:sz="0" w:space="0" w:color="auto"/>
      </w:divBdr>
    </w:div>
    <w:div w:id="699822407">
      <w:bodyDiv w:val="1"/>
      <w:marLeft w:val="0"/>
      <w:marRight w:val="0"/>
      <w:marTop w:val="0"/>
      <w:marBottom w:val="0"/>
      <w:divBdr>
        <w:top w:val="none" w:sz="0" w:space="0" w:color="auto"/>
        <w:left w:val="none" w:sz="0" w:space="0" w:color="auto"/>
        <w:bottom w:val="none" w:sz="0" w:space="0" w:color="auto"/>
        <w:right w:val="none" w:sz="0" w:space="0" w:color="auto"/>
      </w:divBdr>
    </w:div>
    <w:div w:id="706491635">
      <w:bodyDiv w:val="1"/>
      <w:marLeft w:val="0"/>
      <w:marRight w:val="0"/>
      <w:marTop w:val="0"/>
      <w:marBottom w:val="0"/>
      <w:divBdr>
        <w:top w:val="none" w:sz="0" w:space="0" w:color="auto"/>
        <w:left w:val="none" w:sz="0" w:space="0" w:color="auto"/>
        <w:bottom w:val="none" w:sz="0" w:space="0" w:color="auto"/>
        <w:right w:val="none" w:sz="0" w:space="0" w:color="auto"/>
      </w:divBdr>
    </w:div>
    <w:div w:id="725950050">
      <w:bodyDiv w:val="1"/>
      <w:marLeft w:val="0"/>
      <w:marRight w:val="0"/>
      <w:marTop w:val="0"/>
      <w:marBottom w:val="0"/>
      <w:divBdr>
        <w:top w:val="none" w:sz="0" w:space="0" w:color="auto"/>
        <w:left w:val="none" w:sz="0" w:space="0" w:color="auto"/>
        <w:bottom w:val="none" w:sz="0" w:space="0" w:color="auto"/>
        <w:right w:val="none" w:sz="0" w:space="0" w:color="auto"/>
      </w:divBdr>
    </w:div>
    <w:div w:id="747114497">
      <w:bodyDiv w:val="1"/>
      <w:marLeft w:val="0"/>
      <w:marRight w:val="0"/>
      <w:marTop w:val="0"/>
      <w:marBottom w:val="0"/>
      <w:divBdr>
        <w:top w:val="none" w:sz="0" w:space="0" w:color="auto"/>
        <w:left w:val="none" w:sz="0" w:space="0" w:color="auto"/>
        <w:bottom w:val="none" w:sz="0" w:space="0" w:color="auto"/>
        <w:right w:val="none" w:sz="0" w:space="0" w:color="auto"/>
      </w:divBdr>
    </w:div>
    <w:div w:id="751661930">
      <w:bodyDiv w:val="1"/>
      <w:marLeft w:val="0"/>
      <w:marRight w:val="0"/>
      <w:marTop w:val="0"/>
      <w:marBottom w:val="0"/>
      <w:divBdr>
        <w:top w:val="none" w:sz="0" w:space="0" w:color="auto"/>
        <w:left w:val="none" w:sz="0" w:space="0" w:color="auto"/>
        <w:bottom w:val="none" w:sz="0" w:space="0" w:color="auto"/>
        <w:right w:val="none" w:sz="0" w:space="0" w:color="auto"/>
      </w:divBdr>
    </w:div>
    <w:div w:id="779908823">
      <w:bodyDiv w:val="1"/>
      <w:marLeft w:val="0"/>
      <w:marRight w:val="0"/>
      <w:marTop w:val="0"/>
      <w:marBottom w:val="0"/>
      <w:divBdr>
        <w:top w:val="none" w:sz="0" w:space="0" w:color="auto"/>
        <w:left w:val="none" w:sz="0" w:space="0" w:color="auto"/>
        <w:bottom w:val="none" w:sz="0" w:space="0" w:color="auto"/>
        <w:right w:val="none" w:sz="0" w:space="0" w:color="auto"/>
      </w:divBdr>
    </w:div>
    <w:div w:id="788471766">
      <w:bodyDiv w:val="1"/>
      <w:marLeft w:val="0"/>
      <w:marRight w:val="0"/>
      <w:marTop w:val="0"/>
      <w:marBottom w:val="0"/>
      <w:divBdr>
        <w:top w:val="none" w:sz="0" w:space="0" w:color="auto"/>
        <w:left w:val="none" w:sz="0" w:space="0" w:color="auto"/>
        <w:bottom w:val="none" w:sz="0" w:space="0" w:color="auto"/>
        <w:right w:val="none" w:sz="0" w:space="0" w:color="auto"/>
      </w:divBdr>
    </w:div>
    <w:div w:id="818575875">
      <w:bodyDiv w:val="1"/>
      <w:marLeft w:val="0"/>
      <w:marRight w:val="0"/>
      <w:marTop w:val="0"/>
      <w:marBottom w:val="0"/>
      <w:divBdr>
        <w:top w:val="none" w:sz="0" w:space="0" w:color="auto"/>
        <w:left w:val="none" w:sz="0" w:space="0" w:color="auto"/>
        <w:bottom w:val="none" w:sz="0" w:space="0" w:color="auto"/>
        <w:right w:val="none" w:sz="0" w:space="0" w:color="auto"/>
      </w:divBdr>
    </w:div>
    <w:div w:id="821385914">
      <w:bodyDiv w:val="1"/>
      <w:marLeft w:val="0"/>
      <w:marRight w:val="0"/>
      <w:marTop w:val="0"/>
      <w:marBottom w:val="0"/>
      <w:divBdr>
        <w:top w:val="none" w:sz="0" w:space="0" w:color="auto"/>
        <w:left w:val="none" w:sz="0" w:space="0" w:color="auto"/>
        <w:bottom w:val="none" w:sz="0" w:space="0" w:color="auto"/>
        <w:right w:val="none" w:sz="0" w:space="0" w:color="auto"/>
      </w:divBdr>
    </w:div>
    <w:div w:id="831094678">
      <w:bodyDiv w:val="1"/>
      <w:marLeft w:val="0"/>
      <w:marRight w:val="0"/>
      <w:marTop w:val="0"/>
      <w:marBottom w:val="0"/>
      <w:divBdr>
        <w:top w:val="none" w:sz="0" w:space="0" w:color="auto"/>
        <w:left w:val="none" w:sz="0" w:space="0" w:color="auto"/>
        <w:bottom w:val="none" w:sz="0" w:space="0" w:color="auto"/>
        <w:right w:val="none" w:sz="0" w:space="0" w:color="auto"/>
      </w:divBdr>
    </w:div>
    <w:div w:id="836266317">
      <w:bodyDiv w:val="1"/>
      <w:marLeft w:val="0"/>
      <w:marRight w:val="0"/>
      <w:marTop w:val="0"/>
      <w:marBottom w:val="0"/>
      <w:divBdr>
        <w:top w:val="none" w:sz="0" w:space="0" w:color="auto"/>
        <w:left w:val="none" w:sz="0" w:space="0" w:color="auto"/>
        <w:bottom w:val="none" w:sz="0" w:space="0" w:color="auto"/>
        <w:right w:val="none" w:sz="0" w:space="0" w:color="auto"/>
      </w:divBdr>
    </w:div>
    <w:div w:id="839733900">
      <w:bodyDiv w:val="1"/>
      <w:marLeft w:val="0"/>
      <w:marRight w:val="0"/>
      <w:marTop w:val="0"/>
      <w:marBottom w:val="0"/>
      <w:divBdr>
        <w:top w:val="none" w:sz="0" w:space="0" w:color="auto"/>
        <w:left w:val="none" w:sz="0" w:space="0" w:color="auto"/>
        <w:bottom w:val="none" w:sz="0" w:space="0" w:color="auto"/>
        <w:right w:val="none" w:sz="0" w:space="0" w:color="auto"/>
      </w:divBdr>
    </w:div>
    <w:div w:id="839853746">
      <w:bodyDiv w:val="1"/>
      <w:marLeft w:val="0"/>
      <w:marRight w:val="0"/>
      <w:marTop w:val="0"/>
      <w:marBottom w:val="0"/>
      <w:divBdr>
        <w:top w:val="none" w:sz="0" w:space="0" w:color="auto"/>
        <w:left w:val="none" w:sz="0" w:space="0" w:color="auto"/>
        <w:bottom w:val="none" w:sz="0" w:space="0" w:color="auto"/>
        <w:right w:val="none" w:sz="0" w:space="0" w:color="auto"/>
      </w:divBdr>
    </w:div>
    <w:div w:id="851724591">
      <w:bodyDiv w:val="1"/>
      <w:marLeft w:val="0"/>
      <w:marRight w:val="0"/>
      <w:marTop w:val="0"/>
      <w:marBottom w:val="0"/>
      <w:divBdr>
        <w:top w:val="none" w:sz="0" w:space="0" w:color="auto"/>
        <w:left w:val="none" w:sz="0" w:space="0" w:color="auto"/>
        <w:bottom w:val="none" w:sz="0" w:space="0" w:color="auto"/>
        <w:right w:val="none" w:sz="0" w:space="0" w:color="auto"/>
      </w:divBdr>
      <w:divsChild>
        <w:div w:id="312679757">
          <w:marLeft w:val="0"/>
          <w:marRight w:val="0"/>
          <w:marTop w:val="0"/>
          <w:marBottom w:val="0"/>
          <w:divBdr>
            <w:top w:val="none" w:sz="0" w:space="0" w:color="auto"/>
            <w:left w:val="none" w:sz="0" w:space="0" w:color="auto"/>
            <w:bottom w:val="none" w:sz="0" w:space="0" w:color="auto"/>
            <w:right w:val="none" w:sz="0" w:space="0" w:color="auto"/>
          </w:divBdr>
          <w:divsChild>
            <w:div w:id="717978490">
              <w:marLeft w:val="0"/>
              <w:marRight w:val="0"/>
              <w:marTop w:val="0"/>
              <w:marBottom w:val="0"/>
              <w:divBdr>
                <w:top w:val="none" w:sz="0" w:space="0" w:color="auto"/>
                <w:left w:val="none" w:sz="0" w:space="0" w:color="auto"/>
                <w:bottom w:val="none" w:sz="0" w:space="0" w:color="auto"/>
                <w:right w:val="none" w:sz="0" w:space="0" w:color="auto"/>
              </w:divBdr>
              <w:divsChild>
                <w:div w:id="1826122590">
                  <w:marLeft w:val="0"/>
                  <w:marRight w:val="0"/>
                  <w:marTop w:val="0"/>
                  <w:marBottom w:val="0"/>
                  <w:divBdr>
                    <w:top w:val="none" w:sz="0" w:space="0" w:color="auto"/>
                    <w:left w:val="none" w:sz="0" w:space="0" w:color="auto"/>
                    <w:bottom w:val="none" w:sz="0" w:space="0" w:color="auto"/>
                    <w:right w:val="none" w:sz="0" w:space="0" w:color="auto"/>
                  </w:divBdr>
                  <w:divsChild>
                    <w:div w:id="1109740509">
                      <w:marLeft w:val="0"/>
                      <w:marRight w:val="0"/>
                      <w:marTop w:val="0"/>
                      <w:marBottom w:val="0"/>
                      <w:divBdr>
                        <w:top w:val="none" w:sz="0" w:space="0" w:color="auto"/>
                        <w:left w:val="none" w:sz="0" w:space="0" w:color="auto"/>
                        <w:bottom w:val="none" w:sz="0" w:space="0" w:color="auto"/>
                        <w:right w:val="none" w:sz="0" w:space="0" w:color="auto"/>
                      </w:divBdr>
                      <w:divsChild>
                        <w:div w:id="1756121839">
                          <w:marLeft w:val="0"/>
                          <w:marRight w:val="0"/>
                          <w:marTop w:val="0"/>
                          <w:marBottom w:val="0"/>
                          <w:divBdr>
                            <w:top w:val="none" w:sz="0" w:space="0" w:color="auto"/>
                            <w:left w:val="none" w:sz="0" w:space="0" w:color="auto"/>
                            <w:bottom w:val="none" w:sz="0" w:space="0" w:color="auto"/>
                            <w:right w:val="none" w:sz="0" w:space="0" w:color="auto"/>
                          </w:divBdr>
                          <w:divsChild>
                            <w:div w:id="21281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469269">
      <w:bodyDiv w:val="1"/>
      <w:marLeft w:val="0"/>
      <w:marRight w:val="0"/>
      <w:marTop w:val="0"/>
      <w:marBottom w:val="0"/>
      <w:divBdr>
        <w:top w:val="none" w:sz="0" w:space="0" w:color="auto"/>
        <w:left w:val="none" w:sz="0" w:space="0" w:color="auto"/>
        <w:bottom w:val="none" w:sz="0" w:space="0" w:color="auto"/>
        <w:right w:val="none" w:sz="0" w:space="0" w:color="auto"/>
      </w:divBdr>
    </w:div>
    <w:div w:id="859009490">
      <w:bodyDiv w:val="1"/>
      <w:marLeft w:val="0"/>
      <w:marRight w:val="0"/>
      <w:marTop w:val="0"/>
      <w:marBottom w:val="0"/>
      <w:divBdr>
        <w:top w:val="none" w:sz="0" w:space="0" w:color="auto"/>
        <w:left w:val="none" w:sz="0" w:space="0" w:color="auto"/>
        <w:bottom w:val="none" w:sz="0" w:space="0" w:color="auto"/>
        <w:right w:val="none" w:sz="0" w:space="0" w:color="auto"/>
      </w:divBdr>
    </w:div>
    <w:div w:id="859197366">
      <w:bodyDiv w:val="1"/>
      <w:marLeft w:val="0"/>
      <w:marRight w:val="0"/>
      <w:marTop w:val="0"/>
      <w:marBottom w:val="0"/>
      <w:divBdr>
        <w:top w:val="none" w:sz="0" w:space="0" w:color="auto"/>
        <w:left w:val="none" w:sz="0" w:space="0" w:color="auto"/>
        <w:bottom w:val="none" w:sz="0" w:space="0" w:color="auto"/>
        <w:right w:val="none" w:sz="0" w:space="0" w:color="auto"/>
      </w:divBdr>
    </w:div>
    <w:div w:id="867137614">
      <w:bodyDiv w:val="1"/>
      <w:marLeft w:val="0"/>
      <w:marRight w:val="0"/>
      <w:marTop w:val="0"/>
      <w:marBottom w:val="0"/>
      <w:divBdr>
        <w:top w:val="none" w:sz="0" w:space="0" w:color="auto"/>
        <w:left w:val="none" w:sz="0" w:space="0" w:color="auto"/>
        <w:bottom w:val="none" w:sz="0" w:space="0" w:color="auto"/>
        <w:right w:val="none" w:sz="0" w:space="0" w:color="auto"/>
      </w:divBdr>
    </w:div>
    <w:div w:id="892737917">
      <w:bodyDiv w:val="1"/>
      <w:marLeft w:val="0"/>
      <w:marRight w:val="0"/>
      <w:marTop w:val="0"/>
      <w:marBottom w:val="0"/>
      <w:divBdr>
        <w:top w:val="none" w:sz="0" w:space="0" w:color="auto"/>
        <w:left w:val="none" w:sz="0" w:space="0" w:color="auto"/>
        <w:bottom w:val="none" w:sz="0" w:space="0" w:color="auto"/>
        <w:right w:val="none" w:sz="0" w:space="0" w:color="auto"/>
      </w:divBdr>
    </w:div>
    <w:div w:id="896013412">
      <w:bodyDiv w:val="1"/>
      <w:marLeft w:val="0"/>
      <w:marRight w:val="0"/>
      <w:marTop w:val="0"/>
      <w:marBottom w:val="0"/>
      <w:divBdr>
        <w:top w:val="none" w:sz="0" w:space="0" w:color="auto"/>
        <w:left w:val="none" w:sz="0" w:space="0" w:color="auto"/>
        <w:bottom w:val="none" w:sz="0" w:space="0" w:color="auto"/>
        <w:right w:val="none" w:sz="0" w:space="0" w:color="auto"/>
      </w:divBdr>
    </w:div>
    <w:div w:id="920868973">
      <w:bodyDiv w:val="1"/>
      <w:marLeft w:val="0"/>
      <w:marRight w:val="0"/>
      <w:marTop w:val="0"/>
      <w:marBottom w:val="0"/>
      <w:divBdr>
        <w:top w:val="none" w:sz="0" w:space="0" w:color="auto"/>
        <w:left w:val="none" w:sz="0" w:space="0" w:color="auto"/>
        <w:bottom w:val="none" w:sz="0" w:space="0" w:color="auto"/>
        <w:right w:val="none" w:sz="0" w:space="0" w:color="auto"/>
      </w:divBdr>
    </w:div>
    <w:div w:id="925460587">
      <w:bodyDiv w:val="1"/>
      <w:marLeft w:val="0"/>
      <w:marRight w:val="0"/>
      <w:marTop w:val="0"/>
      <w:marBottom w:val="0"/>
      <w:divBdr>
        <w:top w:val="none" w:sz="0" w:space="0" w:color="auto"/>
        <w:left w:val="none" w:sz="0" w:space="0" w:color="auto"/>
        <w:bottom w:val="none" w:sz="0" w:space="0" w:color="auto"/>
        <w:right w:val="none" w:sz="0" w:space="0" w:color="auto"/>
      </w:divBdr>
    </w:div>
    <w:div w:id="927466503">
      <w:bodyDiv w:val="1"/>
      <w:marLeft w:val="0"/>
      <w:marRight w:val="0"/>
      <w:marTop w:val="0"/>
      <w:marBottom w:val="0"/>
      <w:divBdr>
        <w:top w:val="none" w:sz="0" w:space="0" w:color="auto"/>
        <w:left w:val="none" w:sz="0" w:space="0" w:color="auto"/>
        <w:bottom w:val="none" w:sz="0" w:space="0" w:color="auto"/>
        <w:right w:val="none" w:sz="0" w:space="0" w:color="auto"/>
      </w:divBdr>
      <w:divsChild>
        <w:div w:id="272173552">
          <w:marLeft w:val="547"/>
          <w:marRight w:val="0"/>
          <w:marTop w:val="0"/>
          <w:marBottom w:val="0"/>
          <w:divBdr>
            <w:top w:val="none" w:sz="0" w:space="0" w:color="auto"/>
            <w:left w:val="none" w:sz="0" w:space="0" w:color="auto"/>
            <w:bottom w:val="none" w:sz="0" w:space="0" w:color="auto"/>
            <w:right w:val="none" w:sz="0" w:space="0" w:color="auto"/>
          </w:divBdr>
        </w:div>
      </w:divsChild>
    </w:div>
    <w:div w:id="944926316">
      <w:bodyDiv w:val="1"/>
      <w:marLeft w:val="0"/>
      <w:marRight w:val="0"/>
      <w:marTop w:val="0"/>
      <w:marBottom w:val="0"/>
      <w:divBdr>
        <w:top w:val="none" w:sz="0" w:space="0" w:color="auto"/>
        <w:left w:val="none" w:sz="0" w:space="0" w:color="auto"/>
        <w:bottom w:val="none" w:sz="0" w:space="0" w:color="auto"/>
        <w:right w:val="none" w:sz="0" w:space="0" w:color="auto"/>
      </w:divBdr>
    </w:div>
    <w:div w:id="956985200">
      <w:bodyDiv w:val="1"/>
      <w:marLeft w:val="0"/>
      <w:marRight w:val="0"/>
      <w:marTop w:val="0"/>
      <w:marBottom w:val="0"/>
      <w:divBdr>
        <w:top w:val="none" w:sz="0" w:space="0" w:color="auto"/>
        <w:left w:val="none" w:sz="0" w:space="0" w:color="auto"/>
        <w:bottom w:val="none" w:sz="0" w:space="0" w:color="auto"/>
        <w:right w:val="none" w:sz="0" w:space="0" w:color="auto"/>
      </w:divBdr>
    </w:div>
    <w:div w:id="960458165">
      <w:bodyDiv w:val="1"/>
      <w:marLeft w:val="0"/>
      <w:marRight w:val="0"/>
      <w:marTop w:val="0"/>
      <w:marBottom w:val="0"/>
      <w:divBdr>
        <w:top w:val="none" w:sz="0" w:space="0" w:color="auto"/>
        <w:left w:val="none" w:sz="0" w:space="0" w:color="auto"/>
        <w:bottom w:val="none" w:sz="0" w:space="0" w:color="auto"/>
        <w:right w:val="none" w:sz="0" w:space="0" w:color="auto"/>
      </w:divBdr>
    </w:div>
    <w:div w:id="968701796">
      <w:bodyDiv w:val="1"/>
      <w:marLeft w:val="0"/>
      <w:marRight w:val="0"/>
      <w:marTop w:val="0"/>
      <w:marBottom w:val="0"/>
      <w:divBdr>
        <w:top w:val="none" w:sz="0" w:space="0" w:color="auto"/>
        <w:left w:val="none" w:sz="0" w:space="0" w:color="auto"/>
        <w:bottom w:val="none" w:sz="0" w:space="0" w:color="auto"/>
        <w:right w:val="none" w:sz="0" w:space="0" w:color="auto"/>
      </w:divBdr>
    </w:div>
    <w:div w:id="977540120">
      <w:bodyDiv w:val="1"/>
      <w:marLeft w:val="0"/>
      <w:marRight w:val="0"/>
      <w:marTop w:val="0"/>
      <w:marBottom w:val="0"/>
      <w:divBdr>
        <w:top w:val="none" w:sz="0" w:space="0" w:color="auto"/>
        <w:left w:val="none" w:sz="0" w:space="0" w:color="auto"/>
        <w:bottom w:val="none" w:sz="0" w:space="0" w:color="auto"/>
        <w:right w:val="none" w:sz="0" w:space="0" w:color="auto"/>
      </w:divBdr>
    </w:div>
    <w:div w:id="979192575">
      <w:bodyDiv w:val="1"/>
      <w:marLeft w:val="0"/>
      <w:marRight w:val="0"/>
      <w:marTop w:val="0"/>
      <w:marBottom w:val="0"/>
      <w:divBdr>
        <w:top w:val="none" w:sz="0" w:space="0" w:color="auto"/>
        <w:left w:val="none" w:sz="0" w:space="0" w:color="auto"/>
        <w:bottom w:val="none" w:sz="0" w:space="0" w:color="auto"/>
        <w:right w:val="none" w:sz="0" w:space="0" w:color="auto"/>
      </w:divBdr>
    </w:div>
    <w:div w:id="986202215">
      <w:bodyDiv w:val="1"/>
      <w:marLeft w:val="0"/>
      <w:marRight w:val="0"/>
      <w:marTop w:val="0"/>
      <w:marBottom w:val="0"/>
      <w:divBdr>
        <w:top w:val="none" w:sz="0" w:space="0" w:color="auto"/>
        <w:left w:val="none" w:sz="0" w:space="0" w:color="auto"/>
        <w:bottom w:val="none" w:sz="0" w:space="0" w:color="auto"/>
        <w:right w:val="none" w:sz="0" w:space="0" w:color="auto"/>
      </w:divBdr>
    </w:div>
    <w:div w:id="988170674">
      <w:bodyDiv w:val="1"/>
      <w:marLeft w:val="0"/>
      <w:marRight w:val="0"/>
      <w:marTop w:val="0"/>
      <w:marBottom w:val="0"/>
      <w:divBdr>
        <w:top w:val="none" w:sz="0" w:space="0" w:color="auto"/>
        <w:left w:val="none" w:sz="0" w:space="0" w:color="auto"/>
        <w:bottom w:val="none" w:sz="0" w:space="0" w:color="auto"/>
        <w:right w:val="none" w:sz="0" w:space="0" w:color="auto"/>
      </w:divBdr>
    </w:div>
    <w:div w:id="994915625">
      <w:bodyDiv w:val="1"/>
      <w:marLeft w:val="0"/>
      <w:marRight w:val="0"/>
      <w:marTop w:val="0"/>
      <w:marBottom w:val="0"/>
      <w:divBdr>
        <w:top w:val="none" w:sz="0" w:space="0" w:color="auto"/>
        <w:left w:val="none" w:sz="0" w:space="0" w:color="auto"/>
        <w:bottom w:val="none" w:sz="0" w:space="0" w:color="auto"/>
        <w:right w:val="none" w:sz="0" w:space="0" w:color="auto"/>
      </w:divBdr>
    </w:div>
    <w:div w:id="996030415">
      <w:bodyDiv w:val="1"/>
      <w:marLeft w:val="0"/>
      <w:marRight w:val="0"/>
      <w:marTop w:val="0"/>
      <w:marBottom w:val="0"/>
      <w:divBdr>
        <w:top w:val="none" w:sz="0" w:space="0" w:color="auto"/>
        <w:left w:val="none" w:sz="0" w:space="0" w:color="auto"/>
        <w:bottom w:val="none" w:sz="0" w:space="0" w:color="auto"/>
        <w:right w:val="none" w:sz="0" w:space="0" w:color="auto"/>
      </w:divBdr>
    </w:div>
    <w:div w:id="1009258733">
      <w:bodyDiv w:val="1"/>
      <w:marLeft w:val="0"/>
      <w:marRight w:val="0"/>
      <w:marTop w:val="0"/>
      <w:marBottom w:val="0"/>
      <w:divBdr>
        <w:top w:val="none" w:sz="0" w:space="0" w:color="auto"/>
        <w:left w:val="none" w:sz="0" w:space="0" w:color="auto"/>
        <w:bottom w:val="none" w:sz="0" w:space="0" w:color="auto"/>
        <w:right w:val="none" w:sz="0" w:space="0" w:color="auto"/>
      </w:divBdr>
      <w:divsChild>
        <w:div w:id="1466700232">
          <w:marLeft w:val="0"/>
          <w:marRight w:val="0"/>
          <w:marTop w:val="0"/>
          <w:marBottom w:val="0"/>
          <w:divBdr>
            <w:top w:val="none" w:sz="0" w:space="0" w:color="auto"/>
            <w:left w:val="none" w:sz="0" w:space="0" w:color="auto"/>
            <w:bottom w:val="none" w:sz="0" w:space="0" w:color="auto"/>
            <w:right w:val="none" w:sz="0" w:space="0" w:color="auto"/>
          </w:divBdr>
          <w:divsChild>
            <w:div w:id="1964455245">
              <w:marLeft w:val="0"/>
              <w:marRight w:val="0"/>
              <w:marTop w:val="0"/>
              <w:marBottom w:val="0"/>
              <w:divBdr>
                <w:top w:val="none" w:sz="0" w:space="0" w:color="auto"/>
                <w:left w:val="none" w:sz="0" w:space="0" w:color="auto"/>
                <w:bottom w:val="none" w:sz="0" w:space="0" w:color="auto"/>
                <w:right w:val="none" w:sz="0" w:space="0" w:color="auto"/>
              </w:divBdr>
              <w:divsChild>
                <w:div w:id="1977567243">
                  <w:marLeft w:val="0"/>
                  <w:marRight w:val="0"/>
                  <w:marTop w:val="0"/>
                  <w:marBottom w:val="0"/>
                  <w:divBdr>
                    <w:top w:val="none" w:sz="0" w:space="0" w:color="auto"/>
                    <w:left w:val="none" w:sz="0" w:space="0" w:color="auto"/>
                    <w:bottom w:val="none" w:sz="0" w:space="0" w:color="auto"/>
                    <w:right w:val="none" w:sz="0" w:space="0" w:color="auto"/>
                  </w:divBdr>
                  <w:divsChild>
                    <w:div w:id="1703742528">
                      <w:marLeft w:val="0"/>
                      <w:marRight w:val="0"/>
                      <w:marTop w:val="0"/>
                      <w:marBottom w:val="0"/>
                      <w:divBdr>
                        <w:top w:val="none" w:sz="0" w:space="0" w:color="auto"/>
                        <w:left w:val="none" w:sz="0" w:space="0" w:color="auto"/>
                        <w:bottom w:val="none" w:sz="0" w:space="0" w:color="auto"/>
                        <w:right w:val="none" w:sz="0" w:space="0" w:color="auto"/>
                      </w:divBdr>
                      <w:divsChild>
                        <w:div w:id="328287560">
                          <w:marLeft w:val="0"/>
                          <w:marRight w:val="0"/>
                          <w:marTop w:val="0"/>
                          <w:marBottom w:val="0"/>
                          <w:divBdr>
                            <w:top w:val="none" w:sz="0" w:space="0" w:color="auto"/>
                            <w:left w:val="none" w:sz="0" w:space="0" w:color="auto"/>
                            <w:bottom w:val="none" w:sz="0" w:space="0" w:color="auto"/>
                            <w:right w:val="none" w:sz="0" w:space="0" w:color="auto"/>
                          </w:divBdr>
                          <w:divsChild>
                            <w:div w:id="1356736111">
                              <w:marLeft w:val="0"/>
                              <w:marRight w:val="0"/>
                              <w:marTop w:val="0"/>
                              <w:marBottom w:val="0"/>
                              <w:divBdr>
                                <w:top w:val="none" w:sz="0" w:space="0" w:color="auto"/>
                                <w:left w:val="none" w:sz="0" w:space="0" w:color="auto"/>
                                <w:bottom w:val="none" w:sz="0" w:space="0" w:color="auto"/>
                                <w:right w:val="none" w:sz="0" w:space="0" w:color="auto"/>
                              </w:divBdr>
                              <w:divsChild>
                                <w:div w:id="207886697">
                                  <w:marLeft w:val="0"/>
                                  <w:marRight w:val="0"/>
                                  <w:marTop w:val="0"/>
                                  <w:marBottom w:val="0"/>
                                  <w:divBdr>
                                    <w:top w:val="none" w:sz="0" w:space="0" w:color="auto"/>
                                    <w:left w:val="none" w:sz="0" w:space="0" w:color="auto"/>
                                    <w:bottom w:val="none" w:sz="0" w:space="0" w:color="auto"/>
                                    <w:right w:val="none" w:sz="0" w:space="0" w:color="auto"/>
                                  </w:divBdr>
                                  <w:divsChild>
                                    <w:div w:id="1333534002">
                                      <w:marLeft w:val="0"/>
                                      <w:marRight w:val="0"/>
                                      <w:marTop w:val="0"/>
                                      <w:marBottom w:val="0"/>
                                      <w:divBdr>
                                        <w:top w:val="none" w:sz="0" w:space="0" w:color="auto"/>
                                        <w:left w:val="none" w:sz="0" w:space="0" w:color="auto"/>
                                        <w:bottom w:val="none" w:sz="0" w:space="0" w:color="auto"/>
                                        <w:right w:val="none" w:sz="0" w:space="0" w:color="auto"/>
                                      </w:divBdr>
                                      <w:divsChild>
                                        <w:div w:id="858928107">
                                          <w:marLeft w:val="0"/>
                                          <w:marRight w:val="0"/>
                                          <w:marTop w:val="0"/>
                                          <w:marBottom w:val="0"/>
                                          <w:divBdr>
                                            <w:top w:val="none" w:sz="0" w:space="0" w:color="auto"/>
                                            <w:left w:val="none" w:sz="0" w:space="0" w:color="auto"/>
                                            <w:bottom w:val="none" w:sz="0" w:space="0" w:color="auto"/>
                                            <w:right w:val="none" w:sz="0" w:space="0" w:color="auto"/>
                                          </w:divBdr>
                                          <w:divsChild>
                                            <w:div w:id="37554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833544">
      <w:bodyDiv w:val="1"/>
      <w:marLeft w:val="0"/>
      <w:marRight w:val="0"/>
      <w:marTop w:val="0"/>
      <w:marBottom w:val="0"/>
      <w:divBdr>
        <w:top w:val="none" w:sz="0" w:space="0" w:color="auto"/>
        <w:left w:val="none" w:sz="0" w:space="0" w:color="auto"/>
        <w:bottom w:val="none" w:sz="0" w:space="0" w:color="auto"/>
        <w:right w:val="none" w:sz="0" w:space="0" w:color="auto"/>
      </w:divBdr>
    </w:div>
    <w:div w:id="1014453842">
      <w:bodyDiv w:val="1"/>
      <w:marLeft w:val="0"/>
      <w:marRight w:val="0"/>
      <w:marTop w:val="0"/>
      <w:marBottom w:val="0"/>
      <w:divBdr>
        <w:top w:val="none" w:sz="0" w:space="0" w:color="auto"/>
        <w:left w:val="none" w:sz="0" w:space="0" w:color="auto"/>
        <w:bottom w:val="none" w:sz="0" w:space="0" w:color="auto"/>
        <w:right w:val="none" w:sz="0" w:space="0" w:color="auto"/>
      </w:divBdr>
    </w:div>
    <w:div w:id="1026756261">
      <w:bodyDiv w:val="1"/>
      <w:marLeft w:val="0"/>
      <w:marRight w:val="0"/>
      <w:marTop w:val="0"/>
      <w:marBottom w:val="0"/>
      <w:divBdr>
        <w:top w:val="none" w:sz="0" w:space="0" w:color="auto"/>
        <w:left w:val="none" w:sz="0" w:space="0" w:color="auto"/>
        <w:bottom w:val="none" w:sz="0" w:space="0" w:color="auto"/>
        <w:right w:val="none" w:sz="0" w:space="0" w:color="auto"/>
      </w:divBdr>
    </w:div>
    <w:div w:id="1028026106">
      <w:bodyDiv w:val="1"/>
      <w:marLeft w:val="0"/>
      <w:marRight w:val="0"/>
      <w:marTop w:val="0"/>
      <w:marBottom w:val="0"/>
      <w:divBdr>
        <w:top w:val="none" w:sz="0" w:space="0" w:color="auto"/>
        <w:left w:val="none" w:sz="0" w:space="0" w:color="auto"/>
        <w:bottom w:val="none" w:sz="0" w:space="0" w:color="auto"/>
        <w:right w:val="none" w:sz="0" w:space="0" w:color="auto"/>
      </w:divBdr>
    </w:div>
    <w:div w:id="1052922654">
      <w:bodyDiv w:val="1"/>
      <w:marLeft w:val="0"/>
      <w:marRight w:val="0"/>
      <w:marTop w:val="0"/>
      <w:marBottom w:val="0"/>
      <w:divBdr>
        <w:top w:val="none" w:sz="0" w:space="0" w:color="auto"/>
        <w:left w:val="none" w:sz="0" w:space="0" w:color="auto"/>
        <w:bottom w:val="none" w:sz="0" w:space="0" w:color="auto"/>
        <w:right w:val="none" w:sz="0" w:space="0" w:color="auto"/>
      </w:divBdr>
    </w:div>
    <w:div w:id="1056663469">
      <w:bodyDiv w:val="1"/>
      <w:marLeft w:val="0"/>
      <w:marRight w:val="0"/>
      <w:marTop w:val="0"/>
      <w:marBottom w:val="0"/>
      <w:divBdr>
        <w:top w:val="none" w:sz="0" w:space="0" w:color="auto"/>
        <w:left w:val="none" w:sz="0" w:space="0" w:color="auto"/>
        <w:bottom w:val="none" w:sz="0" w:space="0" w:color="auto"/>
        <w:right w:val="none" w:sz="0" w:space="0" w:color="auto"/>
      </w:divBdr>
    </w:div>
    <w:div w:id="1057825193">
      <w:bodyDiv w:val="1"/>
      <w:marLeft w:val="0"/>
      <w:marRight w:val="0"/>
      <w:marTop w:val="0"/>
      <w:marBottom w:val="0"/>
      <w:divBdr>
        <w:top w:val="none" w:sz="0" w:space="0" w:color="auto"/>
        <w:left w:val="none" w:sz="0" w:space="0" w:color="auto"/>
        <w:bottom w:val="none" w:sz="0" w:space="0" w:color="auto"/>
        <w:right w:val="none" w:sz="0" w:space="0" w:color="auto"/>
      </w:divBdr>
    </w:div>
    <w:div w:id="1092119737">
      <w:bodyDiv w:val="1"/>
      <w:marLeft w:val="0"/>
      <w:marRight w:val="0"/>
      <w:marTop w:val="0"/>
      <w:marBottom w:val="0"/>
      <w:divBdr>
        <w:top w:val="none" w:sz="0" w:space="0" w:color="auto"/>
        <w:left w:val="none" w:sz="0" w:space="0" w:color="auto"/>
        <w:bottom w:val="none" w:sz="0" w:space="0" w:color="auto"/>
        <w:right w:val="none" w:sz="0" w:space="0" w:color="auto"/>
      </w:divBdr>
    </w:div>
    <w:div w:id="1093818639">
      <w:bodyDiv w:val="1"/>
      <w:marLeft w:val="0"/>
      <w:marRight w:val="0"/>
      <w:marTop w:val="0"/>
      <w:marBottom w:val="0"/>
      <w:divBdr>
        <w:top w:val="none" w:sz="0" w:space="0" w:color="auto"/>
        <w:left w:val="none" w:sz="0" w:space="0" w:color="auto"/>
        <w:bottom w:val="none" w:sz="0" w:space="0" w:color="auto"/>
        <w:right w:val="none" w:sz="0" w:space="0" w:color="auto"/>
      </w:divBdr>
    </w:div>
    <w:div w:id="1096362701">
      <w:bodyDiv w:val="1"/>
      <w:marLeft w:val="0"/>
      <w:marRight w:val="0"/>
      <w:marTop w:val="0"/>
      <w:marBottom w:val="0"/>
      <w:divBdr>
        <w:top w:val="none" w:sz="0" w:space="0" w:color="auto"/>
        <w:left w:val="none" w:sz="0" w:space="0" w:color="auto"/>
        <w:bottom w:val="none" w:sz="0" w:space="0" w:color="auto"/>
        <w:right w:val="none" w:sz="0" w:space="0" w:color="auto"/>
      </w:divBdr>
    </w:div>
    <w:div w:id="1097942593">
      <w:bodyDiv w:val="1"/>
      <w:marLeft w:val="0"/>
      <w:marRight w:val="0"/>
      <w:marTop w:val="0"/>
      <w:marBottom w:val="0"/>
      <w:divBdr>
        <w:top w:val="none" w:sz="0" w:space="0" w:color="auto"/>
        <w:left w:val="none" w:sz="0" w:space="0" w:color="auto"/>
        <w:bottom w:val="none" w:sz="0" w:space="0" w:color="auto"/>
        <w:right w:val="none" w:sz="0" w:space="0" w:color="auto"/>
      </w:divBdr>
    </w:div>
    <w:div w:id="1110393641">
      <w:bodyDiv w:val="1"/>
      <w:marLeft w:val="0"/>
      <w:marRight w:val="0"/>
      <w:marTop w:val="0"/>
      <w:marBottom w:val="0"/>
      <w:divBdr>
        <w:top w:val="none" w:sz="0" w:space="0" w:color="auto"/>
        <w:left w:val="none" w:sz="0" w:space="0" w:color="auto"/>
        <w:bottom w:val="none" w:sz="0" w:space="0" w:color="auto"/>
        <w:right w:val="none" w:sz="0" w:space="0" w:color="auto"/>
      </w:divBdr>
    </w:div>
    <w:div w:id="1113750056">
      <w:bodyDiv w:val="1"/>
      <w:marLeft w:val="0"/>
      <w:marRight w:val="0"/>
      <w:marTop w:val="0"/>
      <w:marBottom w:val="0"/>
      <w:divBdr>
        <w:top w:val="none" w:sz="0" w:space="0" w:color="auto"/>
        <w:left w:val="none" w:sz="0" w:space="0" w:color="auto"/>
        <w:bottom w:val="none" w:sz="0" w:space="0" w:color="auto"/>
        <w:right w:val="none" w:sz="0" w:space="0" w:color="auto"/>
      </w:divBdr>
      <w:divsChild>
        <w:div w:id="963511191">
          <w:marLeft w:val="0"/>
          <w:marRight w:val="0"/>
          <w:marTop w:val="0"/>
          <w:marBottom w:val="0"/>
          <w:divBdr>
            <w:top w:val="none" w:sz="0" w:space="0" w:color="auto"/>
            <w:left w:val="none" w:sz="0" w:space="0" w:color="auto"/>
            <w:bottom w:val="none" w:sz="0" w:space="0" w:color="auto"/>
            <w:right w:val="none" w:sz="0" w:space="0" w:color="auto"/>
          </w:divBdr>
        </w:div>
      </w:divsChild>
    </w:div>
    <w:div w:id="1114203556">
      <w:bodyDiv w:val="1"/>
      <w:marLeft w:val="0"/>
      <w:marRight w:val="0"/>
      <w:marTop w:val="0"/>
      <w:marBottom w:val="0"/>
      <w:divBdr>
        <w:top w:val="none" w:sz="0" w:space="0" w:color="auto"/>
        <w:left w:val="none" w:sz="0" w:space="0" w:color="auto"/>
        <w:bottom w:val="none" w:sz="0" w:space="0" w:color="auto"/>
        <w:right w:val="none" w:sz="0" w:space="0" w:color="auto"/>
      </w:divBdr>
      <w:divsChild>
        <w:div w:id="190805068">
          <w:marLeft w:val="0"/>
          <w:marRight w:val="0"/>
          <w:marTop w:val="86"/>
          <w:marBottom w:val="0"/>
          <w:divBdr>
            <w:top w:val="none" w:sz="0" w:space="0" w:color="auto"/>
            <w:left w:val="none" w:sz="0" w:space="0" w:color="auto"/>
            <w:bottom w:val="none" w:sz="0" w:space="0" w:color="auto"/>
            <w:right w:val="none" w:sz="0" w:space="0" w:color="auto"/>
          </w:divBdr>
        </w:div>
        <w:div w:id="404113763">
          <w:marLeft w:val="547"/>
          <w:marRight w:val="0"/>
          <w:marTop w:val="86"/>
          <w:marBottom w:val="0"/>
          <w:divBdr>
            <w:top w:val="none" w:sz="0" w:space="0" w:color="auto"/>
            <w:left w:val="none" w:sz="0" w:space="0" w:color="auto"/>
            <w:bottom w:val="none" w:sz="0" w:space="0" w:color="auto"/>
            <w:right w:val="none" w:sz="0" w:space="0" w:color="auto"/>
          </w:divBdr>
        </w:div>
        <w:div w:id="709840413">
          <w:marLeft w:val="547"/>
          <w:marRight w:val="0"/>
          <w:marTop w:val="86"/>
          <w:marBottom w:val="0"/>
          <w:divBdr>
            <w:top w:val="none" w:sz="0" w:space="0" w:color="auto"/>
            <w:left w:val="none" w:sz="0" w:space="0" w:color="auto"/>
            <w:bottom w:val="none" w:sz="0" w:space="0" w:color="auto"/>
            <w:right w:val="none" w:sz="0" w:space="0" w:color="auto"/>
          </w:divBdr>
        </w:div>
        <w:div w:id="846211641">
          <w:marLeft w:val="547"/>
          <w:marRight w:val="0"/>
          <w:marTop w:val="86"/>
          <w:marBottom w:val="0"/>
          <w:divBdr>
            <w:top w:val="none" w:sz="0" w:space="0" w:color="auto"/>
            <w:left w:val="none" w:sz="0" w:space="0" w:color="auto"/>
            <w:bottom w:val="none" w:sz="0" w:space="0" w:color="auto"/>
            <w:right w:val="none" w:sz="0" w:space="0" w:color="auto"/>
          </w:divBdr>
        </w:div>
        <w:div w:id="1325089557">
          <w:marLeft w:val="547"/>
          <w:marRight w:val="0"/>
          <w:marTop w:val="86"/>
          <w:marBottom w:val="0"/>
          <w:divBdr>
            <w:top w:val="none" w:sz="0" w:space="0" w:color="auto"/>
            <w:left w:val="none" w:sz="0" w:space="0" w:color="auto"/>
            <w:bottom w:val="none" w:sz="0" w:space="0" w:color="auto"/>
            <w:right w:val="none" w:sz="0" w:space="0" w:color="auto"/>
          </w:divBdr>
        </w:div>
        <w:div w:id="1447116725">
          <w:marLeft w:val="547"/>
          <w:marRight w:val="0"/>
          <w:marTop w:val="86"/>
          <w:marBottom w:val="0"/>
          <w:divBdr>
            <w:top w:val="none" w:sz="0" w:space="0" w:color="auto"/>
            <w:left w:val="none" w:sz="0" w:space="0" w:color="auto"/>
            <w:bottom w:val="none" w:sz="0" w:space="0" w:color="auto"/>
            <w:right w:val="none" w:sz="0" w:space="0" w:color="auto"/>
          </w:divBdr>
        </w:div>
        <w:div w:id="1516116026">
          <w:marLeft w:val="547"/>
          <w:marRight w:val="0"/>
          <w:marTop w:val="86"/>
          <w:marBottom w:val="0"/>
          <w:divBdr>
            <w:top w:val="none" w:sz="0" w:space="0" w:color="auto"/>
            <w:left w:val="none" w:sz="0" w:space="0" w:color="auto"/>
            <w:bottom w:val="none" w:sz="0" w:space="0" w:color="auto"/>
            <w:right w:val="none" w:sz="0" w:space="0" w:color="auto"/>
          </w:divBdr>
        </w:div>
      </w:divsChild>
    </w:div>
    <w:div w:id="1127360774">
      <w:bodyDiv w:val="1"/>
      <w:marLeft w:val="0"/>
      <w:marRight w:val="0"/>
      <w:marTop w:val="0"/>
      <w:marBottom w:val="0"/>
      <w:divBdr>
        <w:top w:val="none" w:sz="0" w:space="0" w:color="auto"/>
        <w:left w:val="none" w:sz="0" w:space="0" w:color="auto"/>
        <w:bottom w:val="none" w:sz="0" w:space="0" w:color="auto"/>
        <w:right w:val="none" w:sz="0" w:space="0" w:color="auto"/>
      </w:divBdr>
    </w:div>
    <w:div w:id="1134522036">
      <w:bodyDiv w:val="1"/>
      <w:marLeft w:val="0"/>
      <w:marRight w:val="0"/>
      <w:marTop w:val="0"/>
      <w:marBottom w:val="0"/>
      <w:divBdr>
        <w:top w:val="none" w:sz="0" w:space="0" w:color="auto"/>
        <w:left w:val="none" w:sz="0" w:space="0" w:color="auto"/>
        <w:bottom w:val="none" w:sz="0" w:space="0" w:color="auto"/>
        <w:right w:val="none" w:sz="0" w:space="0" w:color="auto"/>
      </w:divBdr>
    </w:div>
    <w:div w:id="1152866733">
      <w:bodyDiv w:val="1"/>
      <w:marLeft w:val="0"/>
      <w:marRight w:val="0"/>
      <w:marTop w:val="0"/>
      <w:marBottom w:val="0"/>
      <w:divBdr>
        <w:top w:val="none" w:sz="0" w:space="0" w:color="auto"/>
        <w:left w:val="none" w:sz="0" w:space="0" w:color="auto"/>
        <w:bottom w:val="none" w:sz="0" w:space="0" w:color="auto"/>
        <w:right w:val="none" w:sz="0" w:space="0" w:color="auto"/>
      </w:divBdr>
    </w:div>
    <w:div w:id="1160581072">
      <w:bodyDiv w:val="1"/>
      <w:marLeft w:val="0"/>
      <w:marRight w:val="0"/>
      <w:marTop w:val="0"/>
      <w:marBottom w:val="0"/>
      <w:divBdr>
        <w:top w:val="none" w:sz="0" w:space="0" w:color="auto"/>
        <w:left w:val="none" w:sz="0" w:space="0" w:color="auto"/>
        <w:bottom w:val="none" w:sz="0" w:space="0" w:color="auto"/>
        <w:right w:val="none" w:sz="0" w:space="0" w:color="auto"/>
      </w:divBdr>
    </w:div>
    <w:div w:id="1161316663">
      <w:bodyDiv w:val="1"/>
      <w:marLeft w:val="0"/>
      <w:marRight w:val="0"/>
      <w:marTop w:val="0"/>
      <w:marBottom w:val="0"/>
      <w:divBdr>
        <w:top w:val="none" w:sz="0" w:space="0" w:color="auto"/>
        <w:left w:val="none" w:sz="0" w:space="0" w:color="auto"/>
        <w:bottom w:val="none" w:sz="0" w:space="0" w:color="auto"/>
        <w:right w:val="none" w:sz="0" w:space="0" w:color="auto"/>
      </w:divBdr>
    </w:div>
    <w:div w:id="1178958122">
      <w:bodyDiv w:val="1"/>
      <w:marLeft w:val="0"/>
      <w:marRight w:val="0"/>
      <w:marTop w:val="0"/>
      <w:marBottom w:val="0"/>
      <w:divBdr>
        <w:top w:val="none" w:sz="0" w:space="0" w:color="auto"/>
        <w:left w:val="none" w:sz="0" w:space="0" w:color="auto"/>
        <w:bottom w:val="none" w:sz="0" w:space="0" w:color="auto"/>
        <w:right w:val="none" w:sz="0" w:space="0" w:color="auto"/>
      </w:divBdr>
    </w:div>
    <w:div w:id="1189291160">
      <w:bodyDiv w:val="1"/>
      <w:marLeft w:val="0"/>
      <w:marRight w:val="0"/>
      <w:marTop w:val="0"/>
      <w:marBottom w:val="0"/>
      <w:divBdr>
        <w:top w:val="none" w:sz="0" w:space="0" w:color="auto"/>
        <w:left w:val="none" w:sz="0" w:space="0" w:color="auto"/>
        <w:bottom w:val="none" w:sz="0" w:space="0" w:color="auto"/>
        <w:right w:val="none" w:sz="0" w:space="0" w:color="auto"/>
      </w:divBdr>
    </w:div>
    <w:div w:id="1191794941">
      <w:bodyDiv w:val="1"/>
      <w:marLeft w:val="0"/>
      <w:marRight w:val="0"/>
      <w:marTop w:val="0"/>
      <w:marBottom w:val="0"/>
      <w:divBdr>
        <w:top w:val="none" w:sz="0" w:space="0" w:color="auto"/>
        <w:left w:val="none" w:sz="0" w:space="0" w:color="auto"/>
        <w:bottom w:val="none" w:sz="0" w:space="0" w:color="auto"/>
        <w:right w:val="none" w:sz="0" w:space="0" w:color="auto"/>
      </w:divBdr>
    </w:div>
    <w:div w:id="1210341413">
      <w:bodyDiv w:val="1"/>
      <w:marLeft w:val="0"/>
      <w:marRight w:val="0"/>
      <w:marTop w:val="0"/>
      <w:marBottom w:val="0"/>
      <w:divBdr>
        <w:top w:val="none" w:sz="0" w:space="0" w:color="auto"/>
        <w:left w:val="none" w:sz="0" w:space="0" w:color="auto"/>
        <w:bottom w:val="none" w:sz="0" w:space="0" w:color="auto"/>
        <w:right w:val="none" w:sz="0" w:space="0" w:color="auto"/>
      </w:divBdr>
      <w:divsChild>
        <w:div w:id="1295254303">
          <w:marLeft w:val="0"/>
          <w:marRight w:val="0"/>
          <w:marTop w:val="0"/>
          <w:marBottom w:val="0"/>
          <w:divBdr>
            <w:top w:val="none" w:sz="0" w:space="0" w:color="auto"/>
            <w:left w:val="none" w:sz="0" w:space="0" w:color="auto"/>
            <w:bottom w:val="none" w:sz="0" w:space="0" w:color="auto"/>
            <w:right w:val="none" w:sz="0" w:space="0" w:color="auto"/>
          </w:divBdr>
          <w:divsChild>
            <w:div w:id="406734301">
              <w:marLeft w:val="0"/>
              <w:marRight w:val="0"/>
              <w:marTop w:val="0"/>
              <w:marBottom w:val="0"/>
              <w:divBdr>
                <w:top w:val="none" w:sz="0" w:space="0" w:color="auto"/>
                <w:left w:val="none" w:sz="0" w:space="0" w:color="auto"/>
                <w:bottom w:val="none" w:sz="0" w:space="0" w:color="auto"/>
                <w:right w:val="none" w:sz="0" w:space="0" w:color="auto"/>
              </w:divBdr>
              <w:divsChild>
                <w:div w:id="1747145517">
                  <w:marLeft w:val="0"/>
                  <w:marRight w:val="0"/>
                  <w:marTop w:val="0"/>
                  <w:marBottom w:val="0"/>
                  <w:divBdr>
                    <w:top w:val="none" w:sz="0" w:space="0" w:color="auto"/>
                    <w:left w:val="none" w:sz="0" w:space="0" w:color="auto"/>
                    <w:bottom w:val="none" w:sz="0" w:space="0" w:color="auto"/>
                    <w:right w:val="none" w:sz="0" w:space="0" w:color="auto"/>
                  </w:divBdr>
                  <w:divsChild>
                    <w:div w:id="27251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12296">
      <w:bodyDiv w:val="1"/>
      <w:marLeft w:val="0"/>
      <w:marRight w:val="0"/>
      <w:marTop w:val="0"/>
      <w:marBottom w:val="0"/>
      <w:divBdr>
        <w:top w:val="none" w:sz="0" w:space="0" w:color="auto"/>
        <w:left w:val="none" w:sz="0" w:space="0" w:color="auto"/>
        <w:bottom w:val="none" w:sz="0" w:space="0" w:color="auto"/>
        <w:right w:val="none" w:sz="0" w:space="0" w:color="auto"/>
      </w:divBdr>
    </w:div>
    <w:div w:id="1221330455">
      <w:bodyDiv w:val="1"/>
      <w:marLeft w:val="0"/>
      <w:marRight w:val="0"/>
      <w:marTop w:val="0"/>
      <w:marBottom w:val="0"/>
      <w:divBdr>
        <w:top w:val="none" w:sz="0" w:space="0" w:color="auto"/>
        <w:left w:val="none" w:sz="0" w:space="0" w:color="auto"/>
        <w:bottom w:val="none" w:sz="0" w:space="0" w:color="auto"/>
        <w:right w:val="none" w:sz="0" w:space="0" w:color="auto"/>
      </w:divBdr>
    </w:div>
    <w:div w:id="1224440328">
      <w:bodyDiv w:val="1"/>
      <w:marLeft w:val="0"/>
      <w:marRight w:val="0"/>
      <w:marTop w:val="0"/>
      <w:marBottom w:val="0"/>
      <w:divBdr>
        <w:top w:val="none" w:sz="0" w:space="0" w:color="auto"/>
        <w:left w:val="none" w:sz="0" w:space="0" w:color="auto"/>
        <w:bottom w:val="none" w:sz="0" w:space="0" w:color="auto"/>
        <w:right w:val="none" w:sz="0" w:space="0" w:color="auto"/>
      </w:divBdr>
    </w:div>
    <w:div w:id="1235555221">
      <w:bodyDiv w:val="1"/>
      <w:marLeft w:val="0"/>
      <w:marRight w:val="0"/>
      <w:marTop w:val="0"/>
      <w:marBottom w:val="0"/>
      <w:divBdr>
        <w:top w:val="none" w:sz="0" w:space="0" w:color="auto"/>
        <w:left w:val="none" w:sz="0" w:space="0" w:color="auto"/>
        <w:bottom w:val="none" w:sz="0" w:space="0" w:color="auto"/>
        <w:right w:val="none" w:sz="0" w:space="0" w:color="auto"/>
      </w:divBdr>
    </w:div>
    <w:div w:id="1253780528">
      <w:bodyDiv w:val="1"/>
      <w:marLeft w:val="0"/>
      <w:marRight w:val="0"/>
      <w:marTop w:val="0"/>
      <w:marBottom w:val="0"/>
      <w:divBdr>
        <w:top w:val="none" w:sz="0" w:space="0" w:color="auto"/>
        <w:left w:val="none" w:sz="0" w:space="0" w:color="auto"/>
        <w:bottom w:val="none" w:sz="0" w:space="0" w:color="auto"/>
        <w:right w:val="none" w:sz="0" w:space="0" w:color="auto"/>
      </w:divBdr>
    </w:div>
    <w:div w:id="1267159318">
      <w:bodyDiv w:val="1"/>
      <w:marLeft w:val="0"/>
      <w:marRight w:val="0"/>
      <w:marTop w:val="0"/>
      <w:marBottom w:val="0"/>
      <w:divBdr>
        <w:top w:val="none" w:sz="0" w:space="0" w:color="auto"/>
        <w:left w:val="none" w:sz="0" w:space="0" w:color="auto"/>
        <w:bottom w:val="none" w:sz="0" w:space="0" w:color="auto"/>
        <w:right w:val="none" w:sz="0" w:space="0" w:color="auto"/>
      </w:divBdr>
      <w:divsChild>
        <w:div w:id="1604803465">
          <w:marLeft w:val="547"/>
          <w:marRight w:val="0"/>
          <w:marTop w:val="0"/>
          <w:marBottom w:val="0"/>
          <w:divBdr>
            <w:top w:val="none" w:sz="0" w:space="0" w:color="auto"/>
            <w:left w:val="none" w:sz="0" w:space="0" w:color="auto"/>
            <w:bottom w:val="none" w:sz="0" w:space="0" w:color="auto"/>
            <w:right w:val="none" w:sz="0" w:space="0" w:color="auto"/>
          </w:divBdr>
        </w:div>
      </w:divsChild>
    </w:div>
    <w:div w:id="1275595708">
      <w:bodyDiv w:val="1"/>
      <w:marLeft w:val="0"/>
      <w:marRight w:val="0"/>
      <w:marTop w:val="0"/>
      <w:marBottom w:val="0"/>
      <w:divBdr>
        <w:top w:val="none" w:sz="0" w:space="0" w:color="auto"/>
        <w:left w:val="none" w:sz="0" w:space="0" w:color="auto"/>
        <w:bottom w:val="none" w:sz="0" w:space="0" w:color="auto"/>
        <w:right w:val="none" w:sz="0" w:space="0" w:color="auto"/>
      </w:divBdr>
      <w:divsChild>
        <w:div w:id="1463494877">
          <w:marLeft w:val="0"/>
          <w:marRight w:val="0"/>
          <w:marTop w:val="0"/>
          <w:marBottom w:val="0"/>
          <w:divBdr>
            <w:top w:val="none" w:sz="0" w:space="0" w:color="auto"/>
            <w:left w:val="none" w:sz="0" w:space="0" w:color="auto"/>
            <w:bottom w:val="none" w:sz="0" w:space="0" w:color="auto"/>
            <w:right w:val="none" w:sz="0" w:space="0" w:color="auto"/>
          </w:divBdr>
          <w:divsChild>
            <w:div w:id="59285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2650">
      <w:bodyDiv w:val="1"/>
      <w:marLeft w:val="0"/>
      <w:marRight w:val="0"/>
      <w:marTop w:val="0"/>
      <w:marBottom w:val="0"/>
      <w:divBdr>
        <w:top w:val="none" w:sz="0" w:space="0" w:color="auto"/>
        <w:left w:val="none" w:sz="0" w:space="0" w:color="auto"/>
        <w:bottom w:val="none" w:sz="0" w:space="0" w:color="auto"/>
        <w:right w:val="none" w:sz="0" w:space="0" w:color="auto"/>
      </w:divBdr>
      <w:divsChild>
        <w:div w:id="1367874667">
          <w:marLeft w:val="0"/>
          <w:marRight w:val="0"/>
          <w:marTop w:val="0"/>
          <w:marBottom w:val="0"/>
          <w:divBdr>
            <w:top w:val="none" w:sz="0" w:space="0" w:color="auto"/>
            <w:left w:val="none" w:sz="0" w:space="0" w:color="auto"/>
            <w:bottom w:val="none" w:sz="0" w:space="0" w:color="auto"/>
            <w:right w:val="none" w:sz="0" w:space="0" w:color="auto"/>
          </w:divBdr>
        </w:div>
      </w:divsChild>
    </w:div>
    <w:div w:id="1278637722">
      <w:bodyDiv w:val="1"/>
      <w:marLeft w:val="0"/>
      <w:marRight w:val="0"/>
      <w:marTop w:val="0"/>
      <w:marBottom w:val="0"/>
      <w:divBdr>
        <w:top w:val="none" w:sz="0" w:space="0" w:color="auto"/>
        <w:left w:val="none" w:sz="0" w:space="0" w:color="auto"/>
        <w:bottom w:val="none" w:sz="0" w:space="0" w:color="auto"/>
        <w:right w:val="none" w:sz="0" w:space="0" w:color="auto"/>
      </w:divBdr>
    </w:div>
    <w:div w:id="1294754229">
      <w:bodyDiv w:val="1"/>
      <w:marLeft w:val="0"/>
      <w:marRight w:val="0"/>
      <w:marTop w:val="0"/>
      <w:marBottom w:val="0"/>
      <w:divBdr>
        <w:top w:val="none" w:sz="0" w:space="0" w:color="auto"/>
        <w:left w:val="none" w:sz="0" w:space="0" w:color="auto"/>
        <w:bottom w:val="none" w:sz="0" w:space="0" w:color="auto"/>
        <w:right w:val="none" w:sz="0" w:space="0" w:color="auto"/>
      </w:divBdr>
    </w:div>
    <w:div w:id="1305817026">
      <w:bodyDiv w:val="1"/>
      <w:marLeft w:val="0"/>
      <w:marRight w:val="0"/>
      <w:marTop w:val="0"/>
      <w:marBottom w:val="0"/>
      <w:divBdr>
        <w:top w:val="none" w:sz="0" w:space="0" w:color="auto"/>
        <w:left w:val="none" w:sz="0" w:space="0" w:color="auto"/>
        <w:bottom w:val="none" w:sz="0" w:space="0" w:color="auto"/>
        <w:right w:val="none" w:sz="0" w:space="0" w:color="auto"/>
      </w:divBdr>
    </w:div>
    <w:div w:id="1307055227">
      <w:bodyDiv w:val="1"/>
      <w:marLeft w:val="0"/>
      <w:marRight w:val="0"/>
      <w:marTop w:val="0"/>
      <w:marBottom w:val="0"/>
      <w:divBdr>
        <w:top w:val="none" w:sz="0" w:space="0" w:color="auto"/>
        <w:left w:val="none" w:sz="0" w:space="0" w:color="auto"/>
        <w:bottom w:val="none" w:sz="0" w:space="0" w:color="auto"/>
        <w:right w:val="none" w:sz="0" w:space="0" w:color="auto"/>
      </w:divBdr>
    </w:div>
    <w:div w:id="1311133477">
      <w:bodyDiv w:val="1"/>
      <w:marLeft w:val="0"/>
      <w:marRight w:val="0"/>
      <w:marTop w:val="0"/>
      <w:marBottom w:val="0"/>
      <w:divBdr>
        <w:top w:val="none" w:sz="0" w:space="0" w:color="auto"/>
        <w:left w:val="none" w:sz="0" w:space="0" w:color="auto"/>
        <w:bottom w:val="none" w:sz="0" w:space="0" w:color="auto"/>
        <w:right w:val="none" w:sz="0" w:space="0" w:color="auto"/>
      </w:divBdr>
    </w:div>
    <w:div w:id="1321814104">
      <w:bodyDiv w:val="1"/>
      <w:marLeft w:val="0"/>
      <w:marRight w:val="0"/>
      <w:marTop w:val="0"/>
      <w:marBottom w:val="0"/>
      <w:divBdr>
        <w:top w:val="none" w:sz="0" w:space="0" w:color="auto"/>
        <w:left w:val="none" w:sz="0" w:space="0" w:color="auto"/>
        <w:bottom w:val="none" w:sz="0" w:space="0" w:color="auto"/>
        <w:right w:val="none" w:sz="0" w:space="0" w:color="auto"/>
      </w:divBdr>
      <w:divsChild>
        <w:div w:id="1610234149">
          <w:marLeft w:val="0"/>
          <w:marRight w:val="0"/>
          <w:marTop w:val="0"/>
          <w:marBottom w:val="0"/>
          <w:divBdr>
            <w:top w:val="none" w:sz="0" w:space="0" w:color="auto"/>
            <w:left w:val="none" w:sz="0" w:space="0" w:color="auto"/>
            <w:bottom w:val="none" w:sz="0" w:space="0" w:color="auto"/>
            <w:right w:val="none" w:sz="0" w:space="0" w:color="auto"/>
          </w:divBdr>
          <w:divsChild>
            <w:div w:id="1418331993">
              <w:marLeft w:val="0"/>
              <w:marRight w:val="0"/>
              <w:marTop w:val="0"/>
              <w:marBottom w:val="0"/>
              <w:divBdr>
                <w:top w:val="none" w:sz="0" w:space="0" w:color="auto"/>
                <w:left w:val="none" w:sz="0" w:space="0" w:color="auto"/>
                <w:bottom w:val="none" w:sz="0" w:space="0" w:color="auto"/>
                <w:right w:val="none" w:sz="0" w:space="0" w:color="auto"/>
              </w:divBdr>
              <w:divsChild>
                <w:div w:id="1921594377">
                  <w:marLeft w:val="0"/>
                  <w:marRight w:val="0"/>
                  <w:marTop w:val="0"/>
                  <w:marBottom w:val="0"/>
                  <w:divBdr>
                    <w:top w:val="none" w:sz="0" w:space="0" w:color="auto"/>
                    <w:left w:val="none" w:sz="0" w:space="0" w:color="auto"/>
                    <w:bottom w:val="none" w:sz="0" w:space="0" w:color="auto"/>
                    <w:right w:val="none" w:sz="0" w:space="0" w:color="auto"/>
                  </w:divBdr>
                  <w:divsChild>
                    <w:div w:id="1541552278">
                      <w:marLeft w:val="0"/>
                      <w:marRight w:val="0"/>
                      <w:marTop w:val="0"/>
                      <w:marBottom w:val="0"/>
                      <w:divBdr>
                        <w:top w:val="none" w:sz="0" w:space="0" w:color="auto"/>
                        <w:left w:val="none" w:sz="0" w:space="0" w:color="auto"/>
                        <w:bottom w:val="none" w:sz="0" w:space="0" w:color="auto"/>
                        <w:right w:val="none" w:sz="0" w:space="0" w:color="auto"/>
                      </w:divBdr>
                      <w:divsChild>
                        <w:div w:id="1427068159">
                          <w:marLeft w:val="0"/>
                          <w:marRight w:val="0"/>
                          <w:marTop w:val="0"/>
                          <w:marBottom w:val="0"/>
                          <w:divBdr>
                            <w:top w:val="none" w:sz="0" w:space="0" w:color="auto"/>
                            <w:left w:val="none" w:sz="0" w:space="0" w:color="auto"/>
                            <w:bottom w:val="none" w:sz="0" w:space="0" w:color="auto"/>
                            <w:right w:val="none" w:sz="0" w:space="0" w:color="auto"/>
                          </w:divBdr>
                          <w:divsChild>
                            <w:div w:id="190490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012575">
      <w:bodyDiv w:val="1"/>
      <w:marLeft w:val="0"/>
      <w:marRight w:val="0"/>
      <w:marTop w:val="0"/>
      <w:marBottom w:val="0"/>
      <w:divBdr>
        <w:top w:val="none" w:sz="0" w:space="0" w:color="auto"/>
        <w:left w:val="none" w:sz="0" w:space="0" w:color="auto"/>
        <w:bottom w:val="none" w:sz="0" w:space="0" w:color="auto"/>
        <w:right w:val="none" w:sz="0" w:space="0" w:color="auto"/>
      </w:divBdr>
    </w:div>
    <w:div w:id="1363629202">
      <w:bodyDiv w:val="1"/>
      <w:marLeft w:val="0"/>
      <w:marRight w:val="0"/>
      <w:marTop w:val="0"/>
      <w:marBottom w:val="0"/>
      <w:divBdr>
        <w:top w:val="none" w:sz="0" w:space="0" w:color="auto"/>
        <w:left w:val="none" w:sz="0" w:space="0" w:color="auto"/>
        <w:bottom w:val="none" w:sz="0" w:space="0" w:color="auto"/>
        <w:right w:val="none" w:sz="0" w:space="0" w:color="auto"/>
      </w:divBdr>
      <w:divsChild>
        <w:div w:id="623803622">
          <w:marLeft w:val="547"/>
          <w:marRight w:val="0"/>
          <w:marTop w:val="86"/>
          <w:marBottom w:val="0"/>
          <w:divBdr>
            <w:top w:val="none" w:sz="0" w:space="0" w:color="auto"/>
            <w:left w:val="none" w:sz="0" w:space="0" w:color="auto"/>
            <w:bottom w:val="none" w:sz="0" w:space="0" w:color="auto"/>
            <w:right w:val="none" w:sz="0" w:space="0" w:color="auto"/>
          </w:divBdr>
        </w:div>
        <w:div w:id="879324818">
          <w:marLeft w:val="547"/>
          <w:marRight w:val="0"/>
          <w:marTop w:val="86"/>
          <w:marBottom w:val="0"/>
          <w:divBdr>
            <w:top w:val="none" w:sz="0" w:space="0" w:color="auto"/>
            <w:left w:val="none" w:sz="0" w:space="0" w:color="auto"/>
            <w:bottom w:val="none" w:sz="0" w:space="0" w:color="auto"/>
            <w:right w:val="none" w:sz="0" w:space="0" w:color="auto"/>
          </w:divBdr>
        </w:div>
        <w:div w:id="1299646242">
          <w:marLeft w:val="547"/>
          <w:marRight w:val="0"/>
          <w:marTop w:val="86"/>
          <w:marBottom w:val="0"/>
          <w:divBdr>
            <w:top w:val="none" w:sz="0" w:space="0" w:color="auto"/>
            <w:left w:val="none" w:sz="0" w:space="0" w:color="auto"/>
            <w:bottom w:val="none" w:sz="0" w:space="0" w:color="auto"/>
            <w:right w:val="none" w:sz="0" w:space="0" w:color="auto"/>
          </w:divBdr>
        </w:div>
        <w:div w:id="1868372589">
          <w:marLeft w:val="547"/>
          <w:marRight w:val="0"/>
          <w:marTop w:val="86"/>
          <w:marBottom w:val="0"/>
          <w:divBdr>
            <w:top w:val="none" w:sz="0" w:space="0" w:color="auto"/>
            <w:left w:val="none" w:sz="0" w:space="0" w:color="auto"/>
            <w:bottom w:val="none" w:sz="0" w:space="0" w:color="auto"/>
            <w:right w:val="none" w:sz="0" w:space="0" w:color="auto"/>
          </w:divBdr>
        </w:div>
        <w:div w:id="2104454113">
          <w:marLeft w:val="547"/>
          <w:marRight w:val="0"/>
          <w:marTop w:val="86"/>
          <w:marBottom w:val="0"/>
          <w:divBdr>
            <w:top w:val="none" w:sz="0" w:space="0" w:color="auto"/>
            <w:left w:val="none" w:sz="0" w:space="0" w:color="auto"/>
            <w:bottom w:val="none" w:sz="0" w:space="0" w:color="auto"/>
            <w:right w:val="none" w:sz="0" w:space="0" w:color="auto"/>
          </w:divBdr>
        </w:div>
      </w:divsChild>
    </w:div>
    <w:div w:id="1388794725">
      <w:bodyDiv w:val="1"/>
      <w:marLeft w:val="0"/>
      <w:marRight w:val="0"/>
      <w:marTop w:val="0"/>
      <w:marBottom w:val="0"/>
      <w:divBdr>
        <w:top w:val="none" w:sz="0" w:space="0" w:color="auto"/>
        <w:left w:val="none" w:sz="0" w:space="0" w:color="auto"/>
        <w:bottom w:val="none" w:sz="0" w:space="0" w:color="auto"/>
        <w:right w:val="none" w:sz="0" w:space="0" w:color="auto"/>
      </w:divBdr>
    </w:div>
    <w:div w:id="1392388656">
      <w:bodyDiv w:val="1"/>
      <w:marLeft w:val="0"/>
      <w:marRight w:val="0"/>
      <w:marTop w:val="0"/>
      <w:marBottom w:val="0"/>
      <w:divBdr>
        <w:top w:val="none" w:sz="0" w:space="0" w:color="auto"/>
        <w:left w:val="none" w:sz="0" w:space="0" w:color="auto"/>
        <w:bottom w:val="none" w:sz="0" w:space="0" w:color="auto"/>
        <w:right w:val="none" w:sz="0" w:space="0" w:color="auto"/>
      </w:divBdr>
    </w:div>
    <w:div w:id="1398212881">
      <w:bodyDiv w:val="1"/>
      <w:marLeft w:val="0"/>
      <w:marRight w:val="0"/>
      <w:marTop w:val="0"/>
      <w:marBottom w:val="0"/>
      <w:divBdr>
        <w:top w:val="none" w:sz="0" w:space="0" w:color="auto"/>
        <w:left w:val="none" w:sz="0" w:space="0" w:color="auto"/>
        <w:bottom w:val="none" w:sz="0" w:space="0" w:color="auto"/>
        <w:right w:val="none" w:sz="0" w:space="0" w:color="auto"/>
      </w:divBdr>
    </w:div>
    <w:div w:id="1409301661">
      <w:bodyDiv w:val="1"/>
      <w:marLeft w:val="0"/>
      <w:marRight w:val="0"/>
      <w:marTop w:val="0"/>
      <w:marBottom w:val="0"/>
      <w:divBdr>
        <w:top w:val="none" w:sz="0" w:space="0" w:color="auto"/>
        <w:left w:val="none" w:sz="0" w:space="0" w:color="auto"/>
        <w:bottom w:val="none" w:sz="0" w:space="0" w:color="auto"/>
        <w:right w:val="none" w:sz="0" w:space="0" w:color="auto"/>
      </w:divBdr>
    </w:div>
    <w:div w:id="1427001352">
      <w:bodyDiv w:val="1"/>
      <w:marLeft w:val="0"/>
      <w:marRight w:val="0"/>
      <w:marTop w:val="0"/>
      <w:marBottom w:val="0"/>
      <w:divBdr>
        <w:top w:val="none" w:sz="0" w:space="0" w:color="auto"/>
        <w:left w:val="none" w:sz="0" w:space="0" w:color="auto"/>
        <w:bottom w:val="none" w:sz="0" w:space="0" w:color="auto"/>
        <w:right w:val="none" w:sz="0" w:space="0" w:color="auto"/>
      </w:divBdr>
    </w:div>
    <w:div w:id="1445539084">
      <w:bodyDiv w:val="1"/>
      <w:marLeft w:val="0"/>
      <w:marRight w:val="0"/>
      <w:marTop w:val="0"/>
      <w:marBottom w:val="0"/>
      <w:divBdr>
        <w:top w:val="none" w:sz="0" w:space="0" w:color="auto"/>
        <w:left w:val="none" w:sz="0" w:space="0" w:color="auto"/>
        <w:bottom w:val="none" w:sz="0" w:space="0" w:color="auto"/>
        <w:right w:val="none" w:sz="0" w:space="0" w:color="auto"/>
      </w:divBdr>
    </w:div>
    <w:div w:id="1446735445">
      <w:bodyDiv w:val="1"/>
      <w:marLeft w:val="0"/>
      <w:marRight w:val="0"/>
      <w:marTop w:val="0"/>
      <w:marBottom w:val="0"/>
      <w:divBdr>
        <w:top w:val="none" w:sz="0" w:space="0" w:color="auto"/>
        <w:left w:val="none" w:sz="0" w:space="0" w:color="auto"/>
        <w:bottom w:val="none" w:sz="0" w:space="0" w:color="auto"/>
        <w:right w:val="none" w:sz="0" w:space="0" w:color="auto"/>
      </w:divBdr>
    </w:div>
    <w:div w:id="1451514516">
      <w:bodyDiv w:val="1"/>
      <w:marLeft w:val="0"/>
      <w:marRight w:val="0"/>
      <w:marTop w:val="0"/>
      <w:marBottom w:val="0"/>
      <w:divBdr>
        <w:top w:val="none" w:sz="0" w:space="0" w:color="auto"/>
        <w:left w:val="none" w:sz="0" w:space="0" w:color="auto"/>
        <w:bottom w:val="none" w:sz="0" w:space="0" w:color="auto"/>
        <w:right w:val="none" w:sz="0" w:space="0" w:color="auto"/>
      </w:divBdr>
    </w:div>
    <w:div w:id="1452019738">
      <w:bodyDiv w:val="1"/>
      <w:marLeft w:val="0"/>
      <w:marRight w:val="0"/>
      <w:marTop w:val="0"/>
      <w:marBottom w:val="0"/>
      <w:divBdr>
        <w:top w:val="none" w:sz="0" w:space="0" w:color="auto"/>
        <w:left w:val="none" w:sz="0" w:space="0" w:color="auto"/>
        <w:bottom w:val="none" w:sz="0" w:space="0" w:color="auto"/>
        <w:right w:val="none" w:sz="0" w:space="0" w:color="auto"/>
      </w:divBdr>
    </w:div>
    <w:div w:id="1462186533">
      <w:bodyDiv w:val="1"/>
      <w:marLeft w:val="0"/>
      <w:marRight w:val="0"/>
      <w:marTop w:val="0"/>
      <w:marBottom w:val="0"/>
      <w:divBdr>
        <w:top w:val="none" w:sz="0" w:space="0" w:color="auto"/>
        <w:left w:val="none" w:sz="0" w:space="0" w:color="auto"/>
        <w:bottom w:val="none" w:sz="0" w:space="0" w:color="auto"/>
        <w:right w:val="none" w:sz="0" w:space="0" w:color="auto"/>
      </w:divBdr>
    </w:div>
    <w:div w:id="1478064172">
      <w:bodyDiv w:val="1"/>
      <w:marLeft w:val="0"/>
      <w:marRight w:val="0"/>
      <w:marTop w:val="0"/>
      <w:marBottom w:val="0"/>
      <w:divBdr>
        <w:top w:val="none" w:sz="0" w:space="0" w:color="auto"/>
        <w:left w:val="none" w:sz="0" w:space="0" w:color="auto"/>
        <w:bottom w:val="none" w:sz="0" w:space="0" w:color="auto"/>
        <w:right w:val="none" w:sz="0" w:space="0" w:color="auto"/>
      </w:divBdr>
    </w:div>
    <w:div w:id="1488086221">
      <w:bodyDiv w:val="1"/>
      <w:marLeft w:val="0"/>
      <w:marRight w:val="0"/>
      <w:marTop w:val="0"/>
      <w:marBottom w:val="0"/>
      <w:divBdr>
        <w:top w:val="none" w:sz="0" w:space="0" w:color="auto"/>
        <w:left w:val="none" w:sz="0" w:space="0" w:color="auto"/>
        <w:bottom w:val="none" w:sz="0" w:space="0" w:color="auto"/>
        <w:right w:val="none" w:sz="0" w:space="0" w:color="auto"/>
      </w:divBdr>
    </w:div>
    <w:div w:id="1502235944">
      <w:bodyDiv w:val="1"/>
      <w:marLeft w:val="0"/>
      <w:marRight w:val="0"/>
      <w:marTop w:val="0"/>
      <w:marBottom w:val="0"/>
      <w:divBdr>
        <w:top w:val="none" w:sz="0" w:space="0" w:color="auto"/>
        <w:left w:val="none" w:sz="0" w:space="0" w:color="auto"/>
        <w:bottom w:val="none" w:sz="0" w:space="0" w:color="auto"/>
        <w:right w:val="none" w:sz="0" w:space="0" w:color="auto"/>
      </w:divBdr>
    </w:div>
    <w:div w:id="1504972770">
      <w:bodyDiv w:val="1"/>
      <w:marLeft w:val="0"/>
      <w:marRight w:val="0"/>
      <w:marTop w:val="0"/>
      <w:marBottom w:val="0"/>
      <w:divBdr>
        <w:top w:val="none" w:sz="0" w:space="0" w:color="auto"/>
        <w:left w:val="none" w:sz="0" w:space="0" w:color="auto"/>
        <w:bottom w:val="none" w:sz="0" w:space="0" w:color="auto"/>
        <w:right w:val="none" w:sz="0" w:space="0" w:color="auto"/>
      </w:divBdr>
    </w:div>
    <w:div w:id="1506358613">
      <w:bodyDiv w:val="1"/>
      <w:marLeft w:val="0"/>
      <w:marRight w:val="0"/>
      <w:marTop w:val="0"/>
      <w:marBottom w:val="0"/>
      <w:divBdr>
        <w:top w:val="none" w:sz="0" w:space="0" w:color="auto"/>
        <w:left w:val="none" w:sz="0" w:space="0" w:color="auto"/>
        <w:bottom w:val="none" w:sz="0" w:space="0" w:color="auto"/>
        <w:right w:val="none" w:sz="0" w:space="0" w:color="auto"/>
      </w:divBdr>
    </w:div>
    <w:div w:id="1517425395">
      <w:bodyDiv w:val="1"/>
      <w:marLeft w:val="0"/>
      <w:marRight w:val="0"/>
      <w:marTop w:val="0"/>
      <w:marBottom w:val="0"/>
      <w:divBdr>
        <w:top w:val="none" w:sz="0" w:space="0" w:color="auto"/>
        <w:left w:val="none" w:sz="0" w:space="0" w:color="auto"/>
        <w:bottom w:val="none" w:sz="0" w:space="0" w:color="auto"/>
        <w:right w:val="none" w:sz="0" w:space="0" w:color="auto"/>
      </w:divBdr>
    </w:div>
    <w:div w:id="1526820908">
      <w:bodyDiv w:val="1"/>
      <w:marLeft w:val="0"/>
      <w:marRight w:val="0"/>
      <w:marTop w:val="0"/>
      <w:marBottom w:val="0"/>
      <w:divBdr>
        <w:top w:val="none" w:sz="0" w:space="0" w:color="auto"/>
        <w:left w:val="none" w:sz="0" w:space="0" w:color="auto"/>
        <w:bottom w:val="none" w:sz="0" w:space="0" w:color="auto"/>
        <w:right w:val="none" w:sz="0" w:space="0" w:color="auto"/>
      </w:divBdr>
    </w:div>
    <w:div w:id="1559245707">
      <w:bodyDiv w:val="1"/>
      <w:marLeft w:val="0"/>
      <w:marRight w:val="0"/>
      <w:marTop w:val="0"/>
      <w:marBottom w:val="0"/>
      <w:divBdr>
        <w:top w:val="none" w:sz="0" w:space="0" w:color="auto"/>
        <w:left w:val="none" w:sz="0" w:space="0" w:color="auto"/>
        <w:bottom w:val="none" w:sz="0" w:space="0" w:color="auto"/>
        <w:right w:val="none" w:sz="0" w:space="0" w:color="auto"/>
      </w:divBdr>
    </w:div>
    <w:div w:id="1565682730">
      <w:bodyDiv w:val="1"/>
      <w:marLeft w:val="0"/>
      <w:marRight w:val="0"/>
      <w:marTop w:val="0"/>
      <w:marBottom w:val="0"/>
      <w:divBdr>
        <w:top w:val="none" w:sz="0" w:space="0" w:color="auto"/>
        <w:left w:val="none" w:sz="0" w:space="0" w:color="auto"/>
        <w:bottom w:val="none" w:sz="0" w:space="0" w:color="auto"/>
        <w:right w:val="none" w:sz="0" w:space="0" w:color="auto"/>
      </w:divBdr>
    </w:div>
    <w:div w:id="1565870212">
      <w:bodyDiv w:val="1"/>
      <w:marLeft w:val="0"/>
      <w:marRight w:val="0"/>
      <w:marTop w:val="0"/>
      <w:marBottom w:val="0"/>
      <w:divBdr>
        <w:top w:val="none" w:sz="0" w:space="0" w:color="auto"/>
        <w:left w:val="none" w:sz="0" w:space="0" w:color="auto"/>
        <w:bottom w:val="none" w:sz="0" w:space="0" w:color="auto"/>
        <w:right w:val="none" w:sz="0" w:space="0" w:color="auto"/>
      </w:divBdr>
      <w:divsChild>
        <w:div w:id="106437641">
          <w:marLeft w:val="0"/>
          <w:marRight w:val="0"/>
          <w:marTop w:val="0"/>
          <w:marBottom w:val="0"/>
          <w:divBdr>
            <w:top w:val="none" w:sz="0" w:space="0" w:color="auto"/>
            <w:left w:val="none" w:sz="0" w:space="0" w:color="auto"/>
            <w:bottom w:val="none" w:sz="0" w:space="0" w:color="auto"/>
            <w:right w:val="none" w:sz="0" w:space="0" w:color="auto"/>
          </w:divBdr>
        </w:div>
        <w:div w:id="148064703">
          <w:marLeft w:val="0"/>
          <w:marRight w:val="0"/>
          <w:marTop w:val="0"/>
          <w:marBottom w:val="0"/>
          <w:divBdr>
            <w:top w:val="none" w:sz="0" w:space="0" w:color="auto"/>
            <w:left w:val="none" w:sz="0" w:space="0" w:color="auto"/>
            <w:bottom w:val="none" w:sz="0" w:space="0" w:color="auto"/>
            <w:right w:val="none" w:sz="0" w:space="0" w:color="auto"/>
          </w:divBdr>
        </w:div>
        <w:div w:id="1212305445">
          <w:marLeft w:val="0"/>
          <w:marRight w:val="0"/>
          <w:marTop w:val="0"/>
          <w:marBottom w:val="0"/>
          <w:divBdr>
            <w:top w:val="none" w:sz="0" w:space="0" w:color="auto"/>
            <w:left w:val="none" w:sz="0" w:space="0" w:color="auto"/>
            <w:bottom w:val="none" w:sz="0" w:space="0" w:color="auto"/>
            <w:right w:val="none" w:sz="0" w:space="0" w:color="auto"/>
          </w:divBdr>
        </w:div>
        <w:div w:id="1291474806">
          <w:marLeft w:val="0"/>
          <w:marRight w:val="0"/>
          <w:marTop w:val="0"/>
          <w:marBottom w:val="0"/>
          <w:divBdr>
            <w:top w:val="none" w:sz="0" w:space="0" w:color="auto"/>
            <w:left w:val="none" w:sz="0" w:space="0" w:color="auto"/>
            <w:bottom w:val="none" w:sz="0" w:space="0" w:color="auto"/>
            <w:right w:val="none" w:sz="0" w:space="0" w:color="auto"/>
          </w:divBdr>
        </w:div>
        <w:div w:id="1697807217">
          <w:marLeft w:val="0"/>
          <w:marRight w:val="0"/>
          <w:marTop w:val="0"/>
          <w:marBottom w:val="0"/>
          <w:divBdr>
            <w:top w:val="none" w:sz="0" w:space="0" w:color="auto"/>
            <w:left w:val="none" w:sz="0" w:space="0" w:color="auto"/>
            <w:bottom w:val="none" w:sz="0" w:space="0" w:color="auto"/>
            <w:right w:val="none" w:sz="0" w:space="0" w:color="auto"/>
          </w:divBdr>
        </w:div>
      </w:divsChild>
    </w:div>
    <w:div w:id="1572082230">
      <w:bodyDiv w:val="1"/>
      <w:marLeft w:val="0"/>
      <w:marRight w:val="0"/>
      <w:marTop w:val="0"/>
      <w:marBottom w:val="0"/>
      <w:divBdr>
        <w:top w:val="none" w:sz="0" w:space="0" w:color="auto"/>
        <w:left w:val="none" w:sz="0" w:space="0" w:color="auto"/>
        <w:bottom w:val="none" w:sz="0" w:space="0" w:color="auto"/>
        <w:right w:val="none" w:sz="0" w:space="0" w:color="auto"/>
      </w:divBdr>
      <w:divsChild>
        <w:div w:id="300892887">
          <w:marLeft w:val="0"/>
          <w:marRight w:val="0"/>
          <w:marTop w:val="0"/>
          <w:marBottom w:val="0"/>
          <w:divBdr>
            <w:top w:val="none" w:sz="0" w:space="0" w:color="auto"/>
            <w:left w:val="none" w:sz="0" w:space="0" w:color="auto"/>
            <w:bottom w:val="none" w:sz="0" w:space="0" w:color="auto"/>
            <w:right w:val="none" w:sz="0" w:space="0" w:color="auto"/>
          </w:divBdr>
          <w:divsChild>
            <w:div w:id="233393940">
              <w:marLeft w:val="0"/>
              <w:marRight w:val="0"/>
              <w:marTop w:val="0"/>
              <w:marBottom w:val="0"/>
              <w:divBdr>
                <w:top w:val="none" w:sz="0" w:space="0" w:color="auto"/>
                <w:left w:val="none" w:sz="0" w:space="0" w:color="auto"/>
                <w:bottom w:val="none" w:sz="0" w:space="0" w:color="auto"/>
                <w:right w:val="none" w:sz="0" w:space="0" w:color="auto"/>
              </w:divBdr>
            </w:div>
            <w:div w:id="343021356">
              <w:marLeft w:val="0"/>
              <w:marRight w:val="0"/>
              <w:marTop w:val="0"/>
              <w:marBottom w:val="0"/>
              <w:divBdr>
                <w:top w:val="none" w:sz="0" w:space="0" w:color="auto"/>
                <w:left w:val="none" w:sz="0" w:space="0" w:color="auto"/>
                <w:bottom w:val="none" w:sz="0" w:space="0" w:color="auto"/>
                <w:right w:val="none" w:sz="0" w:space="0" w:color="auto"/>
              </w:divBdr>
            </w:div>
            <w:div w:id="436826419">
              <w:marLeft w:val="0"/>
              <w:marRight w:val="0"/>
              <w:marTop w:val="0"/>
              <w:marBottom w:val="0"/>
              <w:divBdr>
                <w:top w:val="none" w:sz="0" w:space="0" w:color="auto"/>
                <w:left w:val="none" w:sz="0" w:space="0" w:color="auto"/>
                <w:bottom w:val="none" w:sz="0" w:space="0" w:color="auto"/>
                <w:right w:val="none" w:sz="0" w:space="0" w:color="auto"/>
              </w:divBdr>
            </w:div>
            <w:div w:id="443161855">
              <w:marLeft w:val="0"/>
              <w:marRight w:val="0"/>
              <w:marTop w:val="0"/>
              <w:marBottom w:val="0"/>
              <w:divBdr>
                <w:top w:val="none" w:sz="0" w:space="0" w:color="auto"/>
                <w:left w:val="none" w:sz="0" w:space="0" w:color="auto"/>
                <w:bottom w:val="none" w:sz="0" w:space="0" w:color="auto"/>
                <w:right w:val="none" w:sz="0" w:space="0" w:color="auto"/>
              </w:divBdr>
            </w:div>
            <w:div w:id="542055315">
              <w:marLeft w:val="0"/>
              <w:marRight w:val="0"/>
              <w:marTop w:val="0"/>
              <w:marBottom w:val="0"/>
              <w:divBdr>
                <w:top w:val="none" w:sz="0" w:space="0" w:color="auto"/>
                <w:left w:val="none" w:sz="0" w:space="0" w:color="auto"/>
                <w:bottom w:val="none" w:sz="0" w:space="0" w:color="auto"/>
                <w:right w:val="none" w:sz="0" w:space="0" w:color="auto"/>
              </w:divBdr>
            </w:div>
            <w:div w:id="574584631">
              <w:marLeft w:val="0"/>
              <w:marRight w:val="0"/>
              <w:marTop w:val="0"/>
              <w:marBottom w:val="0"/>
              <w:divBdr>
                <w:top w:val="none" w:sz="0" w:space="0" w:color="auto"/>
                <w:left w:val="none" w:sz="0" w:space="0" w:color="auto"/>
                <w:bottom w:val="none" w:sz="0" w:space="0" w:color="auto"/>
                <w:right w:val="none" w:sz="0" w:space="0" w:color="auto"/>
              </w:divBdr>
            </w:div>
            <w:div w:id="660157396">
              <w:marLeft w:val="0"/>
              <w:marRight w:val="0"/>
              <w:marTop w:val="0"/>
              <w:marBottom w:val="0"/>
              <w:divBdr>
                <w:top w:val="none" w:sz="0" w:space="0" w:color="auto"/>
                <w:left w:val="none" w:sz="0" w:space="0" w:color="auto"/>
                <w:bottom w:val="none" w:sz="0" w:space="0" w:color="auto"/>
                <w:right w:val="none" w:sz="0" w:space="0" w:color="auto"/>
              </w:divBdr>
            </w:div>
            <w:div w:id="726225029">
              <w:marLeft w:val="0"/>
              <w:marRight w:val="0"/>
              <w:marTop w:val="0"/>
              <w:marBottom w:val="0"/>
              <w:divBdr>
                <w:top w:val="none" w:sz="0" w:space="0" w:color="auto"/>
                <w:left w:val="none" w:sz="0" w:space="0" w:color="auto"/>
                <w:bottom w:val="none" w:sz="0" w:space="0" w:color="auto"/>
                <w:right w:val="none" w:sz="0" w:space="0" w:color="auto"/>
              </w:divBdr>
            </w:div>
            <w:div w:id="1079131304">
              <w:marLeft w:val="0"/>
              <w:marRight w:val="0"/>
              <w:marTop w:val="0"/>
              <w:marBottom w:val="0"/>
              <w:divBdr>
                <w:top w:val="none" w:sz="0" w:space="0" w:color="auto"/>
                <w:left w:val="none" w:sz="0" w:space="0" w:color="auto"/>
                <w:bottom w:val="none" w:sz="0" w:space="0" w:color="auto"/>
                <w:right w:val="none" w:sz="0" w:space="0" w:color="auto"/>
              </w:divBdr>
            </w:div>
            <w:div w:id="1504662551">
              <w:marLeft w:val="0"/>
              <w:marRight w:val="0"/>
              <w:marTop w:val="0"/>
              <w:marBottom w:val="0"/>
              <w:divBdr>
                <w:top w:val="none" w:sz="0" w:space="0" w:color="auto"/>
                <w:left w:val="none" w:sz="0" w:space="0" w:color="auto"/>
                <w:bottom w:val="none" w:sz="0" w:space="0" w:color="auto"/>
                <w:right w:val="none" w:sz="0" w:space="0" w:color="auto"/>
              </w:divBdr>
            </w:div>
            <w:div w:id="1602450422">
              <w:marLeft w:val="0"/>
              <w:marRight w:val="0"/>
              <w:marTop w:val="0"/>
              <w:marBottom w:val="0"/>
              <w:divBdr>
                <w:top w:val="none" w:sz="0" w:space="0" w:color="auto"/>
                <w:left w:val="none" w:sz="0" w:space="0" w:color="auto"/>
                <w:bottom w:val="none" w:sz="0" w:space="0" w:color="auto"/>
                <w:right w:val="none" w:sz="0" w:space="0" w:color="auto"/>
              </w:divBdr>
            </w:div>
            <w:div w:id="1711758311">
              <w:marLeft w:val="0"/>
              <w:marRight w:val="0"/>
              <w:marTop w:val="0"/>
              <w:marBottom w:val="0"/>
              <w:divBdr>
                <w:top w:val="none" w:sz="0" w:space="0" w:color="auto"/>
                <w:left w:val="none" w:sz="0" w:space="0" w:color="auto"/>
                <w:bottom w:val="none" w:sz="0" w:space="0" w:color="auto"/>
                <w:right w:val="none" w:sz="0" w:space="0" w:color="auto"/>
              </w:divBdr>
            </w:div>
            <w:div w:id="185456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1707">
      <w:bodyDiv w:val="1"/>
      <w:marLeft w:val="0"/>
      <w:marRight w:val="0"/>
      <w:marTop w:val="0"/>
      <w:marBottom w:val="0"/>
      <w:divBdr>
        <w:top w:val="none" w:sz="0" w:space="0" w:color="auto"/>
        <w:left w:val="none" w:sz="0" w:space="0" w:color="auto"/>
        <w:bottom w:val="none" w:sz="0" w:space="0" w:color="auto"/>
        <w:right w:val="none" w:sz="0" w:space="0" w:color="auto"/>
      </w:divBdr>
    </w:div>
    <w:div w:id="1586302997">
      <w:bodyDiv w:val="1"/>
      <w:marLeft w:val="0"/>
      <w:marRight w:val="0"/>
      <w:marTop w:val="0"/>
      <w:marBottom w:val="0"/>
      <w:divBdr>
        <w:top w:val="none" w:sz="0" w:space="0" w:color="auto"/>
        <w:left w:val="none" w:sz="0" w:space="0" w:color="auto"/>
        <w:bottom w:val="none" w:sz="0" w:space="0" w:color="auto"/>
        <w:right w:val="none" w:sz="0" w:space="0" w:color="auto"/>
      </w:divBdr>
    </w:div>
    <w:div w:id="1616786312">
      <w:bodyDiv w:val="1"/>
      <w:marLeft w:val="0"/>
      <w:marRight w:val="0"/>
      <w:marTop w:val="0"/>
      <w:marBottom w:val="0"/>
      <w:divBdr>
        <w:top w:val="none" w:sz="0" w:space="0" w:color="auto"/>
        <w:left w:val="none" w:sz="0" w:space="0" w:color="auto"/>
        <w:bottom w:val="none" w:sz="0" w:space="0" w:color="auto"/>
        <w:right w:val="none" w:sz="0" w:space="0" w:color="auto"/>
      </w:divBdr>
    </w:div>
    <w:div w:id="1619489585">
      <w:bodyDiv w:val="1"/>
      <w:marLeft w:val="0"/>
      <w:marRight w:val="0"/>
      <w:marTop w:val="0"/>
      <w:marBottom w:val="0"/>
      <w:divBdr>
        <w:top w:val="none" w:sz="0" w:space="0" w:color="auto"/>
        <w:left w:val="none" w:sz="0" w:space="0" w:color="auto"/>
        <w:bottom w:val="none" w:sz="0" w:space="0" w:color="auto"/>
        <w:right w:val="none" w:sz="0" w:space="0" w:color="auto"/>
      </w:divBdr>
    </w:div>
    <w:div w:id="1621496358">
      <w:bodyDiv w:val="1"/>
      <w:marLeft w:val="0"/>
      <w:marRight w:val="0"/>
      <w:marTop w:val="0"/>
      <w:marBottom w:val="0"/>
      <w:divBdr>
        <w:top w:val="none" w:sz="0" w:space="0" w:color="auto"/>
        <w:left w:val="none" w:sz="0" w:space="0" w:color="auto"/>
        <w:bottom w:val="none" w:sz="0" w:space="0" w:color="auto"/>
        <w:right w:val="none" w:sz="0" w:space="0" w:color="auto"/>
      </w:divBdr>
    </w:div>
    <w:div w:id="1622036424">
      <w:bodyDiv w:val="1"/>
      <w:marLeft w:val="0"/>
      <w:marRight w:val="0"/>
      <w:marTop w:val="0"/>
      <w:marBottom w:val="0"/>
      <w:divBdr>
        <w:top w:val="none" w:sz="0" w:space="0" w:color="auto"/>
        <w:left w:val="none" w:sz="0" w:space="0" w:color="auto"/>
        <w:bottom w:val="none" w:sz="0" w:space="0" w:color="auto"/>
        <w:right w:val="none" w:sz="0" w:space="0" w:color="auto"/>
      </w:divBdr>
    </w:div>
    <w:div w:id="1630012258">
      <w:bodyDiv w:val="1"/>
      <w:marLeft w:val="0"/>
      <w:marRight w:val="0"/>
      <w:marTop w:val="0"/>
      <w:marBottom w:val="0"/>
      <w:divBdr>
        <w:top w:val="none" w:sz="0" w:space="0" w:color="auto"/>
        <w:left w:val="none" w:sz="0" w:space="0" w:color="auto"/>
        <w:bottom w:val="none" w:sz="0" w:space="0" w:color="auto"/>
        <w:right w:val="none" w:sz="0" w:space="0" w:color="auto"/>
      </w:divBdr>
    </w:div>
    <w:div w:id="1641688118">
      <w:bodyDiv w:val="1"/>
      <w:marLeft w:val="0"/>
      <w:marRight w:val="0"/>
      <w:marTop w:val="0"/>
      <w:marBottom w:val="0"/>
      <w:divBdr>
        <w:top w:val="none" w:sz="0" w:space="0" w:color="auto"/>
        <w:left w:val="none" w:sz="0" w:space="0" w:color="auto"/>
        <w:bottom w:val="none" w:sz="0" w:space="0" w:color="auto"/>
        <w:right w:val="none" w:sz="0" w:space="0" w:color="auto"/>
      </w:divBdr>
    </w:div>
    <w:div w:id="1648051574">
      <w:bodyDiv w:val="1"/>
      <w:marLeft w:val="0"/>
      <w:marRight w:val="0"/>
      <w:marTop w:val="0"/>
      <w:marBottom w:val="0"/>
      <w:divBdr>
        <w:top w:val="none" w:sz="0" w:space="0" w:color="auto"/>
        <w:left w:val="none" w:sz="0" w:space="0" w:color="auto"/>
        <w:bottom w:val="none" w:sz="0" w:space="0" w:color="auto"/>
        <w:right w:val="none" w:sz="0" w:space="0" w:color="auto"/>
      </w:divBdr>
    </w:div>
    <w:div w:id="1650598093">
      <w:bodyDiv w:val="1"/>
      <w:marLeft w:val="0"/>
      <w:marRight w:val="0"/>
      <w:marTop w:val="0"/>
      <w:marBottom w:val="0"/>
      <w:divBdr>
        <w:top w:val="none" w:sz="0" w:space="0" w:color="auto"/>
        <w:left w:val="none" w:sz="0" w:space="0" w:color="auto"/>
        <w:bottom w:val="none" w:sz="0" w:space="0" w:color="auto"/>
        <w:right w:val="none" w:sz="0" w:space="0" w:color="auto"/>
      </w:divBdr>
      <w:divsChild>
        <w:div w:id="362094780">
          <w:marLeft w:val="0"/>
          <w:marRight w:val="0"/>
          <w:marTop w:val="0"/>
          <w:marBottom w:val="0"/>
          <w:divBdr>
            <w:top w:val="none" w:sz="0" w:space="0" w:color="auto"/>
            <w:left w:val="none" w:sz="0" w:space="0" w:color="auto"/>
            <w:bottom w:val="none" w:sz="0" w:space="0" w:color="auto"/>
            <w:right w:val="none" w:sz="0" w:space="0" w:color="auto"/>
          </w:divBdr>
          <w:divsChild>
            <w:div w:id="217329915">
              <w:marLeft w:val="0"/>
              <w:marRight w:val="0"/>
              <w:marTop w:val="0"/>
              <w:marBottom w:val="0"/>
              <w:divBdr>
                <w:top w:val="none" w:sz="0" w:space="0" w:color="auto"/>
                <w:left w:val="none" w:sz="0" w:space="0" w:color="auto"/>
                <w:bottom w:val="none" w:sz="0" w:space="0" w:color="auto"/>
                <w:right w:val="none" w:sz="0" w:space="0" w:color="auto"/>
              </w:divBdr>
              <w:divsChild>
                <w:div w:id="12784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445755">
      <w:bodyDiv w:val="1"/>
      <w:marLeft w:val="0"/>
      <w:marRight w:val="0"/>
      <w:marTop w:val="0"/>
      <w:marBottom w:val="0"/>
      <w:divBdr>
        <w:top w:val="none" w:sz="0" w:space="0" w:color="auto"/>
        <w:left w:val="none" w:sz="0" w:space="0" w:color="auto"/>
        <w:bottom w:val="none" w:sz="0" w:space="0" w:color="auto"/>
        <w:right w:val="none" w:sz="0" w:space="0" w:color="auto"/>
      </w:divBdr>
    </w:div>
    <w:div w:id="1675953118">
      <w:bodyDiv w:val="1"/>
      <w:marLeft w:val="0"/>
      <w:marRight w:val="0"/>
      <w:marTop w:val="0"/>
      <w:marBottom w:val="0"/>
      <w:divBdr>
        <w:top w:val="none" w:sz="0" w:space="0" w:color="auto"/>
        <w:left w:val="none" w:sz="0" w:space="0" w:color="auto"/>
        <w:bottom w:val="none" w:sz="0" w:space="0" w:color="auto"/>
        <w:right w:val="none" w:sz="0" w:space="0" w:color="auto"/>
      </w:divBdr>
    </w:div>
    <w:div w:id="1689794379">
      <w:bodyDiv w:val="1"/>
      <w:marLeft w:val="0"/>
      <w:marRight w:val="0"/>
      <w:marTop w:val="0"/>
      <w:marBottom w:val="0"/>
      <w:divBdr>
        <w:top w:val="none" w:sz="0" w:space="0" w:color="auto"/>
        <w:left w:val="none" w:sz="0" w:space="0" w:color="auto"/>
        <w:bottom w:val="none" w:sz="0" w:space="0" w:color="auto"/>
        <w:right w:val="none" w:sz="0" w:space="0" w:color="auto"/>
      </w:divBdr>
    </w:div>
    <w:div w:id="1691642249">
      <w:bodyDiv w:val="1"/>
      <w:marLeft w:val="0"/>
      <w:marRight w:val="0"/>
      <w:marTop w:val="0"/>
      <w:marBottom w:val="0"/>
      <w:divBdr>
        <w:top w:val="none" w:sz="0" w:space="0" w:color="auto"/>
        <w:left w:val="none" w:sz="0" w:space="0" w:color="auto"/>
        <w:bottom w:val="none" w:sz="0" w:space="0" w:color="auto"/>
        <w:right w:val="none" w:sz="0" w:space="0" w:color="auto"/>
      </w:divBdr>
    </w:div>
    <w:div w:id="1696614328">
      <w:bodyDiv w:val="1"/>
      <w:marLeft w:val="0"/>
      <w:marRight w:val="0"/>
      <w:marTop w:val="0"/>
      <w:marBottom w:val="0"/>
      <w:divBdr>
        <w:top w:val="none" w:sz="0" w:space="0" w:color="auto"/>
        <w:left w:val="none" w:sz="0" w:space="0" w:color="auto"/>
        <w:bottom w:val="none" w:sz="0" w:space="0" w:color="auto"/>
        <w:right w:val="none" w:sz="0" w:space="0" w:color="auto"/>
      </w:divBdr>
    </w:div>
    <w:div w:id="1701398716">
      <w:bodyDiv w:val="1"/>
      <w:marLeft w:val="0"/>
      <w:marRight w:val="0"/>
      <w:marTop w:val="0"/>
      <w:marBottom w:val="0"/>
      <w:divBdr>
        <w:top w:val="none" w:sz="0" w:space="0" w:color="auto"/>
        <w:left w:val="none" w:sz="0" w:space="0" w:color="auto"/>
        <w:bottom w:val="none" w:sz="0" w:space="0" w:color="auto"/>
        <w:right w:val="none" w:sz="0" w:space="0" w:color="auto"/>
      </w:divBdr>
    </w:div>
    <w:div w:id="1703241278">
      <w:bodyDiv w:val="1"/>
      <w:marLeft w:val="0"/>
      <w:marRight w:val="0"/>
      <w:marTop w:val="0"/>
      <w:marBottom w:val="0"/>
      <w:divBdr>
        <w:top w:val="none" w:sz="0" w:space="0" w:color="auto"/>
        <w:left w:val="none" w:sz="0" w:space="0" w:color="auto"/>
        <w:bottom w:val="none" w:sz="0" w:space="0" w:color="auto"/>
        <w:right w:val="none" w:sz="0" w:space="0" w:color="auto"/>
      </w:divBdr>
    </w:div>
    <w:div w:id="1705712480">
      <w:bodyDiv w:val="1"/>
      <w:marLeft w:val="0"/>
      <w:marRight w:val="0"/>
      <w:marTop w:val="0"/>
      <w:marBottom w:val="0"/>
      <w:divBdr>
        <w:top w:val="none" w:sz="0" w:space="0" w:color="auto"/>
        <w:left w:val="none" w:sz="0" w:space="0" w:color="auto"/>
        <w:bottom w:val="none" w:sz="0" w:space="0" w:color="auto"/>
        <w:right w:val="none" w:sz="0" w:space="0" w:color="auto"/>
      </w:divBdr>
    </w:div>
    <w:div w:id="1714773052">
      <w:bodyDiv w:val="1"/>
      <w:marLeft w:val="0"/>
      <w:marRight w:val="0"/>
      <w:marTop w:val="0"/>
      <w:marBottom w:val="0"/>
      <w:divBdr>
        <w:top w:val="none" w:sz="0" w:space="0" w:color="auto"/>
        <w:left w:val="none" w:sz="0" w:space="0" w:color="auto"/>
        <w:bottom w:val="none" w:sz="0" w:space="0" w:color="auto"/>
        <w:right w:val="none" w:sz="0" w:space="0" w:color="auto"/>
      </w:divBdr>
    </w:div>
    <w:div w:id="1728142577">
      <w:bodyDiv w:val="1"/>
      <w:marLeft w:val="0"/>
      <w:marRight w:val="0"/>
      <w:marTop w:val="0"/>
      <w:marBottom w:val="0"/>
      <w:divBdr>
        <w:top w:val="none" w:sz="0" w:space="0" w:color="auto"/>
        <w:left w:val="none" w:sz="0" w:space="0" w:color="auto"/>
        <w:bottom w:val="none" w:sz="0" w:space="0" w:color="auto"/>
        <w:right w:val="none" w:sz="0" w:space="0" w:color="auto"/>
      </w:divBdr>
    </w:div>
    <w:div w:id="1731685666">
      <w:bodyDiv w:val="1"/>
      <w:marLeft w:val="0"/>
      <w:marRight w:val="0"/>
      <w:marTop w:val="0"/>
      <w:marBottom w:val="0"/>
      <w:divBdr>
        <w:top w:val="none" w:sz="0" w:space="0" w:color="auto"/>
        <w:left w:val="none" w:sz="0" w:space="0" w:color="auto"/>
        <w:bottom w:val="none" w:sz="0" w:space="0" w:color="auto"/>
        <w:right w:val="none" w:sz="0" w:space="0" w:color="auto"/>
      </w:divBdr>
    </w:div>
    <w:div w:id="1734352176">
      <w:bodyDiv w:val="1"/>
      <w:marLeft w:val="0"/>
      <w:marRight w:val="0"/>
      <w:marTop w:val="0"/>
      <w:marBottom w:val="0"/>
      <w:divBdr>
        <w:top w:val="none" w:sz="0" w:space="0" w:color="auto"/>
        <w:left w:val="none" w:sz="0" w:space="0" w:color="auto"/>
        <w:bottom w:val="none" w:sz="0" w:space="0" w:color="auto"/>
        <w:right w:val="none" w:sz="0" w:space="0" w:color="auto"/>
      </w:divBdr>
    </w:div>
    <w:div w:id="1779714358">
      <w:bodyDiv w:val="1"/>
      <w:marLeft w:val="0"/>
      <w:marRight w:val="0"/>
      <w:marTop w:val="0"/>
      <w:marBottom w:val="0"/>
      <w:divBdr>
        <w:top w:val="none" w:sz="0" w:space="0" w:color="auto"/>
        <w:left w:val="none" w:sz="0" w:space="0" w:color="auto"/>
        <w:bottom w:val="none" w:sz="0" w:space="0" w:color="auto"/>
        <w:right w:val="none" w:sz="0" w:space="0" w:color="auto"/>
      </w:divBdr>
    </w:div>
    <w:div w:id="1790515663">
      <w:bodyDiv w:val="1"/>
      <w:marLeft w:val="0"/>
      <w:marRight w:val="0"/>
      <w:marTop w:val="0"/>
      <w:marBottom w:val="0"/>
      <w:divBdr>
        <w:top w:val="none" w:sz="0" w:space="0" w:color="auto"/>
        <w:left w:val="none" w:sz="0" w:space="0" w:color="auto"/>
        <w:bottom w:val="none" w:sz="0" w:space="0" w:color="auto"/>
        <w:right w:val="none" w:sz="0" w:space="0" w:color="auto"/>
      </w:divBdr>
      <w:divsChild>
        <w:div w:id="1966345900">
          <w:marLeft w:val="0"/>
          <w:marRight w:val="0"/>
          <w:marTop w:val="0"/>
          <w:marBottom w:val="0"/>
          <w:divBdr>
            <w:top w:val="none" w:sz="0" w:space="0" w:color="auto"/>
            <w:left w:val="none" w:sz="0" w:space="0" w:color="auto"/>
            <w:bottom w:val="none" w:sz="0" w:space="0" w:color="auto"/>
            <w:right w:val="none" w:sz="0" w:space="0" w:color="auto"/>
          </w:divBdr>
        </w:div>
      </w:divsChild>
    </w:div>
    <w:div w:id="1795438169">
      <w:bodyDiv w:val="1"/>
      <w:marLeft w:val="0"/>
      <w:marRight w:val="0"/>
      <w:marTop w:val="0"/>
      <w:marBottom w:val="0"/>
      <w:divBdr>
        <w:top w:val="none" w:sz="0" w:space="0" w:color="auto"/>
        <w:left w:val="none" w:sz="0" w:space="0" w:color="auto"/>
        <w:bottom w:val="none" w:sz="0" w:space="0" w:color="auto"/>
        <w:right w:val="none" w:sz="0" w:space="0" w:color="auto"/>
      </w:divBdr>
    </w:div>
    <w:div w:id="1800607205">
      <w:bodyDiv w:val="1"/>
      <w:marLeft w:val="0"/>
      <w:marRight w:val="0"/>
      <w:marTop w:val="0"/>
      <w:marBottom w:val="0"/>
      <w:divBdr>
        <w:top w:val="none" w:sz="0" w:space="0" w:color="auto"/>
        <w:left w:val="none" w:sz="0" w:space="0" w:color="auto"/>
        <w:bottom w:val="none" w:sz="0" w:space="0" w:color="auto"/>
        <w:right w:val="none" w:sz="0" w:space="0" w:color="auto"/>
      </w:divBdr>
    </w:div>
    <w:div w:id="1804613438">
      <w:bodyDiv w:val="1"/>
      <w:marLeft w:val="0"/>
      <w:marRight w:val="0"/>
      <w:marTop w:val="0"/>
      <w:marBottom w:val="0"/>
      <w:divBdr>
        <w:top w:val="none" w:sz="0" w:space="0" w:color="auto"/>
        <w:left w:val="none" w:sz="0" w:space="0" w:color="auto"/>
        <w:bottom w:val="none" w:sz="0" w:space="0" w:color="auto"/>
        <w:right w:val="none" w:sz="0" w:space="0" w:color="auto"/>
      </w:divBdr>
    </w:div>
    <w:div w:id="1806704365">
      <w:bodyDiv w:val="1"/>
      <w:marLeft w:val="0"/>
      <w:marRight w:val="0"/>
      <w:marTop w:val="0"/>
      <w:marBottom w:val="0"/>
      <w:divBdr>
        <w:top w:val="none" w:sz="0" w:space="0" w:color="auto"/>
        <w:left w:val="none" w:sz="0" w:space="0" w:color="auto"/>
        <w:bottom w:val="none" w:sz="0" w:space="0" w:color="auto"/>
        <w:right w:val="none" w:sz="0" w:space="0" w:color="auto"/>
      </w:divBdr>
    </w:div>
    <w:div w:id="1806848264">
      <w:bodyDiv w:val="1"/>
      <w:marLeft w:val="0"/>
      <w:marRight w:val="0"/>
      <w:marTop w:val="0"/>
      <w:marBottom w:val="0"/>
      <w:divBdr>
        <w:top w:val="none" w:sz="0" w:space="0" w:color="auto"/>
        <w:left w:val="none" w:sz="0" w:space="0" w:color="auto"/>
        <w:bottom w:val="none" w:sz="0" w:space="0" w:color="auto"/>
        <w:right w:val="none" w:sz="0" w:space="0" w:color="auto"/>
      </w:divBdr>
    </w:div>
    <w:div w:id="1809204930">
      <w:bodyDiv w:val="1"/>
      <w:marLeft w:val="0"/>
      <w:marRight w:val="0"/>
      <w:marTop w:val="0"/>
      <w:marBottom w:val="0"/>
      <w:divBdr>
        <w:top w:val="none" w:sz="0" w:space="0" w:color="auto"/>
        <w:left w:val="none" w:sz="0" w:space="0" w:color="auto"/>
        <w:bottom w:val="none" w:sz="0" w:space="0" w:color="auto"/>
        <w:right w:val="none" w:sz="0" w:space="0" w:color="auto"/>
      </w:divBdr>
    </w:div>
    <w:div w:id="1822848818">
      <w:bodyDiv w:val="1"/>
      <w:marLeft w:val="0"/>
      <w:marRight w:val="0"/>
      <w:marTop w:val="0"/>
      <w:marBottom w:val="0"/>
      <w:divBdr>
        <w:top w:val="none" w:sz="0" w:space="0" w:color="auto"/>
        <w:left w:val="none" w:sz="0" w:space="0" w:color="auto"/>
        <w:bottom w:val="none" w:sz="0" w:space="0" w:color="auto"/>
        <w:right w:val="none" w:sz="0" w:space="0" w:color="auto"/>
      </w:divBdr>
    </w:div>
    <w:div w:id="1823231165">
      <w:bodyDiv w:val="1"/>
      <w:marLeft w:val="0"/>
      <w:marRight w:val="0"/>
      <w:marTop w:val="0"/>
      <w:marBottom w:val="0"/>
      <w:divBdr>
        <w:top w:val="none" w:sz="0" w:space="0" w:color="auto"/>
        <w:left w:val="none" w:sz="0" w:space="0" w:color="auto"/>
        <w:bottom w:val="none" w:sz="0" w:space="0" w:color="auto"/>
        <w:right w:val="none" w:sz="0" w:space="0" w:color="auto"/>
      </w:divBdr>
    </w:div>
    <w:div w:id="1831745961">
      <w:bodyDiv w:val="1"/>
      <w:marLeft w:val="0"/>
      <w:marRight w:val="0"/>
      <w:marTop w:val="0"/>
      <w:marBottom w:val="0"/>
      <w:divBdr>
        <w:top w:val="none" w:sz="0" w:space="0" w:color="auto"/>
        <w:left w:val="none" w:sz="0" w:space="0" w:color="auto"/>
        <w:bottom w:val="none" w:sz="0" w:space="0" w:color="auto"/>
        <w:right w:val="none" w:sz="0" w:space="0" w:color="auto"/>
      </w:divBdr>
      <w:divsChild>
        <w:div w:id="1399403900">
          <w:marLeft w:val="0"/>
          <w:marRight w:val="0"/>
          <w:marTop w:val="0"/>
          <w:marBottom w:val="0"/>
          <w:divBdr>
            <w:top w:val="none" w:sz="0" w:space="0" w:color="auto"/>
            <w:left w:val="none" w:sz="0" w:space="0" w:color="auto"/>
            <w:bottom w:val="none" w:sz="0" w:space="0" w:color="auto"/>
            <w:right w:val="none" w:sz="0" w:space="0" w:color="auto"/>
          </w:divBdr>
          <w:divsChild>
            <w:div w:id="59421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56459">
      <w:bodyDiv w:val="1"/>
      <w:marLeft w:val="0"/>
      <w:marRight w:val="0"/>
      <w:marTop w:val="0"/>
      <w:marBottom w:val="0"/>
      <w:divBdr>
        <w:top w:val="none" w:sz="0" w:space="0" w:color="auto"/>
        <w:left w:val="none" w:sz="0" w:space="0" w:color="auto"/>
        <w:bottom w:val="none" w:sz="0" w:space="0" w:color="auto"/>
        <w:right w:val="none" w:sz="0" w:space="0" w:color="auto"/>
      </w:divBdr>
    </w:div>
    <w:div w:id="1842622950">
      <w:bodyDiv w:val="1"/>
      <w:marLeft w:val="0"/>
      <w:marRight w:val="0"/>
      <w:marTop w:val="0"/>
      <w:marBottom w:val="0"/>
      <w:divBdr>
        <w:top w:val="none" w:sz="0" w:space="0" w:color="auto"/>
        <w:left w:val="none" w:sz="0" w:space="0" w:color="auto"/>
        <w:bottom w:val="none" w:sz="0" w:space="0" w:color="auto"/>
        <w:right w:val="none" w:sz="0" w:space="0" w:color="auto"/>
      </w:divBdr>
    </w:div>
    <w:div w:id="1845002029">
      <w:bodyDiv w:val="1"/>
      <w:marLeft w:val="0"/>
      <w:marRight w:val="0"/>
      <w:marTop w:val="0"/>
      <w:marBottom w:val="0"/>
      <w:divBdr>
        <w:top w:val="none" w:sz="0" w:space="0" w:color="auto"/>
        <w:left w:val="none" w:sz="0" w:space="0" w:color="auto"/>
        <w:bottom w:val="none" w:sz="0" w:space="0" w:color="auto"/>
        <w:right w:val="none" w:sz="0" w:space="0" w:color="auto"/>
      </w:divBdr>
    </w:div>
    <w:div w:id="1859812922">
      <w:bodyDiv w:val="1"/>
      <w:marLeft w:val="0"/>
      <w:marRight w:val="0"/>
      <w:marTop w:val="0"/>
      <w:marBottom w:val="0"/>
      <w:divBdr>
        <w:top w:val="none" w:sz="0" w:space="0" w:color="auto"/>
        <w:left w:val="none" w:sz="0" w:space="0" w:color="auto"/>
        <w:bottom w:val="none" w:sz="0" w:space="0" w:color="auto"/>
        <w:right w:val="none" w:sz="0" w:space="0" w:color="auto"/>
      </w:divBdr>
    </w:div>
    <w:div w:id="1862087611">
      <w:bodyDiv w:val="1"/>
      <w:marLeft w:val="0"/>
      <w:marRight w:val="0"/>
      <w:marTop w:val="0"/>
      <w:marBottom w:val="0"/>
      <w:divBdr>
        <w:top w:val="none" w:sz="0" w:space="0" w:color="auto"/>
        <w:left w:val="none" w:sz="0" w:space="0" w:color="auto"/>
        <w:bottom w:val="none" w:sz="0" w:space="0" w:color="auto"/>
        <w:right w:val="none" w:sz="0" w:space="0" w:color="auto"/>
      </w:divBdr>
      <w:divsChild>
        <w:div w:id="762650385">
          <w:marLeft w:val="547"/>
          <w:marRight w:val="0"/>
          <w:marTop w:val="106"/>
          <w:marBottom w:val="0"/>
          <w:divBdr>
            <w:top w:val="none" w:sz="0" w:space="0" w:color="auto"/>
            <w:left w:val="none" w:sz="0" w:space="0" w:color="auto"/>
            <w:bottom w:val="none" w:sz="0" w:space="0" w:color="auto"/>
            <w:right w:val="none" w:sz="0" w:space="0" w:color="auto"/>
          </w:divBdr>
        </w:div>
      </w:divsChild>
    </w:div>
    <w:div w:id="1863743758">
      <w:bodyDiv w:val="1"/>
      <w:marLeft w:val="0"/>
      <w:marRight w:val="0"/>
      <w:marTop w:val="0"/>
      <w:marBottom w:val="0"/>
      <w:divBdr>
        <w:top w:val="none" w:sz="0" w:space="0" w:color="auto"/>
        <w:left w:val="none" w:sz="0" w:space="0" w:color="auto"/>
        <w:bottom w:val="none" w:sz="0" w:space="0" w:color="auto"/>
        <w:right w:val="none" w:sz="0" w:space="0" w:color="auto"/>
      </w:divBdr>
    </w:div>
    <w:div w:id="1868055832">
      <w:bodyDiv w:val="1"/>
      <w:marLeft w:val="0"/>
      <w:marRight w:val="0"/>
      <w:marTop w:val="0"/>
      <w:marBottom w:val="0"/>
      <w:divBdr>
        <w:top w:val="none" w:sz="0" w:space="0" w:color="auto"/>
        <w:left w:val="none" w:sz="0" w:space="0" w:color="auto"/>
        <w:bottom w:val="none" w:sz="0" w:space="0" w:color="auto"/>
        <w:right w:val="none" w:sz="0" w:space="0" w:color="auto"/>
      </w:divBdr>
    </w:div>
    <w:div w:id="1870102092">
      <w:bodyDiv w:val="1"/>
      <w:marLeft w:val="0"/>
      <w:marRight w:val="0"/>
      <w:marTop w:val="0"/>
      <w:marBottom w:val="0"/>
      <w:divBdr>
        <w:top w:val="none" w:sz="0" w:space="0" w:color="auto"/>
        <w:left w:val="none" w:sz="0" w:space="0" w:color="auto"/>
        <w:bottom w:val="none" w:sz="0" w:space="0" w:color="auto"/>
        <w:right w:val="none" w:sz="0" w:space="0" w:color="auto"/>
      </w:divBdr>
    </w:div>
    <w:div w:id="1871449954">
      <w:bodyDiv w:val="1"/>
      <w:marLeft w:val="0"/>
      <w:marRight w:val="0"/>
      <w:marTop w:val="0"/>
      <w:marBottom w:val="0"/>
      <w:divBdr>
        <w:top w:val="none" w:sz="0" w:space="0" w:color="auto"/>
        <w:left w:val="none" w:sz="0" w:space="0" w:color="auto"/>
        <w:bottom w:val="none" w:sz="0" w:space="0" w:color="auto"/>
        <w:right w:val="none" w:sz="0" w:space="0" w:color="auto"/>
      </w:divBdr>
    </w:div>
    <w:div w:id="1873834188">
      <w:bodyDiv w:val="1"/>
      <w:marLeft w:val="0"/>
      <w:marRight w:val="0"/>
      <w:marTop w:val="0"/>
      <w:marBottom w:val="0"/>
      <w:divBdr>
        <w:top w:val="none" w:sz="0" w:space="0" w:color="auto"/>
        <w:left w:val="none" w:sz="0" w:space="0" w:color="auto"/>
        <w:bottom w:val="none" w:sz="0" w:space="0" w:color="auto"/>
        <w:right w:val="none" w:sz="0" w:space="0" w:color="auto"/>
      </w:divBdr>
    </w:div>
    <w:div w:id="1875078653">
      <w:bodyDiv w:val="1"/>
      <w:marLeft w:val="0"/>
      <w:marRight w:val="0"/>
      <w:marTop w:val="0"/>
      <w:marBottom w:val="0"/>
      <w:divBdr>
        <w:top w:val="none" w:sz="0" w:space="0" w:color="auto"/>
        <w:left w:val="none" w:sz="0" w:space="0" w:color="auto"/>
        <w:bottom w:val="none" w:sz="0" w:space="0" w:color="auto"/>
        <w:right w:val="none" w:sz="0" w:space="0" w:color="auto"/>
      </w:divBdr>
    </w:div>
    <w:div w:id="1877934807">
      <w:bodyDiv w:val="1"/>
      <w:marLeft w:val="0"/>
      <w:marRight w:val="0"/>
      <w:marTop w:val="0"/>
      <w:marBottom w:val="0"/>
      <w:divBdr>
        <w:top w:val="none" w:sz="0" w:space="0" w:color="auto"/>
        <w:left w:val="none" w:sz="0" w:space="0" w:color="auto"/>
        <w:bottom w:val="none" w:sz="0" w:space="0" w:color="auto"/>
        <w:right w:val="none" w:sz="0" w:space="0" w:color="auto"/>
      </w:divBdr>
    </w:div>
    <w:div w:id="1927184363">
      <w:bodyDiv w:val="1"/>
      <w:marLeft w:val="0"/>
      <w:marRight w:val="0"/>
      <w:marTop w:val="0"/>
      <w:marBottom w:val="0"/>
      <w:divBdr>
        <w:top w:val="none" w:sz="0" w:space="0" w:color="auto"/>
        <w:left w:val="none" w:sz="0" w:space="0" w:color="auto"/>
        <w:bottom w:val="none" w:sz="0" w:space="0" w:color="auto"/>
        <w:right w:val="none" w:sz="0" w:space="0" w:color="auto"/>
      </w:divBdr>
    </w:div>
    <w:div w:id="1940481709">
      <w:bodyDiv w:val="1"/>
      <w:marLeft w:val="0"/>
      <w:marRight w:val="0"/>
      <w:marTop w:val="0"/>
      <w:marBottom w:val="0"/>
      <w:divBdr>
        <w:top w:val="none" w:sz="0" w:space="0" w:color="auto"/>
        <w:left w:val="none" w:sz="0" w:space="0" w:color="auto"/>
        <w:bottom w:val="none" w:sz="0" w:space="0" w:color="auto"/>
        <w:right w:val="none" w:sz="0" w:space="0" w:color="auto"/>
      </w:divBdr>
      <w:divsChild>
        <w:div w:id="2042634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896745">
              <w:marLeft w:val="0"/>
              <w:marRight w:val="0"/>
              <w:marTop w:val="0"/>
              <w:marBottom w:val="0"/>
              <w:divBdr>
                <w:top w:val="none" w:sz="0" w:space="0" w:color="auto"/>
                <w:left w:val="none" w:sz="0" w:space="0" w:color="auto"/>
                <w:bottom w:val="none" w:sz="0" w:space="0" w:color="auto"/>
                <w:right w:val="none" w:sz="0" w:space="0" w:color="auto"/>
              </w:divBdr>
              <w:divsChild>
                <w:div w:id="2548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89162">
      <w:bodyDiv w:val="1"/>
      <w:marLeft w:val="0"/>
      <w:marRight w:val="0"/>
      <w:marTop w:val="0"/>
      <w:marBottom w:val="0"/>
      <w:divBdr>
        <w:top w:val="none" w:sz="0" w:space="0" w:color="auto"/>
        <w:left w:val="none" w:sz="0" w:space="0" w:color="auto"/>
        <w:bottom w:val="none" w:sz="0" w:space="0" w:color="auto"/>
        <w:right w:val="none" w:sz="0" w:space="0" w:color="auto"/>
      </w:divBdr>
    </w:div>
    <w:div w:id="1948466392">
      <w:bodyDiv w:val="1"/>
      <w:marLeft w:val="0"/>
      <w:marRight w:val="0"/>
      <w:marTop w:val="0"/>
      <w:marBottom w:val="0"/>
      <w:divBdr>
        <w:top w:val="none" w:sz="0" w:space="0" w:color="auto"/>
        <w:left w:val="none" w:sz="0" w:space="0" w:color="auto"/>
        <w:bottom w:val="none" w:sz="0" w:space="0" w:color="auto"/>
        <w:right w:val="none" w:sz="0" w:space="0" w:color="auto"/>
      </w:divBdr>
      <w:divsChild>
        <w:div w:id="1877619398">
          <w:marLeft w:val="0"/>
          <w:marRight w:val="0"/>
          <w:marTop w:val="0"/>
          <w:marBottom w:val="0"/>
          <w:divBdr>
            <w:top w:val="none" w:sz="0" w:space="0" w:color="auto"/>
            <w:left w:val="none" w:sz="0" w:space="0" w:color="auto"/>
            <w:bottom w:val="none" w:sz="0" w:space="0" w:color="auto"/>
            <w:right w:val="none" w:sz="0" w:space="0" w:color="auto"/>
          </w:divBdr>
          <w:divsChild>
            <w:div w:id="2105301848">
              <w:marLeft w:val="0"/>
              <w:marRight w:val="0"/>
              <w:marTop w:val="0"/>
              <w:marBottom w:val="0"/>
              <w:divBdr>
                <w:top w:val="none" w:sz="0" w:space="0" w:color="auto"/>
                <w:left w:val="none" w:sz="0" w:space="0" w:color="auto"/>
                <w:bottom w:val="none" w:sz="0" w:space="0" w:color="auto"/>
                <w:right w:val="none" w:sz="0" w:space="0" w:color="auto"/>
              </w:divBdr>
              <w:divsChild>
                <w:div w:id="516623728">
                  <w:marLeft w:val="180"/>
                  <w:marRight w:val="0"/>
                  <w:marTop w:val="0"/>
                  <w:marBottom w:val="0"/>
                  <w:divBdr>
                    <w:top w:val="none" w:sz="0" w:space="0" w:color="auto"/>
                    <w:left w:val="none" w:sz="0" w:space="0" w:color="auto"/>
                    <w:bottom w:val="none" w:sz="0" w:space="0" w:color="auto"/>
                    <w:right w:val="none" w:sz="0" w:space="0" w:color="auto"/>
                  </w:divBdr>
                  <w:divsChild>
                    <w:div w:id="1299142086">
                      <w:marLeft w:val="2850"/>
                      <w:marRight w:val="0"/>
                      <w:marTop w:val="0"/>
                      <w:marBottom w:val="0"/>
                      <w:divBdr>
                        <w:top w:val="none" w:sz="0" w:space="0" w:color="auto"/>
                        <w:left w:val="none" w:sz="0" w:space="0" w:color="auto"/>
                        <w:bottom w:val="none" w:sz="0" w:space="0" w:color="auto"/>
                        <w:right w:val="none" w:sz="0" w:space="0" w:color="auto"/>
                      </w:divBdr>
                      <w:divsChild>
                        <w:div w:id="177983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197915">
      <w:bodyDiv w:val="1"/>
      <w:marLeft w:val="0"/>
      <w:marRight w:val="0"/>
      <w:marTop w:val="0"/>
      <w:marBottom w:val="0"/>
      <w:divBdr>
        <w:top w:val="none" w:sz="0" w:space="0" w:color="auto"/>
        <w:left w:val="none" w:sz="0" w:space="0" w:color="auto"/>
        <w:bottom w:val="none" w:sz="0" w:space="0" w:color="auto"/>
        <w:right w:val="none" w:sz="0" w:space="0" w:color="auto"/>
      </w:divBdr>
    </w:div>
    <w:div w:id="1957248443">
      <w:bodyDiv w:val="1"/>
      <w:marLeft w:val="0"/>
      <w:marRight w:val="0"/>
      <w:marTop w:val="0"/>
      <w:marBottom w:val="0"/>
      <w:divBdr>
        <w:top w:val="none" w:sz="0" w:space="0" w:color="auto"/>
        <w:left w:val="none" w:sz="0" w:space="0" w:color="auto"/>
        <w:bottom w:val="none" w:sz="0" w:space="0" w:color="auto"/>
        <w:right w:val="none" w:sz="0" w:space="0" w:color="auto"/>
      </w:divBdr>
    </w:div>
    <w:div w:id="1958903062">
      <w:bodyDiv w:val="1"/>
      <w:marLeft w:val="0"/>
      <w:marRight w:val="0"/>
      <w:marTop w:val="0"/>
      <w:marBottom w:val="0"/>
      <w:divBdr>
        <w:top w:val="none" w:sz="0" w:space="0" w:color="auto"/>
        <w:left w:val="none" w:sz="0" w:space="0" w:color="auto"/>
        <w:bottom w:val="none" w:sz="0" w:space="0" w:color="auto"/>
        <w:right w:val="none" w:sz="0" w:space="0" w:color="auto"/>
      </w:divBdr>
    </w:div>
    <w:div w:id="1976134765">
      <w:bodyDiv w:val="1"/>
      <w:marLeft w:val="0"/>
      <w:marRight w:val="0"/>
      <w:marTop w:val="0"/>
      <w:marBottom w:val="0"/>
      <w:divBdr>
        <w:top w:val="none" w:sz="0" w:space="0" w:color="auto"/>
        <w:left w:val="none" w:sz="0" w:space="0" w:color="auto"/>
        <w:bottom w:val="none" w:sz="0" w:space="0" w:color="auto"/>
        <w:right w:val="none" w:sz="0" w:space="0" w:color="auto"/>
      </w:divBdr>
      <w:divsChild>
        <w:div w:id="1232232618">
          <w:marLeft w:val="0"/>
          <w:marRight w:val="0"/>
          <w:marTop w:val="0"/>
          <w:marBottom w:val="0"/>
          <w:divBdr>
            <w:top w:val="none" w:sz="0" w:space="0" w:color="auto"/>
            <w:left w:val="none" w:sz="0" w:space="0" w:color="auto"/>
            <w:bottom w:val="none" w:sz="0" w:space="0" w:color="auto"/>
            <w:right w:val="none" w:sz="0" w:space="0" w:color="auto"/>
          </w:divBdr>
          <w:divsChild>
            <w:div w:id="1271666054">
              <w:marLeft w:val="0"/>
              <w:marRight w:val="0"/>
              <w:marTop w:val="0"/>
              <w:marBottom w:val="0"/>
              <w:divBdr>
                <w:top w:val="none" w:sz="0" w:space="0" w:color="auto"/>
                <w:left w:val="none" w:sz="0" w:space="0" w:color="auto"/>
                <w:bottom w:val="none" w:sz="0" w:space="0" w:color="auto"/>
                <w:right w:val="none" w:sz="0" w:space="0" w:color="auto"/>
              </w:divBdr>
              <w:divsChild>
                <w:div w:id="104007259">
                  <w:marLeft w:val="0"/>
                  <w:marRight w:val="0"/>
                  <w:marTop w:val="0"/>
                  <w:marBottom w:val="0"/>
                  <w:divBdr>
                    <w:top w:val="none" w:sz="0" w:space="0" w:color="auto"/>
                    <w:left w:val="none" w:sz="0" w:space="0" w:color="auto"/>
                    <w:bottom w:val="none" w:sz="0" w:space="0" w:color="auto"/>
                    <w:right w:val="none" w:sz="0" w:space="0" w:color="auto"/>
                  </w:divBdr>
                  <w:divsChild>
                    <w:div w:id="20135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296384">
      <w:bodyDiv w:val="1"/>
      <w:marLeft w:val="0"/>
      <w:marRight w:val="0"/>
      <w:marTop w:val="0"/>
      <w:marBottom w:val="0"/>
      <w:divBdr>
        <w:top w:val="none" w:sz="0" w:space="0" w:color="auto"/>
        <w:left w:val="none" w:sz="0" w:space="0" w:color="auto"/>
        <w:bottom w:val="none" w:sz="0" w:space="0" w:color="auto"/>
        <w:right w:val="none" w:sz="0" w:space="0" w:color="auto"/>
      </w:divBdr>
    </w:div>
    <w:div w:id="1981373566">
      <w:bodyDiv w:val="1"/>
      <w:marLeft w:val="0"/>
      <w:marRight w:val="0"/>
      <w:marTop w:val="0"/>
      <w:marBottom w:val="0"/>
      <w:divBdr>
        <w:top w:val="none" w:sz="0" w:space="0" w:color="auto"/>
        <w:left w:val="none" w:sz="0" w:space="0" w:color="auto"/>
        <w:bottom w:val="none" w:sz="0" w:space="0" w:color="auto"/>
        <w:right w:val="none" w:sz="0" w:space="0" w:color="auto"/>
      </w:divBdr>
      <w:divsChild>
        <w:div w:id="1850870948">
          <w:marLeft w:val="0"/>
          <w:marRight w:val="0"/>
          <w:marTop w:val="0"/>
          <w:marBottom w:val="0"/>
          <w:divBdr>
            <w:top w:val="none" w:sz="0" w:space="0" w:color="auto"/>
            <w:left w:val="none" w:sz="0" w:space="0" w:color="auto"/>
            <w:bottom w:val="none" w:sz="0" w:space="0" w:color="auto"/>
            <w:right w:val="none" w:sz="0" w:space="0" w:color="auto"/>
          </w:divBdr>
          <w:divsChild>
            <w:div w:id="1869373813">
              <w:marLeft w:val="0"/>
              <w:marRight w:val="0"/>
              <w:marTop w:val="0"/>
              <w:marBottom w:val="0"/>
              <w:divBdr>
                <w:top w:val="none" w:sz="0" w:space="0" w:color="auto"/>
                <w:left w:val="none" w:sz="0" w:space="0" w:color="auto"/>
                <w:bottom w:val="none" w:sz="0" w:space="0" w:color="auto"/>
                <w:right w:val="none" w:sz="0" w:space="0" w:color="auto"/>
              </w:divBdr>
              <w:divsChild>
                <w:div w:id="1784425094">
                  <w:marLeft w:val="180"/>
                  <w:marRight w:val="0"/>
                  <w:marTop w:val="0"/>
                  <w:marBottom w:val="0"/>
                  <w:divBdr>
                    <w:top w:val="none" w:sz="0" w:space="0" w:color="auto"/>
                    <w:left w:val="none" w:sz="0" w:space="0" w:color="auto"/>
                    <w:bottom w:val="none" w:sz="0" w:space="0" w:color="auto"/>
                    <w:right w:val="none" w:sz="0" w:space="0" w:color="auto"/>
                  </w:divBdr>
                  <w:divsChild>
                    <w:div w:id="90249584">
                      <w:marLeft w:val="2850"/>
                      <w:marRight w:val="0"/>
                      <w:marTop w:val="0"/>
                      <w:marBottom w:val="0"/>
                      <w:divBdr>
                        <w:top w:val="none" w:sz="0" w:space="0" w:color="auto"/>
                        <w:left w:val="none" w:sz="0" w:space="0" w:color="auto"/>
                        <w:bottom w:val="none" w:sz="0" w:space="0" w:color="auto"/>
                        <w:right w:val="none" w:sz="0" w:space="0" w:color="auto"/>
                      </w:divBdr>
                      <w:divsChild>
                        <w:div w:id="174379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976154">
      <w:bodyDiv w:val="1"/>
      <w:marLeft w:val="0"/>
      <w:marRight w:val="0"/>
      <w:marTop w:val="0"/>
      <w:marBottom w:val="0"/>
      <w:divBdr>
        <w:top w:val="none" w:sz="0" w:space="0" w:color="auto"/>
        <w:left w:val="none" w:sz="0" w:space="0" w:color="auto"/>
        <w:bottom w:val="none" w:sz="0" w:space="0" w:color="auto"/>
        <w:right w:val="none" w:sz="0" w:space="0" w:color="auto"/>
      </w:divBdr>
    </w:div>
    <w:div w:id="2011903451">
      <w:bodyDiv w:val="1"/>
      <w:marLeft w:val="0"/>
      <w:marRight w:val="0"/>
      <w:marTop w:val="0"/>
      <w:marBottom w:val="0"/>
      <w:divBdr>
        <w:top w:val="none" w:sz="0" w:space="0" w:color="auto"/>
        <w:left w:val="none" w:sz="0" w:space="0" w:color="auto"/>
        <w:bottom w:val="none" w:sz="0" w:space="0" w:color="auto"/>
        <w:right w:val="none" w:sz="0" w:space="0" w:color="auto"/>
      </w:divBdr>
    </w:div>
    <w:div w:id="2017533715">
      <w:bodyDiv w:val="1"/>
      <w:marLeft w:val="0"/>
      <w:marRight w:val="0"/>
      <w:marTop w:val="0"/>
      <w:marBottom w:val="0"/>
      <w:divBdr>
        <w:top w:val="none" w:sz="0" w:space="0" w:color="auto"/>
        <w:left w:val="none" w:sz="0" w:space="0" w:color="auto"/>
        <w:bottom w:val="none" w:sz="0" w:space="0" w:color="auto"/>
        <w:right w:val="none" w:sz="0" w:space="0" w:color="auto"/>
      </w:divBdr>
    </w:div>
    <w:div w:id="2019694996">
      <w:bodyDiv w:val="1"/>
      <w:marLeft w:val="0"/>
      <w:marRight w:val="0"/>
      <w:marTop w:val="0"/>
      <w:marBottom w:val="0"/>
      <w:divBdr>
        <w:top w:val="none" w:sz="0" w:space="0" w:color="auto"/>
        <w:left w:val="none" w:sz="0" w:space="0" w:color="auto"/>
        <w:bottom w:val="none" w:sz="0" w:space="0" w:color="auto"/>
        <w:right w:val="none" w:sz="0" w:space="0" w:color="auto"/>
      </w:divBdr>
    </w:div>
    <w:div w:id="2029990138">
      <w:bodyDiv w:val="1"/>
      <w:marLeft w:val="0"/>
      <w:marRight w:val="0"/>
      <w:marTop w:val="0"/>
      <w:marBottom w:val="0"/>
      <w:divBdr>
        <w:top w:val="none" w:sz="0" w:space="0" w:color="auto"/>
        <w:left w:val="none" w:sz="0" w:space="0" w:color="auto"/>
        <w:bottom w:val="none" w:sz="0" w:space="0" w:color="auto"/>
        <w:right w:val="none" w:sz="0" w:space="0" w:color="auto"/>
      </w:divBdr>
    </w:div>
    <w:div w:id="2047874076">
      <w:bodyDiv w:val="1"/>
      <w:marLeft w:val="0"/>
      <w:marRight w:val="0"/>
      <w:marTop w:val="0"/>
      <w:marBottom w:val="0"/>
      <w:divBdr>
        <w:top w:val="none" w:sz="0" w:space="0" w:color="auto"/>
        <w:left w:val="none" w:sz="0" w:space="0" w:color="auto"/>
        <w:bottom w:val="none" w:sz="0" w:space="0" w:color="auto"/>
        <w:right w:val="none" w:sz="0" w:space="0" w:color="auto"/>
      </w:divBdr>
    </w:div>
    <w:div w:id="2048872366">
      <w:bodyDiv w:val="1"/>
      <w:marLeft w:val="0"/>
      <w:marRight w:val="0"/>
      <w:marTop w:val="0"/>
      <w:marBottom w:val="0"/>
      <w:divBdr>
        <w:top w:val="none" w:sz="0" w:space="0" w:color="auto"/>
        <w:left w:val="none" w:sz="0" w:space="0" w:color="auto"/>
        <w:bottom w:val="none" w:sz="0" w:space="0" w:color="auto"/>
        <w:right w:val="none" w:sz="0" w:space="0" w:color="auto"/>
      </w:divBdr>
    </w:div>
    <w:div w:id="2054427784">
      <w:bodyDiv w:val="1"/>
      <w:marLeft w:val="0"/>
      <w:marRight w:val="0"/>
      <w:marTop w:val="0"/>
      <w:marBottom w:val="0"/>
      <w:divBdr>
        <w:top w:val="none" w:sz="0" w:space="0" w:color="auto"/>
        <w:left w:val="none" w:sz="0" w:space="0" w:color="auto"/>
        <w:bottom w:val="none" w:sz="0" w:space="0" w:color="auto"/>
        <w:right w:val="none" w:sz="0" w:space="0" w:color="auto"/>
      </w:divBdr>
    </w:div>
    <w:div w:id="2059085741">
      <w:bodyDiv w:val="1"/>
      <w:marLeft w:val="0"/>
      <w:marRight w:val="0"/>
      <w:marTop w:val="0"/>
      <w:marBottom w:val="0"/>
      <w:divBdr>
        <w:top w:val="none" w:sz="0" w:space="0" w:color="auto"/>
        <w:left w:val="none" w:sz="0" w:space="0" w:color="auto"/>
        <w:bottom w:val="none" w:sz="0" w:space="0" w:color="auto"/>
        <w:right w:val="none" w:sz="0" w:space="0" w:color="auto"/>
      </w:divBdr>
    </w:div>
    <w:div w:id="2060936750">
      <w:bodyDiv w:val="1"/>
      <w:marLeft w:val="0"/>
      <w:marRight w:val="0"/>
      <w:marTop w:val="0"/>
      <w:marBottom w:val="0"/>
      <w:divBdr>
        <w:top w:val="none" w:sz="0" w:space="0" w:color="auto"/>
        <w:left w:val="none" w:sz="0" w:space="0" w:color="auto"/>
        <w:bottom w:val="none" w:sz="0" w:space="0" w:color="auto"/>
        <w:right w:val="none" w:sz="0" w:space="0" w:color="auto"/>
      </w:divBdr>
    </w:div>
    <w:div w:id="2084066329">
      <w:bodyDiv w:val="1"/>
      <w:marLeft w:val="0"/>
      <w:marRight w:val="0"/>
      <w:marTop w:val="0"/>
      <w:marBottom w:val="0"/>
      <w:divBdr>
        <w:top w:val="none" w:sz="0" w:space="0" w:color="auto"/>
        <w:left w:val="none" w:sz="0" w:space="0" w:color="auto"/>
        <w:bottom w:val="none" w:sz="0" w:space="0" w:color="auto"/>
        <w:right w:val="none" w:sz="0" w:space="0" w:color="auto"/>
      </w:divBdr>
    </w:div>
    <w:div w:id="2095086696">
      <w:bodyDiv w:val="1"/>
      <w:marLeft w:val="0"/>
      <w:marRight w:val="0"/>
      <w:marTop w:val="0"/>
      <w:marBottom w:val="0"/>
      <w:divBdr>
        <w:top w:val="none" w:sz="0" w:space="0" w:color="auto"/>
        <w:left w:val="none" w:sz="0" w:space="0" w:color="auto"/>
        <w:bottom w:val="none" w:sz="0" w:space="0" w:color="auto"/>
        <w:right w:val="none" w:sz="0" w:space="0" w:color="auto"/>
      </w:divBdr>
    </w:div>
    <w:div w:id="2097822994">
      <w:bodyDiv w:val="1"/>
      <w:marLeft w:val="0"/>
      <w:marRight w:val="0"/>
      <w:marTop w:val="0"/>
      <w:marBottom w:val="0"/>
      <w:divBdr>
        <w:top w:val="none" w:sz="0" w:space="0" w:color="auto"/>
        <w:left w:val="none" w:sz="0" w:space="0" w:color="auto"/>
        <w:bottom w:val="none" w:sz="0" w:space="0" w:color="auto"/>
        <w:right w:val="none" w:sz="0" w:space="0" w:color="auto"/>
      </w:divBdr>
      <w:divsChild>
        <w:div w:id="68232582">
          <w:marLeft w:val="547"/>
          <w:marRight w:val="0"/>
          <w:marTop w:val="134"/>
          <w:marBottom w:val="0"/>
          <w:divBdr>
            <w:top w:val="none" w:sz="0" w:space="0" w:color="auto"/>
            <w:left w:val="none" w:sz="0" w:space="0" w:color="auto"/>
            <w:bottom w:val="none" w:sz="0" w:space="0" w:color="auto"/>
            <w:right w:val="none" w:sz="0" w:space="0" w:color="auto"/>
          </w:divBdr>
        </w:div>
        <w:div w:id="78405661">
          <w:marLeft w:val="547"/>
          <w:marRight w:val="0"/>
          <w:marTop w:val="134"/>
          <w:marBottom w:val="0"/>
          <w:divBdr>
            <w:top w:val="none" w:sz="0" w:space="0" w:color="auto"/>
            <w:left w:val="none" w:sz="0" w:space="0" w:color="auto"/>
            <w:bottom w:val="none" w:sz="0" w:space="0" w:color="auto"/>
            <w:right w:val="none" w:sz="0" w:space="0" w:color="auto"/>
          </w:divBdr>
        </w:div>
        <w:div w:id="101918242">
          <w:marLeft w:val="547"/>
          <w:marRight w:val="0"/>
          <w:marTop w:val="134"/>
          <w:marBottom w:val="0"/>
          <w:divBdr>
            <w:top w:val="none" w:sz="0" w:space="0" w:color="auto"/>
            <w:left w:val="none" w:sz="0" w:space="0" w:color="auto"/>
            <w:bottom w:val="none" w:sz="0" w:space="0" w:color="auto"/>
            <w:right w:val="none" w:sz="0" w:space="0" w:color="auto"/>
          </w:divBdr>
        </w:div>
        <w:div w:id="177817545">
          <w:marLeft w:val="547"/>
          <w:marRight w:val="0"/>
          <w:marTop w:val="134"/>
          <w:marBottom w:val="0"/>
          <w:divBdr>
            <w:top w:val="none" w:sz="0" w:space="0" w:color="auto"/>
            <w:left w:val="none" w:sz="0" w:space="0" w:color="auto"/>
            <w:bottom w:val="none" w:sz="0" w:space="0" w:color="auto"/>
            <w:right w:val="none" w:sz="0" w:space="0" w:color="auto"/>
          </w:divBdr>
        </w:div>
        <w:div w:id="1549536707">
          <w:marLeft w:val="547"/>
          <w:marRight w:val="0"/>
          <w:marTop w:val="134"/>
          <w:marBottom w:val="0"/>
          <w:divBdr>
            <w:top w:val="none" w:sz="0" w:space="0" w:color="auto"/>
            <w:left w:val="none" w:sz="0" w:space="0" w:color="auto"/>
            <w:bottom w:val="none" w:sz="0" w:space="0" w:color="auto"/>
            <w:right w:val="none" w:sz="0" w:space="0" w:color="auto"/>
          </w:divBdr>
        </w:div>
      </w:divsChild>
    </w:div>
    <w:div w:id="2117939599">
      <w:bodyDiv w:val="1"/>
      <w:marLeft w:val="0"/>
      <w:marRight w:val="0"/>
      <w:marTop w:val="0"/>
      <w:marBottom w:val="0"/>
      <w:divBdr>
        <w:top w:val="none" w:sz="0" w:space="0" w:color="auto"/>
        <w:left w:val="none" w:sz="0" w:space="0" w:color="auto"/>
        <w:bottom w:val="none" w:sz="0" w:space="0" w:color="auto"/>
        <w:right w:val="none" w:sz="0" w:space="0" w:color="auto"/>
      </w:divBdr>
    </w:div>
    <w:div w:id="2124182406">
      <w:bodyDiv w:val="1"/>
      <w:marLeft w:val="0"/>
      <w:marRight w:val="0"/>
      <w:marTop w:val="0"/>
      <w:marBottom w:val="0"/>
      <w:divBdr>
        <w:top w:val="none" w:sz="0" w:space="0" w:color="auto"/>
        <w:left w:val="none" w:sz="0" w:space="0" w:color="auto"/>
        <w:bottom w:val="none" w:sz="0" w:space="0" w:color="auto"/>
        <w:right w:val="none" w:sz="0" w:space="0" w:color="auto"/>
      </w:divBdr>
    </w:div>
    <w:div w:id="213178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emf"/><Relationship Id="rId26" Type="http://schemas.openxmlformats.org/officeDocument/2006/relationships/image" Target="media/image15.emf"/><Relationship Id="rId39" Type="http://schemas.openxmlformats.org/officeDocument/2006/relationships/header" Target="header1.xml"/><Relationship Id="rId21" Type="http://schemas.openxmlformats.org/officeDocument/2006/relationships/image" Target="media/image10.emf"/><Relationship Id="rId34" Type="http://schemas.openxmlformats.org/officeDocument/2006/relationships/diagramData" Target="diagrams/data1.xml"/><Relationship Id="rId42" Type="http://schemas.openxmlformats.org/officeDocument/2006/relationships/image" Target="media/image23.emf"/><Relationship Id="rId47" Type="http://schemas.openxmlformats.org/officeDocument/2006/relationships/fontTable" Target="fontTable.xml"/><Relationship Id="rId50"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hyperlink" Target="http://www.preventionewb.net" TargetMode="External"/><Relationship Id="rId11" Type="http://schemas.openxmlformats.org/officeDocument/2006/relationships/image" Target="media/image2.png"/><Relationship Id="rId24" Type="http://schemas.openxmlformats.org/officeDocument/2006/relationships/image" Target="media/image13.emf"/><Relationship Id="rId32" Type="http://schemas.openxmlformats.org/officeDocument/2006/relationships/image" Target="media/image20.png"/><Relationship Id="rId37" Type="http://schemas.openxmlformats.org/officeDocument/2006/relationships/diagramColors" Target="diagrams/colors1.xml"/><Relationship Id="rId40" Type="http://schemas.openxmlformats.org/officeDocument/2006/relationships/footer" Target="footer1.xml"/><Relationship Id="rId45" Type="http://schemas.openxmlformats.org/officeDocument/2006/relationships/footer" Target="footer2.xml"/><Relationship Id="rId53" Type="http://schemas.openxmlformats.org/officeDocument/2006/relationships/customXml" Target="../customXml/item6.xml"/><Relationship Id="rId5" Type="http://schemas.openxmlformats.org/officeDocument/2006/relationships/settings" Target="settings.xml"/><Relationship Id="rId10" Type="http://schemas.openxmlformats.org/officeDocument/2006/relationships/hyperlink" Target="http://www.tsunami-alarm-system.com/en/phenomenon-tsunami/occurrences-pacific-ocean.html" TargetMode="External"/><Relationship Id="rId19" Type="http://schemas.openxmlformats.org/officeDocument/2006/relationships/image" Target="media/image8.emf"/><Relationship Id="rId31" Type="http://schemas.openxmlformats.org/officeDocument/2006/relationships/image" Target="media/image19.png"/><Relationship Id="rId44" Type="http://schemas.openxmlformats.org/officeDocument/2006/relationships/hyperlink" Target="http://link.springer.com/article/10.1007/s11069-008-9340-5" TargetMode="External"/><Relationship Id="rId52"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online.desinventar.org/desinventar/" TargetMode="External"/><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8.emf"/><Relationship Id="rId35" Type="http://schemas.openxmlformats.org/officeDocument/2006/relationships/diagramLayout" Target="diagrams/layout1.xml"/><Relationship Id="rId43" Type="http://schemas.openxmlformats.org/officeDocument/2006/relationships/hyperlink" Target="http://elibrary.worldbank.org/doi/abs/10.1596/1813-9450-6058" TargetMode="External"/><Relationship Id="rId48"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yperlink" Target="https://online.desinventar.org/desinventar/" TargetMode="External"/><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image" Target="media/image21.png"/><Relationship Id="rId38" Type="http://schemas.microsoft.com/office/2007/relationships/diagramDrawing" Target="diagrams/drawing1.xml"/><Relationship Id="rId46" Type="http://schemas.openxmlformats.org/officeDocument/2006/relationships/footer" Target="footer3.xml"/><Relationship Id="rId20" Type="http://schemas.openxmlformats.org/officeDocument/2006/relationships/image" Target="media/image9.emf"/><Relationship Id="rId41"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diagramQuickStyle" Target="diagrams/quickStyle1.xml"/><Relationship Id="rId49"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eird.org/pr14/cd/documentos/espanol/Publicacionesrelevantes/Documentosguiaglobales/BID-Metodologia-Indicadores.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604CD7-F5EB-4244-BB9B-5C70D8AB47FD}" type="doc">
      <dgm:prSet loTypeId="urn:microsoft.com/office/officeart/2005/8/layout/cycle8" loCatId="cycle" qsTypeId="urn:microsoft.com/office/officeart/2005/8/quickstyle/3d7" qsCatId="3D" csTypeId="urn:microsoft.com/office/officeart/2005/8/colors/accent1_2" csCatId="accent1" phldr="1"/>
      <dgm:spPr/>
      <dgm:t>
        <a:bodyPr/>
        <a:lstStyle/>
        <a:p>
          <a:endParaRPr lang="es-AR"/>
        </a:p>
      </dgm:t>
    </dgm:pt>
    <dgm:pt modelId="{546430E7-5B37-417D-ADD7-C65D96DD5869}">
      <dgm:prSet phldrT="[Texto]" custT="1"/>
      <dgm:spPr>
        <a:xfrm>
          <a:off x="1033985" y="280468"/>
          <a:ext cx="2664333" cy="2664333"/>
        </a:xfrm>
        <a:solidFill>
          <a:srgbClr val="4F81BD">
            <a:hueOff val="0"/>
            <a:satOff val="0"/>
            <a:lumOff val="0"/>
            <a:alphaOff val="0"/>
          </a:srgb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gm:spPr>
      <dgm:t>
        <a:bodyPr/>
        <a:lstStyle/>
        <a:p>
          <a:r>
            <a:rPr lang="es-AR" sz="1100">
              <a:solidFill>
                <a:sysClr val="windowText" lastClr="000000"/>
              </a:solidFill>
              <a:latin typeface="Times New Roman" panose="02020603050405020304" pitchFamily="18" charset="0"/>
              <a:ea typeface="+mn-ea"/>
              <a:cs typeface="Times New Roman" panose="02020603050405020304" pitchFamily="18" charset="0"/>
            </a:rPr>
            <a:t>Difusión y Comunicación</a:t>
          </a:r>
        </a:p>
      </dgm:t>
    </dgm:pt>
    <dgm:pt modelId="{195D39B7-09DD-4485-A45F-C4A1E96732EE}" type="parTrans" cxnId="{49EAE9CB-C65B-436C-A3CA-3EBC1E996ECB}">
      <dgm:prSet/>
      <dgm:spPr/>
      <dgm:t>
        <a:bodyPr/>
        <a:lstStyle/>
        <a:p>
          <a:endParaRPr lang="es-AR"/>
        </a:p>
      </dgm:t>
    </dgm:pt>
    <dgm:pt modelId="{B4354D33-1C5E-44A5-AA19-3B6B65FF7D27}" type="sibTrans" cxnId="{49EAE9CB-C65B-436C-A3CA-3EBC1E996ECB}">
      <dgm:prSet/>
      <dgm:spPr/>
      <dgm:t>
        <a:bodyPr/>
        <a:lstStyle/>
        <a:p>
          <a:endParaRPr lang="es-AR"/>
        </a:p>
      </dgm:t>
    </dgm:pt>
    <dgm:pt modelId="{5A87BBB0-E802-438A-BB76-9F0FEB95E1C0}">
      <dgm:prSet custT="1"/>
      <dgm:spPr>
        <a:xfrm>
          <a:off x="1033985" y="191023"/>
          <a:ext cx="2664333" cy="2664333"/>
        </a:xfrm>
        <a:solidFill>
          <a:srgbClr val="4F81BD">
            <a:hueOff val="0"/>
            <a:satOff val="0"/>
            <a:lumOff val="0"/>
            <a:alphaOff val="0"/>
          </a:srgb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gm:spPr>
      <dgm:t>
        <a:bodyPr/>
        <a:lstStyle/>
        <a:p>
          <a:r>
            <a:rPr lang="es-AR" sz="1100">
              <a:solidFill>
                <a:sysClr val="windowText" lastClr="000000"/>
              </a:solidFill>
              <a:latin typeface="Times New Roman" panose="02020603050405020304" pitchFamily="18" charset="0"/>
              <a:ea typeface="+mn-ea"/>
              <a:cs typeface="Times New Roman" panose="02020603050405020304" pitchFamily="18" charset="0"/>
            </a:rPr>
            <a:t>Capacidad de Respuesta</a:t>
          </a:r>
        </a:p>
      </dgm:t>
    </dgm:pt>
    <dgm:pt modelId="{13699720-9B61-4072-9209-0F8A18881D67}" type="parTrans" cxnId="{CDF278DF-0437-4457-9B7F-52CD98CFF4DB}">
      <dgm:prSet/>
      <dgm:spPr/>
      <dgm:t>
        <a:bodyPr/>
        <a:lstStyle/>
        <a:p>
          <a:endParaRPr lang="es-AR"/>
        </a:p>
      </dgm:t>
    </dgm:pt>
    <dgm:pt modelId="{48C5E75D-E44A-4C45-8F5D-FFF0DF0D5881}" type="sibTrans" cxnId="{CDF278DF-0437-4457-9B7F-52CD98CFF4DB}">
      <dgm:prSet/>
      <dgm:spPr/>
      <dgm:t>
        <a:bodyPr/>
        <a:lstStyle/>
        <a:p>
          <a:endParaRPr lang="es-AR"/>
        </a:p>
      </dgm:t>
    </dgm:pt>
    <dgm:pt modelId="{BBBA6B40-0844-4A27-A4CF-09E32314317B}">
      <dgm:prSet phldrT="[Texto]" custT="1"/>
      <dgm:spPr>
        <a:xfrm>
          <a:off x="1123431" y="191023"/>
          <a:ext cx="2664333" cy="2664333"/>
        </a:xfrm>
        <a:solidFill>
          <a:srgbClr val="4F81BD">
            <a:hueOff val="0"/>
            <a:satOff val="0"/>
            <a:lumOff val="0"/>
            <a:alphaOff val="0"/>
          </a:srgb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gm:spPr>
      <dgm:t>
        <a:bodyPr/>
        <a:lstStyle/>
        <a:p>
          <a:r>
            <a:rPr lang="es-AR" sz="1100">
              <a:solidFill>
                <a:sysClr val="windowText" lastClr="000000"/>
              </a:solidFill>
              <a:latin typeface="Times New Roman" panose="02020603050405020304" pitchFamily="18" charset="0"/>
              <a:ea typeface="+mn-ea"/>
              <a:cs typeface="Times New Roman" panose="02020603050405020304" pitchFamily="18" charset="0"/>
            </a:rPr>
            <a:t>Conomicimiento de los riesgos</a:t>
          </a:r>
        </a:p>
      </dgm:t>
    </dgm:pt>
    <dgm:pt modelId="{91764041-BE7D-4EB2-B3F8-429BFB1BAA4F}" type="parTrans" cxnId="{34A9195C-4918-4692-BF8A-E140D7D3A206}">
      <dgm:prSet/>
      <dgm:spPr/>
      <dgm:t>
        <a:bodyPr/>
        <a:lstStyle/>
        <a:p>
          <a:endParaRPr lang="es-AR"/>
        </a:p>
      </dgm:t>
    </dgm:pt>
    <dgm:pt modelId="{DB6E8CF8-5F05-44B9-8A6B-AE037EED801B}" type="sibTrans" cxnId="{34A9195C-4918-4692-BF8A-E140D7D3A206}">
      <dgm:prSet/>
      <dgm:spPr/>
      <dgm:t>
        <a:bodyPr/>
        <a:lstStyle/>
        <a:p>
          <a:endParaRPr lang="es-AR"/>
        </a:p>
      </dgm:t>
    </dgm:pt>
    <dgm:pt modelId="{2D4978BE-FFA3-4956-8420-A60C38AF056C}">
      <dgm:prSet phldrT="[Texto]" custT="1"/>
      <dgm:spPr>
        <a:xfrm>
          <a:off x="1123431" y="280468"/>
          <a:ext cx="2664333" cy="2664333"/>
        </a:xfrm>
        <a:solidFill>
          <a:srgbClr val="4F81BD">
            <a:hueOff val="0"/>
            <a:satOff val="0"/>
            <a:lumOff val="0"/>
            <a:alphaOff val="0"/>
          </a:srgb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gm:spPr>
      <dgm:t>
        <a:bodyPr/>
        <a:lstStyle/>
        <a:p>
          <a:r>
            <a:rPr lang="es-AR" sz="1100">
              <a:solidFill>
                <a:sysClr val="windowText" lastClr="000000"/>
              </a:solidFill>
              <a:latin typeface="Times New Roman" panose="02020603050405020304" pitchFamily="18" charset="0"/>
              <a:ea typeface="+mn-ea"/>
              <a:cs typeface="Times New Roman" panose="02020603050405020304" pitchFamily="18" charset="0"/>
            </a:rPr>
            <a:t>Monitoreo y Seguimiento</a:t>
          </a:r>
        </a:p>
      </dgm:t>
    </dgm:pt>
    <dgm:pt modelId="{D81C0541-AB22-417D-B2B6-C2DCF3B0F4AD}" type="parTrans" cxnId="{D702231C-D5EB-4D79-A4BE-493E93A660B3}">
      <dgm:prSet/>
      <dgm:spPr/>
      <dgm:t>
        <a:bodyPr/>
        <a:lstStyle/>
        <a:p>
          <a:endParaRPr lang="es-AR"/>
        </a:p>
      </dgm:t>
    </dgm:pt>
    <dgm:pt modelId="{5178B23B-9C8E-4ADF-A070-47573660A11C}" type="sibTrans" cxnId="{D702231C-D5EB-4D79-A4BE-493E93A660B3}">
      <dgm:prSet/>
      <dgm:spPr/>
      <dgm:t>
        <a:bodyPr/>
        <a:lstStyle/>
        <a:p>
          <a:endParaRPr lang="es-AR"/>
        </a:p>
      </dgm:t>
    </dgm:pt>
    <dgm:pt modelId="{AC7A675C-9983-48D3-9834-727ABCFC8650}" type="pres">
      <dgm:prSet presAssocID="{FD604CD7-F5EB-4244-BB9B-5C70D8AB47FD}" presName="compositeShape" presStyleCnt="0">
        <dgm:presLayoutVars>
          <dgm:chMax val="7"/>
          <dgm:dir/>
          <dgm:resizeHandles val="exact"/>
        </dgm:presLayoutVars>
      </dgm:prSet>
      <dgm:spPr/>
      <dgm:t>
        <a:bodyPr/>
        <a:lstStyle/>
        <a:p>
          <a:endParaRPr lang="es-AR"/>
        </a:p>
      </dgm:t>
    </dgm:pt>
    <dgm:pt modelId="{EE20FB13-1136-4B8E-9A27-2BC0406076DE}" type="pres">
      <dgm:prSet presAssocID="{FD604CD7-F5EB-4244-BB9B-5C70D8AB47FD}" presName="wedge1" presStyleLbl="node1" presStyleIdx="0" presStyleCnt="4"/>
      <dgm:spPr>
        <a:prstGeom prst="pie">
          <a:avLst>
            <a:gd name="adj1" fmla="val 16200000"/>
            <a:gd name="adj2" fmla="val 0"/>
          </a:avLst>
        </a:prstGeom>
      </dgm:spPr>
      <dgm:t>
        <a:bodyPr/>
        <a:lstStyle/>
        <a:p>
          <a:endParaRPr lang="es-AR"/>
        </a:p>
      </dgm:t>
    </dgm:pt>
    <dgm:pt modelId="{BAB47595-A86A-48C2-BF60-CCC01F24CA9B}" type="pres">
      <dgm:prSet presAssocID="{FD604CD7-F5EB-4244-BB9B-5C70D8AB47FD}" presName="dummy1a" presStyleCnt="0"/>
      <dgm:spPr/>
    </dgm:pt>
    <dgm:pt modelId="{13949FE6-B1DC-43CA-8725-4875C798E87C}" type="pres">
      <dgm:prSet presAssocID="{FD604CD7-F5EB-4244-BB9B-5C70D8AB47FD}" presName="dummy1b" presStyleCnt="0"/>
      <dgm:spPr/>
    </dgm:pt>
    <dgm:pt modelId="{C722E70B-218B-4A62-95D5-3C1A2A2BD45E}" type="pres">
      <dgm:prSet presAssocID="{FD604CD7-F5EB-4244-BB9B-5C70D8AB47FD}" presName="wedge1Tx" presStyleLbl="node1" presStyleIdx="0" presStyleCnt="4">
        <dgm:presLayoutVars>
          <dgm:chMax val="0"/>
          <dgm:chPref val="0"/>
          <dgm:bulletEnabled val="1"/>
        </dgm:presLayoutVars>
      </dgm:prSet>
      <dgm:spPr/>
      <dgm:t>
        <a:bodyPr/>
        <a:lstStyle/>
        <a:p>
          <a:endParaRPr lang="es-AR"/>
        </a:p>
      </dgm:t>
    </dgm:pt>
    <dgm:pt modelId="{9B880AFA-6461-4D3F-82BA-2A35F49E1A1A}" type="pres">
      <dgm:prSet presAssocID="{FD604CD7-F5EB-4244-BB9B-5C70D8AB47FD}" presName="wedge2" presStyleLbl="node1" presStyleIdx="1" presStyleCnt="4"/>
      <dgm:spPr>
        <a:prstGeom prst="pie">
          <a:avLst>
            <a:gd name="adj1" fmla="val 0"/>
            <a:gd name="adj2" fmla="val 5400000"/>
          </a:avLst>
        </a:prstGeom>
      </dgm:spPr>
      <dgm:t>
        <a:bodyPr/>
        <a:lstStyle/>
        <a:p>
          <a:endParaRPr lang="es-AR"/>
        </a:p>
      </dgm:t>
    </dgm:pt>
    <dgm:pt modelId="{3250A9E2-91E3-4250-B3AD-75EB81B489CA}" type="pres">
      <dgm:prSet presAssocID="{FD604CD7-F5EB-4244-BB9B-5C70D8AB47FD}" presName="dummy2a" presStyleCnt="0"/>
      <dgm:spPr/>
    </dgm:pt>
    <dgm:pt modelId="{30A27383-97FD-4DBC-996E-53FB1C047DBC}" type="pres">
      <dgm:prSet presAssocID="{FD604CD7-F5EB-4244-BB9B-5C70D8AB47FD}" presName="dummy2b" presStyleCnt="0"/>
      <dgm:spPr/>
    </dgm:pt>
    <dgm:pt modelId="{4ED7A2EA-D9A4-4E3C-9247-EA0E43D3BD63}" type="pres">
      <dgm:prSet presAssocID="{FD604CD7-F5EB-4244-BB9B-5C70D8AB47FD}" presName="wedge2Tx" presStyleLbl="node1" presStyleIdx="1" presStyleCnt="4">
        <dgm:presLayoutVars>
          <dgm:chMax val="0"/>
          <dgm:chPref val="0"/>
          <dgm:bulletEnabled val="1"/>
        </dgm:presLayoutVars>
      </dgm:prSet>
      <dgm:spPr/>
      <dgm:t>
        <a:bodyPr/>
        <a:lstStyle/>
        <a:p>
          <a:endParaRPr lang="es-AR"/>
        </a:p>
      </dgm:t>
    </dgm:pt>
    <dgm:pt modelId="{65EDE6A3-0D53-4065-8A71-B40ABE9B5E67}" type="pres">
      <dgm:prSet presAssocID="{FD604CD7-F5EB-4244-BB9B-5C70D8AB47FD}" presName="wedge3" presStyleLbl="node1" presStyleIdx="2" presStyleCnt="4"/>
      <dgm:spPr>
        <a:prstGeom prst="pie">
          <a:avLst>
            <a:gd name="adj1" fmla="val 5400000"/>
            <a:gd name="adj2" fmla="val 10800000"/>
          </a:avLst>
        </a:prstGeom>
      </dgm:spPr>
      <dgm:t>
        <a:bodyPr/>
        <a:lstStyle/>
        <a:p>
          <a:endParaRPr lang="es-AR"/>
        </a:p>
      </dgm:t>
    </dgm:pt>
    <dgm:pt modelId="{9E5F4364-B61C-48C1-B983-CEAB84245EBB}" type="pres">
      <dgm:prSet presAssocID="{FD604CD7-F5EB-4244-BB9B-5C70D8AB47FD}" presName="dummy3a" presStyleCnt="0"/>
      <dgm:spPr/>
    </dgm:pt>
    <dgm:pt modelId="{7EB53481-2F26-4284-B693-2A11F3EE9B20}" type="pres">
      <dgm:prSet presAssocID="{FD604CD7-F5EB-4244-BB9B-5C70D8AB47FD}" presName="dummy3b" presStyleCnt="0"/>
      <dgm:spPr/>
    </dgm:pt>
    <dgm:pt modelId="{9A51906B-0CC6-4290-99A5-9BC61B0AE00D}" type="pres">
      <dgm:prSet presAssocID="{FD604CD7-F5EB-4244-BB9B-5C70D8AB47FD}" presName="wedge3Tx" presStyleLbl="node1" presStyleIdx="2" presStyleCnt="4">
        <dgm:presLayoutVars>
          <dgm:chMax val="0"/>
          <dgm:chPref val="0"/>
          <dgm:bulletEnabled val="1"/>
        </dgm:presLayoutVars>
      </dgm:prSet>
      <dgm:spPr/>
      <dgm:t>
        <a:bodyPr/>
        <a:lstStyle/>
        <a:p>
          <a:endParaRPr lang="es-AR"/>
        </a:p>
      </dgm:t>
    </dgm:pt>
    <dgm:pt modelId="{60FB4F3E-48CB-43ED-BC94-C4C4AB8C8834}" type="pres">
      <dgm:prSet presAssocID="{FD604CD7-F5EB-4244-BB9B-5C70D8AB47FD}" presName="wedge4" presStyleLbl="node1" presStyleIdx="3" presStyleCnt="4"/>
      <dgm:spPr>
        <a:prstGeom prst="pie">
          <a:avLst>
            <a:gd name="adj1" fmla="val 10800000"/>
            <a:gd name="adj2" fmla="val 16200000"/>
          </a:avLst>
        </a:prstGeom>
      </dgm:spPr>
      <dgm:t>
        <a:bodyPr/>
        <a:lstStyle/>
        <a:p>
          <a:endParaRPr lang="es-AR"/>
        </a:p>
      </dgm:t>
    </dgm:pt>
    <dgm:pt modelId="{FD062476-6245-4599-97D2-1B9A0174193E}" type="pres">
      <dgm:prSet presAssocID="{FD604CD7-F5EB-4244-BB9B-5C70D8AB47FD}" presName="dummy4a" presStyleCnt="0"/>
      <dgm:spPr/>
    </dgm:pt>
    <dgm:pt modelId="{1E560394-605A-4157-98AB-C2BF30664CDE}" type="pres">
      <dgm:prSet presAssocID="{FD604CD7-F5EB-4244-BB9B-5C70D8AB47FD}" presName="dummy4b" presStyleCnt="0"/>
      <dgm:spPr/>
    </dgm:pt>
    <dgm:pt modelId="{E3C62BE4-74B7-45CC-A7D7-4754236D6849}" type="pres">
      <dgm:prSet presAssocID="{FD604CD7-F5EB-4244-BB9B-5C70D8AB47FD}" presName="wedge4Tx" presStyleLbl="node1" presStyleIdx="3" presStyleCnt="4">
        <dgm:presLayoutVars>
          <dgm:chMax val="0"/>
          <dgm:chPref val="0"/>
          <dgm:bulletEnabled val="1"/>
        </dgm:presLayoutVars>
      </dgm:prSet>
      <dgm:spPr/>
      <dgm:t>
        <a:bodyPr/>
        <a:lstStyle/>
        <a:p>
          <a:endParaRPr lang="es-AR"/>
        </a:p>
      </dgm:t>
    </dgm:pt>
    <dgm:pt modelId="{5DCA2844-D0D2-4E80-93DC-E5D792D66569}" type="pres">
      <dgm:prSet presAssocID="{DB6E8CF8-5F05-44B9-8A6B-AE037EED801B}" presName="arrowWedge1" presStyleLbl="fgSibTrans2D1" presStyleIdx="0" presStyleCnt="4"/>
      <dgm:spPr>
        <a:xfrm>
          <a:off x="958496" y="26088"/>
          <a:ext cx="2994202" cy="2994202"/>
        </a:xfrm>
        <a:prstGeom prst="circularArrow">
          <a:avLst>
            <a:gd name="adj1" fmla="val 5085"/>
            <a:gd name="adj2" fmla="val 327528"/>
            <a:gd name="adj3" fmla="val 21272472"/>
            <a:gd name="adj4" fmla="val 16200000"/>
            <a:gd name="adj5" fmla="val 5932"/>
          </a:avLst>
        </a:prstGeom>
        <a:solidFill>
          <a:srgbClr val="C00000"/>
        </a:solidFill>
        <a:ln>
          <a:noFill/>
        </a:ln>
        <a:effectLst>
          <a:outerShdw blurRad="40000" dist="23000" dir="5400000" rotWithShape="0">
            <a:srgbClr val="000000">
              <a:alpha val="35000"/>
            </a:srgbClr>
          </a:outerShdw>
        </a:effectLst>
        <a:sp3d z="10600">
          <a:bevelT w="40600" h="20600" prst="relaxedInset"/>
        </a:sp3d>
      </dgm:spPr>
      <dgm:t>
        <a:bodyPr/>
        <a:lstStyle/>
        <a:p>
          <a:endParaRPr lang="es-AR"/>
        </a:p>
      </dgm:t>
    </dgm:pt>
    <dgm:pt modelId="{0339A1F2-DD33-43BB-8BBE-8CD6379B49C2}" type="pres">
      <dgm:prSet presAssocID="{5178B23B-9C8E-4ADF-A070-47573660A11C}" presName="arrowWedge2" presStyleLbl="fgSibTrans2D1" presStyleIdx="1" presStyleCnt="4"/>
      <dgm:spPr>
        <a:xfrm>
          <a:off x="958496" y="115533"/>
          <a:ext cx="2994202" cy="2994202"/>
        </a:xfrm>
        <a:prstGeom prst="circularArrow">
          <a:avLst>
            <a:gd name="adj1" fmla="val 5085"/>
            <a:gd name="adj2" fmla="val 327528"/>
            <a:gd name="adj3" fmla="val 5072472"/>
            <a:gd name="adj4" fmla="val 0"/>
            <a:gd name="adj5" fmla="val 5932"/>
          </a:avLst>
        </a:prstGeom>
        <a:solidFill>
          <a:srgbClr val="FFC000"/>
        </a:solidFill>
        <a:ln>
          <a:noFill/>
        </a:ln>
        <a:effectLst>
          <a:outerShdw blurRad="40000" dist="23000" dir="5400000" rotWithShape="0">
            <a:srgbClr val="000000">
              <a:alpha val="35000"/>
            </a:srgbClr>
          </a:outerShdw>
        </a:effectLst>
        <a:sp3d z="10600">
          <a:bevelT w="40600" h="20600" prst="relaxedInset"/>
        </a:sp3d>
      </dgm:spPr>
      <dgm:t>
        <a:bodyPr/>
        <a:lstStyle/>
        <a:p>
          <a:endParaRPr lang="es-AR"/>
        </a:p>
      </dgm:t>
    </dgm:pt>
    <dgm:pt modelId="{56AE1AC9-0812-4972-8B13-EE5D6C3AB1CB}" type="pres">
      <dgm:prSet presAssocID="{B4354D33-1C5E-44A5-AA19-3B6B65FF7D27}" presName="arrowWedge3" presStyleLbl="fgSibTrans2D1" presStyleIdx="2" presStyleCnt="4"/>
      <dgm:spPr>
        <a:xfrm>
          <a:off x="869050" y="115533"/>
          <a:ext cx="2994202" cy="2994202"/>
        </a:xfrm>
        <a:prstGeom prst="circularArrow">
          <a:avLst>
            <a:gd name="adj1" fmla="val 5085"/>
            <a:gd name="adj2" fmla="val 327528"/>
            <a:gd name="adj3" fmla="val 10472472"/>
            <a:gd name="adj4" fmla="val 5400000"/>
            <a:gd name="adj5" fmla="val 5932"/>
          </a:avLst>
        </a:prstGeom>
        <a:solidFill>
          <a:srgbClr val="FFFF00"/>
        </a:solidFill>
        <a:ln>
          <a:noFill/>
        </a:ln>
        <a:effectLst>
          <a:outerShdw blurRad="40000" dist="23000" dir="5400000" rotWithShape="0">
            <a:srgbClr val="000000">
              <a:alpha val="35000"/>
            </a:srgbClr>
          </a:outerShdw>
        </a:effectLst>
        <a:sp3d z="10600">
          <a:bevelT w="40600" h="20600" prst="relaxedInset"/>
        </a:sp3d>
      </dgm:spPr>
      <dgm:t>
        <a:bodyPr/>
        <a:lstStyle/>
        <a:p>
          <a:endParaRPr lang="es-AR"/>
        </a:p>
      </dgm:t>
    </dgm:pt>
    <dgm:pt modelId="{36394B0D-C949-44B5-BF65-E601F826AE90}" type="pres">
      <dgm:prSet presAssocID="{48C5E75D-E44A-4C45-8F5D-FFF0DF0D5881}" presName="arrowWedge4" presStyleLbl="fgSibTrans2D1" presStyleIdx="3" presStyleCnt="4"/>
      <dgm:spPr>
        <a:xfrm>
          <a:off x="869050" y="26088"/>
          <a:ext cx="2994202" cy="2994202"/>
        </a:xfrm>
        <a:prstGeom prst="circularArrow">
          <a:avLst>
            <a:gd name="adj1" fmla="val 5085"/>
            <a:gd name="adj2" fmla="val 327528"/>
            <a:gd name="adj3" fmla="val 15872472"/>
            <a:gd name="adj4" fmla="val 10800000"/>
            <a:gd name="adj5" fmla="val 5932"/>
          </a:avLst>
        </a:prstGeom>
        <a:solidFill>
          <a:srgbClr val="92D050"/>
        </a:solidFill>
        <a:ln>
          <a:noFill/>
        </a:ln>
        <a:effectLst>
          <a:outerShdw blurRad="40000" dist="23000" dir="5400000" rotWithShape="0">
            <a:srgbClr val="000000">
              <a:alpha val="35000"/>
            </a:srgbClr>
          </a:outerShdw>
        </a:effectLst>
        <a:sp3d z="10600">
          <a:bevelT w="40600" h="20600" prst="relaxedInset"/>
        </a:sp3d>
      </dgm:spPr>
      <dgm:t>
        <a:bodyPr/>
        <a:lstStyle/>
        <a:p>
          <a:endParaRPr lang="es-AR"/>
        </a:p>
      </dgm:t>
    </dgm:pt>
  </dgm:ptLst>
  <dgm:cxnLst>
    <dgm:cxn modelId="{34A9195C-4918-4692-BF8A-E140D7D3A206}" srcId="{FD604CD7-F5EB-4244-BB9B-5C70D8AB47FD}" destId="{BBBA6B40-0844-4A27-A4CF-09E32314317B}" srcOrd="0" destOrd="0" parTransId="{91764041-BE7D-4EB2-B3F8-429BFB1BAA4F}" sibTransId="{DB6E8CF8-5F05-44B9-8A6B-AE037EED801B}"/>
    <dgm:cxn modelId="{49EAE9CB-C65B-436C-A3CA-3EBC1E996ECB}" srcId="{FD604CD7-F5EB-4244-BB9B-5C70D8AB47FD}" destId="{546430E7-5B37-417D-ADD7-C65D96DD5869}" srcOrd="2" destOrd="0" parTransId="{195D39B7-09DD-4485-A45F-C4A1E96732EE}" sibTransId="{B4354D33-1C5E-44A5-AA19-3B6B65FF7D27}"/>
    <dgm:cxn modelId="{E161B9EE-058E-471A-95B1-4EFA19913128}" type="presOf" srcId="{546430E7-5B37-417D-ADD7-C65D96DD5869}" destId="{9A51906B-0CC6-4290-99A5-9BC61B0AE00D}" srcOrd="1" destOrd="0" presId="urn:microsoft.com/office/officeart/2005/8/layout/cycle8"/>
    <dgm:cxn modelId="{D702231C-D5EB-4D79-A4BE-493E93A660B3}" srcId="{FD604CD7-F5EB-4244-BB9B-5C70D8AB47FD}" destId="{2D4978BE-FFA3-4956-8420-A60C38AF056C}" srcOrd="1" destOrd="0" parTransId="{D81C0541-AB22-417D-B2B6-C2DCF3B0F4AD}" sibTransId="{5178B23B-9C8E-4ADF-A070-47573660A11C}"/>
    <dgm:cxn modelId="{1AD03AC4-393D-4863-891F-EEC1D8E18577}" type="presOf" srcId="{5A87BBB0-E802-438A-BB76-9F0FEB95E1C0}" destId="{60FB4F3E-48CB-43ED-BC94-C4C4AB8C8834}" srcOrd="0" destOrd="0" presId="urn:microsoft.com/office/officeart/2005/8/layout/cycle8"/>
    <dgm:cxn modelId="{66064B0E-30DA-4A37-B604-4C1A87551F3A}" type="presOf" srcId="{2D4978BE-FFA3-4956-8420-A60C38AF056C}" destId="{9B880AFA-6461-4D3F-82BA-2A35F49E1A1A}" srcOrd="0" destOrd="0" presId="urn:microsoft.com/office/officeart/2005/8/layout/cycle8"/>
    <dgm:cxn modelId="{28DB029A-D26E-4CDA-8596-CF83083189CA}" type="presOf" srcId="{546430E7-5B37-417D-ADD7-C65D96DD5869}" destId="{65EDE6A3-0D53-4065-8A71-B40ABE9B5E67}" srcOrd="0" destOrd="0" presId="urn:microsoft.com/office/officeart/2005/8/layout/cycle8"/>
    <dgm:cxn modelId="{183A4927-1D6E-4ADF-81FE-BC4131A05B77}" type="presOf" srcId="{BBBA6B40-0844-4A27-A4CF-09E32314317B}" destId="{EE20FB13-1136-4B8E-9A27-2BC0406076DE}" srcOrd="0" destOrd="0" presId="urn:microsoft.com/office/officeart/2005/8/layout/cycle8"/>
    <dgm:cxn modelId="{B9103D3C-AA06-4F81-A4CA-81C0384CD0EF}" type="presOf" srcId="{2D4978BE-FFA3-4956-8420-A60C38AF056C}" destId="{4ED7A2EA-D9A4-4E3C-9247-EA0E43D3BD63}" srcOrd="1" destOrd="0" presId="urn:microsoft.com/office/officeart/2005/8/layout/cycle8"/>
    <dgm:cxn modelId="{46EFDFCF-30E0-4C48-9E71-2EDEB68EA963}" type="presOf" srcId="{FD604CD7-F5EB-4244-BB9B-5C70D8AB47FD}" destId="{AC7A675C-9983-48D3-9834-727ABCFC8650}" srcOrd="0" destOrd="0" presId="urn:microsoft.com/office/officeart/2005/8/layout/cycle8"/>
    <dgm:cxn modelId="{2301F4C1-B273-42B1-9281-19CB918FB9B8}" type="presOf" srcId="{5A87BBB0-E802-438A-BB76-9F0FEB95E1C0}" destId="{E3C62BE4-74B7-45CC-A7D7-4754236D6849}" srcOrd="1" destOrd="0" presId="urn:microsoft.com/office/officeart/2005/8/layout/cycle8"/>
    <dgm:cxn modelId="{C9F91909-4645-4B98-9ECA-AA020CD67643}" type="presOf" srcId="{BBBA6B40-0844-4A27-A4CF-09E32314317B}" destId="{C722E70B-218B-4A62-95D5-3C1A2A2BD45E}" srcOrd="1" destOrd="0" presId="urn:microsoft.com/office/officeart/2005/8/layout/cycle8"/>
    <dgm:cxn modelId="{CDF278DF-0437-4457-9B7F-52CD98CFF4DB}" srcId="{FD604CD7-F5EB-4244-BB9B-5C70D8AB47FD}" destId="{5A87BBB0-E802-438A-BB76-9F0FEB95E1C0}" srcOrd="3" destOrd="0" parTransId="{13699720-9B61-4072-9209-0F8A18881D67}" sibTransId="{48C5E75D-E44A-4C45-8F5D-FFF0DF0D5881}"/>
    <dgm:cxn modelId="{12F69183-5769-4642-A6A6-C3EE30095E6C}" type="presParOf" srcId="{AC7A675C-9983-48D3-9834-727ABCFC8650}" destId="{EE20FB13-1136-4B8E-9A27-2BC0406076DE}" srcOrd="0" destOrd="0" presId="urn:microsoft.com/office/officeart/2005/8/layout/cycle8"/>
    <dgm:cxn modelId="{191C0094-A03D-4780-BBFC-782636881549}" type="presParOf" srcId="{AC7A675C-9983-48D3-9834-727ABCFC8650}" destId="{BAB47595-A86A-48C2-BF60-CCC01F24CA9B}" srcOrd="1" destOrd="0" presId="urn:microsoft.com/office/officeart/2005/8/layout/cycle8"/>
    <dgm:cxn modelId="{249B88A4-1C6C-421A-AF8B-1BE9482ABB1E}" type="presParOf" srcId="{AC7A675C-9983-48D3-9834-727ABCFC8650}" destId="{13949FE6-B1DC-43CA-8725-4875C798E87C}" srcOrd="2" destOrd="0" presId="urn:microsoft.com/office/officeart/2005/8/layout/cycle8"/>
    <dgm:cxn modelId="{F8D0E619-6A12-43C4-8333-A0500A5C2E4B}" type="presParOf" srcId="{AC7A675C-9983-48D3-9834-727ABCFC8650}" destId="{C722E70B-218B-4A62-95D5-3C1A2A2BD45E}" srcOrd="3" destOrd="0" presId="urn:microsoft.com/office/officeart/2005/8/layout/cycle8"/>
    <dgm:cxn modelId="{DF4A7A6E-0789-4ABE-A81A-E415E020307D}" type="presParOf" srcId="{AC7A675C-9983-48D3-9834-727ABCFC8650}" destId="{9B880AFA-6461-4D3F-82BA-2A35F49E1A1A}" srcOrd="4" destOrd="0" presId="urn:microsoft.com/office/officeart/2005/8/layout/cycle8"/>
    <dgm:cxn modelId="{A5C3B591-7367-4409-A680-31456DC16AB8}" type="presParOf" srcId="{AC7A675C-9983-48D3-9834-727ABCFC8650}" destId="{3250A9E2-91E3-4250-B3AD-75EB81B489CA}" srcOrd="5" destOrd="0" presId="urn:microsoft.com/office/officeart/2005/8/layout/cycle8"/>
    <dgm:cxn modelId="{ABD180C2-32B5-4DA4-9A01-7B57879DE54D}" type="presParOf" srcId="{AC7A675C-9983-48D3-9834-727ABCFC8650}" destId="{30A27383-97FD-4DBC-996E-53FB1C047DBC}" srcOrd="6" destOrd="0" presId="urn:microsoft.com/office/officeart/2005/8/layout/cycle8"/>
    <dgm:cxn modelId="{1D697386-2EEE-4006-9FB8-340A57489BE3}" type="presParOf" srcId="{AC7A675C-9983-48D3-9834-727ABCFC8650}" destId="{4ED7A2EA-D9A4-4E3C-9247-EA0E43D3BD63}" srcOrd="7" destOrd="0" presId="urn:microsoft.com/office/officeart/2005/8/layout/cycle8"/>
    <dgm:cxn modelId="{1A0E2DB3-A2FC-43EA-A477-5CA5FC7C89DC}" type="presParOf" srcId="{AC7A675C-9983-48D3-9834-727ABCFC8650}" destId="{65EDE6A3-0D53-4065-8A71-B40ABE9B5E67}" srcOrd="8" destOrd="0" presId="urn:microsoft.com/office/officeart/2005/8/layout/cycle8"/>
    <dgm:cxn modelId="{35D8BFA5-86CD-4B92-9CAE-6BD40073D806}" type="presParOf" srcId="{AC7A675C-9983-48D3-9834-727ABCFC8650}" destId="{9E5F4364-B61C-48C1-B983-CEAB84245EBB}" srcOrd="9" destOrd="0" presId="urn:microsoft.com/office/officeart/2005/8/layout/cycle8"/>
    <dgm:cxn modelId="{BBD9EAD8-8C39-41E6-AC26-E093A669471C}" type="presParOf" srcId="{AC7A675C-9983-48D3-9834-727ABCFC8650}" destId="{7EB53481-2F26-4284-B693-2A11F3EE9B20}" srcOrd="10" destOrd="0" presId="urn:microsoft.com/office/officeart/2005/8/layout/cycle8"/>
    <dgm:cxn modelId="{26D2EB3C-73C4-455E-84FC-4C8F5244774A}" type="presParOf" srcId="{AC7A675C-9983-48D3-9834-727ABCFC8650}" destId="{9A51906B-0CC6-4290-99A5-9BC61B0AE00D}" srcOrd="11" destOrd="0" presId="urn:microsoft.com/office/officeart/2005/8/layout/cycle8"/>
    <dgm:cxn modelId="{B2129F55-C915-4366-BB01-FC4BCF4465B9}" type="presParOf" srcId="{AC7A675C-9983-48D3-9834-727ABCFC8650}" destId="{60FB4F3E-48CB-43ED-BC94-C4C4AB8C8834}" srcOrd="12" destOrd="0" presId="urn:microsoft.com/office/officeart/2005/8/layout/cycle8"/>
    <dgm:cxn modelId="{D9FBAF30-3B64-4ECB-98C4-89BC0B1A77A8}" type="presParOf" srcId="{AC7A675C-9983-48D3-9834-727ABCFC8650}" destId="{FD062476-6245-4599-97D2-1B9A0174193E}" srcOrd="13" destOrd="0" presId="urn:microsoft.com/office/officeart/2005/8/layout/cycle8"/>
    <dgm:cxn modelId="{B07A8B5D-39EE-4022-8A3E-5B39B72C11C0}" type="presParOf" srcId="{AC7A675C-9983-48D3-9834-727ABCFC8650}" destId="{1E560394-605A-4157-98AB-C2BF30664CDE}" srcOrd="14" destOrd="0" presId="urn:microsoft.com/office/officeart/2005/8/layout/cycle8"/>
    <dgm:cxn modelId="{05770205-3F14-4B47-AE2D-91E2883BA4C1}" type="presParOf" srcId="{AC7A675C-9983-48D3-9834-727ABCFC8650}" destId="{E3C62BE4-74B7-45CC-A7D7-4754236D6849}" srcOrd="15" destOrd="0" presId="urn:microsoft.com/office/officeart/2005/8/layout/cycle8"/>
    <dgm:cxn modelId="{64F6A484-9963-4721-92B0-3C0657E71CD0}" type="presParOf" srcId="{AC7A675C-9983-48D3-9834-727ABCFC8650}" destId="{5DCA2844-D0D2-4E80-93DC-E5D792D66569}" srcOrd="16" destOrd="0" presId="urn:microsoft.com/office/officeart/2005/8/layout/cycle8"/>
    <dgm:cxn modelId="{8B225BB4-196A-4CE6-9B72-3D5C3140CD55}" type="presParOf" srcId="{AC7A675C-9983-48D3-9834-727ABCFC8650}" destId="{0339A1F2-DD33-43BB-8BBE-8CD6379B49C2}" srcOrd="17" destOrd="0" presId="urn:microsoft.com/office/officeart/2005/8/layout/cycle8"/>
    <dgm:cxn modelId="{3F0F884C-4711-4D65-98F1-D6F828452533}" type="presParOf" srcId="{AC7A675C-9983-48D3-9834-727ABCFC8650}" destId="{56AE1AC9-0812-4972-8B13-EE5D6C3AB1CB}" srcOrd="18" destOrd="0" presId="urn:microsoft.com/office/officeart/2005/8/layout/cycle8"/>
    <dgm:cxn modelId="{78153927-E837-4CE7-9FDC-0937D9FEA554}" type="presParOf" srcId="{AC7A675C-9983-48D3-9834-727ABCFC8650}" destId="{36394B0D-C949-44B5-BF65-E601F826AE90}" srcOrd="19" destOrd="0" presId="urn:microsoft.com/office/officeart/2005/8/layout/cycle8"/>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20FB13-1136-4B8E-9A27-2BC0406076DE}">
      <dsp:nvSpPr>
        <dsp:cNvPr id="0" name=""/>
        <dsp:cNvSpPr/>
      </dsp:nvSpPr>
      <dsp:spPr>
        <a:xfrm>
          <a:off x="1426319" y="191091"/>
          <a:ext cx="2665200" cy="2665200"/>
        </a:xfrm>
        <a:prstGeom prst="pie">
          <a:avLst>
            <a:gd name="adj1" fmla="val 16200000"/>
            <a:gd name="adj2" fmla="val 0"/>
          </a:avLst>
        </a:prstGeom>
        <a:solidFill>
          <a:srgbClr val="4F81BD">
            <a:hueOff val="0"/>
            <a:satOff val="0"/>
            <a:lumOff val="0"/>
            <a:alphaOff val="0"/>
          </a:srgb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s-AR" sz="1100" kern="1200">
              <a:solidFill>
                <a:sysClr val="windowText" lastClr="000000"/>
              </a:solidFill>
              <a:latin typeface="Times New Roman" panose="02020603050405020304" pitchFamily="18" charset="0"/>
              <a:ea typeface="+mn-ea"/>
              <a:cs typeface="Times New Roman" panose="02020603050405020304" pitchFamily="18" charset="0"/>
            </a:rPr>
            <a:t>Conomicimiento de los riesgos</a:t>
          </a:r>
        </a:p>
      </dsp:txBody>
      <dsp:txXfrm>
        <a:off x="2841097" y="743485"/>
        <a:ext cx="983585" cy="729757"/>
      </dsp:txXfrm>
    </dsp:sp>
    <dsp:sp modelId="{9B880AFA-6461-4D3F-82BA-2A35F49E1A1A}">
      <dsp:nvSpPr>
        <dsp:cNvPr id="0" name=""/>
        <dsp:cNvSpPr/>
      </dsp:nvSpPr>
      <dsp:spPr>
        <a:xfrm>
          <a:off x="1426319" y="280565"/>
          <a:ext cx="2665200" cy="2665200"/>
        </a:xfrm>
        <a:prstGeom prst="pie">
          <a:avLst>
            <a:gd name="adj1" fmla="val 0"/>
            <a:gd name="adj2" fmla="val 540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s-AR" sz="1100" kern="1200">
              <a:solidFill>
                <a:sysClr val="windowText" lastClr="000000"/>
              </a:solidFill>
              <a:latin typeface="Times New Roman" panose="02020603050405020304" pitchFamily="18" charset="0"/>
              <a:ea typeface="+mn-ea"/>
              <a:cs typeface="Times New Roman" panose="02020603050405020304" pitchFamily="18" charset="0"/>
            </a:rPr>
            <a:t>Monitoreo y Seguimiento</a:t>
          </a:r>
        </a:p>
      </dsp:txBody>
      <dsp:txXfrm>
        <a:off x="2841097" y="1663614"/>
        <a:ext cx="983585" cy="729757"/>
      </dsp:txXfrm>
    </dsp:sp>
    <dsp:sp modelId="{65EDE6A3-0D53-4065-8A71-B40ABE9B5E67}">
      <dsp:nvSpPr>
        <dsp:cNvPr id="0" name=""/>
        <dsp:cNvSpPr/>
      </dsp:nvSpPr>
      <dsp:spPr>
        <a:xfrm>
          <a:off x="1336845" y="280565"/>
          <a:ext cx="2665200" cy="2665200"/>
        </a:xfrm>
        <a:prstGeom prst="pie">
          <a:avLst>
            <a:gd name="adj1" fmla="val 5400000"/>
            <a:gd name="adj2" fmla="val 1080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s-AR" sz="1100" kern="1200">
              <a:solidFill>
                <a:sysClr val="windowText" lastClr="000000"/>
              </a:solidFill>
              <a:latin typeface="Times New Roman" panose="02020603050405020304" pitchFamily="18" charset="0"/>
              <a:ea typeface="+mn-ea"/>
              <a:cs typeface="Times New Roman" panose="02020603050405020304" pitchFamily="18" charset="0"/>
            </a:rPr>
            <a:t>Difusión y Comunicación</a:t>
          </a:r>
        </a:p>
      </dsp:txBody>
      <dsp:txXfrm>
        <a:off x="1603682" y="1663614"/>
        <a:ext cx="983585" cy="729757"/>
      </dsp:txXfrm>
    </dsp:sp>
    <dsp:sp modelId="{60FB4F3E-48CB-43ED-BC94-C4C4AB8C8834}">
      <dsp:nvSpPr>
        <dsp:cNvPr id="0" name=""/>
        <dsp:cNvSpPr/>
      </dsp:nvSpPr>
      <dsp:spPr>
        <a:xfrm>
          <a:off x="1336845" y="191091"/>
          <a:ext cx="2665200" cy="2665200"/>
        </a:xfrm>
        <a:prstGeom prst="pie">
          <a:avLst>
            <a:gd name="adj1" fmla="val 10800000"/>
            <a:gd name="adj2" fmla="val 1620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s-AR" sz="1100" kern="1200">
              <a:solidFill>
                <a:sysClr val="windowText" lastClr="000000"/>
              </a:solidFill>
              <a:latin typeface="Times New Roman" panose="02020603050405020304" pitchFamily="18" charset="0"/>
              <a:ea typeface="+mn-ea"/>
              <a:cs typeface="Times New Roman" panose="02020603050405020304" pitchFamily="18" charset="0"/>
            </a:rPr>
            <a:t>Capacidad de Respuesta</a:t>
          </a:r>
        </a:p>
      </dsp:txBody>
      <dsp:txXfrm>
        <a:off x="1603682" y="743485"/>
        <a:ext cx="983585" cy="729757"/>
      </dsp:txXfrm>
    </dsp:sp>
    <dsp:sp modelId="{5DCA2844-D0D2-4E80-93DC-E5D792D66569}">
      <dsp:nvSpPr>
        <dsp:cNvPr id="0" name=""/>
        <dsp:cNvSpPr/>
      </dsp:nvSpPr>
      <dsp:spPr>
        <a:xfrm>
          <a:off x="1261331" y="26102"/>
          <a:ext cx="2995177" cy="2995177"/>
        </a:xfrm>
        <a:prstGeom prst="circularArrow">
          <a:avLst>
            <a:gd name="adj1" fmla="val 5085"/>
            <a:gd name="adj2" fmla="val 327528"/>
            <a:gd name="adj3" fmla="val 21272472"/>
            <a:gd name="adj4" fmla="val 16200000"/>
            <a:gd name="adj5" fmla="val 5932"/>
          </a:avLst>
        </a:prstGeom>
        <a:solidFill>
          <a:srgbClr val="C00000"/>
        </a:solidFill>
        <a:ln>
          <a:noFill/>
        </a:ln>
        <a:effectLst>
          <a:outerShdw blurRad="40000" dist="23000" dir="5400000" rotWithShape="0">
            <a:srgbClr val="000000">
              <a:alpha val="35000"/>
            </a:srgbClr>
          </a:outerShdw>
        </a:effectLst>
        <a:sp3d z="10600">
          <a:bevelT w="40600" h="20600" prst="relaxedInset"/>
        </a:sp3d>
      </dsp:spPr>
      <dsp:style>
        <a:lnRef idx="0">
          <a:scrgbClr r="0" g="0" b="0"/>
        </a:lnRef>
        <a:fillRef idx="1">
          <a:scrgbClr r="0" g="0" b="0"/>
        </a:fillRef>
        <a:effectRef idx="2">
          <a:scrgbClr r="0" g="0" b="0"/>
        </a:effectRef>
        <a:fontRef idx="minor"/>
      </dsp:style>
    </dsp:sp>
    <dsp:sp modelId="{0339A1F2-DD33-43BB-8BBE-8CD6379B49C2}">
      <dsp:nvSpPr>
        <dsp:cNvPr id="0" name=""/>
        <dsp:cNvSpPr/>
      </dsp:nvSpPr>
      <dsp:spPr>
        <a:xfrm>
          <a:off x="1261331" y="115577"/>
          <a:ext cx="2995177" cy="2995177"/>
        </a:xfrm>
        <a:prstGeom prst="circularArrow">
          <a:avLst>
            <a:gd name="adj1" fmla="val 5085"/>
            <a:gd name="adj2" fmla="val 327528"/>
            <a:gd name="adj3" fmla="val 5072472"/>
            <a:gd name="adj4" fmla="val 0"/>
            <a:gd name="adj5" fmla="val 5932"/>
          </a:avLst>
        </a:prstGeom>
        <a:solidFill>
          <a:srgbClr val="FFC000"/>
        </a:solidFill>
        <a:ln>
          <a:noFill/>
        </a:ln>
        <a:effectLst>
          <a:outerShdw blurRad="40000" dist="23000" dir="5400000" rotWithShape="0">
            <a:srgbClr val="000000">
              <a:alpha val="35000"/>
            </a:srgbClr>
          </a:outerShdw>
        </a:effectLst>
        <a:sp3d z="10600">
          <a:bevelT w="40600" h="20600" prst="relaxedInset"/>
        </a:sp3d>
      </dsp:spPr>
      <dsp:style>
        <a:lnRef idx="0">
          <a:scrgbClr r="0" g="0" b="0"/>
        </a:lnRef>
        <a:fillRef idx="1">
          <a:scrgbClr r="0" g="0" b="0"/>
        </a:fillRef>
        <a:effectRef idx="2">
          <a:scrgbClr r="0" g="0" b="0"/>
        </a:effectRef>
        <a:fontRef idx="minor"/>
      </dsp:style>
    </dsp:sp>
    <dsp:sp modelId="{56AE1AC9-0812-4972-8B13-EE5D6C3AB1CB}">
      <dsp:nvSpPr>
        <dsp:cNvPr id="0" name=""/>
        <dsp:cNvSpPr/>
      </dsp:nvSpPr>
      <dsp:spPr>
        <a:xfrm>
          <a:off x="1171856" y="115577"/>
          <a:ext cx="2995177" cy="2995177"/>
        </a:xfrm>
        <a:prstGeom prst="circularArrow">
          <a:avLst>
            <a:gd name="adj1" fmla="val 5085"/>
            <a:gd name="adj2" fmla="val 327528"/>
            <a:gd name="adj3" fmla="val 10472472"/>
            <a:gd name="adj4" fmla="val 5400000"/>
            <a:gd name="adj5" fmla="val 5932"/>
          </a:avLst>
        </a:prstGeom>
        <a:solidFill>
          <a:srgbClr val="FFFF00"/>
        </a:solidFill>
        <a:ln>
          <a:noFill/>
        </a:ln>
        <a:effectLst>
          <a:outerShdw blurRad="40000" dist="23000" dir="5400000" rotWithShape="0">
            <a:srgbClr val="000000">
              <a:alpha val="35000"/>
            </a:srgbClr>
          </a:outerShdw>
        </a:effectLst>
        <a:sp3d z="10600">
          <a:bevelT w="40600" h="20600" prst="relaxedInset"/>
        </a:sp3d>
      </dsp:spPr>
      <dsp:style>
        <a:lnRef idx="0">
          <a:scrgbClr r="0" g="0" b="0"/>
        </a:lnRef>
        <a:fillRef idx="1">
          <a:scrgbClr r="0" g="0" b="0"/>
        </a:fillRef>
        <a:effectRef idx="2">
          <a:scrgbClr r="0" g="0" b="0"/>
        </a:effectRef>
        <a:fontRef idx="minor"/>
      </dsp:style>
    </dsp:sp>
    <dsp:sp modelId="{36394B0D-C949-44B5-BF65-E601F826AE90}">
      <dsp:nvSpPr>
        <dsp:cNvPr id="0" name=""/>
        <dsp:cNvSpPr/>
      </dsp:nvSpPr>
      <dsp:spPr>
        <a:xfrm>
          <a:off x="1171856" y="26102"/>
          <a:ext cx="2995177" cy="2995177"/>
        </a:xfrm>
        <a:prstGeom prst="circularArrow">
          <a:avLst>
            <a:gd name="adj1" fmla="val 5085"/>
            <a:gd name="adj2" fmla="val 327528"/>
            <a:gd name="adj3" fmla="val 15872472"/>
            <a:gd name="adj4" fmla="val 10800000"/>
            <a:gd name="adj5" fmla="val 5932"/>
          </a:avLst>
        </a:prstGeom>
        <a:solidFill>
          <a:srgbClr val="92D050"/>
        </a:solidFill>
        <a:ln>
          <a:noFill/>
        </a:ln>
        <a:effectLst>
          <a:outerShdw blurRad="40000" dist="23000" dir="5400000" rotWithShape="0">
            <a:srgbClr val="000000">
              <a:alpha val="35000"/>
            </a:srgbClr>
          </a:outerShdw>
        </a:effectLst>
        <a:sp3d z="10600">
          <a:bevelT w="40600" h="20600" prst="relaxedInset"/>
        </a:sp3d>
      </dsp:spPr>
      <dsp:style>
        <a:lnRef idx="0">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B5807DC4C2A2B845A80CD32BF21E9C82" ma:contentTypeVersion="0" ma:contentTypeDescription="A content type to manage public (operations) IDB documents" ma:contentTypeScope="" ma:versionID="4277acf4fe7e8a173ea85a13eb31e880">
  <xsd:schema xmlns:xsd="http://www.w3.org/2001/XMLSchema" xmlns:xs="http://www.w3.org/2001/XMLSchema" xmlns:p="http://schemas.microsoft.com/office/2006/metadata/properties" xmlns:ns2="9c571b2f-e523-4ab2-ba2e-09e151a03ef4" targetNamespace="http://schemas.microsoft.com/office/2006/metadata/properties" ma:root="true" ma:fieldsID="45da323492fbefc348bae8ba3d48cd8f"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d045b0c-8341-4af3-9263-b3f75b940832}" ma:internalName="TaxCatchAll" ma:showField="CatchAllData" ma:web="0c206f8e-0efd-4879-a565-b857df8611c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d045b0c-8341-4af3-9263-b3f75b940832}" ma:internalName="TaxCatchAllLabel" ma:readOnly="true" ma:showField="CatchAllDataLabel" ma:web="0c206f8e-0efd-4879-a565-b857df8611c6">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cf0be0ad-272c-4e7f-a157-3f0abda6cde5" ContentTypeId="0x01010046CF21643EE8D14686A648AA6DAD0892" PreviousValue="false"/>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CSD/RND</Division_x0020_or_x0020_Unit>
    <Other_x0020_Author xmlns="9c571b2f-e523-4ab2-ba2e-09e151a03ef4" xsi:nil="true"/>
    <Region xmlns="9c571b2f-e523-4ab2-ba2e-09e151a03ef4" xsi:nil="true"/>
    <IDBDocs_x0020_Number xmlns="9c571b2f-e523-4ab2-ba2e-09e151a03ef4">40730095</IDBDocs_x0020_Number>
    <Document_x0020_Author xmlns="9c571b2f-e523-4ab2-ba2e-09e151a03ef4">Hori, Tsuneki</Document_x0020_Author>
    <Publication_x0020_Type xmlns="9c571b2f-e523-4ab2-ba2e-09e151a03ef4" xsi:nil="true"/>
    <Operation_x0020_Type xmlns="9c571b2f-e523-4ab2-ba2e-09e151a03ef4" xsi:nil="true"/>
    <TaxCatchAll xmlns="9c571b2f-e523-4ab2-ba2e-09e151a03ef4">
      <Value>5</Value>
      <Value>4</Value>
    </TaxCatchAll>
    <Fiscal_x0020_Year_x0020_IDB xmlns="9c571b2f-e523-4ab2-ba2e-09e151a03ef4">2016</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EC-L1221</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Loan Proposal</TermName>
          <TermId xmlns="http://schemas.microsoft.com/office/infopath/2007/PartnerControls">6ee86b6f-6e46-485b-8bfb-87a1f44622ac</TermId>
        </TermInfo>
      </Term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Proposal&lt;/USER_STAGE&gt;&lt;PD_OBJ_TYPE&gt;0&lt;/PD_OBJ_TYPE&gt;&lt;MAKERECORD&gt;N&lt;/MAKERECORD&gt;&lt;/Data&gt;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AG-ADR</Webtopic>
    <Identifier xmlns="9c571b2f-e523-4ab2-ba2e-09e151a03ef4"> TECFILE</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37058F30-E851-4623-A241-42A31F71DF5E}"/>
</file>

<file path=customXml/itemProps2.xml><?xml version="1.0" encoding="utf-8"?>
<ds:datastoreItem xmlns:ds="http://schemas.openxmlformats.org/officeDocument/2006/customXml" ds:itemID="{0E330C72-B511-4B18-AE13-3028BE8053BB}"/>
</file>

<file path=customXml/itemProps3.xml><?xml version="1.0" encoding="utf-8"?>
<ds:datastoreItem xmlns:ds="http://schemas.openxmlformats.org/officeDocument/2006/customXml" ds:itemID="{D9BDAAAD-03D2-4B63-AB45-4EC9B5D5BB91}"/>
</file>

<file path=customXml/itemProps4.xml><?xml version="1.0" encoding="utf-8"?>
<ds:datastoreItem xmlns:ds="http://schemas.openxmlformats.org/officeDocument/2006/customXml" ds:itemID="{CD86A9DF-534C-4DC4-8E9B-D155D35817FE}"/>
</file>

<file path=customXml/itemProps5.xml><?xml version="1.0" encoding="utf-8"?>
<ds:datastoreItem xmlns:ds="http://schemas.openxmlformats.org/officeDocument/2006/customXml" ds:itemID="{C53537FA-09AA-4873-97BC-C9F018137BCA}"/>
</file>

<file path=customXml/itemProps6.xml><?xml version="1.0" encoding="utf-8"?>
<ds:datastoreItem xmlns:ds="http://schemas.openxmlformats.org/officeDocument/2006/customXml" ds:itemID="{AF4F0ECE-F420-408C-85A5-C6BE92856EE8}"/>
</file>

<file path=docProps/app.xml><?xml version="1.0" encoding="utf-8"?>
<Properties xmlns="http://schemas.openxmlformats.org/officeDocument/2006/extended-properties" xmlns:vt="http://schemas.openxmlformats.org/officeDocument/2006/docPropsVTypes">
  <Template>Normal.dotm</Template>
  <TotalTime>0</TotalTime>
  <Pages>58</Pages>
  <Words>20144</Words>
  <Characters>114824</Characters>
  <Application>Microsoft Office Word</Application>
  <DocSecurity>0</DocSecurity>
  <Lines>956</Lines>
  <Paragraphs>269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CC Toolkit</vt:lpstr>
      <vt:lpstr>CC Toolkit</vt:lpstr>
    </vt:vector>
  </TitlesOfParts>
  <Company>Inter-American Development Bank</Company>
  <LinksUpToDate>false</LinksUpToDate>
  <CharactersWithSpaces>134699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 - Enlace - Analisis Economico (EC-L1221)  </dc:title>
  <dc:creator>JMENDOZA</dc:creator>
  <cp:lastModifiedBy>Inter-American Development Bank</cp:lastModifiedBy>
  <cp:revision>5</cp:revision>
  <cp:lastPrinted>2015-12-18T12:20:00Z</cp:lastPrinted>
  <dcterms:created xsi:type="dcterms:W3CDTF">2016-12-02T15:19:00Z</dcterms:created>
  <dcterms:modified xsi:type="dcterms:W3CDTF">2017-01-23T16:54:00Z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0x01010046CF21643EE8D14686A648AA6DAD089200B5807DC4C2A2B845A80CD32BF21E9C82</vt:lpwstr>
  </property>
  <property fmtid="{D5CDD505-2E9C-101B-9397-08002B2CF9AE}" pid="5" name="TaxKeywordTaxHTField">
    <vt:lpwstr/>
  </property>
  <property fmtid="{D5CDD505-2E9C-101B-9397-08002B2CF9AE}" pid="6" name="Series Operations IDB">
    <vt:lpwstr>4;#Loan Proposal|6ee86b6f-6e46-485b-8bfb-87a1f44622ac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4;#Loan Proposal|6ee86b6f-6e46-485b-8bfb-87a1f44622ac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5;#Project Preparation, Planning and Design|29ca0c72-1fc4-435f-a09c-28585cb5eac9</vt:lpwstr>
  </property>
</Properties>
</file>