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39D" w:rsidRPr="00163A24" w:rsidRDefault="0019739D" w:rsidP="00B2397E">
      <w:pPr>
        <w:tabs>
          <w:tab w:val="left" w:pos="1440"/>
          <w:tab w:val="left" w:pos="3060"/>
        </w:tabs>
        <w:jc w:val="center"/>
        <w:rPr>
          <w:rFonts w:ascii="Arial" w:hAnsi="Arial" w:cs="Arial"/>
          <w:smallCaps/>
          <w:sz w:val="22"/>
          <w:szCs w:val="22"/>
          <w:lang w:val="es-ES"/>
        </w:rPr>
      </w:pPr>
      <w:bookmarkStart w:id="0" w:name="_GoBack"/>
      <w:bookmarkEnd w:id="0"/>
    </w:p>
    <w:p w:rsidR="00DC30EE" w:rsidRPr="00163A24" w:rsidRDefault="00DC30EE" w:rsidP="00B2397E">
      <w:pPr>
        <w:tabs>
          <w:tab w:val="left" w:pos="1440"/>
          <w:tab w:val="left" w:pos="3060"/>
        </w:tabs>
        <w:jc w:val="center"/>
        <w:rPr>
          <w:rFonts w:ascii="Arial" w:hAnsi="Arial" w:cs="Arial"/>
          <w:smallCaps/>
          <w:sz w:val="22"/>
          <w:szCs w:val="22"/>
          <w:lang w:val="es-ES"/>
        </w:rPr>
      </w:pPr>
    </w:p>
    <w:p w:rsidR="00B84A37" w:rsidRPr="004223D9" w:rsidRDefault="00C72584" w:rsidP="00B2397E">
      <w:pPr>
        <w:tabs>
          <w:tab w:val="left" w:pos="1440"/>
          <w:tab w:val="left" w:pos="3060"/>
        </w:tabs>
        <w:jc w:val="center"/>
        <w:rPr>
          <w:rFonts w:ascii="Arial" w:hAnsi="Arial" w:cs="Arial"/>
          <w:smallCaps/>
          <w:sz w:val="22"/>
          <w:szCs w:val="22"/>
          <w:lang w:val="es-ES"/>
        </w:rPr>
      </w:pPr>
      <w:bookmarkStart w:id="1" w:name="_Toc422407001"/>
      <w:bookmarkStart w:id="2" w:name="_Toc422409150"/>
      <w:r w:rsidRPr="004223D9">
        <w:rPr>
          <w:rFonts w:ascii="Arial" w:hAnsi="Arial" w:cs="Arial"/>
          <w:smallCaps/>
          <w:sz w:val="22"/>
          <w:szCs w:val="22"/>
          <w:lang w:val="es-ES"/>
        </w:rPr>
        <w:t xml:space="preserve">Documento del </w:t>
      </w:r>
      <w:r w:rsidR="00B84A37" w:rsidRPr="004223D9">
        <w:rPr>
          <w:rFonts w:ascii="Arial" w:hAnsi="Arial" w:cs="Arial"/>
          <w:smallCaps/>
          <w:sz w:val="22"/>
          <w:szCs w:val="22"/>
          <w:lang w:val="es-ES"/>
        </w:rPr>
        <w:t>Banco In</w:t>
      </w:r>
      <w:r w:rsidRPr="004223D9">
        <w:rPr>
          <w:rFonts w:ascii="Arial" w:hAnsi="Arial" w:cs="Arial"/>
          <w:smallCaps/>
          <w:sz w:val="22"/>
          <w:szCs w:val="22"/>
          <w:lang w:val="es-ES"/>
        </w:rPr>
        <w:t>teramericano de Desarrollo</w:t>
      </w:r>
      <w:bookmarkEnd w:id="1"/>
      <w:bookmarkEnd w:id="2"/>
    </w:p>
    <w:p w:rsidR="00B84A37" w:rsidRPr="004223D9" w:rsidRDefault="00B84A37" w:rsidP="00B2397E">
      <w:pPr>
        <w:tabs>
          <w:tab w:val="left" w:pos="1440"/>
          <w:tab w:val="left" w:pos="3060"/>
        </w:tabs>
        <w:jc w:val="center"/>
        <w:rPr>
          <w:rFonts w:ascii="Arial" w:hAnsi="Arial" w:cs="Arial"/>
          <w:smallCaps/>
          <w:sz w:val="22"/>
          <w:szCs w:val="22"/>
          <w:lang w:val="es-ES"/>
        </w:rPr>
      </w:pPr>
    </w:p>
    <w:p w:rsidR="001F1DA6" w:rsidRPr="004223D9" w:rsidRDefault="001F1DA6" w:rsidP="00B2397E">
      <w:pPr>
        <w:tabs>
          <w:tab w:val="left" w:pos="1440"/>
          <w:tab w:val="left" w:pos="3060"/>
        </w:tabs>
        <w:jc w:val="center"/>
        <w:rPr>
          <w:rFonts w:ascii="Arial" w:hAnsi="Arial" w:cs="Arial"/>
          <w:smallCaps/>
          <w:sz w:val="22"/>
          <w:szCs w:val="22"/>
          <w:lang w:val="es-ES"/>
        </w:rPr>
      </w:pPr>
    </w:p>
    <w:p w:rsidR="000D7740" w:rsidRPr="004223D9" w:rsidRDefault="000D7740" w:rsidP="00B2397E">
      <w:pPr>
        <w:tabs>
          <w:tab w:val="left" w:pos="1440"/>
          <w:tab w:val="left" w:pos="3060"/>
        </w:tabs>
        <w:jc w:val="center"/>
        <w:rPr>
          <w:rFonts w:ascii="Arial" w:hAnsi="Arial" w:cs="Arial"/>
          <w:smallCaps/>
          <w:sz w:val="22"/>
          <w:szCs w:val="22"/>
          <w:lang w:val="es-ES"/>
        </w:rPr>
      </w:pPr>
    </w:p>
    <w:p w:rsidR="000D7740" w:rsidRPr="004223D9" w:rsidRDefault="000D7740" w:rsidP="00B2397E">
      <w:pPr>
        <w:tabs>
          <w:tab w:val="left" w:pos="1440"/>
          <w:tab w:val="left" w:pos="3060"/>
        </w:tabs>
        <w:jc w:val="center"/>
        <w:rPr>
          <w:rFonts w:ascii="Arial" w:hAnsi="Arial" w:cs="Arial"/>
          <w:smallCaps/>
          <w:sz w:val="22"/>
          <w:szCs w:val="22"/>
          <w:lang w:val="es-ES"/>
        </w:rPr>
      </w:pPr>
    </w:p>
    <w:p w:rsidR="00C72584" w:rsidRPr="004223D9" w:rsidRDefault="00C72584" w:rsidP="00B2397E">
      <w:pPr>
        <w:tabs>
          <w:tab w:val="left" w:pos="1440"/>
          <w:tab w:val="left" w:pos="3060"/>
        </w:tabs>
        <w:jc w:val="center"/>
        <w:rPr>
          <w:rFonts w:ascii="Arial" w:hAnsi="Arial" w:cs="Arial"/>
          <w:smallCaps/>
          <w:sz w:val="22"/>
          <w:szCs w:val="22"/>
          <w:lang w:val="es-ES"/>
        </w:rPr>
      </w:pPr>
    </w:p>
    <w:p w:rsidR="00D74D46" w:rsidRPr="004223D9" w:rsidRDefault="00D74D46" w:rsidP="00B2397E">
      <w:pPr>
        <w:tabs>
          <w:tab w:val="left" w:pos="1440"/>
          <w:tab w:val="left" w:pos="3060"/>
        </w:tabs>
        <w:jc w:val="center"/>
        <w:rPr>
          <w:rFonts w:ascii="Arial" w:hAnsi="Arial" w:cs="Arial"/>
          <w:smallCaps/>
          <w:sz w:val="22"/>
          <w:szCs w:val="22"/>
          <w:lang w:val="es-ES"/>
        </w:rPr>
      </w:pPr>
    </w:p>
    <w:p w:rsidR="00635FAC" w:rsidRPr="004223D9" w:rsidRDefault="00D0052D" w:rsidP="00B2397E">
      <w:pPr>
        <w:tabs>
          <w:tab w:val="left" w:pos="1440"/>
          <w:tab w:val="left" w:pos="3060"/>
        </w:tabs>
        <w:jc w:val="center"/>
        <w:rPr>
          <w:rFonts w:ascii="Arial" w:hAnsi="Arial" w:cs="Arial"/>
          <w:b/>
          <w:lang w:val="es-ES"/>
        </w:rPr>
      </w:pPr>
      <w:bookmarkStart w:id="3" w:name="_Toc422407002"/>
      <w:bookmarkStart w:id="4" w:name="_Toc422409151"/>
      <w:r w:rsidRPr="004223D9">
        <w:rPr>
          <w:rFonts w:ascii="Arial" w:hAnsi="Arial" w:cs="Arial"/>
          <w:b/>
          <w:smallCaps/>
          <w:sz w:val="28"/>
          <w:szCs w:val="28"/>
          <w:lang w:val="es-ES"/>
        </w:rPr>
        <w:t>Ecuador</w:t>
      </w:r>
      <w:bookmarkEnd w:id="3"/>
      <w:bookmarkEnd w:id="4"/>
    </w:p>
    <w:p w:rsidR="001F1DA6" w:rsidRPr="004223D9" w:rsidRDefault="001F1DA6" w:rsidP="00B2397E">
      <w:pPr>
        <w:tabs>
          <w:tab w:val="left" w:pos="1440"/>
          <w:tab w:val="left" w:pos="3060"/>
        </w:tabs>
        <w:jc w:val="center"/>
        <w:rPr>
          <w:rFonts w:ascii="Arial" w:hAnsi="Arial" w:cs="Arial"/>
          <w:smallCaps/>
          <w:sz w:val="22"/>
          <w:szCs w:val="22"/>
          <w:lang w:val="es-ES"/>
        </w:rPr>
      </w:pPr>
    </w:p>
    <w:p w:rsidR="00446506" w:rsidRPr="004223D9" w:rsidRDefault="00446506" w:rsidP="00B2397E">
      <w:pPr>
        <w:tabs>
          <w:tab w:val="left" w:pos="1440"/>
          <w:tab w:val="left" w:pos="3060"/>
        </w:tabs>
        <w:jc w:val="center"/>
        <w:rPr>
          <w:rFonts w:ascii="Arial" w:hAnsi="Arial" w:cs="Arial"/>
          <w:smallCaps/>
          <w:sz w:val="22"/>
          <w:szCs w:val="22"/>
          <w:lang w:val="es-ES"/>
        </w:rPr>
      </w:pPr>
    </w:p>
    <w:p w:rsidR="00C72584" w:rsidRPr="004223D9" w:rsidRDefault="00C72584" w:rsidP="00B2397E">
      <w:pPr>
        <w:tabs>
          <w:tab w:val="left" w:pos="1440"/>
          <w:tab w:val="left" w:pos="3060"/>
        </w:tabs>
        <w:jc w:val="center"/>
        <w:rPr>
          <w:rFonts w:ascii="Arial" w:hAnsi="Arial" w:cs="Arial"/>
          <w:smallCaps/>
          <w:sz w:val="22"/>
          <w:szCs w:val="22"/>
          <w:lang w:val="es-ES"/>
        </w:rPr>
      </w:pPr>
    </w:p>
    <w:p w:rsidR="00C72584" w:rsidRPr="004223D9" w:rsidRDefault="00C72584" w:rsidP="00B2397E">
      <w:pPr>
        <w:tabs>
          <w:tab w:val="left" w:pos="1440"/>
          <w:tab w:val="left" w:pos="3060"/>
        </w:tabs>
        <w:jc w:val="center"/>
        <w:rPr>
          <w:rFonts w:ascii="Arial" w:hAnsi="Arial" w:cs="Arial"/>
          <w:smallCaps/>
          <w:sz w:val="22"/>
          <w:szCs w:val="22"/>
          <w:lang w:val="es-ES"/>
        </w:rPr>
      </w:pPr>
    </w:p>
    <w:p w:rsidR="00D74D46" w:rsidRPr="004223D9" w:rsidRDefault="00D74D46" w:rsidP="00B2397E">
      <w:pPr>
        <w:tabs>
          <w:tab w:val="left" w:pos="1440"/>
          <w:tab w:val="left" w:pos="3060"/>
        </w:tabs>
        <w:jc w:val="center"/>
        <w:rPr>
          <w:rFonts w:ascii="Arial" w:hAnsi="Arial" w:cs="Arial"/>
          <w:smallCaps/>
          <w:sz w:val="22"/>
          <w:szCs w:val="22"/>
          <w:lang w:val="es-ES"/>
        </w:rPr>
      </w:pPr>
    </w:p>
    <w:p w:rsidR="008C0FCF" w:rsidRPr="004223D9" w:rsidRDefault="00D0052D" w:rsidP="008C0FCF">
      <w:pPr>
        <w:jc w:val="center"/>
        <w:rPr>
          <w:rFonts w:ascii="Arial" w:hAnsi="Arial" w:cs="Arial"/>
          <w:b/>
          <w:smallCaps/>
          <w:sz w:val="28"/>
          <w:szCs w:val="28"/>
          <w:lang w:val="es-ES"/>
        </w:rPr>
      </w:pPr>
      <w:r w:rsidRPr="004223D9">
        <w:rPr>
          <w:rFonts w:ascii="Arial" w:hAnsi="Arial" w:cs="Arial"/>
          <w:b/>
          <w:smallCaps/>
          <w:sz w:val="28"/>
          <w:szCs w:val="28"/>
          <w:lang w:val="es-ES"/>
        </w:rPr>
        <w:t>Programa de Reconstrucción de Infraestructura Eléctrica de las Zonas Afectadas por el Sismo en Ecuador</w:t>
      </w:r>
    </w:p>
    <w:p w:rsidR="008C0FCF" w:rsidRPr="004223D9" w:rsidRDefault="008C0FCF" w:rsidP="008C0FCF">
      <w:pPr>
        <w:jc w:val="center"/>
        <w:rPr>
          <w:rFonts w:ascii="Arial" w:hAnsi="Arial" w:cs="Arial"/>
          <w:b/>
          <w:smallCaps/>
          <w:sz w:val="28"/>
          <w:szCs w:val="28"/>
          <w:lang w:val="es-ES"/>
        </w:rPr>
      </w:pPr>
      <w:r w:rsidRPr="004223D9">
        <w:rPr>
          <w:rFonts w:ascii="Arial" w:hAnsi="Arial" w:cs="Arial"/>
          <w:b/>
          <w:smallCaps/>
          <w:sz w:val="28"/>
          <w:szCs w:val="28"/>
          <w:lang w:val="es-ES"/>
        </w:rPr>
        <w:t>(</w:t>
      </w:r>
      <w:r w:rsidR="00D0052D" w:rsidRPr="004223D9">
        <w:rPr>
          <w:rFonts w:ascii="Arial" w:hAnsi="Arial" w:cs="Arial"/>
          <w:b/>
          <w:smallCaps/>
          <w:sz w:val="28"/>
          <w:szCs w:val="28"/>
          <w:lang w:val="es-ES"/>
        </w:rPr>
        <w:t>EC</w:t>
      </w:r>
      <w:r w:rsidRPr="004223D9">
        <w:rPr>
          <w:rFonts w:ascii="Arial" w:hAnsi="Arial" w:cs="Arial"/>
          <w:b/>
          <w:smallCaps/>
          <w:sz w:val="28"/>
          <w:szCs w:val="28"/>
          <w:lang w:val="es-ES"/>
        </w:rPr>
        <w:t>-</w:t>
      </w:r>
      <w:r w:rsidR="00D0052D" w:rsidRPr="004223D9">
        <w:rPr>
          <w:rFonts w:ascii="Arial" w:hAnsi="Arial" w:cs="Arial"/>
          <w:b/>
          <w:smallCaps/>
          <w:sz w:val="28"/>
          <w:szCs w:val="28"/>
          <w:lang w:val="es-ES"/>
        </w:rPr>
        <w:t>L1219</w:t>
      </w:r>
      <w:r w:rsidRPr="004223D9">
        <w:rPr>
          <w:rFonts w:ascii="Arial" w:hAnsi="Arial" w:cs="Arial"/>
          <w:b/>
          <w:smallCaps/>
          <w:sz w:val="28"/>
          <w:szCs w:val="28"/>
          <w:lang w:val="es-ES"/>
        </w:rPr>
        <w:t>)</w:t>
      </w:r>
    </w:p>
    <w:p w:rsidR="008C0FCF" w:rsidRPr="004223D9" w:rsidRDefault="008C0FCF" w:rsidP="008C0FCF">
      <w:pPr>
        <w:jc w:val="center"/>
        <w:rPr>
          <w:rFonts w:ascii="Arial" w:hAnsi="Arial" w:cs="Arial"/>
          <w:b/>
          <w:smallCaps/>
          <w:sz w:val="28"/>
          <w:szCs w:val="28"/>
          <w:lang w:val="es-ES"/>
        </w:rPr>
      </w:pPr>
    </w:p>
    <w:p w:rsidR="008C0FCF" w:rsidRPr="004223D9" w:rsidRDefault="008C0FCF" w:rsidP="008C0FCF">
      <w:pPr>
        <w:jc w:val="center"/>
        <w:rPr>
          <w:rFonts w:ascii="Arial" w:hAnsi="Arial" w:cs="Arial"/>
          <w:b/>
          <w:smallCaps/>
          <w:sz w:val="28"/>
          <w:szCs w:val="28"/>
          <w:lang w:val="es-ES"/>
        </w:rPr>
      </w:pPr>
    </w:p>
    <w:p w:rsidR="00C4075F" w:rsidRPr="004223D9" w:rsidRDefault="00C4075F" w:rsidP="00B2397E">
      <w:pPr>
        <w:tabs>
          <w:tab w:val="left" w:pos="1440"/>
          <w:tab w:val="left" w:pos="3060"/>
        </w:tabs>
        <w:jc w:val="center"/>
        <w:rPr>
          <w:rFonts w:ascii="Arial" w:hAnsi="Arial" w:cs="Arial"/>
          <w:b/>
          <w:smallCaps/>
          <w:sz w:val="22"/>
          <w:szCs w:val="22"/>
          <w:lang w:val="es-ES"/>
        </w:rPr>
      </w:pPr>
    </w:p>
    <w:p w:rsidR="00D0052D" w:rsidRPr="004223D9" w:rsidRDefault="00D0052D" w:rsidP="00B2397E">
      <w:pPr>
        <w:tabs>
          <w:tab w:val="left" w:pos="1440"/>
          <w:tab w:val="left" w:pos="3060"/>
        </w:tabs>
        <w:jc w:val="center"/>
        <w:rPr>
          <w:rFonts w:ascii="Arial" w:hAnsi="Arial" w:cs="Arial"/>
          <w:b/>
          <w:smallCaps/>
          <w:sz w:val="22"/>
          <w:szCs w:val="22"/>
          <w:lang w:val="es-ES"/>
        </w:rPr>
      </w:pPr>
    </w:p>
    <w:p w:rsidR="00D0052D" w:rsidRPr="004223D9" w:rsidRDefault="00D0052D" w:rsidP="00B2397E">
      <w:pPr>
        <w:tabs>
          <w:tab w:val="left" w:pos="1440"/>
          <w:tab w:val="left" w:pos="3060"/>
        </w:tabs>
        <w:jc w:val="center"/>
        <w:rPr>
          <w:rFonts w:ascii="Arial" w:hAnsi="Arial" w:cs="Arial"/>
          <w:b/>
          <w:smallCaps/>
          <w:sz w:val="22"/>
          <w:szCs w:val="22"/>
          <w:lang w:val="es-ES"/>
        </w:rPr>
      </w:pPr>
    </w:p>
    <w:p w:rsidR="00D0052D" w:rsidRPr="004223D9" w:rsidRDefault="00D0052D" w:rsidP="00B2397E">
      <w:pPr>
        <w:tabs>
          <w:tab w:val="left" w:pos="1440"/>
          <w:tab w:val="left" w:pos="3060"/>
        </w:tabs>
        <w:jc w:val="center"/>
        <w:rPr>
          <w:rFonts w:ascii="Arial" w:hAnsi="Arial" w:cs="Arial"/>
          <w:b/>
          <w:smallCaps/>
          <w:sz w:val="22"/>
          <w:szCs w:val="22"/>
          <w:lang w:val="es-ES"/>
        </w:rPr>
      </w:pPr>
    </w:p>
    <w:p w:rsidR="00D0052D" w:rsidRPr="004223D9" w:rsidRDefault="00D0052D" w:rsidP="00B2397E">
      <w:pPr>
        <w:tabs>
          <w:tab w:val="left" w:pos="1440"/>
          <w:tab w:val="left" w:pos="3060"/>
        </w:tabs>
        <w:jc w:val="center"/>
        <w:rPr>
          <w:rFonts w:ascii="Arial" w:hAnsi="Arial" w:cs="Arial"/>
          <w:b/>
          <w:smallCaps/>
          <w:sz w:val="22"/>
          <w:szCs w:val="22"/>
          <w:lang w:val="es-ES"/>
        </w:rPr>
      </w:pPr>
    </w:p>
    <w:p w:rsidR="00D0052D" w:rsidRPr="004223D9" w:rsidRDefault="00D0052D" w:rsidP="00B2397E">
      <w:pPr>
        <w:tabs>
          <w:tab w:val="left" w:pos="1440"/>
          <w:tab w:val="left" w:pos="3060"/>
        </w:tabs>
        <w:jc w:val="center"/>
        <w:rPr>
          <w:rFonts w:ascii="Arial" w:hAnsi="Arial" w:cs="Arial"/>
          <w:b/>
          <w:smallCaps/>
          <w:sz w:val="22"/>
          <w:szCs w:val="22"/>
          <w:lang w:val="es-ES"/>
        </w:rPr>
      </w:pPr>
    </w:p>
    <w:p w:rsidR="00D0052D" w:rsidRPr="004223D9" w:rsidRDefault="00D0052D" w:rsidP="00B2397E">
      <w:pPr>
        <w:tabs>
          <w:tab w:val="left" w:pos="1440"/>
          <w:tab w:val="left" w:pos="3060"/>
        </w:tabs>
        <w:jc w:val="center"/>
        <w:rPr>
          <w:rFonts w:ascii="Arial" w:hAnsi="Arial" w:cs="Arial"/>
          <w:b/>
          <w:smallCaps/>
          <w:sz w:val="22"/>
          <w:szCs w:val="22"/>
          <w:lang w:val="es-ES"/>
        </w:rPr>
      </w:pPr>
    </w:p>
    <w:p w:rsidR="00D0052D" w:rsidRPr="004223D9" w:rsidRDefault="00D0052D" w:rsidP="00B2397E">
      <w:pPr>
        <w:tabs>
          <w:tab w:val="left" w:pos="1440"/>
          <w:tab w:val="left" w:pos="3060"/>
        </w:tabs>
        <w:jc w:val="center"/>
        <w:rPr>
          <w:rFonts w:ascii="Arial" w:hAnsi="Arial" w:cs="Arial"/>
          <w:b/>
          <w:smallCaps/>
          <w:sz w:val="22"/>
          <w:szCs w:val="22"/>
          <w:lang w:val="es-ES"/>
        </w:rPr>
      </w:pPr>
    </w:p>
    <w:p w:rsidR="001F1DA6" w:rsidRPr="004223D9" w:rsidRDefault="001F1DA6" w:rsidP="00B2397E">
      <w:pPr>
        <w:tabs>
          <w:tab w:val="left" w:pos="1440"/>
          <w:tab w:val="left" w:pos="3060"/>
        </w:tabs>
        <w:jc w:val="center"/>
        <w:rPr>
          <w:rFonts w:ascii="Arial" w:hAnsi="Arial" w:cs="Arial"/>
          <w:smallCaps/>
          <w:sz w:val="22"/>
          <w:szCs w:val="22"/>
          <w:lang w:val="es-ES"/>
        </w:rPr>
      </w:pPr>
    </w:p>
    <w:p w:rsidR="001F1DA6" w:rsidRPr="004223D9" w:rsidRDefault="001F1DA6" w:rsidP="00B2397E">
      <w:pPr>
        <w:tabs>
          <w:tab w:val="left" w:pos="1440"/>
          <w:tab w:val="left" w:pos="3060"/>
        </w:tabs>
        <w:jc w:val="center"/>
        <w:rPr>
          <w:rFonts w:ascii="Arial" w:hAnsi="Arial" w:cs="Arial"/>
          <w:smallCaps/>
          <w:sz w:val="22"/>
          <w:szCs w:val="22"/>
          <w:lang w:val="es-ES"/>
        </w:rPr>
      </w:pPr>
    </w:p>
    <w:p w:rsidR="00C4075F" w:rsidRPr="004223D9" w:rsidRDefault="00C4075F" w:rsidP="00B2397E">
      <w:pPr>
        <w:tabs>
          <w:tab w:val="left" w:pos="1440"/>
          <w:tab w:val="left" w:pos="3060"/>
        </w:tabs>
        <w:jc w:val="center"/>
        <w:rPr>
          <w:rFonts w:ascii="Arial" w:hAnsi="Arial" w:cs="Arial"/>
          <w:smallCaps/>
          <w:sz w:val="22"/>
          <w:szCs w:val="22"/>
          <w:lang w:val="es-ES"/>
        </w:rPr>
      </w:pPr>
    </w:p>
    <w:p w:rsidR="00DC30EE" w:rsidRPr="004223D9" w:rsidRDefault="00DC30EE" w:rsidP="00B2397E">
      <w:pPr>
        <w:tabs>
          <w:tab w:val="left" w:pos="1440"/>
          <w:tab w:val="left" w:pos="3060"/>
        </w:tabs>
        <w:jc w:val="center"/>
        <w:rPr>
          <w:rFonts w:ascii="Arial" w:hAnsi="Arial" w:cs="Arial"/>
          <w:smallCaps/>
          <w:sz w:val="22"/>
          <w:szCs w:val="22"/>
          <w:lang w:val="es-ES"/>
        </w:rPr>
      </w:pPr>
    </w:p>
    <w:p w:rsidR="00B84A37" w:rsidRPr="004223D9" w:rsidRDefault="0093320D" w:rsidP="00B2397E">
      <w:pPr>
        <w:tabs>
          <w:tab w:val="left" w:pos="1440"/>
          <w:tab w:val="left" w:pos="3060"/>
        </w:tabs>
        <w:jc w:val="center"/>
        <w:rPr>
          <w:rFonts w:ascii="Arial" w:hAnsi="Arial" w:cs="Arial"/>
          <w:b/>
          <w:smallCaps/>
          <w:lang w:val="es-ES"/>
        </w:rPr>
      </w:pPr>
      <w:bookmarkStart w:id="5" w:name="_Toc422407005"/>
      <w:bookmarkStart w:id="6" w:name="_Toc422409154"/>
      <w:r w:rsidRPr="004223D9">
        <w:rPr>
          <w:rFonts w:ascii="Arial" w:hAnsi="Arial" w:cs="Arial"/>
          <w:b/>
          <w:smallCaps/>
          <w:lang w:val="es-ES"/>
        </w:rPr>
        <w:t xml:space="preserve">Informe de </w:t>
      </w:r>
      <w:r w:rsidR="00B84A37" w:rsidRPr="004223D9">
        <w:rPr>
          <w:rFonts w:ascii="Arial" w:hAnsi="Arial" w:cs="Arial"/>
          <w:b/>
          <w:smallCaps/>
          <w:lang w:val="es-ES"/>
        </w:rPr>
        <w:t>G</w:t>
      </w:r>
      <w:r w:rsidRPr="004223D9">
        <w:rPr>
          <w:rFonts w:ascii="Arial" w:hAnsi="Arial" w:cs="Arial"/>
          <w:b/>
          <w:smallCaps/>
          <w:lang w:val="es-ES"/>
        </w:rPr>
        <w:t xml:space="preserve">estión </w:t>
      </w:r>
      <w:r w:rsidR="00B84A37" w:rsidRPr="004223D9">
        <w:rPr>
          <w:rFonts w:ascii="Arial" w:hAnsi="Arial" w:cs="Arial"/>
          <w:b/>
          <w:smallCaps/>
          <w:lang w:val="es-ES"/>
        </w:rPr>
        <w:t>A</w:t>
      </w:r>
      <w:r w:rsidRPr="004223D9">
        <w:rPr>
          <w:rFonts w:ascii="Arial" w:hAnsi="Arial" w:cs="Arial"/>
          <w:b/>
          <w:smallCaps/>
          <w:lang w:val="es-ES"/>
        </w:rPr>
        <w:t xml:space="preserve">mbiental y Social </w:t>
      </w:r>
      <w:r w:rsidR="00B84A37" w:rsidRPr="004223D9">
        <w:rPr>
          <w:rFonts w:ascii="Arial" w:hAnsi="Arial" w:cs="Arial"/>
          <w:b/>
          <w:smallCaps/>
          <w:lang w:val="es-ES"/>
        </w:rPr>
        <w:t>(IGAS)</w:t>
      </w:r>
      <w:bookmarkEnd w:id="5"/>
      <w:bookmarkEnd w:id="6"/>
    </w:p>
    <w:p w:rsidR="001F1DA6" w:rsidRPr="004223D9" w:rsidRDefault="001F1DA6" w:rsidP="00B2397E">
      <w:pPr>
        <w:tabs>
          <w:tab w:val="left" w:pos="1440"/>
          <w:tab w:val="left" w:pos="3060"/>
        </w:tabs>
        <w:jc w:val="center"/>
        <w:rPr>
          <w:rFonts w:ascii="Arial" w:hAnsi="Arial" w:cs="Arial"/>
          <w:smallCaps/>
          <w:sz w:val="22"/>
          <w:szCs w:val="22"/>
          <w:lang w:val="es-ES"/>
        </w:rPr>
      </w:pPr>
    </w:p>
    <w:p w:rsidR="00DC30EE" w:rsidRPr="004223D9" w:rsidRDefault="00DC30EE" w:rsidP="00B2397E">
      <w:pPr>
        <w:tabs>
          <w:tab w:val="left" w:pos="1440"/>
          <w:tab w:val="left" w:pos="3060"/>
        </w:tabs>
        <w:jc w:val="center"/>
        <w:rPr>
          <w:rFonts w:ascii="Arial" w:hAnsi="Arial" w:cs="Arial"/>
          <w:smallCaps/>
          <w:sz w:val="22"/>
          <w:szCs w:val="22"/>
          <w:lang w:val="es-ES"/>
        </w:rPr>
      </w:pPr>
    </w:p>
    <w:p w:rsidR="00D0052D" w:rsidRPr="004223D9" w:rsidRDefault="00D0052D" w:rsidP="00B2397E">
      <w:pPr>
        <w:tabs>
          <w:tab w:val="left" w:pos="1440"/>
          <w:tab w:val="left" w:pos="3060"/>
        </w:tabs>
        <w:jc w:val="center"/>
        <w:rPr>
          <w:rFonts w:ascii="Arial" w:hAnsi="Arial" w:cs="Arial"/>
          <w:smallCaps/>
          <w:sz w:val="22"/>
          <w:szCs w:val="22"/>
          <w:lang w:val="es-ES"/>
        </w:rPr>
      </w:pPr>
    </w:p>
    <w:p w:rsidR="00D0052D" w:rsidRPr="004223D9" w:rsidRDefault="00D0052D" w:rsidP="00B2397E">
      <w:pPr>
        <w:tabs>
          <w:tab w:val="left" w:pos="1440"/>
          <w:tab w:val="left" w:pos="3060"/>
        </w:tabs>
        <w:jc w:val="center"/>
        <w:rPr>
          <w:rFonts w:ascii="Arial" w:hAnsi="Arial" w:cs="Arial"/>
          <w:smallCaps/>
          <w:sz w:val="22"/>
          <w:szCs w:val="22"/>
          <w:lang w:val="es-ES"/>
        </w:rPr>
      </w:pPr>
    </w:p>
    <w:p w:rsidR="00D0052D" w:rsidRPr="004223D9" w:rsidRDefault="00D0052D" w:rsidP="00B2397E">
      <w:pPr>
        <w:tabs>
          <w:tab w:val="left" w:pos="1440"/>
          <w:tab w:val="left" w:pos="3060"/>
        </w:tabs>
        <w:jc w:val="center"/>
        <w:rPr>
          <w:rFonts w:ascii="Arial" w:hAnsi="Arial" w:cs="Arial"/>
          <w:smallCaps/>
          <w:sz w:val="22"/>
          <w:szCs w:val="22"/>
          <w:lang w:val="es-ES"/>
        </w:rPr>
      </w:pPr>
    </w:p>
    <w:p w:rsidR="00D0052D" w:rsidRPr="004223D9" w:rsidRDefault="00D0052D" w:rsidP="00B2397E">
      <w:pPr>
        <w:tabs>
          <w:tab w:val="left" w:pos="1440"/>
          <w:tab w:val="left" w:pos="3060"/>
        </w:tabs>
        <w:jc w:val="center"/>
        <w:rPr>
          <w:rFonts w:ascii="Arial" w:hAnsi="Arial" w:cs="Arial"/>
          <w:smallCaps/>
          <w:sz w:val="22"/>
          <w:szCs w:val="22"/>
          <w:lang w:val="es-ES"/>
        </w:rPr>
      </w:pPr>
    </w:p>
    <w:p w:rsidR="00D0052D" w:rsidRPr="004223D9" w:rsidRDefault="00D0052D" w:rsidP="00B2397E">
      <w:pPr>
        <w:tabs>
          <w:tab w:val="left" w:pos="1440"/>
          <w:tab w:val="left" w:pos="3060"/>
        </w:tabs>
        <w:jc w:val="center"/>
        <w:rPr>
          <w:rFonts w:ascii="Arial" w:hAnsi="Arial" w:cs="Arial"/>
          <w:smallCaps/>
          <w:sz w:val="22"/>
          <w:szCs w:val="22"/>
          <w:lang w:val="es-ES"/>
        </w:rPr>
      </w:pPr>
    </w:p>
    <w:p w:rsidR="006E0761" w:rsidRPr="004223D9" w:rsidRDefault="006E0761" w:rsidP="00B2397E">
      <w:pPr>
        <w:tabs>
          <w:tab w:val="left" w:pos="1440"/>
          <w:tab w:val="left" w:pos="3060"/>
        </w:tabs>
        <w:jc w:val="center"/>
        <w:rPr>
          <w:rFonts w:ascii="Arial" w:hAnsi="Arial" w:cs="Arial"/>
          <w:smallCaps/>
          <w:sz w:val="22"/>
          <w:szCs w:val="22"/>
          <w:lang w:val="es-ES"/>
        </w:rPr>
      </w:pPr>
    </w:p>
    <w:p w:rsidR="00DC30EE" w:rsidRPr="004223D9" w:rsidRDefault="00DC30EE" w:rsidP="00DC30EE">
      <w:pPr>
        <w:tabs>
          <w:tab w:val="left" w:pos="1440"/>
          <w:tab w:val="left" w:pos="3060"/>
        </w:tabs>
        <w:jc w:val="center"/>
        <w:outlineLvl w:val="0"/>
        <w:rPr>
          <w:rFonts w:ascii="Arial" w:hAnsi="Arial" w:cs="Arial"/>
          <w:smallCaps/>
          <w:sz w:val="22"/>
          <w:szCs w:val="22"/>
          <w:lang w:val="es-ES"/>
        </w:rPr>
      </w:pPr>
    </w:p>
    <w:p w:rsidR="00196AF7" w:rsidRPr="004223D9" w:rsidRDefault="00196AF7" w:rsidP="00D0052D">
      <w:pPr>
        <w:pStyle w:val="BodyText"/>
        <w:pBdr>
          <w:top w:val="single" w:sz="4" w:space="1" w:color="auto"/>
          <w:left w:val="single" w:sz="4" w:space="4" w:color="auto"/>
          <w:bottom w:val="single" w:sz="4" w:space="1" w:color="auto"/>
          <w:right w:val="single" w:sz="4" w:space="4" w:color="auto"/>
        </w:pBdr>
        <w:tabs>
          <w:tab w:val="left" w:pos="1440"/>
        </w:tabs>
        <w:jc w:val="both"/>
        <w:rPr>
          <w:rFonts w:ascii="Arial" w:hAnsi="Arial" w:cs="Arial"/>
          <w:sz w:val="20"/>
          <w:szCs w:val="20"/>
          <w:lang w:val="es-ES_tradnl"/>
        </w:rPr>
      </w:pPr>
      <w:r w:rsidRPr="004223D9">
        <w:rPr>
          <w:rFonts w:ascii="Arial" w:hAnsi="Arial" w:cs="Arial"/>
          <w:sz w:val="20"/>
          <w:lang w:val="es-ES"/>
        </w:rPr>
        <w:t>Este documento fue preparado por el equipo de proyecto integrado por:</w:t>
      </w:r>
      <w:r w:rsidR="00EF5FD1" w:rsidRPr="004223D9">
        <w:rPr>
          <w:rFonts w:ascii="Arial" w:hAnsi="Arial" w:cs="Arial"/>
          <w:sz w:val="20"/>
          <w:szCs w:val="20"/>
          <w:lang w:val="es-ES_tradnl"/>
        </w:rPr>
        <w:t xml:space="preserve"> </w:t>
      </w:r>
      <w:r w:rsidR="00D0052D" w:rsidRPr="004223D9">
        <w:rPr>
          <w:rFonts w:ascii="Arial" w:hAnsi="Arial" w:cs="Arial"/>
          <w:sz w:val="20"/>
          <w:szCs w:val="20"/>
          <w:lang w:val="es-ES_tradnl"/>
        </w:rPr>
        <w:t>Jesus Tejeda, Jefe de Equipo (ENE/CEC); Natacha Marzolf (INE/ENE), Jefe de Equipo Alterno (ENE/CEC); María Julia Molina (CAN/CEC); Juan Carlos Cárdenas y Stephanie Suber (INE/ENE); Cristina Villalba (CAN/CEC); Gumersindo Velázquez (FMP/CEC); Gustavo Palmerio (FMP/CEC); Javier Jiménez (LEG/SGO); José Luis de la Bastida (VPS/ESG); y Javier Diaz (CAN/CEC)</w:t>
      </w:r>
    </w:p>
    <w:p w:rsidR="008C0FCF" w:rsidRPr="004223D9" w:rsidRDefault="008C0FCF" w:rsidP="006E0761">
      <w:pPr>
        <w:tabs>
          <w:tab w:val="left" w:pos="1440"/>
          <w:tab w:val="left" w:pos="3060"/>
        </w:tabs>
        <w:outlineLvl w:val="0"/>
        <w:rPr>
          <w:rFonts w:ascii="Arial" w:hAnsi="Arial" w:cs="Arial"/>
          <w:smallCaps/>
          <w:sz w:val="22"/>
          <w:szCs w:val="22"/>
          <w:lang w:val="es-ES"/>
        </w:rPr>
      </w:pPr>
    </w:p>
    <w:p w:rsidR="00FC0A93" w:rsidRPr="004223D9" w:rsidRDefault="00FC0A93" w:rsidP="00DC30EE">
      <w:pPr>
        <w:tabs>
          <w:tab w:val="left" w:pos="1440"/>
          <w:tab w:val="left" w:pos="3060"/>
        </w:tabs>
        <w:jc w:val="center"/>
        <w:outlineLvl w:val="0"/>
        <w:rPr>
          <w:rFonts w:ascii="Arial" w:hAnsi="Arial" w:cs="Arial"/>
          <w:smallCaps/>
          <w:sz w:val="22"/>
          <w:szCs w:val="22"/>
          <w:lang w:val="es-ES"/>
        </w:rPr>
      </w:pPr>
    </w:p>
    <w:p w:rsidR="00E44649" w:rsidRPr="004223D9" w:rsidRDefault="00E44649" w:rsidP="00E44649">
      <w:pPr>
        <w:tabs>
          <w:tab w:val="left" w:pos="1440"/>
          <w:tab w:val="left" w:pos="3060"/>
        </w:tabs>
        <w:jc w:val="center"/>
        <w:rPr>
          <w:rFonts w:ascii="Arial" w:hAnsi="Arial" w:cs="Arial"/>
          <w:b/>
          <w:smallCaps/>
          <w:lang w:val="es-ES"/>
        </w:rPr>
      </w:pPr>
      <w:r w:rsidRPr="004223D9">
        <w:rPr>
          <w:rFonts w:ascii="Arial" w:hAnsi="Arial" w:cs="Arial"/>
          <w:b/>
          <w:smallCaps/>
          <w:lang w:val="es-ES"/>
        </w:rPr>
        <w:lastRenderedPageBreak/>
        <w:t>Índice</w:t>
      </w:r>
    </w:p>
    <w:p w:rsidR="00E44649" w:rsidRPr="004223D9" w:rsidRDefault="00E44649" w:rsidP="00E44649">
      <w:pPr>
        <w:suppressLineNumbers/>
        <w:tabs>
          <w:tab w:val="left" w:pos="1440"/>
          <w:tab w:val="left" w:pos="3060"/>
        </w:tabs>
        <w:jc w:val="center"/>
        <w:rPr>
          <w:rFonts w:ascii="Arial" w:hAnsi="Arial" w:cs="Arial"/>
          <w:b/>
          <w:smallCaps/>
          <w:lang w:val="es-ES"/>
        </w:rPr>
      </w:pPr>
    </w:p>
    <w:p w:rsidR="00635C8A" w:rsidRPr="006B7E8B" w:rsidRDefault="00E44649">
      <w:pPr>
        <w:pStyle w:val="TOC1"/>
        <w:rPr>
          <w:rFonts w:ascii="Calibri" w:eastAsia="Times New Roman" w:hAnsi="Calibri"/>
          <w:smallCaps w:val="0"/>
          <w:noProof/>
          <w:sz w:val="22"/>
          <w:szCs w:val="22"/>
        </w:rPr>
      </w:pPr>
      <w:r w:rsidRPr="004223D9">
        <w:rPr>
          <w:rFonts w:ascii="Arial" w:hAnsi="Arial" w:cs="Arial"/>
          <w:lang w:val="es-ES"/>
        </w:rPr>
        <w:fldChar w:fldCharType="begin"/>
      </w:r>
      <w:r w:rsidRPr="004223D9">
        <w:rPr>
          <w:rFonts w:ascii="Arial" w:hAnsi="Arial" w:cs="Arial"/>
          <w:lang w:val="es-ES"/>
        </w:rPr>
        <w:instrText xml:space="preserve"> TOC \o "1-3" \h \z \u </w:instrText>
      </w:r>
      <w:r w:rsidRPr="004223D9">
        <w:rPr>
          <w:rFonts w:ascii="Arial" w:hAnsi="Arial" w:cs="Arial"/>
          <w:lang w:val="es-ES"/>
        </w:rPr>
        <w:fldChar w:fldCharType="separate"/>
      </w:r>
      <w:hyperlink w:anchor="_Toc463535780" w:history="1">
        <w:r w:rsidR="00635C8A" w:rsidRPr="004223D9">
          <w:rPr>
            <w:rStyle w:val="Hyperlink"/>
            <w:rFonts w:ascii="Arial" w:hAnsi="Arial" w:cs="Arial"/>
            <w:noProof/>
            <w:lang w:val="es-ES"/>
          </w:rPr>
          <w:t>I.</w:t>
        </w:r>
        <w:r w:rsidR="00635C8A" w:rsidRPr="006B7E8B">
          <w:rPr>
            <w:rFonts w:ascii="Calibri" w:eastAsia="Times New Roman" w:hAnsi="Calibri"/>
            <w:smallCaps w:val="0"/>
            <w:noProof/>
            <w:sz w:val="22"/>
            <w:szCs w:val="22"/>
          </w:rPr>
          <w:tab/>
        </w:r>
        <w:r w:rsidR="00635C8A" w:rsidRPr="004223D9">
          <w:rPr>
            <w:rStyle w:val="Hyperlink"/>
            <w:rFonts w:ascii="Arial" w:hAnsi="Arial" w:cs="Arial"/>
            <w:noProof/>
            <w:lang w:val="es-ES"/>
          </w:rPr>
          <w:t>Introducción</w:t>
        </w:r>
        <w:r w:rsidR="00635C8A" w:rsidRPr="004223D9">
          <w:rPr>
            <w:noProof/>
            <w:webHidden/>
          </w:rPr>
          <w:tab/>
        </w:r>
        <w:r w:rsidR="00635C8A" w:rsidRPr="004223D9">
          <w:rPr>
            <w:noProof/>
            <w:webHidden/>
          </w:rPr>
          <w:fldChar w:fldCharType="begin"/>
        </w:r>
        <w:r w:rsidR="00635C8A" w:rsidRPr="004223D9">
          <w:rPr>
            <w:noProof/>
            <w:webHidden/>
          </w:rPr>
          <w:instrText xml:space="preserve"> PAGEREF _Toc463535780 \h </w:instrText>
        </w:r>
        <w:r w:rsidR="00635C8A" w:rsidRPr="004223D9">
          <w:rPr>
            <w:noProof/>
            <w:webHidden/>
          </w:rPr>
        </w:r>
        <w:r w:rsidR="00635C8A" w:rsidRPr="004223D9">
          <w:rPr>
            <w:noProof/>
            <w:webHidden/>
          </w:rPr>
          <w:fldChar w:fldCharType="separate"/>
        </w:r>
        <w:r w:rsidR="00635C8A" w:rsidRPr="004223D9">
          <w:rPr>
            <w:noProof/>
            <w:webHidden/>
          </w:rPr>
          <w:t>1</w:t>
        </w:r>
        <w:r w:rsidR="00635C8A" w:rsidRPr="004223D9">
          <w:rPr>
            <w:noProof/>
            <w:webHidden/>
          </w:rPr>
          <w:fldChar w:fldCharType="end"/>
        </w:r>
      </w:hyperlink>
    </w:p>
    <w:p w:rsidR="00635C8A" w:rsidRPr="006B7E8B" w:rsidRDefault="00635C8A">
      <w:pPr>
        <w:pStyle w:val="TOC1"/>
        <w:rPr>
          <w:rFonts w:ascii="Calibri" w:eastAsia="Times New Roman" w:hAnsi="Calibri"/>
          <w:smallCaps w:val="0"/>
          <w:noProof/>
          <w:sz w:val="22"/>
          <w:szCs w:val="22"/>
        </w:rPr>
      </w:pPr>
      <w:hyperlink w:anchor="_Toc463535781" w:history="1">
        <w:r w:rsidRPr="004223D9">
          <w:rPr>
            <w:rStyle w:val="Hyperlink"/>
            <w:rFonts w:ascii="Arial" w:hAnsi="Arial" w:cs="Arial"/>
            <w:noProof/>
            <w:lang w:val="es-ES"/>
          </w:rPr>
          <w:t>II.</w:t>
        </w:r>
        <w:r w:rsidRPr="006B7E8B">
          <w:rPr>
            <w:rFonts w:ascii="Calibri" w:eastAsia="Times New Roman" w:hAnsi="Calibri"/>
            <w:smallCaps w:val="0"/>
            <w:noProof/>
            <w:sz w:val="22"/>
            <w:szCs w:val="22"/>
          </w:rPr>
          <w:tab/>
        </w:r>
        <w:r w:rsidRPr="004223D9">
          <w:rPr>
            <w:rStyle w:val="Hyperlink"/>
            <w:rFonts w:ascii="Arial" w:hAnsi="Arial" w:cs="Arial"/>
            <w:noProof/>
            <w:lang w:val="es-ES"/>
          </w:rPr>
          <w:t>Descripción del Programa</w:t>
        </w:r>
        <w:r w:rsidRPr="004223D9">
          <w:rPr>
            <w:noProof/>
            <w:webHidden/>
          </w:rPr>
          <w:tab/>
        </w:r>
        <w:r w:rsidRPr="004223D9">
          <w:rPr>
            <w:noProof/>
            <w:webHidden/>
          </w:rPr>
          <w:fldChar w:fldCharType="begin"/>
        </w:r>
        <w:r w:rsidRPr="004223D9">
          <w:rPr>
            <w:noProof/>
            <w:webHidden/>
          </w:rPr>
          <w:instrText xml:space="preserve"> PAGEREF _Toc463535781 \h </w:instrText>
        </w:r>
        <w:r w:rsidRPr="004223D9">
          <w:rPr>
            <w:noProof/>
            <w:webHidden/>
          </w:rPr>
        </w:r>
        <w:r w:rsidRPr="004223D9">
          <w:rPr>
            <w:noProof/>
            <w:webHidden/>
          </w:rPr>
          <w:fldChar w:fldCharType="separate"/>
        </w:r>
        <w:r w:rsidRPr="004223D9">
          <w:rPr>
            <w:noProof/>
            <w:webHidden/>
          </w:rPr>
          <w:t>1</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82" w:history="1">
        <w:r w:rsidRPr="004223D9">
          <w:rPr>
            <w:rStyle w:val="Hyperlink"/>
            <w:rFonts w:ascii="Arial" w:hAnsi="Arial" w:cs="Arial"/>
            <w:noProof/>
            <w:lang w:val="es-ES_tradnl"/>
          </w:rPr>
          <w:t>A.</w:t>
        </w:r>
        <w:r w:rsidRPr="006B7E8B">
          <w:rPr>
            <w:rFonts w:ascii="Calibri" w:eastAsia="Times New Roman" w:hAnsi="Calibri"/>
            <w:noProof/>
            <w:sz w:val="22"/>
            <w:szCs w:val="22"/>
          </w:rPr>
          <w:tab/>
        </w:r>
        <w:r w:rsidRPr="004223D9">
          <w:rPr>
            <w:rStyle w:val="Hyperlink"/>
            <w:rFonts w:ascii="Arial" w:hAnsi="Arial" w:cs="Arial"/>
            <w:noProof/>
            <w:lang w:val="es-ES"/>
          </w:rPr>
          <w:t>Componentes</w:t>
        </w:r>
        <w:r w:rsidRPr="004223D9">
          <w:rPr>
            <w:noProof/>
            <w:webHidden/>
          </w:rPr>
          <w:tab/>
        </w:r>
        <w:r w:rsidRPr="004223D9">
          <w:rPr>
            <w:noProof/>
            <w:webHidden/>
          </w:rPr>
          <w:fldChar w:fldCharType="begin"/>
        </w:r>
        <w:r w:rsidRPr="004223D9">
          <w:rPr>
            <w:noProof/>
            <w:webHidden/>
          </w:rPr>
          <w:instrText xml:space="preserve"> PAGEREF _Toc463535782 \h </w:instrText>
        </w:r>
        <w:r w:rsidRPr="004223D9">
          <w:rPr>
            <w:noProof/>
            <w:webHidden/>
          </w:rPr>
        </w:r>
        <w:r w:rsidRPr="004223D9">
          <w:rPr>
            <w:noProof/>
            <w:webHidden/>
          </w:rPr>
          <w:fldChar w:fldCharType="separate"/>
        </w:r>
        <w:r w:rsidRPr="004223D9">
          <w:rPr>
            <w:noProof/>
            <w:webHidden/>
          </w:rPr>
          <w:t>1</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83" w:history="1">
        <w:r w:rsidRPr="004223D9">
          <w:rPr>
            <w:rStyle w:val="Hyperlink"/>
            <w:rFonts w:ascii="Arial" w:hAnsi="Arial" w:cs="Arial"/>
            <w:noProof/>
            <w:lang w:val="es-ES_tradnl"/>
          </w:rPr>
          <w:t>B.</w:t>
        </w:r>
        <w:r w:rsidRPr="006B7E8B">
          <w:rPr>
            <w:rFonts w:ascii="Calibri" w:eastAsia="Times New Roman" w:hAnsi="Calibri"/>
            <w:noProof/>
            <w:sz w:val="22"/>
            <w:szCs w:val="22"/>
          </w:rPr>
          <w:tab/>
        </w:r>
        <w:r w:rsidRPr="004223D9">
          <w:rPr>
            <w:rStyle w:val="Hyperlink"/>
            <w:rFonts w:ascii="Arial" w:hAnsi="Arial" w:cs="Arial"/>
            <w:noProof/>
            <w:lang w:val="es-ES"/>
          </w:rPr>
          <w:t>Entorno Ambiental y Social</w:t>
        </w:r>
        <w:r w:rsidRPr="004223D9">
          <w:rPr>
            <w:noProof/>
            <w:webHidden/>
          </w:rPr>
          <w:tab/>
        </w:r>
        <w:r w:rsidRPr="004223D9">
          <w:rPr>
            <w:noProof/>
            <w:webHidden/>
          </w:rPr>
          <w:fldChar w:fldCharType="begin"/>
        </w:r>
        <w:r w:rsidRPr="004223D9">
          <w:rPr>
            <w:noProof/>
            <w:webHidden/>
          </w:rPr>
          <w:instrText xml:space="preserve"> PAGEREF _Toc463535783 \h </w:instrText>
        </w:r>
        <w:r w:rsidRPr="004223D9">
          <w:rPr>
            <w:noProof/>
            <w:webHidden/>
          </w:rPr>
        </w:r>
        <w:r w:rsidRPr="004223D9">
          <w:rPr>
            <w:noProof/>
            <w:webHidden/>
          </w:rPr>
          <w:fldChar w:fldCharType="separate"/>
        </w:r>
        <w:r w:rsidRPr="004223D9">
          <w:rPr>
            <w:noProof/>
            <w:webHidden/>
          </w:rPr>
          <w:t>1</w:t>
        </w:r>
        <w:r w:rsidRPr="004223D9">
          <w:rPr>
            <w:noProof/>
            <w:webHidden/>
          </w:rPr>
          <w:fldChar w:fldCharType="end"/>
        </w:r>
      </w:hyperlink>
    </w:p>
    <w:p w:rsidR="00635C8A" w:rsidRPr="006B7E8B" w:rsidRDefault="00635C8A">
      <w:pPr>
        <w:pStyle w:val="TOC1"/>
        <w:rPr>
          <w:rFonts w:ascii="Calibri" w:eastAsia="Times New Roman" w:hAnsi="Calibri"/>
          <w:smallCaps w:val="0"/>
          <w:noProof/>
          <w:sz w:val="22"/>
          <w:szCs w:val="22"/>
        </w:rPr>
      </w:pPr>
      <w:hyperlink w:anchor="_Toc463535784" w:history="1">
        <w:r w:rsidRPr="004223D9">
          <w:rPr>
            <w:rStyle w:val="Hyperlink"/>
            <w:rFonts w:ascii="Arial" w:hAnsi="Arial" w:cs="Arial"/>
            <w:noProof/>
            <w:lang w:val="es-ES"/>
          </w:rPr>
          <w:t>III.</w:t>
        </w:r>
        <w:r w:rsidRPr="006B7E8B">
          <w:rPr>
            <w:rFonts w:ascii="Calibri" w:eastAsia="Times New Roman" w:hAnsi="Calibri"/>
            <w:smallCaps w:val="0"/>
            <w:noProof/>
            <w:sz w:val="22"/>
            <w:szCs w:val="22"/>
          </w:rPr>
          <w:tab/>
        </w:r>
        <w:r w:rsidRPr="004223D9">
          <w:rPr>
            <w:rStyle w:val="Hyperlink"/>
            <w:rFonts w:ascii="Arial" w:hAnsi="Arial" w:cs="Arial"/>
            <w:noProof/>
            <w:lang w:val="es-ES"/>
          </w:rPr>
          <w:t>Cumplimiento con los Requisitos y Estándares</w:t>
        </w:r>
        <w:r w:rsidRPr="004223D9">
          <w:rPr>
            <w:noProof/>
            <w:webHidden/>
          </w:rPr>
          <w:tab/>
        </w:r>
        <w:r w:rsidRPr="004223D9">
          <w:rPr>
            <w:noProof/>
            <w:webHidden/>
          </w:rPr>
          <w:fldChar w:fldCharType="begin"/>
        </w:r>
        <w:r w:rsidRPr="004223D9">
          <w:rPr>
            <w:noProof/>
            <w:webHidden/>
          </w:rPr>
          <w:instrText xml:space="preserve"> PAGEREF _Toc463535784 \h </w:instrText>
        </w:r>
        <w:r w:rsidRPr="004223D9">
          <w:rPr>
            <w:noProof/>
            <w:webHidden/>
          </w:rPr>
        </w:r>
        <w:r w:rsidRPr="004223D9">
          <w:rPr>
            <w:noProof/>
            <w:webHidden/>
          </w:rPr>
          <w:fldChar w:fldCharType="separate"/>
        </w:r>
        <w:r w:rsidRPr="004223D9">
          <w:rPr>
            <w:noProof/>
            <w:webHidden/>
          </w:rPr>
          <w:t>5</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85" w:history="1">
        <w:r w:rsidRPr="004223D9">
          <w:rPr>
            <w:rStyle w:val="Hyperlink"/>
            <w:rFonts w:ascii="Arial" w:hAnsi="Arial" w:cs="Arial"/>
            <w:noProof/>
            <w:lang w:val="es-ES_tradnl"/>
          </w:rPr>
          <w:t>A.</w:t>
        </w:r>
        <w:r w:rsidRPr="006B7E8B">
          <w:rPr>
            <w:rFonts w:ascii="Calibri" w:eastAsia="Times New Roman" w:hAnsi="Calibri"/>
            <w:noProof/>
            <w:sz w:val="22"/>
            <w:szCs w:val="22"/>
          </w:rPr>
          <w:tab/>
        </w:r>
        <w:r w:rsidRPr="004223D9">
          <w:rPr>
            <w:rStyle w:val="Hyperlink"/>
            <w:rFonts w:ascii="Arial" w:hAnsi="Arial" w:cs="Arial"/>
            <w:noProof/>
            <w:lang w:val="es-ES"/>
          </w:rPr>
          <w:t>Proceso de Evaluación Ambiental y Social</w:t>
        </w:r>
        <w:r w:rsidRPr="004223D9">
          <w:rPr>
            <w:noProof/>
            <w:webHidden/>
          </w:rPr>
          <w:tab/>
        </w:r>
        <w:r w:rsidRPr="004223D9">
          <w:rPr>
            <w:noProof/>
            <w:webHidden/>
          </w:rPr>
          <w:fldChar w:fldCharType="begin"/>
        </w:r>
        <w:r w:rsidRPr="004223D9">
          <w:rPr>
            <w:noProof/>
            <w:webHidden/>
          </w:rPr>
          <w:instrText xml:space="preserve"> PAGEREF _Toc463535785 \h </w:instrText>
        </w:r>
        <w:r w:rsidRPr="004223D9">
          <w:rPr>
            <w:noProof/>
            <w:webHidden/>
          </w:rPr>
        </w:r>
        <w:r w:rsidRPr="004223D9">
          <w:rPr>
            <w:noProof/>
            <w:webHidden/>
          </w:rPr>
          <w:fldChar w:fldCharType="separate"/>
        </w:r>
        <w:r w:rsidRPr="004223D9">
          <w:rPr>
            <w:noProof/>
            <w:webHidden/>
          </w:rPr>
          <w:t>5</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86" w:history="1">
        <w:r w:rsidRPr="004223D9">
          <w:rPr>
            <w:rStyle w:val="Hyperlink"/>
            <w:rFonts w:ascii="Arial" w:hAnsi="Arial" w:cs="Arial"/>
            <w:noProof/>
            <w:lang w:val="es-ES_tradnl"/>
          </w:rPr>
          <w:t>B.</w:t>
        </w:r>
        <w:r w:rsidRPr="006B7E8B">
          <w:rPr>
            <w:rFonts w:ascii="Calibri" w:eastAsia="Times New Roman" w:hAnsi="Calibri"/>
            <w:noProof/>
            <w:sz w:val="22"/>
            <w:szCs w:val="22"/>
          </w:rPr>
          <w:tab/>
        </w:r>
        <w:r w:rsidRPr="004223D9">
          <w:rPr>
            <w:rStyle w:val="Hyperlink"/>
            <w:rFonts w:ascii="Arial" w:hAnsi="Arial" w:cs="Arial"/>
            <w:noProof/>
            <w:lang w:val="es-ES"/>
          </w:rPr>
          <w:t>Consistencia con Políticas y Directrices del BID</w:t>
        </w:r>
        <w:r w:rsidRPr="004223D9">
          <w:rPr>
            <w:noProof/>
            <w:webHidden/>
          </w:rPr>
          <w:tab/>
        </w:r>
        <w:r w:rsidRPr="004223D9">
          <w:rPr>
            <w:noProof/>
            <w:webHidden/>
          </w:rPr>
          <w:fldChar w:fldCharType="begin"/>
        </w:r>
        <w:r w:rsidRPr="004223D9">
          <w:rPr>
            <w:noProof/>
            <w:webHidden/>
          </w:rPr>
          <w:instrText xml:space="preserve"> PAGEREF _Toc463535786 \h </w:instrText>
        </w:r>
        <w:r w:rsidRPr="004223D9">
          <w:rPr>
            <w:noProof/>
            <w:webHidden/>
          </w:rPr>
        </w:r>
        <w:r w:rsidRPr="004223D9">
          <w:rPr>
            <w:noProof/>
            <w:webHidden/>
          </w:rPr>
          <w:fldChar w:fldCharType="separate"/>
        </w:r>
        <w:r w:rsidRPr="004223D9">
          <w:rPr>
            <w:noProof/>
            <w:webHidden/>
          </w:rPr>
          <w:t>8</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87" w:history="1">
        <w:r w:rsidRPr="004223D9">
          <w:rPr>
            <w:rStyle w:val="Hyperlink"/>
            <w:rFonts w:ascii="Arial" w:hAnsi="Arial" w:cs="Arial"/>
            <w:noProof/>
            <w:lang w:val="es-ES_tradnl"/>
          </w:rPr>
          <w:t>C.</w:t>
        </w:r>
        <w:r w:rsidRPr="006B7E8B">
          <w:rPr>
            <w:rFonts w:ascii="Calibri" w:eastAsia="Times New Roman" w:hAnsi="Calibri"/>
            <w:noProof/>
            <w:sz w:val="22"/>
            <w:szCs w:val="22"/>
          </w:rPr>
          <w:tab/>
        </w:r>
        <w:r w:rsidRPr="004223D9">
          <w:rPr>
            <w:rStyle w:val="Hyperlink"/>
            <w:rFonts w:ascii="Arial" w:hAnsi="Arial" w:cs="Arial"/>
            <w:noProof/>
            <w:lang w:val="es-ES"/>
          </w:rPr>
          <w:t>Requisitos del Proyecto y Estándares</w:t>
        </w:r>
        <w:r w:rsidRPr="004223D9">
          <w:rPr>
            <w:noProof/>
            <w:webHidden/>
          </w:rPr>
          <w:tab/>
        </w:r>
        <w:r w:rsidRPr="004223D9">
          <w:rPr>
            <w:noProof/>
            <w:webHidden/>
          </w:rPr>
          <w:fldChar w:fldCharType="begin"/>
        </w:r>
        <w:r w:rsidRPr="004223D9">
          <w:rPr>
            <w:noProof/>
            <w:webHidden/>
          </w:rPr>
          <w:instrText xml:space="preserve"> PAGEREF _Toc463535787 \h </w:instrText>
        </w:r>
        <w:r w:rsidRPr="004223D9">
          <w:rPr>
            <w:noProof/>
            <w:webHidden/>
          </w:rPr>
        </w:r>
        <w:r w:rsidRPr="004223D9">
          <w:rPr>
            <w:noProof/>
            <w:webHidden/>
          </w:rPr>
          <w:fldChar w:fldCharType="separate"/>
        </w:r>
        <w:r w:rsidRPr="004223D9">
          <w:rPr>
            <w:noProof/>
            <w:webHidden/>
          </w:rPr>
          <w:t>10</w:t>
        </w:r>
        <w:r w:rsidRPr="004223D9">
          <w:rPr>
            <w:noProof/>
            <w:webHidden/>
          </w:rPr>
          <w:fldChar w:fldCharType="end"/>
        </w:r>
      </w:hyperlink>
    </w:p>
    <w:p w:rsidR="00635C8A" w:rsidRPr="006B7E8B" w:rsidRDefault="00635C8A">
      <w:pPr>
        <w:pStyle w:val="TOC1"/>
        <w:rPr>
          <w:rFonts w:ascii="Calibri" w:eastAsia="Times New Roman" w:hAnsi="Calibri"/>
          <w:smallCaps w:val="0"/>
          <w:noProof/>
          <w:sz w:val="22"/>
          <w:szCs w:val="22"/>
        </w:rPr>
      </w:pPr>
      <w:hyperlink w:anchor="_Toc463535788" w:history="1">
        <w:r w:rsidRPr="004223D9">
          <w:rPr>
            <w:rStyle w:val="Hyperlink"/>
            <w:rFonts w:ascii="Arial" w:hAnsi="Arial" w:cs="Arial"/>
            <w:noProof/>
            <w:lang w:val="es-ES"/>
          </w:rPr>
          <w:t>IV.</w:t>
        </w:r>
        <w:r w:rsidRPr="006B7E8B">
          <w:rPr>
            <w:rFonts w:ascii="Calibri" w:eastAsia="Times New Roman" w:hAnsi="Calibri"/>
            <w:smallCaps w:val="0"/>
            <w:noProof/>
            <w:sz w:val="22"/>
            <w:szCs w:val="22"/>
          </w:rPr>
          <w:tab/>
        </w:r>
        <w:r w:rsidRPr="004223D9">
          <w:rPr>
            <w:rStyle w:val="Hyperlink"/>
            <w:rFonts w:ascii="Arial" w:hAnsi="Arial" w:cs="Arial"/>
            <w:noProof/>
            <w:lang w:val="es-ES"/>
          </w:rPr>
          <w:t>Impactos y Riesgos Ambientales y Sociales y Mitigación</w:t>
        </w:r>
        <w:r w:rsidRPr="004223D9">
          <w:rPr>
            <w:noProof/>
            <w:webHidden/>
          </w:rPr>
          <w:tab/>
        </w:r>
        <w:r w:rsidRPr="004223D9">
          <w:rPr>
            <w:noProof/>
            <w:webHidden/>
          </w:rPr>
          <w:fldChar w:fldCharType="begin"/>
        </w:r>
        <w:r w:rsidRPr="004223D9">
          <w:rPr>
            <w:noProof/>
            <w:webHidden/>
          </w:rPr>
          <w:instrText xml:space="preserve"> PAGEREF _Toc463535788 \h </w:instrText>
        </w:r>
        <w:r w:rsidRPr="004223D9">
          <w:rPr>
            <w:noProof/>
            <w:webHidden/>
          </w:rPr>
        </w:r>
        <w:r w:rsidRPr="004223D9">
          <w:rPr>
            <w:noProof/>
            <w:webHidden/>
          </w:rPr>
          <w:fldChar w:fldCharType="separate"/>
        </w:r>
        <w:r w:rsidRPr="004223D9">
          <w:rPr>
            <w:noProof/>
            <w:webHidden/>
          </w:rPr>
          <w:t>10</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89" w:history="1">
        <w:r w:rsidRPr="004223D9">
          <w:rPr>
            <w:rStyle w:val="Hyperlink"/>
            <w:rFonts w:ascii="Arial" w:hAnsi="Arial" w:cs="Arial"/>
            <w:noProof/>
            <w:lang w:val="es-ES_tradnl"/>
          </w:rPr>
          <w:t>A.</w:t>
        </w:r>
        <w:r w:rsidRPr="006B7E8B">
          <w:rPr>
            <w:rFonts w:ascii="Calibri" w:eastAsia="Times New Roman" w:hAnsi="Calibri"/>
            <w:noProof/>
            <w:sz w:val="22"/>
            <w:szCs w:val="22"/>
          </w:rPr>
          <w:tab/>
        </w:r>
        <w:r w:rsidRPr="004223D9">
          <w:rPr>
            <w:rStyle w:val="Hyperlink"/>
            <w:rFonts w:ascii="Arial" w:hAnsi="Arial" w:cs="Arial"/>
            <w:noProof/>
            <w:lang w:val="es-ES"/>
          </w:rPr>
          <w:t>Resumen de Principales Impactos y Riesgos</w:t>
        </w:r>
        <w:r w:rsidRPr="004223D9">
          <w:rPr>
            <w:noProof/>
            <w:webHidden/>
          </w:rPr>
          <w:tab/>
        </w:r>
        <w:r w:rsidRPr="004223D9">
          <w:rPr>
            <w:noProof/>
            <w:webHidden/>
          </w:rPr>
          <w:fldChar w:fldCharType="begin"/>
        </w:r>
        <w:r w:rsidRPr="004223D9">
          <w:rPr>
            <w:noProof/>
            <w:webHidden/>
          </w:rPr>
          <w:instrText xml:space="preserve"> PAGEREF _Toc463535789 \h </w:instrText>
        </w:r>
        <w:r w:rsidRPr="004223D9">
          <w:rPr>
            <w:noProof/>
            <w:webHidden/>
          </w:rPr>
        </w:r>
        <w:r w:rsidRPr="004223D9">
          <w:rPr>
            <w:noProof/>
            <w:webHidden/>
          </w:rPr>
          <w:fldChar w:fldCharType="separate"/>
        </w:r>
        <w:r w:rsidRPr="004223D9">
          <w:rPr>
            <w:noProof/>
            <w:webHidden/>
          </w:rPr>
          <w:t>10</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90" w:history="1">
        <w:r w:rsidRPr="004223D9">
          <w:rPr>
            <w:rStyle w:val="Hyperlink"/>
            <w:rFonts w:ascii="Arial" w:hAnsi="Arial" w:cs="Arial"/>
            <w:noProof/>
            <w:lang w:val="es-ES_tradnl"/>
          </w:rPr>
          <w:t>B.</w:t>
        </w:r>
        <w:r w:rsidRPr="006B7E8B">
          <w:rPr>
            <w:rFonts w:ascii="Calibri" w:eastAsia="Times New Roman" w:hAnsi="Calibri"/>
            <w:noProof/>
            <w:sz w:val="22"/>
            <w:szCs w:val="22"/>
          </w:rPr>
          <w:tab/>
        </w:r>
        <w:r w:rsidRPr="004223D9">
          <w:rPr>
            <w:rStyle w:val="Hyperlink"/>
            <w:rFonts w:ascii="Arial" w:hAnsi="Arial" w:cs="Arial"/>
            <w:noProof/>
            <w:lang w:val="es-ES"/>
          </w:rPr>
          <w:t>Impactos y Riesgos Ambientales</w:t>
        </w:r>
        <w:r w:rsidRPr="004223D9">
          <w:rPr>
            <w:noProof/>
            <w:webHidden/>
          </w:rPr>
          <w:tab/>
        </w:r>
        <w:r w:rsidRPr="004223D9">
          <w:rPr>
            <w:noProof/>
            <w:webHidden/>
          </w:rPr>
          <w:fldChar w:fldCharType="begin"/>
        </w:r>
        <w:r w:rsidRPr="004223D9">
          <w:rPr>
            <w:noProof/>
            <w:webHidden/>
          </w:rPr>
          <w:instrText xml:space="preserve"> PAGEREF _Toc463535790 \h </w:instrText>
        </w:r>
        <w:r w:rsidRPr="004223D9">
          <w:rPr>
            <w:noProof/>
            <w:webHidden/>
          </w:rPr>
        </w:r>
        <w:r w:rsidRPr="004223D9">
          <w:rPr>
            <w:noProof/>
            <w:webHidden/>
          </w:rPr>
          <w:fldChar w:fldCharType="separate"/>
        </w:r>
        <w:r w:rsidRPr="004223D9">
          <w:rPr>
            <w:noProof/>
            <w:webHidden/>
          </w:rPr>
          <w:t>11</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91" w:history="1">
        <w:r w:rsidRPr="004223D9">
          <w:rPr>
            <w:rStyle w:val="Hyperlink"/>
            <w:rFonts w:ascii="Arial" w:hAnsi="Arial" w:cs="Arial"/>
            <w:noProof/>
            <w:lang w:val="es-ES_tradnl"/>
          </w:rPr>
          <w:t>C.</w:t>
        </w:r>
        <w:r w:rsidRPr="006B7E8B">
          <w:rPr>
            <w:rFonts w:ascii="Calibri" w:eastAsia="Times New Roman" w:hAnsi="Calibri"/>
            <w:noProof/>
            <w:sz w:val="22"/>
            <w:szCs w:val="22"/>
          </w:rPr>
          <w:tab/>
        </w:r>
        <w:r w:rsidRPr="004223D9">
          <w:rPr>
            <w:rStyle w:val="Hyperlink"/>
            <w:rFonts w:ascii="Arial" w:hAnsi="Arial" w:cs="Arial"/>
            <w:noProof/>
            <w:lang w:val="es-ES"/>
          </w:rPr>
          <w:t>Impactos Positivos</w:t>
        </w:r>
        <w:r w:rsidRPr="004223D9">
          <w:rPr>
            <w:noProof/>
            <w:webHidden/>
          </w:rPr>
          <w:tab/>
        </w:r>
        <w:r w:rsidRPr="004223D9">
          <w:rPr>
            <w:noProof/>
            <w:webHidden/>
          </w:rPr>
          <w:fldChar w:fldCharType="begin"/>
        </w:r>
        <w:r w:rsidRPr="004223D9">
          <w:rPr>
            <w:noProof/>
            <w:webHidden/>
          </w:rPr>
          <w:instrText xml:space="preserve"> PAGEREF _Toc463535791 \h </w:instrText>
        </w:r>
        <w:r w:rsidRPr="004223D9">
          <w:rPr>
            <w:noProof/>
            <w:webHidden/>
          </w:rPr>
        </w:r>
        <w:r w:rsidRPr="004223D9">
          <w:rPr>
            <w:noProof/>
            <w:webHidden/>
          </w:rPr>
          <w:fldChar w:fldCharType="separate"/>
        </w:r>
        <w:r w:rsidRPr="004223D9">
          <w:rPr>
            <w:noProof/>
            <w:webHidden/>
          </w:rPr>
          <w:t>12</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92" w:history="1">
        <w:r w:rsidRPr="004223D9">
          <w:rPr>
            <w:rStyle w:val="Hyperlink"/>
            <w:rFonts w:ascii="Arial" w:hAnsi="Arial" w:cs="Arial"/>
            <w:noProof/>
            <w:lang w:val="es-ES_tradnl"/>
          </w:rPr>
          <w:t>D.</w:t>
        </w:r>
        <w:r w:rsidRPr="006B7E8B">
          <w:rPr>
            <w:rFonts w:ascii="Calibri" w:eastAsia="Times New Roman" w:hAnsi="Calibri"/>
            <w:noProof/>
            <w:sz w:val="22"/>
            <w:szCs w:val="22"/>
          </w:rPr>
          <w:tab/>
        </w:r>
        <w:r w:rsidRPr="004223D9">
          <w:rPr>
            <w:rStyle w:val="Hyperlink"/>
            <w:rFonts w:ascii="Arial" w:hAnsi="Arial" w:cs="Arial"/>
            <w:noProof/>
            <w:lang w:val="es-ES"/>
          </w:rPr>
          <w:t>Adicionalidad del BID</w:t>
        </w:r>
        <w:r w:rsidRPr="004223D9">
          <w:rPr>
            <w:noProof/>
            <w:webHidden/>
          </w:rPr>
          <w:tab/>
        </w:r>
        <w:r w:rsidRPr="004223D9">
          <w:rPr>
            <w:noProof/>
            <w:webHidden/>
          </w:rPr>
          <w:fldChar w:fldCharType="begin"/>
        </w:r>
        <w:r w:rsidRPr="004223D9">
          <w:rPr>
            <w:noProof/>
            <w:webHidden/>
          </w:rPr>
          <w:instrText xml:space="preserve"> PAGEREF _Toc463535792 \h </w:instrText>
        </w:r>
        <w:r w:rsidRPr="004223D9">
          <w:rPr>
            <w:noProof/>
            <w:webHidden/>
          </w:rPr>
        </w:r>
        <w:r w:rsidRPr="004223D9">
          <w:rPr>
            <w:noProof/>
            <w:webHidden/>
          </w:rPr>
          <w:fldChar w:fldCharType="separate"/>
        </w:r>
        <w:r w:rsidRPr="004223D9">
          <w:rPr>
            <w:noProof/>
            <w:webHidden/>
          </w:rPr>
          <w:t>12</w:t>
        </w:r>
        <w:r w:rsidRPr="004223D9">
          <w:rPr>
            <w:noProof/>
            <w:webHidden/>
          </w:rPr>
          <w:fldChar w:fldCharType="end"/>
        </w:r>
      </w:hyperlink>
    </w:p>
    <w:p w:rsidR="00635C8A" w:rsidRPr="006B7E8B" w:rsidRDefault="00635C8A">
      <w:pPr>
        <w:pStyle w:val="TOC1"/>
        <w:rPr>
          <w:rFonts w:ascii="Calibri" w:eastAsia="Times New Roman" w:hAnsi="Calibri"/>
          <w:smallCaps w:val="0"/>
          <w:noProof/>
          <w:sz w:val="22"/>
          <w:szCs w:val="22"/>
        </w:rPr>
      </w:pPr>
      <w:hyperlink w:anchor="_Toc463535793" w:history="1">
        <w:r w:rsidRPr="004223D9">
          <w:rPr>
            <w:rStyle w:val="Hyperlink"/>
            <w:rFonts w:ascii="Arial" w:hAnsi="Arial" w:cs="Arial"/>
            <w:noProof/>
            <w:lang w:val="es-ES"/>
          </w:rPr>
          <w:t>V.</w:t>
        </w:r>
        <w:r w:rsidRPr="006B7E8B">
          <w:rPr>
            <w:rFonts w:ascii="Calibri" w:eastAsia="Times New Roman" w:hAnsi="Calibri"/>
            <w:smallCaps w:val="0"/>
            <w:noProof/>
            <w:sz w:val="22"/>
            <w:szCs w:val="22"/>
          </w:rPr>
          <w:tab/>
        </w:r>
        <w:r w:rsidRPr="004223D9">
          <w:rPr>
            <w:rStyle w:val="Hyperlink"/>
            <w:rFonts w:ascii="Arial" w:hAnsi="Arial" w:cs="Arial"/>
            <w:noProof/>
            <w:lang w:val="es-ES"/>
          </w:rPr>
          <w:t>Manejo y Monitoreo de Impactos y Riesgos Ambientales, Sociales, de Salud y Seguridad Ocupacional</w:t>
        </w:r>
        <w:r w:rsidRPr="004223D9">
          <w:rPr>
            <w:noProof/>
            <w:webHidden/>
          </w:rPr>
          <w:tab/>
        </w:r>
        <w:r w:rsidRPr="004223D9">
          <w:rPr>
            <w:noProof/>
            <w:webHidden/>
          </w:rPr>
          <w:fldChar w:fldCharType="begin"/>
        </w:r>
        <w:r w:rsidRPr="004223D9">
          <w:rPr>
            <w:noProof/>
            <w:webHidden/>
          </w:rPr>
          <w:instrText xml:space="preserve"> PAGEREF _Toc463535793 \h </w:instrText>
        </w:r>
        <w:r w:rsidRPr="004223D9">
          <w:rPr>
            <w:noProof/>
            <w:webHidden/>
          </w:rPr>
        </w:r>
        <w:r w:rsidRPr="004223D9">
          <w:rPr>
            <w:noProof/>
            <w:webHidden/>
          </w:rPr>
          <w:fldChar w:fldCharType="separate"/>
        </w:r>
        <w:r w:rsidRPr="004223D9">
          <w:rPr>
            <w:noProof/>
            <w:webHidden/>
          </w:rPr>
          <w:t>12</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94" w:history="1">
        <w:r w:rsidRPr="004223D9">
          <w:rPr>
            <w:rStyle w:val="Hyperlink"/>
            <w:rFonts w:ascii="Arial" w:hAnsi="Arial" w:cs="Arial"/>
            <w:noProof/>
            <w:lang w:val="es-ES_tradnl"/>
          </w:rPr>
          <w:t>A.</w:t>
        </w:r>
        <w:r w:rsidRPr="006B7E8B">
          <w:rPr>
            <w:rFonts w:ascii="Calibri" w:eastAsia="Times New Roman" w:hAnsi="Calibri"/>
            <w:noProof/>
            <w:sz w:val="22"/>
            <w:szCs w:val="22"/>
          </w:rPr>
          <w:tab/>
        </w:r>
        <w:r w:rsidRPr="004223D9">
          <w:rPr>
            <w:rStyle w:val="Hyperlink"/>
            <w:rFonts w:ascii="Arial" w:hAnsi="Arial" w:cs="Arial"/>
            <w:noProof/>
            <w:lang w:val="es-ES"/>
          </w:rPr>
          <w:t>Planes y Sistemas de Manejo</w:t>
        </w:r>
        <w:r w:rsidRPr="004223D9">
          <w:rPr>
            <w:noProof/>
            <w:webHidden/>
          </w:rPr>
          <w:tab/>
        </w:r>
        <w:r w:rsidRPr="004223D9">
          <w:rPr>
            <w:noProof/>
            <w:webHidden/>
          </w:rPr>
          <w:fldChar w:fldCharType="begin"/>
        </w:r>
        <w:r w:rsidRPr="004223D9">
          <w:rPr>
            <w:noProof/>
            <w:webHidden/>
          </w:rPr>
          <w:instrText xml:space="preserve"> PAGEREF _Toc463535794 \h </w:instrText>
        </w:r>
        <w:r w:rsidRPr="004223D9">
          <w:rPr>
            <w:noProof/>
            <w:webHidden/>
          </w:rPr>
        </w:r>
        <w:r w:rsidRPr="004223D9">
          <w:rPr>
            <w:noProof/>
            <w:webHidden/>
          </w:rPr>
          <w:fldChar w:fldCharType="separate"/>
        </w:r>
        <w:r w:rsidRPr="004223D9">
          <w:rPr>
            <w:noProof/>
            <w:webHidden/>
          </w:rPr>
          <w:t>12</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95" w:history="1">
        <w:r w:rsidRPr="004223D9">
          <w:rPr>
            <w:rStyle w:val="Hyperlink"/>
            <w:rFonts w:ascii="Arial" w:hAnsi="Arial" w:cs="Arial"/>
            <w:noProof/>
            <w:lang w:val="es-ES_tradnl"/>
          </w:rPr>
          <w:t>B.</w:t>
        </w:r>
        <w:r w:rsidRPr="006B7E8B">
          <w:rPr>
            <w:rFonts w:ascii="Calibri" w:eastAsia="Times New Roman" w:hAnsi="Calibri"/>
            <w:noProof/>
            <w:sz w:val="22"/>
            <w:szCs w:val="22"/>
          </w:rPr>
          <w:tab/>
        </w:r>
        <w:r w:rsidRPr="004223D9">
          <w:rPr>
            <w:rStyle w:val="Hyperlink"/>
            <w:rFonts w:ascii="Arial" w:hAnsi="Arial" w:cs="Arial"/>
            <w:noProof/>
            <w:lang w:val="es-ES"/>
          </w:rPr>
          <w:t>Monitoreo y Supervisión</w:t>
        </w:r>
        <w:r w:rsidRPr="004223D9">
          <w:rPr>
            <w:noProof/>
            <w:webHidden/>
          </w:rPr>
          <w:tab/>
        </w:r>
        <w:r w:rsidRPr="004223D9">
          <w:rPr>
            <w:noProof/>
            <w:webHidden/>
          </w:rPr>
          <w:fldChar w:fldCharType="begin"/>
        </w:r>
        <w:r w:rsidRPr="004223D9">
          <w:rPr>
            <w:noProof/>
            <w:webHidden/>
          </w:rPr>
          <w:instrText xml:space="preserve"> PAGEREF _Toc463535795 \h </w:instrText>
        </w:r>
        <w:r w:rsidRPr="004223D9">
          <w:rPr>
            <w:noProof/>
            <w:webHidden/>
          </w:rPr>
        </w:r>
        <w:r w:rsidRPr="004223D9">
          <w:rPr>
            <w:noProof/>
            <w:webHidden/>
          </w:rPr>
          <w:fldChar w:fldCharType="separate"/>
        </w:r>
        <w:r w:rsidRPr="004223D9">
          <w:rPr>
            <w:noProof/>
            <w:webHidden/>
          </w:rPr>
          <w:t>13</w:t>
        </w:r>
        <w:r w:rsidRPr="004223D9">
          <w:rPr>
            <w:noProof/>
            <w:webHidden/>
          </w:rPr>
          <w:fldChar w:fldCharType="end"/>
        </w:r>
      </w:hyperlink>
    </w:p>
    <w:p w:rsidR="00635C8A" w:rsidRPr="006B7E8B" w:rsidRDefault="00635C8A">
      <w:pPr>
        <w:pStyle w:val="TOC1"/>
        <w:rPr>
          <w:rFonts w:ascii="Calibri" w:eastAsia="Times New Roman" w:hAnsi="Calibri"/>
          <w:smallCaps w:val="0"/>
          <w:noProof/>
          <w:sz w:val="22"/>
          <w:szCs w:val="22"/>
        </w:rPr>
      </w:pPr>
      <w:hyperlink w:anchor="_Toc463535796" w:history="1">
        <w:r w:rsidRPr="004223D9">
          <w:rPr>
            <w:rStyle w:val="Hyperlink"/>
            <w:rFonts w:ascii="Arial" w:hAnsi="Arial" w:cs="Arial"/>
            <w:noProof/>
            <w:lang w:val="es-ES"/>
          </w:rPr>
          <w:t>VI.</w:t>
        </w:r>
        <w:r w:rsidRPr="006B7E8B">
          <w:rPr>
            <w:rFonts w:ascii="Calibri" w:eastAsia="Times New Roman" w:hAnsi="Calibri"/>
            <w:smallCaps w:val="0"/>
            <w:noProof/>
            <w:sz w:val="22"/>
            <w:szCs w:val="22"/>
          </w:rPr>
          <w:tab/>
        </w:r>
        <w:r w:rsidRPr="004223D9">
          <w:rPr>
            <w:rStyle w:val="Hyperlink"/>
            <w:rFonts w:ascii="Arial" w:hAnsi="Arial" w:cs="Arial"/>
            <w:noProof/>
            <w:lang w:val="es-ES"/>
          </w:rPr>
          <w:t>Requisitos a Ser Incluidos en Documentos Legales</w:t>
        </w:r>
        <w:r w:rsidRPr="004223D9">
          <w:rPr>
            <w:noProof/>
            <w:webHidden/>
          </w:rPr>
          <w:tab/>
        </w:r>
        <w:r w:rsidRPr="004223D9">
          <w:rPr>
            <w:noProof/>
            <w:webHidden/>
          </w:rPr>
          <w:fldChar w:fldCharType="begin"/>
        </w:r>
        <w:r w:rsidRPr="004223D9">
          <w:rPr>
            <w:noProof/>
            <w:webHidden/>
          </w:rPr>
          <w:instrText xml:space="preserve"> PAGEREF _Toc463535796 \h </w:instrText>
        </w:r>
        <w:r w:rsidRPr="004223D9">
          <w:rPr>
            <w:noProof/>
            <w:webHidden/>
          </w:rPr>
        </w:r>
        <w:r w:rsidRPr="004223D9">
          <w:rPr>
            <w:noProof/>
            <w:webHidden/>
          </w:rPr>
          <w:fldChar w:fldCharType="separate"/>
        </w:r>
        <w:r w:rsidRPr="004223D9">
          <w:rPr>
            <w:noProof/>
            <w:webHidden/>
          </w:rPr>
          <w:t>13</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97" w:history="1">
        <w:r w:rsidRPr="004223D9">
          <w:rPr>
            <w:rStyle w:val="Hyperlink"/>
            <w:rFonts w:ascii="Arial" w:hAnsi="Arial" w:cs="Arial"/>
            <w:noProof/>
            <w:lang w:val="es-ES"/>
          </w:rPr>
          <w:t>A.</w:t>
        </w:r>
        <w:r w:rsidRPr="006B7E8B">
          <w:rPr>
            <w:rFonts w:ascii="Calibri" w:eastAsia="Times New Roman" w:hAnsi="Calibri"/>
            <w:noProof/>
            <w:sz w:val="22"/>
            <w:szCs w:val="22"/>
          </w:rPr>
          <w:tab/>
        </w:r>
        <w:r w:rsidRPr="004223D9">
          <w:rPr>
            <w:rStyle w:val="Hyperlink"/>
            <w:rFonts w:ascii="Arial" w:hAnsi="Arial" w:cs="Arial"/>
            <w:noProof/>
            <w:lang w:val="es-ES"/>
          </w:rPr>
          <w:t>Condiciones Previas a la firma del Contrato de Préstamo</w:t>
        </w:r>
        <w:r w:rsidRPr="004223D9">
          <w:rPr>
            <w:noProof/>
            <w:webHidden/>
          </w:rPr>
          <w:tab/>
        </w:r>
        <w:r w:rsidRPr="004223D9">
          <w:rPr>
            <w:noProof/>
            <w:webHidden/>
          </w:rPr>
          <w:fldChar w:fldCharType="begin"/>
        </w:r>
        <w:r w:rsidRPr="004223D9">
          <w:rPr>
            <w:noProof/>
            <w:webHidden/>
          </w:rPr>
          <w:instrText xml:space="preserve"> PAGEREF _Toc463535797 \h </w:instrText>
        </w:r>
        <w:r w:rsidRPr="004223D9">
          <w:rPr>
            <w:noProof/>
            <w:webHidden/>
          </w:rPr>
        </w:r>
        <w:r w:rsidRPr="004223D9">
          <w:rPr>
            <w:noProof/>
            <w:webHidden/>
          </w:rPr>
          <w:fldChar w:fldCharType="separate"/>
        </w:r>
        <w:r w:rsidRPr="004223D9">
          <w:rPr>
            <w:noProof/>
            <w:webHidden/>
          </w:rPr>
          <w:t>14</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98" w:history="1">
        <w:r w:rsidRPr="004223D9">
          <w:rPr>
            <w:rStyle w:val="Hyperlink"/>
            <w:rFonts w:ascii="Arial" w:hAnsi="Arial" w:cs="Arial"/>
            <w:noProof/>
            <w:lang w:val="es-ES"/>
          </w:rPr>
          <w:t>B.</w:t>
        </w:r>
        <w:r w:rsidRPr="006B7E8B">
          <w:rPr>
            <w:rFonts w:ascii="Calibri" w:eastAsia="Times New Roman" w:hAnsi="Calibri"/>
            <w:noProof/>
            <w:sz w:val="22"/>
            <w:szCs w:val="22"/>
          </w:rPr>
          <w:tab/>
        </w:r>
        <w:r w:rsidRPr="004223D9">
          <w:rPr>
            <w:rStyle w:val="Hyperlink"/>
            <w:rFonts w:ascii="Arial" w:hAnsi="Arial" w:cs="Arial"/>
            <w:noProof/>
            <w:lang w:val="es-ES"/>
          </w:rPr>
          <w:t>Condiciones Previas al Inicio de las Obras</w:t>
        </w:r>
        <w:r w:rsidRPr="004223D9">
          <w:rPr>
            <w:noProof/>
            <w:webHidden/>
          </w:rPr>
          <w:tab/>
        </w:r>
        <w:r w:rsidRPr="004223D9">
          <w:rPr>
            <w:noProof/>
            <w:webHidden/>
          </w:rPr>
          <w:fldChar w:fldCharType="begin"/>
        </w:r>
        <w:r w:rsidRPr="004223D9">
          <w:rPr>
            <w:noProof/>
            <w:webHidden/>
          </w:rPr>
          <w:instrText xml:space="preserve"> PAGEREF _Toc463535798 \h </w:instrText>
        </w:r>
        <w:r w:rsidRPr="004223D9">
          <w:rPr>
            <w:noProof/>
            <w:webHidden/>
          </w:rPr>
        </w:r>
        <w:r w:rsidRPr="004223D9">
          <w:rPr>
            <w:noProof/>
            <w:webHidden/>
          </w:rPr>
          <w:fldChar w:fldCharType="separate"/>
        </w:r>
        <w:r w:rsidRPr="004223D9">
          <w:rPr>
            <w:noProof/>
            <w:webHidden/>
          </w:rPr>
          <w:t>14</w:t>
        </w:r>
        <w:r w:rsidRPr="004223D9">
          <w:rPr>
            <w:noProof/>
            <w:webHidden/>
          </w:rPr>
          <w:fldChar w:fldCharType="end"/>
        </w:r>
      </w:hyperlink>
    </w:p>
    <w:p w:rsidR="00635C8A" w:rsidRPr="006B7E8B" w:rsidRDefault="00635C8A">
      <w:pPr>
        <w:pStyle w:val="TOC2"/>
        <w:rPr>
          <w:rFonts w:ascii="Calibri" w:eastAsia="Times New Roman" w:hAnsi="Calibri"/>
          <w:noProof/>
          <w:sz w:val="22"/>
          <w:szCs w:val="22"/>
        </w:rPr>
      </w:pPr>
      <w:hyperlink w:anchor="_Toc463535799" w:history="1">
        <w:r w:rsidRPr="004223D9">
          <w:rPr>
            <w:rStyle w:val="Hyperlink"/>
            <w:rFonts w:ascii="Arial" w:hAnsi="Arial" w:cs="Arial"/>
            <w:noProof/>
            <w:lang w:val="es-ES"/>
          </w:rPr>
          <w:t>C.</w:t>
        </w:r>
        <w:r w:rsidRPr="006B7E8B">
          <w:rPr>
            <w:rFonts w:ascii="Calibri" w:eastAsia="Times New Roman" w:hAnsi="Calibri"/>
            <w:noProof/>
            <w:sz w:val="22"/>
            <w:szCs w:val="22"/>
          </w:rPr>
          <w:tab/>
        </w:r>
        <w:r w:rsidRPr="004223D9">
          <w:rPr>
            <w:rStyle w:val="Hyperlink"/>
            <w:rFonts w:ascii="Arial" w:hAnsi="Arial" w:cs="Arial"/>
            <w:noProof/>
            <w:lang w:val="es-ES"/>
          </w:rPr>
          <w:t>Condiciones Durante la Vida del Préstamo</w:t>
        </w:r>
        <w:r w:rsidRPr="004223D9">
          <w:rPr>
            <w:noProof/>
            <w:webHidden/>
          </w:rPr>
          <w:tab/>
        </w:r>
        <w:r w:rsidRPr="004223D9">
          <w:rPr>
            <w:noProof/>
            <w:webHidden/>
          </w:rPr>
          <w:fldChar w:fldCharType="begin"/>
        </w:r>
        <w:r w:rsidRPr="004223D9">
          <w:rPr>
            <w:noProof/>
            <w:webHidden/>
          </w:rPr>
          <w:instrText xml:space="preserve"> PAGEREF _Toc463535799 \h </w:instrText>
        </w:r>
        <w:r w:rsidRPr="004223D9">
          <w:rPr>
            <w:noProof/>
            <w:webHidden/>
          </w:rPr>
        </w:r>
        <w:r w:rsidRPr="004223D9">
          <w:rPr>
            <w:noProof/>
            <w:webHidden/>
          </w:rPr>
          <w:fldChar w:fldCharType="separate"/>
        </w:r>
        <w:r w:rsidRPr="004223D9">
          <w:rPr>
            <w:noProof/>
            <w:webHidden/>
          </w:rPr>
          <w:t>14</w:t>
        </w:r>
        <w:r w:rsidRPr="004223D9">
          <w:rPr>
            <w:noProof/>
            <w:webHidden/>
          </w:rPr>
          <w:fldChar w:fldCharType="end"/>
        </w:r>
      </w:hyperlink>
    </w:p>
    <w:p w:rsidR="008E55F3" w:rsidRPr="004223D9" w:rsidRDefault="00E44649" w:rsidP="00E44649">
      <w:pPr>
        <w:rPr>
          <w:rFonts w:ascii="Arial" w:hAnsi="Arial" w:cs="Arial"/>
          <w:lang w:val="es-ES"/>
        </w:rPr>
        <w:sectPr w:rsidR="008E55F3" w:rsidRPr="004223D9" w:rsidSect="00E44649">
          <w:headerReference w:type="even" r:id="rId9"/>
          <w:headerReference w:type="default" r:id="rId10"/>
          <w:pgSz w:w="12240" w:h="15840" w:code="1"/>
          <w:pgMar w:top="1440" w:right="1800" w:bottom="1440" w:left="1800" w:header="720" w:footer="720" w:gutter="0"/>
          <w:pgNumType w:start="0"/>
          <w:cols w:space="720"/>
          <w:titlePg/>
          <w:docGrid w:linePitch="360"/>
        </w:sectPr>
      </w:pPr>
      <w:r w:rsidRPr="004223D9">
        <w:rPr>
          <w:rFonts w:ascii="Arial" w:hAnsi="Arial" w:cs="Arial"/>
          <w:b/>
          <w:bCs/>
          <w:noProof/>
          <w:lang w:val="es-ES"/>
        </w:rPr>
        <w:fldChar w:fldCharType="end"/>
      </w:r>
    </w:p>
    <w:p w:rsidR="0084080B" w:rsidRPr="004223D9" w:rsidRDefault="0093320D" w:rsidP="00B2397E">
      <w:pPr>
        <w:pStyle w:val="Heading1"/>
        <w:rPr>
          <w:rFonts w:ascii="Arial" w:hAnsi="Arial" w:cs="Arial"/>
          <w:lang w:val="es-ES"/>
        </w:rPr>
      </w:pPr>
      <w:bookmarkStart w:id="7" w:name="_Toc422409156"/>
      <w:bookmarkStart w:id="8" w:name="_Toc422409213"/>
      <w:bookmarkStart w:id="9" w:name="_Toc463535780"/>
      <w:r w:rsidRPr="004223D9">
        <w:rPr>
          <w:rFonts w:ascii="Arial" w:hAnsi="Arial" w:cs="Arial"/>
          <w:lang w:val="es-ES"/>
        </w:rPr>
        <w:lastRenderedPageBreak/>
        <w:t>I</w:t>
      </w:r>
      <w:r w:rsidR="00B2397E" w:rsidRPr="004223D9">
        <w:rPr>
          <w:rFonts w:ascii="Arial" w:hAnsi="Arial" w:cs="Arial"/>
          <w:lang w:val="es-ES"/>
        </w:rPr>
        <w:t>ntroducción</w:t>
      </w:r>
      <w:bookmarkEnd w:id="7"/>
      <w:bookmarkEnd w:id="8"/>
      <w:bookmarkEnd w:id="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5460"/>
      </w:tblGrid>
      <w:tr w:rsidR="002872FD" w:rsidRPr="004223D9" w:rsidTr="0073468B">
        <w:tc>
          <w:tcPr>
            <w:tcW w:w="3180" w:type="dxa"/>
            <w:shd w:val="clear" w:color="auto" w:fill="auto"/>
          </w:tcPr>
          <w:p w:rsidR="002872FD" w:rsidRPr="004223D9" w:rsidRDefault="002872FD" w:rsidP="00B93203">
            <w:pPr>
              <w:rPr>
                <w:rFonts w:ascii="Arial" w:hAnsi="Arial" w:cs="Arial"/>
                <w:b/>
                <w:sz w:val="22"/>
                <w:szCs w:val="22"/>
                <w:lang w:val="es-ES"/>
              </w:rPr>
            </w:pPr>
            <w:r w:rsidRPr="004223D9">
              <w:rPr>
                <w:rFonts w:ascii="Arial" w:hAnsi="Arial" w:cs="Arial"/>
                <w:b/>
                <w:sz w:val="22"/>
                <w:szCs w:val="22"/>
                <w:lang w:val="es-ES"/>
              </w:rPr>
              <w:t>País</w:t>
            </w:r>
          </w:p>
        </w:tc>
        <w:tc>
          <w:tcPr>
            <w:tcW w:w="5460" w:type="dxa"/>
            <w:shd w:val="clear" w:color="auto" w:fill="auto"/>
          </w:tcPr>
          <w:p w:rsidR="002872FD" w:rsidRPr="004223D9" w:rsidRDefault="00C03A21" w:rsidP="00B93203">
            <w:pPr>
              <w:rPr>
                <w:rFonts w:ascii="Arial" w:hAnsi="Arial" w:cs="Arial"/>
                <w:sz w:val="22"/>
                <w:szCs w:val="22"/>
                <w:lang w:val="es-ES"/>
              </w:rPr>
            </w:pPr>
            <w:r w:rsidRPr="004223D9">
              <w:rPr>
                <w:rFonts w:ascii="Arial" w:hAnsi="Arial" w:cs="Arial"/>
                <w:sz w:val="22"/>
                <w:szCs w:val="22"/>
                <w:lang w:val="es-ES"/>
              </w:rPr>
              <w:t>Ecuador</w:t>
            </w:r>
          </w:p>
        </w:tc>
      </w:tr>
      <w:tr w:rsidR="002872FD" w:rsidRPr="004223D9" w:rsidTr="0073468B">
        <w:tc>
          <w:tcPr>
            <w:tcW w:w="3180" w:type="dxa"/>
            <w:shd w:val="clear" w:color="auto" w:fill="auto"/>
          </w:tcPr>
          <w:p w:rsidR="002872FD" w:rsidRPr="004223D9" w:rsidRDefault="002872FD" w:rsidP="00B93203">
            <w:pPr>
              <w:rPr>
                <w:rFonts w:ascii="Arial" w:hAnsi="Arial" w:cs="Arial"/>
                <w:b/>
                <w:sz w:val="22"/>
                <w:szCs w:val="22"/>
                <w:lang w:val="es-ES"/>
              </w:rPr>
            </w:pPr>
            <w:r w:rsidRPr="004223D9">
              <w:rPr>
                <w:rFonts w:ascii="Arial" w:hAnsi="Arial" w:cs="Arial"/>
                <w:b/>
                <w:sz w:val="22"/>
                <w:szCs w:val="22"/>
                <w:lang w:val="es-ES"/>
              </w:rPr>
              <w:t>Sector</w:t>
            </w:r>
          </w:p>
        </w:tc>
        <w:tc>
          <w:tcPr>
            <w:tcW w:w="5460" w:type="dxa"/>
            <w:shd w:val="clear" w:color="auto" w:fill="auto"/>
          </w:tcPr>
          <w:p w:rsidR="002872FD" w:rsidRPr="004223D9" w:rsidRDefault="00C03A21" w:rsidP="00B93203">
            <w:pPr>
              <w:rPr>
                <w:rFonts w:ascii="Arial" w:hAnsi="Arial" w:cs="Arial"/>
                <w:sz w:val="22"/>
                <w:szCs w:val="22"/>
                <w:lang w:val="es-ES"/>
              </w:rPr>
            </w:pPr>
            <w:r w:rsidRPr="004223D9">
              <w:rPr>
                <w:rFonts w:ascii="Arial" w:hAnsi="Arial" w:cs="Arial"/>
                <w:sz w:val="22"/>
                <w:szCs w:val="22"/>
                <w:lang w:val="es-ES"/>
              </w:rPr>
              <w:t>INE/ENE</w:t>
            </w:r>
          </w:p>
        </w:tc>
      </w:tr>
      <w:tr w:rsidR="002872FD" w:rsidRPr="004223D9" w:rsidTr="0073468B">
        <w:tc>
          <w:tcPr>
            <w:tcW w:w="3180" w:type="dxa"/>
            <w:shd w:val="clear" w:color="auto" w:fill="auto"/>
          </w:tcPr>
          <w:p w:rsidR="002872FD" w:rsidRPr="004223D9" w:rsidRDefault="002872FD" w:rsidP="00B93203">
            <w:pPr>
              <w:rPr>
                <w:rFonts w:ascii="Arial" w:hAnsi="Arial" w:cs="Arial"/>
                <w:b/>
                <w:sz w:val="22"/>
                <w:szCs w:val="22"/>
                <w:lang w:val="es-ES"/>
              </w:rPr>
            </w:pPr>
            <w:r w:rsidRPr="004223D9">
              <w:rPr>
                <w:rFonts w:ascii="Arial" w:hAnsi="Arial" w:cs="Arial"/>
                <w:b/>
                <w:sz w:val="22"/>
                <w:szCs w:val="22"/>
                <w:lang w:val="es-ES"/>
              </w:rPr>
              <w:t>Nombre del Proyecto</w:t>
            </w:r>
          </w:p>
        </w:tc>
        <w:tc>
          <w:tcPr>
            <w:tcW w:w="5460" w:type="dxa"/>
            <w:shd w:val="clear" w:color="auto" w:fill="auto"/>
          </w:tcPr>
          <w:p w:rsidR="002872FD" w:rsidRPr="004223D9" w:rsidRDefault="00C03A21" w:rsidP="00C03A21">
            <w:pPr>
              <w:rPr>
                <w:rFonts w:ascii="Arial" w:hAnsi="Arial" w:cs="Arial"/>
                <w:sz w:val="22"/>
                <w:szCs w:val="22"/>
                <w:lang w:val="es-ES"/>
              </w:rPr>
            </w:pPr>
            <w:r w:rsidRPr="004223D9">
              <w:rPr>
                <w:rFonts w:ascii="Arial" w:hAnsi="Arial" w:cs="Arial"/>
                <w:sz w:val="22"/>
                <w:szCs w:val="22"/>
                <w:lang w:val="es-ES"/>
              </w:rPr>
              <w:t>Programa de Reconstrucción de Infraestructura Eléctrica de las Zonas Afectadas por el Sismo en Ecuador. (EC-L1219)</w:t>
            </w:r>
          </w:p>
        </w:tc>
      </w:tr>
      <w:tr w:rsidR="002872FD" w:rsidRPr="004223D9" w:rsidTr="0073468B">
        <w:tc>
          <w:tcPr>
            <w:tcW w:w="3180" w:type="dxa"/>
            <w:shd w:val="clear" w:color="auto" w:fill="auto"/>
          </w:tcPr>
          <w:p w:rsidR="002872FD" w:rsidRPr="004223D9" w:rsidRDefault="002872FD" w:rsidP="00B93203">
            <w:pPr>
              <w:rPr>
                <w:rFonts w:ascii="Arial" w:hAnsi="Arial" w:cs="Arial"/>
                <w:b/>
                <w:sz w:val="22"/>
                <w:szCs w:val="22"/>
                <w:lang w:val="es-ES"/>
              </w:rPr>
            </w:pPr>
            <w:r w:rsidRPr="004223D9">
              <w:rPr>
                <w:rFonts w:ascii="Arial" w:hAnsi="Arial" w:cs="Arial"/>
                <w:b/>
                <w:sz w:val="22"/>
                <w:szCs w:val="22"/>
                <w:lang w:val="es-ES"/>
              </w:rPr>
              <w:t>Agencia Ejecutora</w:t>
            </w:r>
          </w:p>
        </w:tc>
        <w:tc>
          <w:tcPr>
            <w:tcW w:w="5460" w:type="dxa"/>
            <w:shd w:val="clear" w:color="auto" w:fill="auto"/>
          </w:tcPr>
          <w:p w:rsidR="002872FD" w:rsidRPr="004223D9" w:rsidRDefault="00C03A21" w:rsidP="00B93203">
            <w:pPr>
              <w:rPr>
                <w:rFonts w:ascii="Arial" w:hAnsi="Arial" w:cs="Arial"/>
                <w:sz w:val="22"/>
                <w:szCs w:val="22"/>
                <w:lang w:val="es-ES"/>
              </w:rPr>
            </w:pPr>
            <w:r w:rsidRPr="004223D9">
              <w:rPr>
                <w:rFonts w:ascii="Arial" w:hAnsi="Arial" w:cs="Arial"/>
                <w:sz w:val="22"/>
                <w:szCs w:val="22"/>
                <w:lang w:val="es-ES"/>
              </w:rPr>
              <w:t>Ministerio de Electricidad y Energía Renovable (MEER)</w:t>
            </w:r>
          </w:p>
        </w:tc>
      </w:tr>
      <w:tr w:rsidR="002872FD" w:rsidRPr="004223D9" w:rsidTr="0073468B">
        <w:tc>
          <w:tcPr>
            <w:tcW w:w="3180" w:type="dxa"/>
            <w:shd w:val="clear" w:color="auto" w:fill="auto"/>
          </w:tcPr>
          <w:p w:rsidR="002872FD" w:rsidRPr="004223D9" w:rsidRDefault="002872FD" w:rsidP="00B93203">
            <w:pPr>
              <w:rPr>
                <w:rFonts w:ascii="Arial" w:hAnsi="Arial" w:cs="Arial"/>
                <w:b/>
                <w:sz w:val="22"/>
                <w:szCs w:val="22"/>
                <w:lang w:val="es-ES"/>
              </w:rPr>
            </w:pPr>
            <w:r w:rsidRPr="004223D9">
              <w:rPr>
                <w:rFonts w:ascii="Arial" w:hAnsi="Arial" w:cs="Arial"/>
                <w:b/>
                <w:sz w:val="22"/>
                <w:szCs w:val="22"/>
                <w:lang w:val="es-ES"/>
              </w:rPr>
              <w:t xml:space="preserve">Tipo de Transacción </w:t>
            </w:r>
          </w:p>
        </w:tc>
        <w:tc>
          <w:tcPr>
            <w:tcW w:w="5460" w:type="dxa"/>
            <w:shd w:val="clear" w:color="auto" w:fill="auto"/>
          </w:tcPr>
          <w:p w:rsidR="002872FD" w:rsidRPr="004223D9" w:rsidRDefault="002872FD" w:rsidP="00B93203">
            <w:pPr>
              <w:rPr>
                <w:rFonts w:ascii="Arial" w:hAnsi="Arial" w:cs="Arial"/>
                <w:sz w:val="22"/>
                <w:szCs w:val="22"/>
                <w:lang w:val="es-ES"/>
              </w:rPr>
            </w:pPr>
            <w:r w:rsidRPr="004223D9">
              <w:rPr>
                <w:rFonts w:ascii="Arial" w:hAnsi="Arial" w:cs="Arial"/>
                <w:sz w:val="22"/>
                <w:szCs w:val="22"/>
                <w:lang w:val="es-ES"/>
              </w:rPr>
              <w:t>Préstamo</w:t>
            </w:r>
          </w:p>
        </w:tc>
      </w:tr>
      <w:tr w:rsidR="002872FD" w:rsidRPr="004223D9" w:rsidTr="0073468B">
        <w:tc>
          <w:tcPr>
            <w:tcW w:w="3180" w:type="dxa"/>
            <w:shd w:val="clear" w:color="auto" w:fill="auto"/>
          </w:tcPr>
          <w:p w:rsidR="002872FD" w:rsidRPr="004223D9" w:rsidRDefault="002872FD" w:rsidP="007837A7">
            <w:pPr>
              <w:rPr>
                <w:rFonts w:ascii="Arial" w:hAnsi="Arial" w:cs="Arial"/>
                <w:b/>
                <w:sz w:val="22"/>
                <w:szCs w:val="22"/>
                <w:lang w:val="es-ES"/>
              </w:rPr>
            </w:pPr>
            <w:r w:rsidRPr="004223D9">
              <w:rPr>
                <w:rFonts w:ascii="Arial" w:hAnsi="Arial" w:cs="Arial"/>
                <w:b/>
                <w:sz w:val="22"/>
                <w:szCs w:val="22"/>
                <w:lang w:val="es-ES"/>
              </w:rPr>
              <w:t xml:space="preserve">Costo Total del Proyecto </w:t>
            </w:r>
          </w:p>
        </w:tc>
        <w:tc>
          <w:tcPr>
            <w:tcW w:w="5460" w:type="dxa"/>
            <w:shd w:val="clear" w:color="auto" w:fill="auto"/>
          </w:tcPr>
          <w:p w:rsidR="002872FD" w:rsidRPr="004223D9" w:rsidRDefault="002872FD" w:rsidP="00C03A21">
            <w:pPr>
              <w:rPr>
                <w:rFonts w:ascii="Arial" w:hAnsi="Arial" w:cs="Arial"/>
                <w:sz w:val="22"/>
                <w:szCs w:val="22"/>
                <w:lang w:val="es-ES"/>
              </w:rPr>
            </w:pPr>
            <w:r w:rsidRPr="004223D9">
              <w:rPr>
                <w:rFonts w:ascii="Arial" w:hAnsi="Arial" w:cs="Arial"/>
                <w:sz w:val="22"/>
                <w:szCs w:val="22"/>
                <w:lang w:val="es-ES"/>
              </w:rPr>
              <w:t>US</w:t>
            </w:r>
            <w:r w:rsidR="007837A7" w:rsidRPr="004223D9">
              <w:rPr>
                <w:rFonts w:ascii="Arial" w:hAnsi="Arial" w:cs="Arial"/>
                <w:sz w:val="22"/>
                <w:szCs w:val="22"/>
                <w:lang w:val="es-ES"/>
              </w:rPr>
              <w:t xml:space="preserve"> </w:t>
            </w:r>
            <w:r w:rsidRPr="004223D9">
              <w:rPr>
                <w:rFonts w:ascii="Arial" w:hAnsi="Arial" w:cs="Arial"/>
                <w:sz w:val="22"/>
                <w:szCs w:val="22"/>
                <w:lang w:val="es-ES"/>
              </w:rPr>
              <w:t>$</w:t>
            </w:r>
            <w:r w:rsidR="00C03A21" w:rsidRPr="004223D9">
              <w:rPr>
                <w:rFonts w:ascii="Arial" w:hAnsi="Arial" w:cs="Arial"/>
                <w:sz w:val="22"/>
                <w:szCs w:val="22"/>
                <w:lang w:val="es-ES"/>
              </w:rPr>
              <w:t>69.234.000</w:t>
            </w:r>
          </w:p>
        </w:tc>
      </w:tr>
      <w:tr w:rsidR="002872FD" w:rsidRPr="004223D9" w:rsidTr="0073468B">
        <w:tc>
          <w:tcPr>
            <w:tcW w:w="3180" w:type="dxa"/>
            <w:shd w:val="clear" w:color="auto" w:fill="auto"/>
          </w:tcPr>
          <w:p w:rsidR="002872FD" w:rsidRPr="004223D9" w:rsidRDefault="002872FD" w:rsidP="00B93203">
            <w:pPr>
              <w:rPr>
                <w:rFonts w:ascii="Arial" w:hAnsi="Arial" w:cs="Arial"/>
                <w:b/>
                <w:sz w:val="22"/>
                <w:szCs w:val="22"/>
                <w:lang w:val="es-ES"/>
              </w:rPr>
            </w:pPr>
            <w:r w:rsidRPr="004223D9">
              <w:rPr>
                <w:rFonts w:ascii="Arial" w:hAnsi="Arial" w:cs="Arial"/>
                <w:b/>
                <w:sz w:val="22"/>
                <w:szCs w:val="22"/>
                <w:lang w:val="es-ES"/>
              </w:rPr>
              <w:t>BID Préstamo</w:t>
            </w:r>
          </w:p>
        </w:tc>
        <w:tc>
          <w:tcPr>
            <w:tcW w:w="5460" w:type="dxa"/>
            <w:shd w:val="clear" w:color="auto" w:fill="auto"/>
          </w:tcPr>
          <w:p w:rsidR="002872FD" w:rsidRPr="004223D9" w:rsidRDefault="002872FD" w:rsidP="00C03A21">
            <w:pPr>
              <w:rPr>
                <w:rFonts w:ascii="Arial" w:hAnsi="Arial" w:cs="Arial"/>
                <w:sz w:val="22"/>
                <w:szCs w:val="22"/>
                <w:lang w:val="es-ES"/>
              </w:rPr>
            </w:pPr>
            <w:r w:rsidRPr="004223D9">
              <w:rPr>
                <w:rFonts w:ascii="Arial" w:hAnsi="Arial" w:cs="Arial"/>
                <w:sz w:val="22"/>
                <w:szCs w:val="22"/>
                <w:lang w:val="es-ES"/>
              </w:rPr>
              <w:t>US</w:t>
            </w:r>
            <w:r w:rsidR="007837A7" w:rsidRPr="004223D9">
              <w:rPr>
                <w:rFonts w:ascii="Arial" w:hAnsi="Arial" w:cs="Arial"/>
                <w:sz w:val="22"/>
                <w:szCs w:val="22"/>
                <w:lang w:val="es-ES"/>
              </w:rPr>
              <w:t xml:space="preserve"> </w:t>
            </w:r>
            <w:r w:rsidRPr="004223D9">
              <w:rPr>
                <w:rFonts w:ascii="Arial" w:hAnsi="Arial" w:cs="Arial"/>
                <w:sz w:val="22"/>
                <w:szCs w:val="22"/>
                <w:lang w:val="es-ES"/>
              </w:rPr>
              <w:t>$</w:t>
            </w:r>
            <w:r w:rsidR="00C03A21" w:rsidRPr="004223D9">
              <w:rPr>
                <w:rFonts w:ascii="Arial" w:hAnsi="Arial" w:cs="Arial"/>
                <w:sz w:val="22"/>
                <w:szCs w:val="22"/>
                <w:lang w:val="es-ES"/>
              </w:rPr>
              <w:t>60.000.000</w:t>
            </w:r>
          </w:p>
        </w:tc>
      </w:tr>
      <w:tr w:rsidR="002872FD" w:rsidRPr="004223D9" w:rsidTr="0073468B">
        <w:tc>
          <w:tcPr>
            <w:tcW w:w="3180" w:type="dxa"/>
            <w:shd w:val="clear" w:color="auto" w:fill="auto"/>
          </w:tcPr>
          <w:p w:rsidR="002872FD" w:rsidRPr="004223D9" w:rsidRDefault="002872FD" w:rsidP="00B93203">
            <w:pPr>
              <w:rPr>
                <w:rFonts w:ascii="Arial" w:hAnsi="Arial" w:cs="Arial"/>
                <w:b/>
                <w:sz w:val="22"/>
                <w:szCs w:val="22"/>
                <w:lang w:val="es-ES"/>
              </w:rPr>
            </w:pPr>
            <w:r w:rsidRPr="004223D9">
              <w:rPr>
                <w:rFonts w:ascii="Arial" w:hAnsi="Arial" w:cs="Arial"/>
                <w:b/>
                <w:sz w:val="22"/>
                <w:szCs w:val="22"/>
                <w:lang w:val="es-ES"/>
              </w:rPr>
              <w:t>Contrapartida Local</w:t>
            </w:r>
          </w:p>
        </w:tc>
        <w:tc>
          <w:tcPr>
            <w:tcW w:w="5460" w:type="dxa"/>
            <w:shd w:val="clear" w:color="auto" w:fill="auto"/>
          </w:tcPr>
          <w:p w:rsidR="002872FD" w:rsidRPr="004223D9" w:rsidRDefault="002872FD" w:rsidP="00C03A21">
            <w:pPr>
              <w:rPr>
                <w:rFonts w:ascii="Arial" w:hAnsi="Arial" w:cs="Arial"/>
                <w:sz w:val="22"/>
                <w:szCs w:val="22"/>
                <w:lang w:val="es-ES"/>
              </w:rPr>
            </w:pPr>
            <w:r w:rsidRPr="004223D9">
              <w:rPr>
                <w:rFonts w:ascii="Arial" w:hAnsi="Arial" w:cs="Arial"/>
                <w:sz w:val="22"/>
                <w:szCs w:val="22"/>
                <w:lang w:val="es-ES"/>
              </w:rPr>
              <w:t>US</w:t>
            </w:r>
            <w:r w:rsidR="007837A7" w:rsidRPr="004223D9">
              <w:rPr>
                <w:rFonts w:ascii="Arial" w:hAnsi="Arial" w:cs="Arial"/>
                <w:sz w:val="22"/>
                <w:szCs w:val="22"/>
                <w:lang w:val="es-ES"/>
              </w:rPr>
              <w:t xml:space="preserve"> </w:t>
            </w:r>
            <w:r w:rsidRPr="004223D9">
              <w:rPr>
                <w:rFonts w:ascii="Arial" w:hAnsi="Arial" w:cs="Arial"/>
                <w:sz w:val="22"/>
                <w:szCs w:val="22"/>
                <w:lang w:val="es-ES"/>
              </w:rPr>
              <w:t>$</w:t>
            </w:r>
            <w:r w:rsidR="00C03A21" w:rsidRPr="004223D9">
              <w:rPr>
                <w:rFonts w:ascii="Arial" w:hAnsi="Arial" w:cs="Arial"/>
                <w:sz w:val="22"/>
                <w:szCs w:val="22"/>
                <w:lang w:val="es-ES"/>
              </w:rPr>
              <w:t>9.234.000</w:t>
            </w:r>
          </w:p>
        </w:tc>
      </w:tr>
      <w:tr w:rsidR="002872FD" w:rsidRPr="004223D9" w:rsidTr="0073468B">
        <w:tc>
          <w:tcPr>
            <w:tcW w:w="3180" w:type="dxa"/>
            <w:shd w:val="clear" w:color="auto" w:fill="auto"/>
          </w:tcPr>
          <w:p w:rsidR="002872FD" w:rsidRPr="004223D9" w:rsidRDefault="002872FD" w:rsidP="00B93203">
            <w:pPr>
              <w:rPr>
                <w:rFonts w:ascii="Arial" w:hAnsi="Arial" w:cs="Arial"/>
                <w:b/>
                <w:sz w:val="22"/>
                <w:szCs w:val="22"/>
                <w:lang w:val="es-ES"/>
              </w:rPr>
            </w:pPr>
            <w:r w:rsidRPr="004223D9">
              <w:rPr>
                <w:rFonts w:ascii="Arial" w:hAnsi="Arial" w:cs="Arial"/>
                <w:b/>
                <w:sz w:val="22"/>
                <w:szCs w:val="22"/>
                <w:lang w:val="es-ES"/>
              </w:rPr>
              <w:t>Categoría Ambiental</w:t>
            </w:r>
          </w:p>
        </w:tc>
        <w:tc>
          <w:tcPr>
            <w:tcW w:w="5460" w:type="dxa"/>
            <w:shd w:val="clear" w:color="auto" w:fill="auto"/>
          </w:tcPr>
          <w:p w:rsidR="002872FD" w:rsidRPr="004223D9" w:rsidRDefault="00C24EB9" w:rsidP="00C03A21">
            <w:pPr>
              <w:rPr>
                <w:rFonts w:ascii="Arial" w:hAnsi="Arial" w:cs="Arial"/>
                <w:sz w:val="22"/>
                <w:szCs w:val="22"/>
                <w:lang w:val="es-ES"/>
              </w:rPr>
            </w:pPr>
            <w:r w:rsidRPr="004223D9">
              <w:rPr>
                <w:rFonts w:ascii="Arial" w:hAnsi="Arial" w:cs="Arial"/>
                <w:sz w:val="22"/>
                <w:szCs w:val="22"/>
                <w:lang w:val="es-ES"/>
              </w:rPr>
              <w:t xml:space="preserve">Categoría </w:t>
            </w:r>
            <w:r w:rsidR="00C03A21" w:rsidRPr="004223D9">
              <w:rPr>
                <w:rFonts w:ascii="Arial" w:hAnsi="Arial" w:cs="Arial"/>
                <w:sz w:val="22"/>
                <w:szCs w:val="22"/>
                <w:lang w:val="es-ES"/>
              </w:rPr>
              <w:t>B</w:t>
            </w:r>
          </w:p>
        </w:tc>
      </w:tr>
    </w:tbl>
    <w:p w:rsidR="00FD4C3C" w:rsidRPr="004223D9" w:rsidRDefault="00084DD8" w:rsidP="00B2397E">
      <w:pPr>
        <w:pStyle w:val="Heading1"/>
        <w:rPr>
          <w:rFonts w:ascii="Arial" w:hAnsi="Arial" w:cs="Arial"/>
          <w:lang w:val="es-ES"/>
        </w:rPr>
      </w:pPr>
      <w:bookmarkStart w:id="10" w:name="_Toc422409157"/>
      <w:bookmarkStart w:id="11" w:name="_Toc422409214"/>
      <w:bookmarkStart w:id="12" w:name="_Toc463535781"/>
      <w:r w:rsidRPr="004223D9">
        <w:rPr>
          <w:rFonts w:ascii="Arial" w:hAnsi="Arial" w:cs="Arial"/>
          <w:lang w:val="es-ES"/>
        </w:rPr>
        <w:t>D</w:t>
      </w:r>
      <w:r w:rsidR="00B2397E" w:rsidRPr="004223D9">
        <w:rPr>
          <w:rFonts w:ascii="Arial" w:hAnsi="Arial" w:cs="Arial"/>
          <w:lang w:val="es-ES"/>
        </w:rPr>
        <w:t>escripción del Programa</w:t>
      </w:r>
      <w:bookmarkEnd w:id="10"/>
      <w:bookmarkEnd w:id="11"/>
      <w:bookmarkEnd w:id="12"/>
    </w:p>
    <w:p w:rsidR="006211BB" w:rsidRDefault="006211BB" w:rsidP="001F44E8">
      <w:pPr>
        <w:pStyle w:val="Heading2"/>
        <w:ind w:hanging="720"/>
        <w:rPr>
          <w:rFonts w:ascii="Arial" w:hAnsi="Arial" w:cs="Arial"/>
          <w:lang w:val="es-ES"/>
        </w:rPr>
      </w:pPr>
      <w:bookmarkStart w:id="13" w:name="_Toc463535782"/>
      <w:r>
        <w:rPr>
          <w:rFonts w:ascii="Arial" w:hAnsi="Arial" w:cs="Arial"/>
          <w:lang w:val="es-ES"/>
        </w:rPr>
        <w:t>Antecedentes</w:t>
      </w:r>
    </w:p>
    <w:p w:rsidR="00345B7A" w:rsidRPr="008E2F1B" w:rsidRDefault="00345B7A" w:rsidP="00345B7A">
      <w:pPr>
        <w:numPr>
          <w:ilvl w:val="0"/>
          <w:numId w:val="2"/>
        </w:numPr>
        <w:spacing w:after="120"/>
        <w:jc w:val="both"/>
        <w:rPr>
          <w:rFonts w:ascii="Arial" w:hAnsi="Arial" w:cs="Arial"/>
          <w:sz w:val="22"/>
          <w:szCs w:val="22"/>
          <w:lang w:val="es-ES"/>
        </w:rPr>
      </w:pPr>
      <w:r w:rsidRPr="008E2F1B">
        <w:rPr>
          <w:rFonts w:ascii="Arial" w:hAnsi="Arial" w:cs="Arial"/>
          <w:sz w:val="22"/>
          <w:szCs w:val="22"/>
          <w:lang w:val="es-ES_tradnl"/>
        </w:rPr>
        <w:t>El 16 abril de 2016 un terremoto de 7,8 Magnitud Momento</w:t>
      </w:r>
      <w:r w:rsidRPr="008E2F1B">
        <w:rPr>
          <w:rFonts w:ascii="Arial" w:hAnsi="Arial" w:cs="Arial"/>
          <w:sz w:val="22"/>
          <w:szCs w:val="22"/>
          <w:vertAlign w:val="superscript"/>
          <w:lang w:val="es-ES_tradnl"/>
        </w:rPr>
        <w:footnoteReference w:id="1"/>
      </w:r>
      <w:r w:rsidRPr="008E2F1B">
        <w:rPr>
          <w:rFonts w:ascii="Arial" w:hAnsi="Arial" w:cs="Arial"/>
          <w:sz w:val="22"/>
          <w:szCs w:val="22"/>
          <w:lang w:val="es-ES_tradnl"/>
        </w:rPr>
        <w:t>, tuvo como epicentro las zonas de Cojimíes y Pedernales, ubicadas en la provincia de Manabí de la costa Ecuatoriana. La intensidad del sismo fue mayor en la zona noroeste del país, afectando catorce cantones</w:t>
      </w:r>
      <w:r w:rsidRPr="008E2F1B">
        <w:rPr>
          <w:rFonts w:ascii="Arial" w:hAnsi="Arial" w:cs="Arial"/>
          <w:sz w:val="22"/>
          <w:szCs w:val="22"/>
          <w:vertAlign w:val="superscript"/>
          <w:lang w:val="es-ES_tradnl"/>
        </w:rPr>
        <w:footnoteReference w:id="2"/>
      </w:r>
      <w:r w:rsidRPr="008E2F1B">
        <w:rPr>
          <w:rFonts w:ascii="Arial" w:hAnsi="Arial" w:cs="Arial"/>
          <w:sz w:val="22"/>
          <w:szCs w:val="22"/>
          <w:lang w:val="es-ES_tradnl"/>
        </w:rPr>
        <w:t xml:space="preserve"> de las provincias de Manabí, Esmeraldas y Santo Domingo</w:t>
      </w:r>
      <w:r w:rsidRPr="008E2F1B">
        <w:rPr>
          <w:rFonts w:ascii="Arial" w:hAnsi="Arial" w:cs="Arial"/>
          <w:sz w:val="22"/>
          <w:szCs w:val="22"/>
          <w:vertAlign w:val="superscript"/>
          <w:lang w:val="es-ES_tradnl"/>
        </w:rPr>
        <w:footnoteReference w:id="3"/>
      </w:r>
      <w:r w:rsidRPr="008E2F1B">
        <w:rPr>
          <w:rFonts w:ascii="Arial" w:hAnsi="Arial" w:cs="Arial"/>
          <w:sz w:val="22"/>
          <w:szCs w:val="22"/>
          <w:lang w:val="es-ES_tradnl"/>
        </w:rPr>
        <w:t>.</w:t>
      </w:r>
    </w:p>
    <w:p w:rsidR="00345B7A" w:rsidRPr="008E2F1B" w:rsidRDefault="00345B7A" w:rsidP="008E2F1B">
      <w:pPr>
        <w:numPr>
          <w:ilvl w:val="0"/>
          <w:numId w:val="2"/>
        </w:numPr>
        <w:spacing w:after="120"/>
        <w:jc w:val="both"/>
        <w:rPr>
          <w:rFonts w:ascii="Arial" w:hAnsi="Arial" w:cs="Arial"/>
          <w:sz w:val="22"/>
          <w:szCs w:val="22"/>
          <w:lang w:val="es-ES"/>
        </w:rPr>
      </w:pPr>
      <w:r w:rsidRPr="008E2F1B">
        <w:rPr>
          <w:rFonts w:ascii="Arial" w:hAnsi="Arial" w:cs="Arial"/>
          <w:sz w:val="22"/>
          <w:szCs w:val="22"/>
          <w:lang w:val="es-ES"/>
        </w:rPr>
        <w:t>El evento telúrico y sus réplicas afectaron principalmente zonas de mayor vulnerabilidad, debido en gran medida a la expansión de edificaciones construidas con estándares inadecuados para áreas de alto riesgo sísmico. El terremoto ocasionó la pérdida de 663 personas, 4.859 heridos y más de 80.000 desplazados, de los cuales cerca de 30.000 fueron resguardados en refugios y albergues, 15.000 en casas de acogida y el resto optó por la migración</w:t>
      </w:r>
      <w:r w:rsidRPr="008E2F1B">
        <w:rPr>
          <w:rFonts w:ascii="Arial" w:hAnsi="Arial" w:cs="Arial"/>
          <w:sz w:val="22"/>
          <w:szCs w:val="22"/>
          <w:vertAlign w:val="superscript"/>
          <w:lang w:val="es-ES"/>
        </w:rPr>
        <w:footnoteReference w:id="4"/>
      </w:r>
      <w:r w:rsidRPr="008E2F1B">
        <w:rPr>
          <w:rFonts w:ascii="Arial" w:hAnsi="Arial" w:cs="Arial"/>
          <w:sz w:val="22"/>
          <w:szCs w:val="22"/>
          <w:lang w:val="es-ES"/>
        </w:rPr>
        <w:t>.</w:t>
      </w:r>
    </w:p>
    <w:p w:rsidR="00345B7A" w:rsidRPr="008E2F1B" w:rsidRDefault="00345B7A" w:rsidP="00345B7A">
      <w:pPr>
        <w:numPr>
          <w:ilvl w:val="0"/>
          <w:numId w:val="2"/>
        </w:numPr>
        <w:spacing w:after="120"/>
        <w:jc w:val="both"/>
        <w:rPr>
          <w:rFonts w:ascii="Arial" w:hAnsi="Arial" w:cs="Arial"/>
          <w:sz w:val="22"/>
          <w:szCs w:val="22"/>
          <w:lang w:val="es-ES"/>
        </w:rPr>
      </w:pPr>
      <w:r w:rsidRPr="008E2F1B">
        <w:rPr>
          <w:rFonts w:ascii="Arial" w:hAnsi="Arial" w:cs="Arial"/>
          <w:sz w:val="22"/>
          <w:szCs w:val="22"/>
          <w:lang w:val="es-ES_tradnl"/>
        </w:rPr>
        <w:t xml:space="preserve">El Ministerio de Electricidad y Energía Renovable (MEER) </w:t>
      </w:r>
      <w:r w:rsidRPr="008E2F1B">
        <w:rPr>
          <w:rFonts w:ascii="Arial" w:hAnsi="Arial" w:cs="Arial"/>
          <w:sz w:val="22"/>
          <w:szCs w:val="22"/>
          <w:lang w:val="es-ES"/>
        </w:rPr>
        <w:t xml:space="preserve">reporta que el sistema eléctrico de las </w:t>
      </w:r>
      <w:r w:rsidR="00451E1F" w:rsidRPr="008E2F1B">
        <w:rPr>
          <w:rFonts w:ascii="Arial" w:hAnsi="Arial" w:cs="Arial"/>
          <w:sz w:val="22"/>
          <w:szCs w:val="22"/>
          <w:lang w:val="es-ES"/>
        </w:rPr>
        <w:t>Empresas Eléctricas Distribuidoras (</w:t>
      </w:r>
      <w:r w:rsidRPr="008E2F1B">
        <w:rPr>
          <w:rFonts w:ascii="Arial" w:hAnsi="Arial" w:cs="Arial"/>
          <w:sz w:val="22"/>
          <w:szCs w:val="22"/>
          <w:lang w:val="es-ES"/>
        </w:rPr>
        <w:t>EED</w:t>
      </w:r>
      <w:r w:rsidR="00451E1F" w:rsidRPr="008E2F1B">
        <w:rPr>
          <w:rFonts w:ascii="Arial" w:hAnsi="Arial" w:cs="Arial"/>
          <w:sz w:val="22"/>
          <w:szCs w:val="22"/>
          <w:lang w:val="es-ES"/>
        </w:rPr>
        <w:t>s) afectadas</w:t>
      </w:r>
      <w:r w:rsidRPr="008E2F1B">
        <w:rPr>
          <w:rFonts w:ascii="Arial" w:hAnsi="Arial" w:cs="Arial"/>
          <w:sz w:val="22"/>
          <w:szCs w:val="22"/>
          <w:lang w:val="es-ES"/>
        </w:rPr>
        <w:t>, sufrió daños mayoritariamente en la infraestructura de subtransmisión y distribución. Se estima que 294.935 clientes (47%) perdieron el servicio de electricidad por daños en: (i) 635 km de líneas de subtransmisión (LST); (ii) 7.149 km de redes de medio y bajo voltaje; (iii) 22 Subestaciones Eléctricas (SE); (iv) 854 transformadores; y (v) 2 edificios y 14</w:t>
      </w:r>
      <w:r w:rsidR="00451E1F" w:rsidRPr="008E2F1B">
        <w:rPr>
          <w:rFonts w:ascii="Arial" w:hAnsi="Arial" w:cs="Arial"/>
          <w:sz w:val="22"/>
          <w:szCs w:val="22"/>
          <w:lang w:val="es-ES"/>
        </w:rPr>
        <w:t xml:space="preserve"> agencias de servicio eléctrico</w:t>
      </w:r>
      <w:r w:rsidRPr="008E2F1B">
        <w:rPr>
          <w:rFonts w:ascii="Arial" w:hAnsi="Arial" w:cs="Arial"/>
          <w:sz w:val="22"/>
          <w:szCs w:val="22"/>
          <w:lang w:val="es-ES"/>
        </w:rPr>
        <w:t>.</w:t>
      </w:r>
    </w:p>
    <w:p w:rsidR="00451E1F" w:rsidRPr="008E2F1B" w:rsidRDefault="00451E1F" w:rsidP="008E2F1B">
      <w:pPr>
        <w:numPr>
          <w:ilvl w:val="0"/>
          <w:numId w:val="2"/>
        </w:numPr>
        <w:jc w:val="both"/>
        <w:rPr>
          <w:rFonts w:ascii="Arial" w:hAnsi="Arial" w:cs="Arial"/>
          <w:sz w:val="22"/>
          <w:szCs w:val="22"/>
          <w:lang w:val="es-ES"/>
        </w:rPr>
      </w:pPr>
      <w:r w:rsidRPr="008E2F1B">
        <w:rPr>
          <w:rFonts w:ascii="Arial" w:hAnsi="Arial" w:cs="Arial"/>
          <w:sz w:val="22"/>
          <w:szCs w:val="22"/>
          <w:lang w:val="es-ES"/>
        </w:rPr>
        <w:t xml:space="preserve">El programa está estructurado como préstamo para operaciones de obras múltiples, justificado en que los proyectos son físicamente similares pero independientes entre sí. De los 53 proyectos presentados y evaluados, el 43% </w:t>
      </w:r>
      <w:r w:rsidRPr="008E2F1B">
        <w:rPr>
          <w:rFonts w:ascii="Arial" w:hAnsi="Arial" w:cs="Arial"/>
          <w:sz w:val="22"/>
          <w:szCs w:val="22"/>
          <w:lang w:val="es-ES"/>
        </w:rPr>
        <w:lastRenderedPageBreak/>
        <w:t>cuenta con diseños definitivos, equivalent</w:t>
      </w:r>
      <w:r w:rsidR="00D158D7" w:rsidRPr="008E2F1B">
        <w:rPr>
          <w:rFonts w:ascii="Arial" w:hAnsi="Arial" w:cs="Arial"/>
          <w:sz w:val="22"/>
          <w:szCs w:val="22"/>
          <w:lang w:val="es-ES"/>
        </w:rPr>
        <w:t>es a 49% del monto del programa</w:t>
      </w:r>
      <w:r w:rsidRPr="008E2F1B">
        <w:rPr>
          <w:rFonts w:ascii="Arial" w:hAnsi="Arial" w:cs="Arial"/>
          <w:sz w:val="22"/>
          <w:szCs w:val="22"/>
          <w:lang w:val="es-ES"/>
        </w:rPr>
        <w:t>.</w:t>
      </w:r>
      <w:r w:rsidR="00D158D7" w:rsidRPr="008E2F1B">
        <w:rPr>
          <w:rFonts w:ascii="Arial" w:hAnsi="Arial" w:cs="Arial"/>
          <w:sz w:val="22"/>
          <w:szCs w:val="22"/>
          <w:lang w:val="es-ES"/>
        </w:rPr>
        <w:t xml:space="preserve"> </w:t>
      </w:r>
      <w:r w:rsidR="00D158D7" w:rsidRPr="008E2F1B">
        <w:rPr>
          <w:rFonts w:ascii="Arial" w:hAnsi="Arial" w:cs="Arial"/>
          <w:sz w:val="22"/>
          <w:szCs w:val="22"/>
          <w:lang w:val="es-ES_tradnl"/>
        </w:rPr>
        <w:t>Los procesos de contratación del programa están descritos en el Plan de Adquisiciones (PA).</w:t>
      </w:r>
      <w:r w:rsidRPr="008E2F1B">
        <w:rPr>
          <w:rFonts w:ascii="Arial" w:hAnsi="Arial" w:cs="Arial"/>
          <w:sz w:val="22"/>
          <w:szCs w:val="22"/>
          <w:lang w:val="es-ES"/>
        </w:rPr>
        <w:t xml:space="preserve"> Los criterios de elegibilidad son: (i) priorización por la MEER y la Secretaría Técnica del Comité de Reconstrucción y Reactivación Productiva (ii) contribuir a la etapa de reconstrucción de la infraestructura eléctrica dañada; (iii) contribuir a la mejora de la calidad de servicio eléctrico y al reforzamiento del SND en 220 V; (iv) contar con informació</w:t>
      </w:r>
      <w:r w:rsidR="00D158D7" w:rsidRPr="008E2F1B">
        <w:rPr>
          <w:rFonts w:ascii="Arial" w:hAnsi="Arial" w:cs="Arial"/>
          <w:sz w:val="22"/>
          <w:szCs w:val="22"/>
          <w:lang w:val="es-ES"/>
        </w:rPr>
        <w:t>n de gestión social y ambiental</w:t>
      </w:r>
      <w:r w:rsidRPr="008E2F1B">
        <w:rPr>
          <w:rFonts w:ascii="Arial" w:hAnsi="Arial" w:cs="Arial"/>
          <w:sz w:val="22"/>
          <w:szCs w:val="22"/>
          <w:lang w:val="es-ES"/>
        </w:rPr>
        <w:t>; y, (v) cumplir con los criterios de evaluación económico-financiero. Los recursos se desemb</w:t>
      </w:r>
      <w:r w:rsidR="00D158D7" w:rsidRPr="008E2F1B">
        <w:rPr>
          <w:rFonts w:ascii="Arial" w:hAnsi="Arial" w:cs="Arial"/>
          <w:sz w:val="22"/>
          <w:szCs w:val="22"/>
          <w:lang w:val="es-ES"/>
        </w:rPr>
        <w:t>olsarán en tres años.</w:t>
      </w:r>
    </w:p>
    <w:p w:rsidR="00FD4C3C" w:rsidRPr="008E2F1B" w:rsidRDefault="00084DD8" w:rsidP="001F44E8">
      <w:pPr>
        <w:pStyle w:val="Heading2"/>
        <w:ind w:hanging="720"/>
        <w:rPr>
          <w:rFonts w:ascii="Arial" w:hAnsi="Arial" w:cs="Arial"/>
          <w:lang w:val="es-ES"/>
        </w:rPr>
      </w:pPr>
      <w:r w:rsidRPr="008E2F1B">
        <w:rPr>
          <w:rFonts w:ascii="Arial" w:hAnsi="Arial" w:cs="Arial"/>
          <w:lang w:val="es-ES"/>
        </w:rPr>
        <w:t>Componentes</w:t>
      </w:r>
      <w:bookmarkEnd w:id="13"/>
    </w:p>
    <w:p w:rsidR="00C03A21" w:rsidRPr="008E2F1B" w:rsidRDefault="00C03A21" w:rsidP="008B16BD">
      <w:pPr>
        <w:numPr>
          <w:ilvl w:val="0"/>
          <w:numId w:val="2"/>
        </w:numPr>
        <w:spacing w:after="120"/>
        <w:jc w:val="both"/>
        <w:rPr>
          <w:rFonts w:ascii="Arial" w:hAnsi="Arial" w:cs="Arial"/>
          <w:sz w:val="22"/>
          <w:szCs w:val="22"/>
          <w:lang w:val="es-ES_tradnl"/>
        </w:rPr>
      </w:pPr>
      <w:r w:rsidRPr="008E2F1B">
        <w:rPr>
          <w:rFonts w:ascii="Arial" w:hAnsi="Arial" w:cs="Arial"/>
          <w:sz w:val="22"/>
          <w:szCs w:val="22"/>
          <w:lang w:val="es-ES_tradnl"/>
        </w:rPr>
        <w:t xml:space="preserve">El objetivo general </w:t>
      </w:r>
      <w:r w:rsidR="00367CBE" w:rsidRPr="008E2F1B">
        <w:rPr>
          <w:rFonts w:ascii="Arial" w:hAnsi="Arial" w:cs="Arial"/>
          <w:sz w:val="22"/>
          <w:szCs w:val="22"/>
          <w:lang w:val="es-ES_tradnl"/>
        </w:rPr>
        <w:t xml:space="preserve">del Programa </w:t>
      </w:r>
      <w:r w:rsidR="00367CBE" w:rsidRPr="008E2F1B">
        <w:rPr>
          <w:rFonts w:ascii="Arial" w:hAnsi="Arial" w:cs="Arial"/>
          <w:sz w:val="22"/>
          <w:szCs w:val="22"/>
          <w:lang w:val="es-ES"/>
        </w:rPr>
        <w:t xml:space="preserve">de Reconstrucción de Infraestructura Eléctrica de las Zonas Afectadas por el Sismo en Ecuador (“el Programa”) </w:t>
      </w:r>
      <w:r w:rsidR="008B16BD" w:rsidRPr="008B16BD">
        <w:rPr>
          <w:rFonts w:ascii="Arial" w:hAnsi="Arial" w:cs="Arial"/>
          <w:sz w:val="22"/>
          <w:szCs w:val="22"/>
          <w:lang w:val="es-ES_tradnl"/>
        </w:rPr>
        <w:t>es contribuir a la reconstrucción de infraestructura eléctrica con características sismo resistentes mejoradas</w:t>
      </w:r>
      <w:r w:rsidR="008B16BD">
        <w:rPr>
          <w:rFonts w:ascii="Arial" w:hAnsi="Arial" w:cs="Arial"/>
          <w:sz w:val="22"/>
          <w:szCs w:val="22"/>
          <w:lang w:val="es-ES_tradnl"/>
        </w:rPr>
        <w:t>,</w:t>
      </w:r>
      <w:r w:rsidR="008B16BD" w:rsidRPr="008B16BD">
        <w:rPr>
          <w:rFonts w:ascii="Arial" w:hAnsi="Arial" w:cs="Arial"/>
          <w:sz w:val="22"/>
          <w:szCs w:val="22"/>
          <w:lang w:val="es-ES_tradnl"/>
        </w:rPr>
        <w:t xml:space="preserve"> y facilitar un servicio eléctrico confiable en las zonas afectadas por el sismo</w:t>
      </w:r>
      <w:r w:rsidRPr="008E2F1B">
        <w:rPr>
          <w:rFonts w:ascii="Arial" w:hAnsi="Arial" w:cs="Arial"/>
          <w:sz w:val="22"/>
          <w:szCs w:val="22"/>
          <w:lang w:val="es-ES_tradnl"/>
        </w:rPr>
        <w:t xml:space="preserve">. Los objetivos específicos son: </w:t>
      </w:r>
      <w:r w:rsidR="008B16BD" w:rsidRPr="008B16BD">
        <w:rPr>
          <w:rFonts w:ascii="Arial" w:hAnsi="Arial" w:cs="Arial"/>
          <w:sz w:val="22"/>
          <w:szCs w:val="22"/>
          <w:lang w:val="es-ES_tradnl"/>
        </w:rPr>
        <w:t>(i) implementación de los proyectos de subtransmisión que contribuyan a asegurar el transporte de energía a nivel de 69kV; y (ii) implementación de los proyectos de distribución, que faciliten el aprovisionamiento confiable del servicio eléctrico a los usuarios finales</w:t>
      </w:r>
    </w:p>
    <w:p w:rsidR="00FC2D9D" w:rsidRPr="008E2F1B" w:rsidRDefault="00FC2D9D" w:rsidP="00FC2D9D">
      <w:pPr>
        <w:numPr>
          <w:ilvl w:val="0"/>
          <w:numId w:val="23"/>
        </w:numPr>
        <w:tabs>
          <w:tab w:val="num" w:pos="720"/>
        </w:tabs>
        <w:spacing w:after="120"/>
        <w:jc w:val="both"/>
        <w:rPr>
          <w:rFonts w:ascii="Arial" w:hAnsi="Arial" w:cs="Arial"/>
          <w:sz w:val="22"/>
          <w:szCs w:val="22"/>
          <w:lang w:val="es-ES_tradnl"/>
        </w:rPr>
      </w:pPr>
      <w:r w:rsidRPr="008E2F1B">
        <w:rPr>
          <w:rFonts w:ascii="Arial" w:hAnsi="Arial" w:cs="Arial"/>
          <w:b/>
          <w:sz w:val="22"/>
          <w:szCs w:val="22"/>
          <w:lang w:val="es-ES_tradnl"/>
        </w:rPr>
        <w:t>Componente I. Plan de reconstrucción integral del sistema de subtransmisión eléctrica (US$</w:t>
      </w:r>
      <w:r w:rsidR="00367CBE" w:rsidRPr="008E2F1B">
        <w:rPr>
          <w:rFonts w:ascii="Arial" w:hAnsi="Arial" w:cs="Arial"/>
          <w:b/>
          <w:sz w:val="22"/>
          <w:szCs w:val="22"/>
          <w:lang w:val="es-ES_tradnl"/>
        </w:rPr>
        <w:t>476.188</w:t>
      </w:r>
      <w:r w:rsidRPr="008E2F1B">
        <w:rPr>
          <w:rFonts w:ascii="Arial" w:hAnsi="Arial" w:cs="Arial"/>
          <w:b/>
          <w:sz w:val="22"/>
          <w:szCs w:val="22"/>
          <w:lang w:val="es-ES_tradnl"/>
        </w:rPr>
        <w:t xml:space="preserve"> millones).</w:t>
      </w:r>
      <w:r w:rsidR="00843B44" w:rsidRPr="008E2F1B">
        <w:rPr>
          <w:rFonts w:ascii="Arial" w:hAnsi="Arial" w:cs="Arial"/>
          <w:sz w:val="22"/>
          <w:szCs w:val="22"/>
          <w:lang w:val="es-ES_tradnl"/>
        </w:rPr>
        <w:t xml:space="preserve"> </w:t>
      </w:r>
      <w:r w:rsidR="00367CBE" w:rsidRPr="008E2F1B">
        <w:rPr>
          <w:rFonts w:ascii="Arial" w:hAnsi="Arial" w:cs="Arial"/>
          <w:sz w:val="22"/>
          <w:szCs w:val="22"/>
          <w:lang w:val="es-ES_tradnl"/>
        </w:rPr>
        <w:t>Financiará la reconstrucción de 26 proyectos de infraestructura de subtransmisión en las zonas afectadas, y que incluye 170 km de L/ST y 15 SE.</w:t>
      </w:r>
    </w:p>
    <w:p w:rsidR="00FC2D9D" w:rsidRPr="008E2F1B" w:rsidRDefault="00FC2D9D" w:rsidP="00FC2D9D">
      <w:pPr>
        <w:widowControl w:val="0"/>
        <w:numPr>
          <w:ilvl w:val="0"/>
          <w:numId w:val="23"/>
        </w:numPr>
        <w:spacing w:after="120"/>
        <w:jc w:val="both"/>
        <w:rPr>
          <w:rFonts w:ascii="Arial" w:hAnsi="Arial" w:cs="Arial"/>
          <w:sz w:val="22"/>
          <w:szCs w:val="22"/>
          <w:lang w:val="es-ES_tradnl"/>
        </w:rPr>
      </w:pPr>
      <w:r w:rsidRPr="008E2F1B">
        <w:rPr>
          <w:rFonts w:ascii="Arial" w:hAnsi="Arial" w:cs="Arial"/>
          <w:b/>
          <w:sz w:val="22"/>
          <w:szCs w:val="22"/>
          <w:lang w:val="es-ES_tradnl"/>
        </w:rPr>
        <w:t>Componente II. Plan de reconstrucción integral del sistema de</w:t>
      </w:r>
      <w:r w:rsidR="00367CBE" w:rsidRPr="008E2F1B">
        <w:rPr>
          <w:rFonts w:ascii="Arial" w:hAnsi="Arial" w:cs="Arial"/>
          <w:b/>
          <w:sz w:val="22"/>
          <w:szCs w:val="22"/>
          <w:lang w:val="es-ES_tradnl"/>
        </w:rPr>
        <w:t xml:space="preserve"> distribución eléctrica (US$20.916 m</w:t>
      </w:r>
      <w:r w:rsidRPr="008E2F1B">
        <w:rPr>
          <w:rFonts w:ascii="Arial" w:hAnsi="Arial" w:cs="Arial"/>
          <w:b/>
          <w:sz w:val="22"/>
          <w:szCs w:val="22"/>
          <w:lang w:val="es-ES_tradnl"/>
        </w:rPr>
        <w:t>illones).</w:t>
      </w:r>
      <w:r w:rsidR="00843B44" w:rsidRPr="008E2F1B">
        <w:rPr>
          <w:rFonts w:ascii="Arial" w:hAnsi="Arial" w:cs="Arial"/>
          <w:sz w:val="22"/>
          <w:szCs w:val="22"/>
          <w:lang w:val="es-ES_tradnl"/>
        </w:rPr>
        <w:t xml:space="preserve"> </w:t>
      </w:r>
      <w:r w:rsidR="00367CBE" w:rsidRPr="008E2F1B">
        <w:rPr>
          <w:rFonts w:ascii="Arial" w:hAnsi="Arial" w:cs="Arial"/>
          <w:sz w:val="22"/>
          <w:szCs w:val="22"/>
          <w:lang w:val="es-ES_tradnl"/>
        </w:rPr>
        <w:t>Financiará la reconstrucción de infraestructura eléctrica de distribución en zonas afectadas, con el fin de estabilizar el SND en todas sus etapas funcionales hasta el usuario final, y mejorar la calidad del servicio. Se financiará la reconstrucción de 27 proyectos que contemplan 146 km de líneas de distribución. La administración del Programa tendrá un costo de US$1.130 millones.</w:t>
      </w:r>
    </w:p>
    <w:p w:rsidR="000C5F77" w:rsidRPr="008E2F1B" w:rsidRDefault="000C5F77" w:rsidP="000C5F77">
      <w:pPr>
        <w:widowControl w:val="0"/>
        <w:numPr>
          <w:ilvl w:val="0"/>
          <w:numId w:val="23"/>
        </w:numPr>
        <w:spacing w:after="120"/>
        <w:jc w:val="both"/>
        <w:rPr>
          <w:rFonts w:ascii="Arial" w:hAnsi="Arial" w:cs="Arial"/>
          <w:sz w:val="22"/>
          <w:szCs w:val="22"/>
          <w:lang w:val="es-ES_tradnl"/>
        </w:rPr>
      </w:pPr>
      <w:bookmarkStart w:id="14" w:name="_Ref461109879"/>
      <w:r w:rsidRPr="008E2F1B">
        <w:rPr>
          <w:rFonts w:ascii="Arial" w:hAnsi="Arial" w:cs="Arial"/>
          <w:sz w:val="22"/>
          <w:szCs w:val="22"/>
          <w:lang w:val="es-ES_tradnl"/>
        </w:rPr>
        <w:t xml:space="preserve">El Organismo Ejecutor (OE) es el Ministerio de Electricidad y Energía Renovable (MEER) como ente responsable de ejecutar las acciones que coordina la Secretaría Técnica del Comité de Reconstrucción y Reactivación Económica para el sector, en las zonas afectadas. El MEER contará con el apoyo </w:t>
      </w:r>
      <w:r w:rsidR="009968E9">
        <w:rPr>
          <w:rFonts w:ascii="Arial" w:hAnsi="Arial" w:cs="Arial"/>
          <w:sz w:val="22"/>
          <w:szCs w:val="22"/>
          <w:lang w:val="es-ES_tradnl"/>
        </w:rPr>
        <w:t xml:space="preserve">del Equipo Técnico del Programa (ETP) </w:t>
      </w:r>
      <w:r w:rsidRPr="008E2F1B">
        <w:rPr>
          <w:rFonts w:ascii="Arial" w:hAnsi="Arial" w:cs="Arial"/>
          <w:sz w:val="22"/>
          <w:szCs w:val="22"/>
          <w:lang w:val="es-ES_tradnl"/>
        </w:rPr>
        <w:t>y la asistencia técnica de las Unidades de Negocio de Corporación Nacional de Electricidad – Empresa Pública (CNEL EP): Esmeraldas, Manabí y Santo Domingo quienes proveen el servicio eléctrico en las zonas afectas. En función de la experiencia de operaciones anteriores con el MEER, y con base en el diseño de los documentos de gestión del Programa, el tiempo de ejecución previsto es de tres años.</w:t>
      </w:r>
      <w:bookmarkEnd w:id="14"/>
      <w:r w:rsidRPr="008E2F1B">
        <w:rPr>
          <w:rFonts w:ascii="Arial" w:hAnsi="Arial" w:cs="Arial"/>
          <w:sz w:val="22"/>
          <w:szCs w:val="22"/>
          <w:lang w:val="es-ES_tradnl"/>
        </w:rPr>
        <w:t xml:space="preserve"> </w:t>
      </w:r>
    </w:p>
    <w:p w:rsidR="00FD4C3C" w:rsidRPr="008E2F1B" w:rsidRDefault="00084DD8" w:rsidP="00254B38">
      <w:pPr>
        <w:pStyle w:val="Heading2"/>
        <w:keepNext w:val="0"/>
        <w:widowControl w:val="0"/>
        <w:ind w:hanging="720"/>
        <w:rPr>
          <w:rFonts w:ascii="Arial" w:hAnsi="Arial" w:cs="Arial"/>
          <w:lang w:val="es-ES"/>
        </w:rPr>
      </w:pPr>
      <w:bookmarkStart w:id="15" w:name="_Toc463535783"/>
      <w:r w:rsidRPr="008E2F1B">
        <w:rPr>
          <w:rFonts w:ascii="Arial" w:hAnsi="Arial" w:cs="Arial"/>
          <w:lang w:val="es-ES"/>
        </w:rPr>
        <w:t>Entorno Ambiental y Social</w:t>
      </w:r>
      <w:bookmarkEnd w:id="15"/>
    </w:p>
    <w:p w:rsidR="0046595A" w:rsidRPr="008E2F1B" w:rsidRDefault="0046595A" w:rsidP="00FC2D9D">
      <w:pPr>
        <w:widowControl w:val="0"/>
        <w:numPr>
          <w:ilvl w:val="0"/>
          <w:numId w:val="24"/>
        </w:numPr>
        <w:spacing w:after="240"/>
        <w:jc w:val="both"/>
        <w:rPr>
          <w:rFonts w:ascii="Arial" w:hAnsi="Arial" w:cs="Arial"/>
          <w:sz w:val="22"/>
          <w:szCs w:val="22"/>
          <w:lang w:val="es-ES"/>
        </w:rPr>
      </w:pPr>
      <w:r w:rsidRPr="008E2F1B">
        <w:rPr>
          <w:rFonts w:ascii="Arial" w:hAnsi="Arial" w:cs="Arial"/>
          <w:sz w:val="22"/>
          <w:szCs w:val="22"/>
          <w:lang w:val="es-ES"/>
        </w:rPr>
        <w:t>Los sectores donde se realizará la intervención de esta operación de rehabilitación de servicios eléctricos, se ubican en zonas urbanas o rurales afectadas por el desastre de abril de 2016 ubicadas en las provincias costeras de Manabí y Esmeraldas</w:t>
      </w:r>
      <w:r w:rsidR="00254B38" w:rsidRPr="008E2F1B">
        <w:rPr>
          <w:rFonts w:ascii="Arial" w:hAnsi="Arial" w:cs="Arial"/>
          <w:sz w:val="22"/>
          <w:szCs w:val="22"/>
          <w:lang w:val="es-ES"/>
        </w:rPr>
        <w:t xml:space="preserve"> (ver figura 01)</w:t>
      </w:r>
      <w:r w:rsidRPr="008E2F1B">
        <w:rPr>
          <w:rFonts w:ascii="Arial" w:hAnsi="Arial" w:cs="Arial"/>
          <w:sz w:val="22"/>
          <w:szCs w:val="22"/>
          <w:lang w:val="es-ES"/>
        </w:rPr>
        <w:t xml:space="preserve"> que</w:t>
      </w:r>
      <w:r w:rsidR="003703D2" w:rsidRPr="008E2F1B">
        <w:rPr>
          <w:rFonts w:ascii="Arial" w:hAnsi="Arial" w:cs="Arial"/>
          <w:sz w:val="22"/>
          <w:szCs w:val="22"/>
          <w:lang w:val="es-ES"/>
        </w:rPr>
        <w:t xml:space="preserve">, de acuerdo a las evaluaciones </w:t>
      </w:r>
      <w:r w:rsidR="003703D2" w:rsidRPr="008E2F1B">
        <w:rPr>
          <w:rFonts w:ascii="Arial" w:hAnsi="Arial" w:cs="Arial"/>
          <w:sz w:val="22"/>
          <w:szCs w:val="22"/>
          <w:lang w:val="es-ES"/>
        </w:rPr>
        <w:lastRenderedPageBreak/>
        <w:t>ambientales y visitas de campo,</w:t>
      </w:r>
      <w:r w:rsidRPr="008E2F1B">
        <w:rPr>
          <w:rFonts w:ascii="Arial" w:hAnsi="Arial" w:cs="Arial"/>
          <w:sz w:val="22"/>
          <w:szCs w:val="22"/>
          <w:lang w:val="es-ES"/>
        </w:rPr>
        <w:t xml:space="preserve"> reflejan estados de alto grado de intervención antrópica, ninguna de las obras, atraviesa o afecta a algún tipo de zonas de sensibilidad ecológica o protegida legalmente para fines de conservación.</w:t>
      </w:r>
    </w:p>
    <w:p w:rsidR="00254B38" w:rsidRPr="008E2F1B" w:rsidRDefault="00921DCC" w:rsidP="00507231">
      <w:pPr>
        <w:widowControl w:val="0"/>
        <w:spacing w:after="120"/>
        <w:jc w:val="center"/>
        <w:rPr>
          <w:rFonts w:ascii="Arial" w:hAnsi="Arial" w:cs="Arial"/>
          <w:sz w:val="22"/>
          <w:szCs w:val="22"/>
          <w:lang w:val="es-ES"/>
        </w:rPr>
      </w:pPr>
      <w:r>
        <w:rPr>
          <w:noProof/>
        </w:rPr>
        <w:drawing>
          <wp:inline distT="0" distB="0" distL="0" distR="0">
            <wp:extent cx="3321050" cy="3196590"/>
            <wp:effectExtent l="0" t="0" r="0" b="3810"/>
            <wp:docPr id="1" name="Picture 1" descr="Ecuado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uador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1050" cy="3196590"/>
                    </a:xfrm>
                    <a:prstGeom prst="rect">
                      <a:avLst/>
                    </a:prstGeom>
                    <a:noFill/>
                    <a:ln>
                      <a:noFill/>
                    </a:ln>
                  </pic:spPr>
                </pic:pic>
              </a:graphicData>
            </a:graphic>
          </wp:inline>
        </w:drawing>
      </w:r>
    </w:p>
    <w:p w:rsidR="00254B38" w:rsidRPr="008E2F1B" w:rsidRDefault="00254B38" w:rsidP="00507231">
      <w:pPr>
        <w:widowControl w:val="0"/>
        <w:spacing w:after="120"/>
        <w:jc w:val="center"/>
        <w:rPr>
          <w:rFonts w:ascii="Arial" w:hAnsi="Arial" w:cs="Arial"/>
          <w:b/>
          <w:sz w:val="20"/>
          <w:szCs w:val="20"/>
          <w:lang w:val="es-ES"/>
        </w:rPr>
      </w:pPr>
      <w:r w:rsidRPr="008E2F1B">
        <w:rPr>
          <w:rFonts w:ascii="Arial" w:hAnsi="Arial" w:cs="Arial"/>
          <w:b/>
          <w:sz w:val="20"/>
          <w:szCs w:val="20"/>
          <w:lang w:val="es-ES"/>
        </w:rPr>
        <w:t>Figura 01. Mapa de Ecuador con la referencia de las provincias de Esmeralda y Manabí.</w:t>
      </w:r>
    </w:p>
    <w:p w:rsidR="00507231" w:rsidRPr="008E2F1B" w:rsidRDefault="0046595A" w:rsidP="00FC2D9D">
      <w:pPr>
        <w:widowControl w:val="0"/>
        <w:numPr>
          <w:ilvl w:val="0"/>
          <w:numId w:val="24"/>
        </w:numPr>
        <w:spacing w:after="120"/>
        <w:jc w:val="both"/>
        <w:rPr>
          <w:rFonts w:ascii="Arial" w:hAnsi="Arial" w:cs="Arial"/>
          <w:sz w:val="22"/>
          <w:szCs w:val="22"/>
          <w:lang w:val="es-ES"/>
        </w:rPr>
      </w:pPr>
      <w:r w:rsidRPr="008E2F1B">
        <w:rPr>
          <w:rFonts w:ascii="Arial" w:hAnsi="Arial" w:cs="Arial"/>
          <w:sz w:val="22"/>
          <w:szCs w:val="22"/>
          <w:lang w:val="es-ES"/>
        </w:rPr>
        <w:t>Los proyectos, relacionados con líneas de subtransmisión, corresponden fundamentalmente a intervenciones para sustitución total o parcial en los trazados de las líneas de subtransmisión existentes, que permitirán llevar a cabo de manera más segura, técnica y económica los trabajos de mantenimiento, dado que actualmente estas líneas atraviesan zonas montañosas de difícil y costoso acceso especialmente cuando requieren de una intervención emergente por un evento natural como el sismo que afectó la zona en abril 2016. Otro factor determinante para intervenir en el mejoramiento y reubicación de las líneas de subtransmisión en este programa, es su paso por zonas pobladas, en muchos casos generadas por invasiones de tierras en procesos de expansión urbana descontrolada y que ahora ponen en riesgo a la población cuyas viviendas se encuentran de</w:t>
      </w:r>
      <w:r w:rsidR="00507231" w:rsidRPr="008E2F1B">
        <w:rPr>
          <w:rFonts w:ascii="Arial" w:hAnsi="Arial" w:cs="Arial"/>
          <w:sz w:val="22"/>
          <w:szCs w:val="22"/>
          <w:lang w:val="es-ES"/>
        </w:rPr>
        <w:t>ntro de la servidumbre de paso.</w:t>
      </w:r>
    </w:p>
    <w:p w:rsidR="0046595A" w:rsidRPr="008E2F1B" w:rsidRDefault="00EB0750" w:rsidP="00FC2D9D">
      <w:pPr>
        <w:widowControl w:val="0"/>
        <w:numPr>
          <w:ilvl w:val="0"/>
          <w:numId w:val="24"/>
        </w:numPr>
        <w:spacing w:after="120"/>
        <w:jc w:val="both"/>
        <w:rPr>
          <w:rFonts w:ascii="Arial" w:hAnsi="Arial" w:cs="Arial"/>
          <w:sz w:val="22"/>
          <w:szCs w:val="22"/>
          <w:lang w:val="es-ES"/>
        </w:rPr>
      </w:pPr>
      <w:r w:rsidRPr="008E2F1B">
        <w:rPr>
          <w:rFonts w:ascii="Arial" w:hAnsi="Arial" w:cs="Arial"/>
          <w:sz w:val="22"/>
          <w:szCs w:val="22"/>
          <w:lang w:val="es-ES"/>
        </w:rPr>
        <w:t>A continuación la descripción del entorno ambiental y social de la muestra representativa del Programa que represen</w:t>
      </w:r>
      <w:r w:rsidR="00507231" w:rsidRPr="008E2F1B">
        <w:rPr>
          <w:rFonts w:ascii="Arial" w:hAnsi="Arial" w:cs="Arial"/>
          <w:sz w:val="22"/>
          <w:szCs w:val="22"/>
          <w:lang w:val="es-ES"/>
        </w:rPr>
        <w:t>ta un 30% de las mis</w:t>
      </w:r>
      <w:r w:rsidRPr="008E2F1B">
        <w:rPr>
          <w:rFonts w:ascii="Arial" w:hAnsi="Arial" w:cs="Arial"/>
          <w:sz w:val="22"/>
          <w:szCs w:val="22"/>
          <w:lang w:val="es-ES"/>
        </w:rPr>
        <w:t>ma:</w:t>
      </w:r>
    </w:p>
    <w:p w:rsidR="004A0557" w:rsidRPr="008E2F1B" w:rsidRDefault="004A0557" w:rsidP="00FC2D9D">
      <w:pPr>
        <w:widowControl w:val="0"/>
        <w:numPr>
          <w:ilvl w:val="0"/>
          <w:numId w:val="24"/>
        </w:numPr>
        <w:spacing w:after="120"/>
        <w:jc w:val="both"/>
        <w:rPr>
          <w:rFonts w:ascii="Arial" w:hAnsi="Arial" w:cs="Arial"/>
          <w:sz w:val="22"/>
          <w:szCs w:val="22"/>
          <w:lang w:val="es-ES"/>
        </w:rPr>
      </w:pPr>
      <w:r w:rsidRPr="008E2F1B">
        <w:rPr>
          <w:rFonts w:ascii="Arial" w:hAnsi="Arial" w:cs="Arial"/>
          <w:b/>
          <w:sz w:val="22"/>
          <w:szCs w:val="22"/>
          <w:u w:val="single"/>
          <w:lang w:val="es-ES"/>
        </w:rPr>
        <w:t xml:space="preserve">Reforzamiento Subsistema Esmeraldas - Tonchigüe (incluyendo construcción </w:t>
      </w:r>
      <w:r w:rsidR="003703D2" w:rsidRPr="008E2F1B">
        <w:rPr>
          <w:rFonts w:ascii="Arial" w:hAnsi="Arial" w:cs="Arial"/>
          <w:b/>
          <w:sz w:val="22"/>
          <w:szCs w:val="22"/>
          <w:u w:val="single"/>
          <w:lang w:val="es-ES"/>
        </w:rPr>
        <w:t xml:space="preserve">de Subestación </w:t>
      </w:r>
      <w:r w:rsidRPr="008E2F1B">
        <w:rPr>
          <w:rFonts w:ascii="Arial" w:hAnsi="Arial" w:cs="Arial"/>
          <w:b/>
          <w:sz w:val="22"/>
          <w:szCs w:val="22"/>
          <w:u w:val="single"/>
          <w:lang w:val="es-ES"/>
        </w:rPr>
        <w:t xml:space="preserve">La Pradera, Tonsupa, Tonchigüe y reforzamiento </w:t>
      </w:r>
      <w:r w:rsidR="003703D2" w:rsidRPr="008E2F1B">
        <w:rPr>
          <w:rFonts w:ascii="Arial" w:hAnsi="Arial" w:cs="Arial"/>
          <w:b/>
          <w:sz w:val="22"/>
          <w:szCs w:val="22"/>
          <w:u w:val="single"/>
          <w:lang w:val="es-ES"/>
        </w:rPr>
        <w:t xml:space="preserve">de Subestación </w:t>
      </w:r>
      <w:r w:rsidRPr="008E2F1B">
        <w:rPr>
          <w:rFonts w:ascii="Arial" w:hAnsi="Arial" w:cs="Arial"/>
          <w:b/>
          <w:sz w:val="22"/>
          <w:szCs w:val="22"/>
          <w:u w:val="single"/>
          <w:lang w:val="es-ES"/>
        </w:rPr>
        <w:t>Atacames)</w:t>
      </w:r>
      <w:r w:rsidRPr="008E2F1B">
        <w:rPr>
          <w:rFonts w:ascii="Arial" w:hAnsi="Arial" w:cs="Arial"/>
          <w:sz w:val="22"/>
          <w:szCs w:val="22"/>
          <w:lang w:val="es-ES"/>
        </w:rPr>
        <w:t xml:space="preserve">. Este proyecto inicia en la ciudad de Esmeraldas (Subestación Santas Vainas) hasta la población de Tonchigüe al sur de la provincia de Esmeraldas (Subestación Tonchigüe por construirse) recorriendo una distancia de aproximadamente 54,5 km. Se tiene previsto ejecutar una variante a nivel de 69 kV en el tramo que va desde Tonsupa a Atacames, con la finalidad de realizar la remediación de la línea, puesto que la misma, en este trayecto va sobre viviendas y se han presentado accidentes y existen pedidos de la población a su reubicación. El proyecto incluye además la </w:t>
      </w:r>
      <w:r w:rsidRPr="008E2F1B">
        <w:rPr>
          <w:rFonts w:ascii="Arial" w:hAnsi="Arial" w:cs="Arial"/>
          <w:sz w:val="22"/>
          <w:szCs w:val="22"/>
          <w:lang w:val="es-ES"/>
        </w:rPr>
        <w:lastRenderedPageBreak/>
        <w:t xml:space="preserve">construcción de una </w:t>
      </w:r>
      <w:r w:rsidR="00D158D7" w:rsidRPr="008E2F1B">
        <w:rPr>
          <w:rFonts w:ascii="Arial" w:hAnsi="Arial" w:cs="Arial"/>
          <w:sz w:val="22"/>
          <w:szCs w:val="22"/>
          <w:lang w:val="es-ES"/>
        </w:rPr>
        <w:t>s</w:t>
      </w:r>
      <w:r w:rsidR="003703D2" w:rsidRPr="008E2F1B">
        <w:rPr>
          <w:rFonts w:ascii="Arial" w:hAnsi="Arial" w:cs="Arial"/>
          <w:sz w:val="22"/>
          <w:szCs w:val="22"/>
          <w:lang w:val="es-ES"/>
        </w:rPr>
        <w:t xml:space="preserve">ubestación </w:t>
      </w:r>
      <w:r w:rsidRPr="008E2F1B">
        <w:rPr>
          <w:rFonts w:ascii="Arial" w:hAnsi="Arial" w:cs="Arial"/>
          <w:sz w:val="22"/>
          <w:szCs w:val="22"/>
          <w:lang w:val="es-ES"/>
        </w:rPr>
        <w:t>nueva,</w:t>
      </w:r>
      <w:r w:rsidR="008C290D" w:rsidRPr="008E2F1B">
        <w:rPr>
          <w:rFonts w:ascii="Arial" w:hAnsi="Arial" w:cs="Arial"/>
          <w:sz w:val="22"/>
          <w:szCs w:val="22"/>
          <w:lang w:val="es-ES"/>
        </w:rPr>
        <w:t xml:space="preserve"> cuyo terreno es propiedad de CENEL EP Esmeraldas y no existen asentamientos humanos,</w:t>
      </w:r>
      <w:r w:rsidRPr="008E2F1B">
        <w:rPr>
          <w:rFonts w:ascii="Arial" w:hAnsi="Arial" w:cs="Arial"/>
          <w:sz w:val="22"/>
          <w:szCs w:val="22"/>
          <w:lang w:val="es-ES"/>
        </w:rPr>
        <w:t xml:space="preserve"> en una zona </w:t>
      </w:r>
      <w:r w:rsidR="003703D2" w:rsidRPr="008E2F1B">
        <w:rPr>
          <w:rFonts w:ascii="Arial" w:hAnsi="Arial" w:cs="Arial"/>
          <w:sz w:val="22"/>
          <w:szCs w:val="22"/>
          <w:lang w:val="es-ES"/>
        </w:rPr>
        <w:t xml:space="preserve">ya intervenida y antropizada </w:t>
      </w:r>
      <w:r w:rsidRPr="008E2F1B">
        <w:rPr>
          <w:rFonts w:ascii="Arial" w:hAnsi="Arial" w:cs="Arial"/>
          <w:sz w:val="22"/>
          <w:szCs w:val="22"/>
          <w:lang w:val="es-ES"/>
        </w:rPr>
        <w:t xml:space="preserve">en la cual actualmente se tiene una demanda máxima durante feriados de 8,38 </w:t>
      </w:r>
      <w:r w:rsidR="003703D2" w:rsidRPr="008E2F1B">
        <w:rPr>
          <w:rFonts w:ascii="Arial" w:hAnsi="Arial" w:cs="Arial"/>
          <w:sz w:val="22"/>
          <w:szCs w:val="22"/>
          <w:lang w:val="es-ES"/>
        </w:rPr>
        <w:t>MVA,</w:t>
      </w:r>
      <w:r w:rsidRPr="008E2F1B">
        <w:rPr>
          <w:rFonts w:ascii="Arial" w:hAnsi="Arial" w:cs="Arial"/>
          <w:sz w:val="22"/>
          <w:szCs w:val="22"/>
          <w:lang w:val="es-ES"/>
        </w:rPr>
        <w:t xml:space="preserve"> zona en la cual, debido al auge turístico, se prevé un crecimiento de la demanda anual de 8,19%; y la readecuación de la S</w:t>
      </w:r>
      <w:r w:rsidR="003703D2" w:rsidRPr="008E2F1B">
        <w:rPr>
          <w:rFonts w:ascii="Arial" w:hAnsi="Arial" w:cs="Arial"/>
          <w:sz w:val="22"/>
          <w:szCs w:val="22"/>
          <w:lang w:val="es-ES"/>
        </w:rPr>
        <w:t xml:space="preserve">ubestación </w:t>
      </w:r>
      <w:r w:rsidRPr="008E2F1B">
        <w:rPr>
          <w:rFonts w:ascii="Arial" w:hAnsi="Arial" w:cs="Arial"/>
          <w:sz w:val="22"/>
          <w:szCs w:val="22"/>
          <w:lang w:val="es-ES"/>
        </w:rPr>
        <w:t>Atacames.</w:t>
      </w:r>
    </w:p>
    <w:p w:rsidR="004A0557" w:rsidRPr="008E2F1B" w:rsidRDefault="00921DCC" w:rsidP="00635C8A">
      <w:pPr>
        <w:pStyle w:val="Paragraph"/>
        <w:tabs>
          <w:tab w:val="left" w:pos="720"/>
        </w:tabs>
        <w:ind w:left="709" w:firstLine="0"/>
        <w:outlineLvl w:val="9"/>
        <w:rPr>
          <w:lang w:val="es-EC" w:eastAsia="es-EC"/>
        </w:rPr>
      </w:pPr>
      <w:r>
        <w:rPr>
          <w:noProof/>
          <w:lang w:val="en-US"/>
        </w:rPr>
        <w:drawing>
          <wp:inline distT="0" distB="0" distL="0" distR="0">
            <wp:extent cx="4945380" cy="3050540"/>
            <wp:effectExtent l="0" t="0" r="7620" b="0"/>
            <wp:docPr id="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5380" cy="3050540"/>
                    </a:xfrm>
                    <a:prstGeom prst="rect">
                      <a:avLst/>
                    </a:prstGeom>
                    <a:noFill/>
                    <a:ln>
                      <a:noFill/>
                    </a:ln>
                  </pic:spPr>
                </pic:pic>
              </a:graphicData>
            </a:graphic>
          </wp:inline>
        </w:drawing>
      </w:r>
    </w:p>
    <w:p w:rsidR="004A0557" w:rsidRPr="008E2F1B" w:rsidRDefault="004A0557" w:rsidP="00635C8A">
      <w:pPr>
        <w:widowControl w:val="0"/>
        <w:spacing w:after="120"/>
        <w:jc w:val="center"/>
        <w:rPr>
          <w:rFonts w:ascii="Arial" w:hAnsi="Arial" w:cs="Arial"/>
          <w:b/>
          <w:sz w:val="20"/>
          <w:szCs w:val="20"/>
          <w:lang w:val="es-ES"/>
        </w:rPr>
      </w:pPr>
      <w:r w:rsidRPr="008E2F1B">
        <w:rPr>
          <w:rFonts w:ascii="Arial" w:hAnsi="Arial" w:cs="Arial"/>
          <w:b/>
          <w:sz w:val="20"/>
          <w:szCs w:val="20"/>
          <w:lang w:val="es-ES"/>
        </w:rPr>
        <w:t>Figura 02. Trazado Integral del Subsistema Esmeraldas -Tonchigüe</w:t>
      </w:r>
    </w:p>
    <w:p w:rsidR="004A0557" w:rsidRPr="008E2F1B" w:rsidRDefault="004A0557" w:rsidP="00635C8A">
      <w:pPr>
        <w:widowControl w:val="0"/>
        <w:numPr>
          <w:ilvl w:val="0"/>
          <w:numId w:val="24"/>
        </w:numPr>
        <w:spacing w:after="120"/>
        <w:jc w:val="both"/>
        <w:rPr>
          <w:rFonts w:ascii="Arial" w:hAnsi="Arial" w:cs="Arial"/>
          <w:sz w:val="22"/>
          <w:szCs w:val="22"/>
          <w:lang w:val="es-ES"/>
        </w:rPr>
      </w:pPr>
      <w:r w:rsidRPr="008E2F1B">
        <w:rPr>
          <w:rFonts w:ascii="Arial" w:hAnsi="Arial" w:cs="Arial"/>
          <w:sz w:val="22"/>
          <w:szCs w:val="22"/>
          <w:lang w:val="es-ES"/>
        </w:rPr>
        <w:t>Las áreas de intervención de este proyecto de reforzamiento son principalmente vías públicas por lo cual las afectaciones a las poblaciones son insignificantes. Más bien el proyecto pr</w:t>
      </w:r>
      <w:r w:rsidR="003703D2" w:rsidRPr="008E2F1B">
        <w:rPr>
          <w:rFonts w:ascii="Arial" w:hAnsi="Arial" w:cs="Arial"/>
          <w:sz w:val="22"/>
          <w:szCs w:val="22"/>
          <w:lang w:val="es-ES"/>
        </w:rPr>
        <w:t xml:space="preserve">etende optimizar y asegurar la línea de transmisión </w:t>
      </w:r>
      <w:r w:rsidRPr="008E2F1B">
        <w:rPr>
          <w:rFonts w:ascii="Arial" w:hAnsi="Arial" w:cs="Arial"/>
          <w:sz w:val="22"/>
          <w:szCs w:val="22"/>
          <w:lang w:val="es-ES"/>
        </w:rPr>
        <w:t xml:space="preserve">con un nuevo trazado, eliminado zonas donde el paso de la </w:t>
      </w:r>
      <w:r w:rsidR="003703D2" w:rsidRPr="008E2F1B">
        <w:rPr>
          <w:rFonts w:ascii="Arial" w:hAnsi="Arial" w:cs="Arial"/>
          <w:sz w:val="22"/>
          <w:szCs w:val="22"/>
          <w:lang w:val="es-ES"/>
        </w:rPr>
        <w:t xml:space="preserve">línea de transmisión </w:t>
      </w:r>
      <w:r w:rsidRPr="008E2F1B">
        <w:rPr>
          <w:rFonts w:ascii="Arial" w:hAnsi="Arial" w:cs="Arial"/>
          <w:sz w:val="22"/>
          <w:szCs w:val="22"/>
          <w:lang w:val="es-ES"/>
        </w:rPr>
        <w:t xml:space="preserve">es de alto riego por el crecimiento acelerado de la construcción de vivienda sobre el antiguo derecho de vía existente por procesos de invasión de tierras. La ruta en su mayoría sigue la línea existente de la vía principal que une las poblaciones de Esmeraldas – Tonsupa – Atacames, atravesando las poblaciones y zonas agrícolas y ganaderas. El predio para la construcción de las nuevas </w:t>
      </w:r>
      <w:r w:rsidR="003703D2" w:rsidRPr="008E2F1B">
        <w:rPr>
          <w:rFonts w:ascii="Arial" w:hAnsi="Arial" w:cs="Arial"/>
          <w:sz w:val="22"/>
          <w:szCs w:val="22"/>
          <w:lang w:val="es-ES"/>
        </w:rPr>
        <w:t>subestaciones</w:t>
      </w:r>
      <w:r w:rsidRPr="008E2F1B">
        <w:rPr>
          <w:rFonts w:ascii="Arial" w:hAnsi="Arial" w:cs="Arial"/>
          <w:sz w:val="22"/>
          <w:szCs w:val="22"/>
          <w:lang w:val="es-ES"/>
        </w:rPr>
        <w:t xml:space="preserve"> La Pradera, Tonsupa y Tonchigüe, son de propiedad de la empresa CNEL</w:t>
      </w:r>
      <w:r w:rsidR="003703D2" w:rsidRPr="008E2F1B">
        <w:rPr>
          <w:rFonts w:ascii="Arial" w:hAnsi="Arial" w:cs="Arial"/>
          <w:sz w:val="22"/>
          <w:szCs w:val="22"/>
          <w:lang w:val="es-ES"/>
        </w:rPr>
        <w:t xml:space="preserve"> EP</w:t>
      </w:r>
      <w:r w:rsidRPr="008E2F1B">
        <w:rPr>
          <w:rFonts w:ascii="Arial" w:hAnsi="Arial" w:cs="Arial"/>
          <w:sz w:val="22"/>
          <w:szCs w:val="22"/>
          <w:lang w:val="es-ES"/>
        </w:rPr>
        <w:t xml:space="preserve"> Esmeraldas y por lo tanto no generar</w:t>
      </w:r>
      <w:r w:rsidR="00FE1AF2" w:rsidRPr="008E2F1B">
        <w:rPr>
          <w:rFonts w:ascii="Arial" w:hAnsi="Arial" w:cs="Arial"/>
          <w:sz w:val="22"/>
          <w:szCs w:val="22"/>
          <w:lang w:val="es-ES"/>
        </w:rPr>
        <w:t>á afectación por expropiaciones, y tampoco se tiene indicios de que exista algún tipo de asentamiento humano sobre las mismas.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040"/>
      </w:tblGrid>
      <w:tr w:rsidR="0079066E" w:rsidRPr="008E2F1B" w:rsidTr="004A0557">
        <w:tc>
          <w:tcPr>
            <w:tcW w:w="4107" w:type="dxa"/>
            <w:shd w:val="clear" w:color="auto" w:fill="auto"/>
          </w:tcPr>
          <w:p w:rsidR="0079066E" w:rsidRPr="008E2F1B" w:rsidRDefault="00921DCC" w:rsidP="00635C8A">
            <w:pPr>
              <w:pStyle w:val="Paragraph"/>
              <w:keepLines/>
              <w:widowControl w:val="0"/>
              <w:tabs>
                <w:tab w:val="left" w:pos="720"/>
              </w:tabs>
              <w:ind w:left="0" w:firstLine="0"/>
              <w:jc w:val="center"/>
              <w:outlineLvl w:val="9"/>
              <w:rPr>
                <w:rFonts w:ascii="Arial" w:hAnsi="Arial" w:cs="Arial"/>
                <w:sz w:val="18"/>
                <w:szCs w:val="18"/>
              </w:rPr>
            </w:pPr>
            <w:r>
              <w:rPr>
                <w:rFonts w:ascii="Arial" w:hAnsi="Arial" w:cs="Arial"/>
                <w:noProof/>
                <w:sz w:val="18"/>
                <w:szCs w:val="18"/>
                <w:lang w:val="en-US"/>
              </w:rPr>
              <w:drawing>
                <wp:inline distT="0" distB="0" distL="0" distR="0">
                  <wp:extent cx="2377440" cy="1338580"/>
                  <wp:effectExtent l="0" t="0" r="381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440" cy="1338580"/>
                          </a:xfrm>
                          <a:prstGeom prst="rect">
                            <a:avLst/>
                          </a:prstGeom>
                          <a:noFill/>
                          <a:ln>
                            <a:noFill/>
                          </a:ln>
                        </pic:spPr>
                      </pic:pic>
                    </a:graphicData>
                  </a:graphic>
                </wp:inline>
              </w:drawing>
            </w:r>
          </w:p>
          <w:p w:rsidR="0079066E" w:rsidRPr="008E2F1B" w:rsidRDefault="0079066E" w:rsidP="00635C8A">
            <w:pPr>
              <w:pStyle w:val="Paragraph"/>
              <w:keepLines/>
              <w:widowControl w:val="0"/>
              <w:tabs>
                <w:tab w:val="left" w:pos="720"/>
              </w:tabs>
              <w:ind w:left="0" w:firstLine="0"/>
              <w:outlineLvl w:val="9"/>
              <w:rPr>
                <w:rFonts w:ascii="Arial" w:hAnsi="Arial" w:cs="Arial"/>
                <w:sz w:val="18"/>
                <w:szCs w:val="18"/>
              </w:rPr>
            </w:pPr>
            <w:r w:rsidRPr="008E2F1B">
              <w:rPr>
                <w:rFonts w:ascii="Arial" w:hAnsi="Arial" w:cs="Arial"/>
                <w:sz w:val="18"/>
                <w:szCs w:val="18"/>
              </w:rPr>
              <w:lastRenderedPageBreak/>
              <w:t>Vista de la L/ST sobre viviendas en zona de Atacames, generando alto riesgo a la población.</w:t>
            </w:r>
          </w:p>
        </w:tc>
        <w:tc>
          <w:tcPr>
            <w:tcW w:w="4040" w:type="dxa"/>
            <w:shd w:val="clear" w:color="auto" w:fill="auto"/>
          </w:tcPr>
          <w:p w:rsidR="0079066E" w:rsidRPr="008E2F1B" w:rsidRDefault="00921DCC" w:rsidP="00635C8A">
            <w:pPr>
              <w:pStyle w:val="Paragraph"/>
              <w:keepLines/>
              <w:widowControl w:val="0"/>
              <w:tabs>
                <w:tab w:val="left" w:pos="720"/>
              </w:tabs>
              <w:ind w:left="0" w:firstLine="0"/>
              <w:jc w:val="center"/>
              <w:outlineLvl w:val="9"/>
              <w:rPr>
                <w:sz w:val="22"/>
                <w:szCs w:val="22"/>
              </w:rPr>
            </w:pPr>
            <w:r>
              <w:rPr>
                <w:noProof/>
                <w:sz w:val="22"/>
                <w:szCs w:val="22"/>
                <w:lang w:val="en-US"/>
              </w:rPr>
              <w:lastRenderedPageBreak/>
              <w:drawing>
                <wp:inline distT="0" distB="0" distL="0" distR="0">
                  <wp:extent cx="2385060" cy="1331595"/>
                  <wp:effectExtent l="0" t="0" r="0" b="1905"/>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5060" cy="1331595"/>
                          </a:xfrm>
                          <a:prstGeom prst="rect">
                            <a:avLst/>
                          </a:prstGeom>
                          <a:noFill/>
                          <a:ln>
                            <a:noFill/>
                          </a:ln>
                        </pic:spPr>
                      </pic:pic>
                    </a:graphicData>
                  </a:graphic>
                </wp:inline>
              </w:drawing>
            </w:r>
          </w:p>
          <w:p w:rsidR="0079066E" w:rsidRPr="008E2F1B" w:rsidRDefault="0079066E" w:rsidP="00635C8A">
            <w:pPr>
              <w:pStyle w:val="Paragraph"/>
              <w:keepLines/>
              <w:widowControl w:val="0"/>
              <w:tabs>
                <w:tab w:val="left" w:pos="720"/>
              </w:tabs>
              <w:ind w:left="0" w:firstLine="0"/>
              <w:outlineLvl w:val="9"/>
              <w:rPr>
                <w:rFonts w:ascii="Arial" w:hAnsi="Arial" w:cs="Arial"/>
                <w:sz w:val="18"/>
                <w:szCs w:val="18"/>
              </w:rPr>
            </w:pPr>
            <w:r w:rsidRPr="008E2F1B">
              <w:rPr>
                <w:rFonts w:ascii="Arial" w:hAnsi="Arial" w:cs="Arial"/>
                <w:sz w:val="18"/>
                <w:szCs w:val="18"/>
              </w:rPr>
              <w:lastRenderedPageBreak/>
              <w:t>Sitio de ubicación de la nueva S/E Atacames, propiedad de CNEL EP Esmeraldas.</w:t>
            </w:r>
          </w:p>
        </w:tc>
      </w:tr>
    </w:tbl>
    <w:p w:rsidR="004A0557" w:rsidRPr="008E2F1B" w:rsidRDefault="004A0557" w:rsidP="00635C8A">
      <w:pPr>
        <w:pStyle w:val="Paragraph"/>
        <w:keepLines/>
        <w:widowControl w:val="0"/>
        <w:tabs>
          <w:tab w:val="left" w:pos="720"/>
        </w:tabs>
        <w:ind w:left="0" w:firstLine="0"/>
        <w:outlineLvl w:val="9"/>
        <w:rPr>
          <w:sz w:val="22"/>
          <w:szCs w:val="22"/>
          <w:u w:val="single"/>
        </w:rPr>
      </w:pPr>
    </w:p>
    <w:p w:rsidR="0079066E" w:rsidRPr="008E2F1B" w:rsidRDefault="00921DCC" w:rsidP="006117DA">
      <w:pPr>
        <w:widowControl w:val="0"/>
        <w:numPr>
          <w:ilvl w:val="0"/>
          <w:numId w:val="22"/>
        </w:numPr>
        <w:spacing w:after="120"/>
        <w:jc w:val="both"/>
        <w:rPr>
          <w:rFonts w:ascii="Arial" w:hAnsi="Arial" w:cs="Arial"/>
          <w:sz w:val="22"/>
          <w:szCs w:val="22"/>
          <w:lang w:val="es-ES"/>
        </w:rPr>
      </w:pPr>
      <w:r>
        <w:rPr>
          <w:rFonts w:ascii="Arial" w:hAnsi="Arial" w:cs="Arial"/>
          <w:noProof/>
          <w:sz w:val="22"/>
          <w:szCs w:val="22"/>
        </w:rPr>
        <w:drawing>
          <wp:anchor distT="0" distB="0" distL="114300" distR="114300" simplePos="0" relativeHeight="251657728" behindDoc="0" locked="0" layoutInCell="1" allowOverlap="1">
            <wp:simplePos x="0" y="0"/>
            <wp:positionH relativeFrom="column">
              <wp:posOffset>895350</wp:posOffset>
            </wp:positionH>
            <wp:positionV relativeFrom="paragraph">
              <wp:posOffset>2101850</wp:posOffset>
            </wp:positionV>
            <wp:extent cx="4189730" cy="2375535"/>
            <wp:effectExtent l="0" t="0" r="1270" b="571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9730" cy="2375535"/>
                    </a:xfrm>
                    <a:prstGeom prst="rect">
                      <a:avLst/>
                    </a:prstGeom>
                    <a:noFill/>
                  </pic:spPr>
                </pic:pic>
              </a:graphicData>
            </a:graphic>
            <wp14:sizeRelH relativeFrom="page">
              <wp14:pctWidth>0</wp14:pctWidth>
            </wp14:sizeRelH>
            <wp14:sizeRelV relativeFrom="page">
              <wp14:pctHeight>0</wp14:pctHeight>
            </wp14:sizeRelV>
          </wp:anchor>
        </w:drawing>
      </w:r>
      <w:r w:rsidR="0079066E" w:rsidRPr="008E2F1B">
        <w:rPr>
          <w:rFonts w:ascii="Arial" w:hAnsi="Arial" w:cs="Arial"/>
          <w:b/>
          <w:sz w:val="22"/>
          <w:szCs w:val="22"/>
          <w:u w:val="single"/>
          <w:lang w:val="es-ES"/>
        </w:rPr>
        <w:t>Repotenciación de Subestaciones de Transmisión CNEL Manabí</w:t>
      </w:r>
      <w:r w:rsidR="0079066E" w:rsidRPr="008E2F1B">
        <w:rPr>
          <w:rFonts w:ascii="Arial" w:hAnsi="Arial" w:cs="Arial"/>
          <w:sz w:val="22"/>
          <w:szCs w:val="22"/>
          <w:lang w:val="es-ES"/>
        </w:rPr>
        <w:t xml:space="preserve">; el proyecto contempla la ejecución de trabajos de repotenciación de varias </w:t>
      </w:r>
      <w:r w:rsidR="006117DA" w:rsidRPr="008E2F1B">
        <w:rPr>
          <w:rFonts w:ascii="Arial" w:hAnsi="Arial" w:cs="Arial"/>
          <w:sz w:val="22"/>
          <w:szCs w:val="22"/>
          <w:lang w:val="es-ES"/>
        </w:rPr>
        <w:t xml:space="preserve">subestaciones </w:t>
      </w:r>
      <w:r w:rsidR="004D4573" w:rsidRPr="008E2F1B">
        <w:rPr>
          <w:rFonts w:ascii="Arial" w:hAnsi="Arial" w:cs="Arial"/>
          <w:sz w:val="22"/>
          <w:szCs w:val="22"/>
          <w:lang w:val="es-ES"/>
        </w:rPr>
        <w:t>de t</w:t>
      </w:r>
      <w:r w:rsidR="0079066E" w:rsidRPr="008E2F1B">
        <w:rPr>
          <w:rFonts w:ascii="Arial" w:hAnsi="Arial" w:cs="Arial"/>
          <w:sz w:val="22"/>
          <w:szCs w:val="22"/>
          <w:lang w:val="es-ES"/>
        </w:rPr>
        <w:t>ransmisión dentro de la provincia de Manabí, entre las que se destacan, para fines de esta evaluación, las siguientes</w:t>
      </w:r>
      <w:r w:rsidR="006117DA" w:rsidRPr="008E2F1B">
        <w:rPr>
          <w:rFonts w:ascii="Arial" w:hAnsi="Arial" w:cs="Arial"/>
          <w:sz w:val="22"/>
          <w:szCs w:val="22"/>
          <w:lang w:val="es-ES"/>
        </w:rPr>
        <w:t xml:space="preserve"> subestaciones</w:t>
      </w:r>
      <w:r w:rsidR="0079066E" w:rsidRPr="008E2F1B">
        <w:rPr>
          <w:rFonts w:ascii="Arial" w:hAnsi="Arial" w:cs="Arial"/>
          <w:sz w:val="22"/>
          <w:szCs w:val="22"/>
          <w:lang w:val="es-ES"/>
        </w:rPr>
        <w:t xml:space="preserve">: Pedernales, Jama, Bahía, San Vicente, Tosagua, Calceta, </w:t>
      </w:r>
      <w:r w:rsidR="006117DA" w:rsidRPr="008E2F1B">
        <w:rPr>
          <w:rFonts w:ascii="Arial" w:hAnsi="Arial" w:cs="Arial"/>
          <w:sz w:val="22"/>
          <w:szCs w:val="22"/>
          <w:lang w:val="es-ES"/>
        </w:rPr>
        <w:t>R</w:t>
      </w:r>
      <w:r w:rsidR="0079066E" w:rsidRPr="008E2F1B">
        <w:rPr>
          <w:rFonts w:ascii="Arial" w:hAnsi="Arial" w:cs="Arial"/>
          <w:sz w:val="22"/>
          <w:szCs w:val="22"/>
          <w:lang w:val="es-ES"/>
        </w:rPr>
        <w:t>ocafuerte, Portoviejo, y Playa Prieta, que fueron parte de la infraestructura afectada por el sismo y sus réplicas,  que han causado grave daño a la infraestructura de éstas, por lo que requieren de su modernización con infraestructura moderna y resiliente, que soporte este tipo de desastres en el futuro. Todas las subestaciones se encuentran ocupando terrenos de propiedad de la CNEL EP Manabí, muchas de ellas en zonas urbanas con alto grado de intervención antrópica.</w:t>
      </w:r>
    </w:p>
    <w:p w:rsidR="006117DA" w:rsidRPr="008E2F1B" w:rsidRDefault="006117DA" w:rsidP="006117DA">
      <w:pPr>
        <w:widowControl w:val="0"/>
        <w:spacing w:after="120"/>
        <w:jc w:val="center"/>
        <w:rPr>
          <w:rFonts w:ascii="Arial" w:hAnsi="Arial" w:cs="Arial"/>
          <w:b/>
          <w:sz w:val="20"/>
          <w:szCs w:val="20"/>
          <w:lang w:val="es-ES"/>
        </w:rPr>
      </w:pPr>
    </w:p>
    <w:p w:rsidR="00455AB4" w:rsidRPr="008E2F1B" w:rsidRDefault="00455AB4" w:rsidP="006117DA">
      <w:pPr>
        <w:widowControl w:val="0"/>
        <w:spacing w:after="120"/>
        <w:jc w:val="center"/>
        <w:rPr>
          <w:rFonts w:ascii="Arial" w:hAnsi="Arial" w:cs="Arial"/>
          <w:b/>
          <w:sz w:val="20"/>
          <w:szCs w:val="20"/>
          <w:lang w:val="es-ES"/>
        </w:rPr>
      </w:pPr>
      <w:r w:rsidRPr="008E2F1B">
        <w:rPr>
          <w:rFonts w:ascii="Arial" w:hAnsi="Arial" w:cs="Arial"/>
          <w:b/>
          <w:sz w:val="20"/>
          <w:szCs w:val="20"/>
          <w:lang w:val="es-ES"/>
        </w:rPr>
        <w:t>Figura 03. Localización de las Subestaciones en la provincia de Manabí</w:t>
      </w:r>
    </w:p>
    <w:p w:rsidR="0079066E" w:rsidRPr="008E2F1B" w:rsidRDefault="0079066E" w:rsidP="006117DA">
      <w:pPr>
        <w:widowControl w:val="0"/>
        <w:numPr>
          <w:ilvl w:val="0"/>
          <w:numId w:val="22"/>
        </w:numPr>
        <w:spacing w:after="120"/>
        <w:jc w:val="both"/>
        <w:rPr>
          <w:rFonts w:ascii="Arial" w:hAnsi="Arial" w:cs="Arial"/>
          <w:sz w:val="22"/>
          <w:szCs w:val="22"/>
          <w:lang w:val="es-ES"/>
        </w:rPr>
      </w:pPr>
      <w:r w:rsidRPr="008E2F1B">
        <w:rPr>
          <w:rFonts w:ascii="Arial" w:hAnsi="Arial" w:cs="Arial"/>
          <w:sz w:val="22"/>
          <w:szCs w:val="22"/>
          <w:lang w:val="es-ES"/>
        </w:rPr>
        <w:t xml:space="preserve">La repotenciación de las </w:t>
      </w:r>
      <w:r w:rsidR="006117DA" w:rsidRPr="008E2F1B">
        <w:rPr>
          <w:rFonts w:ascii="Arial" w:hAnsi="Arial" w:cs="Arial"/>
          <w:sz w:val="22"/>
          <w:szCs w:val="22"/>
          <w:lang w:val="es-ES"/>
        </w:rPr>
        <w:t xml:space="preserve">subestaciones </w:t>
      </w:r>
      <w:r w:rsidRPr="008E2F1B">
        <w:rPr>
          <w:rFonts w:ascii="Arial" w:hAnsi="Arial" w:cs="Arial"/>
          <w:sz w:val="22"/>
          <w:szCs w:val="22"/>
          <w:lang w:val="es-ES"/>
        </w:rPr>
        <w:t>considera en la mayoría de los casos, el mejoramiento de la infraestructura civil acorde a las necesidades de CNEL EP Manabí, la instalación de transformadores de mayor capacidad y mejor tecnología y la instalación de infraestructura para la plataforma tecnológica SCADA, además de la repotenciación de varias líneas de alimentadores de distribución de sus zonas aledañas.</w:t>
      </w:r>
    </w:p>
    <w:p w:rsidR="0079066E" w:rsidRPr="008E2F1B" w:rsidRDefault="0079066E" w:rsidP="008E2F1B">
      <w:pPr>
        <w:widowControl w:val="0"/>
        <w:spacing w:after="120"/>
        <w:ind w:left="360"/>
        <w:jc w:val="both"/>
        <w:rPr>
          <w:rFonts w:ascii="Arial" w:hAnsi="Arial" w:cs="Arial"/>
          <w:sz w:val="22"/>
          <w:szCs w:val="22"/>
          <w:lang w:val="es-E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4056"/>
      </w:tblGrid>
      <w:tr w:rsidR="00696351" w:rsidRPr="008E2F1B" w:rsidTr="0067674B">
        <w:tc>
          <w:tcPr>
            <w:tcW w:w="4091" w:type="dxa"/>
            <w:shd w:val="clear" w:color="auto" w:fill="auto"/>
          </w:tcPr>
          <w:p w:rsidR="00696351" w:rsidRPr="008E2F1B" w:rsidRDefault="00921DCC" w:rsidP="006117DA">
            <w:pPr>
              <w:widowControl w:val="0"/>
              <w:tabs>
                <w:tab w:val="left" w:pos="720"/>
              </w:tabs>
              <w:spacing w:before="120" w:after="120"/>
              <w:jc w:val="both"/>
              <w:rPr>
                <w:rFonts w:ascii="Arial" w:eastAsia="Times New Roman" w:hAnsi="Arial" w:cs="Arial"/>
                <w:sz w:val="18"/>
                <w:szCs w:val="18"/>
                <w:lang w:val="es-CO"/>
              </w:rPr>
            </w:pPr>
            <w:r>
              <w:rPr>
                <w:rFonts w:ascii="Arial" w:eastAsia="Times New Roman" w:hAnsi="Arial" w:cs="Arial"/>
                <w:noProof/>
                <w:sz w:val="18"/>
                <w:szCs w:val="18"/>
              </w:rPr>
              <w:lastRenderedPageBreak/>
              <w:drawing>
                <wp:inline distT="0" distB="0" distL="0" distR="0">
                  <wp:extent cx="2392045" cy="1338580"/>
                  <wp:effectExtent l="0" t="0" r="8255"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2045" cy="1338580"/>
                          </a:xfrm>
                          <a:prstGeom prst="rect">
                            <a:avLst/>
                          </a:prstGeom>
                          <a:noFill/>
                          <a:ln>
                            <a:noFill/>
                          </a:ln>
                        </pic:spPr>
                      </pic:pic>
                    </a:graphicData>
                  </a:graphic>
                </wp:inline>
              </w:drawing>
            </w:r>
          </w:p>
          <w:p w:rsidR="00696351" w:rsidRPr="008E2F1B" w:rsidRDefault="00696351" w:rsidP="006117DA">
            <w:pPr>
              <w:widowControl w:val="0"/>
              <w:tabs>
                <w:tab w:val="left" w:pos="720"/>
              </w:tabs>
              <w:spacing w:before="120" w:after="120"/>
              <w:jc w:val="both"/>
              <w:rPr>
                <w:rFonts w:ascii="Arial" w:eastAsia="Times New Roman" w:hAnsi="Arial" w:cs="Arial"/>
                <w:sz w:val="18"/>
                <w:szCs w:val="18"/>
                <w:lang w:val="es-CO"/>
              </w:rPr>
            </w:pPr>
            <w:r w:rsidRPr="008E2F1B">
              <w:rPr>
                <w:rFonts w:ascii="Arial" w:eastAsia="Times New Roman" w:hAnsi="Arial" w:cs="Arial"/>
                <w:sz w:val="18"/>
                <w:szCs w:val="18"/>
                <w:lang w:val="es-CO"/>
              </w:rPr>
              <w:t>Vista del deterioro y afectación del sismo en la S/E Rocafuerte y existencia de estructuras de soporte  obsoletas</w:t>
            </w:r>
          </w:p>
        </w:tc>
        <w:tc>
          <w:tcPr>
            <w:tcW w:w="4056" w:type="dxa"/>
            <w:shd w:val="clear" w:color="auto" w:fill="auto"/>
          </w:tcPr>
          <w:p w:rsidR="00696351" w:rsidRPr="008E2F1B" w:rsidRDefault="00921DCC" w:rsidP="006117DA">
            <w:pPr>
              <w:widowControl w:val="0"/>
              <w:tabs>
                <w:tab w:val="left" w:pos="720"/>
              </w:tabs>
              <w:spacing w:before="120" w:after="120"/>
              <w:jc w:val="both"/>
              <w:rPr>
                <w:rFonts w:ascii="Arial" w:eastAsia="Times New Roman" w:hAnsi="Arial" w:cs="Arial"/>
                <w:sz w:val="18"/>
                <w:szCs w:val="18"/>
                <w:lang w:val="es-CO"/>
              </w:rPr>
            </w:pPr>
            <w:r>
              <w:rPr>
                <w:rFonts w:ascii="Arial" w:eastAsia="Times New Roman" w:hAnsi="Arial" w:cs="Arial"/>
                <w:noProof/>
                <w:sz w:val="18"/>
                <w:szCs w:val="18"/>
              </w:rPr>
              <w:drawing>
                <wp:inline distT="0" distB="0" distL="0" distR="0">
                  <wp:extent cx="2377440" cy="1331595"/>
                  <wp:effectExtent l="0" t="0" r="3810" b="1905"/>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331595"/>
                          </a:xfrm>
                          <a:prstGeom prst="rect">
                            <a:avLst/>
                          </a:prstGeom>
                          <a:noFill/>
                          <a:ln>
                            <a:noFill/>
                          </a:ln>
                        </pic:spPr>
                      </pic:pic>
                    </a:graphicData>
                  </a:graphic>
                </wp:inline>
              </w:drawing>
            </w:r>
          </w:p>
          <w:p w:rsidR="00696351" w:rsidRPr="008E2F1B" w:rsidRDefault="00696351" w:rsidP="006117DA">
            <w:pPr>
              <w:widowControl w:val="0"/>
              <w:tabs>
                <w:tab w:val="left" w:pos="720"/>
              </w:tabs>
              <w:spacing w:before="120" w:after="120"/>
              <w:jc w:val="both"/>
              <w:rPr>
                <w:rFonts w:ascii="Arial" w:eastAsia="Times New Roman" w:hAnsi="Arial" w:cs="Arial"/>
                <w:sz w:val="18"/>
                <w:szCs w:val="18"/>
                <w:lang w:val="es-CO"/>
              </w:rPr>
            </w:pPr>
            <w:r w:rsidRPr="008E2F1B">
              <w:rPr>
                <w:rFonts w:ascii="Arial" w:eastAsia="Times New Roman" w:hAnsi="Arial" w:cs="Arial"/>
                <w:sz w:val="18"/>
                <w:szCs w:val="18"/>
                <w:lang w:val="es-CO"/>
              </w:rPr>
              <w:t>Instalación emergente móvil operando hasta reforzamiento definitivo en la S/E Bahía</w:t>
            </w:r>
          </w:p>
        </w:tc>
      </w:tr>
    </w:tbl>
    <w:p w:rsidR="0079066E" w:rsidRPr="008E2F1B" w:rsidRDefault="0079066E" w:rsidP="006117DA">
      <w:pPr>
        <w:widowControl w:val="0"/>
        <w:numPr>
          <w:ilvl w:val="0"/>
          <w:numId w:val="22"/>
        </w:numPr>
        <w:spacing w:before="120" w:after="120"/>
        <w:jc w:val="both"/>
        <w:rPr>
          <w:rFonts w:ascii="Arial" w:hAnsi="Arial" w:cs="Arial"/>
          <w:sz w:val="22"/>
          <w:szCs w:val="22"/>
          <w:lang w:val="es-ES"/>
        </w:rPr>
      </w:pPr>
      <w:r w:rsidRPr="008E2F1B">
        <w:rPr>
          <w:rFonts w:ascii="Arial" w:hAnsi="Arial" w:cs="Arial"/>
          <w:b/>
          <w:sz w:val="22"/>
          <w:szCs w:val="22"/>
          <w:u w:val="single"/>
          <w:lang w:val="es-ES"/>
        </w:rPr>
        <w:t>Reforzamiento subsistema a 69 kV Sesme - Flavio Alfaro</w:t>
      </w:r>
      <w:r w:rsidR="00696351" w:rsidRPr="008E2F1B">
        <w:rPr>
          <w:rFonts w:ascii="Arial" w:hAnsi="Arial" w:cs="Arial"/>
          <w:b/>
          <w:sz w:val="22"/>
          <w:szCs w:val="22"/>
          <w:u w:val="single"/>
          <w:lang w:val="es-ES"/>
        </w:rPr>
        <w:t>.</w:t>
      </w:r>
      <w:r w:rsidR="00696351" w:rsidRPr="008E2F1B">
        <w:rPr>
          <w:rFonts w:ascii="Arial" w:hAnsi="Arial" w:cs="Arial"/>
          <w:sz w:val="22"/>
          <w:szCs w:val="22"/>
          <w:lang w:val="es-ES"/>
        </w:rPr>
        <w:t xml:space="preserve"> E</w:t>
      </w:r>
      <w:r w:rsidRPr="008E2F1B">
        <w:rPr>
          <w:rFonts w:ascii="Arial" w:hAnsi="Arial" w:cs="Arial"/>
          <w:sz w:val="22"/>
          <w:szCs w:val="22"/>
          <w:lang w:val="es-ES"/>
        </w:rPr>
        <w:t>l proyecto considera la construcción de la S</w:t>
      </w:r>
      <w:r w:rsidR="007A13C4" w:rsidRPr="008E2F1B">
        <w:rPr>
          <w:rFonts w:ascii="Arial" w:hAnsi="Arial" w:cs="Arial"/>
          <w:sz w:val="22"/>
          <w:szCs w:val="22"/>
          <w:lang w:val="es-ES"/>
        </w:rPr>
        <w:t>ubestación F</w:t>
      </w:r>
      <w:r w:rsidRPr="008E2F1B">
        <w:rPr>
          <w:rFonts w:ascii="Arial" w:hAnsi="Arial" w:cs="Arial"/>
          <w:sz w:val="22"/>
          <w:szCs w:val="22"/>
          <w:lang w:val="es-ES"/>
        </w:rPr>
        <w:t xml:space="preserve">lavio Alfaro para reforzamiento del sistema eléctrico y mejora de la confiabilidad de la zona norte de Manabí y de esta manera disminuir las pérdidas técnicas del alimentador Flavio Alfaro, además de mejorar la calidad de servicio eléctrico a los habitantes del sector. Este proyecto incluye </w:t>
      </w:r>
      <w:r w:rsidR="007A13C4" w:rsidRPr="008E2F1B">
        <w:rPr>
          <w:rFonts w:ascii="Arial" w:hAnsi="Arial" w:cs="Arial"/>
          <w:sz w:val="22"/>
          <w:szCs w:val="22"/>
          <w:lang w:val="es-ES"/>
        </w:rPr>
        <w:t xml:space="preserve">también </w:t>
      </w:r>
      <w:r w:rsidRPr="008E2F1B">
        <w:rPr>
          <w:rFonts w:ascii="Arial" w:hAnsi="Arial" w:cs="Arial"/>
          <w:sz w:val="22"/>
          <w:szCs w:val="22"/>
          <w:lang w:val="es-ES"/>
        </w:rPr>
        <w:t xml:space="preserve">la construcción de la </w:t>
      </w:r>
      <w:r w:rsidR="007A13C4" w:rsidRPr="008E2F1B">
        <w:rPr>
          <w:rFonts w:ascii="Arial" w:hAnsi="Arial" w:cs="Arial"/>
          <w:sz w:val="22"/>
          <w:szCs w:val="22"/>
          <w:lang w:val="es-ES"/>
        </w:rPr>
        <w:t>línea de subtranmisión</w:t>
      </w:r>
      <w:r w:rsidRPr="008E2F1B">
        <w:rPr>
          <w:rFonts w:ascii="Arial" w:hAnsi="Arial" w:cs="Arial"/>
          <w:sz w:val="22"/>
          <w:szCs w:val="22"/>
          <w:lang w:val="es-ES"/>
        </w:rPr>
        <w:t xml:space="preserve"> Sesme – Flavio Alfaro.</w:t>
      </w:r>
    </w:p>
    <w:p w:rsidR="0079066E" w:rsidRPr="008E2F1B" w:rsidRDefault="0079066E" w:rsidP="00635C8A">
      <w:pPr>
        <w:keepLines/>
        <w:widowControl w:val="0"/>
        <w:numPr>
          <w:ilvl w:val="0"/>
          <w:numId w:val="22"/>
        </w:numPr>
        <w:spacing w:after="120"/>
        <w:jc w:val="both"/>
        <w:rPr>
          <w:rFonts w:ascii="Arial" w:hAnsi="Arial" w:cs="Arial"/>
          <w:sz w:val="22"/>
          <w:szCs w:val="22"/>
          <w:lang w:val="es-ES"/>
        </w:rPr>
      </w:pPr>
      <w:r w:rsidRPr="008E2F1B">
        <w:rPr>
          <w:rFonts w:ascii="Arial" w:hAnsi="Arial" w:cs="Arial"/>
          <w:sz w:val="22"/>
          <w:szCs w:val="22"/>
          <w:lang w:val="es-ES"/>
        </w:rPr>
        <w:t xml:space="preserve">El área de intervención de esta línea y subestaciones, es un área con fuerte vocación agrícola de la provincia de Manabí y corresponde a una zona montañosa de la costa ecuatoriana. La línea de subtransmisión seguirá en la mayoría de la ruta la carretera de conexión existente entre las poblaciones de Sesme y Flavio Alfaro en un tramo de aproximadamente de 20 km y siguiendo de manera paralela a la </w:t>
      </w:r>
      <w:r w:rsidR="007A13C4" w:rsidRPr="008E2F1B">
        <w:rPr>
          <w:rFonts w:ascii="Arial" w:hAnsi="Arial" w:cs="Arial"/>
          <w:sz w:val="22"/>
          <w:szCs w:val="22"/>
          <w:lang w:val="es-ES"/>
        </w:rPr>
        <w:t xml:space="preserve">línea de transmisión </w:t>
      </w:r>
      <w:r w:rsidRPr="008E2F1B">
        <w:rPr>
          <w:rFonts w:ascii="Arial" w:hAnsi="Arial" w:cs="Arial"/>
          <w:sz w:val="22"/>
          <w:szCs w:val="22"/>
          <w:lang w:val="es-ES"/>
        </w:rPr>
        <w:t xml:space="preserve">Chone </w:t>
      </w:r>
      <w:r w:rsidR="007A13C4" w:rsidRPr="008E2F1B">
        <w:rPr>
          <w:rFonts w:ascii="Arial" w:hAnsi="Arial" w:cs="Arial"/>
          <w:sz w:val="22"/>
          <w:szCs w:val="22"/>
          <w:lang w:val="es-ES"/>
        </w:rPr>
        <w:t xml:space="preserve">- </w:t>
      </w:r>
      <w:r w:rsidRPr="008E2F1B">
        <w:rPr>
          <w:rFonts w:ascii="Arial" w:hAnsi="Arial" w:cs="Arial"/>
          <w:sz w:val="22"/>
          <w:szCs w:val="22"/>
          <w:lang w:val="es-ES"/>
        </w:rPr>
        <w:t>Santo Domingo; lo que implica que el área de influencia del proyecto, es un área de alto grado de intervención y no implica expropiaciones ni desplazamientos en su trayecto.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4099"/>
      </w:tblGrid>
      <w:tr w:rsidR="0079066E" w:rsidRPr="008E2F1B" w:rsidTr="009120CA">
        <w:tc>
          <w:tcPr>
            <w:tcW w:w="4037" w:type="dxa"/>
            <w:shd w:val="clear" w:color="auto" w:fill="auto"/>
          </w:tcPr>
          <w:p w:rsidR="0079066E" w:rsidRPr="008E2F1B" w:rsidRDefault="00921DCC" w:rsidP="00635C8A">
            <w:pPr>
              <w:pStyle w:val="Paragraph"/>
              <w:tabs>
                <w:tab w:val="left" w:pos="720"/>
              </w:tabs>
              <w:ind w:left="0" w:firstLine="0"/>
              <w:jc w:val="center"/>
              <w:outlineLvl w:val="9"/>
              <w:rPr>
                <w:rFonts w:ascii="Arial" w:hAnsi="Arial" w:cs="Arial"/>
                <w:sz w:val="18"/>
                <w:szCs w:val="18"/>
              </w:rPr>
            </w:pPr>
            <w:r>
              <w:rPr>
                <w:rFonts w:ascii="Arial" w:hAnsi="Arial" w:cs="Arial"/>
                <w:noProof/>
                <w:sz w:val="18"/>
                <w:szCs w:val="18"/>
                <w:lang w:val="en-US"/>
              </w:rPr>
              <w:drawing>
                <wp:inline distT="0" distB="0" distL="0" distR="0">
                  <wp:extent cx="2355215" cy="1331595"/>
                  <wp:effectExtent l="0" t="0" r="6985" b="190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5215" cy="1331595"/>
                          </a:xfrm>
                          <a:prstGeom prst="rect">
                            <a:avLst/>
                          </a:prstGeom>
                          <a:noFill/>
                          <a:ln>
                            <a:noFill/>
                          </a:ln>
                        </pic:spPr>
                      </pic:pic>
                    </a:graphicData>
                  </a:graphic>
                </wp:inline>
              </w:drawing>
            </w:r>
          </w:p>
          <w:p w:rsidR="0079066E" w:rsidRPr="008E2F1B" w:rsidRDefault="0079066E" w:rsidP="00635C8A">
            <w:pPr>
              <w:pStyle w:val="Paragraph"/>
              <w:tabs>
                <w:tab w:val="left" w:pos="720"/>
              </w:tabs>
              <w:ind w:left="0" w:firstLine="0"/>
              <w:outlineLvl w:val="9"/>
              <w:rPr>
                <w:rFonts w:ascii="Arial" w:hAnsi="Arial" w:cs="Arial"/>
                <w:sz w:val="18"/>
                <w:szCs w:val="18"/>
              </w:rPr>
            </w:pPr>
            <w:r w:rsidRPr="008E2F1B">
              <w:rPr>
                <w:rFonts w:ascii="Arial" w:hAnsi="Arial" w:cs="Arial"/>
                <w:sz w:val="18"/>
                <w:szCs w:val="18"/>
              </w:rPr>
              <w:t>Vista de una zona agrícola por donde pasa la L/ST. (Tomado del EsIA).</w:t>
            </w:r>
          </w:p>
        </w:tc>
        <w:tc>
          <w:tcPr>
            <w:tcW w:w="4099" w:type="dxa"/>
            <w:shd w:val="clear" w:color="auto" w:fill="auto"/>
          </w:tcPr>
          <w:p w:rsidR="0079066E" w:rsidRPr="008E2F1B" w:rsidRDefault="00921DCC" w:rsidP="00635C8A">
            <w:pPr>
              <w:pStyle w:val="Paragraph"/>
              <w:tabs>
                <w:tab w:val="left" w:pos="720"/>
              </w:tabs>
              <w:ind w:left="0" w:firstLine="0"/>
              <w:jc w:val="center"/>
              <w:outlineLvl w:val="9"/>
              <w:rPr>
                <w:rFonts w:ascii="Arial" w:hAnsi="Arial" w:cs="Arial"/>
                <w:sz w:val="18"/>
                <w:szCs w:val="18"/>
              </w:rPr>
            </w:pPr>
            <w:r>
              <w:rPr>
                <w:rFonts w:ascii="Arial" w:hAnsi="Arial" w:cs="Arial"/>
                <w:noProof/>
                <w:sz w:val="18"/>
                <w:szCs w:val="18"/>
                <w:lang w:val="en-US"/>
              </w:rPr>
              <w:drawing>
                <wp:inline distT="0" distB="0" distL="0" distR="0">
                  <wp:extent cx="2435860" cy="1331595"/>
                  <wp:effectExtent l="0" t="0" r="2540" b="1905"/>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5860" cy="1331595"/>
                          </a:xfrm>
                          <a:prstGeom prst="rect">
                            <a:avLst/>
                          </a:prstGeom>
                          <a:noFill/>
                          <a:ln>
                            <a:noFill/>
                          </a:ln>
                        </pic:spPr>
                      </pic:pic>
                    </a:graphicData>
                  </a:graphic>
                </wp:inline>
              </w:drawing>
            </w:r>
          </w:p>
          <w:p w:rsidR="0079066E" w:rsidRPr="008E2F1B" w:rsidRDefault="0079066E" w:rsidP="00635C8A">
            <w:pPr>
              <w:pStyle w:val="Paragraph"/>
              <w:tabs>
                <w:tab w:val="left" w:pos="720"/>
              </w:tabs>
              <w:ind w:left="0" w:firstLine="0"/>
              <w:outlineLvl w:val="9"/>
              <w:rPr>
                <w:rFonts w:ascii="Arial" w:hAnsi="Arial" w:cs="Arial"/>
                <w:sz w:val="18"/>
                <w:szCs w:val="18"/>
              </w:rPr>
            </w:pPr>
            <w:r w:rsidRPr="008E2F1B">
              <w:rPr>
                <w:rFonts w:ascii="Arial" w:hAnsi="Arial" w:cs="Arial"/>
                <w:sz w:val="18"/>
                <w:szCs w:val="18"/>
              </w:rPr>
              <w:t>Vista del área a las afueras de la S/E Sesme. (Tomado del EsIA).</w:t>
            </w:r>
          </w:p>
        </w:tc>
      </w:tr>
    </w:tbl>
    <w:p w:rsidR="00FD4C3C" w:rsidRPr="008E2F1B" w:rsidRDefault="00084DD8" w:rsidP="00FC5002">
      <w:pPr>
        <w:pStyle w:val="Heading1"/>
        <w:rPr>
          <w:rFonts w:ascii="Arial" w:hAnsi="Arial" w:cs="Arial"/>
          <w:lang w:val="es-ES"/>
        </w:rPr>
      </w:pPr>
      <w:bookmarkStart w:id="16" w:name="_Toc422409158"/>
      <w:bookmarkStart w:id="17" w:name="_Toc422409215"/>
      <w:bookmarkStart w:id="18" w:name="_Toc463535784"/>
      <w:r w:rsidRPr="008E2F1B">
        <w:rPr>
          <w:rFonts w:ascii="Arial" w:hAnsi="Arial" w:cs="Arial"/>
          <w:lang w:val="es-ES"/>
        </w:rPr>
        <w:t>C</w:t>
      </w:r>
      <w:r w:rsidR="00B2397E" w:rsidRPr="008E2F1B">
        <w:rPr>
          <w:rFonts w:ascii="Arial" w:hAnsi="Arial" w:cs="Arial"/>
          <w:lang w:val="es-ES"/>
        </w:rPr>
        <w:t>umplimiento con los Requisitos y Estándares</w:t>
      </w:r>
      <w:bookmarkEnd w:id="16"/>
      <w:bookmarkEnd w:id="17"/>
      <w:bookmarkEnd w:id="18"/>
    </w:p>
    <w:p w:rsidR="00FD4C3C" w:rsidRPr="008E2F1B" w:rsidRDefault="00084DD8" w:rsidP="008C554F">
      <w:pPr>
        <w:pStyle w:val="Heading2"/>
        <w:numPr>
          <w:ilvl w:val="0"/>
          <w:numId w:val="9"/>
        </w:numPr>
        <w:ind w:hanging="720"/>
        <w:rPr>
          <w:rFonts w:ascii="Arial" w:hAnsi="Arial" w:cs="Arial"/>
          <w:lang w:val="es-ES"/>
        </w:rPr>
      </w:pPr>
      <w:bookmarkStart w:id="19" w:name="_Toc463535785"/>
      <w:r w:rsidRPr="008E2F1B">
        <w:rPr>
          <w:rFonts w:ascii="Arial" w:hAnsi="Arial" w:cs="Arial"/>
          <w:lang w:val="es-ES"/>
        </w:rPr>
        <w:t>Proceso de Evaluación Ambiental y Social</w:t>
      </w:r>
      <w:bookmarkEnd w:id="19"/>
      <w:r w:rsidRPr="008E2F1B">
        <w:rPr>
          <w:rFonts w:ascii="Arial" w:hAnsi="Arial" w:cs="Arial"/>
          <w:lang w:val="es-ES"/>
        </w:rPr>
        <w:t xml:space="preserve"> </w:t>
      </w:r>
      <w:r w:rsidRPr="008E2F1B">
        <w:rPr>
          <w:rFonts w:ascii="Arial" w:hAnsi="Arial" w:cs="Arial"/>
          <w:lang w:val="es-ES"/>
        </w:rPr>
        <w:tab/>
      </w:r>
    </w:p>
    <w:p w:rsidR="006D7D7E" w:rsidRPr="008E2F1B" w:rsidRDefault="006D7D7E" w:rsidP="006D7D7E">
      <w:pPr>
        <w:numPr>
          <w:ilvl w:val="1"/>
          <w:numId w:val="3"/>
        </w:numPr>
        <w:spacing w:after="120"/>
        <w:ind w:left="720"/>
        <w:jc w:val="both"/>
        <w:rPr>
          <w:rFonts w:ascii="Arial" w:hAnsi="Arial" w:cs="Arial"/>
          <w:sz w:val="22"/>
          <w:szCs w:val="22"/>
          <w:lang w:val="es-ES"/>
        </w:rPr>
      </w:pPr>
      <w:r w:rsidRPr="008E2F1B">
        <w:rPr>
          <w:rFonts w:ascii="Arial" w:hAnsi="Arial" w:cs="Arial"/>
          <w:sz w:val="22"/>
          <w:szCs w:val="22"/>
          <w:lang w:val="es-ES"/>
        </w:rPr>
        <w:t xml:space="preserve">El Ministerio del Ambiente del Ecuador (MAE) ejerce las funciones del proceso de licenciamiento ambiental, exclusivo para todos los proyectos eléctricos de generación, transmisión, subtransmisión o distribución en el país, independientemente de que intersequen o no con el Sistema Nacional de Áreas </w:t>
      </w:r>
      <w:r w:rsidRPr="008E2F1B">
        <w:rPr>
          <w:rFonts w:ascii="Arial" w:hAnsi="Arial" w:cs="Arial"/>
          <w:sz w:val="22"/>
          <w:szCs w:val="22"/>
          <w:lang w:val="es-ES"/>
        </w:rPr>
        <w:lastRenderedPageBreak/>
        <w:t xml:space="preserve">Naturales Protegidas (SNAP) a partir de julio de 2015. Estas funciones las realiza a través de las Direcciones Nacionales de i) Prevención de la Contaminación Ambiental, y ii) de Control Ambiental respectivamente, las cuales han desconcentrado sus actividades en 24 Direcciones Provinciales, las que, entre otras funciones, se encargan de: i) procesar todas las solicitudes de licenciamiento ambiental de proyectos; ii) hacer el seguimiento al cumplimiento de los planes de manejo ambiental aprobados de los proyectos que cuentan con licencia ambiental en el marco del régimen de auditorías ambientales; iii) sancionar a los responsables de aquellos proyectos que no hayan cumplido con el debido proceso de licenciamiento ambiental previo o que no hayan cumplido con la aplicación de lo señalado en sus planes de manejo ambiental. </w:t>
      </w:r>
    </w:p>
    <w:p w:rsidR="000E133D" w:rsidRPr="008E2F1B" w:rsidRDefault="000E133D" w:rsidP="000E133D">
      <w:pPr>
        <w:numPr>
          <w:ilvl w:val="1"/>
          <w:numId w:val="3"/>
        </w:numPr>
        <w:spacing w:after="120"/>
        <w:ind w:left="720"/>
        <w:jc w:val="both"/>
        <w:rPr>
          <w:rFonts w:ascii="Arial" w:hAnsi="Arial" w:cs="Arial"/>
          <w:sz w:val="22"/>
          <w:szCs w:val="22"/>
          <w:lang w:val="es-ES"/>
        </w:rPr>
      </w:pPr>
      <w:r w:rsidRPr="008E2F1B">
        <w:rPr>
          <w:rFonts w:ascii="Arial" w:hAnsi="Arial" w:cs="Arial"/>
          <w:sz w:val="22"/>
          <w:szCs w:val="22"/>
          <w:lang w:val="es-ES"/>
        </w:rPr>
        <w:t>De forma particular, para el sector eléctrico, la Ley Orgánica del Sector establece de manera concreta que previamente a la ejecución de la obra, los proyectos de generación, transmisión y distribución de energía eléctrica deberán cumplir con las políticas, normativa y procedimientos aplicables, según la categorización establecida por la Autoridad Ambiental Nacional, para la prevención, control, mitigación, reparación y seguimiento de impactos ambientales en las etapas de construcción, operación y retiro. Dichos estudios deberán incluir planes de mitigación o recuperación de las áreas afectadas y el análisis de costos correspondientes.</w:t>
      </w:r>
    </w:p>
    <w:p w:rsidR="000E133D" w:rsidRPr="008E2F1B" w:rsidRDefault="00C8366A" w:rsidP="00C8366A">
      <w:pPr>
        <w:numPr>
          <w:ilvl w:val="1"/>
          <w:numId w:val="3"/>
        </w:numPr>
        <w:spacing w:after="120"/>
        <w:ind w:left="720"/>
        <w:jc w:val="both"/>
        <w:rPr>
          <w:rFonts w:ascii="Arial" w:hAnsi="Arial" w:cs="Arial"/>
          <w:sz w:val="22"/>
          <w:szCs w:val="22"/>
          <w:lang w:val="es-ES"/>
        </w:rPr>
      </w:pPr>
      <w:r w:rsidRPr="008E2F1B">
        <w:rPr>
          <w:rFonts w:ascii="Arial" w:hAnsi="Arial" w:cs="Arial"/>
          <w:sz w:val="22"/>
          <w:szCs w:val="22"/>
          <w:lang w:val="es-ES"/>
        </w:rPr>
        <w:t>El Acuerdo Ministerial No. 061 del Ministerio del Ambiente establece  la necesidad de clasificar las obras públicas, privadas o mixtas y los proyectos de inversión públicos en tres categorías, en función del tipo de impactos que pueden generar en el ambiente: i) Categoría I que otorga un Certificado Ambiental, que congrega a todos los proyectos cuyos impactos o riesgos ambientales son considerados no significativos; ii) Categoría II que otorga un Registro Ambiental, que aglutina a los proyectos cuyos impactos o riesgos ambientales son considerados bajos y medios; iii) Categoría III que otorga una Licencia Ambiental, que agrupa a proyectos cuyos impactos o riesgos ambientales son considerados altos.</w:t>
      </w:r>
    </w:p>
    <w:p w:rsidR="008C290D" w:rsidRPr="008E2F1B" w:rsidRDefault="008C290D" w:rsidP="00C8366A">
      <w:pPr>
        <w:numPr>
          <w:ilvl w:val="1"/>
          <w:numId w:val="3"/>
        </w:numPr>
        <w:spacing w:after="120"/>
        <w:ind w:left="720"/>
        <w:jc w:val="both"/>
        <w:rPr>
          <w:rFonts w:ascii="Arial" w:hAnsi="Arial" w:cs="Arial"/>
          <w:sz w:val="22"/>
          <w:szCs w:val="22"/>
          <w:lang w:val="es-ES"/>
        </w:rPr>
      </w:pPr>
      <w:r w:rsidRPr="008E2F1B">
        <w:rPr>
          <w:rFonts w:ascii="Arial" w:hAnsi="Arial" w:cs="Arial"/>
          <w:sz w:val="22"/>
          <w:szCs w:val="22"/>
          <w:lang w:val="es-ES"/>
        </w:rPr>
        <w:t xml:space="preserve">Todas las estaciones de subtransmisión de la muestra se han sometido oportunamente al proceso de regularización ambiental ante la autoridad ambiental nacional. Para este tipo de emprendimientos, la legislación ambiental ecuatoriana demanda de la obtención del Registro Ambiental y la preparación de un plan de manejo ambiental básico.  </w:t>
      </w:r>
    </w:p>
    <w:p w:rsidR="002071FE" w:rsidRPr="004223D9" w:rsidRDefault="002E5E6C" w:rsidP="002E5E6C">
      <w:pPr>
        <w:numPr>
          <w:ilvl w:val="1"/>
          <w:numId w:val="3"/>
        </w:numPr>
        <w:spacing w:after="120"/>
        <w:ind w:left="720"/>
        <w:jc w:val="both"/>
        <w:rPr>
          <w:rFonts w:ascii="Arial" w:hAnsi="Arial" w:cs="Arial"/>
          <w:sz w:val="22"/>
          <w:szCs w:val="22"/>
          <w:lang w:val="es-ES"/>
        </w:rPr>
      </w:pPr>
      <w:r w:rsidRPr="004223D9">
        <w:rPr>
          <w:rFonts w:ascii="Arial" w:hAnsi="Arial" w:cs="Arial"/>
          <w:sz w:val="22"/>
          <w:szCs w:val="22"/>
          <w:lang w:val="es-ES"/>
        </w:rPr>
        <w:t>Específicamente, para el caso de la muestra del Programa, se cuenta hasta el momento con la siguiente información:</w:t>
      </w:r>
    </w:p>
    <w:p w:rsidR="002E5E6C" w:rsidRPr="004223D9" w:rsidRDefault="002E5E6C" w:rsidP="00635C8A">
      <w:pPr>
        <w:rPr>
          <w:rFonts w:eastAsia="Times New Roman"/>
          <w:sz w:val="22"/>
          <w:szCs w:val="22"/>
          <w:lang w:val="es-CO"/>
        </w:rPr>
      </w:pPr>
    </w:p>
    <w:tbl>
      <w:tblPr>
        <w:tblW w:w="878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12"/>
        <w:gridCol w:w="2340"/>
        <w:gridCol w:w="4932"/>
      </w:tblGrid>
      <w:tr w:rsidR="002071FE" w:rsidRPr="004223D9" w:rsidTr="0067674B">
        <w:trPr>
          <w:trHeight w:val="557"/>
          <w:tblHeader/>
          <w:jc w:val="center"/>
        </w:trPr>
        <w:tc>
          <w:tcPr>
            <w:tcW w:w="1512" w:type="dxa"/>
            <w:shd w:val="clear" w:color="auto" w:fill="D9D9D9"/>
            <w:vAlign w:val="center"/>
            <w:hideMark/>
          </w:tcPr>
          <w:p w:rsidR="002071FE" w:rsidRPr="004223D9" w:rsidRDefault="002071FE" w:rsidP="00635C8A">
            <w:pPr>
              <w:rPr>
                <w:rFonts w:ascii="Arial" w:eastAsia="Times New Roman" w:hAnsi="Arial" w:cs="Arial"/>
                <w:b/>
                <w:sz w:val="20"/>
                <w:szCs w:val="20"/>
                <w:lang w:val="es-ES"/>
              </w:rPr>
            </w:pPr>
            <w:r w:rsidRPr="004223D9">
              <w:rPr>
                <w:rFonts w:ascii="Arial" w:eastAsia="Times New Roman" w:hAnsi="Arial" w:cs="Arial"/>
                <w:b/>
                <w:sz w:val="20"/>
                <w:szCs w:val="20"/>
                <w:lang w:val="es-ES"/>
              </w:rPr>
              <w:t>Provincia</w:t>
            </w:r>
          </w:p>
        </w:tc>
        <w:tc>
          <w:tcPr>
            <w:tcW w:w="2340" w:type="dxa"/>
            <w:shd w:val="clear" w:color="auto" w:fill="D9D9D9"/>
            <w:vAlign w:val="center"/>
            <w:hideMark/>
          </w:tcPr>
          <w:p w:rsidR="002071FE" w:rsidRPr="004223D9" w:rsidRDefault="002071FE" w:rsidP="00635C8A">
            <w:pPr>
              <w:rPr>
                <w:rFonts w:ascii="Arial" w:eastAsia="Times New Roman" w:hAnsi="Arial" w:cs="Arial"/>
                <w:b/>
                <w:sz w:val="20"/>
                <w:szCs w:val="20"/>
                <w:lang w:val="es-ES"/>
              </w:rPr>
            </w:pPr>
            <w:r w:rsidRPr="004223D9">
              <w:rPr>
                <w:rFonts w:ascii="Arial" w:eastAsia="Times New Roman" w:hAnsi="Arial" w:cs="Arial"/>
                <w:b/>
                <w:sz w:val="20"/>
                <w:szCs w:val="20"/>
                <w:lang w:val="es-ES"/>
              </w:rPr>
              <w:t>N</w:t>
            </w:r>
            <w:r w:rsidR="00DD64B9" w:rsidRPr="004223D9">
              <w:rPr>
                <w:rFonts w:ascii="Arial" w:eastAsia="Times New Roman" w:hAnsi="Arial" w:cs="Arial"/>
                <w:b/>
                <w:sz w:val="20"/>
                <w:szCs w:val="20"/>
                <w:lang w:val="es-ES"/>
              </w:rPr>
              <w:t>ombre de la Muestra</w:t>
            </w:r>
          </w:p>
        </w:tc>
        <w:tc>
          <w:tcPr>
            <w:tcW w:w="4932" w:type="dxa"/>
            <w:shd w:val="clear" w:color="auto" w:fill="D9D9D9"/>
            <w:vAlign w:val="center"/>
            <w:hideMark/>
          </w:tcPr>
          <w:p w:rsidR="002071FE" w:rsidRPr="004223D9" w:rsidRDefault="002071FE" w:rsidP="00635C8A">
            <w:pPr>
              <w:rPr>
                <w:rFonts w:ascii="Arial" w:eastAsia="Times New Roman" w:hAnsi="Arial" w:cs="Arial"/>
                <w:b/>
                <w:sz w:val="20"/>
                <w:szCs w:val="20"/>
                <w:lang w:val="es-ES"/>
              </w:rPr>
            </w:pPr>
            <w:r w:rsidRPr="004223D9">
              <w:rPr>
                <w:rFonts w:ascii="Arial" w:eastAsia="Times New Roman" w:hAnsi="Arial" w:cs="Arial"/>
                <w:b/>
                <w:sz w:val="20"/>
                <w:szCs w:val="20"/>
                <w:lang w:val="es-ES"/>
              </w:rPr>
              <w:t>E</w:t>
            </w:r>
            <w:r w:rsidR="008A72EC" w:rsidRPr="004223D9">
              <w:rPr>
                <w:rFonts w:ascii="Arial" w:eastAsia="Times New Roman" w:hAnsi="Arial" w:cs="Arial"/>
                <w:b/>
                <w:sz w:val="20"/>
                <w:szCs w:val="20"/>
                <w:lang w:val="es-ES"/>
              </w:rPr>
              <w:t>status de Regularización Ambiental</w:t>
            </w:r>
          </w:p>
        </w:tc>
      </w:tr>
      <w:tr w:rsidR="008A72EC" w:rsidRPr="004223D9" w:rsidTr="0067674B">
        <w:trPr>
          <w:trHeight w:val="1547"/>
          <w:jc w:val="center"/>
        </w:trPr>
        <w:tc>
          <w:tcPr>
            <w:tcW w:w="1512" w:type="dxa"/>
            <w:shd w:val="clear" w:color="auto" w:fill="auto"/>
            <w:noWrap/>
            <w:vAlign w:val="center"/>
            <w:hideMark/>
          </w:tcPr>
          <w:p w:rsidR="008A72EC" w:rsidRPr="004223D9" w:rsidRDefault="008A72EC" w:rsidP="00635C8A">
            <w:pPr>
              <w:rPr>
                <w:rFonts w:ascii="Arial" w:hAnsi="Arial" w:cs="Arial"/>
                <w:sz w:val="20"/>
                <w:szCs w:val="20"/>
                <w:lang w:val="es-ES"/>
              </w:rPr>
            </w:pPr>
            <w:r w:rsidRPr="004223D9">
              <w:rPr>
                <w:rFonts w:ascii="Arial" w:hAnsi="Arial" w:cs="Arial"/>
                <w:sz w:val="20"/>
                <w:szCs w:val="20"/>
                <w:lang w:val="es-ES"/>
              </w:rPr>
              <w:t>Esmeraldas</w:t>
            </w:r>
          </w:p>
        </w:tc>
        <w:tc>
          <w:tcPr>
            <w:tcW w:w="2340" w:type="dxa"/>
            <w:shd w:val="clear" w:color="auto" w:fill="auto"/>
            <w:vAlign w:val="center"/>
            <w:hideMark/>
          </w:tcPr>
          <w:p w:rsidR="008A72EC" w:rsidRPr="004223D9" w:rsidRDefault="008A72EC" w:rsidP="00635C8A">
            <w:pPr>
              <w:rPr>
                <w:rFonts w:ascii="Arial" w:hAnsi="Arial" w:cs="Arial"/>
                <w:sz w:val="20"/>
                <w:szCs w:val="20"/>
                <w:lang w:val="es-ES"/>
              </w:rPr>
            </w:pPr>
            <w:r w:rsidRPr="004223D9">
              <w:rPr>
                <w:rFonts w:ascii="Arial" w:hAnsi="Arial" w:cs="Arial"/>
                <w:sz w:val="20"/>
                <w:szCs w:val="20"/>
                <w:lang w:val="es-ES"/>
              </w:rPr>
              <w:t>Reforzamiento Subsistema Esmeraldas - Tonchigüe (incluyendo construcción S/E La Pradera, Tonsupa, Tonchigüe y reforzamiento SE Atacames)</w:t>
            </w:r>
          </w:p>
        </w:tc>
        <w:tc>
          <w:tcPr>
            <w:tcW w:w="4932" w:type="dxa"/>
            <w:shd w:val="clear" w:color="auto" w:fill="auto"/>
            <w:noWrap/>
            <w:vAlign w:val="center"/>
            <w:hideMark/>
          </w:tcPr>
          <w:p w:rsidR="00D118E1" w:rsidRPr="004223D9" w:rsidRDefault="008A72EC" w:rsidP="00D71707">
            <w:pPr>
              <w:spacing w:after="60"/>
              <w:rPr>
                <w:rFonts w:ascii="Arial" w:hAnsi="Arial" w:cs="Arial"/>
                <w:sz w:val="20"/>
                <w:szCs w:val="20"/>
                <w:lang w:val="es-ES"/>
              </w:rPr>
            </w:pPr>
            <w:r w:rsidRPr="004223D9">
              <w:rPr>
                <w:rFonts w:ascii="Arial" w:hAnsi="Arial" w:cs="Arial"/>
                <w:sz w:val="20"/>
                <w:szCs w:val="20"/>
                <w:lang w:val="es-ES"/>
              </w:rPr>
              <w:t>Este proyecto integral cuenta con licencias ambientales para los tramos:</w:t>
            </w:r>
          </w:p>
          <w:p w:rsidR="00D118E1" w:rsidRPr="004223D9" w:rsidRDefault="008A72EC" w:rsidP="00D71707">
            <w:pPr>
              <w:numPr>
                <w:ilvl w:val="0"/>
                <w:numId w:val="29"/>
              </w:numPr>
              <w:spacing w:after="60"/>
              <w:ind w:left="252" w:hanging="252"/>
              <w:rPr>
                <w:rFonts w:ascii="Arial" w:hAnsi="Arial" w:cs="Arial"/>
                <w:sz w:val="20"/>
                <w:szCs w:val="20"/>
                <w:lang w:val="es-ES"/>
              </w:rPr>
            </w:pPr>
            <w:r w:rsidRPr="004223D9">
              <w:rPr>
                <w:rFonts w:ascii="Arial" w:hAnsi="Arial" w:cs="Arial"/>
                <w:sz w:val="20"/>
                <w:szCs w:val="20"/>
                <w:lang w:val="es-ES"/>
              </w:rPr>
              <w:t xml:space="preserve">Esmeraldas – La Pradera </w:t>
            </w:r>
            <w:r w:rsidR="00D118E1" w:rsidRPr="004223D9">
              <w:rPr>
                <w:rFonts w:ascii="Arial" w:hAnsi="Arial" w:cs="Arial"/>
                <w:sz w:val="20"/>
                <w:szCs w:val="20"/>
                <w:lang w:val="es-ES"/>
              </w:rPr>
              <w:t xml:space="preserve">(S/E </w:t>
            </w:r>
            <w:r w:rsidRPr="004223D9">
              <w:rPr>
                <w:rFonts w:ascii="Arial" w:hAnsi="Arial" w:cs="Arial"/>
                <w:sz w:val="20"/>
                <w:szCs w:val="20"/>
                <w:lang w:val="es-ES"/>
              </w:rPr>
              <w:t>Prosperina en la Refinería E</w:t>
            </w:r>
            <w:r w:rsidR="00D118E1" w:rsidRPr="004223D9">
              <w:rPr>
                <w:rFonts w:ascii="Arial" w:hAnsi="Arial" w:cs="Arial"/>
                <w:sz w:val="20"/>
                <w:szCs w:val="20"/>
                <w:lang w:val="es-ES"/>
              </w:rPr>
              <w:t>smeraldas – S/E La Pradera);</w:t>
            </w:r>
          </w:p>
          <w:p w:rsidR="00D118E1" w:rsidRPr="004223D9" w:rsidRDefault="008A72EC" w:rsidP="00D71707">
            <w:pPr>
              <w:numPr>
                <w:ilvl w:val="0"/>
                <w:numId w:val="29"/>
              </w:numPr>
              <w:spacing w:after="60"/>
              <w:ind w:left="252" w:hanging="252"/>
              <w:rPr>
                <w:rFonts w:ascii="Arial" w:hAnsi="Arial" w:cs="Arial"/>
                <w:sz w:val="20"/>
                <w:szCs w:val="20"/>
                <w:lang w:val="es-ES"/>
              </w:rPr>
            </w:pPr>
            <w:r w:rsidRPr="004223D9">
              <w:rPr>
                <w:rFonts w:ascii="Arial" w:hAnsi="Arial" w:cs="Arial"/>
                <w:sz w:val="20"/>
                <w:szCs w:val="20"/>
                <w:lang w:val="es-ES"/>
              </w:rPr>
              <w:t>La Pradera – Tonsupa (S/E La Pradera – S/E Tonsu</w:t>
            </w:r>
            <w:r w:rsidR="00D118E1" w:rsidRPr="004223D9">
              <w:rPr>
                <w:rFonts w:ascii="Arial" w:hAnsi="Arial" w:cs="Arial"/>
                <w:sz w:val="20"/>
                <w:szCs w:val="20"/>
                <w:lang w:val="es-ES"/>
              </w:rPr>
              <w:t>pa por construirse);</w:t>
            </w:r>
            <w:r w:rsidRPr="004223D9">
              <w:rPr>
                <w:rFonts w:ascii="Arial" w:hAnsi="Arial" w:cs="Arial"/>
                <w:sz w:val="20"/>
                <w:szCs w:val="20"/>
                <w:lang w:val="es-ES"/>
              </w:rPr>
              <w:t xml:space="preserve"> y</w:t>
            </w:r>
          </w:p>
          <w:p w:rsidR="00D118E1" w:rsidRPr="004223D9" w:rsidRDefault="008A72EC" w:rsidP="00D71707">
            <w:pPr>
              <w:numPr>
                <w:ilvl w:val="0"/>
                <w:numId w:val="29"/>
              </w:numPr>
              <w:spacing w:after="60"/>
              <w:ind w:left="252" w:hanging="252"/>
              <w:rPr>
                <w:rFonts w:ascii="Arial" w:hAnsi="Arial" w:cs="Arial"/>
                <w:sz w:val="20"/>
                <w:szCs w:val="20"/>
                <w:lang w:val="es-ES"/>
              </w:rPr>
            </w:pPr>
            <w:r w:rsidRPr="004223D9">
              <w:rPr>
                <w:rFonts w:ascii="Arial" w:hAnsi="Arial" w:cs="Arial"/>
                <w:sz w:val="20"/>
                <w:szCs w:val="20"/>
                <w:lang w:val="es-ES"/>
              </w:rPr>
              <w:t xml:space="preserve">Atacames – Tonchigüe (S/E Atacames – S/E Tonchigüe) y consecuentemente con planes de </w:t>
            </w:r>
            <w:r w:rsidRPr="004223D9">
              <w:rPr>
                <w:rFonts w:ascii="Arial" w:hAnsi="Arial" w:cs="Arial"/>
                <w:sz w:val="20"/>
                <w:szCs w:val="20"/>
                <w:lang w:val="es-ES"/>
              </w:rPr>
              <w:lastRenderedPageBreak/>
              <w:t>manejo ambiental</w:t>
            </w:r>
            <w:r w:rsidR="00D118E1" w:rsidRPr="004223D9">
              <w:rPr>
                <w:rFonts w:ascii="Arial" w:hAnsi="Arial" w:cs="Arial"/>
                <w:sz w:val="20"/>
                <w:szCs w:val="20"/>
                <w:lang w:val="es-ES"/>
              </w:rPr>
              <w:t>;</w:t>
            </w:r>
            <w:r w:rsidR="003F6650" w:rsidRPr="004223D9">
              <w:rPr>
                <w:rFonts w:ascii="Arial" w:hAnsi="Arial" w:cs="Arial"/>
                <w:sz w:val="20"/>
                <w:szCs w:val="20"/>
                <w:lang w:val="es-ES"/>
              </w:rPr>
              <w:t xml:space="preserve"> y</w:t>
            </w:r>
          </w:p>
          <w:p w:rsidR="002636A5" w:rsidRPr="004223D9" w:rsidRDefault="008A72EC" w:rsidP="00D71707">
            <w:pPr>
              <w:numPr>
                <w:ilvl w:val="0"/>
                <w:numId w:val="29"/>
              </w:numPr>
              <w:spacing w:after="60"/>
              <w:ind w:left="252" w:hanging="252"/>
              <w:rPr>
                <w:rFonts w:ascii="Arial" w:hAnsi="Arial" w:cs="Arial"/>
                <w:sz w:val="20"/>
                <w:szCs w:val="20"/>
                <w:lang w:val="es-ES"/>
              </w:rPr>
            </w:pPr>
            <w:r w:rsidRPr="004223D9">
              <w:rPr>
                <w:rFonts w:ascii="Arial" w:hAnsi="Arial" w:cs="Arial"/>
                <w:sz w:val="20"/>
                <w:szCs w:val="20"/>
                <w:lang w:val="es-ES"/>
              </w:rPr>
              <w:t>El tramo Tonsupa – Atacames de 10 km, se encuentra en proceso de regularización ambiental y se espera obtener un Registro Ambiental con su respecto plan de manejo ambiental</w:t>
            </w:r>
            <w:r w:rsidR="00D118E1" w:rsidRPr="004223D9">
              <w:rPr>
                <w:rFonts w:ascii="Arial" w:hAnsi="Arial" w:cs="Arial"/>
                <w:sz w:val="20"/>
                <w:szCs w:val="20"/>
                <w:lang w:val="es-ES"/>
              </w:rPr>
              <w:t>.</w:t>
            </w:r>
          </w:p>
          <w:p w:rsidR="003F6650" w:rsidRPr="004223D9" w:rsidRDefault="002636A5" w:rsidP="002636A5">
            <w:pPr>
              <w:spacing w:after="60"/>
              <w:ind w:left="252"/>
              <w:rPr>
                <w:rFonts w:ascii="Arial" w:hAnsi="Arial" w:cs="Arial"/>
                <w:i/>
                <w:sz w:val="20"/>
                <w:szCs w:val="20"/>
                <w:lang w:val="es-ES"/>
              </w:rPr>
            </w:pPr>
            <w:r w:rsidRPr="004223D9">
              <w:rPr>
                <w:rFonts w:ascii="Arial" w:hAnsi="Arial" w:cs="Arial"/>
                <w:i/>
                <w:sz w:val="20"/>
                <w:szCs w:val="20"/>
                <w:lang w:val="es-ES"/>
              </w:rPr>
              <w:t>La participación social/comunitaria para estas obras tuvo lugar entre el 20 de marzo de 2016 hasta el 03 de abril de 2015.</w:t>
            </w:r>
          </w:p>
        </w:tc>
      </w:tr>
      <w:tr w:rsidR="008A72EC" w:rsidRPr="004223D9" w:rsidTr="00F11047">
        <w:trPr>
          <w:trHeight w:val="900"/>
          <w:jc w:val="center"/>
        </w:trPr>
        <w:tc>
          <w:tcPr>
            <w:tcW w:w="1512" w:type="dxa"/>
            <w:shd w:val="clear" w:color="auto" w:fill="auto"/>
            <w:noWrap/>
            <w:vAlign w:val="center"/>
          </w:tcPr>
          <w:p w:rsidR="008A72EC" w:rsidRPr="004223D9" w:rsidRDefault="008A72EC" w:rsidP="00635C8A">
            <w:pPr>
              <w:rPr>
                <w:rFonts w:ascii="Arial" w:hAnsi="Arial" w:cs="Arial"/>
                <w:sz w:val="20"/>
                <w:szCs w:val="20"/>
                <w:lang w:val="es-ES"/>
              </w:rPr>
            </w:pPr>
            <w:r w:rsidRPr="004223D9">
              <w:rPr>
                <w:rFonts w:ascii="Arial" w:hAnsi="Arial" w:cs="Arial"/>
                <w:sz w:val="20"/>
                <w:szCs w:val="20"/>
                <w:lang w:val="es-ES"/>
              </w:rPr>
              <w:lastRenderedPageBreak/>
              <w:t>Manabí</w:t>
            </w:r>
          </w:p>
        </w:tc>
        <w:tc>
          <w:tcPr>
            <w:tcW w:w="2340" w:type="dxa"/>
            <w:shd w:val="clear" w:color="auto" w:fill="auto"/>
            <w:vAlign w:val="center"/>
          </w:tcPr>
          <w:p w:rsidR="008A72EC" w:rsidRPr="004223D9" w:rsidRDefault="00D118E1" w:rsidP="00635C8A">
            <w:pPr>
              <w:rPr>
                <w:rFonts w:ascii="Arial" w:hAnsi="Arial" w:cs="Arial"/>
                <w:sz w:val="20"/>
                <w:szCs w:val="20"/>
                <w:lang w:val="es-ES"/>
              </w:rPr>
            </w:pPr>
            <w:r w:rsidRPr="004223D9">
              <w:rPr>
                <w:rFonts w:ascii="Arial" w:hAnsi="Arial" w:cs="Arial"/>
                <w:sz w:val="20"/>
                <w:szCs w:val="20"/>
                <w:lang w:val="es-ES"/>
              </w:rPr>
              <w:t>Repotenciación de Subestaciones de Transmisión CNEL Manabí</w:t>
            </w:r>
          </w:p>
        </w:tc>
        <w:tc>
          <w:tcPr>
            <w:tcW w:w="4932" w:type="dxa"/>
            <w:shd w:val="clear" w:color="auto" w:fill="auto"/>
            <w:noWrap/>
          </w:tcPr>
          <w:p w:rsidR="00D118E1" w:rsidRPr="004223D9" w:rsidRDefault="00D118E1" w:rsidP="00D71707">
            <w:pPr>
              <w:numPr>
                <w:ilvl w:val="0"/>
                <w:numId w:val="29"/>
              </w:numPr>
              <w:spacing w:after="60"/>
              <w:ind w:left="259" w:hanging="259"/>
              <w:rPr>
                <w:rFonts w:ascii="Calibri" w:eastAsia="Times New Roman" w:hAnsi="Calibri"/>
                <w:sz w:val="22"/>
                <w:szCs w:val="22"/>
                <w:lang w:val="es-EC" w:eastAsia="es-EC"/>
              </w:rPr>
            </w:pPr>
            <w:r w:rsidRPr="004223D9">
              <w:rPr>
                <w:rFonts w:ascii="Calibri" w:eastAsia="Times New Roman" w:hAnsi="Calibri"/>
                <w:sz w:val="22"/>
                <w:szCs w:val="22"/>
                <w:u w:val="single"/>
                <w:lang w:val="es-EC" w:eastAsia="es-EC"/>
              </w:rPr>
              <w:t>Repotenciación Integral Subestación Calceta y de Alimentadores</w:t>
            </w:r>
            <w:r w:rsidRPr="004223D9">
              <w:rPr>
                <w:rFonts w:ascii="Calibri" w:eastAsia="Times New Roman" w:hAnsi="Calibri"/>
                <w:sz w:val="22"/>
                <w:szCs w:val="22"/>
                <w:lang w:val="es-EC" w:eastAsia="es-EC"/>
              </w:rPr>
              <w:t>.</w:t>
            </w:r>
            <w:r w:rsidRPr="004223D9">
              <w:rPr>
                <w:rFonts w:ascii="Calibri" w:hAnsi="Calibri"/>
                <w:sz w:val="22"/>
                <w:szCs w:val="22"/>
                <w:lang w:val="es-ES_tradnl"/>
              </w:rPr>
              <w:t xml:space="preserve"> </w:t>
            </w:r>
            <w:r w:rsidRPr="004223D9">
              <w:rPr>
                <w:rFonts w:ascii="Calibri" w:eastAsia="Times New Roman" w:hAnsi="Calibri"/>
                <w:sz w:val="22"/>
                <w:szCs w:val="22"/>
                <w:lang w:val="es-EC" w:eastAsia="es-EC"/>
              </w:rPr>
              <w:t>Cuenta con Registro Ambiental y por lo tanto las actividades de este proyecto deberán cumplir lo señalado en el plan de manejo ambiental aprobado por el MAE.</w:t>
            </w:r>
            <w:r w:rsidR="003F6650" w:rsidRPr="004223D9">
              <w:rPr>
                <w:rFonts w:ascii="Calibri" w:eastAsia="Times New Roman" w:hAnsi="Calibri"/>
                <w:sz w:val="22"/>
                <w:szCs w:val="22"/>
                <w:lang w:val="es-EC" w:eastAsia="es-EC"/>
              </w:rPr>
              <w:t xml:space="preserve"> </w:t>
            </w:r>
          </w:p>
          <w:p w:rsidR="00D118E1" w:rsidRPr="004223D9" w:rsidRDefault="00D118E1" w:rsidP="00D71707">
            <w:pPr>
              <w:numPr>
                <w:ilvl w:val="0"/>
                <w:numId w:val="29"/>
              </w:numPr>
              <w:spacing w:after="60"/>
              <w:ind w:left="259" w:hanging="259"/>
              <w:rPr>
                <w:rFonts w:ascii="Calibri" w:eastAsia="Times New Roman" w:hAnsi="Calibri"/>
                <w:sz w:val="22"/>
                <w:szCs w:val="22"/>
                <w:lang w:val="es-EC" w:eastAsia="es-EC"/>
              </w:rPr>
            </w:pPr>
            <w:r w:rsidRPr="004223D9">
              <w:rPr>
                <w:rFonts w:ascii="Calibri" w:eastAsia="Times New Roman" w:hAnsi="Calibri"/>
                <w:sz w:val="22"/>
                <w:szCs w:val="22"/>
                <w:u w:val="single"/>
                <w:lang w:val="es-EC" w:eastAsia="es-EC"/>
              </w:rPr>
              <w:t>Repotenciación Integral de Subestación San Vicente y de Alimentadores</w:t>
            </w:r>
            <w:r w:rsidRPr="004223D9">
              <w:rPr>
                <w:rFonts w:ascii="Calibri" w:eastAsia="Times New Roman" w:hAnsi="Calibri"/>
                <w:sz w:val="22"/>
                <w:szCs w:val="22"/>
                <w:lang w:val="es-EC" w:eastAsia="es-EC"/>
              </w:rPr>
              <w:t>.</w:t>
            </w:r>
            <w:r w:rsidRPr="004223D9">
              <w:rPr>
                <w:rFonts w:ascii="Calibri" w:hAnsi="Calibri"/>
                <w:sz w:val="22"/>
                <w:szCs w:val="22"/>
                <w:lang w:val="es-ES_tradnl"/>
              </w:rPr>
              <w:t xml:space="preserve"> </w:t>
            </w:r>
            <w:r w:rsidRPr="004223D9">
              <w:rPr>
                <w:rFonts w:ascii="Calibri" w:eastAsia="Times New Roman" w:hAnsi="Calibri"/>
                <w:sz w:val="22"/>
                <w:szCs w:val="22"/>
                <w:lang w:val="es-EC" w:eastAsia="es-EC"/>
              </w:rPr>
              <w:t>Cuenta con Registro Ambiental y por lo tanto las actividades de este proyecto deberán cumplir lo señalado en el plan de manejo ambiental aprobado por el MAE.</w:t>
            </w:r>
          </w:p>
          <w:p w:rsidR="00D118E1" w:rsidRPr="004223D9" w:rsidRDefault="00D118E1" w:rsidP="00D71707">
            <w:pPr>
              <w:numPr>
                <w:ilvl w:val="0"/>
                <w:numId w:val="29"/>
              </w:numPr>
              <w:spacing w:after="60"/>
              <w:ind w:left="259" w:hanging="259"/>
              <w:rPr>
                <w:rFonts w:ascii="Calibri" w:eastAsia="Times New Roman" w:hAnsi="Calibri"/>
                <w:sz w:val="22"/>
                <w:szCs w:val="22"/>
                <w:lang w:val="es-EC" w:eastAsia="es-EC"/>
              </w:rPr>
            </w:pPr>
            <w:r w:rsidRPr="004223D9">
              <w:rPr>
                <w:rFonts w:ascii="Calibri" w:eastAsia="Times New Roman" w:hAnsi="Calibri"/>
                <w:sz w:val="22"/>
                <w:szCs w:val="22"/>
                <w:u w:val="single"/>
                <w:lang w:val="es-EC" w:eastAsia="es-EC"/>
              </w:rPr>
              <w:t>Repotenciación Líneas de enlace a 69 kV de CNEL EP-UN Manabí Con la Subestación San Gregorio De CELEC EP De 167 MVA 230/69 kV, Incluye Remodelación de S/E Portoviejo 2 y Rocafuerte</w:t>
            </w:r>
            <w:r w:rsidRPr="004223D9">
              <w:rPr>
                <w:rFonts w:ascii="Calibri" w:eastAsia="Times New Roman" w:hAnsi="Calibri"/>
                <w:sz w:val="22"/>
                <w:szCs w:val="22"/>
                <w:lang w:val="es-EC" w:eastAsia="es-EC"/>
              </w:rPr>
              <w:t>. El estudio ambiental está en proceso de contratación y ejecución. Algunas de las Subestaciones involucradas sin embargo, cuentan con Registro Ambiental y son parte del proceso de regularización ambiental de todo el Sistema de CNEL Manabí que cuenta con Licencia Ambiental.</w:t>
            </w:r>
          </w:p>
          <w:p w:rsidR="00D118E1" w:rsidRPr="004223D9" w:rsidRDefault="00D118E1" w:rsidP="00D71707">
            <w:pPr>
              <w:numPr>
                <w:ilvl w:val="0"/>
                <w:numId w:val="29"/>
              </w:numPr>
              <w:spacing w:after="60"/>
              <w:ind w:left="259" w:hanging="259"/>
              <w:rPr>
                <w:rFonts w:ascii="Calibri" w:eastAsia="Times New Roman" w:hAnsi="Calibri"/>
                <w:sz w:val="22"/>
                <w:szCs w:val="22"/>
                <w:lang w:val="es-EC" w:eastAsia="es-EC"/>
              </w:rPr>
            </w:pPr>
            <w:r w:rsidRPr="004223D9">
              <w:rPr>
                <w:rFonts w:ascii="Calibri" w:eastAsia="Times New Roman" w:hAnsi="Calibri"/>
                <w:sz w:val="22"/>
                <w:szCs w:val="22"/>
                <w:u w:val="single"/>
                <w:lang w:val="es-EC" w:eastAsia="es-EC"/>
              </w:rPr>
              <w:t>Reconstrucción y reubicación Línea de Subtransmisión Rocafuerte - Tosagua</w:t>
            </w:r>
            <w:r w:rsidRPr="004223D9">
              <w:rPr>
                <w:rFonts w:ascii="Calibri" w:eastAsia="Times New Roman" w:hAnsi="Calibri"/>
                <w:sz w:val="22"/>
                <w:szCs w:val="22"/>
                <w:lang w:val="es-EC" w:eastAsia="es-EC"/>
              </w:rPr>
              <w:t>.</w:t>
            </w:r>
            <w:r w:rsidR="00241C02" w:rsidRPr="004223D9">
              <w:rPr>
                <w:rFonts w:ascii="Calibri" w:eastAsia="Times New Roman" w:hAnsi="Calibri"/>
                <w:sz w:val="22"/>
                <w:szCs w:val="22"/>
                <w:lang w:val="es-EC" w:eastAsia="es-EC"/>
              </w:rPr>
              <w:t xml:space="preserve"> El estudio ambiental está presupuestado para contratación, sin embargo las SE involucradas en este proyecto cuentan con Registro Ambiental y plan de manejo ambiental.</w:t>
            </w:r>
          </w:p>
          <w:p w:rsidR="00D118E1" w:rsidRPr="004223D9" w:rsidRDefault="00D118E1" w:rsidP="00D71707">
            <w:pPr>
              <w:numPr>
                <w:ilvl w:val="0"/>
                <w:numId w:val="29"/>
              </w:numPr>
              <w:spacing w:after="60"/>
              <w:ind w:left="259" w:hanging="259"/>
              <w:rPr>
                <w:rFonts w:ascii="Calibri" w:eastAsia="Times New Roman" w:hAnsi="Calibri"/>
                <w:sz w:val="22"/>
                <w:szCs w:val="22"/>
                <w:lang w:val="es-EC" w:eastAsia="es-EC"/>
              </w:rPr>
            </w:pPr>
            <w:r w:rsidRPr="004223D9">
              <w:rPr>
                <w:rFonts w:ascii="Calibri" w:eastAsia="Times New Roman" w:hAnsi="Calibri"/>
                <w:sz w:val="22"/>
                <w:szCs w:val="22"/>
                <w:u w:val="single"/>
                <w:lang w:val="es-EC" w:eastAsia="es-EC"/>
              </w:rPr>
              <w:t>Reconstrucción y reubicación Línea de Subtransmisión Tosagua-San Vicente</w:t>
            </w:r>
            <w:r w:rsidRPr="004223D9">
              <w:rPr>
                <w:rFonts w:ascii="Calibri" w:eastAsia="Times New Roman" w:hAnsi="Calibri"/>
                <w:sz w:val="22"/>
                <w:szCs w:val="22"/>
                <w:lang w:val="es-EC" w:eastAsia="es-EC"/>
              </w:rPr>
              <w:t>.</w:t>
            </w:r>
            <w:r w:rsidR="00341297" w:rsidRPr="004223D9">
              <w:rPr>
                <w:rFonts w:ascii="Calibri" w:hAnsi="Calibri"/>
                <w:sz w:val="22"/>
                <w:szCs w:val="22"/>
                <w:lang w:val="es-ES_tradnl"/>
              </w:rPr>
              <w:t xml:space="preserve"> </w:t>
            </w:r>
            <w:r w:rsidR="00341297" w:rsidRPr="004223D9">
              <w:rPr>
                <w:rFonts w:ascii="Calibri" w:eastAsia="Times New Roman" w:hAnsi="Calibri"/>
                <w:sz w:val="22"/>
                <w:szCs w:val="22"/>
                <w:lang w:val="es-EC" w:eastAsia="es-EC"/>
              </w:rPr>
              <w:t>El estudio ambiental está presupuestado para contratación, sin embargo las SE involucradas en este proyecto cuentan con Registro Ambiental y plan de manejo ambiental.</w:t>
            </w:r>
          </w:p>
          <w:p w:rsidR="00D118E1" w:rsidRPr="004223D9" w:rsidRDefault="00D118E1" w:rsidP="00D71707">
            <w:pPr>
              <w:numPr>
                <w:ilvl w:val="0"/>
                <w:numId w:val="29"/>
              </w:numPr>
              <w:spacing w:after="60"/>
              <w:ind w:left="259" w:hanging="259"/>
              <w:rPr>
                <w:rFonts w:ascii="Calibri" w:eastAsia="Times New Roman" w:hAnsi="Calibri"/>
                <w:sz w:val="22"/>
                <w:szCs w:val="22"/>
                <w:lang w:val="es-EC" w:eastAsia="es-EC"/>
              </w:rPr>
            </w:pPr>
            <w:r w:rsidRPr="004223D9">
              <w:rPr>
                <w:rFonts w:ascii="Calibri" w:eastAsia="Times New Roman" w:hAnsi="Calibri"/>
                <w:sz w:val="22"/>
                <w:szCs w:val="22"/>
                <w:u w:val="single"/>
                <w:lang w:val="es-EC" w:eastAsia="es-EC"/>
              </w:rPr>
              <w:t>Repotenciación Integral de Subestación Bahía y de Alimentadores</w:t>
            </w:r>
            <w:r w:rsidRPr="004223D9">
              <w:rPr>
                <w:rFonts w:ascii="Calibri" w:eastAsia="Times New Roman" w:hAnsi="Calibri"/>
                <w:sz w:val="22"/>
                <w:szCs w:val="22"/>
                <w:lang w:val="es-EC" w:eastAsia="es-EC"/>
              </w:rPr>
              <w:t>.</w:t>
            </w:r>
            <w:r w:rsidR="00F11047" w:rsidRPr="004223D9">
              <w:rPr>
                <w:rFonts w:eastAsia="Times New Roman"/>
                <w:sz w:val="22"/>
                <w:szCs w:val="22"/>
                <w:lang w:val="es-EC" w:eastAsia="es-EC"/>
              </w:rPr>
              <w:t xml:space="preserve"> </w:t>
            </w:r>
            <w:r w:rsidR="00F11047" w:rsidRPr="004223D9">
              <w:rPr>
                <w:rFonts w:ascii="Calibri" w:eastAsia="Times New Roman" w:hAnsi="Calibri"/>
                <w:sz w:val="22"/>
                <w:szCs w:val="22"/>
                <w:lang w:val="es-EC" w:eastAsia="es-EC"/>
              </w:rPr>
              <w:t xml:space="preserve">Cuenta con Registro Ambiental y por lo tanto las actividades de este proyecto deberán cumplir lo señalado en el plan </w:t>
            </w:r>
            <w:r w:rsidR="00F11047" w:rsidRPr="004223D9">
              <w:rPr>
                <w:rFonts w:ascii="Calibri" w:eastAsia="Times New Roman" w:hAnsi="Calibri"/>
                <w:sz w:val="22"/>
                <w:szCs w:val="22"/>
                <w:lang w:val="es-EC" w:eastAsia="es-EC"/>
              </w:rPr>
              <w:lastRenderedPageBreak/>
              <w:t>de manejo ambiental aprobado por el MAE.</w:t>
            </w:r>
          </w:p>
          <w:p w:rsidR="008A72EC" w:rsidRPr="004223D9" w:rsidRDefault="00D118E1" w:rsidP="00D71707">
            <w:pPr>
              <w:numPr>
                <w:ilvl w:val="0"/>
                <w:numId w:val="29"/>
              </w:numPr>
              <w:spacing w:after="60"/>
              <w:ind w:left="259" w:hanging="259"/>
              <w:rPr>
                <w:rFonts w:ascii="Calibri" w:eastAsia="Times New Roman" w:hAnsi="Calibri"/>
                <w:sz w:val="22"/>
                <w:szCs w:val="22"/>
                <w:lang w:val="es-EC" w:eastAsia="es-EC"/>
              </w:rPr>
            </w:pPr>
            <w:r w:rsidRPr="004223D9">
              <w:rPr>
                <w:rFonts w:ascii="Calibri" w:eastAsia="Times New Roman" w:hAnsi="Calibri"/>
                <w:sz w:val="22"/>
                <w:szCs w:val="22"/>
                <w:u w:val="single"/>
                <w:lang w:val="es-EC" w:eastAsia="es-EC"/>
              </w:rPr>
              <w:t>Reforzamiento subsistema a 69 kV Bahía-San Vicente</w:t>
            </w:r>
            <w:r w:rsidRPr="004223D9">
              <w:rPr>
                <w:rFonts w:ascii="Calibri" w:eastAsia="Times New Roman" w:hAnsi="Calibri"/>
                <w:sz w:val="22"/>
                <w:szCs w:val="22"/>
                <w:lang w:val="es-EC" w:eastAsia="es-EC"/>
              </w:rPr>
              <w:t>.</w:t>
            </w:r>
            <w:r w:rsidR="00F11047" w:rsidRPr="004223D9">
              <w:rPr>
                <w:rFonts w:eastAsia="Times New Roman"/>
                <w:sz w:val="22"/>
                <w:szCs w:val="22"/>
                <w:lang w:val="es-EC" w:eastAsia="es-EC"/>
              </w:rPr>
              <w:t xml:space="preserve"> </w:t>
            </w:r>
            <w:r w:rsidR="00F11047" w:rsidRPr="004223D9">
              <w:rPr>
                <w:rFonts w:ascii="Calibri" w:eastAsia="Times New Roman" w:hAnsi="Calibri"/>
                <w:sz w:val="22"/>
                <w:szCs w:val="22"/>
                <w:lang w:val="es-EC" w:eastAsia="es-EC"/>
              </w:rPr>
              <w:t>El estudio ambiental está presupuestado para contratación, sin embargo las SE involucradas en este proyecto cuentan con Registro Ambiental y plan de manejo ambiental.</w:t>
            </w:r>
          </w:p>
        </w:tc>
      </w:tr>
      <w:tr w:rsidR="008A72EC" w:rsidRPr="004223D9" w:rsidTr="006D7D7E">
        <w:trPr>
          <w:trHeight w:val="233"/>
          <w:jc w:val="center"/>
        </w:trPr>
        <w:tc>
          <w:tcPr>
            <w:tcW w:w="1512" w:type="dxa"/>
            <w:shd w:val="clear" w:color="auto" w:fill="auto"/>
            <w:noWrap/>
            <w:vAlign w:val="center"/>
          </w:tcPr>
          <w:p w:rsidR="008A72EC" w:rsidRPr="004223D9" w:rsidRDefault="008A72EC" w:rsidP="00635C8A">
            <w:pPr>
              <w:rPr>
                <w:rFonts w:ascii="Arial" w:hAnsi="Arial" w:cs="Arial"/>
                <w:sz w:val="20"/>
                <w:szCs w:val="20"/>
                <w:lang w:val="es-ES"/>
              </w:rPr>
            </w:pPr>
            <w:r w:rsidRPr="004223D9">
              <w:rPr>
                <w:rFonts w:ascii="Arial" w:hAnsi="Arial" w:cs="Arial"/>
                <w:sz w:val="20"/>
                <w:szCs w:val="20"/>
                <w:lang w:val="es-ES"/>
              </w:rPr>
              <w:lastRenderedPageBreak/>
              <w:t>Manabí</w:t>
            </w:r>
          </w:p>
        </w:tc>
        <w:tc>
          <w:tcPr>
            <w:tcW w:w="2340" w:type="dxa"/>
            <w:shd w:val="clear" w:color="auto" w:fill="auto"/>
            <w:vAlign w:val="center"/>
          </w:tcPr>
          <w:p w:rsidR="008A72EC" w:rsidRPr="004223D9" w:rsidRDefault="00F11047" w:rsidP="00635C8A">
            <w:pPr>
              <w:rPr>
                <w:rFonts w:ascii="Arial" w:hAnsi="Arial" w:cs="Arial"/>
                <w:sz w:val="20"/>
                <w:szCs w:val="20"/>
                <w:lang w:val="es-ES"/>
              </w:rPr>
            </w:pPr>
            <w:r w:rsidRPr="004223D9">
              <w:rPr>
                <w:rFonts w:ascii="Arial" w:hAnsi="Arial" w:cs="Arial"/>
                <w:sz w:val="20"/>
                <w:szCs w:val="20"/>
                <w:lang w:val="es-ES"/>
              </w:rPr>
              <w:t>Reforzamiento subsistema a 69 kV Sesme - Flavio Alfaro</w:t>
            </w:r>
          </w:p>
        </w:tc>
        <w:tc>
          <w:tcPr>
            <w:tcW w:w="4932" w:type="dxa"/>
            <w:shd w:val="clear" w:color="auto" w:fill="auto"/>
            <w:noWrap/>
          </w:tcPr>
          <w:p w:rsidR="002636A5" w:rsidRPr="004223D9" w:rsidRDefault="002075D3" w:rsidP="00C3161C">
            <w:pPr>
              <w:numPr>
                <w:ilvl w:val="0"/>
                <w:numId w:val="30"/>
              </w:numPr>
              <w:ind w:left="252" w:hanging="252"/>
              <w:rPr>
                <w:rFonts w:ascii="Calibri" w:eastAsia="Times New Roman" w:hAnsi="Calibri"/>
                <w:sz w:val="22"/>
                <w:szCs w:val="22"/>
                <w:lang w:val="es-EC" w:eastAsia="es-EC"/>
              </w:rPr>
            </w:pPr>
            <w:r w:rsidRPr="004223D9">
              <w:rPr>
                <w:rFonts w:ascii="Calibri" w:eastAsia="Times New Roman" w:hAnsi="Calibri"/>
                <w:sz w:val="22"/>
                <w:szCs w:val="22"/>
                <w:lang w:val="es-EC" w:eastAsia="es-EC"/>
              </w:rPr>
              <w:t>El proyecto fue sometido al proceso de regularización ambiental, correspondiendo para este caso la preparación de un estudio de impacto ambiental y la obtenció</w:t>
            </w:r>
            <w:r w:rsidR="00C3161C" w:rsidRPr="004223D9">
              <w:rPr>
                <w:rFonts w:ascii="Calibri" w:eastAsia="Times New Roman" w:hAnsi="Calibri"/>
                <w:sz w:val="22"/>
                <w:szCs w:val="22"/>
                <w:lang w:val="es-EC" w:eastAsia="es-EC"/>
              </w:rPr>
              <w:t xml:space="preserve">n de una Licencia Ambiental. </w:t>
            </w:r>
          </w:p>
          <w:p w:rsidR="008A72EC" w:rsidRPr="004223D9" w:rsidRDefault="00C3161C" w:rsidP="002636A5">
            <w:pPr>
              <w:ind w:left="252"/>
              <w:rPr>
                <w:rFonts w:ascii="Calibri" w:eastAsia="Times New Roman" w:hAnsi="Calibri"/>
                <w:sz w:val="22"/>
                <w:szCs w:val="22"/>
                <w:lang w:val="es-EC" w:eastAsia="es-EC"/>
              </w:rPr>
            </w:pPr>
            <w:r w:rsidRPr="004223D9">
              <w:rPr>
                <w:rFonts w:ascii="Calibri" w:eastAsia="Times New Roman" w:hAnsi="Calibri"/>
                <w:i/>
                <w:sz w:val="22"/>
                <w:szCs w:val="22"/>
                <w:lang w:val="es-EC" w:eastAsia="es-EC"/>
              </w:rPr>
              <w:t xml:space="preserve">Adicionalmente, como parte del licenciamiento ambiental se llevó a cabo un proceso de </w:t>
            </w:r>
            <w:r w:rsidR="002075D3" w:rsidRPr="004223D9">
              <w:rPr>
                <w:rFonts w:ascii="Calibri" w:eastAsia="Times New Roman" w:hAnsi="Calibri"/>
                <w:i/>
                <w:sz w:val="22"/>
                <w:szCs w:val="22"/>
                <w:lang w:val="es-EC" w:eastAsia="es-EC"/>
              </w:rPr>
              <w:t>socialización con las comunidades de las áreas de influencia (consulta pú</w:t>
            </w:r>
            <w:r w:rsidRPr="004223D9">
              <w:rPr>
                <w:rFonts w:ascii="Calibri" w:eastAsia="Times New Roman" w:hAnsi="Calibri"/>
                <w:i/>
                <w:sz w:val="22"/>
                <w:szCs w:val="22"/>
                <w:lang w:val="es-EC" w:eastAsia="es-EC"/>
              </w:rPr>
              <w:t>blica)</w:t>
            </w:r>
            <w:r w:rsidR="002075D3" w:rsidRPr="004223D9">
              <w:rPr>
                <w:rFonts w:ascii="Calibri" w:eastAsia="Times New Roman" w:hAnsi="Calibri"/>
                <w:i/>
                <w:sz w:val="22"/>
                <w:szCs w:val="22"/>
                <w:lang w:val="es-EC" w:eastAsia="es-EC"/>
              </w:rPr>
              <w:t>.</w:t>
            </w:r>
            <w:r w:rsidRPr="004223D9">
              <w:rPr>
                <w:rFonts w:ascii="Calibri" w:eastAsia="Times New Roman" w:hAnsi="Calibri"/>
                <w:i/>
                <w:sz w:val="22"/>
                <w:szCs w:val="22"/>
                <w:lang w:val="es-EC" w:eastAsia="es-EC"/>
              </w:rPr>
              <w:t xml:space="preserve"> Esta consulta se realizó entre el 15 y 15 de enero de 2016</w:t>
            </w:r>
            <w:r w:rsidRPr="004223D9">
              <w:rPr>
                <w:rFonts w:ascii="Calibri" w:eastAsia="Times New Roman" w:hAnsi="Calibri"/>
                <w:sz w:val="22"/>
                <w:szCs w:val="22"/>
                <w:lang w:val="es-EC" w:eastAsia="es-EC"/>
              </w:rPr>
              <w:t>.</w:t>
            </w:r>
          </w:p>
        </w:tc>
      </w:tr>
    </w:tbl>
    <w:p w:rsidR="002E5E6C" w:rsidRPr="004223D9" w:rsidRDefault="002E5E6C" w:rsidP="00635C8A">
      <w:pPr>
        <w:rPr>
          <w:rFonts w:ascii="Arial" w:hAnsi="Arial" w:cs="Arial"/>
          <w:sz w:val="22"/>
          <w:szCs w:val="22"/>
          <w:lang w:val="es-ES_tradnl"/>
        </w:rPr>
      </w:pPr>
    </w:p>
    <w:p w:rsidR="008C29FF" w:rsidRPr="004223D9" w:rsidRDefault="008C29FF" w:rsidP="008C29FF">
      <w:pPr>
        <w:jc w:val="center"/>
        <w:rPr>
          <w:rFonts w:ascii="Arial" w:hAnsi="Arial" w:cs="Arial"/>
          <w:b/>
          <w:sz w:val="20"/>
          <w:szCs w:val="20"/>
          <w:lang w:val="es-ES_tradnl"/>
        </w:rPr>
      </w:pPr>
      <w:r w:rsidRPr="004223D9">
        <w:rPr>
          <w:rFonts w:ascii="Arial" w:hAnsi="Arial" w:cs="Arial"/>
          <w:b/>
          <w:sz w:val="20"/>
          <w:szCs w:val="20"/>
          <w:lang w:val="es-ES_tradnl"/>
        </w:rPr>
        <w:t>Tabla 01. Resumen de Cumplimiento de la Normativa Local para la Muestra del Proyecto</w:t>
      </w:r>
    </w:p>
    <w:p w:rsidR="008C29FF" w:rsidRPr="004223D9" w:rsidRDefault="008C29FF" w:rsidP="00635C8A">
      <w:pPr>
        <w:rPr>
          <w:rFonts w:ascii="Arial" w:hAnsi="Arial" w:cs="Arial"/>
          <w:sz w:val="22"/>
          <w:szCs w:val="22"/>
          <w:lang w:val="es-ES_tradnl"/>
        </w:rPr>
      </w:pPr>
    </w:p>
    <w:p w:rsidR="000E133D" w:rsidRPr="004223D9" w:rsidRDefault="00C8366A" w:rsidP="000E133D">
      <w:pPr>
        <w:numPr>
          <w:ilvl w:val="1"/>
          <w:numId w:val="3"/>
        </w:numPr>
        <w:spacing w:after="120"/>
        <w:ind w:left="720"/>
        <w:jc w:val="both"/>
        <w:rPr>
          <w:rFonts w:ascii="Arial" w:hAnsi="Arial" w:cs="Arial"/>
          <w:sz w:val="22"/>
          <w:szCs w:val="22"/>
          <w:lang w:val="es-ES"/>
        </w:rPr>
      </w:pPr>
      <w:r w:rsidRPr="004223D9">
        <w:rPr>
          <w:rFonts w:ascii="Arial" w:hAnsi="Arial" w:cs="Arial"/>
          <w:b/>
          <w:sz w:val="22"/>
          <w:szCs w:val="22"/>
          <w:u w:val="single"/>
          <w:lang w:val="es-ES"/>
        </w:rPr>
        <w:t>Consulta Pública</w:t>
      </w:r>
      <w:r w:rsidRPr="004223D9">
        <w:rPr>
          <w:rFonts w:ascii="Arial" w:hAnsi="Arial" w:cs="Arial"/>
          <w:b/>
          <w:sz w:val="22"/>
          <w:szCs w:val="22"/>
          <w:lang w:val="es-ES"/>
        </w:rPr>
        <w:t>:</w:t>
      </w:r>
      <w:r w:rsidRPr="004223D9">
        <w:rPr>
          <w:rFonts w:ascii="Arial" w:hAnsi="Arial" w:cs="Arial"/>
          <w:sz w:val="22"/>
          <w:szCs w:val="22"/>
          <w:lang w:val="es-ES"/>
        </w:rPr>
        <w:t xml:space="preserve"> </w:t>
      </w:r>
      <w:r w:rsidR="00A5342E" w:rsidRPr="004223D9">
        <w:rPr>
          <w:rFonts w:ascii="Arial" w:hAnsi="Arial" w:cs="Arial"/>
          <w:sz w:val="22"/>
          <w:szCs w:val="22"/>
          <w:lang w:val="es-ES"/>
        </w:rPr>
        <w:t xml:space="preserve">La </w:t>
      </w:r>
      <w:r w:rsidR="000E133D" w:rsidRPr="004223D9">
        <w:rPr>
          <w:rFonts w:ascii="Arial" w:hAnsi="Arial" w:cs="Arial"/>
          <w:sz w:val="22"/>
          <w:szCs w:val="22"/>
          <w:lang w:val="es-ES"/>
        </w:rPr>
        <w:t>Ley Orgánica de Participación Ciudadana y Consulta Previa, entre otros aspectos, establece la potestad ciudadana para proponer la creación, reforma o derogatoria de normas jurídicas ante la Función Legislativa o ante cualquier otra institución u órgano con competencia normativa en todos los niveles de gobierno. Esta ley faculta también a los ciudadanos a realizar procesos de veedurías, observatorios y otros mecanismos de control social (o ambiental) a la actuación de los órganos y autoridades de todas las funciones del Estado (incluidas las autoridades ambientales correspondientes) y los diferentes niveles de gobierno, fomenta la participación ciudadana, instaura los presupuestos participativos, los consejos consultivos, la consulta previa, libre e informada, la rendición de cuentas y el acceso a la información.</w:t>
      </w:r>
    </w:p>
    <w:p w:rsidR="00336913" w:rsidRPr="004223D9" w:rsidRDefault="00336913" w:rsidP="000E133D">
      <w:pPr>
        <w:numPr>
          <w:ilvl w:val="1"/>
          <w:numId w:val="3"/>
        </w:numPr>
        <w:spacing w:after="120"/>
        <w:ind w:left="720"/>
        <w:jc w:val="both"/>
        <w:rPr>
          <w:rFonts w:ascii="Arial" w:hAnsi="Arial" w:cs="Arial"/>
          <w:sz w:val="22"/>
          <w:szCs w:val="22"/>
          <w:lang w:val="es-ES"/>
        </w:rPr>
      </w:pPr>
      <w:r w:rsidRPr="004223D9">
        <w:rPr>
          <w:rFonts w:ascii="Arial" w:hAnsi="Arial" w:cs="Arial"/>
          <w:sz w:val="22"/>
          <w:szCs w:val="22"/>
          <w:lang w:val="es-ES"/>
        </w:rPr>
        <w:t xml:space="preserve">Para el caso de las obras del Programa </w:t>
      </w:r>
      <w:r w:rsidR="00C3161C" w:rsidRPr="004223D9">
        <w:rPr>
          <w:rFonts w:ascii="Arial" w:hAnsi="Arial" w:cs="Arial"/>
          <w:sz w:val="22"/>
          <w:szCs w:val="22"/>
          <w:lang w:val="es-ES"/>
        </w:rPr>
        <w:t xml:space="preserve">como </w:t>
      </w:r>
      <w:r w:rsidR="008C29FF" w:rsidRPr="004223D9">
        <w:rPr>
          <w:rFonts w:ascii="Arial" w:hAnsi="Arial" w:cs="Arial"/>
          <w:sz w:val="22"/>
          <w:szCs w:val="22"/>
          <w:lang w:val="es-ES"/>
        </w:rPr>
        <w:t>se indica en la tabla anterior</w:t>
      </w:r>
      <w:r w:rsidR="00A17C0D" w:rsidRPr="004223D9">
        <w:rPr>
          <w:rFonts w:ascii="Arial" w:hAnsi="Arial" w:cs="Arial"/>
          <w:sz w:val="22"/>
          <w:szCs w:val="22"/>
          <w:lang w:val="es-ES"/>
        </w:rPr>
        <w:t xml:space="preserve">, la socialización de las evaluaciones ambientales se ha llevado a cabo para los proyectos que involucra la construcción, reconstrucción, y/o reforzamiento de líneas de subtransmisión. Los resultados de estos procesos de consulta </w:t>
      </w:r>
      <w:r w:rsidR="009F10C0" w:rsidRPr="004223D9">
        <w:rPr>
          <w:rFonts w:ascii="Arial" w:hAnsi="Arial" w:cs="Arial"/>
          <w:sz w:val="22"/>
          <w:szCs w:val="22"/>
          <w:lang w:val="es-ES"/>
        </w:rPr>
        <w:t>indican en su mayoría que la comunidad mira a estos proyectos como algo positivo para el desarrollo a la comunidad principalmente porque los proyectos mejorarán el servicio de energía y conectitividad, y así evitar cortes de energía continuos como los vienen teniendo hoy en día. También se espera que a través del proyecto la comunidad pueda ayudar al desarrollo de nuevos negocios y la generación de empleos temporales y permanentes.</w:t>
      </w:r>
      <w:r w:rsidR="006F5F07" w:rsidRPr="004223D9">
        <w:rPr>
          <w:rFonts w:ascii="Arial" w:hAnsi="Arial" w:cs="Arial"/>
          <w:sz w:val="22"/>
          <w:szCs w:val="22"/>
          <w:lang w:val="es-ES"/>
        </w:rPr>
        <w:t xml:space="preserve"> También, la socialización permitió mantener al tanto a la población sobre los posible</w:t>
      </w:r>
      <w:r w:rsidR="00BD3BBD" w:rsidRPr="004223D9">
        <w:rPr>
          <w:rFonts w:ascii="Arial" w:hAnsi="Arial" w:cs="Arial"/>
          <w:sz w:val="22"/>
          <w:szCs w:val="22"/>
          <w:lang w:val="es-ES"/>
        </w:rPr>
        <w:t>s</w:t>
      </w:r>
      <w:r w:rsidR="006F5F07" w:rsidRPr="004223D9">
        <w:rPr>
          <w:rFonts w:ascii="Arial" w:hAnsi="Arial" w:cs="Arial"/>
          <w:sz w:val="22"/>
          <w:szCs w:val="22"/>
          <w:lang w:val="es-ES"/>
        </w:rPr>
        <w:t xml:space="preserve"> impactos y riesgos ambientales que se pueden presentar durante las etapas de construcción y operación de las obras del Programa.</w:t>
      </w:r>
    </w:p>
    <w:p w:rsidR="009F10C0" w:rsidRPr="004223D9" w:rsidRDefault="009F10C0" w:rsidP="001E3674">
      <w:pPr>
        <w:widowControl w:val="0"/>
        <w:numPr>
          <w:ilvl w:val="1"/>
          <w:numId w:val="3"/>
        </w:numPr>
        <w:spacing w:after="120"/>
        <w:ind w:left="720"/>
        <w:jc w:val="both"/>
        <w:rPr>
          <w:rFonts w:ascii="Arial" w:hAnsi="Arial" w:cs="Arial"/>
          <w:sz w:val="22"/>
          <w:szCs w:val="22"/>
          <w:lang w:val="es-ES"/>
        </w:rPr>
      </w:pPr>
      <w:r w:rsidRPr="004223D9">
        <w:rPr>
          <w:rFonts w:ascii="Arial" w:hAnsi="Arial" w:cs="Arial"/>
          <w:sz w:val="22"/>
          <w:szCs w:val="22"/>
          <w:lang w:val="es-ES"/>
        </w:rPr>
        <w:t>No obstante</w:t>
      </w:r>
      <w:r w:rsidR="006F5F07" w:rsidRPr="004223D9">
        <w:rPr>
          <w:rFonts w:ascii="Arial" w:hAnsi="Arial" w:cs="Arial"/>
          <w:sz w:val="22"/>
          <w:szCs w:val="22"/>
          <w:lang w:val="es-ES"/>
        </w:rPr>
        <w:t>, para asegurar que todas las obras del Programa estén expuestas</w:t>
      </w:r>
      <w:r w:rsidR="001E3674" w:rsidRPr="004223D9">
        <w:rPr>
          <w:rFonts w:ascii="Arial" w:hAnsi="Arial" w:cs="Arial"/>
          <w:sz w:val="22"/>
          <w:szCs w:val="22"/>
          <w:lang w:val="es-ES"/>
        </w:rPr>
        <w:t xml:space="preserve"> continuamente a </w:t>
      </w:r>
      <w:r w:rsidR="006F5F07" w:rsidRPr="004223D9">
        <w:rPr>
          <w:rFonts w:ascii="Arial" w:hAnsi="Arial" w:cs="Arial"/>
          <w:sz w:val="22"/>
          <w:szCs w:val="22"/>
          <w:lang w:val="es-ES"/>
        </w:rPr>
        <w:t>una socialización, principalmente,</w:t>
      </w:r>
      <w:r w:rsidR="00BD3BBD" w:rsidRPr="004223D9">
        <w:rPr>
          <w:rFonts w:ascii="Arial" w:hAnsi="Arial" w:cs="Arial"/>
          <w:sz w:val="22"/>
          <w:szCs w:val="22"/>
          <w:lang w:val="es-ES"/>
        </w:rPr>
        <w:t xml:space="preserve"> en lo relacionado la concientización de los potenciales impactos socio-ambientales que se </w:t>
      </w:r>
      <w:r w:rsidR="00BD3BBD" w:rsidRPr="004223D9">
        <w:rPr>
          <w:rFonts w:ascii="Arial" w:hAnsi="Arial" w:cs="Arial"/>
          <w:sz w:val="22"/>
          <w:szCs w:val="22"/>
          <w:lang w:val="es-ES"/>
        </w:rPr>
        <w:lastRenderedPageBreak/>
        <w:t xml:space="preserve">presentarán durante la implementación </w:t>
      </w:r>
      <w:r w:rsidR="001E3674" w:rsidRPr="004223D9">
        <w:rPr>
          <w:rFonts w:ascii="Arial" w:hAnsi="Arial" w:cs="Arial"/>
          <w:sz w:val="22"/>
          <w:szCs w:val="22"/>
          <w:lang w:val="es-ES"/>
        </w:rPr>
        <w:t xml:space="preserve">del Programa, el </w:t>
      </w:r>
      <w:r w:rsidR="00D31259" w:rsidRPr="004223D9">
        <w:rPr>
          <w:rFonts w:ascii="Arial" w:hAnsi="Arial" w:cs="Arial"/>
          <w:sz w:val="22"/>
          <w:szCs w:val="22"/>
          <w:lang w:val="es-ES"/>
        </w:rPr>
        <w:t>OE</w:t>
      </w:r>
      <w:r w:rsidR="001E3674" w:rsidRPr="004223D9">
        <w:rPr>
          <w:rFonts w:ascii="Arial" w:hAnsi="Arial" w:cs="Arial"/>
          <w:sz w:val="22"/>
          <w:szCs w:val="22"/>
          <w:lang w:val="es-ES"/>
        </w:rPr>
        <w:t xml:space="preserve"> deberá implementar </w:t>
      </w:r>
      <w:r w:rsidR="001E3674" w:rsidRPr="004223D9">
        <w:rPr>
          <w:rFonts w:ascii="Arial" w:hAnsi="Arial" w:cs="Arial"/>
          <w:sz w:val="22"/>
          <w:szCs w:val="22"/>
          <w:lang w:val="es-ES_tradnl"/>
        </w:rPr>
        <w:t xml:space="preserve">un Mecanismo de Quejas y Reclamos para el Programa el cual permitirá establecer un procedimiento para la recepción de las inquietudes y quejas de la comunidad afectada por el Programa sobre el desempeño ambiental y social del </w:t>
      </w:r>
      <w:r w:rsidR="00D31259" w:rsidRPr="004223D9">
        <w:rPr>
          <w:rFonts w:ascii="Arial" w:hAnsi="Arial" w:cs="Arial"/>
          <w:sz w:val="22"/>
          <w:szCs w:val="22"/>
          <w:lang w:val="es-ES_tradnl"/>
        </w:rPr>
        <w:t>OE</w:t>
      </w:r>
      <w:r w:rsidR="001E3674" w:rsidRPr="004223D9">
        <w:rPr>
          <w:rFonts w:ascii="Arial" w:hAnsi="Arial" w:cs="Arial"/>
          <w:sz w:val="22"/>
          <w:szCs w:val="22"/>
          <w:lang w:val="es-ES_tradnl"/>
        </w:rPr>
        <w:t xml:space="preserve"> y para facilitar su resolución.</w:t>
      </w:r>
    </w:p>
    <w:p w:rsidR="00FD4C3C" w:rsidRPr="004223D9" w:rsidRDefault="00084DD8" w:rsidP="001E3674">
      <w:pPr>
        <w:pStyle w:val="Heading2"/>
        <w:keepNext w:val="0"/>
        <w:widowControl w:val="0"/>
        <w:ind w:hanging="720"/>
        <w:rPr>
          <w:rFonts w:ascii="Arial" w:hAnsi="Arial" w:cs="Arial"/>
          <w:lang w:val="es-ES"/>
        </w:rPr>
      </w:pPr>
      <w:bookmarkStart w:id="20" w:name="_Toc463535786"/>
      <w:r w:rsidRPr="004223D9">
        <w:rPr>
          <w:rFonts w:ascii="Arial" w:hAnsi="Arial" w:cs="Arial"/>
          <w:lang w:val="es-ES"/>
        </w:rPr>
        <w:t>Consistencia con Políticas y Directrices del BID</w:t>
      </w:r>
      <w:bookmarkEnd w:id="20"/>
      <w:r w:rsidRPr="004223D9">
        <w:rPr>
          <w:rFonts w:ascii="Arial" w:hAnsi="Arial" w:cs="Arial"/>
          <w:lang w:val="es-ES"/>
        </w:rPr>
        <w:t xml:space="preserve"> </w:t>
      </w:r>
    </w:p>
    <w:p w:rsidR="009F4C4D" w:rsidRPr="004223D9" w:rsidRDefault="000572C7" w:rsidP="001E3674">
      <w:pPr>
        <w:widowControl w:val="0"/>
        <w:numPr>
          <w:ilvl w:val="1"/>
          <w:numId w:val="3"/>
        </w:numPr>
        <w:spacing w:after="120"/>
        <w:ind w:left="720"/>
        <w:jc w:val="both"/>
        <w:rPr>
          <w:rFonts w:ascii="Arial" w:hAnsi="Arial" w:cs="Arial"/>
          <w:sz w:val="22"/>
          <w:szCs w:val="22"/>
          <w:lang w:val="es-ES"/>
        </w:rPr>
      </w:pPr>
      <w:r w:rsidRPr="004223D9">
        <w:rPr>
          <w:rFonts w:ascii="Arial" w:hAnsi="Arial" w:cs="Arial"/>
          <w:sz w:val="22"/>
          <w:szCs w:val="22"/>
          <w:lang w:val="es-ES"/>
        </w:rPr>
        <w:t xml:space="preserve">La siguiente tabla </w:t>
      </w:r>
      <w:r w:rsidR="00410B8F" w:rsidRPr="004223D9">
        <w:rPr>
          <w:rFonts w:ascii="Arial" w:hAnsi="Arial" w:cs="Arial"/>
          <w:sz w:val="22"/>
          <w:szCs w:val="22"/>
          <w:lang w:val="es-ES"/>
        </w:rPr>
        <w:t>presenta un resumen del cumplimiento del Programa con la Política de Medio Ambiente y Cumplim</w:t>
      </w:r>
      <w:r w:rsidRPr="004223D9">
        <w:rPr>
          <w:rFonts w:ascii="Arial" w:hAnsi="Arial" w:cs="Arial"/>
          <w:sz w:val="22"/>
          <w:szCs w:val="22"/>
          <w:lang w:val="es-ES"/>
        </w:rPr>
        <w:t>iento de Salvaguardias (OP-703)</w:t>
      </w:r>
      <w:r w:rsidR="006E35BF" w:rsidRPr="004223D9">
        <w:rPr>
          <w:rFonts w:ascii="Arial" w:hAnsi="Arial" w:cs="Arial"/>
          <w:sz w:val="22"/>
          <w:szCs w:val="22"/>
          <w:lang w:val="es-ES"/>
        </w:rPr>
        <w:t xml:space="preserve">. Debido a los potenciales riesgos ambientales y sociales que presenta esta operación, la misma ha sido clasificado una operación </w:t>
      </w:r>
      <w:r w:rsidR="002075D3" w:rsidRPr="004223D9">
        <w:rPr>
          <w:rFonts w:ascii="Arial" w:hAnsi="Arial" w:cs="Arial"/>
          <w:sz w:val="22"/>
          <w:szCs w:val="22"/>
          <w:lang w:val="es-ES"/>
        </w:rPr>
        <w:t>Categoría B</w:t>
      </w:r>
      <w:r w:rsidR="007133E2" w:rsidRPr="004223D9">
        <w:rPr>
          <w:rFonts w:ascii="Arial" w:hAnsi="Arial" w:cs="Arial"/>
          <w:sz w:val="22"/>
          <w:szCs w:val="22"/>
          <w:lang w:val="es-ES"/>
        </w:rPr>
        <w:t>.</w:t>
      </w:r>
      <w:r w:rsidR="00410B8F" w:rsidRPr="004223D9">
        <w:rPr>
          <w:rFonts w:ascii="Arial" w:hAnsi="Arial" w:cs="Arial"/>
          <w:sz w:val="22"/>
          <w:szCs w:val="22"/>
          <w:lang w:val="es-ES"/>
        </w:rPr>
        <w:t xml:space="preserve"> </w:t>
      </w:r>
      <w:r w:rsidR="002A5754" w:rsidRPr="004223D9">
        <w:rPr>
          <w:rFonts w:ascii="Arial" w:hAnsi="Arial" w:cs="Arial"/>
          <w:sz w:val="22"/>
          <w:szCs w:val="22"/>
          <w:lang w:val="es-ES"/>
        </w:rPr>
        <w:t>También, debido a que esta operación se implementará en áreas expuestas a eventos sísmicos de gran magnitud ha sido clasificada de alto riesgo en lo referente a riesgos de desastres.</w:t>
      </w:r>
    </w:p>
    <w:tbl>
      <w:tblPr>
        <w:tblW w:w="86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3330"/>
        <w:gridCol w:w="3060"/>
        <w:tblGridChange w:id="21">
          <w:tblGrid>
            <w:gridCol w:w="2250"/>
            <w:gridCol w:w="3330"/>
            <w:gridCol w:w="3060"/>
          </w:tblGrid>
        </w:tblGridChange>
      </w:tblGrid>
      <w:tr w:rsidR="000572C7" w:rsidRPr="004223D9" w:rsidTr="00F55C1A">
        <w:trPr>
          <w:trHeight w:val="310"/>
          <w:tblHeader/>
        </w:trPr>
        <w:tc>
          <w:tcPr>
            <w:tcW w:w="2250" w:type="dxa"/>
            <w:shd w:val="clear" w:color="auto" w:fill="548DD4"/>
            <w:tcMar>
              <w:top w:w="58" w:type="dxa"/>
              <w:left w:w="115" w:type="dxa"/>
              <w:bottom w:w="58" w:type="dxa"/>
              <w:right w:w="115" w:type="dxa"/>
            </w:tcMar>
            <w:vAlign w:val="center"/>
          </w:tcPr>
          <w:p w:rsidR="000572C7" w:rsidRPr="004223D9" w:rsidRDefault="000572C7" w:rsidP="00F55C1A">
            <w:pPr>
              <w:autoSpaceDE w:val="0"/>
              <w:autoSpaceDN w:val="0"/>
              <w:adjustRightInd w:val="0"/>
              <w:contextualSpacing/>
              <w:jc w:val="center"/>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Política / Directiva</w:t>
            </w:r>
          </w:p>
        </w:tc>
        <w:tc>
          <w:tcPr>
            <w:tcW w:w="3330" w:type="dxa"/>
            <w:shd w:val="clear" w:color="auto" w:fill="548DD4"/>
            <w:tcMar>
              <w:top w:w="58" w:type="dxa"/>
              <w:left w:w="115" w:type="dxa"/>
              <w:bottom w:w="58" w:type="dxa"/>
              <w:right w:w="115" w:type="dxa"/>
            </w:tcMar>
            <w:vAlign w:val="center"/>
          </w:tcPr>
          <w:p w:rsidR="000572C7" w:rsidRPr="004223D9" w:rsidRDefault="000572C7" w:rsidP="00F55C1A">
            <w:pPr>
              <w:autoSpaceDE w:val="0"/>
              <w:autoSpaceDN w:val="0"/>
              <w:adjustRightInd w:val="0"/>
              <w:contextualSpacing/>
              <w:jc w:val="center"/>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Acciones/Aspecto Aplicable</w:t>
            </w:r>
          </w:p>
        </w:tc>
        <w:tc>
          <w:tcPr>
            <w:tcW w:w="3060" w:type="dxa"/>
            <w:shd w:val="clear" w:color="auto" w:fill="548DD4"/>
            <w:tcMar>
              <w:top w:w="58" w:type="dxa"/>
              <w:left w:w="115" w:type="dxa"/>
              <w:bottom w:w="58" w:type="dxa"/>
              <w:right w:w="115" w:type="dxa"/>
            </w:tcMar>
            <w:vAlign w:val="center"/>
          </w:tcPr>
          <w:p w:rsidR="000572C7" w:rsidRPr="004223D9" w:rsidRDefault="000572C7" w:rsidP="00F55C1A">
            <w:pPr>
              <w:autoSpaceDE w:val="0"/>
              <w:autoSpaceDN w:val="0"/>
              <w:adjustRightInd w:val="0"/>
              <w:contextualSpacing/>
              <w:jc w:val="center"/>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Medidas / Salvaguardas</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B.1 Políticas del Banco</w:t>
            </w:r>
          </w:p>
        </w:tc>
        <w:tc>
          <w:tcPr>
            <w:tcW w:w="3330" w:type="dxa"/>
            <w:tcMar>
              <w:top w:w="29" w:type="dxa"/>
              <w:left w:w="29" w:type="dxa"/>
              <w:bottom w:w="29" w:type="dxa"/>
              <w:right w:w="29" w:type="dxa"/>
            </w:tcMa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Cumplimiento con las políticas y directrices aplicables del Banco.</w:t>
            </w:r>
          </w:p>
        </w:tc>
        <w:tc>
          <w:tcPr>
            <w:tcW w:w="3060" w:type="dxa"/>
            <w:tcMar>
              <w:top w:w="29" w:type="dxa"/>
              <w:left w:w="29" w:type="dxa"/>
              <w:bottom w:w="29" w:type="dxa"/>
              <w:right w:w="29" w:type="dxa"/>
            </w:tcMar>
          </w:tcPr>
          <w:p w:rsidR="000572C7" w:rsidRPr="008E2F1B" w:rsidRDefault="00AF1526" w:rsidP="00AF1526">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 xml:space="preserve">Se ha verificado que la operación cumple con las políticas del Banco y se ha generado un Análisis Ambiental y Social (AAS), incluyendo una primera versión del Marco de Gestión Ambiental y Social para el Programa. Además, el AAS es el resultado de una revisión de la documentación socio-ambiental de la muestra del Programa, incluyendo licencias ambientales, estudios de impacto ambiental, planes de gestión ambientales y sociales, y reportes de los procesos de consulta pública.   </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B.2 Legislación y regulaciones nacionales</w:t>
            </w:r>
          </w:p>
        </w:tc>
        <w:tc>
          <w:tcPr>
            <w:tcW w:w="3330" w:type="dxa"/>
            <w:tcMar>
              <w:top w:w="29" w:type="dxa"/>
              <w:left w:w="29" w:type="dxa"/>
              <w:bottom w:w="29" w:type="dxa"/>
              <w:right w:w="29" w:type="dxa"/>
            </w:tcMar>
          </w:tcPr>
          <w:tbl>
            <w:tblPr>
              <w:tblW w:w="0" w:type="auto"/>
              <w:tblBorders>
                <w:top w:val="nil"/>
                <w:left w:val="nil"/>
                <w:bottom w:val="nil"/>
                <w:right w:val="nil"/>
              </w:tblBorders>
              <w:tblLook w:val="0000" w:firstRow="0" w:lastRow="0" w:firstColumn="0" w:lastColumn="0" w:noHBand="0" w:noVBand="0"/>
            </w:tblPr>
            <w:tblGrid>
              <w:gridCol w:w="3272"/>
            </w:tblGrid>
            <w:tr w:rsidR="000572C7" w:rsidRPr="004223D9" w:rsidTr="00F55C1A">
              <w:tblPrEx>
                <w:tblCellMar>
                  <w:top w:w="0" w:type="dxa"/>
                  <w:bottom w:w="0" w:type="dxa"/>
                </w:tblCellMar>
              </w:tblPrEx>
              <w:trPr>
                <w:trHeight w:val="543"/>
              </w:trPr>
              <w:tc>
                <w:tcPr>
                  <w:tcW w:w="0" w:type="auto"/>
                  <w:tcMar>
                    <w:top w:w="29" w:type="dxa"/>
                    <w:left w:w="29" w:type="dxa"/>
                    <w:bottom w:w="29" w:type="dxa"/>
                    <w:right w:w="29" w:type="dxa"/>
                  </w:tcMa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 xml:space="preserve">El Programa deberá cumplir con la legislación ambiental y de seguridad ocupacional a nivel nacional, estatal y municipal. </w:t>
                  </w:r>
                </w:p>
              </w:tc>
            </w:tr>
          </w:tbl>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p>
        </w:tc>
        <w:tc>
          <w:tcPr>
            <w:tcW w:w="3060" w:type="dxa"/>
            <w:tcMar>
              <w:top w:w="29" w:type="dxa"/>
              <w:left w:w="29" w:type="dxa"/>
              <w:bottom w:w="29" w:type="dxa"/>
              <w:right w:w="29" w:type="dxa"/>
            </w:tcMar>
          </w:tcPr>
          <w:p w:rsidR="002075D3" w:rsidRPr="008E2F1B" w:rsidRDefault="00463447" w:rsidP="00463447">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 xml:space="preserve">La muestra del Programa cumple con la legislación nacional y está aplicando adecuadamente los instrumentos que exige la normativa local para la gestión ambiental y social. </w:t>
            </w:r>
            <w:r w:rsidR="002075D3" w:rsidRPr="008E2F1B">
              <w:rPr>
                <w:rFonts w:ascii="Arial" w:eastAsia="Times New Roman" w:hAnsi="Arial" w:cs="Arial"/>
                <w:color w:val="000000"/>
                <w:sz w:val="18"/>
                <w:szCs w:val="18"/>
                <w:lang w:val="es-ES"/>
              </w:rPr>
              <w:t>El MEER Y CNEL EP cuentan con un sistema de gestión ambiental</w:t>
            </w:r>
            <w:r w:rsidRPr="008E2F1B">
              <w:rPr>
                <w:rFonts w:ascii="Arial" w:eastAsia="Times New Roman" w:hAnsi="Arial" w:cs="Arial"/>
                <w:color w:val="000000"/>
                <w:sz w:val="18"/>
                <w:szCs w:val="18"/>
                <w:lang w:val="es-ES"/>
              </w:rPr>
              <w:t>; no obstante, l</w:t>
            </w:r>
            <w:r w:rsidR="002075D3" w:rsidRPr="008E2F1B">
              <w:rPr>
                <w:rFonts w:ascii="Arial" w:eastAsia="Times New Roman" w:hAnsi="Arial" w:cs="Arial"/>
                <w:color w:val="000000"/>
                <w:sz w:val="18"/>
                <w:szCs w:val="18"/>
                <w:lang w:val="es-ES"/>
              </w:rPr>
              <w:t>a operación implementará acciones correctivas que permitirán reforzar el cumplimiento de la normativa ambiental ecuatoriana</w:t>
            </w:r>
            <w:r w:rsidRPr="008E2F1B">
              <w:rPr>
                <w:rFonts w:ascii="Arial" w:eastAsia="Times New Roman" w:hAnsi="Arial" w:cs="Arial"/>
                <w:color w:val="000000"/>
                <w:sz w:val="18"/>
                <w:szCs w:val="18"/>
                <w:lang w:val="es-ES"/>
              </w:rPr>
              <w:t>.</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B.3 Pre-evaluación y clasificación</w:t>
            </w:r>
          </w:p>
        </w:tc>
        <w:tc>
          <w:tcPr>
            <w:tcW w:w="3330" w:type="dxa"/>
            <w:tcMar>
              <w:top w:w="29" w:type="dxa"/>
              <w:left w:w="29" w:type="dxa"/>
              <w:bottom w:w="29" w:type="dxa"/>
              <w:right w:w="29" w:type="dxa"/>
            </w:tcMa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Aplicación de la clasificación socio-ambiental apropiada.</w:t>
            </w:r>
          </w:p>
        </w:tc>
        <w:tc>
          <w:tcPr>
            <w:tcW w:w="3060" w:type="dxa"/>
            <w:tcMar>
              <w:top w:w="29" w:type="dxa"/>
              <w:left w:w="29" w:type="dxa"/>
              <w:bottom w:w="29" w:type="dxa"/>
              <w:right w:w="29" w:type="dxa"/>
            </w:tcMar>
          </w:tcPr>
          <w:p w:rsidR="000572C7" w:rsidRPr="008E2F1B"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La operación ha sido pre-evaluada usando la herramienta de clasificación del Banco (</w:t>
            </w:r>
            <w:r w:rsidRPr="008E2F1B">
              <w:rPr>
                <w:rFonts w:ascii="Arial" w:eastAsia="Times New Roman" w:hAnsi="Arial" w:cs="Arial"/>
                <w:i/>
                <w:color w:val="000000"/>
                <w:sz w:val="18"/>
                <w:szCs w:val="18"/>
                <w:lang w:val="es-ES"/>
              </w:rPr>
              <w:t>ToolKit</w:t>
            </w:r>
            <w:r w:rsidRPr="008E2F1B">
              <w:rPr>
                <w:rFonts w:ascii="Arial" w:eastAsia="Times New Roman" w:hAnsi="Arial" w:cs="Arial"/>
                <w:color w:val="000000"/>
                <w:sz w:val="18"/>
                <w:szCs w:val="18"/>
                <w:lang w:val="es-ES"/>
              </w:rPr>
              <w:t>)</w:t>
            </w:r>
            <w:r w:rsidR="0079066E" w:rsidRPr="008E2F1B">
              <w:rPr>
                <w:rFonts w:ascii="Arial" w:eastAsia="Times New Roman" w:hAnsi="Arial" w:cs="Arial"/>
                <w:color w:val="000000"/>
                <w:sz w:val="18"/>
                <w:szCs w:val="18"/>
                <w:lang w:val="es-ES"/>
              </w:rPr>
              <w:t xml:space="preserve"> cuyo resultado es que la operación está clasificada como </w:t>
            </w:r>
            <w:r w:rsidR="0079066E" w:rsidRPr="008E2F1B">
              <w:rPr>
                <w:rFonts w:ascii="Arial" w:eastAsia="Times New Roman" w:hAnsi="Arial" w:cs="Arial"/>
                <w:color w:val="000000"/>
                <w:sz w:val="18"/>
                <w:szCs w:val="18"/>
                <w:u w:val="single"/>
                <w:lang w:val="es-ES"/>
              </w:rPr>
              <w:t>Categoría B</w:t>
            </w:r>
            <w:r w:rsidR="0079066E" w:rsidRPr="008E2F1B">
              <w:rPr>
                <w:rFonts w:ascii="Arial" w:eastAsia="Times New Roman" w:hAnsi="Arial" w:cs="Arial"/>
                <w:color w:val="000000"/>
                <w:sz w:val="18"/>
                <w:szCs w:val="18"/>
                <w:lang w:val="es-ES"/>
              </w:rPr>
              <w:t>.</w:t>
            </w:r>
          </w:p>
        </w:tc>
      </w:tr>
      <w:tr w:rsidR="000572C7" w:rsidRPr="004223D9" w:rsidTr="00BB5B0E">
        <w:trPr>
          <w:trHeight w:val="850"/>
        </w:trPr>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B.4 Otros factores de riesgo</w:t>
            </w:r>
          </w:p>
        </w:tc>
        <w:tc>
          <w:tcPr>
            <w:tcW w:w="3330" w:type="dxa"/>
            <w:tcMar>
              <w:top w:w="29" w:type="dxa"/>
              <w:left w:w="29" w:type="dxa"/>
              <w:bottom w:w="29" w:type="dxa"/>
              <w:right w:w="29" w:type="dxa"/>
            </w:tcMar>
          </w:tcPr>
          <w:p w:rsidR="000572C7" w:rsidRPr="004223D9" w:rsidRDefault="0083348F"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C"/>
              </w:rPr>
              <w:t>Riesgos relacionados a las debilidades de la capacidad institucional del MEER Y CNEL EP, encargadas de la gestión de los aspectos socio-ambientales aplicables a la operación.</w:t>
            </w:r>
          </w:p>
        </w:tc>
        <w:tc>
          <w:tcPr>
            <w:tcW w:w="3060" w:type="dxa"/>
            <w:tcMar>
              <w:top w:w="29" w:type="dxa"/>
              <w:left w:w="29" w:type="dxa"/>
              <w:bottom w:w="29" w:type="dxa"/>
              <w:right w:w="29" w:type="dxa"/>
            </w:tcMar>
          </w:tcPr>
          <w:tbl>
            <w:tblPr>
              <w:tblW w:w="0" w:type="auto"/>
              <w:tblBorders>
                <w:top w:val="nil"/>
                <w:left w:val="nil"/>
                <w:bottom w:val="nil"/>
                <w:right w:val="nil"/>
              </w:tblBorders>
              <w:tblLook w:val="0000" w:firstRow="0" w:lastRow="0" w:firstColumn="0" w:lastColumn="0" w:noHBand="0" w:noVBand="0"/>
            </w:tblPr>
            <w:tblGrid>
              <w:gridCol w:w="3002"/>
            </w:tblGrid>
            <w:tr w:rsidR="000572C7" w:rsidRPr="008E2F1B" w:rsidTr="00F55C1A">
              <w:tblPrEx>
                <w:tblCellMar>
                  <w:top w:w="0" w:type="dxa"/>
                  <w:bottom w:w="0" w:type="dxa"/>
                </w:tblCellMar>
              </w:tblPrEx>
              <w:trPr>
                <w:trHeight w:val="855"/>
              </w:trPr>
              <w:tc>
                <w:tcPr>
                  <w:tcW w:w="0" w:type="auto"/>
                  <w:tcMar>
                    <w:top w:w="29" w:type="dxa"/>
                    <w:left w:w="29" w:type="dxa"/>
                    <w:bottom w:w="29" w:type="dxa"/>
                    <w:right w:w="29" w:type="dxa"/>
                  </w:tcMar>
                </w:tcPr>
                <w:p w:rsidR="000572C7" w:rsidRPr="008E2F1B" w:rsidRDefault="0083348F" w:rsidP="003B72BB">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C"/>
                    </w:rPr>
                    <w:t>Como parte de los acuerdos señalados con el MEER Y CNEL EP, se fortalecerá la gestión socio ambiental de esta operación</w:t>
                  </w:r>
                  <w:r w:rsidR="00463447" w:rsidRPr="008E2F1B">
                    <w:rPr>
                      <w:rFonts w:ascii="Arial" w:eastAsia="Times New Roman" w:hAnsi="Arial" w:cs="Arial"/>
                      <w:color w:val="000000"/>
                      <w:sz w:val="18"/>
                      <w:szCs w:val="18"/>
                      <w:lang w:val="es-EC"/>
                    </w:rPr>
                    <w:t xml:space="preserve"> implementando planes recomendados por el Banco y la contratación de un especialista ambiental </w:t>
                  </w:r>
                  <w:r w:rsidR="003B72BB" w:rsidRPr="008E2F1B">
                    <w:rPr>
                      <w:rFonts w:ascii="Arial" w:eastAsia="Times New Roman" w:hAnsi="Arial" w:cs="Arial"/>
                      <w:color w:val="000000"/>
                      <w:sz w:val="18"/>
                      <w:szCs w:val="18"/>
                      <w:lang w:val="es-EC"/>
                    </w:rPr>
                    <w:t xml:space="preserve">que será parte de la </w:t>
                  </w:r>
                  <w:r w:rsidR="003B72BB" w:rsidRPr="008E2F1B">
                    <w:rPr>
                      <w:rFonts w:ascii="Arial" w:eastAsia="Times New Roman" w:hAnsi="Arial" w:cs="Arial"/>
                      <w:color w:val="000000"/>
                      <w:sz w:val="18"/>
                      <w:szCs w:val="18"/>
                      <w:lang w:val="es-EC"/>
                    </w:rPr>
                    <w:lastRenderedPageBreak/>
                    <w:t>Unidad de Gestión del Programa</w:t>
                  </w:r>
                  <w:r w:rsidRPr="008E2F1B">
                    <w:rPr>
                      <w:rFonts w:ascii="Arial" w:eastAsia="Times New Roman" w:hAnsi="Arial" w:cs="Arial"/>
                      <w:color w:val="000000"/>
                      <w:sz w:val="18"/>
                      <w:szCs w:val="18"/>
                      <w:lang w:val="es-EC"/>
                    </w:rPr>
                    <w:t>.</w:t>
                  </w:r>
                  <w:r w:rsidR="00805F15" w:rsidRPr="008E2F1B">
                    <w:rPr>
                      <w:rFonts w:ascii="Arial" w:eastAsia="Times New Roman" w:hAnsi="Arial" w:cs="Arial"/>
                      <w:color w:val="000000"/>
                      <w:sz w:val="18"/>
                      <w:szCs w:val="18"/>
                      <w:lang w:val="es-ES"/>
                    </w:rPr>
                    <w:t xml:space="preserve"> </w:t>
                  </w:r>
                </w:p>
              </w:tc>
            </w:tr>
          </w:tbl>
          <w:p w:rsidR="000572C7" w:rsidRPr="008E2F1B" w:rsidRDefault="000572C7" w:rsidP="00D31259">
            <w:pPr>
              <w:autoSpaceDE w:val="0"/>
              <w:autoSpaceDN w:val="0"/>
              <w:adjustRightInd w:val="0"/>
              <w:contextualSpacing/>
              <w:jc w:val="both"/>
              <w:rPr>
                <w:rFonts w:ascii="Arial" w:eastAsia="Times New Roman" w:hAnsi="Arial" w:cs="Arial"/>
                <w:color w:val="000000"/>
                <w:sz w:val="18"/>
                <w:szCs w:val="18"/>
                <w:lang w:val="es-ES"/>
              </w:rPr>
            </w:pPr>
          </w:p>
        </w:tc>
      </w:tr>
      <w:tr w:rsidR="000572C7" w:rsidRPr="004223D9" w:rsidTr="00BB5B0E">
        <w:trPr>
          <w:trHeight w:val="454"/>
        </w:trPr>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lastRenderedPageBreak/>
              <w:t>B.5 Requisitos de evaluación ambiental</w:t>
            </w:r>
          </w:p>
        </w:tc>
        <w:tc>
          <w:tcPr>
            <w:tcW w:w="3330" w:type="dxa"/>
            <w:tcMar>
              <w:top w:w="29" w:type="dxa"/>
              <w:left w:w="29" w:type="dxa"/>
              <w:bottom w:w="29" w:type="dxa"/>
              <w:right w:w="29" w:type="dxa"/>
            </w:tcMa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Implementación de las correspondientes evaluaciones ambientales y sociales.</w:t>
            </w:r>
          </w:p>
        </w:tc>
        <w:tc>
          <w:tcPr>
            <w:tcW w:w="3060" w:type="dxa"/>
            <w:tcMar>
              <w:top w:w="29" w:type="dxa"/>
              <w:left w:w="29" w:type="dxa"/>
              <w:bottom w:w="29" w:type="dxa"/>
              <w:right w:w="29" w:type="dxa"/>
            </w:tcMar>
          </w:tcPr>
          <w:p w:rsidR="000572C7" w:rsidRPr="008E2F1B" w:rsidRDefault="00C62A7F" w:rsidP="00CD5156">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La muestra del Programa cumple con esta directiva ya que la infraestructura propuesta cuenta con las respectivas evaluaciones ambientales y sociales. Adicionalmente, se ha realizado un Análisis Ambiental y Social para todo el Programa</w:t>
            </w:r>
            <w:r w:rsidR="00CD5156" w:rsidRPr="008E2F1B">
              <w:rPr>
                <w:rFonts w:ascii="Arial" w:eastAsia="Times New Roman" w:hAnsi="Arial" w:cs="Arial"/>
                <w:color w:val="000000"/>
                <w:sz w:val="18"/>
                <w:szCs w:val="18"/>
                <w:lang w:val="es-ES"/>
              </w:rPr>
              <w:t xml:space="preserve"> para identificar oportunidades, acciones y medidas que puedan mejorar los requerimientos exigidos por la normativa local, y también incluir buenas prácticas en lo ambiental, social, y salud y seguridad ocupacional . El AAS </w:t>
            </w:r>
            <w:r w:rsidRPr="008E2F1B">
              <w:rPr>
                <w:rFonts w:ascii="Arial" w:eastAsia="Times New Roman" w:hAnsi="Arial" w:cs="Arial"/>
                <w:color w:val="000000"/>
                <w:sz w:val="18"/>
                <w:szCs w:val="18"/>
                <w:lang w:val="es-ES"/>
              </w:rPr>
              <w:t>incluye una primera versión del Marco de Gestión Ambiental y Social (MGAS) para el Programa.</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B.6 Consultas</w:t>
            </w:r>
          </w:p>
        </w:tc>
        <w:tc>
          <w:tcPr>
            <w:tcW w:w="3330" w:type="dxa"/>
            <w:tcMar>
              <w:top w:w="29" w:type="dxa"/>
              <w:left w:w="29" w:type="dxa"/>
              <w:bottom w:w="29" w:type="dxa"/>
              <w:right w:w="29" w:type="dxa"/>
            </w:tcMa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Llevar a cabo el proceso de consulta pública/socialización con las comunidades directa e indirectamente afectadas por los proyectos.</w:t>
            </w:r>
          </w:p>
        </w:tc>
        <w:tc>
          <w:tcPr>
            <w:tcW w:w="3060" w:type="dxa"/>
            <w:tcMar>
              <w:top w:w="29" w:type="dxa"/>
              <w:left w:w="29" w:type="dxa"/>
              <w:bottom w:w="29" w:type="dxa"/>
              <w:right w:w="29" w:type="dxa"/>
            </w:tcMar>
          </w:tcPr>
          <w:p w:rsidR="000572C7" w:rsidRPr="008E2F1B" w:rsidRDefault="004B50A3"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 xml:space="preserve">El proceso de consulta pública para las obras del Programa ya ha comenzado, </w:t>
            </w:r>
            <w:r w:rsidR="00D31259" w:rsidRPr="008E2F1B">
              <w:rPr>
                <w:rFonts w:ascii="Arial" w:eastAsia="Times New Roman" w:hAnsi="Arial" w:cs="Arial"/>
                <w:color w:val="000000"/>
                <w:sz w:val="18"/>
                <w:szCs w:val="18"/>
                <w:lang w:val="es-ES"/>
              </w:rPr>
              <w:t>y principalmente se ha enfocado en las obras de las líneas de transmisión</w:t>
            </w:r>
            <w:r w:rsidRPr="008E2F1B">
              <w:rPr>
                <w:rFonts w:ascii="Arial" w:eastAsia="Times New Roman" w:hAnsi="Arial" w:cs="Arial"/>
                <w:color w:val="000000"/>
                <w:sz w:val="18"/>
                <w:szCs w:val="18"/>
                <w:lang w:val="es-ES"/>
              </w:rPr>
              <w:t>. Hasta el momento se han llevado a cabo dos consultas públicas/socialización. Ver Tabla 01 y párrafo 3.6 de este documento.</w:t>
            </w:r>
            <w:r w:rsidR="00F165CB" w:rsidRPr="008E2F1B">
              <w:rPr>
                <w:rFonts w:ascii="Arial" w:eastAsia="Times New Roman" w:hAnsi="Arial" w:cs="Arial"/>
                <w:color w:val="000000"/>
                <w:sz w:val="18"/>
                <w:szCs w:val="18"/>
                <w:lang w:val="es-ES"/>
              </w:rPr>
              <w:t xml:space="preserve"> </w:t>
            </w:r>
            <w:r w:rsidR="00F165CB" w:rsidRPr="008E2F1B">
              <w:rPr>
                <w:rFonts w:ascii="Arial" w:eastAsia="Times New Roman" w:hAnsi="Arial" w:cs="Arial"/>
                <w:b/>
                <w:color w:val="000000"/>
                <w:sz w:val="18"/>
                <w:szCs w:val="18"/>
                <w:lang w:val="es-ES"/>
              </w:rPr>
              <w:t xml:space="preserve">Durante la etapa de ejecución del Programa se seguirá realizando el proceso de consulta. Adicionalmente, para mejorar el proceso continuo de socialización del Programa se implementará un Mecanismo de Resolución de Quejas y Reclamos. </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B.7 Supervisión y cumplimiento</w:t>
            </w:r>
          </w:p>
        </w:tc>
        <w:tc>
          <w:tcPr>
            <w:tcW w:w="3330" w:type="dxa"/>
            <w:tcMar>
              <w:top w:w="29" w:type="dxa"/>
              <w:left w:w="29" w:type="dxa"/>
              <w:bottom w:w="29" w:type="dxa"/>
              <w:right w:w="29" w:type="dxa"/>
            </w:tcMa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 xml:space="preserve">Supervisión y cumplimiento de todos los requisitos socio-ambientales que apliquen a la operación, </w:t>
            </w:r>
            <w:r w:rsidR="00BA6AB8" w:rsidRPr="004223D9">
              <w:rPr>
                <w:rFonts w:ascii="Arial" w:eastAsia="Times New Roman" w:hAnsi="Arial" w:cs="Arial"/>
                <w:color w:val="000000"/>
                <w:sz w:val="18"/>
                <w:szCs w:val="18"/>
                <w:lang w:val="es-ES"/>
              </w:rPr>
              <w:t xml:space="preserve">incluyendo </w:t>
            </w:r>
            <w:r w:rsidRPr="004223D9">
              <w:rPr>
                <w:rFonts w:ascii="Arial" w:eastAsia="Times New Roman" w:hAnsi="Arial" w:cs="Arial"/>
                <w:color w:val="000000"/>
                <w:sz w:val="18"/>
                <w:szCs w:val="18"/>
                <w:lang w:val="es-ES"/>
              </w:rPr>
              <w:t>los  requerimientos establecidos en el IGAS, y en el contrato de préstamo.</w:t>
            </w:r>
          </w:p>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p>
        </w:tc>
        <w:tc>
          <w:tcPr>
            <w:tcW w:w="3060" w:type="dxa"/>
            <w:tcMar>
              <w:top w:w="29" w:type="dxa"/>
              <w:left w:w="29" w:type="dxa"/>
              <w:bottom w:w="29" w:type="dxa"/>
              <w:right w:w="29" w:type="dxa"/>
            </w:tcMar>
            <w:vAlign w:val="center"/>
          </w:tcPr>
          <w:p w:rsidR="000572C7" w:rsidRPr="008E2F1B" w:rsidRDefault="0083348F"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C"/>
              </w:rPr>
              <w:t>Se reforzará el sistema de seguimiento al cumplimiento ambiental de la</w:t>
            </w:r>
            <w:r w:rsidR="00D31259" w:rsidRPr="008E2F1B">
              <w:rPr>
                <w:rFonts w:ascii="Arial" w:eastAsia="Times New Roman" w:hAnsi="Arial" w:cs="Arial"/>
                <w:color w:val="000000"/>
                <w:sz w:val="18"/>
                <w:szCs w:val="18"/>
                <w:lang w:val="es-EC"/>
              </w:rPr>
              <w:t>s</w:t>
            </w:r>
            <w:r w:rsidRPr="008E2F1B">
              <w:rPr>
                <w:rFonts w:ascii="Arial" w:eastAsia="Times New Roman" w:hAnsi="Arial" w:cs="Arial"/>
                <w:color w:val="000000"/>
                <w:sz w:val="18"/>
                <w:szCs w:val="18"/>
                <w:lang w:val="es-EC"/>
              </w:rPr>
              <w:t xml:space="preserve"> obras con el que cuenta actualmente el MEER y que se ha desarrollado en conjunto con el MAE.</w:t>
            </w:r>
          </w:p>
        </w:tc>
      </w:tr>
      <w:tr w:rsidR="000572C7" w:rsidRPr="004223D9" w:rsidTr="00BB5B0E">
        <w:trPr>
          <w:trHeight w:val="445"/>
        </w:trPr>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B.8 Impactos transfronterizos</w:t>
            </w:r>
          </w:p>
        </w:tc>
        <w:tc>
          <w:tcPr>
            <w:tcW w:w="3330" w:type="dxa"/>
            <w:tcMar>
              <w:top w:w="29" w:type="dxa"/>
              <w:left w:w="29" w:type="dxa"/>
              <w:bottom w:w="29" w:type="dxa"/>
              <w:right w:w="29" w:type="dxa"/>
            </w:tcMa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N/A</w:t>
            </w:r>
          </w:p>
        </w:tc>
        <w:tc>
          <w:tcPr>
            <w:tcW w:w="3060" w:type="dxa"/>
            <w:tcMar>
              <w:top w:w="29" w:type="dxa"/>
              <w:left w:w="29" w:type="dxa"/>
              <w:bottom w:w="29" w:type="dxa"/>
              <w:right w:w="29" w:type="dxa"/>
            </w:tcMar>
          </w:tcPr>
          <w:p w:rsidR="000572C7" w:rsidRPr="008E2F1B"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N/A</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B.9 Hábitats naturales y sitios culturales</w:t>
            </w:r>
          </w:p>
        </w:tc>
        <w:tc>
          <w:tcPr>
            <w:tcW w:w="3330" w:type="dxa"/>
            <w:tcMar>
              <w:top w:w="29" w:type="dxa"/>
              <w:left w:w="29" w:type="dxa"/>
              <w:bottom w:w="29" w:type="dxa"/>
              <w:right w:w="29" w:type="dxa"/>
            </w:tcMa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Evitar la implementación de proyectos  en áreas naturales protegidas o  hábitats críticos naturales, o proyectos que afecten sitios culturales.</w:t>
            </w:r>
          </w:p>
        </w:tc>
        <w:tc>
          <w:tcPr>
            <w:tcW w:w="3060" w:type="dxa"/>
            <w:tcMar>
              <w:top w:w="29" w:type="dxa"/>
              <w:left w:w="29" w:type="dxa"/>
              <w:bottom w:w="29" w:type="dxa"/>
              <w:right w:w="29" w:type="dxa"/>
            </w:tcMar>
          </w:tcPr>
          <w:p w:rsidR="000572C7" w:rsidRPr="008E2F1B" w:rsidRDefault="00F165CB" w:rsidP="002632DF">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hAnsi="Arial" w:cs="Arial"/>
                <w:sz w:val="18"/>
                <w:szCs w:val="18"/>
                <w:lang w:val="es-ES"/>
              </w:rPr>
              <w:t>La</w:t>
            </w:r>
            <w:r w:rsidR="002632DF" w:rsidRPr="008E2F1B">
              <w:rPr>
                <w:rFonts w:ascii="Arial" w:hAnsi="Arial" w:cs="Arial"/>
                <w:sz w:val="18"/>
                <w:szCs w:val="18"/>
                <w:lang w:val="es-ES"/>
              </w:rPr>
              <w:t xml:space="preserve">s obras de infraestructura que están contempladas en esta operación </w:t>
            </w:r>
            <w:r w:rsidRPr="008E2F1B">
              <w:rPr>
                <w:rFonts w:ascii="Arial" w:hAnsi="Arial" w:cs="Arial"/>
                <w:sz w:val="18"/>
                <w:szCs w:val="18"/>
                <w:lang w:val="es-ES"/>
              </w:rPr>
              <w:t>no est</w:t>
            </w:r>
            <w:r w:rsidR="002632DF" w:rsidRPr="008E2F1B">
              <w:rPr>
                <w:rFonts w:ascii="Arial" w:hAnsi="Arial" w:cs="Arial"/>
                <w:sz w:val="18"/>
                <w:szCs w:val="18"/>
                <w:lang w:val="es-ES"/>
              </w:rPr>
              <w:t xml:space="preserve">án o estarán  ubicadas </w:t>
            </w:r>
            <w:r w:rsidRPr="008E2F1B">
              <w:rPr>
                <w:rFonts w:ascii="Arial" w:hAnsi="Arial" w:cs="Arial"/>
                <w:sz w:val="18"/>
                <w:szCs w:val="18"/>
                <w:lang w:val="es-ES"/>
              </w:rPr>
              <w:t xml:space="preserve">en </w:t>
            </w:r>
            <w:r w:rsidR="0083348F" w:rsidRPr="008E2F1B">
              <w:rPr>
                <w:rFonts w:ascii="Arial" w:hAnsi="Arial" w:cs="Arial"/>
                <w:sz w:val="18"/>
                <w:szCs w:val="18"/>
                <w:lang w:val="es-EC"/>
              </w:rPr>
              <w:t>áreas protegidas, otros hábitats naturales críticos</w:t>
            </w:r>
            <w:r w:rsidRPr="008E2F1B">
              <w:rPr>
                <w:rFonts w:ascii="Arial" w:hAnsi="Arial" w:cs="Arial"/>
                <w:sz w:val="18"/>
                <w:szCs w:val="18"/>
                <w:lang w:val="es-EC"/>
              </w:rPr>
              <w:t xml:space="preserve">, </w:t>
            </w:r>
            <w:r w:rsidR="0083348F" w:rsidRPr="008E2F1B">
              <w:rPr>
                <w:rFonts w:ascii="Arial" w:hAnsi="Arial" w:cs="Arial"/>
                <w:sz w:val="18"/>
                <w:szCs w:val="18"/>
                <w:lang w:val="es-EC"/>
              </w:rPr>
              <w:t>sitio culturales críticos, o que tengan el potencial de generar impactos significativos o conversión de dichas áreas.</w:t>
            </w:r>
            <w:r w:rsidR="002632DF" w:rsidRPr="008E2F1B">
              <w:rPr>
                <w:rFonts w:ascii="Arial" w:hAnsi="Arial" w:cs="Arial"/>
                <w:sz w:val="18"/>
                <w:szCs w:val="18"/>
                <w:lang w:val="es-EC"/>
              </w:rPr>
              <w:t xml:space="preserve"> Las obras se realizarán en lugares ya intervenidos y  antropizados,  y en su gran mayoría </w:t>
            </w:r>
            <w:r w:rsidR="002632DF" w:rsidRPr="008E2F1B">
              <w:rPr>
                <w:rFonts w:ascii="Arial" w:hAnsi="Arial" w:cs="Arial"/>
                <w:sz w:val="18"/>
                <w:szCs w:val="18"/>
                <w:lang w:val="es-EC"/>
              </w:rPr>
              <w:lastRenderedPageBreak/>
              <w:t>son obras de reconstrucción.</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lastRenderedPageBreak/>
              <w:t>B.10 Materiales peligrosos</w:t>
            </w:r>
          </w:p>
        </w:tc>
        <w:tc>
          <w:tcPr>
            <w:tcW w:w="3330" w:type="dxa"/>
            <w:tcMar>
              <w:top w:w="29" w:type="dxa"/>
              <w:left w:w="29" w:type="dxa"/>
              <w:bottom w:w="29" w:type="dxa"/>
              <w:right w:w="29" w:type="dxa"/>
            </w:tcMa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Manejo adecuado y control de materiales peligrosos.</w:t>
            </w:r>
          </w:p>
        </w:tc>
        <w:tc>
          <w:tcPr>
            <w:tcW w:w="3060" w:type="dxa"/>
            <w:tcMar>
              <w:top w:w="29" w:type="dxa"/>
              <w:left w:w="29" w:type="dxa"/>
              <w:bottom w:w="29" w:type="dxa"/>
              <w:right w:w="29" w:type="dxa"/>
            </w:tcMar>
          </w:tcPr>
          <w:p w:rsidR="000572C7" w:rsidRPr="008E2F1B" w:rsidRDefault="002632DF" w:rsidP="002632DF">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hAnsi="Arial" w:cs="Arial"/>
                <w:sz w:val="18"/>
                <w:szCs w:val="18"/>
                <w:lang w:val="es-ES"/>
              </w:rPr>
              <w:t xml:space="preserve">La muestra del Programa evidencia que las evaluaciones ambientales y planes de gestión ambientales requeridas por normativa local incluyen las respectivas medidas necesarias </w:t>
            </w:r>
            <w:r w:rsidR="000572C7" w:rsidRPr="008E2F1B">
              <w:rPr>
                <w:rFonts w:ascii="Arial" w:hAnsi="Arial" w:cs="Arial"/>
                <w:sz w:val="18"/>
                <w:szCs w:val="18"/>
                <w:lang w:val="es-ES"/>
              </w:rPr>
              <w:t>para asegurar la gestión adecuada de materiales peligrosos.</w:t>
            </w:r>
            <w:r w:rsidRPr="008E2F1B">
              <w:rPr>
                <w:rFonts w:ascii="Arial" w:hAnsi="Arial" w:cs="Arial"/>
                <w:sz w:val="18"/>
                <w:szCs w:val="18"/>
                <w:lang w:val="es-ES"/>
              </w:rPr>
              <w:t xml:space="preserve"> Sin embargo, se ha solicitado al ejecutor elaborar de una forma más detallada un plan para la gestión de PCBs. Este plan formará parte del MGAS del Programa.</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B.11 Prevención y reducción de la contaminación</w:t>
            </w:r>
          </w:p>
        </w:tc>
        <w:tc>
          <w:tcPr>
            <w:tcW w:w="3330" w:type="dxa"/>
            <w:tcMar>
              <w:top w:w="29" w:type="dxa"/>
              <w:left w:w="29" w:type="dxa"/>
              <w:bottom w:w="29" w:type="dxa"/>
              <w:right w:w="29" w:type="dxa"/>
            </w:tcMa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Generación de emisiones de gases a la atmósfera, ruido y desechos sólidos.</w:t>
            </w:r>
          </w:p>
        </w:tc>
        <w:tc>
          <w:tcPr>
            <w:tcW w:w="3060" w:type="dxa"/>
            <w:tcMar>
              <w:top w:w="29" w:type="dxa"/>
              <w:left w:w="29" w:type="dxa"/>
              <w:bottom w:w="29" w:type="dxa"/>
              <w:right w:w="29" w:type="dxa"/>
            </w:tcMar>
          </w:tcPr>
          <w:p w:rsidR="000572C7" w:rsidRPr="008E2F1B" w:rsidRDefault="009D7152" w:rsidP="009D7152">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 xml:space="preserve">A través de la muestra del Programa se ha constato que las evaluaciones ambientales y planes de gestión requeridos por las autoridades locales incluyen  </w:t>
            </w:r>
            <w:r w:rsidR="000572C7" w:rsidRPr="008E2F1B">
              <w:rPr>
                <w:rFonts w:ascii="Arial" w:eastAsia="Times New Roman" w:hAnsi="Arial" w:cs="Arial"/>
                <w:color w:val="000000"/>
                <w:sz w:val="18"/>
                <w:szCs w:val="18"/>
                <w:lang w:val="es-ES"/>
              </w:rPr>
              <w:t xml:space="preserve">medidas necesarias para prevenir, disminuir o eliminar la contaminación resultante de los proyectos a ser financiados a través de </w:t>
            </w:r>
            <w:r w:rsidRPr="008E2F1B">
              <w:rPr>
                <w:rFonts w:ascii="Arial" w:eastAsia="Times New Roman" w:hAnsi="Arial" w:cs="Arial"/>
                <w:color w:val="000000"/>
                <w:sz w:val="18"/>
                <w:szCs w:val="18"/>
                <w:lang w:val="es-ES"/>
              </w:rPr>
              <w:t>esta operación. Para asegurar que se siga cumpliendo con estas medidas para todas las obras del Programa el MGAS incluirá, como medida obligatoria de cumplimento, el cumplimiento de todos los planes que aplique para prevención y reducción de la contaminación.</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B.12 Proyectos en construcción</w:t>
            </w:r>
          </w:p>
        </w:tc>
        <w:tc>
          <w:tcPr>
            <w:tcW w:w="3330" w:type="dxa"/>
            <w:tcMar>
              <w:top w:w="29" w:type="dxa"/>
              <w:left w:w="29" w:type="dxa"/>
              <w:bottom w:w="29" w:type="dxa"/>
              <w:right w:w="29" w:type="dxa"/>
            </w:tcMar>
            <w:vAlign w:val="center"/>
          </w:tcPr>
          <w:p w:rsidR="000572C7" w:rsidRPr="004223D9" w:rsidRDefault="00BB5B0E"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N/A</w:t>
            </w:r>
          </w:p>
        </w:tc>
        <w:tc>
          <w:tcPr>
            <w:tcW w:w="3060" w:type="dxa"/>
            <w:tcMar>
              <w:top w:w="29" w:type="dxa"/>
              <w:left w:w="29" w:type="dxa"/>
              <w:bottom w:w="29" w:type="dxa"/>
              <w:right w:w="29" w:type="dxa"/>
            </w:tcMar>
            <w:vAlign w:val="center"/>
          </w:tcPr>
          <w:p w:rsidR="000572C7" w:rsidRPr="008E2F1B" w:rsidRDefault="00BB5B0E"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N/A</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B.13 Préstamos de política e instrumentos flexibles de préstamo</w:t>
            </w:r>
          </w:p>
        </w:tc>
        <w:tc>
          <w:tcPr>
            <w:tcW w:w="3330" w:type="dxa"/>
            <w:tcMar>
              <w:top w:w="29" w:type="dxa"/>
              <w:left w:w="29" w:type="dxa"/>
              <w:bottom w:w="29" w:type="dxa"/>
              <w:right w:w="29" w:type="dxa"/>
            </w:tcMar>
            <w:vAlign w:val="center"/>
          </w:tcPr>
          <w:p w:rsidR="000572C7" w:rsidRPr="004223D9" w:rsidRDefault="00BB5B0E"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N/A</w:t>
            </w:r>
          </w:p>
        </w:tc>
        <w:tc>
          <w:tcPr>
            <w:tcW w:w="3060" w:type="dxa"/>
            <w:tcMar>
              <w:top w:w="29" w:type="dxa"/>
              <w:left w:w="29" w:type="dxa"/>
              <w:bottom w:w="29" w:type="dxa"/>
              <w:right w:w="29" w:type="dxa"/>
            </w:tcMar>
            <w:vAlign w:val="center"/>
          </w:tcPr>
          <w:p w:rsidR="000572C7" w:rsidRPr="008E2F1B" w:rsidRDefault="00BB5B0E"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N/A</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B.14 Préstamos multifase o repetidos</w:t>
            </w:r>
          </w:p>
        </w:tc>
        <w:tc>
          <w:tcPr>
            <w:tcW w:w="3330" w:type="dxa"/>
            <w:tcMar>
              <w:top w:w="29" w:type="dxa"/>
              <w:left w:w="29" w:type="dxa"/>
              <w:bottom w:w="29" w:type="dxa"/>
              <w:right w:w="29" w:type="dxa"/>
            </w:tcMar>
            <w:vAlign w:val="cente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N/A</w:t>
            </w:r>
          </w:p>
        </w:tc>
        <w:tc>
          <w:tcPr>
            <w:tcW w:w="3060" w:type="dxa"/>
            <w:tcMar>
              <w:top w:w="29" w:type="dxa"/>
              <w:left w:w="29" w:type="dxa"/>
              <w:bottom w:w="29" w:type="dxa"/>
              <w:right w:w="29" w:type="dxa"/>
            </w:tcMar>
            <w:vAlign w:val="center"/>
          </w:tcPr>
          <w:p w:rsidR="000572C7" w:rsidRPr="008E2F1B"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N/A</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B.15 Operaciones con cofinanciamiento</w:t>
            </w:r>
          </w:p>
        </w:tc>
        <w:tc>
          <w:tcPr>
            <w:tcW w:w="3330" w:type="dxa"/>
            <w:tcMar>
              <w:top w:w="29" w:type="dxa"/>
              <w:left w:w="29" w:type="dxa"/>
              <w:bottom w:w="29" w:type="dxa"/>
              <w:right w:w="29" w:type="dxa"/>
            </w:tcMar>
            <w:vAlign w:val="cente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N/A</w:t>
            </w:r>
          </w:p>
        </w:tc>
        <w:tc>
          <w:tcPr>
            <w:tcW w:w="3060" w:type="dxa"/>
            <w:tcMar>
              <w:top w:w="29" w:type="dxa"/>
              <w:left w:w="29" w:type="dxa"/>
              <w:bottom w:w="29" w:type="dxa"/>
              <w:right w:w="29" w:type="dxa"/>
            </w:tcMar>
            <w:vAlign w:val="center"/>
          </w:tcPr>
          <w:p w:rsidR="000572C7" w:rsidRPr="008E2F1B"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N/A</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B.16 Sistemas nacionales</w:t>
            </w:r>
          </w:p>
        </w:tc>
        <w:tc>
          <w:tcPr>
            <w:tcW w:w="3330" w:type="dxa"/>
            <w:tcMar>
              <w:top w:w="29" w:type="dxa"/>
              <w:left w:w="29" w:type="dxa"/>
              <w:bottom w:w="29" w:type="dxa"/>
              <w:right w:w="29" w:type="dxa"/>
            </w:tcMar>
            <w:vAlign w:val="cente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N/A</w:t>
            </w:r>
          </w:p>
        </w:tc>
        <w:tc>
          <w:tcPr>
            <w:tcW w:w="3060" w:type="dxa"/>
            <w:tcMar>
              <w:top w:w="29" w:type="dxa"/>
              <w:left w:w="29" w:type="dxa"/>
              <w:bottom w:w="29" w:type="dxa"/>
              <w:right w:w="29" w:type="dxa"/>
            </w:tcMar>
            <w:vAlign w:val="center"/>
          </w:tcPr>
          <w:p w:rsidR="000572C7" w:rsidRPr="008E2F1B"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N/A</w:t>
            </w:r>
          </w:p>
        </w:tc>
      </w:tr>
      <w:tr w:rsidR="000572C7" w:rsidRPr="004223D9" w:rsidTr="00BB5B0E">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B.17 Adquisiciones</w:t>
            </w:r>
          </w:p>
        </w:tc>
        <w:tc>
          <w:tcPr>
            <w:tcW w:w="3330" w:type="dxa"/>
            <w:tcMar>
              <w:top w:w="29" w:type="dxa"/>
              <w:left w:w="29" w:type="dxa"/>
              <w:bottom w:w="29" w:type="dxa"/>
              <w:right w:w="29" w:type="dxa"/>
            </w:tcMar>
          </w:tcPr>
          <w:p w:rsidR="000572C7" w:rsidRPr="004223D9" w:rsidRDefault="000572C7"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Análisis de los procesos de adquisición de bienes y servicios  del Programa.</w:t>
            </w:r>
          </w:p>
        </w:tc>
        <w:tc>
          <w:tcPr>
            <w:tcW w:w="3060" w:type="dxa"/>
            <w:tcMar>
              <w:top w:w="29" w:type="dxa"/>
              <w:left w:w="29" w:type="dxa"/>
              <w:bottom w:w="29" w:type="dxa"/>
              <w:right w:w="29" w:type="dxa"/>
            </w:tcMar>
          </w:tcPr>
          <w:p w:rsidR="000572C7" w:rsidRPr="008E2F1B" w:rsidRDefault="00CC58DF"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C"/>
              </w:rPr>
              <w:t>Se verificará que los bienes y servicios adquiridos en las operaciones se produzcan de manera ambientalmente y socialmente sostenible en lo que se refiere al uso de recursos, entorno laboral y relaciones comunitarias.</w:t>
            </w:r>
          </w:p>
        </w:tc>
      </w:tr>
      <w:tr w:rsidR="000572C7" w:rsidRPr="004223D9" w:rsidTr="008E2F1B">
        <w:trPr>
          <w:trHeight w:val="1140"/>
        </w:trPr>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OP-710 Política de Reasentamiento Involuntario</w:t>
            </w:r>
          </w:p>
        </w:tc>
        <w:tc>
          <w:tcPr>
            <w:tcW w:w="3330" w:type="dxa"/>
            <w:tcMar>
              <w:top w:w="29" w:type="dxa"/>
              <w:left w:w="29" w:type="dxa"/>
              <w:bottom w:w="29" w:type="dxa"/>
              <w:right w:w="29" w:type="dxa"/>
            </w:tcMar>
            <w:vAlign w:val="center"/>
          </w:tcPr>
          <w:p w:rsidR="000572C7" w:rsidRPr="004223D9" w:rsidRDefault="00D82816" w:rsidP="00A950E1">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 xml:space="preserve">No se prevén situaciones de reasentamiento involuntario o desplazamiento </w:t>
            </w:r>
            <w:r w:rsidRPr="009968E9">
              <w:rPr>
                <w:rFonts w:ascii="Arial" w:eastAsia="Times New Roman" w:hAnsi="Arial" w:cs="Arial"/>
                <w:color w:val="000000"/>
                <w:sz w:val="18"/>
                <w:szCs w:val="18"/>
                <w:lang w:val="es-ES"/>
              </w:rPr>
              <w:t xml:space="preserve">económico </w:t>
            </w:r>
            <w:r w:rsidR="00A950E1" w:rsidRPr="00921DCC">
              <w:rPr>
                <w:rFonts w:ascii="Arial" w:eastAsia="Times New Roman" w:hAnsi="Arial" w:cs="Arial"/>
                <w:color w:val="000000"/>
                <w:sz w:val="18"/>
                <w:szCs w:val="18"/>
                <w:lang w:val="es-ES"/>
              </w:rPr>
              <w:t>como resultado de la construcción de las obras de infraestructura de todo el Programa</w:t>
            </w:r>
            <w:r w:rsidRPr="004223D9">
              <w:rPr>
                <w:rFonts w:ascii="Arial" w:eastAsia="Times New Roman" w:hAnsi="Arial" w:cs="Arial"/>
                <w:color w:val="000000"/>
                <w:sz w:val="18"/>
                <w:szCs w:val="18"/>
                <w:lang w:val="es-ES"/>
              </w:rPr>
              <w:t>.</w:t>
            </w:r>
          </w:p>
        </w:tc>
        <w:tc>
          <w:tcPr>
            <w:tcW w:w="3060" w:type="dxa"/>
            <w:tcMar>
              <w:top w:w="29" w:type="dxa"/>
              <w:left w:w="29" w:type="dxa"/>
              <w:bottom w:w="29" w:type="dxa"/>
              <w:right w:w="29" w:type="dxa"/>
            </w:tcMar>
            <w:vAlign w:val="center"/>
          </w:tcPr>
          <w:p w:rsidR="000572C7" w:rsidRPr="008E2F1B" w:rsidRDefault="00D82816"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N/A</w:t>
            </w:r>
          </w:p>
        </w:tc>
      </w:tr>
      <w:tr w:rsidR="000572C7" w:rsidRPr="004223D9" w:rsidTr="00502CB0">
        <w:tc>
          <w:tcPr>
            <w:tcW w:w="2250" w:type="dxa"/>
            <w:tcMar>
              <w:top w:w="29" w:type="dxa"/>
              <w:left w:w="29" w:type="dxa"/>
              <w:bottom w:w="29" w:type="dxa"/>
              <w:right w:w="29" w:type="dxa"/>
            </w:tcMar>
            <w:vAlign w:val="center"/>
          </w:tcPr>
          <w:p w:rsidR="000572C7" w:rsidRPr="004223D9" w:rsidRDefault="000572C7" w:rsidP="00502CB0">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OP-765 Política de Pueblos Indígenas</w:t>
            </w:r>
          </w:p>
        </w:tc>
        <w:tc>
          <w:tcPr>
            <w:tcW w:w="3330" w:type="dxa"/>
            <w:tcMar>
              <w:top w:w="29" w:type="dxa"/>
              <w:left w:w="29" w:type="dxa"/>
              <w:bottom w:w="29" w:type="dxa"/>
              <w:right w:w="29" w:type="dxa"/>
            </w:tcMar>
            <w:vAlign w:val="center"/>
          </w:tcPr>
          <w:p w:rsidR="000572C7" w:rsidRPr="004223D9" w:rsidRDefault="005C681F" w:rsidP="00D31259">
            <w:pPr>
              <w:autoSpaceDE w:val="0"/>
              <w:autoSpaceDN w:val="0"/>
              <w:adjustRightInd w:val="0"/>
              <w:contextualSpacing/>
              <w:jc w:val="both"/>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 xml:space="preserve">No se prevé impactos </w:t>
            </w:r>
            <w:r w:rsidR="000572C7" w:rsidRPr="004223D9">
              <w:rPr>
                <w:rFonts w:ascii="Arial" w:eastAsia="Times New Roman" w:hAnsi="Arial" w:cs="Arial"/>
                <w:color w:val="000000"/>
                <w:sz w:val="18"/>
                <w:szCs w:val="18"/>
                <w:lang w:val="es-ES"/>
              </w:rPr>
              <w:t>sobre pueblos indígenas.</w:t>
            </w:r>
          </w:p>
        </w:tc>
        <w:tc>
          <w:tcPr>
            <w:tcW w:w="3060" w:type="dxa"/>
            <w:tcMar>
              <w:top w:w="29" w:type="dxa"/>
              <w:left w:w="29" w:type="dxa"/>
              <w:bottom w:w="29" w:type="dxa"/>
              <w:right w:w="29" w:type="dxa"/>
            </w:tcMar>
            <w:vAlign w:val="center"/>
          </w:tcPr>
          <w:p w:rsidR="000572C7" w:rsidRPr="008E2F1B" w:rsidRDefault="00502CB0" w:rsidP="00D31259">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N/A</w:t>
            </w:r>
          </w:p>
        </w:tc>
      </w:tr>
      <w:tr w:rsidR="000572C7" w:rsidRPr="004223D9" w:rsidTr="00502CB0">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 xml:space="preserve">OP-704 Política de Manejo de Riesgo de </w:t>
            </w:r>
            <w:r w:rsidRPr="004223D9">
              <w:rPr>
                <w:rFonts w:ascii="Arial" w:eastAsia="Times New Roman" w:hAnsi="Arial" w:cs="Arial"/>
                <w:b/>
                <w:color w:val="000000"/>
                <w:sz w:val="18"/>
                <w:szCs w:val="18"/>
                <w:lang w:val="es-ES"/>
              </w:rPr>
              <w:lastRenderedPageBreak/>
              <w:t>Desastres</w:t>
            </w:r>
          </w:p>
        </w:tc>
        <w:tc>
          <w:tcPr>
            <w:tcW w:w="3330" w:type="dxa"/>
            <w:tcMar>
              <w:top w:w="29" w:type="dxa"/>
              <w:left w:w="29" w:type="dxa"/>
              <w:bottom w:w="29" w:type="dxa"/>
              <w:right w:w="29" w:type="dxa"/>
            </w:tcMar>
            <w:vAlign w:val="center"/>
          </w:tcPr>
          <w:p w:rsidR="000572C7" w:rsidRPr="004223D9" w:rsidRDefault="000572C7" w:rsidP="00502CB0">
            <w:pPr>
              <w:autoSpaceDE w:val="0"/>
              <w:autoSpaceDN w:val="0"/>
              <w:adjustRightInd w:val="0"/>
              <w:contextualSpacing/>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lastRenderedPageBreak/>
              <w:t>Vulnerabilidad y exposición de la operación a desastres naturales.</w:t>
            </w:r>
          </w:p>
        </w:tc>
        <w:tc>
          <w:tcPr>
            <w:tcW w:w="3060" w:type="dxa"/>
            <w:tcMar>
              <w:top w:w="29" w:type="dxa"/>
              <w:left w:w="29" w:type="dxa"/>
              <w:bottom w:w="29" w:type="dxa"/>
              <w:right w:w="29" w:type="dxa"/>
            </w:tcMar>
          </w:tcPr>
          <w:p w:rsidR="000572C7" w:rsidRPr="008E2F1B" w:rsidRDefault="00A62407" w:rsidP="00A62407">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 xml:space="preserve">El nivel de riesgos de desastres para esta operación es de nivel algo. </w:t>
            </w:r>
            <w:r w:rsidR="00624FB4" w:rsidRPr="008E2F1B">
              <w:rPr>
                <w:rFonts w:ascii="Arial" w:eastAsia="Times New Roman" w:hAnsi="Arial" w:cs="Arial"/>
                <w:color w:val="000000"/>
                <w:sz w:val="18"/>
                <w:szCs w:val="18"/>
                <w:lang w:val="es-ES"/>
              </w:rPr>
              <w:t xml:space="preserve">Las </w:t>
            </w:r>
            <w:r w:rsidR="00624FB4" w:rsidRPr="008E2F1B">
              <w:rPr>
                <w:rFonts w:ascii="Arial" w:eastAsia="Times New Roman" w:hAnsi="Arial" w:cs="Arial"/>
                <w:color w:val="000000"/>
                <w:sz w:val="18"/>
                <w:szCs w:val="18"/>
                <w:lang w:val="es-ES"/>
              </w:rPr>
              <w:lastRenderedPageBreak/>
              <w:t>áreas del proyecto están expuestas principalmente a riesgos de eventos sísmicos</w:t>
            </w:r>
            <w:r w:rsidRPr="008E2F1B">
              <w:rPr>
                <w:rFonts w:ascii="Arial" w:eastAsia="Times New Roman" w:hAnsi="Arial" w:cs="Arial"/>
                <w:color w:val="000000"/>
                <w:sz w:val="18"/>
                <w:szCs w:val="18"/>
                <w:lang w:val="es-ES"/>
              </w:rPr>
              <w:t xml:space="preserve"> de gran magnitud</w:t>
            </w:r>
            <w:r w:rsidR="00624FB4" w:rsidRPr="008E2F1B">
              <w:rPr>
                <w:rFonts w:ascii="Arial" w:eastAsia="Times New Roman" w:hAnsi="Arial" w:cs="Arial"/>
                <w:color w:val="000000"/>
                <w:sz w:val="18"/>
                <w:szCs w:val="18"/>
                <w:lang w:val="es-ES"/>
              </w:rPr>
              <w:t xml:space="preserve">, y en una menor intensidad a riesgos de inundaciones. No obstante, como parte de la implementación del Programa se ha desarrollado un estudio de infraestructura de energía resiliente, con el fin de </w:t>
            </w:r>
            <w:r w:rsidR="00AD63E2" w:rsidRPr="008E2F1B">
              <w:rPr>
                <w:rFonts w:ascii="Arial" w:eastAsia="Times New Roman" w:hAnsi="Arial" w:cs="Arial"/>
                <w:color w:val="000000"/>
                <w:sz w:val="18"/>
                <w:szCs w:val="18"/>
                <w:lang w:val="es-ES"/>
              </w:rPr>
              <w:t xml:space="preserve">identificar </w:t>
            </w:r>
            <w:r w:rsidR="00624FB4" w:rsidRPr="008E2F1B">
              <w:rPr>
                <w:rFonts w:ascii="Arial" w:eastAsia="Times New Roman" w:hAnsi="Arial" w:cs="Arial"/>
                <w:color w:val="000000"/>
                <w:sz w:val="18"/>
                <w:szCs w:val="18"/>
                <w:lang w:val="es-ES"/>
              </w:rPr>
              <w:t>buenas prácticas y estándares</w:t>
            </w:r>
            <w:r w:rsidR="00AD63E2" w:rsidRPr="008E2F1B">
              <w:rPr>
                <w:rFonts w:ascii="Arial" w:eastAsia="Times New Roman" w:hAnsi="Arial" w:cs="Arial"/>
                <w:color w:val="000000"/>
                <w:sz w:val="18"/>
                <w:szCs w:val="18"/>
                <w:lang w:val="es-ES"/>
              </w:rPr>
              <w:t xml:space="preserve"> recomendados en otros países los mismos que serán utilizados en la construcción y rehabilitación de la infraestructura propuesta en este Programa.</w:t>
            </w:r>
            <w:r w:rsidR="00624FB4" w:rsidRPr="008E2F1B">
              <w:rPr>
                <w:rFonts w:ascii="Arial" w:eastAsia="Times New Roman" w:hAnsi="Arial" w:cs="Arial"/>
                <w:color w:val="000000"/>
                <w:sz w:val="18"/>
                <w:szCs w:val="18"/>
                <w:lang w:val="es-ES"/>
              </w:rPr>
              <w:t xml:space="preserve"> </w:t>
            </w:r>
          </w:p>
        </w:tc>
      </w:tr>
      <w:tr w:rsidR="000572C7" w:rsidRPr="00997DBD" w:rsidTr="00502CB0">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lastRenderedPageBreak/>
              <w:t>OP-761 Política de Igualdad de Género en el Desarrollo</w:t>
            </w:r>
          </w:p>
        </w:tc>
        <w:tc>
          <w:tcPr>
            <w:tcW w:w="3330" w:type="dxa"/>
            <w:tcMar>
              <w:top w:w="29" w:type="dxa"/>
              <w:left w:w="29" w:type="dxa"/>
              <w:bottom w:w="29" w:type="dxa"/>
              <w:right w:w="29" w:type="dxa"/>
            </w:tcMar>
            <w:vAlign w:val="center"/>
          </w:tcPr>
          <w:p w:rsidR="000572C7" w:rsidRPr="004223D9" w:rsidRDefault="000572C7" w:rsidP="00502CB0">
            <w:pPr>
              <w:autoSpaceDE w:val="0"/>
              <w:autoSpaceDN w:val="0"/>
              <w:adjustRightInd w:val="0"/>
              <w:contextualSpacing/>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Cumplimiento con los lineamientos de la política OP-761.</w:t>
            </w:r>
          </w:p>
        </w:tc>
        <w:tc>
          <w:tcPr>
            <w:tcW w:w="3060" w:type="dxa"/>
            <w:tcMar>
              <w:top w:w="29" w:type="dxa"/>
              <w:left w:w="29" w:type="dxa"/>
              <w:bottom w:w="29" w:type="dxa"/>
              <w:right w:w="29" w:type="dxa"/>
            </w:tcMar>
            <w:vAlign w:val="center"/>
          </w:tcPr>
          <w:p w:rsidR="000572C7" w:rsidRPr="008E2F1B" w:rsidRDefault="000572C7" w:rsidP="00AD63E2">
            <w:pPr>
              <w:autoSpaceDE w:val="0"/>
              <w:autoSpaceDN w:val="0"/>
              <w:adjustRightInd w:val="0"/>
              <w:contextualSpacing/>
              <w:jc w:val="both"/>
              <w:rPr>
                <w:rFonts w:ascii="Arial" w:eastAsia="Times New Roman" w:hAnsi="Arial" w:cs="Arial"/>
                <w:color w:val="000000"/>
                <w:sz w:val="18"/>
                <w:szCs w:val="18"/>
                <w:lang w:val="es-ES"/>
              </w:rPr>
            </w:pPr>
            <w:r w:rsidRPr="008E2F1B">
              <w:rPr>
                <w:rFonts w:ascii="Arial" w:eastAsia="Times New Roman" w:hAnsi="Arial" w:cs="Arial"/>
                <w:color w:val="000000"/>
                <w:sz w:val="18"/>
                <w:szCs w:val="18"/>
                <w:lang w:val="es-ES"/>
              </w:rPr>
              <w:t>La operación no cuenta con ningún programa específico relacionado a igualdad de género; no obstante, se verificará durante la implementación de la operación que se cumpla con los lineamientos de esta política.</w:t>
            </w:r>
          </w:p>
        </w:tc>
      </w:tr>
      <w:tr w:rsidR="000572C7" w:rsidRPr="004223D9" w:rsidTr="00502CB0">
        <w:tc>
          <w:tcPr>
            <w:tcW w:w="2250" w:type="dxa"/>
            <w:tcMar>
              <w:top w:w="29" w:type="dxa"/>
              <w:left w:w="29" w:type="dxa"/>
              <w:bottom w:w="29" w:type="dxa"/>
              <w:right w:w="29" w:type="dxa"/>
            </w:tcMar>
            <w:vAlign w:val="center"/>
          </w:tcPr>
          <w:p w:rsidR="000572C7" w:rsidRPr="004223D9" w:rsidRDefault="000572C7" w:rsidP="00BB5B0E">
            <w:pPr>
              <w:autoSpaceDE w:val="0"/>
              <w:autoSpaceDN w:val="0"/>
              <w:adjustRightInd w:val="0"/>
              <w:contextualSpacing/>
              <w:rPr>
                <w:rFonts w:ascii="Arial" w:eastAsia="Times New Roman" w:hAnsi="Arial" w:cs="Arial"/>
                <w:b/>
                <w:color w:val="000000"/>
                <w:sz w:val="18"/>
                <w:szCs w:val="18"/>
                <w:lang w:val="es-ES"/>
              </w:rPr>
            </w:pPr>
            <w:r w:rsidRPr="004223D9">
              <w:rPr>
                <w:rFonts w:ascii="Arial" w:eastAsia="Times New Roman" w:hAnsi="Arial" w:cs="Arial"/>
                <w:b/>
                <w:color w:val="000000"/>
                <w:sz w:val="18"/>
                <w:szCs w:val="18"/>
                <w:lang w:val="es-ES"/>
              </w:rPr>
              <w:t>OP-102 Política de Acceso a la Información</w:t>
            </w:r>
          </w:p>
        </w:tc>
        <w:tc>
          <w:tcPr>
            <w:tcW w:w="3330" w:type="dxa"/>
            <w:tcMar>
              <w:top w:w="29" w:type="dxa"/>
              <w:left w:w="29" w:type="dxa"/>
              <w:bottom w:w="29" w:type="dxa"/>
              <w:right w:w="29" w:type="dxa"/>
            </w:tcMar>
            <w:vAlign w:val="center"/>
          </w:tcPr>
          <w:p w:rsidR="000572C7" w:rsidRPr="004223D9" w:rsidRDefault="000572C7" w:rsidP="00502CB0">
            <w:pPr>
              <w:autoSpaceDE w:val="0"/>
              <w:autoSpaceDN w:val="0"/>
              <w:adjustRightInd w:val="0"/>
              <w:contextualSpacing/>
              <w:rPr>
                <w:rFonts w:ascii="Arial" w:eastAsia="Times New Roman" w:hAnsi="Arial" w:cs="Arial"/>
                <w:color w:val="000000"/>
                <w:sz w:val="18"/>
                <w:szCs w:val="18"/>
                <w:lang w:val="es-ES"/>
              </w:rPr>
            </w:pPr>
            <w:r w:rsidRPr="004223D9">
              <w:rPr>
                <w:rFonts w:ascii="Arial" w:eastAsia="Times New Roman" w:hAnsi="Arial" w:cs="Arial"/>
                <w:color w:val="000000"/>
                <w:sz w:val="18"/>
                <w:szCs w:val="18"/>
                <w:lang w:val="es-ES"/>
              </w:rPr>
              <w:t>Divulgación de los aspectos ambientales y sociales de la operación a través de la página de internet del Banco.</w:t>
            </w:r>
          </w:p>
        </w:tc>
        <w:tc>
          <w:tcPr>
            <w:tcW w:w="3060" w:type="dxa"/>
            <w:tcMar>
              <w:top w:w="29" w:type="dxa"/>
              <w:left w:w="29" w:type="dxa"/>
              <w:bottom w:w="29" w:type="dxa"/>
              <w:right w:w="29" w:type="dxa"/>
            </w:tcMar>
            <w:vAlign w:val="center"/>
          </w:tcPr>
          <w:p w:rsidR="000572C7" w:rsidRPr="008E2F1B" w:rsidRDefault="000572C7" w:rsidP="00AD63E2">
            <w:pPr>
              <w:autoSpaceDE w:val="0"/>
              <w:autoSpaceDN w:val="0"/>
              <w:adjustRightInd w:val="0"/>
              <w:contextualSpacing/>
              <w:jc w:val="both"/>
              <w:rPr>
                <w:rFonts w:ascii="Arial" w:eastAsia="Times New Roman" w:hAnsi="Arial" w:cs="Arial"/>
                <w:caps/>
                <w:color w:val="000000"/>
                <w:sz w:val="18"/>
                <w:szCs w:val="18"/>
                <w:lang w:val="es-ES"/>
              </w:rPr>
            </w:pPr>
            <w:r w:rsidRPr="008E2F1B">
              <w:rPr>
                <w:rFonts w:ascii="Arial" w:eastAsia="Times New Roman" w:hAnsi="Arial" w:cs="Arial"/>
                <w:color w:val="000000"/>
                <w:sz w:val="18"/>
                <w:szCs w:val="18"/>
                <w:lang w:val="es-ES"/>
              </w:rPr>
              <w:t xml:space="preserve">La información relacionada con </w:t>
            </w:r>
            <w:r w:rsidR="0078322B" w:rsidRPr="008E2F1B">
              <w:rPr>
                <w:rFonts w:ascii="Arial" w:eastAsia="Times New Roman" w:hAnsi="Arial" w:cs="Arial"/>
                <w:color w:val="000000"/>
                <w:sz w:val="18"/>
                <w:szCs w:val="18"/>
                <w:lang w:val="es-ES"/>
              </w:rPr>
              <w:t xml:space="preserve">las evaluaciones socio-ambientales </w:t>
            </w:r>
            <w:r w:rsidRPr="008E2F1B">
              <w:rPr>
                <w:rFonts w:ascii="Arial" w:eastAsia="Times New Roman" w:hAnsi="Arial" w:cs="Arial"/>
                <w:color w:val="000000"/>
                <w:sz w:val="18"/>
                <w:szCs w:val="18"/>
                <w:lang w:val="es-ES"/>
              </w:rPr>
              <w:t>estará disponible tanto en el sitio de internet del Banco como en la de</w:t>
            </w:r>
            <w:r w:rsidR="0078322B" w:rsidRPr="008E2F1B">
              <w:rPr>
                <w:rFonts w:ascii="Arial" w:eastAsia="Times New Roman" w:hAnsi="Arial" w:cs="Arial"/>
                <w:color w:val="000000"/>
                <w:sz w:val="18"/>
                <w:szCs w:val="18"/>
                <w:lang w:val="es-ES"/>
              </w:rPr>
              <w:t xml:space="preserve"> la agencia ejecutora. Específicamente para todo el Programa se ha desarrollado un Análisis Ambiental y Social, el cual ya está publicado en el sitio web del Banco. La primera versi</w:t>
            </w:r>
            <w:r w:rsidR="008E2DD1" w:rsidRPr="008E2F1B">
              <w:rPr>
                <w:rFonts w:ascii="Arial" w:eastAsia="Times New Roman" w:hAnsi="Arial" w:cs="Arial"/>
                <w:color w:val="000000"/>
                <w:sz w:val="18"/>
                <w:szCs w:val="18"/>
                <w:lang w:val="es-ES"/>
              </w:rPr>
              <w:t>ón de este</w:t>
            </w:r>
            <w:r w:rsidR="0078322B" w:rsidRPr="008E2F1B">
              <w:rPr>
                <w:rFonts w:ascii="Arial" w:eastAsia="Times New Roman" w:hAnsi="Arial" w:cs="Arial"/>
                <w:color w:val="000000"/>
                <w:sz w:val="18"/>
                <w:szCs w:val="18"/>
                <w:lang w:val="es-ES"/>
              </w:rPr>
              <w:t xml:space="preserve"> análisis se publicó</w:t>
            </w:r>
            <w:r w:rsidR="008E2DD1" w:rsidRPr="008E2F1B">
              <w:rPr>
                <w:rFonts w:ascii="Arial" w:eastAsia="Times New Roman" w:hAnsi="Arial" w:cs="Arial"/>
                <w:color w:val="000000"/>
                <w:sz w:val="18"/>
                <w:szCs w:val="18"/>
                <w:lang w:val="es-ES"/>
              </w:rPr>
              <w:t xml:space="preserve"> el 06 de septiembre de 2016. EXISTEN AUN PROBLEMAS CON EL LINK.</w:t>
            </w:r>
          </w:p>
        </w:tc>
      </w:tr>
    </w:tbl>
    <w:p w:rsidR="008C29FF" w:rsidRPr="004223D9" w:rsidRDefault="008C29FF" w:rsidP="008C29FF">
      <w:pPr>
        <w:pStyle w:val="Heading2"/>
        <w:numPr>
          <w:ilvl w:val="0"/>
          <w:numId w:val="0"/>
        </w:numPr>
        <w:spacing w:after="0"/>
        <w:ind w:left="360" w:hanging="360"/>
        <w:jc w:val="center"/>
        <w:rPr>
          <w:rFonts w:ascii="Arial" w:hAnsi="Arial" w:cs="Arial"/>
          <w:sz w:val="20"/>
          <w:szCs w:val="20"/>
          <w:lang w:val="es-ES_tradnl"/>
        </w:rPr>
      </w:pPr>
      <w:bookmarkStart w:id="22" w:name="_Toc463535787"/>
      <w:r w:rsidRPr="004223D9">
        <w:rPr>
          <w:rFonts w:ascii="Arial" w:hAnsi="Arial" w:cs="Arial"/>
          <w:sz w:val="20"/>
          <w:szCs w:val="20"/>
          <w:lang w:val="es-ES_tradnl"/>
        </w:rPr>
        <w:t>Tabla 02. Resumen de Cumplimiento de las Políticas y Directivas Socio-ambientales del Banco</w:t>
      </w:r>
    </w:p>
    <w:p w:rsidR="00084DD8" w:rsidRPr="004223D9" w:rsidRDefault="00084DD8" w:rsidP="009A514D">
      <w:pPr>
        <w:pStyle w:val="Heading2"/>
        <w:ind w:hanging="720"/>
        <w:rPr>
          <w:rFonts w:ascii="Arial" w:hAnsi="Arial" w:cs="Arial"/>
          <w:lang w:val="es-ES"/>
        </w:rPr>
      </w:pPr>
      <w:r w:rsidRPr="004223D9">
        <w:rPr>
          <w:rFonts w:ascii="Arial" w:hAnsi="Arial" w:cs="Arial"/>
          <w:lang w:val="es-ES"/>
        </w:rPr>
        <w:t>Requisitos del Proyecto y Estándares</w:t>
      </w:r>
      <w:bookmarkEnd w:id="22"/>
      <w:r w:rsidRPr="004223D9">
        <w:rPr>
          <w:rFonts w:ascii="Arial" w:hAnsi="Arial" w:cs="Arial"/>
          <w:lang w:val="es-ES"/>
        </w:rPr>
        <w:t xml:space="preserve"> </w:t>
      </w:r>
      <w:r w:rsidRPr="004223D9">
        <w:rPr>
          <w:rFonts w:ascii="Arial" w:hAnsi="Arial" w:cs="Arial"/>
          <w:lang w:val="es-ES"/>
        </w:rPr>
        <w:tab/>
      </w:r>
      <w:r w:rsidRPr="004223D9">
        <w:rPr>
          <w:rFonts w:ascii="Arial" w:hAnsi="Arial" w:cs="Arial"/>
          <w:lang w:val="es-ES"/>
        </w:rPr>
        <w:tab/>
      </w:r>
    </w:p>
    <w:p w:rsidR="00DE52C6" w:rsidRPr="004223D9" w:rsidRDefault="00DE52C6" w:rsidP="00FA2C86">
      <w:pPr>
        <w:widowControl w:val="0"/>
        <w:numPr>
          <w:ilvl w:val="1"/>
          <w:numId w:val="3"/>
        </w:numPr>
        <w:spacing w:after="120"/>
        <w:ind w:left="720"/>
        <w:jc w:val="both"/>
        <w:rPr>
          <w:rFonts w:ascii="Arial" w:hAnsi="Arial" w:cs="Arial"/>
          <w:sz w:val="22"/>
          <w:szCs w:val="22"/>
          <w:lang w:val="es-ES"/>
        </w:rPr>
      </w:pPr>
      <w:r w:rsidRPr="004223D9">
        <w:rPr>
          <w:rFonts w:ascii="Arial" w:hAnsi="Arial" w:cs="Arial"/>
          <w:sz w:val="22"/>
          <w:szCs w:val="22"/>
          <w:lang w:val="es-ES"/>
        </w:rPr>
        <w:t xml:space="preserve">La operación </w:t>
      </w:r>
      <w:r w:rsidR="005E7C4A" w:rsidRPr="004223D9">
        <w:rPr>
          <w:rFonts w:ascii="Arial" w:hAnsi="Arial" w:cs="Arial"/>
          <w:sz w:val="22"/>
          <w:szCs w:val="22"/>
          <w:lang w:val="es-ES"/>
        </w:rPr>
        <w:t xml:space="preserve">cumplirá con la política, legislación y normativa </w:t>
      </w:r>
      <w:r w:rsidR="00BB5B0E" w:rsidRPr="004223D9">
        <w:rPr>
          <w:rFonts w:ascii="Arial" w:hAnsi="Arial" w:cs="Arial"/>
          <w:sz w:val="22"/>
          <w:szCs w:val="22"/>
          <w:lang w:val="es-ES"/>
        </w:rPr>
        <w:t>Ecuatoriana</w:t>
      </w:r>
      <w:r w:rsidR="005E7C4A" w:rsidRPr="004223D9">
        <w:rPr>
          <w:rFonts w:ascii="Arial" w:hAnsi="Arial" w:cs="Arial"/>
          <w:sz w:val="22"/>
          <w:szCs w:val="22"/>
          <w:lang w:val="es-ES"/>
        </w:rPr>
        <w:t xml:space="preserve"> </w:t>
      </w:r>
      <w:r w:rsidR="006D71DA" w:rsidRPr="004223D9">
        <w:rPr>
          <w:rFonts w:ascii="Arial" w:hAnsi="Arial" w:cs="Arial"/>
          <w:sz w:val="22"/>
          <w:szCs w:val="22"/>
          <w:lang w:val="es-ES"/>
        </w:rPr>
        <w:t>ambiental</w:t>
      </w:r>
      <w:r w:rsidR="00F10593" w:rsidRPr="004223D9">
        <w:rPr>
          <w:rFonts w:ascii="Arial" w:hAnsi="Arial" w:cs="Arial"/>
          <w:sz w:val="22"/>
          <w:szCs w:val="22"/>
          <w:lang w:val="es-ES"/>
        </w:rPr>
        <w:t xml:space="preserve">, </w:t>
      </w:r>
      <w:r w:rsidR="005E7C4A" w:rsidRPr="004223D9">
        <w:rPr>
          <w:rFonts w:ascii="Arial" w:hAnsi="Arial" w:cs="Arial"/>
          <w:sz w:val="22"/>
          <w:szCs w:val="22"/>
          <w:lang w:val="es-ES"/>
        </w:rPr>
        <w:t xml:space="preserve">incluyendo las normas correspondientes a </w:t>
      </w:r>
      <w:r w:rsidR="00F10593" w:rsidRPr="004223D9">
        <w:rPr>
          <w:rFonts w:ascii="Arial" w:hAnsi="Arial" w:cs="Arial"/>
          <w:sz w:val="22"/>
          <w:szCs w:val="22"/>
          <w:lang w:val="es-ES"/>
        </w:rPr>
        <w:t>seguridad laboral/ocupacional</w:t>
      </w:r>
      <w:r w:rsidRPr="004223D9">
        <w:rPr>
          <w:rFonts w:ascii="Arial" w:hAnsi="Arial" w:cs="Arial"/>
          <w:sz w:val="22"/>
          <w:szCs w:val="22"/>
          <w:lang w:val="es-ES"/>
        </w:rPr>
        <w:t>.</w:t>
      </w:r>
      <w:r w:rsidR="005E7C4A" w:rsidRPr="004223D9">
        <w:rPr>
          <w:rFonts w:ascii="Arial" w:hAnsi="Arial" w:cs="Arial"/>
          <w:sz w:val="22"/>
          <w:szCs w:val="22"/>
          <w:lang w:val="es-ES"/>
        </w:rPr>
        <w:t xml:space="preserve"> Adicionalmente a lo establecido por la legislación y normativa </w:t>
      </w:r>
      <w:r w:rsidR="00F10593" w:rsidRPr="004223D9">
        <w:rPr>
          <w:rFonts w:ascii="Arial" w:hAnsi="Arial" w:cs="Arial"/>
          <w:sz w:val="22"/>
          <w:szCs w:val="22"/>
          <w:lang w:val="es-ES"/>
        </w:rPr>
        <w:t xml:space="preserve">local, se seguirán estándares internacionales y buenas prácticas recomendadas para </w:t>
      </w:r>
      <w:r w:rsidRPr="004223D9">
        <w:rPr>
          <w:rFonts w:ascii="Arial" w:hAnsi="Arial" w:cs="Arial"/>
          <w:sz w:val="22"/>
          <w:szCs w:val="22"/>
          <w:lang w:val="es-ES"/>
        </w:rPr>
        <w:t xml:space="preserve">la implementación de esta operación </w:t>
      </w:r>
      <w:r w:rsidR="00F10593" w:rsidRPr="004223D9">
        <w:rPr>
          <w:rFonts w:ascii="Arial" w:hAnsi="Arial" w:cs="Arial"/>
          <w:sz w:val="22"/>
          <w:szCs w:val="22"/>
          <w:lang w:val="es-ES"/>
        </w:rPr>
        <w:t xml:space="preserve">como es el caso de </w:t>
      </w:r>
      <w:r w:rsidR="005E7C4A" w:rsidRPr="004223D9">
        <w:rPr>
          <w:rFonts w:ascii="Arial" w:hAnsi="Arial" w:cs="Arial"/>
          <w:sz w:val="22"/>
          <w:szCs w:val="22"/>
          <w:lang w:val="es-ES"/>
        </w:rPr>
        <w:t xml:space="preserve">las Guías sobre Medio Ambiente, Salud y Seguridad de la Corporación Financiera Internacional (IFC, siglas en Ingles) -las que incluyen lineamientos específicos para </w:t>
      </w:r>
      <w:r w:rsidRPr="004223D9">
        <w:rPr>
          <w:rFonts w:ascii="Arial" w:hAnsi="Arial" w:cs="Arial"/>
          <w:sz w:val="22"/>
          <w:szCs w:val="22"/>
          <w:lang w:val="es-ES"/>
        </w:rPr>
        <w:t xml:space="preserve">la construcción y operación </w:t>
      </w:r>
      <w:r w:rsidR="00F10593" w:rsidRPr="004223D9">
        <w:rPr>
          <w:rFonts w:ascii="Arial" w:hAnsi="Arial" w:cs="Arial"/>
          <w:sz w:val="22"/>
          <w:szCs w:val="22"/>
          <w:lang w:val="es-ES"/>
        </w:rPr>
        <w:t>de</w:t>
      </w:r>
      <w:r w:rsidRPr="004223D9">
        <w:rPr>
          <w:rFonts w:ascii="Arial" w:hAnsi="Arial" w:cs="Arial"/>
          <w:sz w:val="22"/>
          <w:szCs w:val="22"/>
          <w:lang w:val="es-ES"/>
        </w:rPr>
        <w:t xml:space="preserve"> la </w:t>
      </w:r>
      <w:r w:rsidR="00F10593" w:rsidRPr="004223D9">
        <w:rPr>
          <w:rFonts w:ascii="Arial" w:hAnsi="Arial" w:cs="Arial"/>
          <w:sz w:val="22"/>
          <w:szCs w:val="22"/>
          <w:lang w:val="es-ES"/>
        </w:rPr>
        <w:t xml:space="preserve">infraestructura </w:t>
      </w:r>
      <w:r w:rsidRPr="004223D9">
        <w:rPr>
          <w:rFonts w:ascii="Arial" w:hAnsi="Arial" w:cs="Arial"/>
          <w:sz w:val="22"/>
          <w:szCs w:val="22"/>
          <w:lang w:val="es-ES"/>
        </w:rPr>
        <w:t xml:space="preserve">que se contempla en esta </w:t>
      </w:r>
      <w:r w:rsidRPr="004223D9">
        <w:rPr>
          <w:rFonts w:ascii="Arial" w:hAnsi="Arial" w:cs="Arial"/>
          <w:sz w:val="22"/>
          <w:szCs w:val="22"/>
          <w:lang w:val="es-ES"/>
        </w:rPr>
        <w:lastRenderedPageBreak/>
        <w:t>operación.</w:t>
      </w:r>
      <w:r w:rsidR="00BB5B0E" w:rsidRPr="004223D9">
        <w:rPr>
          <w:rStyle w:val="FootnoteReference"/>
          <w:rFonts w:ascii="Arial" w:hAnsi="Arial" w:cs="Arial"/>
          <w:sz w:val="22"/>
          <w:szCs w:val="22"/>
          <w:lang w:val="es-ES"/>
        </w:rPr>
        <w:footnoteReference w:id="5"/>
      </w:r>
      <w:r w:rsidRPr="004223D9">
        <w:rPr>
          <w:rFonts w:ascii="Arial" w:hAnsi="Arial" w:cs="Arial"/>
          <w:sz w:val="22"/>
          <w:szCs w:val="22"/>
          <w:lang w:val="es-ES"/>
        </w:rPr>
        <w:t xml:space="preserve"> </w:t>
      </w:r>
    </w:p>
    <w:p w:rsidR="00084DD8" w:rsidRPr="004223D9" w:rsidRDefault="00084DD8" w:rsidP="00FA2C86">
      <w:pPr>
        <w:pStyle w:val="Heading1"/>
        <w:keepNext w:val="0"/>
        <w:widowControl w:val="0"/>
        <w:rPr>
          <w:rFonts w:ascii="Arial" w:hAnsi="Arial" w:cs="Arial"/>
          <w:lang w:val="es-ES"/>
        </w:rPr>
      </w:pPr>
      <w:bookmarkStart w:id="23" w:name="_Toc422409159"/>
      <w:bookmarkStart w:id="24" w:name="_Toc422409216"/>
      <w:bookmarkStart w:id="25" w:name="_Toc463535788"/>
      <w:r w:rsidRPr="004223D9">
        <w:rPr>
          <w:rFonts w:ascii="Arial" w:hAnsi="Arial" w:cs="Arial"/>
          <w:lang w:val="es-ES"/>
        </w:rPr>
        <w:t>I</w:t>
      </w:r>
      <w:r w:rsidR="00B2397E" w:rsidRPr="004223D9">
        <w:rPr>
          <w:rFonts w:ascii="Arial" w:hAnsi="Arial" w:cs="Arial"/>
          <w:lang w:val="es-ES"/>
        </w:rPr>
        <w:t>mpactos y Riesgos Ambientales y Sociales y Mitigación</w:t>
      </w:r>
      <w:bookmarkEnd w:id="23"/>
      <w:bookmarkEnd w:id="24"/>
      <w:bookmarkEnd w:id="25"/>
    </w:p>
    <w:p w:rsidR="00084DD8" w:rsidRPr="004223D9" w:rsidRDefault="00084DD8" w:rsidP="00FA2C86">
      <w:pPr>
        <w:pStyle w:val="Heading2"/>
        <w:keepNext w:val="0"/>
        <w:widowControl w:val="0"/>
        <w:numPr>
          <w:ilvl w:val="0"/>
          <w:numId w:val="10"/>
        </w:numPr>
        <w:ind w:hanging="720"/>
        <w:rPr>
          <w:rFonts w:ascii="Arial" w:hAnsi="Arial" w:cs="Arial"/>
          <w:lang w:val="es-ES"/>
        </w:rPr>
      </w:pPr>
      <w:bookmarkStart w:id="26" w:name="_Toc463535789"/>
      <w:r w:rsidRPr="004223D9">
        <w:rPr>
          <w:rFonts w:ascii="Arial" w:hAnsi="Arial" w:cs="Arial"/>
          <w:lang w:val="es-ES"/>
        </w:rPr>
        <w:t>Resumen de Principales Impactos y Riesgos</w:t>
      </w:r>
      <w:bookmarkEnd w:id="26"/>
      <w:r w:rsidRPr="004223D9">
        <w:rPr>
          <w:rFonts w:ascii="Arial" w:hAnsi="Arial" w:cs="Arial"/>
          <w:lang w:val="es-ES"/>
        </w:rPr>
        <w:t xml:space="preserve"> </w:t>
      </w:r>
      <w:r w:rsidRPr="004223D9">
        <w:rPr>
          <w:rFonts w:ascii="Arial" w:hAnsi="Arial" w:cs="Arial"/>
          <w:lang w:val="es-ES"/>
        </w:rPr>
        <w:tab/>
      </w:r>
    </w:p>
    <w:p w:rsidR="00DC67FB" w:rsidRDefault="00E47F61" w:rsidP="00FA2C86">
      <w:pPr>
        <w:widowControl w:val="0"/>
        <w:numPr>
          <w:ilvl w:val="1"/>
          <w:numId w:val="4"/>
        </w:numPr>
        <w:spacing w:after="120"/>
        <w:ind w:left="720"/>
        <w:jc w:val="both"/>
        <w:rPr>
          <w:rFonts w:ascii="Arial" w:hAnsi="Arial" w:cs="Arial"/>
          <w:sz w:val="22"/>
          <w:szCs w:val="22"/>
          <w:lang w:val="es-ES"/>
        </w:rPr>
      </w:pPr>
      <w:r w:rsidRPr="004223D9">
        <w:rPr>
          <w:rFonts w:ascii="Arial" w:hAnsi="Arial" w:cs="Arial"/>
          <w:sz w:val="22"/>
          <w:szCs w:val="22"/>
          <w:lang w:val="es-ES"/>
        </w:rPr>
        <w:t>De acuerdo a la Política de Medio Ambiente y Cumplimiento de Salvaguardias (OP-703) –Directiva B.03 –, y al Análisis Ambiental y Social de un 30% de la muestra del Programa, esta operación ha sido clasificada como Categoría B debido a que los impactos socio-ambientales son localizados, temporales y de corto plazo y para los cuales ya se dispone de medidas de mitigación efectivas y bastantes conocidas en el sector de infraestructura de energía. Adicionalmente, la magnitud e intensidad de los diferentes impactos directos, indirectos y acumulativos del Programa es moderada teniéndose a su vez procedimientos, conocimientos técnicos y aptitudes de fácil diseño e implementación.</w:t>
      </w:r>
      <w:r w:rsidR="0002032D" w:rsidRPr="004223D9">
        <w:rPr>
          <w:rFonts w:ascii="Arial" w:hAnsi="Arial" w:cs="Arial"/>
          <w:sz w:val="22"/>
          <w:szCs w:val="22"/>
          <w:lang w:val="es-ES"/>
        </w:rPr>
        <w:t xml:space="preserve"> </w:t>
      </w:r>
      <w:r w:rsidR="00DC67FB" w:rsidRPr="004223D9">
        <w:rPr>
          <w:rFonts w:ascii="Arial" w:hAnsi="Arial" w:cs="Arial"/>
          <w:sz w:val="22"/>
          <w:szCs w:val="22"/>
          <w:lang w:val="es-ES"/>
        </w:rPr>
        <w:t>En general, se buscará disminuir los impactos negativos y riesgos socio-ambientales, el radio de influencia de dichos riesgos e impactos, y la temporalidad de los mismos. Debe evitarse la afección de poblaciones humanas, así como el impacto</w:t>
      </w:r>
      <w:r w:rsidR="00EC209D" w:rsidRPr="004223D9">
        <w:rPr>
          <w:rFonts w:ascii="Arial" w:hAnsi="Arial" w:cs="Arial"/>
          <w:sz w:val="22"/>
          <w:szCs w:val="22"/>
          <w:lang w:val="es-ES"/>
        </w:rPr>
        <w:t xml:space="preserve"> en há</w:t>
      </w:r>
      <w:r w:rsidR="00DC67FB" w:rsidRPr="004223D9">
        <w:rPr>
          <w:rFonts w:ascii="Arial" w:hAnsi="Arial" w:cs="Arial"/>
          <w:sz w:val="22"/>
          <w:szCs w:val="22"/>
          <w:lang w:val="es-ES"/>
        </w:rPr>
        <w:t>bitats naturales de relevancia ecológica y sitios culturales. Finalmente deben preferirse opciones que ofrezcan posibilidad de recuperación del medio natural o compensaciones.</w:t>
      </w:r>
      <w:r w:rsidR="00D24106" w:rsidRPr="004223D9">
        <w:rPr>
          <w:rFonts w:ascii="Arial" w:hAnsi="Arial" w:cs="Arial"/>
          <w:sz w:val="22"/>
          <w:szCs w:val="22"/>
          <w:lang w:val="es-ES"/>
        </w:rPr>
        <w:t xml:space="preserve"> Adicionalmente, en lo referente a riesgos de desastres, esta operación está clasificada como de alto riesgo debido a que las obras de infraestructura se ubican en una zona expuesta a eventos sismos de gran magnitud. No obstante, el Programa en sí mismo representa una oportunidad para implementar obras de infraestructura que cumplan con estándares de resiliencia ante eventos sísmicos.</w:t>
      </w:r>
    </w:p>
    <w:p w:rsidR="00A62407" w:rsidRPr="008E2F1B" w:rsidRDefault="000D48F9" w:rsidP="00FA2C86">
      <w:pPr>
        <w:widowControl w:val="0"/>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t>Los principales potenciales riesgos e impactos negativos ambientales y sociales durante la construcción podrían ser: generación de ruido y polvo, generación de chatarra y materiales de construcción, generación de</w:t>
      </w:r>
      <w:r w:rsidR="00645CE1" w:rsidRPr="008E2F1B">
        <w:rPr>
          <w:rFonts w:ascii="Arial" w:hAnsi="Arial" w:cs="Arial"/>
          <w:sz w:val="22"/>
          <w:szCs w:val="22"/>
          <w:lang w:val="es-ES"/>
        </w:rPr>
        <w:t xml:space="preserve"> bifenilos policlorados</w:t>
      </w:r>
      <w:r w:rsidRPr="008E2F1B">
        <w:rPr>
          <w:rFonts w:ascii="Arial" w:hAnsi="Arial" w:cs="Arial"/>
          <w:sz w:val="22"/>
          <w:szCs w:val="22"/>
          <w:lang w:val="es-ES"/>
        </w:rPr>
        <w:t xml:space="preserve"> </w:t>
      </w:r>
      <w:r w:rsidR="00645CE1" w:rsidRPr="008E2F1B">
        <w:rPr>
          <w:rFonts w:ascii="Arial" w:hAnsi="Arial" w:cs="Arial"/>
          <w:sz w:val="22"/>
          <w:szCs w:val="22"/>
          <w:lang w:val="es-ES"/>
        </w:rPr>
        <w:t>(</w:t>
      </w:r>
      <w:r w:rsidRPr="008E2F1B">
        <w:rPr>
          <w:rFonts w:ascii="Arial" w:hAnsi="Arial" w:cs="Arial"/>
          <w:sz w:val="22"/>
          <w:szCs w:val="22"/>
          <w:lang w:val="es-ES"/>
        </w:rPr>
        <w:t>PCBs</w:t>
      </w:r>
      <w:r w:rsidR="00645CE1" w:rsidRPr="008E2F1B">
        <w:rPr>
          <w:rFonts w:ascii="Arial" w:hAnsi="Arial" w:cs="Arial"/>
          <w:sz w:val="22"/>
          <w:szCs w:val="22"/>
          <w:lang w:val="es-ES"/>
        </w:rPr>
        <w:t>)</w:t>
      </w:r>
      <w:r w:rsidRPr="008E2F1B">
        <w:rPr>
          <w:rFonts w:ascii="Arial" w:hAnsi="Arial" w:cs="Arial"/>
          <w:sz w:val="22"/>
          <w:szCs w:val="22"/>
          <w:lang w:val="es-ES"/>
        </w:rPr>
        <w:t xml:space="preserve">, descargas de aguas residuales, riesgos de derrames de combustibles, emisiones a la atmósfera debido al uso de maquinaria pesada, interrupción de servicios básicos para la población, e incremento del tráfico. </w:t>
      </w:r>
      <w:r w:rsidR="00645CE1" w:rsidRPr="008E2F1B">
        <w:rPr>
          <w:rFonts w:ascii="Arial" w:hAnsi="Arial" w:cs="Arial"/>
          <w:sz w:val="22"/>
          <w:szCs w:val="22"/>
          <w:lang w:val="es-ES"/>
        </w:rPr>
        <w:t xml:space="preserve">En el caso de la etapa de operación, los riesgos e impactos ambientales y sociales serán más limitados y estos podrían estar relacionados a generación de PCBs, residuos sólidos tales como cables, transformadores, y postes, e impacto sobre el paisaje. No se prevé situaciones de reasentamiento de personas. </w:t>
      </w:r>
      <w:r w:rsidRPr="008E2F1B">
        <w:rPr>
          <w:rFonts w:ascii="Arial" w:hAnsi="Arial" w:cs="Arial"/>
          <w:sz w:val="22"/>
          <w:szCs w:val="22"/>
          <w:lang w:val="es-ES"/>
        </w:rPr>
        <w:t xml:space="preserve"> </w:t>
      </w:r>
    </w:p>
    <w:p w:rsidR="004B3185" w:rsidRPr="008E2F1B" w:rsidRDefault="004B3185" w:rsidP="004B3185">
      <w:pPr>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t xml:space="preserve">A continuación </w:t>
      </w:r>
      <w:r w:rsidR="0079066E" w:rsidRPr="008E2F1B">
        <w:rPr>
          <w:rFonts w:ascii="Arial" w:hAnsi="Arial" w:cs="Arial"/>
          <w:sz w:val="22"/>
          <w:szCs w:val="22"/>
          <w:lang w:val="es-ES"/>
        </w:rPr>
        <w:t xml:space="preserve"> se detallan los impactos y riesgos ambientales y sociales de la muestra del Programa:</w:t>
      </w:r>
    </w:p>
    <w:p w:rsidR="00084DD8" w:rsidRPr="008E2F1B" w:rsidRDefault="00084DD8" w:rsidP="009A514D">
      <w:pPr>
        <w:pStyle w:val="Heading2"/>
        <w:ind w:hanging="720"/>
        <w:rPr>
          <w:rFonts w:ascii="Arial" w:hAnsi="Arial" w:cs="Arial"/>
          <w:lang w:val="es-ES"/>
        </w:rPr>
      </w:pPr>
      <w:bookmarkStart w:id="27" w:name="_Toc463535790"/>
      <w:r w:rsidRPr="008E2F1B">
        <w:rPr>
          <w:rFonts w:ascii="Arial" w:hAnsi="Arial" w:cs="Arial"/>
          <w:lang w:val="es-ES"/>
        </w:rPr>
        <w:lastRenderedPageBreak/>
        <w:t>Impactos y Riesgos Ambientales</w:t>
      </w:r>
      <w:bookmarkEnd w:id="27"/>
    </w:p>
    <w:p w:rsidR="00EB0750" w:rsidRPr="008E2F1B" w:rsidRDefault="00EB0750" w:rsidP="00635C8A">
      <w:pPr>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t>Los proyectos eléctricos que se financiarán en el marco de la presente operación involucran la construcción, repotenciación o el mejoramiento de redes alimentadoras de distribución eléctrica a mediana o baja tensión, redes de subtransmisión y estaciones de subtransmisión, toda esta infraestructura debe incluir medidas de resiliencia para reducir el riesgo de daño frente a sismos.  En este sentido, este tipo de proyectos; i) no requieren de la conformación de una franja de servidumbre nueva, salvo aquellas variantes  de reubicación de líneas de subtransmisión por seguridad y mantenimiento; ii) son sumamente flexibles en el sentido que permiten fácilmente reacomodar las líneas para evitar daños ambientales o impactos a la propiedad privada o comunal.</w:t>
      </w:r>
    </w:p>
    <w:p w:rsidR="00EB0750" w:rsidRPr="008E2F1B" w:rsidRDefault="00EB0750" w:rsidP="00635C8A">
      <w:pPr>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t>En cuanto a las Subestaciones de Transmisión, la totalidad de los trabajos se harán al interior de aquellas existentes con actividades de sustitución de estructuras de soporte, obras civiles y equipamiento para mejorar la capacidad de recepción-entrega de energía eléctrica; y para aquellas Subestaciones de Transmisión nuevas, se realizarán en sitios previamente adquiridos de manera formal por CNEL EP.</w:t>
      </w:r>
    </w:p>
    <w:p w:rsidR="00EB0750" w:rsidRPr="008E2F1B" w:rsidRDefault="00EB0750" w:rsidP="00635C8A">
      <w:pPr>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t>Los impactos negativos que podrán generarse con la implantación de los proyectos de este programa son conocidos, pequeños en magnitud e importancia, de fácil manejo a través de técnicas estándar y concentradas mayormente en la fase de construcción de la infraestructura a financiarse en el marco del Programa.</w:t>
      </w:r>
      <w:r w:rsidR="00006023" w:rsidRPr="008E2F1B">
        <w:rPr>
          <w:rFonts w:ascii="Arial" w:hAnsi="Arial" w:cs="Arial"/>
          <w:sz w:val="22"/>
          <w:szCs w:val="22"/>
          <w:lang w:val="es-ES"/>
        </w:rPr>
        <w:t xml:space="preserve"> Entre estos riesgos e impactos se pueden considerar:</w:t>
      </w:r>
    </w:p>
    <w:p w:rsidR="00006023" w:rsidRPr="008E2F1B" w:rsidRDefault="00006023" w:rsidP="00635C8A">
      <w:pPr>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t>Contaminación del suelo por fugas y derrames de combustibles y químicos</w:t>
      </w:r>
      <w:r w:rsidR="0049298C" w:rsidRPr="008E2F1B">
        <w:rPr>
          <w:rFonts w:ascii="Arial" w:hAnsi="Arial" w:cs="Arial"/>
          <w:sz w:val="22"/>
          <w:szCs w:val="22"/>
          <w:lang w:val="es-ES"/>
        </w:rPr>
        <w:t>, principalmente, de bifenilos policlorados (PCB) que se usan a menudo como fluidos dieléctrico para proporciones asilamiento eléctrico</w:t>
      </w:r>
      <w:r w:rsidRPr="008E2F1B">
        <w:rPr>
          <w:rFonts w:ascii="Arial" w:hAnsi="Arial" w:cs="Arial"/>
          <w:sz w:val="22"/>
          <w:szCs w:val="22"/>
          <w:lang w:val="es-ES"/>
        </w:rPr>
        <w:t xml:space="preserve">; contaminación del aire debido a material particulado y gases; contaminación acústica por ruido y vibraciones; y contaminación visual. </w:t>
      </w:r>
    </w:p>
    <w:p w:rsidR="00B35495" w:rsidRPr="008E2F1B" w:rsidRDefault="00B35495" w:rsidP="00635C8A">
      <w:pPr>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t>Generación y acumulación de chatarra principalmente en las subestaciones lo cual puede generar contaminación del suelo y agua, proliferación de vectores y plagas, ocurrencia de accidentes laborales, e impacto sobre la salud de las personas.</w:t>
      </w:r>
    </w:p>
    <w:p w:rsidR="00AB5E88" w:rsidRPr="008E2F1B" w:rsidRDefault="00AB5E88" w:rsidP="00635C8A">
      <w:pPr>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t xml:space="preserve">Impacto visual sobre el paisaje debido al no desmantelamiento de líneas y torres en desuso, o aquellas que fueron destruidas por el terremoto y no pueden ser reconstruidas. </w:t>
      </w:r>
    </w:p>
    <w:p w:rsidR="00EB0750" w:rsidRPr="008E2F1B" w:rsidRDefault="00EB0750" w:rsidP="00635C8A">
      <w:pPr>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t xml:space="preserve">Entre los impactos y riesgos sociales más importantes que podría generar el programa se incluyen: i) eventual disconformidad de la población debido a posibles retrasos en la implementación de las actividades del proyecto; ii) aumento o generación de la sensación de inseguridad por la presencia de foráneos en la etapa de construcción; iii) posibles problemas de descoordinación comunitaria en la prestación de la contrapartida local para las obras; iv) falta de información oportuna y suficiente sobre los posibles molestias temporales que se pudieran causar por efectos de la construcción de las obras; </w:t>
      </w:r>
      <w:r w:rsidR="00071922" w:rsidRPr="008E2F1B">
        <w:rPr>
          <w:rFonts w:ascii="Arial" w:hAnsi="Arial" w:cs="Arial"/>
          <w:sz w:val="22"/>
          <w:szCs w:val="22"/>
          <w:lang w:val="es-ES"/>
        </w:rPr>
        <w:t xml:space="preserve">v) proliferación de asentamientos humanos irregulares dentro de la franja de servidumbre; vi) conflictos con la población debido a la falta de claridad en la delimitación de los terrenos de las subestaciones; </w:t>
      </w:r>
      <w:r w:rsidRPr="008E2F1B">
        <w:rPr>
          <w:rFonts w:ascii="Arial" w:hAnsi="Arial" w:cs="Arial"/>
          <w:sz w:val="22"/>
          <w:szCs w:val="22"/>
          <w:lang w:val="es-ES"/>
        </w:rPr>
        <w:t>entre los más relevantes.</w:t>
      </w:r>
    </w:p>
    <w:p w:rsidR="00EB0750" w:rsidRPr="008E2F1B" w:rsidRDefault="00EB0750" w:rsidP="00635C8A">
      <w:pPr>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lastRenderedPageBreak/>
        <w:t>Debido a las características y magnitud de las obras contempladas en esta operación, los impactos acumulativos negativos que se producirían serán muy pequeños. Los impactos ambientales y sociales negativos serán mínimos y temporales durante la construcción y operación, mientras que los impactos positivos son permanentes y muy significativos al mitigar el riesgo de afectación a población cercana a las LT y S/E y al reforzar el sistema que actualmente cuenta con estructuras en creciente estado de deterioro por la edad de éstas instalaciones y los impactos que sufrieron por el sismo del 16 de abril.</w:t>
      </w:r>
    </w:p>
    <w:p w:rsidR="00645CE1" w:rsidRPr="008E2F1B" w:rsidRDefault="001E0A43" w:rsidP="00CD5156">
      <w:pPr>
        <w:numPr>
          <w:ilvl w:val="1"/>
          <w:numId w:val="4"/>
        </w:numPr>
        <w:spacing w:after="120"/>
        <w:ind w:left="720"/>
        <w:jc w:val="both"/>
        <w:rPr>
          <w:rFonts w:ascii="Arial" w:hAnsi="Arial" w:cs="Arial"/>
          <w:sz w:val="22"/>
          <w:szCs w:val="22"/>
          <w:lang w:val="es-ES"/>
        </w:rPr>
      </w:pPr>
      <w:r w:rsidRPr="008E2F1B">
        <w:rPr>
          <w:rFonts w:ascii="Arial" w:hAnsi="Arial" w:cs="Arial"/>
          <w:sz w:val="22"/>
          <w:szCs w:val="22"/>
          <w:u w:val="single"/>
          <w:lang w:val="es-ES"/>
        </w:rPr>
        <w:t>Riesgos de Desastres</w:t>
      </w:r>
      <w:r w:rsidRPr="008E2F1B">
        <w:rPr>
          <w:rFonts w:ascii="Arial" w:hAnsi="Arial" w:cs="Arial"/>
          <w:sz w:val="22"/>
          <w:szCs w:val="22"/>
          <w:lang w:val="es-ES"/>
        </w:rPr>
        <w:t xml:space="preserve">. </w:t>
      </w:r>
      <w:r w:rsidR="003F2451" w:rsidRPr="008E2F1B">
        <w:rPr>
          <w:rFonts w:ascii="Arial" w:hAnsi="Arial" w:cs="Arial"/>
          <w:sz w:val="22"/>
          <w:szCs w:val="22"/>
          <w:lang w:val="es-ES"/>
        </w:rPr>
        <w:t xml:space="preserve">En lo referente a riesgos de desastres, las dos provincias (Esmeraldas y Manabí) donde se construirán las obras de infraestructura del Programa están expuestas principalmente a un riesgo latente de sismos de gran intensidad, y esto se ha demostrado con el terremoto de abril de 2016 y sus réplicas que han sido devastadoras. Otro riesgo que se puede identificar en estas zonas, pero en menor magnitud, es lo relacionado </w:t>
      </w:r>
      <w:r w:rsidRPr="008E2F1B">
        <w:rPr>
          <w:rFonts w:ascii="Arial" w:hAnsi="Arial" w:cs="Arial"/>
          <w:sz w:val="22"/>
          <w:szCs w:val="22"/>
          <w:lang w:val="es-ES"/>
        </w:rPr>
        <w:t xml:space="preserve">a inundaciones, no obstante de acuerdo a algunas de las evaluaciones ambientales y principalmente las relacionadas a las líneas de transmisión, el riesgo de impacto por inundación es bastante bajo, debido a la ubicación de las mismas. </w:t>
      </w:r>
      <w:r w:rsidR="00645CE1" w:rsidRPr="008E2F1B">
        <w:rPr>
          <w:rFonts w:ascii="Arial" w:hAnsi="Arial" w:cs="Arial"/>
          <w:sz w:val="22"/>
          <w:szCs w:val="22"/>
          <w:lang w:val="es-ES"/>
        </w:rPr>
        <w:t>Para el caso de los riesgos por actividad sísmica, como parte del Programa se está desarrollando un estudio de Infraestructura Eléctrica Resiliente, con el objetivo de llevar a cabo la revisión y actualización de los estándares de diseño y construcción de infraestructura eléctrica resiliente (obras civiles y eléctricas), con enfoque en infraestructura de subtransmisión, distribución, y equipamiento eléctrico, a fin de conocer y analizar la situación actual de aplicación de especificaciones de sismoresistencia en los diseños de proyectos del sector.</w:t>
      </w:r>
    </w:p>
    <w:p w:rsidR="00645CE1" w:rsidRPr="008E2F1B" w:rsidRDefault="00645CE1" w:rsidP="008E2F1B">
      <w:pPr>
        <w:spacing w:after="120"/>
        <w:jc w:val="both"/>
        <w:rPr>
          <w:rFonts w:ascii="Arial" w:hAnsi="Arial" w:cs="Arial"/>
          <w:sz w:val="22"/>
          <w:szCs w:val="22"/>
          <w:lang w:val="es-ES"/>
        </w:rPr>
      </w:pPr>
    </w:p>
    <w:p w:rsidR="008B0374" w:rsidRPr="008E2F1B" w:rsidRDefault="008B0374" w:rsidP="008B0374">
      <w:pPr>
        <w:pStyle w:val="Heading2"/>
        <w:ind w:hanging="720"/>
        <w:rPr>
          <w:rFonts w:ascii="Arial" w:hAnsi="Arial" w:cs="Arial"/>
          <w:lang w:val="es-ES"/>
        </w:rPr>
      </w:pPr>
      <w:bookmarkStart w:id="28" w:name="_Toc423423397"/>
      <w:bookmarkStart w:id="29" w:name="_Toc463535791"/>
      <w:r w:rsidRPr="008E2F1B">
        <w:rPr>
          <w:rFonts w:ascii="Arial" w:hAnsi="Arial" w:cs="Arial"/>
          <w:lang w:val="es-ES"/>
        </w:rPr>
        <w:t>Impactos Positivos</w:t>
      </w:r>
      <w:bookmarkEnd w:id="28"/>
      <w:bookmarkEnd w:id="29"/>
    </w:p>
    <w:p w:rsidR="008E2DD1" w:rsidRPr="008E2F1B" w:rsidRDefault="008E2DD1" w:rsidP="00635C8A">
      <w:pPr>
        <w:pStyle w:val="Paragraph"/>
        <w:numPr>
          <w:ilvl w:val="1"/>
          <w:numId w:val="4"/>
        </w:numPr>
        <w:tabs>
          <w:tab w:val="left" w:pos="720"/>
        </w:tabs>
        <w:ind w:left="720"/>
        <w:outlineLvl w:val="9"/>
        <w:rPr>
          <w:rFonts w:ascii="Arial" w:hAnsi="Arial" w:cs="Arial"/>
          <w:sz w:val="22"/>
          <w:szCs w:val="22"/>
          <w:lang w:val="es-ES"/>
        </w:rPr>
      </w:pPr>
      <w:r w:rsidRPr="008E2F1B">
        <w:rPr>
          <w:rFonts w:ascii="Arial" w:hAnsi="Arial" w:cs="Arial"/>
          <w:sz w:val="22"/>
          <w:szCs w:val="22"/>
          <w:lang w:val="es-ES"/>
        </w:rPr>
        <w:t xml:space="preserve">La </w:t>
      </w:r>
      <w:r w:rsidR="00635C8A" w:rsidRPr="008E2F1B">
        <w:rPr>
          <w:rFonts w:ascii="Arial" w:hAnsi="Arial" w:cs="Arial"/>
          <w:sz w:val="22"/>
          <w:szCs w:val="22"/>
          <w:lang w:val="es-ES"/>
        </w:rPr>
        <w:t>operación de los proyectos del P</w:t>
      </w:r>
      <w:r w:rsidRPr="008E2F1B">
        <w:rPr>
          <w:rFonts w:ascii="Arial" w:hAnsi="Arial" w:cs="Arial"/>
          <w:sz w:val="22"/>
          <w:szCs w:val="22"/>
          <w:lang w:val="es-ES"/>
        </w:rPr>
        <w:t>rograma, generará grandes e importantes impactos positivos en la población, dentro de los cuales cabe señalar los siguientes: i) dinamización y recuperación de la economía local</w:t>
      </w:r>
      <w:r w:rsidR="00635C8A" w:rsidRPr="008E2F1B">
        <w:rPr>
          <w:rFonts w:ascii="Arial" w:hAnsi="Arial" w:cs="Arial"/>
          <w:sz w:val="22"/>
          <w:szCs w:val="22"/>
          <w:lang w:val="es-ES"/>
        </w:rPr>
        <w:t>; ii</w:t>
      </w:r>
      <w:r w:rsidRPr="008E2F1B">
        <w:rPr>
          <w:rFonts w:ascii="Arial" w:hAnsi="Arial" w:cs="Arial"/>
          <w:sz w:val="22"/>
          <w:szCs w:val="22"/>
          <w:lang w:val="es-ES"/>
        </w:rPr>
        <w:t>) mejoramiento de la seguridad ciudadana con el alejamiento de las líneas de s</w:t>
      </w:r>
      <w:r w:rsidR="00635C8A" w:rsidRPr="008E2F1B">
        <w:rPr>
          <w:rFonts w:ascii="Arial" w:hAnsi="Arial" w:cs="Arial"/>
          <w:sz w:val="22"/>
          <w:szCs w:val="22"/>
          <w:lang w:val="es-ES"/>
        </w:rPr>
        <w:t>ubtransmisión de viviendas; y iii</w:t>
      </w:r>
      <w:r w:rsidRPr="008E2F1B">
        <w:rPr>
          <w:rFonts w:ascii="Arial" w:hAnsi="Arial" w:cs="Arial"/>
          <w:sz w:val="22"/>
          <w:szCs w:val="22"/>
          <w:lang w:val="es-ES"/>
        </w:rPr>
        <w:t>) mejoramiento de las condiciones de vida de los beneficiarios afectados por el sismo.</w:t>
      </w:r>
    </w:p>
    <w:p w:rsidR="00084DD8" w:rsidRPr="008E2F1B" w:rsidRDefault="00084DD8" w:rsidP="009A514D">
      <w:pPr>
        <w:pStyle w:val="Heading2"/>
        <w:ind w:hanging="720"/>
        <w:rPr>
          <w:rFonts w:ascii="Arial" w:hAnsi="Arial" w:cs="Arial"/>
          <w:lang w:val="es-ES"/>
        </w:rPr>
      </w:pPr>
      <w:bookmarkStart w:id="30" w:name="_Toc463535792"/>
      <w:r w:rsidRPr="008E2F1B">
        <w:rPr>
          <w:rFonts w:ascii="Arial" w:hAnsi="Arial" w:cs="Arial"/>
          <w:lang w:val="es-ES"/>
        </w:rPr>
        <w:t>Adicionalidad del BID</w:t>
      </w:r>
      <w:bookmarkEnd w:id="30"/>
    </w:p>
    <w:p w:rsidR="00372DEA" w:rsidRPr="008E2F1B" w:rsidRDefault="00AB3054" w:rsidP="00372DEA">
      <w:pPr>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t>Adicionalmente a los beneficios propios de</w:t>
      </w:r>
      <w:r w:rsidR="002D2974" w:rsidRPr="008E2F1B">
        <w:rPr>
          <w:rFonts w:ascii="Arial" w:hAnsi="Arial" w:cs="Arial"/>
          <w:sz w:val="22"/>
          <w:szCs w:val="22"/>
          <w:lang w:val="es-ES"/>
        </w:rPr>
        <w:t xml:space="preserve"> </w:t>
      </w:r>
      <w:r w:rsidRPr="008E2F1B">
        <w:rPr>
          <w:rFonts w:ascii="Arial" w:hAnsi="Arial" w:cs="Arial"/>
          <w:sz w:val="22"/>
          <w:szCs w:val="22"/>
          <w:lang w:val="es-ES"/>
        </w:rPr>
        <w:t>l</w:t>
      </w:r>
      <w:r w:rsidR="002D2974" w:rsidRPr="008E2F1B">
        <w:rPr>
          <w:rFonts w:ascii="Arial" w:hAnsi="Arial" w:cs="Arial"/>
          <w:sz w:val="22"/>
          <w:szCs w:val="22"/>
          <w:lang w:val="es-ES"/>
        </w:rPr>
        <w:t xml:space="preserve">a operación </w:t>
      </w:r>
      <w:r w:rsidRPr="008E2F1B">
        <w:rPr>
          <w:rFonts w:ascii="Arial" w:hAnsi="Arial" w:cs="Arial"/>
          <w:sz w:val="22"/>
          <w:szCs w:val="22"/>
          <w:lang w:val="es-ES"/>
        </w:rPr>
        <w:t>de contribuir a</w:t>
      </w:r>
      <w:r w:rsidR="00F7355A" w:rsidRPr="008E2F1B">
        <w:rPr>
          <w:rFonts w:ascii="Arial" w:hAnsi="Arial" w:cs="Arial"/>
          <w:sz w:val="22"/>
          <w:szCs w:val="22"/>
          <w:lang w:val="es-ES"/>
        </w:rPr>
        <w:t xml:space="preserve"> recuperar y reconstruir la infraestructura del sector eléctrico afectada por el sismo de abril de 2016,</w:t>
      </w:r>
      <w:r w:rsidR="002840BF" w:rsidRPr="008E2F1B">
        <w:rPr>
          <w:rFonts w:ascii="Arial" w:hAnsi="Arial" w:cs="Arial"/>
          <w:sz w:val="22"/>
          <w:szCs w:val="22"/>
          <w:lang w:val="es-ES"/>
        </w:rPr>
        <w:t xml:space="preserve"> como parte del Programa se está desarrollando un estudio de Infraestructura Eléctrica Resiliente, con el objetivo </w:t>
      </w:r>
      <w:r w:rsidR="00170662" w:rsidRPr="008E2F1B">
        <w:rPr>
          <w:rFonts w:ascii="Arial" w:hAnsi="Arial" w:cs="Arial"/>
          <w:sz w:val="22"/>
          <w:szCs w:val="22"/>
          <w:lang w:val="es-ES"/>
        </w:rPr>
        <w:t>de llevar a cabo la revisión y actualización de los estándares de diseño y construcción de infraestructura eléctrica resiliente (obras civiles y eléctricas), con enfoque en infraestructura de subtransmisión, distribución, y equipamiento eléctrico, a fin de conocer y analizar la situación actual de aplicación de especificaciones de sismoresistencia en los diseños de proyectos del sector.</w:t>
      </w:r>
    </w:p>
    <w:p w:rsidR="00170662" w:rsidRPr="008E2F1B" w:rsidRDefault="00170662" w:rsidP="00372DEA">
      <w:pPr>
        <w:numPr>
          <w:ilvl w:val="1"/>
          <w:numId w:val="4"/>
        </w:numPr>
        <w:spacing w:after="120"/>
        <w:ind w:left="720"/>
        <w:jc w:val="both"/>
        <w:rPr>
          <w:rFonts w:ascii="Arial" w:hAnsi="Arial" w:cs="Arial"/>
          <w:sz w:val="22"/>
          <w:szCs w:val="22"/>
          <w:lang w:val="es-ES"/>
        </w:rPr>
      </w:pPr>
      <w:r w:rsidRPr="008E2F1B">
        <w:rPr>
          <w:rFonts w:ascii="Arial" w:hAnsi="Arial" w:cs="Arial"/>
          <w:sz w:val="22"/>
          <w:szCs w:val="22"/>
          <w:lang w:val="es-ES"/>
        </w:rPr>
        <w:t xml:space="preserve">Además, como resultado de la evaluación ambiental al Programa y de la misión de análisis se pudo identificar la necesidad de implementar planes de manejo de </w:t>
      </w:r>
      <w:r w:rsidRPr="008E2F1B">
        <w:rPr>
          <w:rFonts w:ascii="Arial" w:hAnsi="Arial" w:cs="Arial"/>
          <w:sz w:val="22"/>
          <w:szCs w:val="22"/>
          <w:lang w:val="es-ES"/>
        </w:rPr>
        <w:lastRenderedPageBreak/>
        <w:t>chatarra en las subestaciones e implementar un mecanismo de manejo de quejas y reclamos los mismos que estaban ausentes dentro de los procedimientos locales.</w:t>
      </w:r>
    </w:p>
    <w:p w:rsidR="00084DD8" w:rsidRPr="004223D9" w:rsidRDefault="00084DD8" w:rsidP="00B2397E">
      <w:pPr>
        <w:pStyle w:val="Heading1"/>
        <w:rPr>
          <w:rFonts w:ascii="Arial" w:hAnsi="Arial" w:cs="Arial"/>
          <w:lang w:val="es-ES"/>
        </w:rPr>
      </w:pPr>
      <w:bookmarkStart w:id="31" w:name="_Toc422409160"/>
      <w:bookmarkStart w:id="32" w:name="_Toc422409217"/>
      <w:bookmarkStart w:id="33" w:name="_Toc463535793"/>
      <w:r w:rsidRPr="008E2F1B">
        <w:rPr>
          <w:rFonts w:ascii="Arial" w:hAnsi="Arial" w:cs="Arial"/>
          <w:lang w:val="es-ES"/>
        </w:rPr>
        <w:t>M</w:t>
      </w:r>
      <w:r w:rsidR="00B2397E" w:rsidRPr="008E2F1B">
        <w:rPr>
          <w:rFonts w:ascii="Arial" w:hAnsi="Arial" w:cs="Arial"/>
          <w:lang w:val="es-ES"/>
        </w:rPr>
        <w:t>anejo y Monitoreo de Impactos y Riesgos Ambientales, Sociales, de</w:t>
      </w:r>
      <w:r w:rsidR="00B2397E" w:rsidRPr="004223D9">
        <w:rPr>
          <w:rFonts w:ascii="Arial" w:hAnsi="Arial" w:cs="Arial"/>
          <w:lang w:val="es-ES"/>
        </w:rPr>
        <w:t xml:space="preserve"> Salud y Seguridad Ocupacional</w:t>
      </w:r>
      <w:bookmarkEnd w:id="31"/>
      <w:bookmarkEnd w:id="32"/>
      <w:bookmarkEnd w:id="33"/>
      <w:r w:rsidRPr="004223D9">
        <w:rPr>
          <w:rFonts w:ascii="Arial" w:hAnsi="Arial" w:cs="Arial"/>
          <w:lang w:val="es-ES"/>
        </w:rPr>
        <w:t xml:space="preserve">  </w:t>
      </w:r>
    </w:p>
    <w:p w:rsidR="00084DD8" w:rsidRPr="004223D9" w:rsidRDefault="00084DD8" w:rsidP="008C554F">
      <w:pPr>
        <w:pStyle w:val="Heading2"/>
        <w:numPr>
          <w:ilvl w:val="0"/>
          <w:numId w:val="11"/>
        </w:numPr>
        <w:ind w:hanging="720"/>
        <w:rPr>
          <w:rFonts w:ascii="Arial" w:hAnsi="Arial" w:cs="Arial"/>
          <w:lang w:val="es-ES"/>
        </w:rPr>
      </w:pPr>
      <w:bookmarkStart w:id="34" w:name="_Toc463535794"/>
      <w:r w:rsidRPr="004223D9">
        <w:rPr>
          <w:rFonts w:ascii="Arial" w:hAnsi="Arial" w:cs="Arial"/>
          <w:lang w:val="es-ES"/>
        </w:rPr>
        <w:t>Planes y Sistemas de Manejo</w:t>
      </w:r>
      <w:bookmarkEnd w:id="34"/>
    </w:p>
    <w:p w:rsidR="00FA2C86" w:rsidRPr="004223D9" w:rsidRDefault="00FA2C86" w:rsidP="006B1325">
      <w:pPr>
        <w:numPr>
          <w:ilvl w:val="1"/>
          <w:numId w:val="5"/>
        </w:numPr>
        <w:spacing w:after="120"/>
        <w:ind w:left="720"/>
        <w:jc w:val="both"/>
        <w:rPr>
          <w:rFonts w:ascii="Arial" w:hAnsi="Arial" w:cs="Arial"/>
          <w:sz w:val="22"/>
          <w:szCs w:val="22"/>
          <w:lang w:val="es-ES"/>
        </w:rPr>
      </w:pPr>
      <w:r w:rsidRPr="004223D9">
        <w:rPr>
          <w:rFonts w:ascii="Arial" w:hAnsi="Arial" w:cs="Arial"/>
          <w:sz w:val="22"/>
          <w:szCs w:val="22"/>
          <w:lang w:val="es-ES"/>
        </w:rPr>
        <w:t>El M</w:t>
      </w:r>
      <w:r w:rsidR="006B1325" w:rsidRPr="004223D9">
        <w:rPr>
          <w:rFonts w:ascii="Arial" w:hAnsi="Arial" w:cs="Arial"/>
          <w:sz w:val="22"/>
          <w:szCs w:val="22"/>
          <w:lang w:val="es-ES"/>
        </w:rPr>
        <w:t>inisterio de Electricidad y Energía Renovable (M</w:t>
      </w:r>
      <w:r w:rsidRPr="004223D9">
        <w:rPr>
          <w:rFonts w:ascii="Arial" w:hAnsi="Arial" w:cs="Arial"/>
          <w:sz w:val="22"/>
          <w:szCs w:val="22"/>
          <w:lang w:val="es-ES"/>
        </w:rPr>
        <w:t>EER</w:t>
      </w:r>
      <w:r w:rsidR="006B1325" w:rsidRPr="004223D9">
        <w:rPr>
          <w:rFonts w:ascii="Arial" w:hAnsi="Arial" w:cs="Arial"/>
          <w:sz w:val="22"/>
          <w:szCs w:val="22"/>
          <w:lang w:val="es-ES"/>
        </w:rPr>
        <w:t>)</w:t>
      </w:r>
      <w:r w:rsidRPr="004223D9">
        <w:rPr>
          <w:rFonts w:ascii="Arial" w:hAnsi="Arial" w:cs="Arial"/>
          <w:sz w:val="22"/>
          <w:szCs w:val="22"/>
          <w:lang w:val="es-ES"/>
        </w:rPr>
        <w:t xml:space="preserve">, cuenta </w:t>
      </w:r>
      <w:r w:rsidR="006B1325" w:rsidRPr="004223D9">
        <w:rPr>
          <w:rFonts w:ascii="Arial" w:hAnsi="Arial" w:cs="Arial"/>
          <w:sz w:val="22"/>
          <w:szCs w:val="22"/>
          <w:lang w:val="es-ES"/>
        </w:rPr>
        <w:t xml:space="preserve">por el momento </w:t>
      </w:r>
      <w:r w:rsidRPr="004223D9">
        <w:rPr>
          <w:rFonts w:ascii="Arial" w:hAnsi="Arial" w:cs="Arial"/>
          <w:sz w:val="22"/>
          <w:szCs w:val="22"/>
          <w:lang w:val="es-ES"/>
        </w:rPr>
        <w:t>con el asesoramiento de una especialista ambiental encargada de coordinar y supervisar la implementación de las políti</w:t>
      </w:r>
      <w:r w:rsidR="006B1325" w:rsidRPr="004223D9">
        <w:rPr>
          <w:rFonts w:ascii="Arial" w:hAnsi="Arial" w:cs="Arial"/>
          <w:sz w:val="22"/>
          <w:szCs w:val="22"/>
          <w:lang w:val="es-ES"/>
        </w:rPr>
        <w:t>cas ambientales y sociales del e</w:t>
      </w:r>
      <w:r w:rsidRPr="004223D9">
        <w:rPr>
          <w:rFonts w:ascii="Arial" w:hAnsi="Arial" w:cs="Arial"/>
          <w:sz w:val="22"/>
          <w:szCs w:val="22"/>
          <w:lang w:val="es-ES"/>
        </w:rPr>
        <w:t xml:space="preserve">stado en las </w:t>
      </w:r>
      <w:r w:rsidR="006B1325" w:rsidRPr="004223D9">
        <w:rPr>
          <w:rFonts w:ascii="Arial" w:hAnsi="Arial" w:cs="Arial"/>
          <w:sz w:val="22"/>
          <w:szCs w:val="22"/>
          <w:lang w:val="es-ES"/>
        </w:rPr>
        <w:t xml:space="preserve">empresas públicas eléctricas denominadas </w:t>
      </w:r>
      <w:r w:rsidRPr="004223D9">
        <w:rPr>
          <w:rFonts w:ascii="Arial" w:hAnsi="Arial" w:cs="Arial"/>
          <w:sz w:val="22"/>
          <w:szCs w:val="22"/>
          <w:lang w:val="es-ES"/>
        </w:rPr>
        <w:t>Empr</w:t>
      </w:r>
      <w:r w:rsidR="006B1325" w:rsidRPr="004223D9">
        <w:rPr>
          <w:rFonts w:ascii="Arial" w:hAnsi="Arial" w:cs="Arial"/>
          <w:sz w:val="22"/>
          <w:szCs w:val="22"/>
          <w:lang w:val="es-ES"/>
        </w:rPr>
        <w:t>esa</w:t>
      </w:r>
      <w:r w:rsidRPr="004223D9">
        <w:rPr>
          <w:rFonts w:ascii="Arial" w:hAnsi="Arial" w:cs="Arial"/>
          <w:sz w:val="22"/>
          <w:szCs w:val="22"/>
          <w:lang w:val="es-ES"/>
        </w:rPr>
        <w:t xml:space="preserve"> </w:t>
      </w:r>
      <w:r w:rsidR="006B1325" w:rsidRPr="004223D9">
        <w:rPr>
          <w:rFonts w:ascii="Arial" w:hAnsi="Arial" w:cs="Arial"/>
          <w:sz w:val="22"/>
          <w:szCs w:val="22"/>
          <w:lang w:val="es-ES"/>
        </w:rPr>
        <w:t>Pública, Corporación Nacional de Electricidad</w:t>
      </w:r>
      <w:r w:rsidRPr="004223D9">
        <w:rPr>
          <w:rFonts w:ascii="Arial" w:hAnsi="Arial" w:cs="Arial"/>
          <w:sz w:val="22"/>
          <w:szCs w:val="22"/>
          <w:lang w:val="es-ES"/>
        </w:rPr>
        <w:t xml:space="preserve"> </w:t>
      </w:r>
      <w:r w:rsidR="006B1325" w:rsidRPr="004223D9">
        <w:rPr>
          <w:rFonts w:ascii="Arial" w:hAnsi="Arial" w:cs="Arial"/>
          <w:sz w:val="22"/>
          <w:szCs w:val="22"/>
          <w:lang w:val="es-ES"/>
        </w:rPr>
        <w:t>(</w:t>
      </w:r>
      <w:r w:rsidRPr="004223D9">
        <w:rPr>
          <w:rFonts w:ascii="Arial" w:hAnsi="Arial" w:cs="Arial"/>
          <w:sz w:val="22"/>
          <w:szCs w:val="22"/>
          <w:lang w:val="es-ES"/>
        </w:rPr>
        <w:t>CNEL EP</w:t>
      </w:r>
      <w:r w:rsidR="006B1325" w:rsidRPr="004223D9">
        <w:rPr>
          <w:rFonts w:ascii="Arial" w:hAnsi="Arial" w:cs="Arial"/>
          <w:sz w:val="22"/>
          <w:szCs w:val="22"/>
          <w:lang w:val="es-ES"/>
        </w:rPr>
        <w:t>)</w:t>
      </w:r>
      <w:r w:rsidRPr="004223D9">
        <w:rPr>
          <w:rFonts w:ascii="Arial" w:hAnsi="Arial" w:cs="Arial"/>
          <w:sz w:val="22"/>
          <w:szCs w:val="22"/>
          <w:lang w:val="es-ES"/>
        </w:rPr>
        <w:t xml:space="preserve">. </w:t>
      </w:r>
      <w:r w:rsidR="00F22209" w:rsidRPr="004223D9">
        <w:rPr>
          <w:rFonts w:ascii="Arial" w:hAnsi="Arial" w:cs="Arial"/>
          <w:sz w:val="22"/>
          <w:szCs w:val="22"/>
          <w:lang w:val="es-ES"/>
        </w:rPr>
        <w:t>Además, esta especialista s</w:t>
      </w:r>
      <w:r w:rsidRPr="004223D9">
        <w:rPr>
          <w:rFonts w:ascii="Arial" w:hAnsi="Arial" w:cs="Arial"/>
          <w:sz w:val="22"/>
          <w:szCs w:val="22"/>
          <w:lang w:val="es-ES"/>
        </w:rPr>
        <w:t xml:space="preserve">e asegura que las políticas y salvaguardias ambientales y sociales de los organismos multilaterales de financiamiento sean cumplidas en el ejercicio de la ejecución de proyectos </w:t>
      </w:r>
      <w:r w:rsidR="006B1325" w:rsidRPr="004223D9">
        <w:rPr>
          <w:rFonts w:ascii="Arial" w:hAnsi="Arial" w:cs="Arial"/>
          <w:sz w:val="22"/>
          <w:szCs w:val="22"/>
          <w:lang w:val="es-ES"/>
        </w:rPr>
        <w:t>financiados por</w:t>
      </w:r>
      <w:r w:rsidR="00F22209" w:rsidRPr="004223D9">
        <w:rPr>
          <w:rFonts w:ascii="Arial" w:hAnsi="Arial" w:cs="Arial"/>
          <w:sz w:val="22"/>
          <w:szCs w:val="22"/>
          <w:lang w:val="es-ES"/>
        </w:rPr>
        <w:t xml:space="preserve"> las mismas</w:t>
      </w:r>
      <w:r w:rsidRPr="004223D9">
        <w:rPr>
          <w:rFonts w:ascii="Arial" w:hAnsi="Arial" w:cs="Arial"/>
          <w:sz w:val="22"/>
          <w:szCs w:val="22"/>
          <w:lang w:val="es-ES"/>
        </w:rPr>
        <w:t xml:space="preserve">. Su gestión se canaliza y coordina a través de los especialistas ambientales de las diferentes </w:t>
      </w:r>
      <w:r w:rsidR="00F22209" w:rsidRPr="004223D9">
        <w:rPr>
          <w:rFonts w:ascii="Arial" w:hAnsi="Arial" w:cs="Arial"/>
          <w:sz w:val="22"/>
          <w:szCs w:val="22"/>
          <w:lang w:val="es-ES"/>
        </w:rPr>
        <w:t xml:space="preserve">CNEL EPs </w:t>
      </w:r>
      <w:r w:rsidRPr="004223D9">
        <w:rPr>
          <w:rFonts w:ascii="Arial" w:hAnsi="Arial" w:cs="Arial"/>
          <w:sz w:val="22"/>
          <w:szCs w:val="22"/>
          <w:lang w:val="es-ES"/>
        </w:rPr>
        <w:t>que generan y administran la energía eléctrica en el país.</w:t>
      </w:r>
    </w:p>
    <w:p w:rsidR="00F43C2D" w:rsidRPr="004223D9" w:rsidRDefault="00F43C2D" w:rsidP="00F43C2D">
      <w:pPr>
        <w:numPr>
          <w:ilvl w:val="1"/>
          <w:numId w:val="5"/>
        </w:numPr>
        <w:spacing w:after="120"/>
        <w:ind w:left="720"/>
        <w:jc w:val="both"/>
        <w:rPr>
          <w:rFonts w:ascii="Arial" w:hAnsi="Arial" w:cs="Arial"/>
          <w:sz w:val="22"/>
          <w:szCs w:val="22"/>
          <w:lang w:val="es-ES"/>
        </w:rPr>
      </w:pPr>
      <w:r w:rsidRPr="004223D9">
        <w:rPr>
          <w:rFonts w:ascii="Arial" w:hAnsi="Arial" w:cs="Arial"/>
          <w:sz w:val="22"/>
          <w:szCs w:val="22"/>
          <w:lang w:val="es-ES"/>
        </w:rPr>
        <w:t>La CNEL EP responsable de la operación del sistema nacional de energía eléctrica, mantiene un especialista ambiental coordinador a nivel nacional, que mantiene permanente contacto y coordinación con cada uno de los especialistas de las CNEL EPs en las diferentes provincias, incluyendo aquellas donde se implementará el Programa. Las CNEL EPs a nivel provincial mantienen generalmente uno o dos profesionales encargados de la gestión para la supervisión ambiental y social de los proyectos a su cargo, que en la mayoría de los casos es insuficiente y limitada.</w:t>
      </w:r>
    </w:p>
    <w:p w:rsidR="00F43C2D" w:rsidRPr="008E2F1B" w:rsidRDefault="003E4F3A" w:rsidP="006B1325">
      <w:pPr>
        <w:numPr>
          <w:ilvl w:val="1"/>
          <w:numId w:val="5"/>
        </w:numPr>
        <w:spacing w:after="120"/>
        <w:ind w:left="720"/>
        <w:jc w:val="both"/>
        <w:rPr>
          <w:rFonts w:ascii="Arial" w:hAnsi="Arial" w:cs="Arial"/>
          <w:sz w:val="22"/>
          <w:szCs w:val="22"/>
          <w:lang w:val="es-ES"/>
        </w:rPr>
      </w:pPr>
      <w:r w:rsidRPr="004223D9">
        <w:rPr>
          <w:rFonts w:ascii="Arial" w:hAnsi="Arial" w:cs="Arial"/>
          <w:sz w:val="22"/>
          <w:szCs w:val="22"/>
          <w:lang w:val="es-AR"/>
        </w:rPr>
        <w:t xml:space="preserve">Cabe señalar que la legislación ambiental del sector eléctrico determinó la obligatoriedad de que se instituya un departamento de gestión ambiental y social en cada una de las entidades operativas del sistema eléctrico en el país; de esta </w:t>
      </w:r>
      <w:r w:rsidRPr="008E2F1B">
        <w:rPr>
          <w:rFonts w:ascii="Arial" w:hAnsi="Arial" w:cs="Arial"/>
          <w:sz w:val="22"/>
          <w:szCs w:val="22"/>
          <w:lang w:val="es-AR"/>
        </w:rPr>
        <w:t>forma, actualmente, todas las CNEL EPs cuentan con este departamento con los especialistas antes señalados, aunque como se mencionó anteriormente, el número de los mismos es aún insuficiente.</w:t>
      </w:r>
    </w:p>
    <w:p w:rsidR="00697A77" w:rsidRPr="008E2F1B" w:rsidRDefault="00697A77" w:rsidP="00697A77">
      <w:pPr>
        <w:numPr>
          <w:ilvl w:val="1"/>
          <w:numId w:val="5"/>
        </w:numPr>
        <w:spacing w:after="120"/>
        <w:ind w:left="720"/>
        <w:jc w:val="both"/>
        <w:rPr>
          <w:rFonts w:ascii="Arial" w:hAnsi="Arial" w:cs="Arial"/>
          <w:sz w:val="22"/>
          <w:szCs w:val="22"/>
          <w:lang w:val="es-ES_tradnl"/>
        </w:rPr>
      </w:pPr>
      <w:r w:rsidRPr="008E2F1B">
        <w:rPr>
          <w:rFonts w:ascii="Arial" w:hAnsi="Arial" w:cs="Arial"/>
          <w:sz w:val="22"/>
          <w:szCs w:val="22"/>
          <w:lang w:val="es-ES"/>
        </w:rPr>
        <w:t>No obstante, para fortalecer las debilidades de la gestión socio-ambiental se cuenta con</w:t>
      </w:r>
      <w:r w:rsidR="00CD5156" w:rsidRPr="008E2F1B">
        <w:rPr>
          <w:rFonts w:ascii="Arial" w:hAnsi="Arial" w:cs="Arial"/>
          <w:sz w:val="22"/>
          <w:szCs w:val="22"/>
          <w:lang w:val="es-ES"/>
        </w:rPr>
        <w:t xml:space="preserve"> una primera versión de</w:t>
      </w:r>
      <w:r w:rsidRPr="008E2F1B">
        <w:rPr>
          <w:rFonts w:ascii="Arial" w:hAnsi="Arial" w:cs="Arial"/>
          <w:sz w:val="22"/>
          <w:szCs w:val="22"/>
          <w:lang w:val="es-ES"/>
        </w:rPr>
        <w:t xml:space="preserve"> un Marco de Gestión Ambiental y Social (MGAS) para el Programa, el mismo que se encuentra en continuo mejoramiento para asegurar que la operación cumpla con la implementación de las salvaguardias ambientales del Banco de una manera satisfactoria. El MGAS </w:t>
      </w:r>
      <w:r w:rsidRPr="008E2F1B">
        <w:rPr>
          <w:rFonts w:ascii="Arial" w:hAnsi="Arial" w:cs="Arial"/>
          <w:sz w:val="22"/>
          <w:szCs w:val="22"/>
          <w:lang w:val="es-ES_tradnl"/>
        </w:rPr>
        <w:t xml:space="preserve">contiene un compendio de acciones y medidas de prevención y control ambiental para los proyectos del Programa, en función del tipo de obra y de la sensibilidad del medio, así como los instrumentos y procedimientos de gestión ambiental requeridos para la ejecución sostenible del mismo. El MGAS tiene como objetivo </w:t>
      </w:r>
      <w:r w:rsidRPr="008E2F1B">
        <w:rPr>
          <w:rFonts w:ascii="Arial" w:hAnsi="Arial" w:cs="Arial"/>
          <w:sz w:val="22"/>
          <w:szCs w:val="22"/>
          <w:lang w:val="es-AR"/>
        </w:rPr>
        <w:t xml:space="preserve">Asegurar la sostenibilidad ambiental y social de los proyectos a financiarse en el marco del Programa y garantizar el cumplimiento tanto de la legislación ambiental nacional como la Política de Medio Ambiente y Cumplimiento de Salvaguardias Ambientales del Banco. Específicamente, el MGAS, determinar las condiciones y acciones de carácter preventivo, correctivo </w:t>
      </w:r>
      <w:r w:rsidRPr="008E2F1B">
        <w:rPr>
          <w:rFonts w:ascii="Arial" w:hAnsi="Arial" w:cs="Arial"/>
          <w:sz w:val="22"/>
          <w:szCs w:val="22"/>
          <w:lang w:val="es-AR"/>
        </w:rPr>
        <w:lastRenderedPageBreak/>
        <w:t>y de compensación necesarios para asegurar el éxito de la ejecución</w:t>
      </w:r>
      <w:r w:rsidR="00B3284D" w:rsidRPr="008E2F1B">
        <w:rPr>
          <w:rFonts w:ascii="Arial" w:hAnsi="Arial" w:cs="Arial"/>
          <w:sz w:val="22"/>
          <w:szCs w:val="22"/>
          <w:lang w:val="es-AR"/>
        </w:rPr>
        <w:t xml:space="preserve"> de los proyectos del P</w:t>
      </w:r>
      <w:r w:rsidRPr="008E2F1B">
        <w:rPr>
          <w:rFonts w:ascii="Arial" w:hAnsi="Arial" w:cs="Arial"/>
          <w:sz w:val="22"/>
          <w:szCs w:val="22"/>
          <w:lang w:val="es-AR"/>
        </w:rPr>
        <w:t>rograma.</w:t>
      </w:r>
    </w:p>
    <w:p w:rsidR="00084DD8" w:rsidRPr="008E2F1B" w:rsidRDefault="00084DD8" w:rsidP="009A514D">
      <w:pPr>
        <w:pStyle w:val="Heading2"/>
        <w:ind w:hanging="720"/>
        <w:rPr>
          <w:rFonts w:ascii="Arial" w:hAnsi="Arial" w:cs="Arial"/>
          <w:lang w:val="es-ES"/>
        </w:rPr>
      </w:pPr>
      <w:bookmarkStart w:id="35" w:name="_Toc463535795"/>
      <w:r w:rsidRPr="008E2F1B">
        <w:rPr>
          <w:rFonts w:ascii="Arial" w:hAnsi="Arial" w:cs="Arial"/>
          <w:lang w:val="es-ES"/>
        </w:rPr>
        <w:t>Monitoreo y Supervisión</w:t>
      </w:r>
      <w:bookmarkEnd w:id="35"/>
      <w:r w:rsidRPr="008E2F1B">
        <w:rPr>
          <w:rFonts w:ascii="Arial" w:hAnsi="Arial" w:cs="Arial"/>
          <w:lang w:val="es-ES"/>
        </w:rPr>
        <w:tab/>
      </w:r>
      <w:r w:rsidRPr="008E2F1B">
        <w:rPr>
          <w:rFonts w:ascii="Arial" w:hAnsi="Arial" w:cs="Arial"/>
          <w:lang w:val="es-ES"/>
        </w:rPr>
        <w:tab/>
      </w:r>
      <w:r w:rsidRPr="008E2F1B">
        <w:rPr>
          <w:rFonts w:ascii="Arial" w:hAnsi="Arial" w:cs="Arial"/>
          <w:lang w:val="es-ES"/>
        </w:rPr>
        <w:tab/>
      </w:r>
      <w:r w:rsidRPr="008E2F1B">
        <w:rPr>
          <w:rFonts w:ascii="Arial" w:hAnsi="Arial" w:cs="Arial"/>
          <w:lang w:val="es-ES"/>
        </w:rPr>
        <w:tab/>
      </w:r>
    </w:p>
    <w:p w:rsidR="00663587" w:rsidRPr="008E2F1B" w:rsidRDefault="00FC1013" w:rsidP="00663587">
      <w:pPr>
        <w:numPr>
          <w:ilvl w:val="1"/>
          <w:numId w:val="5"/>
        </w:numPr>
        <w:spacing w:after="120"/>
        <w:ind w:left="720"/>
        <w:jc w:val="both"/>
        <w:rPr>
          <w:rFonts w:ascii="Arial" w:hAnsi="Arial" w:cs="Arial"/>
          <w:sz w:val="22"/>
          <w:szCs w:val="22"/>
          <w:lang w:val="es-ES"/>
        </w:rPr>
      </w:pPr>
      <w:r w:rsidRPr="008E2F1B">
        <w:rPr>
          <w:rFonts w:ascii="Arial" w:hAnsi="Arial" w:cs="Arial"/>
          <w:sz w:val="22"/>
          <w:szCs w:val="22"/>
          <w:lang w:val="es-ES"/>
        </w:rPr>
        <w:t xml:space="preserve">La supervisión y el monitoreo de las actividades de esta operación serán ejecutados, en su orden, por el MEER, </w:t>
      </w:r>
      <w:r w:rsidR="00663587" w:rsidRPr="008E2F1B">
        <w:rPr>
          <w:rFonts w:ascii="Arial" w:hAnsi="Arial" w:cs="Arial"/>
          <w:sz w:val="22"/>
          <w:szCs w:val="22"/>
          <w:lang w:val="es-ES"/>
        </w:rPr>
        <w:t xml:space="preserve">y </w:t>
      </w:r>
      <w:r w:rsidRPr="008E2F1B">
        <w:rPr>
          <w:rFonts w:ascii="Arial" w:hAnsi="Arial" w:cs="Arial"/>
          <w:sz w:val="22"/>
          <w:szCs w:val="22"/>
          <w:lang w:val="es-ES"/>
        </w:rPr>
        <w:t>las Unidades de Negocio de CNEL EP Manabí, Esmeraldas y Santo Domingo. Cada una de las obras contará con la presencia de: i) una firma constructora (el constructor o contratista) que estará a cargo de la construcción del proyecto de esta operación, la que en virtud del contrato correspondiente, además de cumplir con los requerimientos de orden técnico y financiero, deberá acatar las disposiciones ambientales y sociales que se incluirán bajo la forma de cláusulas contractuales y especificaciones técnicas ambientales; ii) una fiscalización, la que, como parte de sus responsabilidades de control, deberá verificar que el contratista cumpla con las disposiciones en materia ambiental y social que se incluyan en los contratos de obra; iii) la supervisión y seguimiento de parte de los especialistas ambientales de las CNEL EP Manabí, Esmeraldas y Santo Domingo en coordinación con los contratistas y la autoridad ambiental; iv) la supervisión de la autoridad ambiental competente, MAE, la que de conformidad con la legislación vigente, tiene la potestad de verificar en campo el cumplimiento cabal de la legislación ambiental vigente, en especial de las disposiciones contenidas en las correspondientes licencias o permisos; y v) la supervisión ambiental y social a cargo del Banco para verificar el cumplimiento de las políticas ambientales y sociales del BID.</w:t>
      </w:r>
    </w:p>
    <w:p w:rsidR="00663587" w:rsidRPr="008E2F1B" w:rsidRDefault="00663587" w:rsidP="00663587">
      <w:pPr>
        <w:numPr>
          <w:ilvl w:val="1"/>
          <w:numId w:val="5"/>
        </w:numPr>
        <w:spacing w:after="120"/>
        <w:ind w:left="720"/>
        <w:jc w:val="both"/>
        <w:rPr>
          <w:rFonts w:ascii="Arial" w:hAnsi="Arial" w:cs="Arial"/>
          <w:sz w:val="22"/>
          <w:szCs w:val="22"/>
          <w:lang w:val="es-ES"/>
        </w:rPr>
      </w:pPr>
      <w:r w:rsidRPr="008E2F1B">
        <w:rPr>
          <w:rFonts w:ascii="Arial" w:hAnsi="Arial" w:cs="Arial"/>
          <w:sz w:val="22"/>
          <w:szCs w:val="22"/>
          <w:lang w:val="es-ES"/>
        </w:rPr>
        <w:t xml:space="preserve">Por su parte, el Banco, a través de la Unidad de Salvaguardas (VPS/ESG), empezará con la supervisión de la operación una vez que la misma haya sido aprobada por Directorio del Banco, para de esta manera dar seguimiento a la implementación y cumplimiento de las salvaguardias ambientales y sociales. </w:t>
      </w:r>
    </w:p>
    <w:p w:rsidR="00084DD8" w:rsidRPr="008E2F1B" w:rsidRDefault="00084DD8" w:rsidP="004B2BE5">
      <w:pPr>
        <w:pStyle w:val="Heading1"/>
        <w:keepNext w:val="0"/>
        <w:widowControl w:val="0"/>
        <w:rPr>
          <w:rFonts w:ascii="Arial" w:hAnsi="Arial" w:cs="Arial"/>
          <w:lang w:val="es-ES"/>
        </w:rPr>
      </w:pPr>
      <w:bookmarkStart w:id="36" w:name="_Toc422409161"/>
      <w:bookmarkStart w:id="37" w:name="_Toc422409218"/>
      <w:bookmarkStart w:id="38" w:name="_Toc463535796"/>
      <w:r w:rsidRPr="008E2F1B">
        <w:rPr>
          <w:rFonts w:ascii="Arial" w:hAnsi="Arial" w:cs="Arial"/>
          <w:lang w:val="es-ES"/>
        </w:rPr>
        <w:t>R</w:t>
      </w:r>
      <w:r w:rsidR="00B2397E" w:rsidRPr="008E2F1B">
        <w:rPr>
          <w:rFonts w:ascii="Arial" w:hAnsi="Arial" w:cs="Arial"/>
          <w:lang w:val="es-ES"/>
        </w:rPr>
        <w:t>equisitos a Ser Incluidos en Documentos Legales</w:t>
      </w:r>
      <w:bookmarkEnd w:id="36"/>
      <w:bookmarkEnd w:id="37"/>
      <w:bookmarkEnd w:id="38"/>
      <w:r w:rsidRPr="008E2F1B">
        <w:rPr>
          <w:rFonts w:ascii="Arial" w:hAnsi="Arial" w:cs="Arial"/>
          <w:lang w:val="es-ES"/>
        </w:rPr>
        <w:t xml:space="preserve"> </w:t>
      </w:r>
    </w:p>
    <w:p w:rsidR="00861FC3" w:rsidRPr="008E2F1B" w:rsidRDefault="00861FC3" w:rsidP="000C2A62">
      <w:pPr>
        <w:widowControl w:val="0"/>
        <w:spacing w:after="120"/>
        <w:ind w:left="720"/>
        <w:jc w:val="both"/>
        <w:rPr>
          <w:rFonts w:ascii="Arial" w:hAnsi="Arial" w:cs="Arial"/>
          <w:sz w:val="22"/>
          <w:szCs w:val="22"/>
          <w:lang w:val="es-ES"/>
        </w:rPr>
      </w:pPr>
      <w:r w:rsidRPr="008E2F1B">
        <w:rPr>
          <w:rFonts w:ascii="Arial" w:hAnsi="Arial" w:cs="Arial"/>
          <w:sz w:val="22"/>
          <w:szCs w:val="22"/>
          <w:lang w:val="es-ES"/>
        </w:rPr>
        <w:t xml:space="preserve">A través del Contrato de Préstamo de la operación se establecerá los siguientes compromisos con </w:t>
      </w:r>
      <w:r w:rsidR="00A41BBD" w:rsidRPr="008E2F1B">
        <w:rPr>
          <w:rFonts w:ascii="Arial" w:hAnsi="Arial" w:cs="Arial"/>
          <w:sz w:val="22"/>
          <w:szCs w:val="22"/>
          <w:lang w:val="es-ES"/>
        </w:rPr>
        <w:t>el Organismo Ejecutor (OE)</w:t>
      </w:r>
      <w:r w:rsidRPr="008E2F1B">
        <w:rPr>
          <w:rFonts w:ascii="Arial" w:hAnsi="Arial" w:cs="Arial"/>
          <w:sz w:val="22"/>
          <w:szCs w:val="22"/>
          <w:lang w:val="es-ES"/>
        </w:rPr>
        <w:t>:</w:t>
      </w:r>
    </w:p>
    <w:p w:rsidR="00861FC3" w:rsidRPr="008E2F1B" w:rsidRDefault="00861FC3" w:rsidP="00861FC3">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 xml:space="preserve">Las condiciones contractuales especiales previas al primer desembolso es la entrada en vigencia del </w:t>
      </w:r>
      <w:r w:rsidR="000C2A62" w:rsidRPr="008E2F1B">
        <w:rPr>
          <w:rFonts w:ascii="Arial" w:hAnsi="Arial" w:cs="Arial"/>
          <w:sz w:val="22"/>
          <w:szCs w:val="22"/>
          <w:lang w:val="es-ES"/>
        </w:rPr>
        <w:t xml:space="preserve">Manual </w:t>
      </w:r>
      <w:r w:rsidRPr="008E2F1B">
        <w:rPr>
          <w:rFonts w:ascii="Arial" w:hAnsi="Arial" w:cs="Arial"/>
          <w:sz w:val="22"/>
          <w:szCs w:val="22"/>
          <w:lang w:val="es-ES"/>
        </w:rPr>
        <w:t>Operativo del Programa (</w:t>
      </w:r>
      <w:r w:rsidR="000C2A62" w:rsidRPr="008E2F1B">
        <w:rPr>
          <w:rFonts w:ascii="Arial" w:hAnsi="Arial" w:cs="Arial"/>
          <w:sz w:val="22"/>
          <w:szCs w:val="22"/>
          <w:lang w:val="es-ES"/>
        </w:rPr>
        <w:t>MO</w:t>
      </w:r>
      <w:r w:rsidRPr="008E2F1B">
        <w:rPr>
          <w:rFonts w:ascii="Arial" w:hAnsi="Arial" w:cs="Arial"/>
          <w:sz w:val="22"/>
          <w:szCs w:val="22"/>
          <w:lang w:val="es-ES"/>
        </w:rPr>
        <w:t>P) acordado con el BID</w:t>
      </w:r>
      <w:r w:rsidR="000C2A62" w:rsidRPr="008E2F1B">
        <w:rPr>
          <w:rFonts w:ascii="Arial" w:hAnsi="Arial" w:cs="Arial"/>
          <w:sz w:val="22"/>
          <w:szCs w:val="22"/>
          <w:lang w:val="es-ES"/>
        </w:rPr>
        <w:t xml:space="preserve">, incluyendo el </w:t>
      </w:r>
      <w:r w:rsidRPr="008E2F1B">
        <w:rPr>
          <w:rFonts w:ascii="Arial" w:hAnsi="Arial" w:cs="Arial"/>
          <w:sz w:val="22"/>
          <w:szCs w:val="22"/>
          <w:lang w:val="es-ES"/>
        </w:rPr>
        <w:t xml:space="preserve">contenido delineado en </w:t>
      </w:r>
      <w:r w:rsidR="000C2A62" w:rsidRPr="008E2F1B">
        <w:rPr>
          <w:rFonts w:ascii="Arial" w:hAnsi="Arial" w:cs="Arial"/>
          <w:sz w:val="22"/>
          <w:szCs w:val="22"/>
          <w:lang w:val="es-ES"/>
        </w:rPr>
        <w:t>la Sección VI d</w:t>
      </w:r>
      <w:r w:rsidRPr="008E2F1B">
        <w:rPr>
          <w:rFonts w:ascii="Arial" w:hAnsi="Arial" w:cs="Arial"/>
          <w:sz w:val="22"/>
          <w:szCs w:val="22"/>
          <w:lang w:val="es-ES"/>
        </w:rPr>
        <w:t>el presente IGAS.</w:t>
      </w:r>
    </w:p>
    <w:p w:rsidR="000964B2" w:rsidRPr="008E2F1B" w:rsidRDefault="000964B2" w:rsidP="004B2BE5">
      <w:pPr>
        <w:pStyle w:val="Heading2"/>
        <w:keepNext w:val="0"/>
        <w:widowControl w:val="0"/>
        <w:numPr>
          <w:ilvl w:val="0"/>
          <w:numId w:val="15"/>
        </w:numPr>
        <w:tabs>
          <w:tab w:val="left" w:pos="0"/>
        </w:tabs>
        <w:ind w:left="0"/>
        <w:rPr>
          <w:rFonts w:ascii="Arial" w:hAnsi="Arial" w:cs="Arial"/>
          <w:lang w:val="es-ES"/>
        </w:rPr>
      </w:pPr>
      <w:bookmarkStart w:id="39" w:name="_Toc463535797"/>
      <w:r w:rsidRPr="008E2F1B">
        <w:rPr>
          <w:rFonts w:ascii="Arial" w:hAnsi="Arial" w:cs="Arial"/>
          <w:lang w:val="es-ES"/>
        </w:rPr>
        <w:t xml:space="preserve">Condiciones Previas a la </w:t>
      </w:r>
      <w:r w:rsidR="000C2A62" w:rsidRPr="008E2F1B">
        <w:rPr>
          <w:rFonts w:ascii="Arial" w:hAnsi="Arial" w:cs="Arial"/>
          <w:lang w:val="es-ES"/>
        </w:rPr>
        <w:t>Ejecución de</w:t>
      </w:r>
      <w:r w:rsidR="008E2F1B">
        <w:rPr>
          <w:rFonts w:ascii="Arial" w:hAnsi="Arial" w:cs="Arial"/>
          <w:lang w:val="es-ES"/>
        </w:rPr>
        <w:t xml:space="preserve"> </w:t>
      </w:r>
      <w:r w:rsidR="000C2A62" w:rsidRPr="008E2F1B">
        <w:rPr>
          <w:rFonts w:ascii="Arial" w:hAnsi="Arial" w:cs="Arial"/>
          <w:lang w:val="es-ES"/>
        </w:rPr>
        <w:t>l</w:t>
      </w:r>
      <w:r w:rsidR="008E2F1B">
        <w:rPr>
          <w:rFonts w:ascii="Arial" w:hAnsi="Arial" w:cs="Arial"/>
          <w:lang w:val="es-ES"/>
        </w:rPr>
        <w:t>os</w:t>
      </w:r>
      <w:r w:rsidR="000C2A62" w:rsidRPr="008E2F1B">
        <w:rPr>
          <w:rFonts w:ascii="Arial" w:hAnsi="Arial" w:cs="Arial"/>
          <w:lang w:val="es-ES"/>
        </w:rPr>
        <w:t xml:space="preserve"> Componente</w:t>
      </w:r>
      <w:r w:rsidR="008E2F1B">
        <w:rPr>
          <w:rFonts w:ascii="Arial" w:hAnsi="Arial" w:cs="Arial"/>
          <w:lang w:val="es-ES"/>
        </w:rPr>
        <w:t>s</w:t>
      </w:r>
      <w:r w:rsidR="000C2A62" w:rsidRPr="008E2F1B">
        <w:rPr>
          <w:rFonts w:ascii="Arial" w:hAnsi="Arial" w:cs="Arial"/>
          <w:lang w:val="es-ES"/>
        </w:rPr>
        <w:t xml:space="preserve"> I</w:t>
      </w:r>
      <w:bookmarkEnd w:id="39"/>
      <w:r w:rsidR="008E2F1B">
        <w:rPr>
          <w:rFonts w:ascii="Arial" w:hAnsi="Arial" w:cs="Arial"/>
          <w:lang w:val="es-ES"/>
        </w:rPr>
        <w:t xml:space="preserve"> y II </w:t>
      </w:r>
    </w:p>
    <w:p w:rsidR="00CD22A4" w:rsidRPr="008E2F1B" w:rsidRDefault="00CD22A4" w:rsidP="00CD22A4">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Implementación del Marco de Gestión Ambiental y Social (MGAS)</w:t>
      </w:r>
      <w:r w:rsidR="007F62A4" w:rsidRPr="008E2F1B">
        <w:rPr>
          <w:rFonts w:ascii="Arial" w:hAnsi="Arial" w:cs="Arial"/>
          <w:sz w:val="22"/>
          <w:szCs w:val="22"/>
          <w:lang w:val="es-ES"/>
        </w:rPr>
        <w:t xml:space="preserve"> para el Programa.</w:t>
      </w:r>
    </w:p>
    <w:p w:rsidR="00CD22A4" w:rsidRPr="008E2F1B" w:rsidRDefault="00071922" w:rsidP="00CD22A4">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 xml:space="preserve">Elaborar un Plan de Mantenimiento de la Franja de Servidumbre que permita asegurar la prevención de asentamientos irregulares futuros durante la operación de las líneas de subtransmisión. El plan contendrá las acciones de mitigación y control correspondientes, frecuencias de supervisión y monitoreo, y responsables de la ejecución del plan. Este plan también servirá para reforzar los procedimientos de la aplicación de la Declaratoria de Utilidad Pública y Servidumbre de Tránsito señalada en la Ley Orgánica del Servicio Público de </w:t>
      </w:r>
      <w:r w:rsidRPr="008E2F1B">
        <w:rPr>
          <w:rFonts w:ascii="Arial" w:hAnsi="Arial" w:cs="Arial"/>
          <w:sz w:val="22"/>
          <w:szCs w:val="22"/>
          <w:lang w:val="es-ES"/>
        </w:rPr>
        <w:lastRenderedPageBreak/>
        <w:t>Energía Eléctrica, para las actividades de supervisión y monitoreo que se realizarán a la franja de servidumbre de las líneas de subtransmisión, para evitar asentamientos irregulares futuros sobre estas franjas. De esta manera, el CNEL EP.</w:t>
      </w:r>
    </w:p>
    <w:p w:rsidR="00CD22A4" w:rsidRPr="008E2F1B" w:rsidRDefault="00CD22A4" w:rsidP="00CD22A4">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Implementación de un Mecanismo de Quejas y Reclamos para el Programa el cual permitirá establecer un procedimiento para la recepción de las inquietudes y quejas de la comunidad afectada por el Programa sobre el desempeño ambiental y social del CNEL EP y para facilitar su resolución. El mecanismo de quejas estará adecuado a los riesgos e impactos adversos del Programa. Este mecanismo ayudará a resolver las inquietudes a la brevedad empleando un proceso de consulta comprensible y transparente. El mecanismo deberá documentar objetivamente el proceso desde la recepción de la queja hasta el cierre de la misma con su resolución y acuerdos.</w:t>
      </w:r>
    </w:p>
    <w:p w:rsidR="00CD22A4" w:rsidRPr="008E2F1B" w:rsidRDefault="00CD22A4" w:rsidP="00CD22A4">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Implementación de un Plan de Manejo de Chatarra en las Subestaciones provenientes de su propio mantenimiento o de líneas eléctricas, a través del cual se evitará la acumulación de chatarra en las instalaciones de las subestaciones. Además, este plan incluirá el procedimiento adecuado de almacenamiento temporal y definitivo, y movilización y transporte de la chatarra. También se incluirán lineamientos de seguridad y salud ocupacional para la manipulación, transporte y disposición final de la chatarra.</w:t>
      </w:r>
    </w:p>
    <w:p w:rsidR="00CD22A4" w:rsidRPr="008E2F1B" w:rsidRDefault="00CD22A4" w:rsidP="00CD22A4">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Elaboración de un Plan de Desmantelamiento de la Infraestructura de la Líneas de Subtransmisión Fuera de Servicio. Este plan permitirá tomar las acciones más adecuadas para el desmantelamiento y disposición final de toda la infraestructura de las líneas de subtransmisión que queden fuera de servicio como consecuencia de la reubicación de las mismas.</w:t>
      </w:r>
    </w:p>
    <w:p w:rsidR="00A41BBD" w:rsidRPr="008E2F1B" w:rsidRDefault="00A41BBD" w:rsidP="008E2F1B">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 xml:space="preserve">Elaboración un Plan de Retiro, Transporte, Almacenamiento y Disposición Final de PCBs para el caso de equipos que contengan estos compuestos. Este plan aplicará a todas las obras del Programa. Además, este plan incluirá los procedimientos y acciones necesarias para controlar y mitigar situaciones de derrames y accidentes de PCBs. Estas acciones y procedimientos también serán parte del Plan de Contingencia del MGAS. </w:t>
      </w:r>
    </w:p>
    <w:p w:rsidR="00CD22A4" w:rsidRPr="008E2F1B" w:rsidRDefault="00CD22A4" w:rsidP="00CD22A4">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Plan de Delimitación, Cercamiento y Señalética de las subestaciones a ser intervenidas por el Programa con el objetivo de prevenir asentamientos/invasiones informales de personas sobre la propiedad legal de las subestaciones, además de garantizar la seguridad de la operación de sus trabajadores y visitantes.</w:t>
      </w:r>
    </w:p>
    <w:p w:rsidR="00861FC3" w:rsidRPr="008E2F1B" w:rsidRDefault="007F62A4" w:rsidP="004B2BE5">
      <w:pPr>
        <w:pStyle w:val="Heading2"/>
        <w:keepNext w:val="0"/>
        <w:widowControl w:val="0"/>
        <w:numPr>
          <w:ilvl w:val="0"/>
          <w:numId w:val="15"/>
        </w:numPr>
        <w:tabs>
          <w:tab w:val="left" w:pos="0"/>
        </w:tabs>
        <w:ind w:left="0"/>
        <w:rPr>
          <w:rFonts w:ascii="Arial" w:hAnsi="Arial" w:cs="Arial"/>
          <w:lang w:val="es-ES"/>
        </w:rPr>
      </w:pPr>
      <w:bookmarkStart w:id="40" w:name="_Toc463535798"/>
      <w:r w:rsidRPr="008E2F1B">
        <w:rPr>
          <w:rFonts w:ascii="Arial" w:hAnsi="Arial" w:cs="Arial"/>
          <w:lang w:val="es-ES"/>
        </w:rPr>
        <w:t>Previo al Inicio de las Licitaciones</w:t>
      </w:r>
      <w:bookmarkEnd w:id="40"/>
    </w:p>
    <w:p w:rsidR="007F62A4" w:rsidRPr="008E2F1B" w:rsidRDefault="007F62A4" w:rsidP="007F62A4">
      <w:pPr>
        <w:widowControl w:val="0"/>
        <w:spacing w:after="120"/>
        <w:jc w:val="both"/>
        <w:rPr>
          <w:rFonts w:ascii="Arial" w:hAnsi="Arial" w:cs="Arial"/>
          <w:sz w:val="22"/>
          <w:szCs w:val="22"/>
          <w:lang w:val="es-ES"/>
        </w:rPr>
      </w:pPr>
    </w:p>
    <w:p w:rsidR="007F62A4" w:rsidRPr="008E2F1B" w:rsidRDefault="007F62A4" w:rsidP="008E2F1B">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Asegurar que los documentos de licitación contengan las especificaciones socio-ambientales de los proyectos, incluyendo las exigencias que se derivan de la concesión de licencias y del MGAS.</w:t>
      </w:r>
    </w:p>
    <w:p w:rsidR="007F62A4" w:rsidRPr="008E2F1B" w:rsidRDefault="007F62A4" w:rsidP="008E2F1B">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 xml:space="preserve">Asegurar que los contratos con las empresas de construcción, contratistas y subcontratistas, incluyan cláusulas referentes a las actividades de mitigación y control de impactos sociales y ambientales. Asegurar que dichas empresas cuenten con especialistas ambientales/sociales (de acuerdo a las </w:t>
      </w:r>
      <w:r w:rsidRPr="008E2F1B">
        <w:rPr>
          <w:rFonts w:ascii="Arial" w:hAnsi="Arial" w:cs="Arial"/>
          <w:sz w:val="22"/>
          <w:szCs w:val="22"/>
          <w:lang w:val="es-ES"/>
        </w:rPr>
        <w:lastRenderedPageBreak/>
        <w:t>especificaciones descritas en el MGAS para el control y seguimiento de la gestión ambiental durante las diferentes etapas de las obras).</w:t>
      </w:r>
    </w:p>
    <w:p w:rsidR="00861FC3" w:rsidRPr="008E2F1B" w:rsidRDefault="00861FC3" w:rsidP="004B2BE5">
      <w:pPr>
        <w:pStyle w:val="Heading2"/>
        <w:keepNext w:val="0"/>
        <w:widowControl w:val="0"/>
        <w:numPr>
          <w:ilvl w:val="0"/>
          <w:numId w:val="15"/>
        </w:numPr>
        <w:tabs>
          <w:tab w:val="left" w:pos="0"/>
        </w:tabs>
        <w:ind w:left="0"/>
        <w:rPr>
          <w:rFonts w:ascii="Arial" w:hAnsi="Arial" w:cs="Arial"/>
          <w:lang w:val="es-ES"/>
        </w:rPr>
      </w:pPr>
      <w:bookmarkStart w:id="41" w:name="_Toc463535799"/>
      <w:r w:rsidRPr="008E2F1B">
        <w:rPr>
          <w:rFonts w:ascii="Arial" w:hAnsi="Arial" w:cs="Arial"/>
          <w:lang w:val="es-ES"/>
        </w:rPr>
        <w:t>Condiciones Durante la Vida del Préstamo</w:t>
      </w:r>
      <w:bookmarkEnd w:id="41"/>
    </w:p>
    <w:p w:rsidR="00861FC3" w:rsidRPr="008E2F1B" w:rsidRDefault="007F62A4" w:rsidP="00861FC3">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No modificar el MOP</w:t>
      </w:r>
      <w:r w:rsidR="00861FC3" w:rsidRPr="008E2F1B">
        <w:rPr>
          <w:rFonts w:ascii="Arial" w:hAnsi="Arial" w:cs="Arial"/>
          <w:sz w:val="22"/>
          <w:szCs w:val="22"/>
          <w:lang w:val="es-ES"/>
        </w:rPr>
        <w:t xml:space="preserve"> </w:t>
      </w:r>
      <w:r w:rsidR="006537F4" w:rsidRPr="008E2F1B">
        <w:rPr>
          <w:rFonts w:ascii="Arial" w:hAnsi="Arial" w:cs="Arial"/>
          <w:sz w:val="22"/>
          <w:szCs w:val="22"/>
          <w:lang w:val="es-ES"/>
        </w:rPr>
        <w:t>sin el acuerdo previo del Banco.</w:t>
      </w:r>
    </w:p>
    <w:p w:rsidR="004D051F" w:rsidRPr="008E2F1B" w:rsidRDefault="004D051F" w:rsidP="00861FC3">
      <w:pPr>
        <w:widowControl w:val="0"/>
        <w:numPr>
          <w:ilvl w:val="1"/>
          <w:numId w:val="6"/>
        </w:numPr>
        <w:spacing w:after="120"/>
        <w:ind w:left="720"/>
        <w:jc w:val="both"/>
        <w:rPr>
          <w:rFonts w:ascii="Arial" w:hAnsi="Arial" w:cs="Arial"/>
          <w:sz w:val="22"/>
          <w:szCs w:val="22"/>
          <w:lang w:val="es-ES"/>
        </w:rPr>
      </w:pPr>
      <w:bookmarkStart w:id="42" w:name="_Ref239244189"/>
      <w:bookmarkStart w:id="43" w:name="_Toc450478051"/>
      <w:bookmarkStart w:id="44" w:name="_Toc451059703"/>
      <w:bookmarkStart w:id="45" w:name="_Toc451059767"/>
      <w:bookmarkStart w:id="46" w:name="_Toc451922475"/>
      <w:bookmarkStart w:id="47" w:name="_Toc456499466"/>
      <w:bookmarkStart w:id="48" w:name="_Toc456499560"/>
      <w:bookmarkStart w:id="49" w:name="_Toc456499755"/>
      <w:bookmarkStart w:id="50" w:name="_Toc456503323"/>
      <w:bookmarkStart w:id="51" w:name="_Toc456503693"/>
      <w:bookmarkStart w:id="52" w:name="_Toc456504245"/>
      <w:bookmarkStart w:id="53" w:name="_Toc456504333"/>
      <w:bookmarkStart w:id="54" w:name="_Toc456504427"/>
      <w:bookmarkStart w:id="55" w:name="_Toc456504514"/>
      <w:r w:rsidRPr="008E2F1B">
        <w:rPr>
          <w:rFonts w:ascii="Arial" w:hAnsi="Arial" w:cs="Arial"/>
          <w:sz w:val="22"/>
          <w:szCs w:val="22"/>
          <w:lang w:val="es-ES"/>
        </w:rPr>
        <w:t xml:space="preserve">Notificar inmediatamente al </w:t>
      </w:r>
      <w:r w:rsidR="00446833" w:rsidRPr="008E2F1B">
        <w:rPr>
          <w:rFonts w:ascii="Arial" w:hAnsi="Arial" w:cs="Arial"/>
          <w:sz w:val="22"/>
          <w:szCs w:val="22"/>
          <w:lang w:val="es-ES"/>
        </w:rPr>
        <w:t>Banco</w:t>
      </w:r>
      <w:r w:rsidRPr="008E2F1B">
        <w:rPr>
          <w:rFonts w:ascii="Arial" w:hAnsi="Arial" w:cs="Arial"/>
          <w:sz w:val="22"/>
          <w:szCs w:val="22"/>
          <w:lang w:val="es-ES"/>
        </w:rPr>
        <w:t xml:space="preserve"> en caso de que existan incumplimientos de cualquier normatividad o requisito en términos ambientales, sociales, de salud, seguridad y laborales, o cualquier accidente, impacto, caso, reclamo, queja u otro riesgo material relacionado con los aspectos socio-a</w:t>
      </w:r>
      <w:r w:rsidR="00446833" w:rsidRPr="008E2F1B">
        <w:rPr>
          <w:rFonts w:ascii="Arial" w:hAnsi="Arial" w:cs="Arial"/>
          <w:sz w:val="22"/>
          <w:szCs w:val="22"/>
          <w:lang w:val="es-ES"/>
        </w:rPr>
        <w:t>mbientales de los proyectos de la operación</w:t>
      </w:r>
      <w:r w:rsidRPr="008E2F1B">
        <w:rPr>
          <w:rFonts w:ascii="Arial" w:hAnsi="Arial" w:cs="Arial"/>
          <w:sz w:val="22"/>
          <w:szCs w:val="22"/>
          <w:lang w:val="es-ES"/>
        </w:rPr>
        <w:t>.</w:t>
      </w:r>
    </w:p>
    <w:p w:rsidR="004D051F" w:rsidRPr="008E2F1B" w:rsidRDefault="004D051F" w:rsidP="000572C7">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Cooperar plenamente con el B</w:t>
      </w:r>
      <w:r w:rsidR="008F01B6" w:rsidRPr="008E2F1B">
        <w:rPr>
          <w:rFonts w:ascii="Arial" w:hAnsi="Arial" w:cs="Arial"/>
          <w:sz w:val="22"/>
          <w:szCs w:val="22"/>
          <w:lang w:val="es-ES"/>
        </w:rPr>
        <w:t>anco</w:t>
      </w:r>
      <w:r w:rsidRPr="008E2F1B">
        <w:rPr>
          <w:rFonts w:ascii="Arial" w:hAnsi="Arial" w:cs="Arial"/>
          <w:sz w:val="22"/>
          <w:szCs w:val="22"/>
          <w:lang w:val="es-ES"/>
        </w:rPr>
        <w:t xml:space="preserve"> para llevar a cabo acciones de supervisión que el B</w:t>
      </w:r>
      <w:r w:rsidR="008F01B6" w:rsidRPr="008E2F1B">
        <w:rPr>
          <w:rFonts w:ascii="Arial" w:hAnsi="Arial" w:cs="Arial"/>
          <w:sz w:val="22"/>
          <w:szCs w:val="22"/>
          <w:lang w:val="es-ES"/>
        </w:rPr>
        <w:t>anco</w:t>
      </w:r>
      <w:r w:rsidRPr="008E2F1B">
        <w:rPr>
          <w:rFonts w:ascii="Arial" w:hAnsi="Arial" w:cs="Arial"/>
          <w:sz w:val="22"/>
          <w:szCs w:val="22"/>
          <w:lang w:val="es-ES"/>
        </w:rPr>
        <w:t xml:space="preserve"> estime necesarias durante la vida del préstamo, incluido el acceso a toda la documentación, las instalaciones y el personal relacionados con </w:t>
      </w:r>
      <w:r w:rsidR="008F01B6" w:rsidRPr="008E2F1B">
        <w:rPr>
          <w:rFonts w:ascii="Arial" w:hAnsi="Arial" w:cs="Arial"/>
          <w:sz w:val="22"/>
          <w:szCs w:val="22"/>
          <w:lang w:val="es-ES"/>
        </w:rPr>
        <w:t>la operación</w:t>
      </w:r>
      <w:r w:rsidRPr="008E2F1B">
        <w:rPr>
          <w:rFonts w:ascii="Arial" w:hAnsi="Arial" w:cs="Arial"/>
          <w:sz w:val="22"/>
          <w:szCs w:val="22"/>
          <w:lang w:val="es-ES"/>
        </w:rPr>
        <w:t>, y cooperar plenamente con cualquier inspección o auditoría por parte del B</w:t>
      </w:r>
      <w:r w:rsidR="008F01B6" w:rsidRPr="008E2F1B">
        <w:rPr>
          <w:rFonts w:ascii="Arial" w:hAnsi="Arial" w:cs="Arial"/>
          <w:sz w:val="22"/>
          <w:szCs w:val="22"/>
          <w:lang w:val="es-ES"/>
        </w:rPr>
        <w:t>anco</w:t>
      </w:r>
      <w:r w:rsidRPr="008E2F1B">
        <w:rPr>
          <w:rFonts w:ascii="Arial" w:hAnsi="Arial" w:cs="Arial"/>
          <w:sz w:val="22"/>
          <w:szCs w:val="22"/>
          <w:lang w:val="es-ES"/>
        </w:rPr>
        <w:t>, sus representantes o consultores designados.</w:t>
      </w:r>
    </w:p>
    <w:p w:rsidR="004D051F" w:rsidRPr="008E2F1B" w:rsidRDefault="004D051F" w:rsidP="000572C7">
      <w:pPr>
        <w:widowControl w:val="0"/>
        <w:numPr>
          <w:ilvl w:val="1"/>
          <w:numId w:val="6"/>
        </w:numPr>
        <w:spacing w:after="120"/>
        <w:ind w:left="720"/>
        <w:jc w:val="both"/>
        <w:rPr>
          <w:rFonts w:ascii="Arial" w:hAnsi="Arial" w:cs="Arial"/>
          <w:sz w:val="22"/>
          <w:szCs w:val="22"/>
          <w:lang w:val="es-ES"/>
        </w:rPr>
      </w:pPr>
      <w:r w:rsidRPr="008E2F1B">
        <w:rPr>
          <w:rFonts w:ascii="Arial" w:hAnsi="Arial" w:cs="Arial"/>
          <w:sz w:val="22"/>
          <w:szCs w:val="22"/>
          <w:lang w:val="es-ES"/>
        </w:rPr>
        <w:t>En caso de detectar incumplimi</w:t>
      </w:r>
      <w:r w:rsidR="000964B2" w:rsidRPr="008E2F1B">
        <w:rPr>
          <w:rFonts w:ascii="Arial" w:hAnsi="Arial" w:cs="Arial"/>
          <w:sz w:val="22"/>
          <w:szCs w:val="22"/>
          <w:lang w:val="es-ES"/>
        </w:rPr>
        <w:t>entos</w:t>
      </w:r>
      <w:r w:rsidR="00A47056" w:rsidRPr="008E2F1B">
        <w:rPr>
          <w:rFonts w:ascii="Arial" w:hAnsi="Arial" w:cs="Arial"/>
          <w:sz w:val="22"/>
          <w:szCs w:val="22"/>
          <w:lang w:val="es-ES"/>
        </w:rPr>
        <w:t>, en materia ambiental y social,</w:t>
      </w:r>
      <w:r w:rsidR="000964B2" w:rsidRPr="008E2F1B">
        <w:rPr>
          <w:rFonts w:ascii="Arial" w:hAnsi="Arial" w:cs="Arial"/>
          <w:sz w:val="22"/>
          <w:szCs w:val="22"/>
          <w:lang w:val="es-ES"/>
        </w:rPr>
        <w:t xml:space="preserve"> en la implementación </w:t>
      </w:r>
      <w:r w:rsidR="00A47056" w:rsidRPr="008E2F1B">
        <w:rPr>
          <w:rFonts w:ascii="Arial" w:hAnsi="Arial" w:cs="Arial"/>
          <w:sz w:val="22"/>
          <w:szCs w:val="22"/>
          <w:lang w:val="es-ES"/>
        </w:rPr>
        <w:t>o</w:t>
      </w:r>
      <w:r w:rsidRPr="008E2F1B">
        <w:rPr>
          <w:rFonts w:ascii="Arial" w:hAnsi="Arial" w:cs="Arial"/>
          <w:sz w:val="22"/>
          <w:szCs w:val="22"/>
          <w:lang w:val="es-ES"/>
        </w:rPr>
        <w:t xml:space="preserve"> en el desempeño </w:t>
      </w:r>
      <w:r w:rsidR="00A47056" w:rsidRPr="008E2F1B">
        <w:rPr>
          <w:rFonts w:ascii="Arial" w:hAnsi="Arial" w:cs="Arial"/>
          <w:sz w:val="22"/>
          <w:szCs w:val="22"/>
          <w:lang w:val="es-ES"/>
        </w:rPr>
        <w:t xml:space="preserve">de las operaciones financiadas, </w:t>
      </w:r>
      <w:r w:rsidR="007F62A4" w:rsidRPr="008E2F1B">
        <w:rPr>
          <w:rFonts w:ascii="Arial" w:hAnsi="Arial" w:cs="Arial"/>
          <w:sz w:val="22"/>
          <w:szCs w:val="22"/>
          <w:lang w:val="es-ES"/>
        </w:rPr>
        <w:t xml:space="preserve">EL MEER </w:t>
      </w:r>
      <w:r w:rsidR="00A47056" w:rsidRPr="008E2F1B">
        <w:rPr>
          <w:rFonts w:ascii="Arial" w:hAnsi="Arial" w:cs="Arial"/>
          <w:sz w:val="22"/>
          <w:szCs w:val="22"/>
          <w:lang w:val="es-ES"/>
        </w:rPr>
        <w:t xml:space="preserve">en mutuo acuerdo </w:t>
      </w:r>
      <w:r w:rsidRPr="008E2F1B">
        <w:rPr>
          <w:rFonts w:ascii="Arial" w:hAnsi="Arial" w:cs="Arial"/>
          <w:sz w:val="22"/>
          <w:szCs w:val="22"/>
          <w:lang w:val="es-ES"/>
        </w:rPr>
        <w:t>con el BID</w:t>
      </w:r>
      <w:r w:rsidR="00A47056" w:rsidRPr="008E2F1B">
        <w:rPr>
          <w:rFonts w:ascii="Arial" w:hAnsi="Arial" w:cs="Arial"/>
          <w:sz w:val="22"/>
          <w:szCs w:val="22"/>
          <w:lang w:val="es-ES"/>
        </w:rPr>
        <w:t>,</w:t>
      </w:r>
      <w:r w:rsidRPr="008E2F1B">
        <w:rPr>
          <w:rFonts w:ascii="Arial" w:hAnsi="Arial" w:cs="Arial"/>
          <w:sz w:val="22"/>
          <w:szCs w:val="22"/>
          <w:lang w:val="es-ES"/>
        </w:rPr>
        <w:t xml:space="preserve"> implementar</w:t>
      </w:r>
      <w:r w:rsidR="00A47056" w:rsidRPr="008E2F1B">
        <w:rPr>
          <w:rFonts w:ascii="Arial" w:hAnsi="Arial" w:cs="Arial"/>
          <w:sz w:val="22"/>
          <w:szCs w:val="22"/>
          <w:lang w:val="es-ES"/>
        </w:rPr>
        <w:t>á</w:t>
      </w:r>
      <w:r w:rsidRPr="008E2F1B">
        <w:rPr>
          <w:rFonts w:ascii="Arial" w:hAnsi="Arial" w:cs="Arial"/>
          <w:sz w:val="22"/>
          <w:szCs w:val="22"/>
          <w:lang w:val="es-ES"/>
        </w:rPr>
        <w:t xml:space="preserve"> </w:t>
      </w:r>
      <w:r w:rsidR="00A47056" w:rsidRPr="008E2F1B">
        <w:rPr>
          <w:rFonts w:ascii="Arial" w:hAnsi="Arial" w:cs="Arial"/>
          <w:sz w:val="22"/>
          <w:szCs w:val="22"/>
          <w:lang w:val="es-ES"/>
        </w:rPr>
        <w:t xml:space="preserve">los respectivos planes de acción correctivos </w:t>
      </w:r>
      <w:r w:rsidRPr="008E2F1B">
        <w:rPr>
          <w:rFonts w:ascii="Arial" w:hAnsi="Arial" w:cs="Arial"/>
          <w:sz w:val="22"/>
          <w:szCs w:val="22"/>
          <w:lang w:val="es-ES"/>
        </w:rPr>
        <w:t>para subsanar los incumplimientos y compensar los pasivos ocasionados.</w:t>
      </w:r>
    </w:p>
    <w:bookmarkEnd w:id="42"/>
    <w:bookmarkEnd w:id="43"/>
    <w:bookmarkEnd w:id="44"/>
    <w:bookmarkEnd w:id="45"/>
    <w:bookmarkEnd w:id="46"/>
    <w:bookmarkEnd w:id="47"/>
    <w:bookmarkEnd w:id="48"/>
    <w:bookmarkEnd w:id="49"/>
    <w:bookmarkEnd w:id="50"/>
    <w:bookmarkEnd w:id="51"/>
    <w:bookmarkEnd w:id="52"/>
    <w:bookmarkEnd w:id="53"/>
    <w:bookmarkEnd w:id="54"/>
    <w:bookmarkEnd w:id="55"/>
    <w:p w:rsidR="0098265D" w:rsidRPr="00163A24" w:rsidRDefault="0098265D" w:rsidP="0098265D">
      <w:pPr>
        <w:spacing w:after="120"/>
        <w:jc w:val="both"/>
        <w:rPr>
          <w:rFonts w:ascii="Arial" w:hAnsi="Arial" w:cs="Arial"/>
          <w:sz w:val="22"/>
          <w:szCs w:val="22"/>
          <w:lang w:val="es-ES"/>
        </w:rPr>
      </w:pPr>
    </w:p>
    <w:sectPr w:rsidR="0098265D" w:rsidRPr="00163A24" w:rsidSect="00163A24">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BD7" w:rsidRDefault="00571BD7" w:rsidP="00D92E45">
      <w:r>
        <w:separator/>
      </w:r>
    </w:p>
  </w:endnote>
  <w:endnote w:type="continuationSeparator" w:id="0">
    <w:p w:rsidR="00571BD7" w:rsidRDefault="00571BD7" w:rsidP="00D92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otham Book">
    <w:altName w:val="Arial"/>
    <w:panose1 w:val="00000000000000000000"/>
    <w:charset w:val="00"/>
    <w:family w:val="modern"/>
    <w:notTrueType/>
    <w:pitch w:val="variable"/>
    <w:sig w:usb0="00000087" w:usb1="00000000" w:usb2="00000000" w:usb3="00000000" w:csb0="0000000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BD7" w:rsidRDefault="00571BD7" w:rsidP="00D92E45">
      <w:r>
        <w:separator/>
      </w:r>
    </w:p>
  </w:footnote>
  <w:footnote w:type="continuationSeparator" w:id="0">
    <w:p w:rsidR="00571BD7" w:rsidRDefault="00571BD7" w:rsidP="00D92E45">
      <w:r>
        <w:continuationSeparator/>
      </w:r>
    </w:p>
  </w:footnote>
  <w:footnote w:id="1">
    <w:p w:rsidR="00345B7A" w:rsidRPr="008E2F1B" w:rsidRDefault="00345B7A" w:rsidP="00345B7A">
      <w:pPr>
        <w:pStyle w:val="FootnoteText"/>
        <w:spacing w:after="0"/>
        <w:rPr>
          <w:rFonts w:ascii="Arial" w:hAnsi="Arial" w:cs="Arial"/>
          <w:sz w:val="16"/>
          <w:szCs w:val="16"/>
        </w:rPr>
      </w:pPr>
      <w:r w:rsidRPr="008003CC">
        <w:rPr>
          <w:rStyle w:val="FootnoteReference"/>
          <w:rFonts w:ascii="Arial" w:hAnsi="Arial" w:cs="Arial"/>
          <w:sz w:val="18"/>
          <w:szCs w:val="18"/>
        </w:rPr>
        <w:footnoteRef/>
      </w:r>
      <w:r w:rsidRPr="008003CC">
        <w:rPr>
          <w:rFonts w:ascii="Arial" w:hAnsi="Arial" w:cs="Arial"/>
          <w:sz w:val="18"/>
          <w:szCs w:val="18"/>
        </w:rPr>
        <w:t xml:space="preserve"> </w:t>
      </w:r>
      <w:r w:rsidRPr="008003CC">
        <w:rPr>
          <w:rFonts w:ascii="Arial" w:hAnsi="Arial" w:cs="Arial"/>
          <w:sz w:val="18"/>
          <w:szCs w:val="18"/>
        </w:rPr>
        <w:tab/>
      </w:r>
      <w:r w:rsidRPr="008E2F1B">
        <w:rPr>
          <w:rFonts w:ascii="Arial" w:hAnsi="Arial" w:cs="Arial"/>
          <w:sz w:val="16"/>
          <w:szCs w:val="16"/>
        </w:rPr>
        <w:t>Escala creada en 1979 para evitar las limitaciones que ofrecía la escala de Richter. Contrario a la escala de Richter, esta no compara un sismo con otro sino que calcula el valor absoluto de cada evento. Para comparar los valores obtenidos del Momento Sísmico con la escala de Richter, se desarrolló la escala de Magnitud Momento.</w:t>
      </w:r>
    </w:p>
  </w:footnote>
  <w:footnote w:id="2">
    <w:p w:rsidR="00345B7A" w:rsidRPr="008003CC" w:rsidRDefault="00345B7A" w:rsidP="00345B7A">
      <w:pPr>
        <w:pStyle w:val="FootnoteText"/>
        <w:contextualSpacing/>
        <w:rPr>
          <w:rFonts w:ascii="Arial" w:hAnsi="Arial" w:cs="Arial"/>
          <w:sz w:val="18"/>
          <w:szCs w:val="18"/>
        </w:rPr>
      </w:pPr>
      <w:r w:rsidRPr="008003CC">
        <w:rPr>
          <w:rStyle w:val="FootnoteReference"/>
          <w:rFonts w:ascii="Arial" w:hAnsi="Arial" w:cs="Arial"/>
          <w:sz w:val="18"/>
          <w:szCs w:val="18"/>
        </w:rPr>
        <w:footnoteRef/>
      </w:r>
      <w:r w:rsidRPr="008003CC">
        <w:rPr>
          <w:rFonts w:ascii="Arial" w:hAnsi="Arial" w:cs="Arial"/>
          <w:sz w:val="18"/>
          <w:szCs w:val="18"/>
        </w:rPr>
        <w:t xml:space="preserve"> </w:t>
      </w:r>
      <w:r w:rsidRPr="008003CC">
        <w:rPr>
          <w:rFonts w:ascii="Arial" w:hAnsi="Arial" w:cs="Arial"/>
          <w:sz w:val="18"/>
          <w:szCs w:val="18"/>
        </w:rPr>
        <w:tab/>
      </w:r>
      <w:r w:rsidRPr="008E2F1B">
        <w:rPr>
          <w:rFonts w:ascii="Arial" w:hAnsi="Arial" w:cs="Arial"/>
          <w:sz w:val="16"/>
          <w:szCs w:val="16"/>
        </w:rPr>
        <w:t>Muisne, Pedernales, Sucre, Manta, San Vicente, Bolívar, Rocafuerte, Chone, Jaramijó, Montecristi, Jama Portoviejo, Santo Domingo y La Concordia.</w:t>
      </w:r>
    </w:p>
  </w:footnote>
  <w:footnote w:id="3">
    <w:p w:rsidR="00345B7A" w:rsidRPr="008003CC" w:rsidRDefault="00345B7A" w:rsidP="00345B7A">
      <w:pPr>
        <w:pStyle w:val="FootnoteText"/>
        <w:contextualSpacing/>
        <w:rPr>
          <w:rFonts w:ascii="Arial" w:hAnsi="Arial" w:cs="Arial"/>
          <w:sz w:val="18"/>
          <w:szCs w:val="18"/>
        </w:rPr>
      </w:pPr>
      <w:r w:rsidRPr="008003CC">
        <w:rPr>
          <w:rStyle w:val="FootnoteReference"/>
          <w:rFonts w:ascii="Arial" w:hAnsi="Arial" w:cs="Arial"/>
          <w:sz w:val="18"/>
          <w:szCs w:val="18"/>
        </w:rPr>
        <w:footnoteRef/>
      </w:r>
      <w:r w:rsidRPr="008003CC">
        <w:rPr>
          <w:rFonts w:ascii="Arial" w:hAnsi="Arial" w:cs="Arial"/>
          <w:sz w:val="18"/>
          <w:szCs w:val="18"/>
        </w:rPr>
        <w:t xml:space="preserve"> </w:t>
      </w:r>
      <w:r w:rsidRPr="008003CC">
        <w:rPr>
          <w:rFonts w:ascii="Arial" w:hAnsi="Arial" w:cs="Arial"/>
          <w:sz w:val="18"/>
          <w:szCs w:val="18"/>
        </w:rPr>
        <w:tab/>
      </w:r>
      <w:r w:rsidRPr="008E2F1B">
        <w:rPr>
          <w:rFonts w:ascii="Arial" w:hAnsi="Arial" w:cs="Arial"/>
          <w:sz w:val="16"/>
          <w:szCs w:val="16"/>
        </w:rPr>
        <w:t>En los días posteriores al evento, se registraron 6 réplicas de magnitud entre 6,0 y 6,7 según informe de 10 de junio de 2016 del Instituto Geofísico de la Escuela Politécnica Nacional.</w:t>
      </w:r>
    </w:p>
  </w:footnote>
  <w:footnote w:id="4">
    <w:p w:rsidR="00345B7A" w:rsidRPr="008E2F1B" w:rsidRDefault="00345B7A" w:rsidP="00345B7A">
      <w:pPr>
        <w:pStyle w:val="FootnoteText"/>
        <w:spacing w:after="0"/>
        <w:rPr>
          <w:rFonts w:ascii="Arial" w:hAnsi="Arial" w:cs="Arial"/>
          <w:sz w:val="16"/>
          <w:szCs w:val="16"/>
        </w:rPr>
      </w:pPr>
      <w:r w:rsidRPr="00573BEA">
        <w:rPr>
          <w:rStyle w:val="FootnoteReference"/>
          <w:rFonts w:ascii="Arial" w:hAnsi="Arial" w:cs="Arial"/>
          <w:sz w:val="18"/>
          <w:szCs w:val="18"/>
        </w:rPr>
        <w:footnoteRef/>
      </w:r>
      <w:r w:rsidRPr="00573BEA">
        <w:rPr>
          <w:rFonts w:ascii="Arial" w:hAnsi="Arial" w:cs="Arial"/>
          <w:sz w:val="18"/>
          <w:szCs w:val="18"/>
        </w:rPr>
        <w:t xml:space="preserve"> </w:t>
      </w:r>
      <w:r w:rsidRPr="00573BEA">
        <w:rPr>
          <w:rFonts w:ascii="Arial" w:hAnsi="Arial" w:cs="Arial"/>
          <w:sz w:val="18"/>
          <w:szCs w:val="18"/>
        </w:rPr>
        <w:tab/>
      </w:r>
      <w:r w:rsidRPr="008E2F1B">
        <w:rPr>
          <w:rFonts w:ascii="Arial" w:hAnsi="Arial" w:cs="Arial"/>
          <w:sz w:val="16"/>
          <w:szCs w:val="16"/>
        </w:rPr>
        <w:t xml:space="preserve">Informes de situación </w:t>
      </w:r>
      <w:hyperlink r:id="rId1" w:history="1">
        <w:r w:rsidRPr="008E2F1B">
          <w:rPr>
            <w:rStyle w:val="Hyperlink"/>
            <w:rFonts w:ascii="Arial" w:hAnsi="Arial" w:cs="Arial"/>
            <w:sz w:val="16"/>
            <w:szCs w:val="16"/>
          </w:rPr>
          <w:t>65</w:t>
        </w:r>
      </w:hyperlink>
      <w:r w:rsidRPr="008E2F1B">
        <w:rPr>
          <w:rFonts w:ascii="Arial" w:hAnsi="Arial" w:cs="Arial"/>
          <w:sz w:val="16"/>
          <w:szCs w:val="16"/>
        </w:rPr>
        <w:t xml:space="preserve"> y </w:t>
      </w:r>
      <w:hyperlink r:id="rId2" w:history="1">
        <w:r w:rsidRPr="008E2F1B">
          <w:rPr>
            <w:rStyle w:val="Hyperlink"/>
            <w:rFonts w:ascii="Arial" w:hAnsi="Arial" w:cs="Arial"/>
            <w:sz w:val="16"/>
            <w:szCs w:val="16"/>
          </w:rPr>
          <w:t>71</w:t>
        </w:r>
      </w:hyperlink>
      <w:r w:rsidRPr="008E2F1B">
        <w:rPr>
          <w:rFonts w:ascii="Arial" w:hAnsi="Arial" w:cs="Arial"/>
          <w:sz w:val="16"/>
          <w:szCs w:val="16"/>
        </w:rPr>
        <w:t xml:space="preserve"> de la Secretaría General de Riesgos.</w:t>
      </w:r>
    </w:p>
  </w:footnote>
  <w:footnote w:id="5">
    <w:p w:rsidR="000C5F77" w:rsidRPr="00AD63E2" w:rsidRDefault="000C5F77" w:rsidP="00AD63E2">
      <w:pPr>
        <w:pStyle w:val="FootnoteText"/>
        <w:jc w:val="left"/>
        <w:rPr>
          <w:lang w:val="es-ES_tradnl"/>
        </w:rPr>
      </w:pPr>
      <w:r>
        <w:rPr>
          <w:rStyle w:val="FootnoteReference"/>
        </w:rPr>
        <w:footnoteRef/>
      </w:r>
      <w:r>
        <w:t xml:space="preserve"> </w:t>
      </w:r>
      <w:r w:rsidR="00AD63E2" w:rsidRPr="00AD63E2">
        <w:rPr>
          <w:lang w:val="es-ES_tradnl"/>
        </w:rPr>
        <w:t>Guías generales sobre medio ambiente, salud y seguridad</w:t>
      </w:r>
      <w:r w:rsidR="00AD63E2">
        <w:rPr>
          <w:lang w:val="es-ES_tradnl"/>
        </w:rPr>
        <w:t xml:space="preserve">. </w:t>
      </w:r>
      <w:hyperlink r:id="rId3" w:history="1">
        <w:r w:rsidR="00AD63E2" w:rsidRPr="00D93876">
          <w:rPr>
            <w:rStyle w:val="Hyperlink"/>
            <w:lang w:val="es-ES_tradnl"/>
          </w:rPr>
          <w:t>http://www.ifc.org/wps/wcm/connect/b44dae8048855a5585ccd76a6515bb18/General%2BEHS%2B-%2BSpanish%2B-%2BFinal%2Brev%2Bcc.pdf?MOD=AJPERES</w:t>
        </w:r>
      </w:hyperlink>
      <w:r w:rsidR="00AD63E2">
        <w:rPr>
          <w:lang w:val="es-ES_tradnl"/>
        </w:rPr>
        <w:t xml:space="preserve"> ; </w:t>
      </w:r>
      <w:r w:rsidR="00AD63E2" w:rsidRPr="00AD63E2">
        <w:rPr>
          <w:lang w:val="es-ES_tradnl"/>
        </w:rPr>
        <w:t>Guías sobre medio ambiente, salud y seguridad para la transmisión y distribución de electricidad</w:t>
      </w:r>
      <w:r w:rsidR="00AD63E2">
        <w:rPr>
          <w:lang w:val="es-ES_tradnl"/>
        </w:rPr>
        <w:t xml:space="preserve">.  </w:t>
      </w:r>
      <w:hyperlink r:id="rId4" w:history="1">
        <w:r w:rsidR="00AD63E2" w:rsidRPr="00D93876">
          <w:rPr>
            <w:rStyle w:val="Hyperlink"/>
            <w:lang w:val="es-ES_tradnl"/>
          </w:rPr>
          <w:t>http://www.ifc.org/wps/wcm/connect/0ff3840048855c708bd4db6a6515bb18/0000199659ESes%2BElectric%2BPower%2BTransmission%2Band%2BDistribution%2Brev%2Bcc.pdf?MOD=AJPERES</w:t>
        </w:r>
      </w:hyperlink>
      <w:r w:rsidR="00AD63E2">
        <w:rPr>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F77" w:rsidRDefault="000C5F77" w:rsidP="00163A24">
    <w:pPr>
      <w:pStyle w:val="Header"/>
      <w:jc w:val="both"/>
    </w:pPr>
    <w:r w:rsidRPr="00745BDF">
      <w:rPr>
        <w:rFonts w:ascii="Arial" w:hAnsi="Arial" w:cs="Arial"/>
        <w:sz w:val="18"/>
        <w:szCs w:val="18"/>
        <w:lang w:val="es-ES"/>
      </w:rPr>
      <w:t xml:space="preserve">Página </w:t>
    </w:r>
    <w:r w:rsidRPr="00745BDF">
      <w:rPr>
        <w:rFonts w:ascii="Arial" w:hAnsi="Arial" w:cs="Arial"/>
        <w:bCs/>
        <w:sz w:val="18"/>
        <w:szCs w:val="18"/>
        <w:lang w:val="es-ES"/>
      </w:rPr>
      <w:fldChar w:fldCharType="begin"/>
    </w:r>
    <w:r w:rsidRPr="00745BDF">
      <w:rPr>
        <w:rFonts w:ascii="Arial" w:hAnsi="Arial" w:cs="Arial"/>
        <w:bCs/>
        <w:sz w:val="18"/>
        <w:szCs w:val="18"/>
        <w:lang w:val="es-ES"/>
      </w:rPr>
      <w:instrText xml:space="preserve"> PAGE </w:instrText>
    </w:r>
    <w:r w:rsidRPr="00745BDF">
      <w:rPr>
        <w:rFonts w:ascii="Arial" w:hAnsi="Arial" w:cs="Arial"/>
        <w:bCs/>
        <w:sz w:val="18"/>
        <w:szCs w:val="18"/>
        <w:lang w:val="es-ES"/>
      </w:rPr>
      <w:fldChar w:fldCharType="separate"/>
    </w:r>
    <w:r w:rsidR="00921DCC">
      <w:rPr>
        <w:rFonts w:ascii="Arial" w:hAnsi="Arial" w:cs="Arial"/>
        <w:bCs/>
        <w:noProof/>
        <w:sz w:val="18"/>
        <w:szCs w:val="18"/>
        <w:lang w:val="es-ES"/>
      </w:rPr>
      <w:t>2</w:t>
    </w:r>
    <w:r w:rsidRPr="00745BDF">
      <w:rPr>
        <w:rFonts w:ascii="Arial" w:hAnsi="Arial" w:cs="Arial"/>
        <w:bCs/>
        <w:sz w:val="18"/>
        <w:szCs w:val="18"/>
        <w:lang w:val="es-ES"/>
      </w:rPr>
      <w:fldChar w:fldCharType="end"/>
    </w:r>
    <w:r w:rsidRPr="00745BDF">
      <w:rPr>
        <w:rFonts w:ascii="Arial" w:hAnsi="Arial" w:cs="Arial"/>
        <w:sz w:val="18"/>
        <w:szCs w:val="18"/>
        <w:lang w:val="es-ES"/>
      </w:rPr>
      <w:t xml:space="preserve"> de </w:t>
    </w:r>
    <w:r w:rsidR="00A62407">
      <w:rPr>
        <w:rFonts w:ascii="Arial" w:hAnsi="Arial" w:cs="Arial"/>
        <w:bCs/>
        <w:sz w:val="18"/>
        <w:szCs w:val="18"/>
        <w:lang w:val="es-ES"/>
      </w:rPr>
      <w:t>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F77" w:rsidRPr="00163A24" w:rsidRDefault="000C5F77">
    <w:pPr>
      <w:pStyle w:val="Header"/>
      <w:jc w:val="right"/>
      <w:rPr>
        <w:lang w:val="es-ES"/>
      </w:rPr>
    </w:pPr>
    <w:r w:rsidRPr="00163A24">
      <w:rPr>
        <w:rFonts w:ascii="Arial" w:hAnsi="Arial" w:cs="Arial"/>
        <w:sz w:val="18"/>
        <w:szCs w:val="18"/>
        <w:lang w:val="es-ES"/>
      </w:rPr>
      <w:t xml:space="preserve">Página </w:t>
    </w:r>
    <w:r w:rsidRPr="00163A24">
      <w:rPr>
        <w:rFonts w:ascii="Arial" w:hAnsi="Arial" w:cs="Arial"/>
        <w:bCs/>
        <w:sz w:val="18"/>
        <w:szCs w:val="18"/>
        <w:lang w:val="es-ES"/>
      </w:rPr>
      <w:fldChar w:fldCharType="begin"/>
    </w:r>
    <w:r w:rsidRPr="00163A24">
      <w:rPr>
        <w:rFonts w:ascii="Arial" w:hAnsi="Arial" w:cs="Arial"/>
        <w:bCs/>
        <w:sz w:val="18"/>
        <w:szCs w:val="18"/>
        <w:lang w:val="es-ES"/>
      </w:rPr>
      <w:instrText xml:space="preserve"> PAGE </w:instrText>
    </w:r>
    <w:r w:rsidRPr="00163A24">
      <w:rPr>
        <w:rFonts w:ascii="Arial" w:hAnsi="Arial" w:cs="Arial"/>
        <w:bCs/>
        <w:sz w:val="18"/>
        <w:szCs w:val="18"/>
        <w:lang w:val="es-ES"/>
      </w:rPr>
      <w:fldChar w:fldCharType="separate"/>
    </w:r>
    <w:r w:rsidR="00921DCC">
      <w:rPr>
        <w:rFonts w:ascii="Arial" w:hAnsi="Arial" w:cs="Arial"/>
        <w:bCs/>
        <w:noProof/>
        <w:sz w:val="18"/>
        <w:szCs w:val="18"/>
        <w:lang w:val="es-ES"/>
      </w:rPr>
      <w:t>1</w:t>
    </w:r>
    <w:r w:rsidRPr="00163A24">
      <w:rPr>
        <w:rFonts w:ascii="Arial" w:hAnsi="Arial" w:cs="Arial"/>
        <w:bCs/>
        <w:sz w:val="18"/>
        <w:szCs w:val="18"/>
        <w:lang w:val="es-ES"/>
      </w:rPr>
      <w:fldChar w:fldCharType="end"/>
    </w:r>
    <w:r w:rsidRPr="00163A24">
      <w:rPr>
        <w:rFonts w:ascii="Arial" w:hAnsi="Arial" w:cs="Arial"/>
        <w:sz w:val="18"/>
        <w:szCs w:val="18"/>
        <w:lang w:val="es-ES"/>
      </w:rPr>
      <w:t xml:space="preserve"> de </w:t>
    </w:r>
    <w:r w:rsidR="00A62407">
      <w:rPr>
        <w:rFonts w:ascii="Arial" w:hAnsi="Arial" w:cs="Arial"/>
        <w:bCs/>
        <w:sz w:val="18"/>
        <w:szCs w:val="18"/>
        <w:lang w:val="es-ES"/>
      </w:rPr>
      <w:t>22</w:t>
    </w:r>
  </w:p>
  <w:p w:rsidR="000C5F77" w:rsidRPr="0093320D" w:rsidRDefault="000C5F77" w:rsidP="0093320D">
    <w:pPr>
      <w:pStyle w:val="Header"/>
      <w:jc w:val="right"/>
      <w:rPr>
        <w:rFonts w:ascii="Gotham Book" w:hAnsi="Gotham Book"/>
        <w:sz w:val="22"/>
        <w:szCs w:val="22"/>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B7FC9"/>
    <w:multiLevelType w:val="multilevel"/>
    <w:tmpl w:val="B1742A5C"/>
    <w:lvl w:ilvl="0">
      <w:start w:val="1"/>
      <w:numFmt w:val="upperRoman"/>
      <w:pStyle w:val="FooterChar"/>
      <w:lvlText w:val="%1."/>
      <w:lvlJc w:val="center"/>
      <w:pPr>
        <w:tabs>
          <w:tab w:val="num" w:pos="648"/>
        </w:tabs>
        <w:ind w:left="0" w:firstLine="288"/>
      </w:pPr>
      <w:rPr>
        <w:rFonts w:hint="default"/>
        <w:b/>
        <w:i w:val="0"/>
      </w:rPr>
    </w:lvl>
    <w:lvl w:ilvl="1">
      <w:start w:val="1"/>
      <w:numFmt w:val="decimal"/>
      <w:pStyle w:val="Default"/>
      <w:isLgl/>
      <w:lvlText w:val="%1.%2"/>
      <w:lvlJc w:val="left"/>
      <w:pPr>
        <w:tabs>
          <w:tab w:val="num" w:pos="720"/>
        </w:tabs>
        <w:ind w:left="720" w:hanging="720"/>
      </w:pPr>
      <w:rPr>
        <w:rFonts w:hint="default"/>
        <w:b w:val="0"/>
        <w:i w:val="0"/>
      </w:rPr>
    </w:lvl>
    <w:lvl w:ilvl="2">
      <w:start w:val="1"/>
      <w:numFmt w:val="lowerLetter"/>
      <w:pStyle w:val="hps"/>
      <w:lvlText w:val="%3."/>
      <w:lvlJc w:val="left"/>
      <w:pPr>
        <w:tabs>
          <w:tab w:val="num" w:pos="1152"/>
        </w:tabs>
        <w:ind w:left="1152" w:hanging="432"/>
      </w:pPr>
      <w:rPr>
        <w:rFonts w:hint="default"/>
      </w:rPr>
    </w:lvl>
    <w:lvl w:ilvl="3">
      <w:start w:val="1"/>
      <w:numFmt w:val="lowerRoman"/>
      <w:pStyle w:val="Chapte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1">
    <w:nsid w:val="11FD590D"/>
    <w:multiLevelType w:val="hybridMultilevel"/>
    <w:tmpl w:val="DE72393E"/>
    <w:lvl w:ilvl="0" w:tplc="330A8946">
      <w:start w:val="1"/>
      <w:numFmt w:val="decimal"/>
      <w:lvlText w:val="2.%1."/>
      <w:lvlJc w:val="right"/>
      <w:pPr>
        <w:ind w:left="720" w:hanging="360"/>
      </w:pPr>
      <w:rPr>
        <w:rFonts w:ascii="Gotham Book" w:hAnsi="Gotham Book" w:hint="default"/>
        <w:b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440" w:hanging="360"/>
      </w:pPr>
    </w:lvl>
    <w:lvl w:ilvl="2" w:tplc="8A08CC50">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71F7F"/>
    <w:multiLevelType w:val="hybridMultilevel"/>
    <w:tmpl w:val="2458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5041CB"/>
    <w:multiLevelType w:val="hybridMultilevel"/>
    <w:tmpl w:val="DE72393E"/>
    <w:lvl w:ilvl="0" w:tplc="330A8946">
      <w:start w:val="1"/>
      <w:numFmt w:val="decimal"/>
      <w:lvlText w:val="2.%1."/>
      <w:lvlJc w:val="right"/>
      <w:pPr>
        <w:ind w:left="720" w:hanging="360"/>
      </w:pPr>
      <w:rPr>
        <w:rFonts w:ascii="Gotham Book" w:hAnsi="Gotham Book" w:hint="default"/>
        <w:b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440" w:hanging="360"/>
      </w:pPr>
    </w:lvl>
    <w:lvl w:ilvl="2" w:tplc="8A08CC50">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476BED"/>
    <w:multiLevelType w:val="multilevel"/>
    <w:tmpl w:val="53BA961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359B4991"/>
    <w:multiLevelType w:val="multilevel"/>
    <w:tmpl w:val="A4F4C8E6"/>
    <w:lvl w:ilvl="0">
      <w:start w:val="1"/>
      <w:numFmt w:val="upperRoman"/>
      <w:lvlRestart w:val="0"/>
      <w:pStyle w:val="Default"/>
      <w:lvlText w:val="%1."/>
      <w:lvlJc w:val="center"/>
      <w:pPr>
        <w:tabs>
          <w:tab w:val="num" w:pos="1800"/>
        </w:tabs>
        <w:ind w:left="1152" w:firstLine="288"/>
      </w:pPr>
      <w:rPr>
        <w:b/>
        <w:i w:val="0"/>
      </w:rPr>
    </w:lvl>
    <w:lvl w:ilvl="1">
      <w:start w:val="1"/>
      <w:numFmt w:val="decimal"/>
      <w:pStyle w:val="BalloonText"/>
      <w:isLgl/>
      <w:lvlText w:val="%1.%2"/>
      <w:lvlJc w:val="left"/>
      <w:pPr>
        <w:tabs>
          <w:tab w:val="num" w:pos="2448"/>
        </w:tabs>
        <w:ind w:left="2448" w:hanging="1296"/>
      </w:pPr>
    </w:lvl>
    <w:lvl w:ilvl="2">
      <w:start w:val="1"/>
      <w:numFmt w:val="lowerLetter"/>
      <w:pStyle w:val="ListParagraphChar"/>
      <w:lvlText w:val="%3."/>
      <w:lvlJc w:val="left"/>
      <w:pPr>
        <w:tabs>
          <w:tab w:val="num" w:pos="2304"/>
        </w:tabs>
        <w:ind w:left="2304" w:hanging="432"/>
      </w:pPr>
    </w:lvl>
    <w:lvl w:ilvl="3">
      <w:start w:val="1"/>
      <w:numFmt w:val="lowerRoman"/>
      <w:pStyle w:val="NormalWeb"/>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6">
    <w:nsid w:val="386117EA"/>
    <w:multiLevelType w:val="hybridMultilevel"/>
    <w:tmpl w:val="DE72393E"/>
    <w:lvl w:ilvl="0" w:tplc="330A8946">
      <w:start w:val="1"/>
      <w:numFmt w:val="decimal"/>
      <w:lvlText w:val="2.%1."/>
      <w:lvlJc w:val="right"/>
      <w:pPr>
        <w:ind w:left="720" w:hanging="360"/>
      </w:pPr>
      <w:rPr>
        <w:rFonts w:ascii="Gotham Book" w:hAnsi="Gotham Book" w:hint="default"/>
        <w:b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440" w:hanging="360"/>
      </w:pPr>
    </w:lvl>
    <w:lvl w:ilvl="2" w:tplc="8A08CC50">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0840CB"/>
    <w:multiLevelType w:val="hybridMultilevel"/>
    <w:tmpl w:val="F618BFD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32762C3"/>
    <w:multiLevelType w:val="hybridMultilevel"/>
    <w:tmpl w:val="36B2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566062"/>
    <w:multiLevelType w:val="hybridMultilevel"/>
    <w:tmpl w:val="E5BCE722"/>
    <w:lvl w:ilvl="0" w:tplc="9F4819DA">
      <w:start w:val="1"/>
      <w:numFmt w:val="upperLetter"/>
      <w:pStyle w:val="Heading2"/>
      <w:lvlText w:val="%1."/>
      <w:lvlJc w:val="left"/>
      <w:pPr>
        <w:ind w:left="360" w:hanging="360"/>
      </w:pPr>
      <w:rPr>
        <w:rFonts w:hint="default"/>
        <w:lang w:val="es-ES_tradn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2F2C39"/>
    <w:multiLevelType w:val="hybridMultilevel"/>
    <w:tmpl w:val="4C98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BE5A42"/>
    <w:multiLevelType w:val="multilevel"/>
    <w:tmpl w:val="53BA9616"/>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56E25387"/>
    <w:multiLevelType w:val="multilevel"/>
    <w:tmpl w:val="B1882442"/>
    <w:lvl w:ilvl="0">
      <w:start w:val="1"/>
      <w:numFmt w:val="decimal"/>
      <w:pStyle w:val="Chapter"/>
      <w:lvlText w:val="%1"/>
      <w:lvlJc w:val="left"/>
      <w:pPr>
        <w:ind w:left="3339" w:hanging="432"/>
      </w:pPr>
      <w:rPr>
        <w:rFonts w:hint="default"/>
        <w:b/>
        <w:i w:val="0"/>
      </w:rPr>
    </w:lvl>
    <w:lvl w:ilvl="1">
      <w:start w:val="1"/>
      <w:numFmt w:val="decimal"/>
      <w:lvlText w:val="%1.%2"/>
      <w:lvlJc w:val="left"/>
      <w:pPr>
        <w:ind w:left="3483" w:hanging="576"/>
      </w:pPr>
      <w:rPr>
        <w:rFonts w:hint="default"/>
        <w:b w:val="0"/>
        <w:i w:val="0"/>
        <w:color w:val="000000"/>
        <w:lang w:val="es-CO"/>
      </w:rPr>
    </w:lvl>
    <w:lvl w:ilvl="2">
      <w:start w:val="1"/>
      <w:numFmt w:val="decimal"/>
      <w:pStyle w:val="Heading3"/>
      <w:lvlText w:val="%1.%2.%3"/>
      <w:lvlJc w:val="left"/>
      <w:pPr>
        <w:ind w:left="3627" w:hanging="720"/>
      </w:pPr>
      <w:rPr>
        <w:rFonts w:hint="default"/>
      </w:rPr>
    </w:lvl>
    <w:lvl w:ilvl="3">
      <w:start w:val="1"/>
      <w:numFmt w:val="decimal"/>
      <w:pStyle w:val="Heading4"/>
      <w:lvlText w:val="%1.%2.%3.%4"/>
      <w:lvlJc w:val="left"/>
      <w:pPr>
        <w:ind w:left="3771" w:hanging="864"/>
      </w:pPr>
      <w:rPr>
        <w:rFonts w:hint="default"/>
        <w:i w:val="0"/>
      </w:rPr>
    </w:lvl>
    <w:lvl w:ilvl="4">
      <w:start w:val="1"/>
      <w:numFmt w:val="decimal"/>
      <w:pStyle w:val="Heading5"/>
      <w:lvlText w:val="%1.%2.%3.%4.%5"/>
      <w:lvlJc w:val="left"/>
      <w:pPr>
        <w:ind w:left="3915" w:hanging="1008"/>
      </w:pPr>
      <w:rPr>
        <w:rFonts w:hint="default"/>
      </w:rPr>
    </w:lvl>
    <w:lvl w:ilvl="5">
      <w:start w:val="1"/>
      <w:numFmt w:val="decimal"/>
      <w:pStyle w:val="Heading6"/>
      <w:lvlText w:val="%1.%2.%3.%4.%5.%6"/>
      <w:lvlJc w:val="left"/>
      <w:pPr>
        <w:ind w:left="4059" w:hanging="1152"/>
      </w:pPr>
      <w:rPr>
        <w:rFonts w:hint="default"/>
      </w:rPr>
    </w:lvl>
    <w:lvl w:ilvl="6">
      <w:start w:val="1"/>
      <w:numFmt w:val="decimal"/>
      <w:pStyle w:val="Heading7"/>
      <w:lvlText w:val="%1.%2.%3.%4.%5.%6.%7"/>
      <w:lvlJc w:val="left"/>
      <w:pPr>
        <w:ind w:left="4203" w:hanging="1296"/>
      </w:pPr>
      <w:rPr>
        <w:rFonts w:hint="default"/>
      </w:rPr>
    </w:lvl>
    <w:lvl w:ilvl="7">
      <w:start w:val="1"/>
      <w:numFmt w:val="decimal"/>
      <w:pStyle w:val="Heading8"/>
      <w:lvlText w:val="%1.%2.%3.%4.%5.%6.%7.%8"/>
      <w:lvlJc w:val="left"/>
      <w:pPr>
        <w:ind w:left="4347" w:hanging="1440"/>
      </w:pPr>
      <w:rPr>
        <w:rFonts w:hint="default"/>
      </w:rPr>
    </w:lvl>
    <w:lvl w:ilvl="8">
      <w:start w:val="1"/>
      <w:numFmt w:val="decimal"/>
      <w:pStyle w:val="Heading9"/>
      <w:lvlText w:val="%1.%2.%3.%4.%5.%6.%7.%8.%9"/>
      <w:lvlJc w:val="left"/>
      <w:pPr>
        <w:ind w:left="4491" w:hanging="1584"/>
      </w:pPr>
      <w:rPr>
        <w:rFonts w:hint="default"/>
      </w:rPr>
    </w:lvl>
  </w:abstractNum>
  <w:abstractNum w:abstractNumId="13">
    <w:nsid w:val="5A721AA5"/>
    <w:multiLevelType w:val="hybridMultilevel"/>
    <w:tmpl w:val="DE72393E"/>
    <w:lvl w:ilvl="0" w:tplc="330A8946">
      <w:start w:val="1"/>
      <w:numFmt w:val="decimal"/>
      <w:lvlText w:val="2.%1."/>
      <w:lvlJc w:val="right"/>
      <w:pPr>
        <w:ind w:left="720" w:hanging="360"/>
      </w:pPr>
      <w:rPr>
        <w:rFonts w:ascii="Gotham Book" w:hAnsi="Gotham Book" w:hint="default"/>
        <w:b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440" w:hanging="360"/>
      </w:pPr>
    </w:lvl>
    <w:lvl w:ilvl="2" w:tplc="8A08CC50">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982FF8"/>
    <w:multiLevelType w:val="hybridMultilevel"/>
    <w:tmpl w:val="102A9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C6F45B8"/>
    <w:multiLevelType w:val="hybridMultilevel"/>
    <w:tmpl w:val="DC66F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7245A0"/>
    <w:multiLevelType w:val="hybridMultilevel"/>
    <w:tmpl w:val="DE72393E"/>
    <w:lvl w:ilvl="0" w:tplc="330A8946">
      <w:start w:val="1"/>
      <w:numFmt w:val="decimal"/>
      <w:lvlText w:val="2.%1."/>
      <w:lvlJc w:val="right"/>
      <w:pPr>
        <w:ind w:left="720" w:hanging="360"/>
      </w:pPr>
      <w:rPr>
        <w:rFonts w:ascii="Gotham Book" w:hAnsi="Gotham Book" w:hint="default"/>
        <w:b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ind w:left="1440" w:hanging="360"/>
      </w:pPr>
    </w:lvl>
    <w:lvl w:ilvl="2" w:tplc="8A08CC50">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1F321C"/>
    <w:multiLevelType w:val="multilevel"/>
    <w:tmpl w:val="744274A8"/>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6FA55AB3"/>
    <w:multiLevelType w:val="multilevel"/>
    <w:tmpl w:val="E99499E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9">
    <w:nsid w:val="71B168FC"/>
    <w:multiLevelType w:val="multilevel"/>
    <w:tmpl w:val="744274A8"/>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71EC2AD9"/>
    <w:multiLevelType w:val="hybridMultilevel"/>
    <w:tmpl w:val="F0EE6EC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73F543AB"/>
    <w:multiLevelType w:val="hybridMultilevel"/>
    <w:tmpl w:val="775A1334"/>
    <w:lvl w:ilvl="0" w:tplc="16E83B2E">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444855"/>
    <w:multiLevelType w:val="multilevel"/>
    <w:tmpl w:val="53BA9616"/>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78ED5C9C"/>
    <w:multiLevelType w:val="hybridMultilevel"/>
    <w:tmpl w:val="138AEA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C396489"/>
    <w:multiLevelType w:val="multilevel"/>
    <w:tmpl w:val="53BA961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7EC17C53"/>
    <w:multiLevelType w:val="multilevel"/>
    <w:tmpl w:val="1D964ED6"/>
    <w:lvl w:ilvl="0">
      <w:start w:val="5"/>
      <w:numFmt w:val="decimal"/>
      <w:lvlText w:val="%1."/>
      <w:lvlJc w:val="left"/>
      <w:pPr>
        <w:ind w:left="1080" w:hanging="360"/>
      </w:pPr>
      <w:rPr>
        <w:rFonts w:hint="default"/>
      </w:rPr>
    </w:lvl>
    <w:lvl w:ilvl="1">
      <w:start w:val="1"/>
      <w:numFmt w:val="decimal"/>
      <w:lvlText w:val="%1.%2."/>
      <w:lvlJc w:val="left"/>
      <w:pPr>
        <w:ind w:left="1800" w:hanging="720"/>
      </w:pPr>
      <w:rPr>
        <w:rFonts w:hint="default"/>
      </w:rPr>
    </w:lvl>
    <w:lvl w:ilvl="2">
      <w:start w:val="1"/>
      <w:numFmt w:val="lowerLetter"/>
      <w:lvlText w:val="%3."/>
      <w:lvlJc w:val="left"/>
      <w:pPr>
        <w:ind w:left="216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040" w:hanging="1800"/>
      </w:pPr>
      <w:rPr>
        <w:rFonts w:hint="default"/>
      </w:rPr>
    </w:lvl>
    <w:lvl w:ilvl="8">
      <w:start w:val="1"/>
      <w:numFmt w:val="decimal"/>
      <w:lvlText w:val="%1.%2.%3.%4.%5.%6.%7.%8.%9."/>
      <w:lvlJc w:val="left"/>
      <w:pPr>
        <w:ind w:left="5760" w:hanging="2160"/>
      </w:pPr>
      <w:rPr>
        <w:rFonts w:hint="default"/>
      </w:rPr>
    </w:lvl>
  </w:abstractNum>
  <w:num w:numId="1">
    <w:abstractNumId w:val="12"/>
  </w:num>
  <w:num w:numId="2">
    <w:abstractNumId w:val="1"/>
  </w:num>
  <w:num w:numId="3">
    <w:abstractNumId w:val="24"/>
  </w:num>
  <w:num w:numId="4">
    <w:abstractNumId w:val="4"/>
  </w:num>
  <w:num w:numId="5">
    <w:abstractNumId w:val="11"/>
  </w:num>
  <w:num w:numId="6">
    <w:abstractNumId w:val="19"/>
  </w:num>
  <w:num w:numId="7">
    <w:abstractNumId w:val="25"/>
  </w:num>
  <w:num w:numId="8">
    <w:abstractNumId w:val="21"/>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num>
  <w:num w:numId="13">
    <w:abstractNumId w:val="9"/>
    <w:lvlOverride w:ilvl="0">
      <w:startOverride w:val="1"/>
    </w:lvlOverride>
  </w:num>
  <w:num w:numId="14">
    <w:abstractNumId w:val="14"/>
  </w:num>
  <w:num w:numId="15">
    <w:abstractNumId w:val="23"/>
  </w:num>
  <w:num w:numId="16">
    <w:abstractNumId w:val="7"/>
  </w:num>
  <w:num w:numId="17">
    <w:abstractNumId w:val="17"/>
  </w:num>
  <w:num w:numId="18">
    <w:abstractNumId w:val="5"/>
  </w:num>
  <w:num w:numId="19">
    <w:abstractNumId w:val="18"/>
  </w:num>
  <w:num w:numId="20">
    <w:abstractNumId w:val="0"/>
  </w:num>
  <w:num w:numId="21">
    <w:abstractNumId w:val="22"/>
  </w:num>
  <w:num w:numId="22">
    <w:abstractNumId w:val="3"/>
  </w:num>
  <w:num w:numId="23">
    <w:abstractNumId w:val="6"/>
  </w:num>
  <w:num w:numId="24">
    <w:abstractNumId w:val="16"/>
  </w:num>
  <w:num w:numId="25">
    <w:abstractNumId w:val="13"/>
  </w:num>
  <w:num w:numId="26">
    <w:abstractNumId w:val="20"/>
  </w:num>
  <w:num w:numId="27">
    <w:abstractNumId w:val="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5"/>
  </w:num>
  <w:num w:numId="3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trackRevisions/>
  <w:defaultTabStop w:val="72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3B9"/>
    <w:rsid w:val="00000B9E"/>
    <w:rsid w:val="0000315F"/>
    <w:rsid w:val="00006023"/>
    <w:rsid w:val="000060A1"/>
    <w:rsid w:val="0000638D"/>
    <w:rsid w:val="00010FEB"/>
    <w:rsid w:val="0001153B"/>
    <w:rsid w:val="00012FCA"/>
    <w:rsid w:val="00013154"/>
    <w:rsid w:val="00014AF3"/>
    <w:rsid w:val="00015B90"/>
    <w:rsid w:val="00016FE6"/>
    <w:rsid w:val="0002032D"/>
    <w:rsid w:val="00020672"/>
    <w:rsid w:val="0002669B"/>
    <w:rsid w:val="000267BC"/>
    <w:rsid w:val="00027C89"/>
    <w:rsid w:val="00032410"/>
    <w:rsid w:val="000341C1"/>
    <w:rsid w:val="00034814"/>
    <w:rsid w:val="0003535E"/>
    <w:rsid w:val="00036211"/>
    <w:rsid w:val="00041FCB"/>
    <w:rsid w:val="00043023"/>
    <w:rsid w:val="00043D4A"/>
    <w:rsid w:val="0004460E"/>
    <w:rsid w:val="0004650D"/>
    <w:rsid w:val="00047F23"/>
    <w:rsid w:val="000523D1"/>
    <w:rsid w:val="00052819"/>
    <w:rsid w:val="00053663"/>
    <w:rsid w:val="00054C36"/>
    <w:rsid w:val="0005614E"/>
    <w:rsid w:val="000572C7"/>
    <w:rsid w:val="00060DF5"/>
    <w:rsid w:val="00061EBC"/>
    <w:rsid w:val="000627AF"/>
    <w:rsid w:val="000663E8"/>
    <w:rsid w:val="0006644D"/>
    <w:rsid w:val="0007078B"/>
    <w:rsid w:val="00070838"/>
    <w:rsid w:val="0007091B"/>
    <w:rsid w:val="00071575"/>
    <w:rsid w:val="00071922"/>
    <w:rsid w:val="00072D84"/>
    <w:rsid w:val="000765D1"/>
    <w:rsid w:val="00080E10"/>
    <w:rsid w:val="000818C1"/>
    <w:rsid w:val="00081973"/>
    <w:rsid w:val="0008306E"/>
    <w:rsid w:val="00083ED0"/>
    <w:rsid w:val="00084DD8"/>
    <w:rsid w:val="00085D6A"/>
    <w:rsid w:val="0008715F"/>
    <w:rsid w:val="00092076"/>
    <w:rsid w:val="000937CC"/>
    <w:rsid w:val="000964B2"/>
    <w:rsid w:val="000A132A"/>
    <w:rsid w:val="000A1764"/>
    <w:rsid w:val="000A2430"/>
    <w:rsid w:val="000A452D"/>
    <w:rsid w:val="000A45C6"/>
    <w:rsid w:val="000A4667"/>
    <w:rsid w:val="000A6227"/>
    <w:rsid w:val="000B17F7"/>
    <w:rsid w:val="000B2B32"/>
    <w:rsid w:val="000B6056"/>
    <w:rsid w:val="000B7382"/>
    <w:rsid w:val="000C0A2A"/>
    <w:rsid w:val="000C0F23"/>
    <w:rsid w:val="000C2244"/>
    <w:rsid w:val="000C2A62"/>
    <w:rsid w:val="000C4B32"/>
    <w:rsid w:val="000C576A"/>
    <w:rsid w:val="000C5F77"/>
    <w:rsid w:val="000C6CC8"/>
    <w:rsid w:val="000C7469"/>
    <w:rsid w:val="000C7869"/>
    <w:rsid w:val="000C7BC8"/>
    <w:rsid w:val="000D09AF"/>
    <w:rsid w:val="000D20E6"/>
    <w:rsid w:val="000D26EB"/>
    <w:rsid w:val="000D2C87"/>
    <w:rsid w:val="000D2EE7"/>
    <w:rsid w:val="000D455B"/>
    <w:rsid w:val="000D48F9"/>
    <w:rsid w:val="000D7740"/>
    <w:rsid w:val="000D7807"/>
    <w:rsid w:val="000E02C5"/>
    <w:rsid w:val="000E133D"/>
    <w:rsid w:val="000E324A"/>
    <w:rsid w:val="000E62B7"/>
    <w:rsid w:val="000E7432"/>
    <w:rsid w:val="000E765A"/>
    <w:rsid w:val="000F07F9"/>
    <w:rsid w:val="000F5D10"/>
    <w:rsid w:val="000F6694"/>
    <w:rsid w:val="001004BE"/>
    <w:rsid w:val="00103981"/>
    <w:rsid w:val="001061B0"/>
    <w:rsid w:val="00107BE4"/>
    <w:rsid w:val="0011157E"/>
    <w:rsid w:val="00111720"/>
    <w:rsid w:val="0011397B"/>
    <w:rsid w:val="0011457F"/>
    <w:rsid w:val="00114A2D"/>
    <w:rsid w:val="00114D7C"/>
    <w:rsid w:val="001152DD"/>
    <w:rsid w:val="0012130B"/>
    <w:rsid w:val="0012247D"/>
    <w:rsid w:val="00124A49"/>
    <w:rsid w:val="001269BA"/>
    <w:rsid w:val="001305D7"/>
    <w:rsid w:val="00130671"/>
    <w:rsid w:val="00132022"/>
    <w:rsid w:val="00133291"/>
    <w:rsid w:val="00140B0C"/>
    <w:rsid w:val="00140BA4"/>
    <w:rsid w:val="00141735"/>
    <w:rsid w:val="00141F2F"/>
    <w:rsid w:val="00144C13"/>
    <w:rsid w:val="00144D49"/>
    <w:rsid w:val="00152062"/>
    <w:rsid w:val="00152DBD"/>
    <w:rsid w:val="001542F7"/>
    <w:rsid w:val="001557DD"/>
    <w:rsid w:val="00161FF5"/>
    <w:rsid w:val="00163A24"/>
    <w:rsid w:val="00170012"/>
    <w:rsid w:val="00170218"/>
    <w:rsid w:val="00170662"/>
    <w:rsid w:val="00173F4C"/>
    <w:rsid w:val="0017407C"/>
    <w:rsid w:val="001755AF"/>
    <w:rsid w:val="00175C9C"/>
    <w:rsid w:val="00177708"/>
    <w:rsid w:val="00177835"/>
    <w:rsid w:val="00182D5A"/>
    <w:rsid w:val="00185F4B"/>
    <w:rsid w:val="00186123"/>
    <w:rsid w:val="001862F8"/>
    <w:rsid w:val="00186C11"/>
    <w:rsid w:val="00186D08"/>
    <w:rsid w:val="00194093"/>
    <w:rsid w:val="001947D0"/>
    <w:rsid w:val="00195748"/>
    <w:rsid w:val="00196AF7"/>
    <w:rsid w:val="0019739D"/>
    <w:rsid w:val="001A1234"/>
    <w:rsid w:val="001A5A41"/>
    <w:rsid w:val="001A6ACE"/>
    <w:rsid w:val="001A76AA"/>
    <w:rsid w:val="001B1663"/>
    <w:rsid w:val="001B2111"/>
    <w:rsid w:val="001B315B"/>
    <w:rsid w:val="001B3500"/>
    <w:rsid w:val="001B3714"/>
    <w:rsid w:val="001B40B6"/>
    <w:rsid w:val="001B50C7"/>
    <w:rsid w:val="001C214C"/>
    <w:rsid w:val="001C26F2"/>
    <w:rsid w:val="001C3020"/>
    <w:rsid w:val="001C3739"/>
    <w:rsid w:val="001C3A47"/>
    <w:rsid w:val="001C4EE0"/>
    <w:rsid w:val="001C648E"/>
    <w:rsid w:val="001C6BB6"/>
    <w:rsid w:val="001C7BD6"/>
    <w:rsid w:val="001D07A7"/>
    <w:rsid w:val="001D0DE5"/>
    <w:rsid w:val="001D38A4"/>
    <w:rsid w:val="001D68F2"/>
    <w:rsid w:val="001E00AF"/>
    <w:rsid w:val="001E0437"/>
    <w:rsid w:val="001E0A43"/>
    <w:rsid w:val="001E3674"/>
    <w:rsid w:val="001E44A6"/>
    <w:rsid w:val="001E6D3E"/>
    <w:rsid w:val="001F01A1"/>
    <w:rsid w:val="001F1CC2"/>
    <w:rsid w:val="001F1DA6"/>
    <w:rsid w:val="001F29A8"/>
    <w:rsid w:val="001F31EE"/>
    <w:rsid w:val="001F44E8"/>
    <w:rsid w:val="001F75FD"/>
    <w:rsid w:val="001F79A6"/>
    <w:rsid w:val="00201061"/>
    <w:rsid w:val="002017B4"/>
    <w:rsid w:val="00201AB3"/>
    <w:rsid w:val="0020461E"/>
    <w:rsid w:val="002071FE"/>
    <w:rsid w:val="002075D3"/>
    <w:rsid w:val="00207900"/>
    <w:rsid w:val="00210EF6"/>
    <w:rsid w:val="00211C79"/>
    <w:rsid w:val="002138DC"/>
    <w:rsid w:val="002141A8"/>
    <w:rsid w:val="002141E2"/>
    <w:rsid w:val="002164FD"/>
    <w:rsid w:val="00216C6D"/>
    <w:rsid w:val="00217A62"/>
    <w:rsid w:val="00225827"/>
    <w:rsid w:val="00225F2D"/>
    <w:rsid w:val="002317CB"/>
    <w:rsid w:val="002347CA"/>
    <w:rsid w:val="00235BA5"/>
    <w:rsid w:val="00235F49"/>
    <w:rsid w:val="002361C6"/>
    <w:rsid w:val="0023799D"/>
    <w:rsid w:val="0024015F"/>
    <w:rsid w:val="002402D0"/>
    <w:rsid w:val="002409D1"/>
    <w:rsid w:val="00240E68"/>
    <w:rsid w:val="00241C02"/>
    <w:rsid w:val="00242F69"/>
    <w:rsid w:val="00243611"/>
    <w:rsid w:val="00246314"/>
    <w:rsid w:val="00246892"/>
    <w:rsid w:val="00246B55"/>
    <w:rsid w:val="00246CAB"/>
    <w:rsid w:val="002477E6"/>
    <w:rsid w:val="002477F8"/>
    <w:rsid w:val="00251AC2"/>
    <w:rsid w:val="00251F5B"/>
    <w:rsid w:val="00252013"/>
    <w:rsid w:val="002539BA"/>
    <w:rsid w:val="00254B38"/>
    <w:rsid w:val="00257C64"/>
    <w:rsid w:val="0026081D"/>
    <w:rsid w:val="00261E5B"/>
    <w:rsid w:val="00262FE7"/>
    <w:rsid w:val="002632DF"/>
    <w:rsid w:val="002636A5"/>
    <w:rsid w:val="0026448E"/>
    <w:rsid w:val="00265E41"/>
    <w:rsid w:val="00271AE6"/>
    <w:rsid w:val="00272E00"/>
    <w:rsid w:val="00275224"/>
    <w:rsid w:val="00281D06"/>
    <w:rsid w:val="00282297"/>
    <w:rsid w:val="00282B1A"/>
    <w:rsid w:val="00283970"/>
    <w:rsid w:val="002840BF"/>
    <w:rsid w:val="002862AB"/>
    <w:rsid w:val="002862F7"/>
    <w:rsid w:val="002872FD"/>
    <w:rsid w:val="00287AF2"/>
    <w:rsid w:val="00292171"/>
    <w:rsid w:val="00292AF1"/>
    <w:rsid w:val="00293274"/>
    <w:rsid w:val="00295FE1"/>
    <w:rsid w:val="002A0C24"/>
    <w:rsid w:val="002A0C2B"/>
    <w:rsid w:val="002A240E"/>
    <w:rsid w:val="002A53D7"/>
    <w:rsid w:val="002A5754"/>
    <w:rsid w:val="002B216C"/>
    <w:rsid w:val="002B2B97"/>
    <w:rsid w:val="002B5195"/>
    <w:rsid w:val="002B6714"/>
    <w:rsid w:val="002B6EAC"/>
    <w:rsid w:val="002B7801"/>
    <w:rsid w:val="002C14C4"/>
    <w:rsid w:val="002C5F98"/>
    <w:rsid w:val="002D06CC"/>
    <w:rsid w:val="002D1B12"/>
    <w:rsid w:val="002D2974"/>
    <w:rsid w:val="002D3E4C"/>
    <w:rsid w:val="002E0C78"/>
    <w:rsid w:val="002E112B"/>
    <w:rsid w:val="002E23FA"/>
    <w:rsid w:val="002E26C4"/>
    <w:rsid w:val="002E37D8"/>
    <w:rsid w:val="002E5E6C"/>
    <w:rsid w:val="002F0220"/>
    <w:rsid w:val="002F0E2C"/>
    <w:rsid w:val="002F25D4"/>
    <w:rsid w:val="002F6561"/>
    <w:rsid w:val="002F6BA1"/>
    <w:rsid w:val="002F7580"/>
    <w:rsid w:val="0030018F"/>
    <w:rsid w:val="00302C26"/>
    <w:rsid w:val="003054E4"/>
    <w:rsid w:val="00311B23"/>
    <w:rsid w:val="00312F78"/>
    <w:rsid w:val="00312FFC"/>
    <w:rsid w:val="00313647"/>
    <w:rsid w:val="003138E7"/>
    <w:rsid w:val="00313D83"/>
    <w:rsid w:val="0031534A"/>
    <w:rsid w:val="003175CC"/>
    <w:rsid w:val="00317B10"/>
    <w:rsid w:val="003215E7"/>
    <w:rsid w:val="00324153"/>
    <w:rsid w:val="00325D82"/>
    <w:rsid w:val="00334A6C"/>
    <w:rsid w:val="003355E6"/>
    <w:rsid w:val="00335FF8"/>
    <w:rsid w:val="003366AB"/>
    <w:rsid w:val="00336913"/>
    <w:rsid w:val="0034019D"/>
    <w:rsid w:val="00341297"/>
    <w:rsid w:val="00343D86"/>
    <w:rsid w:val="003443E5"/>
    <w:rsid w:val="00344BAC"/>
    <w:rsid w:val="00344DDD"/>
    <w:rsid w:val="00345875"/>
    <w:rsid w:val="00345B7A"/>
    <w:rsid w:val="00347549"/>
    <w:rsid w:val="0034754A"/>
    <w:rsid w:val="0035088C"/>
    <w:rsid w:val="0035096F"/>
    <w:rsid w:val="003515BD"/>
    <w:rsid w:val="003523B9"/>
    <w:rsid w:val="00352BEF"/>
    <w:rsid w:val="003530C8"/>
    <w:rsid w:val="00356C2D"/>
    <w:rsid w:val="003626E2"/>
    <w:rsid w:val="00362FA4"/>
    <w:rsid w:val="00363322"/>
    <w:rsid w:val="00365C5C"/>
    <w:rsid w:val="00365FA0"/>
    <w:rsid w:val="00366D00"/>
    <w:rsid w:val="00367CBE"/>
    <w:rsid w:val="003703D2"/>
    <w:rsid w:val="00372DEA"/>
    <w:rsid w:val="00374FCB"/>
    <w:rsid w:val="00375F48"/>
    <w:rsid w:val="00376034"/>
    <w:rsid w:val="00377003"/>
    <w:rsid w:val="003770B9"/>
    <w:rsid w:val="00377EF1"/>
    <w:rsid w:val="00380255"/>
    <w:rsid w:val="003828AB"/>
    <w:rsid w:val="003837F5"/>
    <w:rsid w:val="003840F4"/>
    <w:rsid w:val="003850D0"/>
    <w:rsid w:val="00386B56"/>
    <w:rsid w:val="003918D1"/>
    <w:rsid w:val="00396784"/>
    <w:rsid w:val="003A03E0"/>
    <w:rsid w:val="003A0F0C"/>
    <w:rsid w:val="003A1158"/>
    <w:rsid w:val="003A1DF4"/>
    <w:rsid w:val="003A36CE"/>
    <w:rsid w:val="003A54C4"/>
    <w:rsid w:val="003A5BDF"/>
    <w:rsid w:val="003A5E09"/>
    <w:rsid w:val="003A7E12"/>
    <w:rsid w:val="003B2549"/>
    <w:rsid w:val="003B4574"/>
    <w:rsid w:val="003B5444"/>
    <w:rsid w:val="003B68E7"/>
    <w:rsid w:val="003B72BB"/>
    <w:rsid w:val="003C0A43"/>
    <w:rsid w:val="003C149F"/>
    <w:rsid w:val="003C18F9"/>
    <w:rsid w:val="003C2FD2"/>
    <w:rsid w:val="003C4703"/>
    <w:rsid w:val="003C64CD"/>
    <w:rsid w:val="003C6DB0"/>
    <w:rsid w:val="003C712D"/>
    <w:rsid w:val="003C7AA4"/>
    <w:rsid w:val="003C7B64"/>
    <w:rsid w:val="003D0B7F"/>
    <w:rsid w:val="003D3A0E"/>
    <w:rsid w:val="003D4E73"/>
    <w:rsid w:val="003D6D51"/>
    <w:rsid w:val="003E0421"/>
    <w:rsid w:val="003E1CBD"/>
    <w:rsid w:val="003E4063"/>
    <w:rsid w:val="003E4F3A"/>
    <w:rsid w:val="003F0DA6"/>
    <w:rsid w:val="003F2451"/>
    <w:rsid w:val="003F2476"/>
    <w:rsid w:val="003F2AD9"/>
    <w:rsid w:val="003F349B"/>
    <w:rsid w:val="003F6650"/>
    <w:rsid w:val="003F6680"/>
    <w:rsid w:val="003F6987"/>
    <w:rsid w:val="003F735B"/>
    <w:rsid w:val="004001DF"/>
    <w:rsid w:val="00403B38"/>
    <w:rsid w:val="00403B5F"/>
    <w:rsid w:val="004042D8"/>
    <w:rsid w:val="00404718"/>
    <w:rsid w:val="00404DD6"/>
    <w:rsid w:val="004070D0"/>
    <w:rsid w:val="0040728E"/>
    <w:rsid w:val="0041028F"/>
    <w:rsid w:val="00410B8F"/>
    <w:rsid w:val="00410DBC"/>
    <w:rsid w:val="004110A3"/>
    <w:rsid w:val="00411892"/>
    <w:rsid w:val="00415506"/>
    <w:rsid w:val="00416C37"/>
    <w:rsid w:val="0041777D"/>
    <w:rsid w:val="0042090F"/>
    <w:rsid w:val="00421164"/>
    <w:rsid w:val="004223D9"/>
    <w:rsid w:val="00422B8D"/>
    <w:rsid w:val="00423717"/>
    <w:rsid w:val="0042589E"/>
    <w:rsid w:val="004271F3"/>
    <w:rsid w:val="004272D8"/>
    <w:rsid w:val="00432328"/>
    <w:rsid w:val="00432AF5"/>
    <w:rsid w:val="0043610A"/>
    <w:rsid w:val="00444154"/>
    <w:rsid w:val="00444E6E"/>
    <w:rsid w:val="00444EA6"/>
    <w:rsid w:val="00446506"/>
    <w:rsid w:val="00446833"/>
    <w:rsid w:val="0044726A"/>
    <w:rsid w:val="00447BE4"/>
    <w:rsid w:val="00447D34"/>
    <w:rsid w:val="00451E1F"/>
    <w:rsid w:val="004523CB"/>
    <w:rsid w:val="004547DD"/>
    <w:rsid w:val="00455AB4"/>
    <w:rsid w:val="004632FE"/>
    <w:rsid w:val="00463447"/>
    <w:rsid w:val="00464F9D"/>
    <w:rsid w:val="0046595A"/>
    <w:rsid w:val="00466333"/>
    <w:rsid w:val="00466DBC"/>
    <w:rsid w:val="00467EDA"/>
    <w:rsid w:val="0047072A"/>
    <w:rsid w:val="004777FA"/>
    <w:rsid w:val="00481177"/>
    <w:rsid w:val="0048227D"/>
    <w:rsid w:val="00482720"/>
    <w:rsid w:val="00482772"/>
    <w:rsid w:val="00482AC4"/>
    <w:rsid w:val="004838B1"/>
    <w:rsid w:val="00487A40"/>
    <w:rsid w:val="0049052E"/>
    <w:rsid w:val="00490CC2"/>
    <w:rsid w:val="00491E95"/>
    <w:rsid w:val="0049298C"/>
    <w:rsid w:val="004A0173"/>
    <w:rsid w:val="004A02EC"/>
    <w:rsid w:val="004A0557"/>
    <w:rsid w:val="004A18A2"/>
    <w:rsid w:val="004A197B"/>
    <w:rsid w:val="004A4AAD"/>
    <w:rsid w:val="004B04DC"/>
    <w:rsid w:val="004B2BE5"/>
    <w:rsid w:val="004B3185"/>
    <w:rsid w:val="004B35B6"/>
    <w:rsid w:val="004B3D03"/>
    <w:rsid w:val="004B50A3"/>
    <w:rsid w:val="004B71EA"/>
    <w:rsid w:val="004B7D25"/>
    <w:rsid w:val="004B7ED1"/>
    <w:rsid w:val="004C5A16"/>
    <w:rsid w:val="004D051F"/>
    <w:rsid w:val="004D4573"/>
    <w:rsid w:val="004D6CDD"/>
    <w:rsid w:val="004E1678"/>
    <w:rsid w:val="004E2DE0"/>
    <w:rsid w:val="004E36EE"/>
    <w:rsid w:val="004E4954"/>
    <w:rsid w:val="004E57FF"/>
    <w:rsid w:val="004E5AC8"/>
    <w:rsid w:val="004E6267"/>
    <w:rsid w:val="004F17C7"/>
    <w:rsid w:val="004F3AEE"/>
    <w:rsid w:val="004F4A50"/>
    <w:rsid w:val="004F55F1"/>
    <w:rsid w:val="004F60C2"/>
    <w:rsid w:val="004F6488"/>
    <w:rsid w:val="00500B28"/>
    <w:rsid w:val="00500B93"/>
    <w:rsid w:val="00501B5B"/>
    <w:rsid w:val="00502CB0"/>
    <w:rsid w:val="00505676"/>
    <w:rsid w:val="00506C59"/>
    <w:rsid w:val="005070EC"/>
    <w:rsid w:val="00507231"/>
    <w:rsid w:val="00510EE2"/>
    <w:rsid w:val="00515060"/>
    <w:rsid w:val="005155A5"/>
    <w:rsid w:val="005157C1"/>
    <w:rsid w:val="00515F45"/>
    <w:rsid w:val="00521084"/>
    <w:rsid w:val="005210E5"/>
    <w:rsid w:val="005223A3"/>
    <w:rsid w:val="00522F4B"/>
    <w:rsid w:val="005238CA"/>
    <w:rsid w:val="005256F1"/>
    <w:rsid w:val="0052680C"/>
    <w:rsid w:val="00527258"/>
    <w:rsid w:val="00531829"/>
    <w:rsid w:val="00532716"/>
    <w:rsid w:val="00537908"/>
    <w:rsid w:val="005406A7"/>
    <w:rsid w:val="005417E7"/>
    <w:rsid w:val="00541B51"/>
    <w:rsid w:val="005424FA"/>
    <w:rsid w:val="005465B8"/>
    <w:rsid w:val="00546A13"/>
    <w:rsid w:val="00550E78"/>
    <w:rsid w:val="00551F0B"/>
    <w:rsid w:val="005605C4"/>
    <w:rsid w:val="00560D0F"/>
    <w:rsid w:val="0056121D"/>
    <w:rsid w:val="00561CCF"/>
    <w:rsid w:val="00562411"/>
    <w:rsid w:val="005649B5"/>
    <w:rsid w:val="005658A8"/>
    <w:rsid w:val="00567C58"/>
    <w:rsid w:val="00571BD7"/>
    <w:rsid w:val="00571F68"/>
    <w:rsid w:val="005724EF"/>
    <w:rsid w:val="005756B4"/>
    <w:rsid w:val="00580A4F"/>
    <w:rsid w:val="00580EDE"/>
    <w:rsid w:val="005816F0"/>
    <w:rsid w:val="00582B48"/>
    <w:rsid w:val="00584906"/>
    <w:rsid w:val="005901B6"/>
    <w:rsid w:val="0059437E"/>
    <w:rsid w:val="0059641E"/>
    <w:rsid w:val="005A2160"/>
    <w:rsid w:val="005A291A"/>
    <w:rsid w:val="005A35D7"/>
    <w:rsid w:val="005A53EF"/>
    <w:rsid w:val="005A5931"/>
    <w:rsid w:val="005A7A0E"/>
    <w:rsid w:val="005A7DC8"/>
    <w:rsid w:val="005B3622"/>
    <w:rsid w:val="005B3B02"/>
    <w:rsid w:val="005B5259"/>
    <w:rsid w:val="005B5BDD"/>
    <w:rsid w:val="005B7C8C"/>
    <w:rsid w:val="005C2DED"/>
    <w:rsid w:val="005C3A37"/>
    <w:rsid w:val="005C66D2"/>
    <w:rsid w:val="005C681F"/>
    <w:rsid w:val="005D06AA"/>
    <w:rsid w:val="005D39A9"/>
    <w:rsid w:val="005D5B28"/>
    <w:rsid w:val="005D5FD4"/>
    <w:rsid w:val="005E59AD"/>
    <w:rsid w:val="005E714F"/>
    <w:rsid w:val="005E75AB"/>
    <w:rsid w:val="005E77C8"/>
    <w:rsid w:val="005E7C4A"/>
    <w:rsid w:val="005E7F16"/>
    <w:rsid w:val="005F0F99"/>
    <w:rsid w:val="005F11BE"/>
    <w:rsid w:val="005F21FA"/>
    <w:rsid w:val="005F436C"/>
    <w:rsid w:val="005F7820"/>
    <w:rsid w:val="006004AF"/>
    <w:rsid w:val="00600540"/>
    <w:rsid w:val="00600EDB"/>
    <w:rsid w:val="006023AF"/>
    <w:rsid w:val="00603759"/>
    <w:rsid w:val="00604BB1"/>
    <w:rsid w:val="00605804"/>
    <w:rsid w:val="006067AA"/>
    <w:rsid w:val="00606809"/>
    <w:rsid w:val="00606C31"/>
    <w:rsid w:val="00606E92"/>
    <w:rsid w:val="00610966"/>
    <w:rsid w:val="00610B18"/>
    <w:rsid w:val="006117DA"/>
    <w:rsid w:val="00612E38"/>
    <w:rsid w:val="0061315C"/>
    <w:rsid w:val="006140DB"/>
    <w:rsid w:val="0061420C"/>
    <w:rsid w:val="00616BE8"/>
    <w:rsid w:val="00617AB6"/>
    <w:rsid w:val="006211BB"/>
    <w:rsid w:val="006229C1"/>
    <w:rsid w:val="00623337"/>
    <w:rsid w:val="00624235"/>
    <w:rsid w:val="006248D6"/>
    <w:rsid w:val="00624B33"/>
    <w:rsid w:val="00624ED3"/>
    <w:rsid w:val="00624FB4"/>
    <w:rsid w:val="00627C32"/>
    <w:rsid w:val="006307B1"/>
    <w:rsid w:val="006327EA"/>
    <w:rsid w:val="00633583"/>
    <w:rsid w:val="00635A60"/>
    <w:rsid w:val="00635C8A"/>
    <w:rsid w:val="00635F8A"/>
    <w:rsid w:val="00635FAC"/>
    <w:rsid w:val="006364B1"/>
    <w:rsid w:val="00641059"/>
    <w:rsid w:val="00641A7C"/>
    <w:rsid w:val="006429B6"/>
    <w:rsid w:val="00643C7B"/>
    <w:rsid w:val="00643F1D"/>
    <w:rsid w:val="00645CE1"/>
    <w:rsid w:val="006537F4"/>
    <w:rsid w:val="0065491A"/>
    <w:rsid w:val="00656794"/>
    <w:rsid w:val="00656E63"/>
    <w:rsid w:val="0066084A"/>
    <w:rsid w:val="00663136"/>
    <w:rsid w:val="00663587"/>
    <w:rsid w:val="00666FCE"/>
    <w:rsid w:val="0066745D"/>
    <w:rsid w:val="00667A1C"/>
    <w:rsid w:val="00671A33"/>
    <w:rsid w:val="0067363A"/>
    <w:rsid w:val="00673959"/>
    <w:rsid w:val="0067486B"/>
    <w:rsid w:val="0067653B"/>
    <w:rsid w:val="0067674B"/>
    <w:rsid w:val="00676A55"/>
    <w:rsid w:val="006778D2"/>
    <w:rsid w:val="00680A30"/>
    <w:rsid w:val="006810B3"/>
    <w:rsid w:val="0068135D"/>
    <w:rsid w:val="00682018"/>
    <w:rsid w:val="00682ABA"/>
    <w:rsid w:val="006834EB"/>
    <w:rsid w:val="00686675"/>
    <w:rsid w:val="006873F3"/>
    <w:rsid w:val="006878E6"/>
    <w:rsid w:val="006910BF"/>
    <w:rsid w:val="00691773"/>
    <w:rsid w:val="00691C9B"/>
    <w:rsid w:val="00692683"/>
    <w:rsid w:val="00693B20"/>
    <w:rsid w:val="00696351"/>
    <w:rsid w:val="0069780D"/>
    <w:rsid w:val="00697A77"/>
    <w:rsid w:val="00697E09"/>
    <w:rsid w:val="006A0BD4"/>
    <w:rsid w:val="006A0F07"/>
    <w:rsid w:val="006A3A70"/>
    <w:rsid w:val="006A713A"/>
    <w:rsid w:val="006A746D"/>
    <w:rsid w:val="006B0909"/>
    <w:rsid w:val="006B1325"/>
    <w:rsid w:val="006B7E8B"/>
    <w:rsid w:val="006C4F94"/>
    <w:rsid w:val="006C5632"/>
    <w:rsid w:val="006C598E"/>
    <w:rsid w:val="006C6D0D"/>
    <w:rsid w:val="006D16F9"/>
    <w:rsid w:val="006D4474"/>
    <w:rsid w:val="006D71DA"/>
    <w:rsid w:val="006D7D7E"/>
    <w:rsid w:val="006E0242"/>
    <w:rsid w:val="006E0761"/>
    <w:rsid w:val="006E1560"/>
    <w:rsid w:val="006E35BF"/>
    <w:rsid w:val="006E401D"/>
    <w:rsid w:val="006E6A25"/>
    <w:rsid w:val="006E73B9"/>
    <w:rsid w:val="006E790F"/>
    <w:rsid w:val="006F1A7A"/>
    <w:rsid w:val="006F27CA"/>
    <w:rsid w:val="006F3A95"/>
    <w:rsid w:val="006F5F07"/>
    <w:rsid w:val="006F6ECA"/>
    <w:rsid w:val="007008BA"/>
    <w:rsid w:val="007037E4"/>
    <w:rsid w:val="00703A6D"/>
    <w:rsid w:val="00703D83"/>
    <w:rsid w:val="007051BC"/>
    <w:rsid w:val="0070522C"/>
    <w:rsid w:val="0071243B"/>
    <w:rsid w:val="0071283F"/>
    <w:rsid w:val="007130B9"/>
    <w:rsid w:val="007133E2"/>
    <w:rsid w:val="0072169C"/>
    <w:rsid w:val="00723AB1"/>
    <w:rsid w:val="007247AC"/>
    <w:rsid w:val="00725994"/>
    <w:rsid w:val="007278CC"/>
    <w:rsid w:val="007311C3"/>
    <w:rsid w:val="007319F3"/>
    <w:rsid w:val="007336B6"/>
    <w:rsid w:val="00733D57"/>
    <w:rsid w:val="007342E6"/>
    <w:rsid w:val="00734602"/>
    <w:rsid w:val="0073468B"/>
    <w:rsid w:val="007358C2"/>
    <w:rsid w:val="00741B52"/>
    <w:rsid w:val="00741BBB"/>
    <w:rsid w:val="00742E5E"/>
    <w:rsid w:val="00744137"/>
    <w:rsid w:val="00744759"/>
    <w:rsid w:val="00744838"/>
    <w:rsid w:val="00745660"/>
    <w:rsid w:val="00751DE6"/>
    <w:rsid w:val="00752333"/>
    <w:rsid w:val="00753B18"/>
    <w:rsid w:val="00753B44"/>
    <w:rsid w:val="00754A79"/>
    <w:rsid w:val="007564B4"/>
    <w:rsid w:val="007568B2"/>
    <w:rsid w:val="007714FA"/>
    <w:rsid w:val="007729A0"/>
    <w:rsid w:val="007777E0"/>
    <w:rsid w:val="0078135E"/>
    <w:rsid w:val="007818F8"/>
    <w:rsid w:val="00781CBF"/>
    <w:rsid w:val="00781EDD"/>
    <w:rsid w:val="00782331"/>
    <w:rsid w:val="00782363"/>
    <w:rsid w:val="00783151"/>
    <w:rsid w:val="0078322B"/>
    <w:rsid w:val="007837A7"/>
    <w:rsid w:val="007843B4"/>
    <w:rsid w:val="0078653D"/>
    <w:rsid w:val="00787710"/>
    <w:rsid w:val="0078773C"/>
    <w:rsid w:val="00787B09"/>
    <w:rsid w:val="0079066E"/>
    <w:rsid w:val="0079152F"/>
    <w:rsid w:val="00792E95"/>
    <w:rsid w:val="0079301F"/>
    <w:rsid w:val="0079302B"/>
    <w:rsid w:val="00794BBA"/>
    <w:rsid w:val="00795869"/>
    <w:rsid w:val="00796EFD"/>
    <w:rsid w:val="007A0CB3"/>
    <w:rsid w:val="007A1236"/>
    <w:rsid w:val="007A13C4"/>
    <w:rsid w:val="007A2224"/>
    <w:rsid w:val="007A50C3"/>
    <w:rsid w:val="007A6255"/>
    <w:rsid w:val="007A63FB"/>
    <w:rsid w:val="007A6D68"/>
    <w:rsid w:val="007B0C27"/>
    <w:rsid w:val="007B1ECC"/>
    <w:rsid w:val="007B3F39"/>
    <w:rsid w:val="007B4246"/>
    <w:rsid w:val="007B453E"/>
    <w:rsid w:val="007B469D"/>
    <w:rsid w:val="007C0215"/>
    <w:rsid w:val="007C0C4C"/>
    <w:rsid w:val="007C16BC"/>
    <w:rsid w:val="007C170E"/>
    <w:rsid w:val="007C25CB"/>
    <w:rsid w:val="007C324F"/>
    <w:rsid w:val="007C558F"/>
    <w:rsid w:val="007C6C26"/>
    <w:rsid w:val="007C6D76"/>
    <w:rsid w:val="007C70B7"/>
    <w:rsid w:val="007C7ECE"/>
    <w:rsid w:val="007D0547"/>
    <w:rsid w:val="007D11FD"/>
    <w:rsid w:val="007D2024"/>
    <w:rsid w:val="007D4F6A"/>
    <w:rsid w:val="007D5587"/>
    <w:rsid w:val="007E0CAA"/>
    <w:rsid w:val="007E4711"/>
    <w:rsid w:val="007E4B4A"/>
    <w:rsid w:val="007E7566"/>
    <w:rsid w:val="007F2739"/>
    <w:rsid w:val="007F328A"/>
    <w:rsid w:val="007F62A4"/>
    <w:rsid w:val="008000D9"/>
    <w:rsid w:val="00800152"/>
    <w:rsid w:val="008015B9"/>
    <w:rsid w:val="00801B21"/>
    <w:rsid w:val="0080508C"/>
    <w:rsid w:val="00805F15"/>
    <w:rsid w:val="008069B2"/>
    <w:rsid w:val="00810101"/>
    <w:rsid w:val="00811F6B"/>
    <w:rsid w:val="008150B4"/>
    <w:rsid w:val="00816B94"/>
    <w:rsid w:val="00817D9D"/>
    <w:rsid w:val="0082012D"/>
    <w:rsid w:val="00821DDC"/>
    <w:rsid w:val="00824B27"/>
    <w:rsid w:val="008263B0"/>
    <w:rsid w:val="008265F9"/>
    <w:rsid w:val="00831C1D"/>
    <w:rsid w:val="00831FF1"/>
    <w:rsid w:val="0083348F"/>
    <w:rsid w:val="00833DB3"/>
    <w:rsid w:val="00834841"/>
    <w:rsid w:val="00834DBA"/>
    <w:rsid w:val="008377D7"/>
    <w:rsid w:val="0084080B"/>
    <w:rsid w:val="00840948"/>
    <w:rsid w:val="008411FF"/>
    <w:rsid w:val="00842584"/>
    <w:rsid w:val="00843B44"/>
    <w:rsid w:val="0085198A"/>
    <w:rsid w:val="00854150"/>
    <w:rsid w:val="00854539"/>
    <w:rsid w:val="008558C0"/>
    <w:rsid w:val="008562A4"/>
    <w:rsid w:val="00856E51"/>
    <w:rsid w:val="00857AD2"/>
    <w:rsid w:val="00861FC3"/>
    <w:rsid w:val="00863007"/>
    <w:rsid w:val="00864A0C"/>
    <w:rsid w:val="00867860"/>
    <w:rsid w:val="00867A6A"/>
    <w:rsid w:val="008710DE"/>
    <w:rsid w:val="00873C20"/>
    <w:rsid w:val="00873DD4"/>
    <w:rsid w:val="0087573D"/>
    <w:rsid w:val="008762AD"/>
    <w:rsid w:val="00877369"/>
    <w:rsid w:val="00880265"/>
    <w:rsid w:val="00880FEF"/>
    <w:rsid w:val="0088467D"/>
    <w:rsid w:val="00884AE4"/>
    <w:rsid w:val="00885A91"/>
    <w:rsid w:val="008862CB"/>
    <w:rsid w:val="00887427"/>
    <w:rsid w:val="00887E43"/>
    <w:rsid w:val="008919F8"/>
    <w:rsid w:val="00893A74"/>
    <w:rsid w:val="00893F2E"/>
    <w:rsid w:val="008948BC"/>
    <w:rsid w:val="00895A99"/>
    <w:rsid w:val="008A2713"/>
    <w:rsid w:val="008A72EC"/>
    <w:rsid w:val="008B0374"/>
    <w:rsid w:val="008B0DB2"/>
    <w:rsid w:val="008B16BD"/>
    <w:rsid w:val="008B44FA"/>
    <w:rsid w:val="008C0FCF"/>
    <w:rsid w:val="008C246F"/>
    <w:rsid w:val="008C290D"/>
    <w:rsid w:val="008C29FF"/>
    <w:rsid w:val="008C4111"/>
    <w:rsid w:val="008C554F"/>
    <w:rsid w:val="008C6F15"/>
    <w:rsid w:val="008D336E"/>
    <w:rsid w:val="008D3401"/>
    <w:rsid w:val="008D3ED0"/>
    <w:rsid w:val="008D48F1"/>
    <w:rsid w:val="008D4DDF"/>
    <w:rsid w:val="008D5219"/>
    <w:rsid w:val="008D5422"/>
    <w:rsid w:val="008D7430"/>
    <w:rsid w:val="008E00EA"/>
    <w:rsid w:val="008E22EA"/>
    <w:rsid w:val="008E2DD1"/>
    <w:rsid w:val="008E2F1B"/>
    <w:rsid w:val="008E55F3"/>
    <w:rsid w:val="008E68AB"/>
    <w:rsid w:val="008E6F1B"/>
    <w:rsid w:val="008F01B6"/>
    <w:rsid w:val="008F0EC7"/>
    <w:rsid w:val="008F21D4"/>
    <w:rsid w:val="008F273F"/>
    <w:rsid w:val="008F4283"/>
    <w:rsid w:val="008F4404"/>
    <w:rsid w:val="008F47ED"/>
    <w:rsid w:val="008F4F56"/>
    <w:rsid w:val="008F674B"/>
    <w:rsid w:val="008F7377"/>
    <w:rsid w:val="008F7DD3"/>
    <w:rsid w:val="00901974"/>
    <w:rsid w:val="0091170D"/>
    <w:rsid w:val="00911B82"/>
    <w:rsid w:val="009120CA"/>
    <w:rsid w:val="0091457F"/>
    <w:rsid w:val="00916685"/>
    <w:rsid w:val="00917103"/>
    <w:rsid w:val="0091760B"/>
    <w:rsid w:val="00921DCC"/>
    <w:rsid w:val="00924E18"/>
    <w:rsid w:val="00932F3A"/>
    <w:rsid w:val="0093320D"/>
    <w:rsid w:val="00934C40"/>
    <w:rsid w:val="009354FF"/>
    <w:rsid w:val="00935ACF"/>
    <w:rsid w:val="00937666"/>
    <w:rsid w:val="00940B39"/>
    <w:rsid w:val="00943BD7"/>
    <w:rsid w:val="00945EB9"/>
    <w:rsid w:val="009471F4"/>
    <w:rsid w:val="009557DD"/>
    <w:rsid w:val="009562AB"/>
    <w:rsid w:val="00957BDF"/>
    <w:rsid w:val="009605B4"/>
    <w:rsid w:val="00960F10"/>
    <w:rsid w:val="00961354"/>
    <w:rsid w:val="00961CE6"/>
    <w:rsid w:val="0096248D"/>
    <w:rsid w:val="00962A55"/>
    <w:rsid w:val="009700E0"/>
    <w:rsid w:val="009709BB"/>
    <w:rsid w:val="00972AB0"/>
    <w:rsid w:val="0097368D"/>
    <w:rsid w:val="00973CE6"/>
    <w:rsid w:val="00974F18"/>
    <w:rsid w:val="0097716A"/>
    <w:rsid w:val="0098265D"/>
    <w:rsid w:val="009831DE"/>
    <w:rsid w:val="009832F7"/>
    <w:rsid w:val="009853D5"/>
    <w:rsid w:val="00986096"/>
    <w:rsid w:val="00987DD6"/>
    <w:rsid w:val="00990C35"/>
    <w:rsid w:val="0099157A"/>
    <w:rsid w:val="0099293F"/>
    <w:rsid w:val="0099377D"/>
    <w:rsid w:val="00994850"/>
    <w:rsid w:val="009968E9"/>
    <w:rsid w:val="00997DBD"/>
    <w:rsid w:val="00997FE6"/>
    <w:rsid w:val="009A0EFE"/>
    <w:rsid w:val="009A24BC"/>
    <w:rsid w:val="009A514D"/>
    <w:rsid w:val="009A5863"/>
    <w:rsid w:val="009A5EEA"/>
    <w:rsid w:val="009B058B"/>
    <w:rsid w:val="009B0B5F"/>
    <w:rsid w:val="009B319B"/>
    <w:rsid w:val="009B6CBD"/>
    <w:rsid w:val="009B6E6A"/>
    <w:rsid w:val="009B7535"/>
    <w:rsid w:val="009C18B6"/>
    <w:rsid w:val="009C248A"/>
    <w:rsid w:val="009C5519"/>
    <w:rsid w:val="009D6251"/>
    <w:rsid w:val="009D7152"/>
    <w:rsid w:val="009E07DE"/>
    <w:rsid w:val="009E1336"/>
    <w:rsid w:val="009E251C"/>
    <w:rsid w:val="009E3D7E"/>
    <w:rsid w:val="009E7706"/>
    <w:rsid w:val="009F0C2B"/>
    <w:rsid w:val="009F10C0"/>
    <w:rsid w:val="009F4C4D"/>
    <w:rsid w:val="009F60E7"/>
    <w:rsid w:val="009F653C"/>
    <w:rsid w:val="00A03A46"/>
    <w:rsid w:val="00A0517B"/>
    <w:rsid w:val="00A05DE7"/>
    <w:rsid w:val="00A06912"/>
    <w:rsid w:val="00A07859"/>
    <w:rsid w:val="00A07AA7"/>
    <w:rsid w:val="00A10384"/>
    <w:rsid w:val="00A1041A"/>
    <w:rsid w:val="00A1253E"/>
    <w:rsid w:val="00A14BEE"/>
    <w:rsid w:val="00A15337"/>
    <w:rsid w:val="00A1561F"/>
    <w:rsid w:val="00A17C0D"/>
    <w:rsid w:val="00A23610"/>
    <w:rsid w:val="00A244DA"/>
    <w:rsid w:val="00A269BE"/>
    <w:rsid w:val="00A347D8"/>
    <w:rsid w:val="00A35738"/>
    <w:rsid w:val="00A37E2B"/>
    <w:rsid w:val="00A41BBD"/>
    <w:rsid w:val="00A4279F"/>
    <w:rsid w:val="00A42DB0"/>
    <w:rsid w:val="00A44626"/>
    <w:rsid w:val="00A4494B"/>
    <w:rsid w:val="00A45C8C"/>
    <w:rsid w:val="00A46960"/>
    <w:rsid w:val="00A46996"/>
    <w:rsid w:val="00A47056"/>
    <w:rsid w:val="00A5342E"/>
    <w:rsid w:val="00A605F6"/>
    <w:rsid w:val="00A62407"/>
    <w:rsid w:val="00A63B97"/>
    <w:rsid w:val="00A64398"/>
    <w:rsid w:val="00A656DF"/>
    <w:rsid w:val="00A667FA"/>
    <w:rsid w:val="00A71028"/>
    <w:rsid w:val="00A731AC"/>
    <w:rsid w:val="00A774A2"/>
    <w:rsid w:val="00A82EC6"/>
    <w:rsid w:val="00A8465C"/>
    <w:rsid w:val="00A8521C"/>
    <w:rsid w:val="00A865ED"/>
    <w:rsid w:val="00A87F15"/>
    <w:rsid w:val="00A90E00"/>
    <w:rsid w:val="00A922CA"/>
    <w:rsid w:val="00A92A6A"/>
    <w:rsid w:val="00A93C7F"/>
    <w:rsid w:val="00A950E1"/>
    <w:rsid w:val="00AA15FA"/>
    <w:rsid w:val="00AA2E22"/>
    <w:rsid w:val="00AA4EAD"/>
    <w:rsid w:val="00AA57B5"/>
    <w:rsid w:val="00AA6F79"/>
    <w:rsid w:val="00AA71ED"/>
    <w:rsid w:val="00AA759A"/>
    <w:rsid w:val="00AA76BA"/>
    <w:rsid w:val="00AA7D87"/>
    <w:rsid w:val="00AB2712"/>
    <w:rsid w:val="00AB3054"/>
    <w:rsid w:val="00AB4F57"/>
    <w:rsid w:val="00AB5E88"/>
    <w:rsid w:val="00AB7515"/>
    <w:rsid w:val="00AB7D8E"/>
    <w:rsid w:val="00AC0A71"/>
    <w:rsid w:val="00AC0AA4"/>
    <w:rsid w:val="00AC2AFF"/>
    <w:rsid w:val="00AC4800"/>
    <w:rsid w:val="00AC5514"/>
    <w:rsid w:val="00AC5AC2"/>
    <w:rsid w:val="00AD1F0F"/>
    <w:rsid w:val="00AD2D16"/>
    <w:rsid w:val="00AD3B53"/>
    <w:rsid w:val="00AD3CF9"/>
    <w:rsid w:val="00AD4C56"/>
    <w:rsid w:val="00AD5DDF"/>
    <w:rsid w:val="00AD63E2"/>
    <w:rsid w:val="00AE0902"/>
    <w:rsid w:val="00AE3076"/>
    <w:rsid w:val="00AE5870"/>
    <w:rsid w:val="00AF1526"/>
    <w:rsid w:val="00AF21FC"/>
    <w:rsid w:val="00AF40E9"/>
    <w:rsid w:val="00AF5A82"/>
    <w:rsid w:val="00AF5CD5"/>
    <w:rsid w:val="00AF7211"/>
    <w:rsid w:val="00AF77DD"/>
    <w:rsid w:val="00B03548"/>
    <w:rsid w:val="00B04D8F"/>
    <w:rsid w:val="00B1024D"/>
    <w:rsid w:val="00B1137A"/>
    <w:rsid w:val="00B11486"/>
    <w:rsid w:val="00B152EC"/>
    <w:rsid w:val="00B21462"/>
    <w:rsid w:val="00B2231B"/>
    <w:rsid w:val="00B23458"/>
    <w:rsid w:val="00B2397E"/>
    <w:rsid w:val="00B23AD2"/>
    <w:rsid w:val="00B25011"/>
    <w:rsid w:val="00B27222"/>
    <w:rsid w:val="00B3006F"/>
    <w:rsid w:val="00B307F0"/>
    <w:rsid w:val="00B316A4"/>
    <w:rsid w:val="00B31D34"/>
    <w:rsid w:val="00B3284D"/>
    <w:rsid w:val="00B34097"/>
    <w:rsid w:val="00B35495"/>
    <w:rsid w:val="00B36589"/>
    <w:rsid w:val="00B4038D"/>
    <w:rsid w:val="00B41F76"/>
    <w:rsid w:val="00B45DF5"/>
    <w:rsid w:val="00B46E32"/>
    <w:rsid w:val="00B476A1"/>
    <w:rsid w:val="00B5098F"/>
    <w:rsid w:val="00B5111F"/>
    <w:rsid w:val="00B531AA"/>
    <w:rsid w:val="00B5369C"/>
    <w:rsid w:val="00B5450E"/>
    <w:rsid w:val="00B54899"/>
    <w:rsid w:val="00B54C1F"/>
    <w:rsid w:val="00B5518B"/>
    <w:rsid w:val="00B562D0"/>
    <w:rsid w:val="00B564AC"/>
    <w:rsid w:val="00B5681A"/>
    <w:rsid w:val="00B57A10"/>
    <w:rsid w:val="00B61FA6"/>
    <w:rsid w:val="00B62275"/>
    <w:rsid w:val="00B6386F"/>
    <w:rsid w:val="00B64184"/>
    <w:rsid w:val="00B6480C"/>
    <w:rsid w:val="00B64C4E"/>
    <w:rsid w:val="00B65850"/>
    <w:rsid w:val="00B729B0"/>
    <w:rsid w:val="00B73063"/>
    <w:rsid w:val="00B75164"/>
    <w:rsid w:val="00B81500"/>
    <w:rsid w:val="00B8289F"/>
    <w:rsid w:val="00B836F3"/>
    <w:rsid w:val="00B84A37"/>
    <w:rsid w:val="00B85F46"/>
    <w:rsid w:val="00B86AC1"/>
    <w:rsid w:val="00B86EFC"/>
    <w:rsid w:val="00B91989"/>
    <w:rsid w:val="00B9205A"/>
    <w:rsid w:val="00B925EF"/>
    <w:rsid w:val="00B92A94"/>
    <w:rsid w:val="00B93203"/>
    <w:rsid w:val="00B93AB5"/>
    <w:rsid w:val="00B93B46"/>
    <w:rsid w:val="00B947B1"/>
    <w:rsid w:val="00B9481C"/>
    <w:rsid w:val="00B949D2"/>
    <w:rsid w:val="00B9674A"/>
    <w:rsid w:val="00BA5043"/>
    <w:rsid w:val="00BA5FAC"/>
    <w:rsid w:val="00BA67DC"/>
    <w:rsid w:val="00BA6AB8"/>
    <w:rsid w:val="00BB0EAA"/>
    <w:rsid w:val="00BB36DA"/>
    <w:rsid w:val="00BB466C"/>
    <w:rsid w:val="00BB5B0E"/>
    <w:rsid w:val="00BB6F64"/>
    <w:rsid w:val="00BB7888"/>
    <w:rsid w:val="00BC0EB5"/>
    <w:rsid w:val="00BC113B"/>
    <w:rsid w:val="00BC37D2"/>
    <w:rsid w:val="00BC43F6"/>
    <w:rsid w:val="00BC746D"/>
    <w:rsid w:val="00BD236E"/>
    <w:rsid w:val="00BD3BBD"/>
    <w:rsid w:val="00BD4AC4"/>
    <w:rsid w:val="00BD6739"/>
    <w:rsid w:val="00BD68F8"/>
    <w:rsid w:val="00BE0599"/>
    <w:rsid w:val="00BE2370"/>
    <w:rsid w:val="00BE5AEA"/>
    <w:rsid w:val="00BF0BCA"/>
    <w:rsid w:val="00BF10C8"/>
    <w:rsid w:val="00BF135A"/>
    <w:rsid w:val="00BF25EF"/>
    <w:rsid w:val="00BF691B"/>
    <w:rsid w:val="00BF736C"/>
    <w:rsid w:val="00C003E9"/>
    <w:rsid w:val="00C01B2B"/>
    <w:rsid w:val="00C02319"/>
    <w:rsid w:val="00C02803"/>
    <w:rsid w:val="00C038C5"/>
    <w:rsid w:val="00C03A21"/>
    <w:rsid w:val="00C057D2"/>
    <w:rsid w:val="00C101E9"/>
    <w:rsid w:val="00C1034A"/>
    <w:rsid w:val="00C12388"/>
    <w:rsid w:val="00C15A68"/>
    <w:rsid w:val="00C1755E"/>
    <w:rsid w:val="00C17DBC"/>
    <w:rsid w:val="00C20CE0"/>
    <w:rsid w:val="00C2179D"/>
    <w:rsid w:val="00C23727"/>
    <w:rsid w:val="00C2459E"/>
    <w:rsid w:val="00C24EB9"/>
    <w:rsid w:val="00C256E5"/>
    <w:rsid w:val="00C257B4"/>
    <w:rsid w:val="00C261DE"/>
    <w:rsid w:val="00C27096"/>
    <w:rsid w:val="00C2765B"/>
    <w:rsid w:val="00C3161C"/>
    <w:rsid w:val="00C31AB3"/>
    <w:rsid w:val="00C320A8"/>
    <w:rsid w:val="00C3303A"/>
    <w:rsid w:val="00C36AE6"/>
    <w:rsid w:val="00C36E72"/>
    <w:rsid w:val="00C4075F"/>
    <w:rsid w:val="00C471CA"/>
    <w:rsid w:val="00C477B1"/>
    <w:rsid w:val="00C50B46"/>
    <w:rsid w:val="00C51C03"/>
    <w:rsid w:val="00C51F30"/>
    <w:rsid w:val="00C55D50"/>
    <w:rsid w:val="00C56FC4"/>
    <w:rsid w:val="00C60CDE"/>
    <w:rsid w:val="00C61F90"/>
    <w:rsid w:val="00C62A7F"/>
    <w:rsid w:val="00C63C42"/>
    <w:rsid w:val="00C64205"/>
    <w:rsid w:val="00C642AC"/>
    <w:rsid w:val="00C66655"/>
    <w:rsid w:val="00C678AB"/>
    <w:rsid w:val="00C72584"/>
    <w:rsid w:val="00C731FE"/>
    <w:rsid w:val="00C7531E"/>
    <w:rsid w:val="00C76522"/>
    <w:rsid w:val="00C77DA6"/>
    <w:rsid w:val="00C77F73"/>
    <w:rsid w:val="00C80022"/>
    <w:rsid w:val="00C816FC"/>
    <w:rsid w:val="00C8366A"/>
    <w:rsid w:val="00C90CA4"/>
    <w:rsid w:val="00C91C98"/>
    <w:rsid w:val="00C93AF8"/>
    <w:rsid w:val="00C96A0C"/>
    <w:rsid w:val="00C975AC"/>
    <w:rsid w:val="00CA2565"/>
    <w:rsid w:val="00CA30AF"/>
    <w:rsid w:val="00CA5043"/>
    <w:rsid w:val="00CA50DC"/>
    <w:rsid w:val="00CA5101"/>
    <w:rsid w:val="00CA71DD"/>
    <w:rsid w:val="00CA7B38"/>
    <w:rsid w:val="00CA7DB6"/>
    <w:rsid w:val="00CB146A"/>
    <w:rsid w:val="00CB3168"/>
    <w:rsid w:val="00CB4CD9"/>
    <w:rsid w:val="00CB4E47"/>
    <w:rsid w:val="00CB55F1"/>
    <w:rsid w:val="00CB6E88"/>
    <w:rsid w:val="00CB7C22"/>
    <w:rsid w:val="00CB7C5A"/>
    <w:rsid w:val="00CC052D"/>
    <w:rsid w:val="00CC0D73"/>
    <w:rsid w:val="00CC2B81"/>
    <w:rsid w:val="00CC3617"/>
    <w:rsid w:val="00CC36D5"/>
    <w:rsid w:val="00CC3959"/>
    <w:rsid w:val="00CC4352"/>
    <w:rsid w:val="00CC566E"/>
    <w:rsid w:val="00CC58DF"/>
    <w:rsid w:val="00CC6BCE"/>
    <w:rsid w:val="00CD18D1"/>
    <w:rsid w:val="00CD1A56"/>
    <w:rsid w:val="00CD22A4"/>
    <w:rsid w:val="00CD31E2"/>
    <w:rsid w:val="00CD5156"/>
    <w:rsid w:val="00CD705D"/>
    <w:rsid w:val="00CE17EA"/>
    <w:rsid w:val="00CE1BB5"/>
    <w:rsid w:val="00CE1F51"/>
    <w:rsid w:val="00CE2B6C"/>
    <w:rsid w:val="00CE5146"/>
    <w:rsid w:val="00CE69D2"/>
    <w:rsid w:val="00CF1097"/>
    <w:rsid w:val="00CF14DF"/>
    <w:rsid w:val="00CF199F"/>
    <w:rsid w:val="00CF50E5"/>
    <w:rsid w:val="00CF52E8"/>
    <w:rsid w:val="00CF61AD"/>
    <w:rsid w:val="00CF7873"/>
    <w:rsid w:val="00D00119"/>
    <w:rsid w:val="00D0052D"/>
    <w:rsid w:val="00D006FE"/>
    <w:rsid w:val="00D00FC4"/>
    <w:rsid w:val="00D01B69"/>
    <w:rsid w:val="00D03B9F"/>
    <w:rsid w:val="00D040C9"/>
    <w:rsid w:val="00D05A5A"/>
    <w:rsid w:val="00D074F1"/>
    <w:rsid w:val="00D118E1"/>
    <w:rsid w:val="00D14583"/>
    <w:rsid w:val="00D158D7"/>
    <w:rsid w:val="00D15BB7"/>
    <w:rsid w:val="00D16EC7"/>
    <w:rsid w:val="00D22057"/>
    <w:rsid w:val="00D24106"/>
    <w:rsid w:val="00D249EE"/>
    <w:rsid w:val="00D24CBC"/>
    <w:rsid w:val="00D258A6"/>
    <w:rsid w:val="00D26235"/>
    <w:rsid w:val="00D26F5B"/>
    <w:rsid w:val="00D27048"/>
    <w:rsid w:val="00D27DCD"/>
    <w:rsid w:val="00D31259"/>
    <w:rsid w:val="00D3211F"/>
    <w:rsid w:val="00D32F54"/>
    <w:rsid w:val="00D34059"/>
    <w:rsid w:val="00D36DA4"/>
    <w:rsid w:val="00D37B8B"/>
    <w:rsid w:val="00D37E0D"/>
    <w:rsid w:val="00D41047"/>
    <w:rsid w:val="00D42E3E"/>
    <w:rsid w:val="00D52686"/>
    <w:rsid w:val="00D53FCB"/>
    <w:rsid w:val="00D57848"/>
    <w:rsid w:val="00D61C46"/>
    <w:rsid w:val="00D6264B"/>
    <w:rsid w:val="00D637D6"/>
    <w:rsid w:val="00D65CB2"/>
    <w:rsid w:val="00D673B2"/>
    <w:rsid w:val="00D70CD4"/>
    <w:rsid w:val="00D7125E"/>
    <w:rsid w:val="00D71707"/>
    <w:rsid w:val="00D741F8"/>
    <w:rsid w:val="00D74D0B"/>
    <w:rsid w:val="00D74D46"/>
    <w:rsid w:val="00D75ED1"/>
    <w:rsid w:val="00D76834"/>
    <w:rsid w:val="00D80EEC"/>
    <w:rsid w:val="00D8185F"/>
    <w:rsid w:val="00D82816"/>
    <w:rsid w:val="00D91FCA"/>
    <w:rsid w:val="00D922D1"/>
    <w:rsid w:val="00D92E45"/>
    <w:rsid w:val="00D9338F"/>
    <w:rsid w:val="00D93457"/>
    <w:rsid w:val="00D93B86"/>
    <w:rsid w:val="00D94A82"/>
    <w:rsid w:val="00D9751F"/>
    <w:rsid w:val="00DA595A"/>
    <w:rsid w:val="00DA62F7"/>
    <w:rsid w:val="00DA696F"/>
    <w:rsid w:val="00DB03F4"/>
    <w:rsid w:val="00DB11CD"/>
    <w:rsid w:val="00DB2582"/>
    <w:rsid w:val="00DB5F2E"/>
    <w:rsid w:val="00DC30EE"/>
    <w:rsid w:val="00DC4D1E"/>
    <w:rsid w:val="00DC4D91"/>
    <w:rsid w:val="00DC4EFE"/>
    <w:rsid w:val="00DC672B"/>
    <w:rsid w:val="00DC67FB"/>
    <w:rsid w:val="00DC7907"/>
    <w:rsid w:val="00DD0D9C"/>
    <w:rsid w:val="00DD3620"/>
    <w:rsid w:val="00DD3E8D"/>
    <w:rsid w:val="00DD49C6"/>
    <w:rsid w:val="00DD5E11"/>
    <w:rsid w:val="00DD64B9"/>
    <w:rsid w:val="00DE52C6"/>
    <w:rsid w:val="00DE5780"/>
    <w:rsid w:val="00DE6F1E"/>
    <w:rsid w:val="00DE7025"/>
    <w:rsid w:val="00DF1BE3"/>
    <w:rsid w:val="00DF238B"/>
    <w:rsid w:val="00DF3A21"/>
    <w:rsid w:val="00DF3AA9"/>
    <w:rsid w:val="00DF3E88"/>
    <w:rsid w:val="00DF5AB7"/>
    <w:rsid w:val="00DF6015"/>
    <w:rsid w:val="00DF62BB"/>
    <w:rsid w:val="00DF67AF"/>
    <w:rsid w:val="00DF6F29"/>
    <w:rsid w:val="00E0214C"/>
    <w:rsid w:val="00E040F9"/>
    <w:rsid w:val="00E05B5A"/>
    <w:rsid w:val="00E06063"/>
    <w:rsid w:val="00E07379"/>
    <w:rsid w:val="00E10643"/>
    <w:rsid w:val="00E10744"/>
    <w:rsid w:val="00E13192"/>
    <w:rsid w:val="00E13905"/>
    <w:rsid w:val="00E13BC9"/>
    <w:rsid w:val="00E14F68"/>
    <w:rsid w:val="00E1539A"/>
    <w:rsid w:val="00E153F6"/>
    <w:rsid w:val="00E168FC"/>
    <w:rsid w:val="00E2189F"/>
    <w:rsid w:val="00E21CD6"/>
    <w:rsid w:val="00E230F7"/>
    <w:rsid w:val="00E2357A"/>
    <w:rsid w:val="00E33567"/>
    <w:rsid w:val="00E35371"/>
    <w:rsid w:val="00E37499"/>
    <w:rsid w:val="00E40108"/>
    <w:rsid w:val="00E40D95"/>
    <w:rsid w:val="00E41239"/>
    <w:rsid w:val="00E41BD0"/>
    <w:rsid w:val="00E42742"/>
    <w:rsid w:val="00E43660"/>
    <w:rsid w:val="00E43CC5"/>
    <w:rsid w:val="00E4454D"/>
    <w:rsid w:val="00E44649"/>
    <w:rsid w:val="00E451B7"/>
    <w:rsid w:val="00E47F61"/>
    <w:rsid w:val="00E5147C"/>
    <w:rsid w:val="00E514C6"/>
    <w:rsid w:val="00E531C5"/>
    <w:rsid w:val="00E54365"/>
    <w:rsid w:val="00E55438"/>
    <w:rsid w:val="00E55865"/>
    <w:rsid w:val="00E574EF"/>
    <w:rsid w:val="00E6362C"/>
    <w:rsid w:val="00E64346"/>
    <w:rsid w:val="00E717C6"/>
    <w:rsid w:val="00E74AFE"/>
    <w:rsid w:val="00E74FF8"/>
    <w:rsid w:val="00E75343"/>
    <w:rsid w:val="00E82538"/>
    <w:rsid w:val="00E83790"/>
    <w:rsid w:val="00E844DF"/>
    <w:rsid w:val="00E84820"/>
    <w:rsid w:val="00E854EE"/>
    <w:rsid w:val="00E949C2"/>
    <w:rsid w:val="00E977B7"/>
    <w:rsid w:val="00EA0E71"/>
    <w:rsid w:val="00EA38B1"/>
    <w:rsid w:val="00EA6059"/>
    <w:rsid w:val="00EA7CC0"/>
    <w:rsid w:val="00EB0750"/>
    <w:rsid w:val="00EB2021"/>
    <w:rsid w:val="00EB69BE"/>
    <w:rsid w:val="00EB6AB3"/>
    <w:rsid w:val="00EC08F8"/>
    <w:rsid w:val="00EC0AE2"/>
    <w:rsid w:val="00EC0C5B"/>
    <w:rsid w:val="00EC1101"/>
    <w:rsid w:val="00EC209D"/>
    <w:rsid w:val="00EC33DA"/>
    <w:rsid w:val="00EC384D"/>
    <w:rsid w:val="00EC67B0"/>
    <w:rsid w:val="00EC727C"/>
    <w:rsid w:val="00EC7F08"/>
    <w:rsid w:val="00ED53F5"/>
    <w:rsid w:val="00ED5557"/>
    <w:rsid w:val="00ED6059"/>
    <w:rsid w:val="00EE2A98"/>
    <w:rsid w:val="00EE5358"/>
    <w:rsid w:val="00EE5EB2"/>
    <w:rsid w:val="00EF0AAE"/>
    <w:rsid w:val="00EF0CDB"/>
    <w:rsid w:val="00EF116F"/>
    <w:rsid w:val="00EF2966"/>
    <w:rsid w:val="00EF2A93"/>
    <w:rsid w:val="00EF374C"/>
    <w:rsid w:val="00EF40DF"/>
    <w:rsid w:val="00EF5FD1"/>
    <w:rsid w:val="00EF773D"/>
    <w:rsid w:val="00F06E1D"/>
    <w:rsid w:val="00F072CF"/>
    <w:rsid w:val="00F1008F"/>
    <w:rsid w:val="00F10593"/>
    <w:rsid w:val="00F10C35"/>
    <w:rsid w:val="00F11047"/>
    <w:rsid w:val="00F112C4"/>
    <w:rsid w:val="00F11E52"/>
    <w:rsid w:val="00F13A4D"/>
    <w:rsid w:val="00F162BE"/>
    <w:rsid w:val="00F165CB"/>
    <w:rsid w:val="00F173B0"/>
    <w:rsid w:val="00F17760"/>
    <w:rsid w:val="00F20730"/>
    <w:rsid w:val="00F2213A"/>
    <w:rsid w:val="00F22209"/>
    <w:rsid w:val="00F23697"/>
    <w:rsid w:val="00F23E36"/>
    <w:rsid w:val="00F243B9"/>
    <w:rsid w:val="00F254B7"/>
    <w:rsid w:val="00F27D06"/>
    <w:rsid w:val="00F30613"/>
    <w:rsid w:val="00F3381C"/>
    <w:rsid w:val="00F35247"/>
    <w:rsid w:val="00F41636"/>
    <w:rsid w:val="00F43C2D"/>
    <w:rsid w:val="00F44D1B"/>
    <w:rsid w:val="00F51E84"/>
    <w:rsid w:val="00F533C5"/>
    <w:rsid w:val="00F55C1A"/>
    <w:rsid w:val="00F5665B"/>
    <w:rsid w:val="00F56DAD"/>
    <w:rsid w:val="00F56E6F"/>
    <w:rsid w:val="00F60761"/>
    <w:rsid w:val="00F612C2"/>
    <w:rsid w:val="00F63356"/>
    <w:rsid w:val="00F6398B"/>
    <w:rsid w:val="00F66640"/>
    <w:rsid w:val="00F66E12"/>
    <w:rsid w:val="00F67171"/>
    <w:rsid w:val="00F7053F"/>
    <w:rsid w:val="00F710F7"/>
    <w:rsid w:val="00F71CA6"/>
    <w:rsid w:val="00F73171"/>
    <w:rsid w:val="00F7355A"/>
    <w:rsid w:val="00F7443A"/>
    <w:rsid w:val="00F74F3A"/>
    <w:rsid w:val="00F82546"/>
    <w:rsid w:val="00F83157"/>
    <w:rsid w:val="00F836AF"/>
    <w:rsid w:val="00F845BF"/>
    <w:rsid w:val="00F84A48"/>
    <w:rsid w:val="00F9094D"/>
    <w:rsid w:val="00F91B03"/>
    <w:rsid w:val="00F91BF7"/>
    <w:rsid w:val="00F94407"/>
    <w:rsid w:val="00F94B3B"/>
    <w:rsid w:val="00F94B7E"/>
    <w:rsid w:val="00F95C3D"/>
    <w:rsid w:val="00F96AB7"/>
    <w:rsid w:val="00F97348"/>
    <w:rsid w:val="00FA0E2F"/>
    <w:rsid w:val="00FA2C86"/>
    <w:rsid w:val="00FA7F6E"/>
    <w:rsid w:val="00FB440A"/>
    <w:rsid w:val="00FB658A"/>
    <w:rsid w:val="00FB6DD7"/>
    <w:rsid w:val="00FC0A93"/>
    <w:rsid w:val="00FC0B68"/>
    <w:rsid w:val="00FC1013"/>
    <w:rsid w:val="00FC187E"/>
    <w:rsid w:val="00FC2D9D"/>
    <w:rsid w:val="00FC325D"/>
    <w:rsid w:val="00FC3712"/>
    <w:rsid w:val="00FC4D1E"/>
    <w:rsid w:val="00FC5002"/>
    <w:rsid w:val="00FC6105"/>
    <w:rsid w:val="00FD1D3F"/>
    <w:rsid w:val="00FD38A3"/>
    <w:rsid w:val="00FD4C3C"/>
    <w:rsid w:val="00FD508C"/>
    <w:rsid w:val="00FD51D6"/>
    <w:rsid w:val="00FD5227"/>
    <w:rsid w:val="00FD579F"/>
    <w:rsid w:val="00FE1AF2"/>
    <w:rsid w:val="00FE23C9"/>
    <w:rsid w:val="00FE2524"/>
    <w:rsid w:val="00FE50D4"/>
    <w:rsid w:val="00FE52FF"/>
    <w:rsid w:val="00FE6A0F"/>
    <w:rsid w:val="00FE74E8"/>
    <w:rsid w:val="00FE783F"/>
    <w:rsid w:val="00FF3CC7"/>
    <w:rsid w:val="00FF7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351"/>
    <w:rPr>
      <w:sz w:val="24"/>
      <w:szCs w:val="24"/>
    </w:rPr>
  </w:style>
  <w:style w:type="paragraph" w:styleId="Heading1">
    <w:name w:val="heading 1"/>
    <w:basedOn w:val="Normal"/>
    <w:next w:val="Normal"/>
    <w:link w:val="Heading1Char"/>
    <w:uiPriority w:val="9"/>
    <w:qFormat/>
    <w:rsid w:val="00B2397E"/>
    <w:pPr>
      <w:keepNext/>
      <w:numPr>
        <w:numId w:val="8"/>
      </w:numPr>
      <w:spacing w:before="240" w:after="240"/>
      <w:jc w:val="center"/>
      <w:outlineLvl w:val="0"/>
    </w:pPr>
    <w:rPr>
      <w:rFonts w:ascii="Gotham Book" w:eastAsia="Times New Roman" w:hAnsi="Gotham Book"/>
      <w:b/>
      <w:bCs/>
      <w:smallCaps/>
      <w:kern w:val="32"/>
      <w:szCs w:val="32"/>
    </w:rPr>
  </w:style>
  <w:style w:type="paragraph" w:styleId="Heading2">
    <w:name w:val="heading 2"/>
    <w:basedOn w:val="Normal"/>
    <w:next w:val="Normal"/>
    <w:link w:val="Heading2Char"/>
    <w:uiPriority w:val="9"/>
    <w:unhideWhenUsed/>
    <w:qFormat/>
    <w:rsid w:val="00FC5002"/>
    <w:pPr>
      <w:keepNext/>
      <w:numPr>
        <w:numId w:val="12"/>
      </w:numPr>
      <w:spacing w:before="240" w:after="240"/>
      <w:outlineLvl w:val="1"/>
    </w:pPr>
    <w:rPr>
      <w:rFonts w:ascii="Gotham Book" w:eastAsia="Times New Roman" w:hAnsi="Gotham Book"/>
      <w:b/>
      <w:bCs/>
      <w:iCs/>
      <w:sz w:val="22"/>
      <w:szCs w:val="28"/>
    </w:rPr>
  </w:style>
  <w:style w:type="paragraph" w:styleId="Heading3">
    <w:name w:val="heading 3"/>
    <w:basedOn w:val="Normal"/>
    <w:next w:val="Normal"/>
    <w:link w:val="Heading3Char"/>
    <w:uiPriority w:val="9"/>
    <w:semiHidden/>
    <w:unhideWhenUsed/>
    <w:qFormat/>
    <w:rsid w:val="00F3381C"/>
    <w:pPr>
      <w:keepNext/>
      <w:numPr>
        <w:ilvl w:val="2"/>
        <w:numId w:val="1"/>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F3381C"/>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F3381C"/>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F3381C"/>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F3381C"/>
    <w:pPr>
      <w:numPr>
        <w:ilvl w:val="6"/>
        <w:numId w:val="1"/>
      </w:numPr>
      <w:spacing w:before="240" w:after="60"/>
      <w:outlineLvl w:val="6"/>
    </w:pPr>
    <w:rPr>
      <w:rFonts w:ascii="Calibri" w:eastAsia="Times New Roman" w:hAnsi="Calibri"/>
    </w:rPr>
  </w:style>
  <w:style w:type="paragraph" w:styleId="Heading8">
    <w:name w:val="heading 8"/>
    <w:basedOn w:val="Normal"/>
    <w:next w:val="Normal"/>
    <w:link w:val="Heading8Char"/>
    <w:uiPriority w:val="9"/>
    <w:semiHidden/>
    <w:unhideWhenUsed/>
    <w:qFormat/>
    <w:rsid w:val="00F3381C"/>
    <w:pPr>
      <w:numPr>
        <w:ilvl w:val="7"/>
        <w:numId w:val="1"/>
      </w:numPr>
      <w:spacing w:before="240" w:after="60"/>
      <w:outlineLvl w:val="7"/>
    </w:pPr>
    <w:rPr>
      <w:rFonts w:ascii="Calibri" w:eastAsia="Times New Roman" w:hAnsi="Calibri"/>
      <w:i/>
      <w:iCs/>
    </w:rPr>
  </w:style>
  <w:style w:type="paragraph" w:styleId="Heading9">
    <w:name w:val="heading 9"/>
    <w:basedOn w:val="Normal"/>
    <w:next w:val="Normal"/>
    <w:link w:val="Heading9Char"/>
    <w:uiPriority w:val="9"/>
    <w:semiHidden/>
    <w:unhideWhenUsed/>
    <w:qFormat/>
    <w:rsid w:val="00F3381C"/>
    <w:pPr>
      <w:numPr>
        <w:ilvl w:val="8"/>
        <w:numId w:val="1"/>
      </w:num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4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2E45"/>
    <w:pPr>
      <w:tabs>
        <w:tab w:val="center" w:pos="4680"/>
        <w:tab w:val="right" w:pos="9360"/>
      </w:tabs>
    </w:pPr>
  </w:style>
  <w:style w:type="character" w:customStyle="1" w:styleId="HeaderChar">
    <w:name w:val="Header Char"/>
    <w:link w:val="Header"/>
    <w:uiPriority w:val="99"/>
    <w:rsid w:val="00D92E45"/>
    <w:rPr>
      <w:sz w:val="24"/>
      <w:szCs w:val="24"/>
    </w:rPr>
  </w:style>
  <w:style w:type="paragraph" w:styleId="Footer">
    <w:name w:val="footer"/>
    <w:basedOn w:val="Normal"/>
    <w:link w:val="FooterChar"/>
    <w:uiPriority w:val="99"/>
    <w:unhideWhenUsed/>
    <w:rsid w:val="00D92E45"/>
    <w:pPr>
      <w:tabs>
        <w:tab w:val="center" w:pos="4680"/>
        <w:tab w:val="right" w:pos="9360"/>
      </w:tabs>
    </w:pPr>
  </w:style>
  <w:style w:type="character" w:customStyle="1" w:styleId="FooterChar">
    <w:name w:val="Footer Char"/>
    <w:link w:val="Footer"/>
    <w:uiPriority w:val="99"/>
    <w:rsid w:val="00D92E45"/>
    <w:rPr>
      <w:sz w:val="24"/>
      <w:szCs w:val="24"/>
    </w:rPr>
  </w:style>
  <w:style w:type="paragraph" w:customStyle="1" w:styleId="Default">
    <w:name w:val="Default"/>
    <w:rsid w:val="00F9094D"/>
    <w:pPr>
      <w:autoSpaceDE w:val="0"/>
      <w:autoSpaceDN w:val="0"/>
      <w:adjustRightInd w:val="0"/>
    </w:pPr>
    <w:rPr>
      <w:color w:val="000000"/>
      <w:sz w:val="24"/>
      <w:szCs w:val="24"/>
    </w:rPr>
  </w:style>
  <w:style w:type="character" w:customStyle="1" w:styleId="hps">
    <w:name w:val="hps"/>
    <w:rsid w:val="009E1336"/>
  </w:style>
  <w:style w:type="paragraph" w:customStyle="1" w:styleId="Chapter">
    <w:name w:val="Chapter"/>
    <w:basedOn w:val="Normal"/>
    <w:next w:val="Normal"/>
    <w:rsid w:val="00F3381C"/>
    <w:pPr>
      <w:keepNext/>
      <w:numPr>
        <w:numId w:val="1"/>
      </w:numPr>
      <w:tabs>
        <w:tab w:val="num" w:pos="648"/>
        <w:tab w:val="left" w:pos="1440"/>
      </w:tabs>
      <w:spacing w:before="240" w:after="240"/>
      <w:ind w:left="0" w:firstLine="288"/>
      <w:jc w:val="center"/>
    </w:pPr>
    <w:rPr>
      <w:rFonts w:eastAsia="Times New Roman"/>
      <w:b/>
      <w:smallCaps/>
      <w:szCs w:val="20"/>
      <w:lang w:val="es-ES"/>
    </w:rPr>
  </w:style>
  <w:style w:type="paragraph" w:customStyle="1" w:styleId="Paragraph">
    <w:name w:val="Paragraph"/>
    <w:aliases w:val="p,PARAGRAPH,PG,pa,at,paragraph"/>
    <w:basedOn w:val="BodyTextIndent"/>
    <w:link w:val="ParagraphCar1"/>
    <w:qFormat/>
    <w:rsid w:val="00F3381C"/>
    <w:pPr>
      <w:tabs>
        <w:tab w:val="num" w:pos="720"/>
      </w:tabs>
      <w:spacing w:before="120"/>
      <w:ind w:left="720" w:hanging="720"/>
      <w:jc w:val="both"/>
      <w:outlineLvl w:val="1"/>
    </w:pPr>
    <w:rPr>
      <w:rFonts w:eastAsia="Times New Roman"/>
      <w:szCs w:val="20"/>
      <w:lang w:val="es-CO"/>
    </w:rPr>
  </w:style>
  <w:style w:type="paragraph" w:customStyle="1" w:styleId="EstiloParagraph11pto">
    <w:name w:val="Estilo Paragraph + 11 pto"/>
    <w:basedOn w:val="Paragraph"/>
    <w:rsid w:val="005C3A37"/>
  </w:style>
  <w:style w:type="paragraph" w:styleId="BodyTextIndent">
    <w:name w:val="Body Text Indent"/>
    <w:basedOn w:val="Normal"/>
    <w:link w:val="BodyTextIndentChar"/>
    <w:uiPriority w:val="99"/>
    <w:semiHidden/>
    <w:unhideWhenUsed/>
    <w:rsid w:val="005C3A37"/>
    <w:pPr>
      <w:spacing w:after="120"/>
      <w:ind w:left="360"/>
    </w:pPr>
  </w:style>
  <w:style w:type="character" w:customStyle="1" w:styleId="BodyTextIndentChar">
    <w:name w:val="Body Text Indent Char"/>
    <w:link w:val="BodyTextIndent"/>
    <w:uiPriority w:val="99"/>
    <w:semiHidden/>
    <w:rsid w:val="005C3A37"/>
    <w:rPr>
      <w:sz w:val="24"/>
      <w:szCs w:val="24"/>
    </w:rPr>
  </w:style>
  <w:style w:type="character" w:customStyle="1" w:styleId="ParagraphCar1">
    <w:name w:val="Paragraph Car1"/>
    <w:link w:val="Paragraph"/>
    <w:rsid w:val="00B531AA"/>
    <w:rPr>
      <w:rFonts w:eastAsia="Times New Roman"/>
      <w:sz w:val="24"/>
      <w:lang w:val="es-CO"/>
    </w:rPr>
  </w:style>
  <w:style w:type="paragraph" w:styleId="ListParagraph">
    <w:name w:val="List Paragraph"/>
    <w:aliases w:val="Bullets,References,titulo 5"/>
    <w:basedOn w:val="Normal"/>
    <w:link w:val="ListParagraphChar"/>
    <w:uiPriority w:val="34"/>
    <w:qFormat/>
    <w:rsid w:val="00C60CDE"/>
    <w:pPr>
      <w:ind w:left="708"/>
    </w:pPr>
    <w:rPr>
      <w:rFonts w:eastAsia="Times New Roman"/>
      <w:lang w:val="es-CO" w:eastAsia="es-CO"/>
    </w:rPr>
  </w:style>
  <w:style w:type="paragraph" w:customStyle="1" w:styleId="FirstHeading">
    <w:name w:val="FirstHeading"/>
    <w:basedOn w:val="Normal"/>
    <w:next w:val="Normal"/>
    <w:rsid w:val="004F4A50"/>
    <w:pPr>
      <w:keepNext/>
      <w:tabs>
        <w:tab w:val="left" w:pos="0"/>
        <w:tab w:val="left" w:pos="86"/>
      </w:tabs>
      <w:spacing w:before="120" w:after="120"/>
      <w:ind w:left="720" w:hanging="720"/>
    </w:pPr>
    <w:rPr>
      <w:rFonts w:eastAsia="Times New Roman"/>
      <w:b/>
      <w:szCs w:val="20"/>
      <w:lang w:val="es-ES_tradnl"/>
    </w:rPr>
  </w:style>
  <w:style w:type="paragraph" w:styleId="BalloonText">
    <w:name w:val="Balloon Text"/>
    <w:basedOn w:val="Normal"/>
    <w:link w:val="BalloonTextChar"/>
    <w:uiPriority w:val="99"/>
    <w:semiHidden/>
    <w:unhideWhenUsed/>
    <w:rsid w:val="00A64398"/>
    <w:rPr>
      <w:rFonts w:ascii="Tahoma" w:hAnsi="Tahoma" w:cs="Tahoma"/>
      <w:sz w:val="16"/>
      <w:szCs w:val="16"/>
    </w:rPr>
  </w:style>
  <w:style w:type="character" w:customStyle="1" w:styleId="BalloonTextChar">
    <w:name w:val="Balloon Text Char"/>
    <w:link w:val="BalloonText"/>
    <w:uiPriority w:val="99"/>
    <w:semiHidden/>
    <w:rsid w:val="00A64398"/>
    <w:rPr>
      <w:rFonts w:ascii="Tahoma" w:hAnsi="Tahoma" w:cs="Tahoma"/>
      <w:sz w:val="16"/>
      <w:szCs w:val="16"/>
    </w:rPr>
  </w:style>
  <w:style w:type="character" w:styleId="CommentReference">
    <w:name w:val="annotation reference"/>
    <w:uiPriority w:val="99"/>
    <w:semiHidden/>
    <w:unhideWhenUsed/>
    <w:rsid w:val="0003535E"/>
    <w:rPr>
      <w:sz w:val="16"/>
      <w:szCs w:val="16"/>
    </w:rPr>
  </w:style>
  <w:style w:type="paragraph" w:styleId="CommentText">
    <w:name w:val="annotation text"/>
    <w:basedOn w:val="Normal"/>
    <w:link w:val="CommentTextChar"/>
    <w:uiPriority w:val="99"/>
    <w:semiHidden/>
    <w:unhideWhenUsed/>
    <w:rsid w:val="0003535E"/>
    <w:rPr>
      <w:rFonts w:eastAsia="Times New Roman"/>
      <w:sz w:val="20"/>
      <w:szCs w:val="20"/>
    </w:rPr>
  </w:style>
  <w:style w:type="character" w:customStyle="1" w:styleId="CommentTextChar">
    <w:name w:val="Comment Text Char"/>
    <w:link w:val="CommentText"/>
    <w:uiPriority w:val="99"/>
    <w:semiHidden/>
    <w:rsid w:val="0003535E"/>
    <w:rPr>
      <w:rFonts w:eastAsia="Times New Roman"/>
    </w:rPr>
  </w:style>
  <w:style w:type="character" w:customStyle="1" w:styleId="ListParagraphChar">
    <w:name w:val="List Paragraph Char"/>
    <w:aliases w:val="Bullets Char,References Char,titulo 5 Char"/>
    <w:link w:val="ListParagraph"/>
    <w:uiPriority w:val="99"/>
    <w:locked/>
    <w:rsid w:val="00840948"/>
    <w:rPr>
      <w:rFonts w:eastAsia="Times New Roman"/>
      <w:sz w:val="24"/>
      <w:szCs w:val="24"/>
      <w:lang w:val="es-CO" w:eastAsia="es-CO"/>
    </w:rPr>
  </w:style>
  <w:style w:type="paragraph" w:styleId="NormalWeb">
    <w:name w:val="Normal (Web)"/>
    <w:basedOn w:val="Normal"/>
    <w:uiPriority w:val="99"/>
    <w:unhideWhenUsed/>
    <w:rsid w:val="00FE2524"/>
    <w:pPr>
      <w:spacing w:before="100" w:beforeAutospacing="1" w:after="100" w:afterAutospacing="1"/>
    </w:pPr>
  </w:style>
  <w:style w:type="paragraph" w:customStyle="1" w:styleId="SubHeading1">
    <w:name w:val="SubHeading1"/>
    <w:basedOn w:val="SecHeading"/>
    <w:rsid w:val="004E36EE"/>
    <w:pPr>
      <w:tabs>
        <w:tab w:val="clear" w:pos="1296"/>
        <w:tab w:val="num" w:pos="1872"/>
      </w:tabs>
      <w:ind w:left="1872"/>
    </w:pPr>
    <w:rPr>
      <w:rFonts w:eastAsia="Times New Roman"/>
    </w:rPr>
  </w:style>
  <w:style w:type="paragraph" w:customStyle="1" w:styleId="Prrafodelista1">
    <w:name w:val="Párrafo de lista1"/>
    <w:basedOn w:val="Normal"/>
    <w:uiPriority w:val="99"/>
    <w:rsid w:val="00911B82"/>
    <w:pPr>
      <w:ind w:left="720"/>
      <w:contextualSpacing/>
    </w:pPr>
    <w:rPr>
      <w:rFonts w:eastAsia="Times New Roman"/>
      <w:lang w:val="es-ES" w:eastAsia="es-ES"/>
    </w:rPr>
  </w:style>
  <w:style w:type="character" w:customStyle="1" w:styleId="ParagraphChar">
    <w:name w:val="Paragraph Char"/>
    <w:aliases w:val="paragraph Char,p Char,PARAGRAPH Char,PG Char,pa Char,at Char"/>
    <w:locked/>
    <w:rsid w:val="00B64184"/>
    <w:rPr>
      <w:sz w:val="24"/>
      <w:lang w:val="en-US" w:eastAsia="en-US" w:bidi="ar-SA"/>
    </w:rPr>
  </w:style>
  <w:style w:type="paragraph" w:styleId="FootnoteText">
    <w:name w:val="footnote text"/>
    <w:aliases w:val="fn,FOOTNOTES,single space,Footnote Text Char Char,footnote,Texto de rodapé,nota_rodapé,nota de rodapé,footnote text,Texto nota pie IIRSA,foottextfra,F,texto de nota al pie,Texto nota pie Car Car Car Car Car Car Car Car,f,ft"/>
    <w:basedOn w:val="Normal"/>
    <w:link w:val="FootnoteTextChar1"/>
    <w:uiPriority w:val="99"/>
    <w:rsid w:val="00B64184"/>
    <w:pPr>
      <w:keepNext/>
      <w:keepLines/>
      <w:spacing w:after="120"/>
      <w:ind w:left="288" w:hanging="288"/>
      <w:jc w:val="both"/>
    </w:pPr>
    <w:rPr>
      <w:rFonts w:eastAsia="Times New Roman"/>
      <w:spacing w:val="-3"/>
      <w:sz w:val="20"/>
      <w:szCs w:val="20"/>
      <w:lang w:val="es-ES" w:eastAsia="es-ES"/>
    </w:rPr>
  </w:style>
  <w:style w:type="character" w:customStyle="1" w:styleId="FootnoteTextChar">
    <w:name w:val="Footnote Text Char"/>
    <w:aliases w:val="fn Char1,FOOTNOTES Char1,single space Char1,Footnote Text Char Char Char1,footnote Char1,Texto de rodapé Char1,nota_rodapé Char1,nota de rodapé Char1,footnote text Char1,single space Char,Texto nota pie IIRSA Char,foottextfra Char"/>
    <w:basedOn w:val="DefaultParagraphFont"/>
    <w:uiPriority w:val="99"/>
    <w:rsid w:val="00B64184"/>
  </w:style>
  <w:style w:type="character" w:styleId="FootnoteReference">
    <w:name w:val="footnote reference"/>
    <w:aliases w:val="referencia nota al pie,16 Point,Superscript 6 Point,titulo 2,Texto de nota al pie,Fußnotenzeichen DISS,ftref,FC,Style 24,BVI fnr, BVI fnr,Знак сноски 1,Footnote Referencefra,Ref. de nota al pie.,Stinking Styles11,Footnote symbol,Ref,F1"/>
    <w:uiPriority w:val="99"/>
    <w:rsid w:val="00B64184"/>
    <w:rPr>
      <w:vertAlign w:val="superscript"/>
    </w:rPr>
  </w:style>
  <w:style w:type="character" w:customStyle="1" w:styleId="FootnoteTextChar1">
    <w:name w:val="Footnote Text Char1"/>
    <w:aliases w:val="fn Char"/>
    <w:link w:val="FootnoteText"/>
    <w:locked/>
    <w:rsid w:val="00B64184"/>
    <w:rPr>
      <w:rFonts w:eastAsia="Times New Roman"/>
      <w:spacing w:val="-3"/>
      <w:lang w:val="es-ES" w:eastAsia="es-ES"/>
    </w:rPr>
  </w:style>
  <w:style w:type="paragraph" w:customStyle="1" w:styleId="subpar">
    <w:name w:val="subpar"/>
    <w:basedOn w:val="BodyTextIndent3"/>
    <w:rsid w:val="000D20E6"/>
    <w:pPr>
      <w:tabs>
        <w:tab w:val="num" w:pos="1152"/>
      </w:tabs>
      <w:spacing w:before="120"/>
      <w:ind w:left="1152" w:hanging="432"/>
      <w:jc w:val="both"/>
      <w:outlineLvl w:val="2"/>
    </w:pPr>
    <w:rPr>
      <w:rFonts w:eastAsia="Times New Roman"/>
      <w:szCs w:val="24"/>
      <w:lang w:val="es-ES_tradnl"/>
    </w:rPr>
  </w:style>
  <w:style w:type="paragraph" w:customStyle="1" w:styleId="SubSubPar">
    <w:name w:val="SubSubPar"/>
    <w:basedOn w:val="subpar"/>
    <w:rsid w:val="000D20E6"/>
    <w:pPr>
      <w:tabs>
        <w:tab w:val="clear" w:pos="1152"/>
        <w:tab w:val="left" w:pos="0"/>
        <w:tab w:val="num" w:pos="1296"/>
      </w:tabs>
      <w:ind w:left="1296" w:hanging="288"/>
    </w:pPr>
  </w:style>
  <w:style w:type="paragraph" w:styleId="BodyTextIndent3">
    <w:name w:val="Body Text Indent 3"/>
    <w:basedOn w:val="Normal"/>
    <w:link w:val="BodyTextIndent3Char"/>
    <w:uiPriority w:val="99"/>
    <w:semiHidden/>
    <w:unhideWhenUsed/>
    <w:rsid w:val="000D20E6"/>
    <w:pPr>
      <w:spacing w:after="120"/>
      <w:ind w:left="360"/>
    </w:pPr>
    <w:rPr>
      <w:szCs w:val="16"/>
    </w:rPr>
  </w:style>
  <w:style w:type="character" w:customStyle="1" w:styleId="BodyTextIndent3Char">
    <w:name w:val="Body Text Indent 3 Char"/>
    <w:link w:val="BodyTextIndent3"/>
    <w:uiPriority w:val="99"/>
    <w:semiHidden/>
    <w:rsid w:val="000D20E6"/>
    <w:rPr>
      <w:sz w:val="24"/>
      <w:szCs w:val="16"/>
    </w:rPr>
  </w:style>
  <w:style w:type="paragraph" w:styleId="CommentSubject">
    <w:name w:val="annotation subject"/>
    <w:basedOn w:val="CommentText"/>
    <w:next w:val="CommentText"/>
    <w:link w:val="CommentSubjectChar"/>
    <w:uiPriority w:val="99"/>
    <w:semiHidden/>
    <w:unhideWhenUsed/>
    <w:rsid w:val="00B6480C"/>
    <w:rPr>
      <w:rFonts w:eastAsia="Calibri"/>
      <w:b/>
      <w:bCs/>
    </w:rPr>
  </w:style>
  <w:style w:type="character" w:customStyle="1" w:styleId="CommentSubjectChar">
    <w:name w:val="Comment Subject Char"/>
    <w:link w:val="CommentSubject"/>
    <w:uiPriority w:val="99"/>
    <w:semiHidden/>
    <w:rsid w:val="00B6480C"/>
    <w:rPr>
      <w:rFonts w:eastAsia="Times New Roman"/>
      <w:b/>
      <w:bCs/>
    </w:rPr>
  </w:style>
  <w:style w:type="paragraph" w:styleId="PlainText">
    <w:name w:val="Plain Text"/>
    <w:basedOn w:val="Normal"/>
    <w:link w:val="PlainTextChar"/>
    <w:uiPriority w:val="99"/>
    <w:semiHidden/>
    <w:unhideWhenUsed/>
    <w:rsid w:val="00365C5C"/>
    <w:rPr>
      <w:rFonts w:ascii="Calibri" w:hAnsi="Calibri"/>
      <w:sz w:val="22"/>
      <w:szCs w:val="21"/>
    </w:rPr>
  </w:style>
  <w:style w:type="character" w:customStyle="1" w:styleId="PlainTextChar">
    <w:name w:val="Plain Text Char"/>
    <w:link w:val="PlainText"/>
    <w:uiPriority w:val="99"/>
    <w:semiHidden/>
    <w:rsid w:val="00365C5C"/>
    <w:rPr>
      <w:rFonts w:ascii="Calibri" w:hAnsi="Calibri"/>
      <w:sz w:val="22"/>
      <w:szCs w:val="21"/>
    </w:rPr>
  </w:style>
  <w:style w:type="character" w:customStyle="1" w:styleId="ColorfulList-Accent1Char">
    <w:name w:val="Colorful List - Accent 1 Char"/>
    <w:link w:val="ColorfulList-Accent1"/>
    <w:uiPriority w:val="34"/>
    <w:locked/>
    <w:rsid w:val="00D637D6"/>
    <w:rPr>
      <w:rFonts w:eastAsia="Times New Roman"/>
      <w:sz w:val="24"/>
      <w:szCs w:val="24"/>
      <w:lang w:val="es-CO" w:eastAsia="es-CO"/>
    </w:rPr>
  </w:style>
  <w:style w:type="table" w:styleId="ColorfulList-Accent1">
    <w:name w:val="Colorful List Accent 1"/>
    <w:basedOn w:val="TableNormal"/>
    <w:link w:val="ColorfulList-Accent1Char"/>
    <w:uiPriority w:val="34"/>
    <w:rsid w:val="00D637D6"/>
    <w:rPr>
      <w:rFonts w:eastAsia="Times New Roman"/>
      <w:sz w:val="24"/>
      <w:szCs w:val="24"/>
      <w:lang w:val="es-CO" w:eastAsia="es-CO"/>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LineNumber">
    <w:name w:val="line number"/>
    <w:uiPriority w:val="99"/>
    <w:semiHidden/>
    <w:unhideWhenUsed/>
    <w:rsid w:val="00103981"/>
  </w:style>
  <w:style w:type="paragraph" w:customStyle="1" w:styleId="SecHeading">
    <w:name w:val="SecHeading"/>
    <w:basedOn w:val="Normal"/>
    <w:next w:val="Paragraph"/>
    <w:link w:val="SecHeadingChar"/>
    <w:rsid w:val="00F3381C"/>
    <w:pPr>
      <w:keepNext/>
      <w:tabs>
        <w:tab w:val="num" w:pos="1296"/>
      </w:tabs>
      <w:spacing w:before="120" w:after="120"/>
      <w:ind w:left="1296" w:hanging="576"/>
    </w:pPr>
    <w:rPr>
      <w:b/>
      <w:szCs w:val="22"/>
      <w:lang w:val="es-ES_tradnl"/>
    </w:rPr>
  </w:style>
  <w:style w:type="character" w:customStyle="1" w:styleId="SecHeadingChar">
    <w:name w:val="SecHeading Char"/>
    <w:link w:val="SecHeading"/>
    <w:rsid w:val="00F3381C"/>
    <w:rPr>
      <w:b/>
      <w:sz w:val="24"/>
      <w:szCs w:val="22"/>
      <w:lang w:val="es-ES_tradnl"/>
    </w:rPr>
  </w:style>
  <w:style w:type="paragraph" w:customStyle="1" w:styleId="Subheading2">
    <w:name w:val="Subheading2"/>
    <w:basedOn w:val="SecHeading"/>
    <w:link w:val="Subheading2Char"/>
    <w:rsid w:val="00F3381C"/>
    <w:pPr>
      <w:tabs>
        <w:tab w:val="clear" w:pos="1296"/>
        <w:tab w:val="num" w:pos="2376"/>
      </w:tabs>
      <w:ind w:left="2376" w:hanging="288"/>
    </w:pPr>
  </w:style>
  <w:style w:type="character" w:customStyle="1" w:styleId="Subheading2Char">
    <w:name w:val="Subheading2 Char"/>
    <w:link w:val="Subheading2"/>
    <w:rsid w:val="00F3381C"/>
    <w:rPr>
      <w:b/>
      <w:sz w:val="24"/>
      <w:szCs w:val="22"/>
      <w:lang w:val="es-ES_tradnl"/>
    </w:rPr>
  </w:style>
  <w:style w:type="paragraph" w:customStyle="1" w:styleId="Regtable">
    <w:name w:val="Regtable"/>
    <w:basedOn w:val="Normal"/>
    <w:link w:val="RegtableChar"/>
    <w:rsid w:val="00F3381C"/>
    <w:pPr>
      <w:keepLines/>
      <w:framePr w:wrap="around" w:vAnchor="text" w:hAnchor="text" w:y="1"/>
      <w:spacing w:before="20" w:after="20"/>
    </w:pPr>
    <w:rPr>
      <w:sz w:val="20"/>
      <w:szCs w:val="22"/>
      <w:lang w:val="es-ES_tradnl"/>
    </w:rPr>
  </w:style>
  <w:style w:type="character" w:customStyle="1" w:styleId="RegtableChar">
    <w:name w:val="Regtable Char"/>
    <w:link w:val="Regtable"/>
    <w:rsid w:val="00F3381C"/>
    <w:rPr>
      <w:szCs w:val="22"/>
      <w:lang w:val="es-ES_tradnl"/>
    </w:rPr>
  </w:style>
  <w:style w:type="paragraph" w:customStyle="1" w:styleId="TableTitle">
    <w:name w:val="TableTitle"/>
    <w:basedOn w:val="Normal"/>
    <w:link w:val="TableTitleChar"/>
    <w:rsid w:val="00F3381C"/>
    <w:pPr>
      <w:keepNext/>
      <w:framePr w:wrap="around" w:vAnchor="text" w:hAnchor="text" w:y="1"/>
      <w:spacing w:before="20" w:after="20"/>
      <w:jc w:val="center"/>
    </w:pPr>
    <w:rPr>
      <w:rFonts w:ascii="Times New Roman Bold" w:hAnsi="Times New Roman Bold"/>
      <w:b/>
      <w:spacing w:val="-3"/>
      <w:sz w:val="20"/>
      <w:szCs w:val="22"/>
      <w:lang w:val="es-ES_tradnl"/>
    </w:rPr>
  </w:style>
  <w:style w:type="character" w:customStyle="1" w:styleId="TableTitleChar">
    <w:name w:val="TableTitle Char"/>
    <w:link w:val="TableTitle"/>
    <w:rsid w:val="00F3381C"/>
    <w:rPr>
      <w:rFonts w:ascii="Times New Roman Bold" w:hAnsi="Times New Roman Bold"/>
      <w:b/>
      <w:spacing w:val="-3"/>
      <w:szCs w:val="22"/>
      <w:lang w:val="es-ES_tradnl"/>
    </w:rPr>
  </w:style>
  <w:style w:type="character" w:customStyle="1" w:styleId="Heading2Char">
    <w:name w:val="Heading 2 Char"/>
    <w:link w:val="Heading2"/>
    <w:uiPriority w:val="9"/>
    <w:rsid w:val="00FC5002"/>
    <w:rPr>
      <w:rFonts w:ascii="Gotham Book" w:eastAsia="Times New Roman" w:hAnsi="Gotham Book"/>
      <w:b/>
      <w:bCs/>
      <w:iCs/>
      <w:sz w:val="22"/>
      <w:szCs w:val="28"/>
    </w:rPr>
  </w:style>
  <w:style w:type="character" w:customStyle="1" w:styleId="Heading3Char">
    <w:name w:val="Heading 3 Char"/>
    <w:link w:val="Heading3"/>
    <w:uiPriority w:val="9"/>
    <w:semiHidden/>
    <w:rsid w:val="00F3381C"/>
    <w:rPr>
      <w:rFonts w:ascii="Cambria" w:eastAsia="Times New Roman" w:hAnsi="Cambria"/>
      <w:b/>
      <w:bCs/>
      <w:sz w:val="26"/>
      <w:szCs w:val="26"/>
    </w:rPr>
  </w:style>
  <w:style w:type="character" w:customStyle="1" w:styleId="Heading4Char">
    <w:name w:val="Heading 4 Char"/>
    <w:link w:val="Heading4"/>
    <w:uiPriority w:val="9"/>
    <w:semiHidden/>
    <w:rsid w:val="00F3381C"/>
    <w:rPr>
      <w:rFonts w:ascii="Calibri" w:eastAsia="Times New Roman" w:hAnsi="Calibri"/>
      <w:b/>
      <w:bCs/>
      <w:sz w:val="28"/>
      <w:szCs w:val="28"/>
    </w:rPr>
  </w:style>
  <w:style w:type="character" w:customStyle="1" w:styleId="Heading5Char">
    <w:name w:val="Heading 5 Char"/>
    <w:link w:val="Heading5"/>
    <w:uiPriority w:val="9"/>
    <w:semiHidden/>
    <w:rsid w:val="00F3381C"/>
    <w:rPr>
      <w:rFonts w:ascii="Calibri" w:eastAsia="Times New Roman" w:hAnsi="Calibri"/>
      <w:b/>
      <w:bCs/>
      <w:i/>
      <w:iCs/>
      <w:sz w:val="26"/>
      <w:szCs w:val="26"/>
    </w:rPr>
  </w:style>
  <w:style w:type="character" w:customStyle="1" w:styleId="Heading6Char">
    <w:name w:val="Heading 6 Char"/>
    <w:link w:val="Heading6"/>
    <w:uiPriority w:val="9"/>
    <w:semiHidden/>
    <w:rsid w:val="00F3381C"/>
    <w:rPr>
      <w:rFonts w:ascii="Calibri" w:eastAsia="Times New Roman" w:hAnsi="Calibri"/>
      <w:b/>
      <w:bCs/>
      <w:sz w:val="22"/>
      <w:szCs w:val="22"/>
    </w:rPr>
  </w:style>
  <w:style w:type="character" w:customStyle="1" w:styleId="Heading7Char">
    <w:name w:val="Heading 7 Char"/>
    <w:link w:val="Heading7"/>
    <w:uiPriority w:val="9"/>
    <w:semiHidden/>
    <w:rsid w:val="00F3381C"/>
    <w:rPr>
      <w:rFonts w:ascii="Calibri" w:eastAsia="Times New Roman" w:hAnsi="Calibri"/>
      <w:sz w:val="24"/>
      <w:szCs w:val="24"/>
    </w:rPr>
  </w:style>
  <w:style w:type="character" w:customStyle="1" w:styleId="Heading8Char">
    <w:name w:val="Heading 8 Char"/>
    <w:link w:val="Heading8"/>
    <w:uiPriority w:val="9"/>
    <w:semiHidden/>
    <w:rsid w:val="00F3381C"/>
    <w:rPr>
      <w:rFonts w:ascii="Calibri" w:eastAsia="Times New Roman" w:hAnsi="Calibri"/>
      <w:i/>
      <w:iCs/>
      <w:sz w:val="24"/>
      <w:szCs w:val="24"/>
    </w:rPr>
  </w:style>
  <w:style w:type="character" w:customStyle="1" w:styleId="Heading9Char">
    <w:name w:val="Heading 9 Char"/>
    <w:link w:val="Heading9"/>
    <w:uiPriority w:val="9"/>
    <w:semiHidden/>
    <w:rsid w:val="00F3381C"/>
    <w:rPr>
      <w:rFonts w:ascii="Cambria" w:eastAsia="Times New Roman" w:hAnsi="Cambria"/>
      <w:sz w:val="22"/>
      <w:szCs w:val="22"/>
    </w:rPr>
  </w:style>
  <w:style w:type="paragraph" w:styleId="TOC1">
    <w:name w:val="toc 1"/>
    <w:basedOn w:val="Normal"/>
    <w:next w:val="Normal"/>
    <w:autoRedefine/>
    <w:uiPriority w:val="39"/>
    <w:unhideWhenUsed/>
    <w:qFormat/>
    <w:rsid w:val="00F3381C"/>
    <w:pPr>
      <w:tabs>
        <w:tab w:val="right" w:leader="dot" w:pos="8741"/>
      </w:tabs>
      <w:spacing w:before="240" w:after="240"/>
      <w:ind w:left="547" w:hanging="547"/>
    </w:pPr>
    <w:rPr>
      <w:smallCaps/>
    </w:rPr>
  </w:style>
  <w:style w:type="paragraph" w:styleId="TOC2">
    <w:name w:val="toc 2"/>
    <w:basedOn w:val="Normal"/>
    <w:next w:val="Normal"/>
    <w:autoRedefine/>
    <w:uiPriority w:val="39"/>
    <w:unhideWhenUsed/>
    <w:qFormat/>
    <w:rsid w:val="00F3381C"/>
    <w:pPr>
      <w:tabs>
        <w:tab w:val="left" w:pos="1152"/>
        <w:tab w:val="right" w:leader="dot" w:pos="8741"/>
      </w:tabs>
      <w:ind w:left="1166" w:hanging="605"/>
    </w:pPr>
  </w:style>
  <w:style w:type="paragraph" w:styleId="TOC3">
    <w:name w:val="toc 3"/>
    <w:basedOn w:val="Normal"/>
    <w:next w:val="Normal"/>
    <w:autoRedefine/>
    <w:uiPriority w:val="39"/>
    <w:unhideWhenUsed/>
    <w:qFormat/>
    <w:rsid w:val="00F3381C"/>
    <w:pPr>
      <w:tabs>
        <w:tab w:val="left" w:pos="1728"/>
        <w:tab w:val="right" w:leader="dot" w:pos="8741"/>
      </w:tabs>
      <w:ind w:left="1714" w:hanging="562"/>
    </w:pPr>
  </w:style>
  <w:style w:type="character" w:customStyle="1" w:styleId="Heading1Char">
    <w:name w:val="Heading 1 Char"/>
    <w:link w:val="Heading1"/>
    <w:uiPriority w:val="9"/>
    <w:rsid w:val="00B2397E"/>
    <w:rPr>
      <w:rFonts w:ascii="Gotham Book" w:eastAsia="Times New Roman" w:hAnsi="Gotham Book"/>
      <w:b/>
      <w:bCs/>
      <w:smallCaps/>
      <w:kern w:val="32"/>
      <w:sz w:val="24"/>
      <w:szCs w:val="32"/>
    </w:rPr>
  </w:style>
  <w:style w:type="paragraph" w:styleId="TOCHeading">
    <w:name w:val="TOC Heading"/>
    <w:basedOn w:val="Heading1"/>
    <w:next w:val="Normal"/>
    <w:uiPriority w:val="39"/>
    <w:semiHidden/>
    <w:unhideWhenUsed/>
    <w:qFormat/>
    <w:rsid w:val="00AB7D8E"/>
    <w:pPr>
      <w:keepLines/>
      <w:spacing w:before="480" w:after="0" w:line="276" w:lineRule="auto"/>
      <w:outlineLvl w:val="9"/>
    </w:pPr>
    <w:rPr>
      <w:color w:val="365F91"/>
      <w:kern w:val="0"/>
      <w:sz w:val="28"/>
      <w:szCs w:val="28"/>
      <w:lang w:eastAsia="ja-JP"/>
    </w:rPr>
  </w:style>
  <w:style w:type="character" w:styleId="Hyperlink">
    <w:name w:val="Hyperlink"/>
    <w:uiPriority w:val="99"/>
    <w:unhideWhenUsed/>
    <w:rsid w:val="00AB7D8E"/>
    <w:rPr>
      <w:color w:val="0000FF"/>
      <w:u w:val="single"/>
    </w:rPr>
  </w:style>
  <w:style w:type="paragraph" w:styleId="BodyText">
    <w:name w:val="Body Text"/>
    <w:basedOn w:val="Normal"/>
    <w:link w:val="BodyTextChar"/>
    <w:uiPriority w:val="99"/>
    <w:semiHidden/>
    <w:unhideWhenUsed/>
    <w:rsid w:val="00196AF7"/>
    <w:pPr>
      <w:spacing w:after="120"/>
    </w:pPr>
  </w:style>
  <w:style w:type="character" w:customStyle="1" w:styleId="BodyTextChar">
    <w:name w:val="Body Text Char"/>
    <w:link w:val="BodyText"/>
    <w:uiPriority w:val="99"/>
    <w:semiHidden/>
    <w:rsid w:val="00196AF7"/>
    <w:rPr>
      <w:sz w:val="24"/>
      <w:szCs w:val="24"/>
    </w:rPr>
  </w:style>
  <w:style w:type="table" w:customStyle="1" w:styleId="Cuadrculadetablaclara1">
    <w:name w:val="Cuadrícula de tabla clara1"/>
    <w:basedOn w:val="TableNormal"/>
    <w:uiPriority w:val="40"/>
    <w:rsid w:val="002071FE"/>
    <w:rPr>
      <w:rFonts w:ascii="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351"/>
    <w:rPr>
      <w:sz w:val="24"/>
      <w:szCs w:val="24"/>
    </w:rPr>
  </w:style>
  <w:style w:type="paragraph" w:styleId="Heading1">
    <w:name w:val="heading 1"/>
    <w:basedOn w:val="Normal"/>
    <w:next w:val="Normal"/>
    <w:link w:val="Heading1Char"/>
    <w:uiPriority w:val="9"/>
    <w:qFormat/>
    <w:rsid w:val="00B2397E"/>
    <w:pPr>
      <w:keepNext/>
      <w:numPr>
        <w:numId w:val="8"/>
      </w:numPr>
      <w:spacing w:before="240" w:after="240"/>
      <w:jc w:val="center"/>
      <w:outlineLvl w:val="0"/>
    </w:pPr>
    <w:rPr>
      <w:rFonts w:ascii="Gotham Book" w:eastAsia="Times New Roman" w:hAnsi="Gotham Book"/>
      <w:b/>
      <w:bCs/>
      <w:smallCaps/>
      <w:kern w:val="32"/>
      <w:szCs w:val="32"/>
    </w:rPr>
  </w:style>
  <w:style w:type="paragraph" w:styleId="Heading2">
    <w:name w:val="heading 2"/>
    <w:basedOn w:val="Normal"/>
    <w:next w:val="Normal"/>
    <w:link w:val="Heading2Char"/>
    <w:uiPriority w:val="9"/>
    <w:unhideWhenUsed/>
    <w:qFormat/>
    <w:rsid w:val="00FC5002"/>
    <w:pPr>
      <w:keepNext/>
      <w:numPr>
        <w:numId w:val="12"/>
      </w:numPr>
      <w:spacing w:before="240" w:after="240"/>
      <w:outlineLvl w:val="1"/>
    </w:pPr>
    <w:rPr>
      <w:rFonts w:ascii="Gotham Book" w:eastAsia="Times New Roman" w:hAnsi="Gotham Book"/>
      <w:b/>
      <w:bCs/>
      <w:iCs/>
      <w:sz w:val="22"/>
      <w:szCs w:val="28"/>
    </w:rPr>
  </w:style>
  <w:style w:type="paragraph" w:styleId="Heading3">
    <w:name w:val="heading 3"/>
    <w:basedOn w:val="Normal"/>
    <w:next w:val="Normal"/>
    <w:link w:val="Heading3Char"/>
    <w:uiPriority w:val="9"/>
    <w:semiHidden/>
    <w:unhideWhenUsed/>
    <w:qFormat/>
    <w:rsid w:val="00F3381C"/>
    <w:pPr>
      <w:keepNext/>
      <w:numPr>
        <w:ilvl w:val="2"/>
        <w:numId w:val="1"/>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F3381C"/>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F3381C"/>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F3381C"/>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F3381C"/>
    <w:pPr>
      <w:numPr>
        <w:ilvl w:val="6"/>
        <w:numId w:val="1"/>
      </w:numPr>
      <w:spacing w:before="240" w:after="60"/>
      <w:outlineLvl w:val="6"/>
    </w:pPr>
    <w:rPr>
      <w:rFonts w:ascii="Calibri" w:eastAsia="Times New Roman" w:hAnsi="Calibri"/>
    </w:rPr>
  </w:style>
  <w:style w:type="paragraph" w:styleId="Heading8">
    <w:name w:val="heading 8"/>
    <w:basedOn w:val="Normal"/>
    <w:next w:val="Normal"/>
    <w:link w:val="Heading8Char"/>
    <w:uiPriority w:val="9"/>
    <w:semiHidden/>
    <w:unhideWhenUsed/>
    <w:qFormat/>
    <w:rsid w:val="00F3381C"/>
    <w:pPr>
      <w:numPr>
        <w:ilvl w:val="7"/>
        <w:numId w:val="1"/>
      </w:numPr>
      <w:spacing w:before="240" w:after="60"/>
      <w:outlineLvl w:val="7"/>
    </w:pPr>
    <w:rPr>
      <w:rFonts w:ascii="Calibri" w:eastAsia="Times New Roman" w:hAnsi="Calibri"/>
      <w:i/>
      <w:iCs/>
    </w:rPr>
  </w:style>
  <w:style w:type="paragraph" w:styleId="Heading9">
    <w:name w:val="heading 9"/>
    <w:basedOn w:val="Normal"/>
    <w:next w:val="Normal"/>
    <w:link w:val="Heading9Char"/>
    <w:uiPriority w:val="9"/>
    <w:semiHidden/>
    <w:unhideWhenUsed/>
    <w:qFormat/>
    <w:rsid w:val="00F3381C"/>
    <w:pPr>
      <w:numPr>
        <w:ilvl w:val="8"/>
        <w:numId w:val="1"/>
      </w:num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4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2E45"/>
    <w:pPr>
      <w:tabs>
        <w:tab w:val="center" w:pos="4680"/>
        <w:tab w:val="right" w:pos="9360"/>
      </w:tabs>
    </w:pPr>
  </w:style>
  <w:style w:type="character" w:customStyle="1" w:styleId="HeaderChar">
    <w:name w:val="Header Char"/>
    <w:link w:val="Header"/>
    <w:uiPriority w:val="99"/>
    <w:rsid w:val="00D92E45"/>
    <w:rPr>
      <w:sz w:val="24"/>
      <w:szCs w:val="24"/>
    </w:rPr>
  </w:style>
  <w:style w:type="paragraph" w:styleId="Footer">
    <w:name w:val="footer"/>
    <w:basedOn w:val="Normal"/>
    <w:link w:val="FooterChar"/>
    <w:uiPriority w:val="99"/>
    <w:unhideWhenUsed/>
    <w:rsid w:val="00D92E45"/>
    <w:pPr>
      <w:tabs>
        <w:tab w:val="center" w:pos="4680"/>
        <w:tab w:val="right" w:pos="9360"/>
      </w:tabs>
    </w:pPr>
  </w:style>
  <w:style w:type="character" w:customStyle="1" w:styleId="FooterChar">
    <w:name w:val="Footer Char"/>
    <w:link w:val="Footer"/>
    <w:uiPriority w:val="99"/>
    <w:rsid w:val="00D92E45"/>
    <w:rPr>
      <w:sz w:val="24"/>
      <w:szCs w:val="24"/>
    </w:rPr>
  </w:style>
  <w:style w:type="paragraph" w:customStyle="1" w:styleId="Default">
    <w:name w:val="Default"/>
    <w:rsid w:val="00F9094D"/>
    <w:pPr>
      <w:autoSpaceDE w:val="0"/>
      <w:autoSpaceDN w:val="0"/>
      <w:adjustRightInd w:val="0"/>
    </w:pPr>
    <w:rPr>
      <w:color w:val="000000"/>
      <w:sz w:val="24"/>
      <w:szCs w:val="24"/>
    </w:rPr>
  </w:style>
  <w:style w:type="character" w:customStyle="1" w:styleId="hps">
    <w:name w:val="hps"/>
    <w:rsid w:val="009E1336"/>
  </w:style>
  <w:style w:type="paragraph" w:customStyle="1" w:styleId="Chapter">
    <w:name w:val="Chapter"/>
    <w:basedOn w:val="Normal"/>
    <w:next w:val="Normal"/>
    <w:rsid w:val="00F3381C"/>
    <w:pPr>
      <w:keepNext/>
      <w:numPr>
        <w:numId w:val="1"/>
      </w:numPr>
      <w:tabs>
        <w:tab w:val="num" w:pos="648"/>
        <w:tab w:val="left" w:pos="1440"/>
      </w:tabs>
      <w:spacing w:before="240" w:after="240"/>
      <w:ind w:left="0" w:firstLine="288"/>
      <w:jc w:val="center"/>
    </w:pPr>
    <w:rPr>
      <w:rFonts w:eastAsia="Times New Roman"/>
      <w:b/>
      <w:smallCaps/>
      <w:szCs w:val="20"/>
      <w:lang w:val="es-ES"/>
    </w:rPr>
  </w:style>
  <w:style w:type="paragraph" w:customStyle="1" w:styleId="Paragraph">
    <w:name w:val="Paragraph"/>
    <w:aliases w:val="p,PARAGRAPH,PG,pa,at,paragraph"/>
    <w:basedOn w:val="BodyTextIndent"/>
    <w:link w:val="ParagraphCar1"/>
    <w:qFormat/>
    <w:rsid w:val="00F3381C"/>
    <w:pPr>
      <w:tabs>
        <w:tab w:val="num" w:pos="720"/>
      </w:tabs>
      <w:spacing w:before="120"/>
      <w:ind w:left="720" w:hanging="720"/>
      <w:jc w:val="both"/>
      <w:outlineLvl w:val="1"/>
    </w:pPr>
    <w:rPr>
      <w:rFonts w:eastAsia="Times New Roman"/>
      <w:szCs w:val="20"/>
      <w:lang w:val="es-CO"/>
    </w:rPr>
  </w:style>
  <w:style w:type="paragraph" w:customStyle="1" w:styleId="EstiloParagraph11pto">
    <w:name w:val="Estilo Paragraph + 11 pto"/>
    <w:basedOn w:val="Paragraph"/>
    <w:rsid w:val="005C3A37"/>
  </w:style>
  <w:style w:type="paragraph" w:styleId="BodyTextIndent">
    <w:name w:val="Body Text Indent"/>
    <w:basedOn w:val="Normal"/>
    <w:link w:val="BodyTextIndentChar"/>
    <w:uiPriority w:val="99"/>
    <w:semiHidden/>
    <w:unhideWhenUsed/>
    <w:rsid w:val="005C3A37"/>
    <w:pPr>
      <w:spacing w:after="120"/>
      <w:ind w:left="360"/>
    </w:pPr>
  </w:style>
  <w:style w:type="character" w:customStyle="1" w:styleId="BodyTextIndentChar">
    <w:name w:val="Body Text Indent Char"/>
    <w:link w:val="BodyTextIndent"/>
    <w:uiPriority w:val="99"/>
    <w:semiHidden/>
    <w:rsid w:val="005C3A37"/>
    <w:rPr>
      <w:sz w:val="24"/>
      <w:szCs w:val="24"/>
    </w:rPr>
  </w:style>
  <w:style w:type="character" w:customStyle="1" w:styleId="ParagraphCar1">
    <w:name w:val="Paragraph Car1"/>
    <w:link w:val="Paragraph"/>
    <w:rsid w:val="00B531AA"/>
    <w:rPr>
      <w:rFonts w:eastAsia="Times New Roman"/>
      <w:sz w:val="24"/>
      <w:lang w:val="es-CO"/>
    </w:rPr>
  </w:style>
  <w:style w:type="paragraph" w:styleId="ListParagraph">
    <w:name w:val="List Paragraph"/>
    <w:aliases w:val="Bullets,References,titulo 5"/>
    <w:basedOn w:val="Normal"/>
    <w:link w:val="ListParagraphChar"/>
    <w:uiPriority w:val="34"/>
    <w:qFormat/>
    <w:rsid w:val="00C60CDE"/>
    <w:pPr>
      <w:ind w:left="708"/>
    </w:pPr>
    <w:rPr>
      <w:rFonts w:eastAsia="Times New Roman"/>
      <w:lang w:val="es-CO" w:eastAsia="es-CO"/>
    </w:rPr>
  </w:style>
  <w:style w:type="paragraph" w:customStyle="1" w:styleId="FirstHeading">
    <w:name w:val="FirstHeading"/>
    <w:basedOn w:val="Normal"/>
    <w:next w:val="Normal"/>
    <w:rsid w:val="004F4A50"/>
    <w:pPr>
      <w:keepNext/>
      <w:tabs>
        <w:tab w:val="left" w:pos="0"/>
        <w:tab w:val="left" w:pos="86"/>
      </w:tabs>
      <w:spacing w:before="120" w:after="120"/>
      <w:ind w:left="720" w:hanging="720"/>
    </w:pPr>
    <w:rPr>
      <w:rFonts w:eastAsia="Times New Roman"/>
      <w:b/>
      <w:szCs w:val="20"/>
      <w:lang w:val="es-ES_tradnl"/>
    </w:rPr>
  </w:style>
  <w:style w:type="paragraph" w:styleId="BalloonText">
    <w:name w:val="Balloon Text"/>
    <w:basedOn w:val="Normal"/>
    <w:link w:val="BalloonTextChar"/>
    <w:uiPriority w:val="99"/>
    <w:semiHidden/>
    <w:unhideWhenUsed/>
    <w:rsid w:val="00A64398"/>
    <w:rPr>
      <w:rFonts w:ascii="Tahoma" w:hAnsi="Tahoma" w:cs="Tahoma"/>
      <w:sz w:val="16"/>
      <w:szCs w:val="16"/>
    </w:rPr>
  </w:style>
  <w:style w:type="character" w:customStyle="1" w:styleId="BalloonTextChar">
    <w:name w:val="Balloon Text Char"/>
    <w:link w:val="BalloonText"/>
    <w:uiPriority w:val="99"/>
    <w:semiHidden/>
    <w:rsid w:val="00A64398"/>
    <w:rPr>
      <w:rFonts w:ascii="Tahoma" w:hAnsi="Tahoma" w:cs="Tahoma"/>
      <w:sz w:val="16"/>
      <w:szCs w:val="16"/>
    </w:rPr>
  </w:style>
  <w:style w:type="character" w:styleId="CommentReference">
    <w:name w:val="annotation reference"/>
    <w:uiPriority w:val="99"/>
    <w:semiHidden/>
    <w:unhideWhenUsed/>
    <w:rsid w:val="0003535E"/>
    <w:rPr>
      <w:sz w:val="16"/>
      <w:szCs w:val="16"/>
    </w:rPr>
  </w:style>
  <w:style w:type="paragraph" w:styleId="CommentText">
    <w:name w:val="annotation text"/>
    <w:basedOn w:val="Normal"/>
    <w:link w:val="CommentTextChar"/>
    <w:uiPriority w:val="99"/>
    <w:semiHidden/>
    <w:unhideWhenUsed/>
    <w:rsid w:val="0003535E"/>
    <w:rPr>
      <w:rFonts w:eastAsia="Times New Roman"/>
      <w:sz w:val="20"/>
      <w:szCs w:val="20"/>
    </w:rPr>
  </w:style>
  <w:style w:type="character" w:customStyle="1" w:styleId="CommentTextChar">
    <w:name w:val="Comment Text Char"/>
    <w:link w:val="CommentText"/>
    <w:uiPriority w:val="99"/>
    <w:semiHidden/>
    <w:rsid w:val="0003535E"/>
    <w:rPr>
      <w:rFonts w:eastAsia="Times New Roman"/>
    </w:rPr>
  </w:style>
  <w:style w:type="character" w:customStyle="1" w:styleId="ListParagraphChar">
    <w:name w:val="List Paragraph Char"/>
    <w:aliases w:val="Bullets Char,References Char,titulo 5 Char"/>
    <w:link w:val="ListParagraph"/>
    <w:uiPriority w:val="99"/>
    <w:locked/>
    <w:rsid w:val="00840948"/>
    <w:rPr>
      <w:rFonts w:eastAsia="Times New Roman"/>
      <w:sz w:val="24"/>
      <w:szCs w:val="24"/>
      <w:lang w:val="es-CO" w:eastAsia="es-CO"/>
    </w:rPr>
  </w:style>
  <w:style w:type="paragraph" w:styleId="NormalWeb">
    <w:name w:val="Normal (Web)"/>
    <w:basedOn w:val="Normal"/>
    <w:uiPriority w:val="99"/>
    <w:unhideWhenUsed/>
    <w:rsid w:val="00FE2524"/>
    <w:pPr>
      <w:spacing w:before="100" w:beforeAutospacing="1" w:after="100" w:afterAutospacing="1"/>
    </w:pPr>
  </w:style>
  <w:style w:type="paragraph" w:customStyle="1" w:styleId="SubHeading1">
    <w:name w:val="SubHeading1"/>
    <w:basedOn w:val="SecHeading"/>
    <w:rsid w:val="004E36EE"/>
    <w:pPr>
      <w:tabs>
        <w:tab w:val="clear" w:pos="1296"/>
        <w:tab w:val="num" w:pos="1872"/>
      </w:tabs>
      <w:ind w:left="1872"/>
    </w:pPr>
    <w:rPr>
      <w:rFonts w:eastAsia="Times New Roman"/>
    </w:rPr>
  </w:style>
  <w:style w:type="paragraph" w:customStyle="1" w:styleId="Prrafodelista1">
    <w:name w:val="Párrafo de lista1"/>
    <w:basedOn w:val="Normal"/>
    <w:uiPriority w:val="99"/>
    <w:rsid w:val="00911B82"/>
    <w:pPr>
      <w:ind w:left="720"/>
      <w:contextualSpacing/>
    </w:pPr>
    <w:rPr>
      <w:rFonts w:eastAsia="Times New Roman"/>
      <w:lang w:val="es-ES" w:eastAsia="es-ES"/>
    </w:rPr>
  </w:style>
  <w:style w:type="character" w:customStyle="1" w:styleId="ParagraphChar">
    <w:name w:val="Paragraph Char"/>
    <w:aliases w:val="paragraph Char,p Char,PARAGRAPH Char,PG Char,pa Char,at Char"/>
    <w:locked/>
    <w:rsid w:val="00B64184"/>
    <w:rPr>
      <w:sz w:val="24"/>
      <w:lang w:val="en-US" w:eastAsia="en-US" w:bidi="ar-SA"/>
    </w:rPr>
  </w:style>
  <w:style w:type="paragraph" w:styleId="FootnoteText">
    <w:name w:val="footnote text"/>
    <w:aliases w:val="fn,FOOTNOTES,single space,Footnote Text Char Char,footnote,Texto de rodapé,nota_rodapé,nota de rodapé,footnote text,Texto nota pie IIRSA,foottextfra,F,texto de nota al pie,Texto nota pie Car Car Car Car Car Car Car Car,f,ft"/>
    <w:basedOn w:val="Normal"/>
    <w:link w:val="FootnoteTextChar1"/>
    <w:uiPriority w:val="99"/>
    <w:rsid w:val="00B64184"/>
    <w:pPr>
      <w:keepNext/>
      <w:keepLines/>
      <w:spacing w:after="120"/>
      <w:ind w:left="288" w:hanging="288"/>
      <w:jc w:val="both"/>
    </w:pPr>
    <w:rPr>
      <w:rFonts w:eastAsia="Times New Roman"/>
      <w:spacing w:val="-3"/>
      <w:sz w:val="20"/>
      <w:szCs w:val="20"/>
      <w:lang w:val="es-ES" w:eastAsia="es-ES"/>
    </w:rPr>
  </w:style>
  <w:style w:type="character" w:customStyle="1" w:styleId="FootnoteTextChar">
    <w:name w:val="Footnote Text Char"/>
    <w:aliases w:val="fn Char1,FOOTNOTES Char1,single space Char1,Footnote Text Char Char Char1,footnote Char1,Texto de rodapé Char1,nota_rodapé Char1,nota de rodapé Char1,footnote text Char1,single space Char,Texto nota pie IIRSA Char,foottextfra Char"/>
    <w:basedOn w:val="DefaultParagraphFont"/>
    <w:uiPriority w:val="99"/>
    <w:rsid w:val="00B64184"/>
  </w:style>
  <w:style w:type="character" w:styleId="FootnoteReference">
    <w:name w:val="footnote reference"/>
    <w:aliases w:val="referencia nota al pie,16 Point,Superscript 6 Point,titulo 2,Texto de nota al pie,Fußnotenzeichen DISS,ftref,FC,Style 24,BVI fnr, BVI fnr,Знак сноски 1,Footnote Referencefra,Ref. de nota al pie.,Stinking Styles11,Footnote symbol,Ref,F1"/>
    <w:uiPriority w:val="99"/>
    <w:rsid w:val="00B64184"/>
    <w:rPr>
      <w:vertAlign w:val="superscript"/>
    </w:rPr>
  </w:style>
  <w:style w:type="character" w:customStyle="1" w:styleId="FootnoteTextChar1">
    <w:name w:val="Footnote Text Char1"/>
    <w:aliases w:val="fn Char"/>
    <w:link w:val="FootnoteText"/>
    <w:locked/>
    <w:rsid w:val="00B64184"/>
    <w:rPr>
      <w:rFonts w:eastAsia="Times New Roman"/>
      <w:spacing w:val="-3"/>
      <w:lang w:val="es-ES" w:eastAsia="es-ES"/>
    </w:rPr>
  </w:style>
  <w:style w:type="paragraph" w:customStyle="1" w:styleId="subpar">
    <w:name w:val="subpar"/>
    <w:basedOn w:val="BodyTextIndent3"/>
    <w:rsid w:val="000D20E6"/>
    <w:pPr>
      <w:tabs>
        <w:tab w:val="num" w:pos="1152"/>
      </w:tabs>
      <w:spacing w:before="120"/>
      <w:ind w:left="1152" w:hanging="432"/>
      <w:jc w:val="both"/>
      <w:outlineLvl w:val="2"/>
    </w:pPr>
    <w:rPr>
      <w:rFonts w:eastAsia="Times New Roman"/>
      <w:szCs w:val="24"/>
      <w:lang w:val="es-ES_tradnl"/>
    </w:rPr>
  </w:style>
  <w:style w:type="paragraph" w:customStyle="1" w:styleId="SubSubPar">
    <w:name w:val="SubSubPar"/>
    <w:basedOn w:val="subpar"/>
    <w:rsid w:val="000D20E6"/>
    <w:pPr>
      <w:tabs>
        <w:tab w:val="clear" w:pos="1152"/>
        <w:tab w:val="left" w:pos="0"/>
        <w:tab w:val="num" w:pos="1296"/>
      </w:tabs>
      <w:ind w:left="1296" w:hanging="288"/>
    </w:pPr>
  </w:style>
  <w:style w:type="paragraph" w:styleId="BodyTextIndent3">
    <w:name w:val="Body Text Indent 3"/>
    <w:basedOn w:val="Normal"/>
    <w:link w:val="BodyTextIndent3Char"/>
    <w:uiPriority w:val="99"/>
    <w:semiHidden/>
    <w:unhideWhenUsed/>
    <w:rsid w:val="000D20E6"/>
    <w:pPr>
      <w:spacing w:after="120"/>
      <w:ind w:left="360"/>
    </w:pPr>
    <w:rPr>
      <w:szCs w:val="16"/>
    </w:rPr>
  </w:style>
  <w:style w:type="character" w:customStyle="1" w:styleId="BodyTextIndent3Char">
    <w:name w:val="Body Text Indent 3 Char"/>
    <w:link w:val="BodyTextIndent3"/>
    <w:uiPriority w:val="99"/>
    <w:semiHidden/>
    <w:rsid w:val="000D20E6"/>
    <w:rPr>
      <w:sz w:val="24"/>
      <w:szCs w:val="16"/>
    </w:rPr>
  </w:style>
  <w:style w:type="paragraph" w:styleId="CommentSubject">
    <w:name w:val="annotation subject"/>
    <w:basedOn w:val="CommentText"/>
    <w:next w:val="CommentText"/>
    <w:link w:val="CommentSubjectChar"/>
    <w:uiPriority w:val="99"/>
    <w:semiHidden/>
    <w:unhideWhenUsed/>
    <w:rsid w:val="00B6480C"/>
    <w:rPr>
      <w:rFonts w:eastAsia="Calibri"/>
      <w:b/>
      <w:bCs/>
    </w:rPr>
  </w:style>
  <w:style w:type="character" w:customStyle="1" w:styleId="CommentSubjectChar">
    <w:name w:val="Comment Subject Char"/>
    <w:link w:val="CommentSubject"/>
    <w:uiPriority w:val="99"/>
    <w:semiHidden/>
    <w:rsid w:val="00B6480C"/>
    <w:rPr>
      <w:rFonts w:eastAsia="Times New Roman"/>
      <w:b/>
      <w:bCs/>
    </w:rPr>
  </w:style>
  <w:style w:type="paragraph" w:styleId="PlainText">
    <w:name w:val="Plain Text"/>
    <w:basedOn w:val="Normal"/>
    <w:link w:val="PlainTextChar"/>
    <w:uiPriority w:val="99"/>
    <w:semiHidden/>
    <w:unhideWhenUsed/>
    <w:rsid w:val="00365C5C"/>
    <w:rPr>
      <w:rFonts w:ascii="Calibri" w:hAnsi="Calibri"/>
      <w:sz w:val="22"/>
      <w:szCs w:val="21"/>
    </w:rPr>
  </w:style>
  <w:style w:type="character" w:customStyle="1" w:styleId="PlainTextChar">
    <w:name w:val="Plain Text Char"/>
    <w:link w:val="PlainText"/>
    <w:uiPriority w:val="99"/>
    <w:semiHidden/>
    <w:rsid w:val="00365C5C"/>
    <w:rPr>
      <w:rFonts w:ascii="Calibri" w:hAnsi="Calibri"/>
      <w:sz w:val="22"/>
      <w:szCs w:val="21"/>
    </w:rPr>
  </w:style>
  <w:style w:type="character" w:customStyle="1" w:styleId="ColorfulList-Accent1Char">
    <w:name w:val="Colorful List - Accent 1 Char"/>
    <w:link w:val="ColorfulList-Accent1"/>
    <w:uiPriority w:val="34"/>
    <w:locked/>
    <w:rsid w:val="00D637D6"/>
    <w:rPr>
      <w:rFonts w:eastAsia="Times New Roman"/>
      <w:sz w:val="24"/>
      <w:szCs w:val="24"/>
      <w:lang w:val="es-CO" w:eastAsia="es-CO"/>
    </w:rPr>
  </w:style>
  <w:style w:type="table" w:styleId="ColorfulList-Accent1">
    <w:name w:val="Colorful List Accent 1"/>
    <w:basedOn w:val="TableNormal"/>
    <w:link w:val="ColorfulList-Accent1Char"/>
    <w:uiPriority w:val="34"/>
    <w:rsid w:val="00D637D6"/>
    <w:rPr>
      <w:rFonts w:eastAsia="Times New Roman"/>
      <w:sz w:val="24"/>
      <w:szCs w:val="24"/>
      <w:lang w:val="es-CO" w:eastAsia="es-CO"/>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LineNumber">
    <w:name w:val="line number"/>
    <w:uiPriority w:val="99"/>
    <w:semiHidden/>
    <w:unhideWhenUsed/>
    <w:rsid w:val="00103981"/>
  </w:style>
  <w:style w:type="paragraph" w:customStyle="1" w:styleId="SecHeading">
    <w:name w:val="SecHeading"/>
    <w:basedOn w:val="Normal"/>
    <w:next w:val="Paragraph"/>
    <w:link w:val="SecHeadingChar"/>
    <w:rsid w:val="00F3381C"/>
    <w:pPr>
      <w:keepNext/>
      <w:tabs>
        <w:tab w:val="num" w:pos="1296"/>
      </w:tabs>
      <w:spacing w:before="120" w:after="120"/>
      <w:ind w:left="1296" w:hanging="576"/>
    </w:pPr>
    <w:rPr>
      <w:b/>
      <w:szCs w:val="22"/>
      <w:lang w:val="es-ES_tradnl"/>
    </w:rPr>
  </w:style>
  <w:style w:type="character" w:customStyle="1" w:styleId="SecHeadingChar">
    <w:name w:val="SecHeading Char"/>
    <w:link w:val="SecHeading"/>
    <w:rsid w:val="00F3381C"/>
    <w:rPr>
      <w:b/>
      <w:sz w:val="24"/>
      <w:szCs w:val="22"/>
      <w:lang w:val="es-ES_tradnl"/>
    </w:rPr>
  </w:style>
  <w:style w:type="paragraph" w:customStyle="1" w:styleId="Subheading2">
    <w:name w:val="Subheading2"/>
    <w:basedOn w:val="SecHeading"/>
    <w:link w:val="Subheading2Char"/>
    <w:rsid w:val="00F3381C"/>
    <w:pPr>
      <w:tabs>
        <w:tab w:val="clear" w:pos="1296"/>
        <w:tab w:val="num" w:pos="2376"/>
      </w:tabs>
      <w:ind w:left="2376" w:hanging="288"/>
    </w:pPr>
  </w:style>
  <w:style w:type="character" w:customStyle="1" w:styleId="Subheading2Char">
    <w:name w:val="Subheading2 Char"/>
    <w:link w:val="Subheading2"/>
    <w:rsid w:val="00F3381C"/>
    <w:rPr>
      <w:b/>
      <w:sz w:val="24"/>
      <w:szCs w:val="22"/>
      <w:lang w:val="es-ES_tradnl"/>
    </w:rPr>
  </w:style>
  <w:style w:type="paragraph" w:customStyle="1" w:styleId="Regtable">
    <w:name w:val="Regtable"/>
    <w:basedOn w:val="Normal"/>
    <w:link w:val="RegtableChar"/>
    <w:rsid w:val="00F3381C"/>
    <w:pPr>
      <w:keepLines/>
      <w:framePr w:wrap="around" w:vAnchor="text" w:hAnchor="text" w:y="1"/>
      <w:spacing w:before="20" w:after="20"/>
    </w:pPr>
    <w:rPr>
      <w:sz w:val="20"/>
      <w:szCs w:val="22"/>
      <w:lang w:val="es-ES_tradnl"/>
    </w:rPr>
  </w:style>
  <w:style w:type="character" w:customStyle="1" w:styleId="RegtableChar">
    <w:name w:val="Regtable Char"/>
    <w:link w:val="Regtable"/>
    <w:rsid w:val="00F3381C"/>
    <w:rPr>
      <w:szCs w:val="22"/>
      <w:lang w:val="es-ES_tradnl"/>
    </w:rPr>
  </w:style>
  <w:style w:type="paragraph" w:customStyle="1" w:styleId="TableTitle">
    <w:name w:val="TableTitle"/>
    <w:basedOn w:val="Normal"/>
    <w:link w:val="TableTitleChar"/>
    <w:rsid w:val="00F3381C"/>
    <w:pPr>
      <w:keepNext/>
      <w:framePr w:wrap="around" w:vAnchor="text" w:hAnchor="text" w:y="1"/>
      <w:spacing w:before="20" w:after="20"/>
      <w:jc w:val="center"/>
    </w:pPr>
    <w:rPr>
      <w:rFonts w:ascii="Times New Roman Bold" w:hAnsi="Times New Roman Bold"/>
      <w:b/>
      <w:spacing w:val="-3"/>
      <w:sz w:val="20"/>
      <w:szCs w:val="22"/>
      <w:lang w:val="es-ES_tradnl"/>
    </w:rPr>
  </w:style>
  <w:style w:type="character" w:customStyle="1" w:styleId="TableTitleChar">
    <w:name w:val="TableTitle Char"/>
    <w:link w:val="TableTitle"/>
    <w:rsid w:val="00F3381C"/>
    <w:rPr>
      <w:rFonts w:ascii="Times New Roman Bold" w:hAnsi="Times New Roman Bold"/>
      <w:b/>
      <w:spacing w:val="-3"/>
      <w:szCs w:val="22"/>
      <w:lang w:val="es-ES_tradnl"/>
    </w:rPr>
  </w:style>
  <w:style w:type="character" w:customStyle="1" w:styleId="Heading2Char">
    <w:name w:val="Heading 2 Char"/>
    <w:link w:val="Heading2"/>
    <w:uiPriority w:val="9"/>
    <w:rsid w:val="00FC5002"/>
    <w:rPr>
      <w:rFonts w:ascii="Gotham Book" w:eastAsia="Times New Roman" w:hAnsi="Gotham Book"/>
      <w:b/>
      <w:bCs/>
      <w:iCs/>
      <w:sz w:val="22"/>
      <w:szCs w:val="28"/>
    </w:rPr>
  </w:style>
  <w:style w:type="character" w:customStyle="1" w:styleId="Heading3Char">
    <w:name w:val="Heading 3 Char"/>
    <w:link w:val="Heading3"/>
    <w:uiPriority w:val="9"/>
    <w:semiHidden/>
    <w:rsid w:val="00F3381C"/>
    <w:rPr>
      <w:rFonts w:ascii="Cambria" w:eastAsia="Times New Roman" w:hAnsi="Cambria"/>
      <w:b/>
      <w:bCs/>
      <w:sz w:val="26"/>
      <w:szCs w:val="26"/>
    </w:rPr>
  </w:style>
  <w:style w:type="character" w:customStyle="1" w:styleId="Heading4Char">
    <w:name w:val="Heading 4 Char"/>
    <w:link w:val="Heading4"/>
    <w:uiPriority w:val="9"/>
    <w:semiHidden/>
    <w:rsid w:val="00F3381C"/>
    <w:rPr>
      <w:rFonts w:ascii="Calibri" w:eastAsia="Times New Roman" w:hAnsi="Calibri"/>
      <w:b/>
      <w:bCs/>
      <w:sz w:val="28"/>
      <w:szCs w:val="28"/>
    </w:rPr>
  </w:style>
  <w:style w:type="character" w:customStyle="1" w:styleId="Heading5Char">
    <w:name w:val="Heading 5 Char"/>
    <w:link w:val="Heading5"/>
    <w:uiPriority w:val="9"/>
    <w:semiHidden/>
    <w:rsid w:val="00F3381C"/>
    <w:rPr>
      <w:rFonts w:ascii="Calibri" w:eastAsia="Times New Roman" w:hAnsi="Calibri"/>
      <w:b/>
      <w:bCs/>
      <w:i/>
      <w:iCs/>
      <w:sz w:val="26"/>
      <w:szCs w:val="26"/>
    </w:rPr>
  </w:style>
  <w:style w:type="character" w:customStyle="1" w:styleId="Heading6Char">
    <w:name w:val="Heading 6 Char"/>
    <w:link w:val="Heading6"/>
    <w:uiPriority w:val="9"/>
    <w:semiHidden/>
    <w:rsid w:val="00F3381C"/>
    <w:rPr>
      <w:rFonts w:ascii="Calibri" w:eastAsia="Times New Roman" w:hAnsi="Calibri"/>
      <w:b/>
      <w:bCs/>
      <w:sz w:val="22"/>
      <w:szCs w:val="22"/>
    </w:rPr>
  </w:style>
  <w:style w:type="character" w:customStyle="1" w:styleId="Heading7Char">
    <w:name w:val="Heading 7 Char"/>
    <w:link w:val="Heading7"/>
    <w:uiPriority w:val="9"/>
    <w:semiHidden/>
    <w:rsid w:val="00F3381C"/>
    <w:rPr>
      <w:rFonts w:ascii="Calibri" w:eastAsia="Times New Roman" w:hAnsi="Calibri"/>
      <w:sz w:val="24"/>
      <w:szCs w:val="24"/>
    </w:rPr>
  </w:style>
  <w:style w:type="character" w:customStyle="1" w:styleId="Heading8Char">
    <w:name w:val="Heading 8 Char"/>
    <w:link w:val="Heading8"/>
    <w:uiPriority w:val="9"/>
    <w:semiHidden/>
    <w:rsid w:val="00F3381C"/>
    <w:rPr>
      <w:rFonts w:ascii="Calibri" w:eastAsia="Times New Roman" w:hAnsi="Calibri"/>
      <w:i/>
      <w:iCs/>
      <w:sz w:val="24"/>
      <w:szCs w:val="24"/>
    </w:rPr>
  </w:style>
  <w:style w:type="character" w:customStyle="1" w:styleId="Heading9Char">
    <w:name w:val="Heading 9 Char"/>
    <w:link w:val="Heading9"/>
    <w:uiPriority w:val="9"/>
    <w:semiHidden/>
    <w:rsid w:val="00F3381C"/>
    <w:rPr>
      <w:rFonts w:ascii="Cambria" w:eastAsia="Times New Roman" w:hAnsi="Cambria"/>
      <w:sz w:val="22"/>
      <w:szCs w:val="22"/>
    </w:rPr>
  </w:style>
  <w:style w:type="paragraph" w:styleId="TOC1">
    <w:name w:val="toc 1"/>
    <w:basedOn w:val="Normal"/>
    <w:next w:val="Normal"/>
    <w:autoRedefine/>
    <w:uiPriority w:val="39"/>
    <w:unhideWhenUsed/>
    <w:qFormat/>
    <w:rsid w:val="00F3381C"/>
    <w:pPr>
      <w:tabs>
        <w:tab w:val="right" w:leader="dot" w:pos="8741"/>
      </w:tabs>
      <w:spacing w:before="240" w:after="240"/>
      <w:ind w:left="547" w:hanging="547"/>
    </w:pPr>
    <w:rPr>
      <w:smallCaps/>
    </w:rPr>
  </w:style>
  <w:style w:type="paragraph" w:styleId="TOC2">
    <w:name w:val="toc 2"/>
    <w:basedOn w:val="Normal"/>
    <w:next w:val="Normal"/>
    <w:autoRedefine/>
    <w:uiPriority w:val="39"/>
    <w:unhideWhenUsed/>
    <w:qFormat/>
    <w:rsid w:val="00F3381C"/>
    <w:pPr>
      <w:tabs>
        <w:tab w:val="left" w:pos="1152"/>
        <w:tab w:val="right" w:leader="dot" w:pos="8741"/>
      </w:tabs>
      <w:ind w:left="1166" w:hanging="605"/>
    </w:pPr>
  </w:style>
  <w:style w:type="paragraph" w:styleId="TOC3">
    <w:name w:val="toc 3"/>
    <w:basedOn w:val="Normal"/>
    <w:next w:val="Normal"/>
    <w:autoRedefine/>
    <w:uiPriority w:val="39"/>
    <w:unhideWhenUsed/>
    <w:qFormat/>
    <w:rsid w:val="00F3381C"/>
    <w:pPr>
      <w:tabs>
        <w:tab w:val="left" w:pos="1728"/>
        <w:tab w:val="right" w:leader="dot" w:pos="8741"/>
      </w:tabs>
      <w:ind w:left="1714" w:hanging="562"/>
    </w:pPr>
  </w:style>
  <w:style w:type="character" w:customStyle="1" w:styleId="Heading1Char">
    <w:name w:val="Heading 1 Char"/>
    <w:link w:val="Heading1"/>
    <w:uiPriority w:val="9"/>
    <w:rsid w:val="00B2397E"/>
    <w:rPr>
      <w:rFonts w:ascii="Gotham Book" w:eastAsia="Times New Roman" w:hAnsi="Gotham Book"/>
      <w:b/>
      <w:bCs/>
      <w:smallCaps/>
      <w:kern w:val="32"/>
      <w:sz w:val="24"/>
      <w:szCs w:val="32"/>
    </w:rPr>
  </w:style>
  <w:style w:type="paragraph" w:styleId="TOCHeading">
    <w:name w:val="TOC Heading"/>
    <w:basedOn w:val="Heading1"/>
    <w:next w:val="Normal"/>
    <w:uiPriority w:val="39"/>
    <w:semiHidden/>
    <w:unhideWhenUsed/>
    <w:qFormat/>
    <w:rsid w:val="00AB7D8E"/>
    <w:pPr>
      <w:keepLines/>
      <w:spacing w:before="480" w:after="0" w:line="276" w:lineRule="auto"/>
      <w:outlineLvl w:val="9"/>
    </w:pPr>
    <w:rPr>
      <w:color w:val="365F91"/>
      <w:kern w:val="0"/>
      <w:sz w:val="28"/>
      <w:szCs w:val="28"/>
      <w:lang w:eastAsia="ja-JP"/>
    </w:rPr>
  </w:style>
  <w:style w:type="character" w:styleId="Hyperlink">
    <w:name w:val="Hyperlink"/>
    <w:uiPriority w:val="99"/>
    <w:unhideWhenUsed/>
    <w:rsid w:val="00AB7D8E"/>
    <w:rPr>
      <w:color w:val="0000FF"/>
      <w:u w:val="single"/>
    </w:rPr>
  </w:style>
  <w:style w:type="paragraph" w:styleId="BodyText">
    <w:name w:val="Body Text"/>
    <w:basedOn w:val="Normal"/>
    <w:link w:val="BodyTextChar"/>
    <w:uiPriority w:val="99"/>
    <w:semiHidden/>
    <w:unhideWhenUsed/>
    <w:rsid w:val="00196AF7"/>
    <w:pPr>
      <w:spacing w:after="120"/>
    </w:pPr>
  </w:style>
  <w:style w:type="character" w:customStyle="1" w:styleId="BodyTextChar">
    <w:name w:val="Body Text Char"/>
    <w:link w:val="BodyText"/>
    <w:uiPriority w:val="99"/>
    <w:semiHidden/>
    <w:rsid w:val="00196AF7"/>
    <w:rPr>
      <w:sz w:val="24"/>
      <w:szCs w:val="24"/>
    </w:rPr>
  </w:style>
  <w:style w:type="table" w:customStyle="1" w:styleId="Cuadrculadetablaclara1">
    <w:name w:val="Cuadrícula de tabla clara1"/>
    <w:basedOn w:val="TableNormal"/>
    <w:uiPriority w:val="40"/>
    <w:rsid w:val="002071FE"/>
    <w:rPr>
      <w:rFonts w:ascii="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2377">
      <w:bodyDiv w:val="1"/>
      <w:marLeft w:val="0"/>
      <w:marRight w:val="0"/>
      <w:marTop w:val="0"/>
      <w:marBottom w:val="0"/>
      <w:divBdr>
        <w:top w:val="none" w:sz="0" w:space="0" w:color="auto"/>
        <w:left w:val="none" w:sz="0" w:space="0" w:color="auto"/>
        <w:bottom w:val="none" w:sz="0" w:space="0" w:color="auto"/>
        <w:right w:val="none" w:sz="0" w:space="0" w:color="auto"/>
      </w:divBdr>
      <w:divsChild>
        <w:div w:id="1652707994">
          <w:marLeft w:val="0"/>
          <w:marRight w:val="0"/>
          <w:marTop w:val="0"/>
          <w:marBottom w:val="0"/>
          <w:divBdr>
            <w:top w:val="none" w:sz="0" w:space="0" w:color="auto"/>
            <w:left w:val="none" w:sz="0" w:space="0" w:color="auto"/>
            <w:bottom w:val="none" w:sz="0" w:space="0" w:color="auto"/>
            <w:right w:val="none" w:sz="0" w:space="0" w:color="auto"/>
          </w:divBdr>
          <w:divsChild>
            <w:div w:id="1941133454">
              <w:marLeft w:val="0"/>
              <w:marRight w:val="0"/>
              <w:marTop w:val="0"/>
              <w:marBottom w:val="0"/>
              <w:divBdr>
                <w:top w:val="none" w:sz="0" w:space="0" w:color="auto"/>
                <w:left w:val="none" w:sz="0" w:space="0" w:color="auto"/>
                <w:bottom w:val="none" w:sz="0" w:space="0" w:color="auto"/>
                <w:right w:val="none" w:sz="0" w:space="0" w:color="auto"/>
              </w:divBdr>
              <w:divsChild>
                <w:div w:id="157427074">
                  <w:marLeft w:val="0"/>
                  <w:marRight w:val="0"/>
                  <w:marTop w:val="0"/>
                  <w:marBottom w:val="0"/>
                  <w:divBdr>
                    <w:top w:val="none" w:sz="0" w:space="0" w:color="auto"/>
                    <w:left w:val="none" w:sz="0" w:space="0" w:color="auto"/>
                    <w:bottom w:val="none" w:sz="0" w:space="0" w:color="auto"/>
                    <w:right w:val="none" w:sz="0" w:space="0" w:color="auto"/>
                  </w:divBdr>
                  <w:divsChild>
                    <w:div w:id="885725282">
                      <w:marLeft w:val="0"/>
                      <w:marRight w:val="0"/>
                      <w:marTop w:val="0"/>
                      <w:marBottom w:val="0"/>
                      <w:divBdr>
                        <w:top w:val="none" w:sz="0" w:space="0" w:color="auto"/>
                        <w:left w:val="none" w:sz="0" w:space="0" w:color="auto"/>
                        <w:bottom w:val="none" w:sz="0" w:space="0" w:color="auto"/>
                        <w:right w:val="none" w:sz="0" w:space="0" w:color="auto"/>
                      </w:divBdr>
                      <w:divsChild>
                        <w:div w:id="1994143536">
                          <w:marLeft w:val="0"/>
                          <w:marRight w:val="0"/>
                          <w:marTop w:val="0"/>
                          <w:marBottom w:val="0"/>
                          <w:divBdr>
                            <w:top w:val="none" w:sz="0" w:space="0" w:color="auto"/>
                            <w:left w:val="none" w:sz="0" w:space="0" w:color="auto"/>
                            <w:bottom w:val="none" w:sz="0" w:space="0" w:color="auto"/>
                            <w:right w:val="none" w:sz="0" w:space="0" w:color="auto"/>
                          </w:divBdr>
                          <w:divsChild>
                            <w:div w:id="1340158362">
                              <w:marLeft w:val="0"/>
                              <w:marRight w:val="0"/>
                              <w:marTop w:val="0"/>
                              <w:marBottom w:val="0"/>
                              <w:divBdr>
                                <w:top w:val="none" w:sz="0" w:space="0" w:color="auto"/>
                                <w:left w:val="none" w:sz="0" w:space="0" w:color="auto"/>
                                <w:bottom w:val="none" w:sz="0" w:space="0" w:color="auto"/>
                                <w:right w:val="none" w:sz="0" w:space="0" w:color="auto"/>
                              </w:divBdr>
                              <w:divsChild>
                                <w:div w:id="986931819">
                                  <w:marLeft w:val="0"/>
                                  <w:marRight w:val="0"/>
                                  <w:marTop w:val="0"/>
                                  <w:marBottom w:val="0"/>
                                  <w:divBdr>
                                    <w:top w:val="none" w:sz="0" w:space="0" w:color="auto"/>
                                    <w:left w:val="none" w:sz="0" w:space="0" w:color="auto"/>
                                    <w:bottom w:val="none" w:sz="0" w:space="0" w:color="auto"/>
                                    <w:right w:val="none" w:sz="0" w:space="0" w:color="auto"/>
                                  </w:divBdr>
                                  <w:divsChild>
                                    <w:div w:id="1329166633">
                                      <w:marLeft w:val="0"/>
                                      <w:marRight w:val="0"/>
                                      <w:marTop w:val="0"/>
                                      <w:marBottom w:val="0"/>
                                      <w:divBdr>
                                        <w:top w:val="single" w:sz="6" w:space="0" w:color="F5F5F5"/>
                                        <w:left w:val="single" w:sz="6" w:space="0" w:color="F5F5F5"/>
                                        <w:bottom w:val="single" w:sz="6" w:space="0" w:color="F5F5F5"/>
                                        <w:right w:val="single" w:sz="6" w:space="0" w:color="F5F5F5"/>
                                      </w:divBdr>
                                      <w:divsChild>
                                        <w:div w:id="1482427391">
                                          <w:marLeft w:val="0"/>
                                          <w:marRight w:val="0"/>
                                          <w:marTop w:val="0"/>
                                          <w:marBottom w:val="0"/>
                                          <w:divBdr>
                                            <w:top w:val="none" w:sz="0" w:space="0" w:color="auto"/>
                                            <w:left w:val="none" w:sz="0" w:space="0" w:color="auto"/>
                                            <w:bottom w:val="none" w:sz="0" w:space="0" w:color="auto"/>
                                            <w:right w:val="none" w:sz="0" w:space="0" w:color="auto"/>
                                          </w:divBdr>
                                          <w:divsChild>
                                            <w:div w:id="1879468712">
                                              <w:marLeft w:val="0"/>
                                              <w:marRight w:val="0"/>
                                              <w:marTop w:val="0"/>
                                              <w:marBottom w:val="0"/>
                                              <w:divBdr>
                                                <w:top w:val="none" w:sz="0" w:space="0" w:color="auto"/>
                                                <w:left w:val="none" w:sz="0" w:space="0" w:color="auto"/>
                                                <w:bottom w:val="none" w:sz="0" w:space="0" w:color="auto"/>
                                                <w:right w:val="none" w:sz="0" w:space="0" w:color="auto"/>
                                              </w:divBdr>
                                              <w:divsChild>
                                                <w:div w:id="20577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0403">
                                          <w:marLeft w:val="0"/>
                                          <w:marRight w:val="0"/>
                                          <w:marTop w:val="0"/>
                                          <w:marBottom w:val="0"/>
                                          <w:divBdr>
                                            <w:top w:val="none" w:sz="0" w:space="0" w:color="auto"/>
                                            <w:left w:val="none" w:sz="0" w:space="0" w:color="auto"/>
                                            <w:bottom w:val="none" w:sz="0" w:space="0" w:color="auto"/>
                                            <w:right w:val="none" w:sz="0" w:space="0" w:color="auto"/>
                                          </w:divBdr>
                                          <w:divsChild>
                                            <w:div w:id="15170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079772">
      <w:bodyDiv w:val="1"/>
      <w:marLeft w:val="0"/>
      <w:marRight w:val="0"/>
      <w:marTop w:val="0"/>
      <w:marBottom w:val="0"/>
      <w:divBdr>
        <w:top w:val="none" w:sz="0" w:space="0" w:color="auto"/>
        <w:left w:val="none" w:sz="0" w:space="0" w:color="auto"/>
        <w:bottom w:val="none" w:sz="0" w:space="0" w:color="auto"/>
        <w:right w:val="none" w:sz="0" w:space="0" w:color="auto"/>
      </w:divBdr>
      <w:divsChild>
        <w:div w:id="187262457">
          <w:marLeft w:val="0"/>
          <w:marRight w:val="0"/>
          <w:marTop w:val="0"/>
          <w:marBottom w:val="0"/>
          <w:divBdr>
            <w:top w:val="none" w:sz="0" w:space="0" w:color="auto"/>
            <w:left w:val="none" w:sz="0" w:space="0" w:color="auto"/>
            <w:bottom w:val="none" w:sz="0" w:space="0" w:color="auto"/>
            <w:right w:val="none" w:sz="0" w:space="0" w:color="auto"/>
          </w:divBdr>
          <w:divsChild>
            <w:div w:id="1955600096">
              <w:marLeft w:val="0"/>
              <w:marRight w:val="0"/>
              <w:marTop w:val="0"/>
              <w:marBottom w:val="0"/>
              <w:divBdr>
                <w:top w:val="none" w:sz="0" w:space="0" w:color="auto"/>
                <w:left w:val="none" w:sz="0" w:space="0" w:color="auto"/>
                <w:bottom w:val="none" w:sz="0" w:space="0" w:color="auto"/>
                <w:right w:val="none" w:sz="0" w:space="0" w:color="auto"/>
              </w:divBdr>
              <w:divsChild>
                <w:div w:id="405033546">
                  <w:marLeft w:val="0"/>
                  <w:marRight w:val="0"/>
                  <w:marTop w:val="0"/>
                  <w:marBottom w:val="0"/>
                  <w:divBdr>
                    <w:top w:val="none" w:sz="0" w:space="0" w:color="auto"/>
                    <w:left w:val="none" w:sz="0" w:space="0" w:color="auto"/>
                    <w:bottom w:val="none" w:sz="0" w:space="0" w:color="auto"/>
                    <w:right w:val="none" w:sz="0" w:space="0" w:color="auto"/>
                  </w:divBdr>
                  <w:divsChild>
                    <w:div w:id="79495242">
                      <w:marLeft w:val="0"/>
                      <w:marRight w:val="0"/>
                      <w:marTop w:val="0"/>
                      <w:marBottom w:val="0"/>
                      <w:divBdr>
                        <w:top w:val="none" w:sz="0" w:space="0" w:color="auto"/>
                        <w:left w:val="none" w:sz="0" w:space="0" w:color="auto"/>
                        <w:bottom w:val="none" w:sz="0" w:space="0" w:color="auto"/>
                        <w:right w:val="none" w:sz="0" w:space="0" w:color="auto"/>
                      </w:divBdr>
                      <w:divsChild>
                        <w:div w:id="1489714871">
                          <w:marLeft w:val="0"/>
                          <w:marRight w:val="0"/>
                          <w:marTop w:val="0"/>
                          <w:marBottom w:val="0"/>
                          <w:divBdr>
                            <w:top w:val="none" w:sz="0" w:space="0" w:color="auto"/>
                            <w:left w:val="none" w:sz="0" w:space="0" w:color="auto"/>
                            <w:bottom w:val="none" w:sz="0" w:space="0" w:color="auto"/>
                            <w:right w:val="none" w:sz="0" w:space="0" w:color="auto"/>
                          </w:divBdr>
                          <w:divsChild>
                            <w:div w:id="234974555">
                              <w:marLeft w:val="0"/>
                              <w:marRight w:val="0"/>
                              <w:marTop w:val="0"/>
                              <w:marBottom w:val="0"/>
                              <w:divBdr>
                                <w:top w:val="none" w:sz="0" w:space="0" w:color="auto"/>
                                <w:left w:val="none" w:sz="0" w:space="0" w:color="auto"/>
                                <w:bottom w:val="none" w:sz="0" w:space="0" w:color="auto"/>
                                <w:right w:val="none" w:sz="0" w:space="0" w:color="auto"/>
                              </w:divBdr>
                              <w:divsChild>
                                <w:div w:id="1316028756">
                                  <w:marLeft w:val="0"/>
                                  <w:marRight w:val="0"/>
                                  <w:marTop w:val="0"/>
                                  <w:marBottom w:val="0"/>
                                  <w:divBdr>
                                    <w:top w:val="none" w:sz="0" w:space="0" w:color="auto"/>
                                    <w:left w:val="none" w:sz="0" w:space="0" w:color="auto"/>
                                    <w:bottom w:val="none" w:sz="0" w:space="0" w:color="auto"/>
                                    <w:right w:val="none" w:sz="0" w:space="0" w:color="auto"/>
                                  </w:divBdr>
                                  <w:divsChild>
                                    <w:div w:id="285702605">
                                      <w:marLeft w:val="0"/>
                                      <w:marRight w:val="0"/>
                                      <w:marTop w:val="0"/>
                                      <w:marBottom w:val="0"/>
                                      <w:divBdr>
                                        <w:top w:val="none" w:sz="0" w:space="0" w:color="auto"/>
                                        <w:left w:val="none" w:sz="0" w:space="0" w:color="auto"/>
                                        <w:bottom w:val="none" w:sz="0" w:space="0" w:color="auto"/>
                                        <w:right w:val="none" w:sz="0" w:space="0" w:color="auto"/>
                                      </w:divBdr>
                                      <w:divsChild>
                                        <w:div w:id="489827298">
                                          <w:marLeft w:val="0"/>
                                          <w:marRight w:val="0"/>
                                          <w:marTop w:val="0"/>
                                          <w:marBottom w:val="0"/>
                                          <w:divBdr>
                                            <w:top w:val="none" w:sz="0" w:space="0" w:color="auto"/>
                                            <w:left w:val="none" w:sz="0" w:space="0" w:color="auto"/>
                                            <w:bottom w:val="none" w:sz="0" w:space="0" w:color="auto"/>
                                            <w:right w:val="none" w:sz="0" w:space="0" w:color="auto"/>
                                          </w:divBdr>
                                          <w:divsChild>
                                            <w:div w:id="436103806">
                                              <w:marLeft w:val="0"/>
                                              <w:marRight w:val="0"/>
                                              <w:marTop w:val="0"/>
                                              <w:marBottom w:val="0"/>
                                              <w:divBdr>
                                                <w:top w:val="single" w:sz="6" w:space="0" w:color="F5F5F5"/>
                                                <w:left w:val="single" w:sz="6" w:space="0" w:color="F5F5F5"/>
                                                <w:bottom w:val="single" w:sz="6" w:space="0" w:color="F5F5F5"/>
                                                <w:right w:val="single" w:sz="6" w:space="0" w:color="F5F5F5"/>
                                              </w:divBdr>
                                              <w:divsChild>
                                                <w:div w:id="470640434">
                                                  <w:marLeft w:val="0"/>
                                                  <w:marRight w:val="0"/>
                                                  <w:marTop w:val="0"/>
                                                  <w:marBottom w:val="0"/>
                                                  <w:divBdr>
                                                    <w:top w:val="none" w:sz="0" w:space="0" w:color="auto"/>
                                                    <w:left w:val="none" w:sz="0" w:space="0" w:color="auto"/>
                                                    <w:bottom w:val="none" w:sz="0" w:space="0" w:color="auto"/>
                                                    <w:right w:val="none" w:sz="0" w:space="0" w:color="auto"/>
                                                  </w:divBdr>
                                                  <w:divsChild>
                                                    <w:div w:id="3790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538373">
      <w:bodyDiv w:val="1"/>
      <w:marLeft w:val="0"/>
      <w:marRight w:val="0"/>
      <w:marTop w:val="0"/>
      <w:marBottom w:val="0"/>
      <w:divBdr>
        <w:top w:val="none" w:sz="0" w:space="0" w:color="auto"/>
        <w:left w:val="none" w:sz="0" w:space="0" w:color="auto"/>
        <w:bottom w:val="none" w:sz="0" w:space="0" w:color="auto"/>
        <w:right w:val="none" w:sz="0" w:space="0" w:color="auto"/>
      </w:divBdr>
      <w:divsChild>
        <w:div w:id="1664628070">
          <w:marLeft w:val="0"/>
          <w:marRight w:val="0"/>
          <w:marTop w:val="0"/>
          <w:marBottom w:val="0"/>
          <w:divBdr>
            <w:top w:val="none" w:sz="0" w:space="0" w:color="auto"/>
            <w:left w:val="none" w:sz="0" w:space="0" w:color="auto"/>
            <w:bottom w:val="none" w:sz="0" w:space="0" w:color="auto"/>
            <w:right w:val="none" w:sz="0" w:space="0" w:color="auto"/>
          </w:divBdr>
          <w:divsChild>
            <w:div w:id="990137332">
              <w:marLeft w:val="0"/>
              <w:marRight w:val="0"/>
              <w:marTop w:val="0"/>
              <w:marBottom w:val="0"/>
              <w:divBdr>
                <w:top w:val="none" w:sz="0" w:space="0" w:color="auto"/>
                <w:left w:val="none" w:sz="0" w:space="0" w:color="auto"/>
                <w:bottom w:val="none" w:sz="0" w:space="0" w:color="auto"/>
                <w:right w:val="none" w:sz="0" w:space="0" w:color="auto"/>
              </w:divBdr>
              <w:divsChild>
                <w:div w:id="65298333">
                  <w:marLeft w:val="0"/>
                  <w:marRight w:val="0"/>
                  <w:marTop w:val="0"/>
                  <w:marBottom w:val="0"/>
                  <w:divBdr>
                    <w:top w:val="none" w:sz="0" w:space="0" w:color="auto"/>
                    <w:left w:val="none" w:sz="0" w:space="0" w:color="auto"/>
                    <w:bottom w:val="none" w:sz="0" w:space="0" w:color="auto"/>
                    <w:right w:val="none" w:sz="0" w:space="0" w:color="auto"/>
                  </w:divBdr>
                  <w:divsChild>
                    <w:div w:id="1567952280">
                      <w:marLeft w:val="0"/>
                      <w:marRight w:val="0"/>
                      <w:marTop w:val="0"/>
                      <w:marBottom w:val="0"/>
                      <w:divBdr>
                        <w:top w:val="none" w:sz="0" w:space="0" w:color="auto"/>
                        <w:left w:val="none" w:sz="0" w:space="0" w:color="auto"/>
                        <w:bottom w:val="none" w:sz="0" w:space="0" w:color="auto"/>
                        <w:right w:val="none" w:sz="0" w:space="0" w:color="auto"/>
                      </w:divBdr>
                      <w:divsChild>
                        <w:div w:id="90662868">
                          <w:marLeft w:val="0"/>
                          <w:marRight w:val="0"/>
                          <w:marTop w:val="0"/>
                          <w:marBottom w:val="0"/>
                          <w:divBdr>
                            <w:top w:val="none" w:sz="0" w:space="0" w:color="auto"/>
                            <w:left w:val="none" w:sz="0" w:space="0" w:color="auto"/>
                            <w:bottom w:val="none" w:sz="0" w:space="0" w:color="auto"/>
                            <w:right w:val="none" w:sz="0" w:space="0" w:color="auto"/>
                          </w:divBdr>
                          <w:divsChild>
                            <w:div w:id="2136023199">
                              <w:marLeft w:val="0"/>
                              <w:marRight w:val="0"/>
                              <w:marTop w:val="0"/>
                              <w:marBottom w:val="0"/>
                              <w:divBdr>
                                <w:top w:val="none" w:sz="0" w:space="0" w:color="auto"/>
                                <w:left w:val="none" w:sz="0" w:space="0" w:color="auto"/>
                                <w:bottom w:val="none" w:sz="0" w:space="0" w:color="auto"/>
                                <w:right w:val="none" w:sz="0" w:space="0" w:color="auto"/>
                              </w:divBdr>
                              <w:divsChild>
                                <w:div w:id="693967243">
                                  <w:marLeft w:val="0"/>
                                  <w:marRight w:val="0"/>
                                  <w:marTop w:val="0"/>
                                  <w:marBottom w:val="0"/>
                                  <w:divBdr>
                                    <w:top w:val="none" w:sz="0" w:space="0" w:color="auto"/>
                                    <w:left w:val="none" w:sz="0" w:space="0" w:color="auto"/>
                                    <w:bottom w:val="none" w:sz="0" w:space="0" w:color="auto"/>
                                    <w:right w:val="none" w:sz="0" w:space="0" w:color="auto"/>
                                  </w:divBdr>
                                  <w:divsChild>
                                    <w:div w:id="186796845">
                                      <w:marLeft w:val="0"/>
                                      <w:marRight w:val="0"/>
                                      <w:marTop w:val="0"/>
                                      <w:marBottom w:val="0"/>
                                      <w:divBdr>
                                        <w:top w:val="none" w:sz="0" w:space="0" w:color="auto"/>
                                        <w:left w:val="none" w:sz="0" w:space="0" w:color="auto"/>
                                        <w:bottom w:val="none" w:sz="0" w:space="0" w:color="auto"/>
                                        <w:right w:val="none" w:sz="0" w:space="0" w:color="auto"/>
                                      </w:divBdr>
                                      <w:divsChild>
                                        <w:div w:id="598215931">
                                          <w:marLeft w:val="0"/>
                                          <w:marRight w:val="0"/>
                                          <w:marTop w:val="0"/>
                                          <w:marBottom w:val="0"/>
                                          <w:divBdr>
                                            <w:top w:val="none" w:sz="0" w:space="0" w:color="auto"/>
                                            <w:left w:val="none" w:sz="0" w:space="0" w:color="auto"/>
                                            <w:bottom w:val="none" w:sz="0" w:space="0" w:color="auto"/>
                                            <w:right w:val="none" w:sz="0" w:space="0" w:color="auto"/>
                                          </w:divBdr>
                                          <w:divsChild>
                                            <w:div w:id="2069299811">
                                              <w:marLeft w:val="0"/>
                                              <w:marRight w:val="0"/>
                                              <w:marTop w:val="0"/>
                                              <w:marBottom w:val="0"/>
                                              <w:divBdr>
                                                <w:top w:val="single" w:sz="6" w:space="0" w:color="F5F5F5"/>
                                                <w:left w:val="single" w:sz="6" w:space="0" w:color="F5F5F5"/>
                                                <w:bottom w:val="single" w:sz="6" w:space="0" w:color="F5F5F5"/>
                                                <w:right w:val="single" w:sz="6" w:space="0" w:color="F5F5F5"/>
                                              </w:divBdr>
                                              <w:divsChild>
                                                <w:div w:id="1154642001">
                                                  <w:marLeft w:val="0"/>
                                                  <w:marRight w:val="0"/>
                                                  <w:marTop w:val="0"/>
                                                  <w:marBottom w:val="0"/>
                                                  <w:divBdr>
                                                    <w:top w:val="none" w:sz="0" w:space="0" w:color="auto"/>
                                                    <w:left w:val="none" w:sz="0" w:space="0" w:color="auto"/>
                                                    <w:bottom w:val="none" w:sz="0" w:space="0" w:color="auto"/>
                                                    <w:right w:val="none" w:sz="0" w:space="0" w:color="auto"/>
                                                  </w:divBdr>
                                                  <w:divsChild>
                                                    <w:div w:id="3466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656958">
      <w:bodyDiv w:val="1"/>
      <w:marLeft w:val="0"/>
      <w:marRight w:val="0"/>
      <w:marTop w:val="0"/>
      <w:marBottom w:val="0"/>
      <w:divBdr>
        <w:top w:val="none" w:sz="0" w:space="0" w:color="auto"/>
        <w:left w:val="none" w:sz="0" w:space="0" w:color="auto"/>
        <w:bottom w:val="none" w:sz="0" w:space="0" w:color="auto"/>
        <w:right w:val="none" w:sz="0" w:space="0" w:color="auto"/>
      </w:divBdr>
    </w:div>
    <w:div w:id="700205065">
      <w:bodyDiv w:val="1"/>
      <w:marLeft w:val="0"/>
      <w:marRight w:val="0"/>
      <w:marTop w:val="0"/>
      <w:marBottom w:val="0"/>
      <w:divBdr>
        <w:top w:val="none" w:sz="0" w:space="0" w:color="auto"/>
        <w:left w:val="none" w:sz="0" w:space="0" w:color="auto"/>
        <w:bottom w:val="none" w:sz="0" w:space="0" w:color="auto"/>
        <w:right w:val="none" w:sz="0" w:space="0" w:color="auto"/>
      </w:divBdr>
      <w:divsChild>
        <w:div w:id="366103165">
          <w:marLeft w:val="0"/>
          <w:marRight w:val="0"/>
          <w:marTop w:val="0"/>
          <w:marBottom w:val="0"/>
          <w:divBdr>
            <w:top w:val="none" w:sz="0" w:space="0" w:color="auto"/>
            <w:left w:val="none" w:sz="0" w:space="0" w:color="auto"/>
            <w:bottom w:val="none" w:sz="0" w:space="0" w:color="auto"/>
            <w:right w:val="none" w:sz="0" w:space="0" w:color="auto"/>
          </w:divBdr>
          <w:divsChild>
            <w:div w:id="899023522">
              <w:marLeft w:val="0"/>
              <w:marRight w:val="0"/>
              <w:marTop w:val="0"/>
              <w:marBottom w:val="0"/>
              <w:divBdr>
                <w:top w:val="none" w:sz="0" w:space="0" w:color="auto"/>
                <w:left w:val="none" w:sz="0" w:space="0" w:color="auto"/>
                <w:bottom w:val="none" w:sz="0" w:space="0" w:color="auto"/>
                <w:right w:val="none" w:sz="0" w:space="0" w:color="auto"/>
              </w:divBdr>
              <w:divsChild>
                <w:div w:id="1439179793">
                  <w:marLeft w:val="0"/>
                  <w:marRight w:val="0"/>
                  <w:marTop w:val="0"/>
                  <w:marBottom w:val="0"/>
                  <w:divBdr>
                    <w:top w:val="none" w:sz="0" w:space="0" w:color="auto"/>
                    <w:left w:val="none" w:sz="0" w:space="0" w:color="auto"/>
                    <w:bottom w:val="none" w:sz="0" w:space="0" w:color="auto"/>
                    <w:right w:val="none" w:sz="0" w:space="0" w:color="auto"/>
                  </w:divBdr>
                  <w:divsChild>
                    <w:div w:id="1258489238">
                      <w:marLeft w:val="0"/>
                      <w:marRight w:val="0"/>
                      <w:marTop w:val="0"/>
                      <w:marBottom w:val="0"/>
                      <w:divBdr>
                        <w:top w:val="none" w:sz="0" w:space="0" w:color="auto"/>
                        <w:left w:val="none" w:sz="0" w:space="0" w:color="auto"/>
                        <w:bottom w:val="none" w:sz="0" w:space="0" w:color="auto"/>
                        <w:right w:val="none" w:sz="0" w:space="0" w:color="auto"/>
                      </w:divBdr>
                      <w:divsChild>
                        <w:div w:id="325128582">
                          <w:marLeft w:val="0"/>
                          <w:marRight w:val="0"/>
                          <w:marTop w:val="0"/>
                          <w:marBottom w:val="0"/>
                          <w:divBdr>
                            <w:top w:val="none" w:sz="0" w:space="0" w:color="auto"/>
                            <w:left w:val="none" w:sz="0" w:space="0" w:color="auto"/>
                            <w:bottom w:val="none" w:sz="0" w:space="0" w:color="auto"/>
                            <w:right w:val="none" w:sz="0" w:space="0" w:color="auto"/>
                          </w:divBdr>
                          <w:divsChild>
                            <w:div w:id="844592183">
                              <w:marLeft w:val="0"/>
                              <w:marRight w:val="0"/>
                              <w:marTop w:val="0"/>
                              <w:marBottom w:val="0"/>
                              <w:divBdr>
                                <w:top w:val="none" w:sz="0" w:space="0" w:color="auto"/>
                                <w:left w:val="none" w:sz="0" w:space="0" w:color="auto"/>
                                <w:bottom w:val="none" w:sz="0" w:space="0" w:color="auto"/>
                                <w:right w:val="none" w:sz="0" w:space="0" w:color="auto"/>
                              </w:divBdr>
                              <w:divsChild>
                                <w:div w:id="643698093">
                                  <w:marLeft w:val="0"/>
                                  <w:marRight w:val="0"/>
                                  <w:marTop w:val="0"/>
                                  <w:marBottom w:val="0"/>
                                  <w:divBdr>
                                    <w:top w:val="none" w:sz="0" w:space="0" w:color="auto"/>
                                    <w:left w:val="none" w:sz="0" w:space="0" w:color="auto"/>
                                    <w:bottom w:val="none" w:sz="0" w:space="0" w:color="auto"/>
                                    <w:right w:val="none" w:sz="0" w:space="0" w:color="auto"/>
                                  </w:divBdr>
                                  <w:divsChild>
                                    <w:div w:id="1477336332">
                                      <w:marLeft w:val="0"/>
                                      <w:marRight w:val="0"/>
                                      <w:marTop w:val="0"/>
                                      <w:marBottom w:val="0"/>
                                      <w:divBdr>
                                        <w:top w:val="none" w:sz="0" w:space="0" w:color="auto"/>
                                        <w:left w:val="none" w:sz="0" w:space="0" w:color="auto"/>
                                        <w:bottom w:val="none" w:sz="0" w:space="0" w:color="auto"/>
                                        <w:right w:val="none" w:sz="0" w:space="0" w:color="auto"/>
                                      </w:divBdr>
                                      <w:divsChild>
                                        <w:div w:id="183322434">
                                          <w:marLeft w:val="0"/>
                                          <w:marRight w:val="0"/>
                                          <w:marTop w:val="0"/>
                                          <w:marBottom w:val="0"/>
                                          <w:divBdr>
                                            <w:top w:val="none" w:sz="0" w:space="0" w:color="auto"/>
                                            <w:left w:val="none" w:sz="0" w:space="0" w:color="auto"/>
                                            <w:bottom w:val="none" w:sz="0" w:space="0" w:color="auto"/>
                                            <w:right w:val="none" w:sz="0" w:space="0" w:color="auto"/>
                                          </w:divBdr>
                                          <w:divsChild>
                                            <w:div w:id="981891167">
                                              <w:marLeft w:val="0"/>
                                              <w:marRight w:val="0"/>
                                              <w:marTop w:val="0"/>
                                              <w:marBottom w:val="0"/>
                                              <w:divBdr>
                                                <w:top w:val="single" w:sz="6" w:space="0" w:color="F5F5F5"/>
                                                <w:left w:val="single" w:sz="6" w:space="0" w:color="F5F5F5"/>
                                                <w:bottom w:val="single" w:sz="6" w:space="0" w:color="F5F5F5"/>
                                                <w:right w:val="single" w:sz="6" w:space="0" w:color="F5F5F5"/>
                                              </w:divBdr>
                                              <w:divsChild>
                                                <w:div w:id="84963517">
                                                  <w:marLeft w:val="0"/>
                                                  <w:marRight w:val="0"/>
                                                  <w:marTop w:val="0"/>
                                                  <w:marBottom w:val="0"/>
                                                  <w:divBdr>
                                                    <w:top w:val="none" w:sz="0" w:space="0" w:color="auto"/>
                                                    <w:left w:val="none" w:sz="0" w:space="0" w:color="auto"/>
                                                    <w:bottom w:val="none" w:sz="0" w:space="0" w:color="auto"/>
                                                    <w:right w:val="none" w:sz="0" w:space="0" w:color="auto"/>
                                                  </w:divBdr>
                                                  <w:divsChild>
                                                    <w:div w:id="26496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9634493">
      <w:bodyDiv w:val="1"/>
      <w:marLeft w:val="0"/>
      <w:marRight w:val="0"/>
      <w:marTop w:val="0"/>
      <w:marBottom w:val="0"/>
      <w:divBdr>
        <w:top w:val="none" w:sz="0" w:space="0" w:color="auto"/>
        <w:left w:val="none" w:sz="0" w:space="0" w:color="auto"/>
        <w:bottom w:val="none" w:sz="0" w:space="0" w:color="auto"/>
        <w:right w:val="none" w:sz="0" w:space="0" w:color="auto"/>
      </w:divBdr>
      <w:divsChild>
        <w:div w:id="80179911">
          <w:marLeft w:val="720"/>
          <w:marRight w:val="0"/>
          <w:marTop w:val="0"/>
          <w:marBottom w:val="0"/>
          <w:divBdr>
            <w:top w:val="none" w:sz="0" w:space="0" w:color="auto"/>
            <w:left w:val="none" w:sz="0" w:space="0" w:color="auto"/>
            <w:bottom w:val="none" w:sz="0" w:space="0" w:color="auto"/>
            <w:right w:val="none" w:sz="0" w:space="0" w:color="auto"/>
          </w:divBdr>
        </w:div>
        <w:div w:id="336344453">
          <w:marLeft w:val="720"/>
          <w:marRight w:val="0"/>
          <w:marTop w:val="0"/>
          <w:marBottom w:val="0"/>
          <w:divBdr>
            <w:top w:val="none" w:sz="0" w:space="0" w:color="auto"/>
            <w:left w:val="none" w:sz="0" w:space="0" w:color="auto"/>
            <w:bottom w:val="none" w:sz="0" w:space="0" w:color="auto"/>
            <w:right w:val="none" w:sz="0" w:space="0" w:color="auto"/>
          </w:divBdr>
        </w:div>
        <w:div w:id="476923777">
          <w:marLeft w:val="720"/>
          <w:marRight w:val="0"/>
          <w:marTop w:val="0"/>
          <w:marBottom w:val="0"/>
          <w:divBdr>
            <w:top w:val="none" w:sz="0" w:space="0" w:color="auto"/>
            <w:left w:val="none" w:sz="0" w:space="0" w:color="auto"/>
            <w:bottom w:val="none" w:sz="0" w:space="0" w:color="auto"/>
            <w:right w:val="none" w:sz="0" w:space="0" w:color="auto"/>
          </w:divBdr>
        </w:div>
        <w:div w:id="734935762">
          <w:marLeft w:val="720"/>
          <w:marRight w:val="0"/>
          <w:marTop w:val="0"/>
          <w:marBottom w:val="0"/>
          <w:divBdr>
            <w:top w:val="none" w:sz="0" w:space="0" w:color="auto"/>
            <w:left w:val="none" w:sz="0" w:space="0" w:color="auto"/>
            <w:bottom w:val="none" w:sz="0" w:space="0" w:color="auto"/>
            <w:right w:val="none" w:sz="0" w:space="0" w:color="auto"/>
          </w:divBdr>
        </w:div>
        <w:div w:id="792863102">
          <w:marLeft w:val="720"/>
          <w:marRight w:val="0"/>
          <w:marTop w:val="0"/>
          <w:marBottom w:val="0"/>
          <w:divBdr>
            <w:top w:val="none" w:sz="0" w:space="0" w:color="auto"/>
            <w:left w:val="none" w:sz="0" w:space="0" w:color="auto"/>
            <w:bottom w:val="none" w:sz="0" w:space="0" w:color="auto"/>
            <w:right w:val="none" w:sz="0" w:space="0" w:color="auto"/>
          </w:divBdr>
        </w:div>
        <w:div w:id="1266155969">
          <w:marLeft w:val="720"/>
          <w:marRight w:val="0"/>
          <w:marTop w:val="0"/>
          <w:marBottom w:val="0"/>
          <w:divBdr>
            <w:top w:val="none" w:sz="0" w:space="0" w:color="auto"/>
            <w:left w:val="none" w:sz="0" w:space="0" w:color="auto"/>
            <w:bottom w:val="none" w:sz="0" w:space="0" w:color="auto"/>
            <w:right w:val="none" w:sz="0" w:space="0" w:color="auto"/>
          </w:divBdr>
        </w:div>
        <w:div w:id="1895846715">
          <w:marLeft w:val="720"/>
          <w:marRight w:val="0"/>
          <w:marTop w:val="0"/>
          <w:marBottom w:val="0"/>
          <w:divBdr>
            <w:top w:val="none" w:sz="0" w:space="0" w:color="auto"/>
            <w:left w:val="none" w:sz="0" w:space="0" w:color="auto"/>
            <w:bottom w:val="none" w:sz="0" w:space="0" w:color="auto"/>
            <w:right w:val="none" w:sz="0" w:space="0" w:color="auto"/>
          </w:divBdr>
        </w:div>
      </w:divsChild>
    </w:div>
    <w:div w:id="937640801">
      <w:bodyDiv w:val="1"/>
      <w:marLeft w:val="0"/>
      <w:marRight w:val="0"/>
      <w:marTop w:val="0"/>
      <w:marBottom w:val="0"/>
      <w:divBdr>
        <w:top w:val="none" w:sz="0" w:space="0" w:color="auto"/>
        <w:left w:val="none" w:sz="0" w:space="0" w:color="auto"/>
        <w:bottom w:val="none" w:sz="0" w:space="0" w:color="auto"/>
        <w:right w:val="none" w:sz="0" w:space="0" w:color="auto"/>
      </w:divBdr>
      <w:divsChild>
        <w:div w:id="1593933604">
          <w:marLeft w:val="0"/>
          <w:marRight w:val="0"/>
          <w:marTop w:val="0"/>
          <w:marBottom w:val="0"/>
          <w:divBdr>
            <w:top w:val="none" w:sz="0" w:space="0" w:color="auto"/>
            <w:left w:val="none" w:sz="0" w:space="0" w:color="auto"/>
            <w:bottom w:val="none" w:sz="0" w:space="0" w:color="auto"/>
            <w:right w:val="none" w:sz="0" w:space="0" w:color="auto"/>
          </w:divBdr>
          <w:divsChild>
            <w:div w:id="1452478297">
              <w:marLeft w:val="0"/>
              <w:marRight w:val="0"/>
              <w:marTop w:val="0"/>
              <w:marBottom w:val="0"/>
              <w:divBdr>
                <w:top w:val="none" w:sz="0" w:space="0" w:color="auto"/>
                <w:left w:val="none" w:sz="0" w:space="0" w:color="auto"/>
                <w:bottom w:val="none" w:sz="0" w:space="0" w:color="auto"/>
                <w:right w:val="none" w:sz="0" w:space="0" w:color="auto"/>
              </w:divBdr>
              <w:divsChild>
                <w:div w:id="1673293113">
                  <w:marLeft w:val="0"/>
                  <w:marRight w:val="0"/>
                  <w:marTop w:val="0"/>
                  <w:marBottom w:val="0"/>
                  <w:divBdr>
                    <w:top w:val="none" w:sz="0" w:space="0" w:color="auto"/>
                    <w:left w:val="none" w:sz="0" w:space="0" w:color="auto"/>
                    <w:bottom w:val="none" w:sz="0" w:space="0" w:color="auto"/>
                    <w:right w:val="none" w:sz="0" w:space="0" w:color="auto"/>
                  </w:divBdr>
                  <w:divsChild>
                    <w:div w:id="1913663447">
                      <w:marLeft w:val="0"/>
                      <w:marRight w:val="0"/>
                      <w:marTop w:val="0"/>
                      <w:marBottom w:val="0"/>
                      <w:divBdr>
                        <w:top w:val="none" w:sz="0" w:space="0" w:color="auto"/>
                        <w:left w:val="none" w:sz="0" w:space="0" w:color="auto"/>
                        <w:bottom w:val="none" w:sz="0" w:space="0" w:color="auto"/>
                        <w:right w:val="none" w:sz="0" w:space="0" w:color="auto"/>
                      </w:divBdr>
                      <w:divsChild>
                        <w:div w:id="1018889189">
                          <w:marLeft w:val="0"/>
                          <w:marRight w:val="0"/>
                          <w:marTop w:val="0"/>
                          <w:marBottom w:val="0"/>
                          <w:divBdr>
                            <w:top w:val="none" w:sz="0" w:space="0" w:color="auto"/>
                            <w:left w:val="none" w:sz="0" w:space="0" w:color="auto"/>
                            <w:bottom w:val="none" w:sz="0" w:space="0" w:color="auto"/>
                            <w:right w:val="none" w:sz="0" w:space="0" w:color="auto"/>
                          </w:divBdr>
                          <w:divsChild>
                            <w:div w:id="1700817215">
                              <w:marLeft w:val="0"/>
                              <w:marRight w:val="0"/>
                              <w:marTop w:val="0"/>
                              <w:marBottom w:val="0"/>
                              <w:divBdr>
                                <w:top w:val="none" w:sz="0" w:space="0" w:color="auto"/>
                                <w:left w:val="none" w:sz="0" w:space="0" w:color="auto"/>
                                <w:bottom w:val="none" w:sz="0" w:space="0" w:color="auto"/>
                                <w:right w:val="none" w:sz="0" w:space="0" w:color="auto"/>
                              </w:divBdr>
                              <w:divsChild>
                                <w:div w:id="1015958369">
                                  <w:marLeft w:val="0"/>
                                  <w:marRight w:val="0"/>
                                  <w:marTop w:val="0"/>
                                  <w:marBottom w:val="0"/>
                                  <w:divBdr>
                                    <w:top w:val="none" w:sz="0" w:space="0" w:color="auto"/>
                                    <w:left w:val="none" w:sz="0" w:space="0" w:color="auto"/>
                                    <w:bottom w:val="none" w:sz="0" w:space="0" w:color="auto"/>
                                    <w:right w:val="none" w:sz="0" w:space="0" w:color="auto"/>
                                  </w:divBdr>
                                  <w:divsChild>
                                    <w:div w:id="943537615">
                                      <w:marLeft w:val="0"/>
                                      <w:marRight w:val="0"/>
                                      <w:marTop w:val="0"/>
                                      <w:marBottom w:val="0"/>
                                      <w:divBdr>
                                        <w:top w:val="single" w:sz="6" w:space="0" w:color="F5F5F5"/>
                                        <w:left w:val="single" w:sz="6" w:space="0" w:color="F5F5F5"/>
                                        <w:bottom w:val="single" w:sz="6" w:space="0" w:color="F5F5F5"/>
                                        <w:right w:val="single" w:sz="6" w:space="0" w:color="F5F5F5"/>
                                      </w:divBdr>
                                      <w:divsChild>
                                        <w:div w:id="743070761">
                                          <w:marLeft w:val="0"/>
                                          <w:marRight w:val="0"/>
                                          <w:marTop w:val="0"/>
                                          <w:marBottom w:val="0"/>
                                          <w:divBdr>
                                            <w:top w:val="none" w:sz="0" w:space="0" w:color="auto"/>
                                            <w:left w:val="none" w:sz="0" w:space="0" w:color="auto"/>
                                            <w:bottom w:val="none" w:sz="0" w:space="0" w:color="auto"/>
                                            <w:right w:val="none" w:sz="0" w:space="0" w:color="auto"/>
                                          </w:divBdr>
                                          <w:divsChild>
                                            <w:div w:id="51202484">
                                              <w:marLeft w:val="0"/>
                                              <w:marRight w:val="0"/>
                                              <w:marTop w:val="0"/>
                                              <w:marBottom w:val="0"/>
                                              <w:divBdr>
                                                <w:top w:val="none" w:sz="0" w:space="0" w:color="auto"/>
                                                <w:left w:val="none" w:sz="0" w:space="0" w:color="auto"/>
                                                <w:bottom w:val="none" w:sz="0" w:space="0" w:color="auto"/>
                                                <w:right w:val="none" w:sz="0" w:space="0" w:color="auto"/>
                                              </w:divBdr>
                                              <w:divsChild>
                                                <w:div w:id="764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9230">
                                          <w:marLeft w:val="0"/>
                                          <w:marRight w:val="0"/>
                                          <w:marTop w:val="0"/>
                                          <w:marBottom w:val="0"/>
                                          <w:divBdr>
                                            <w:top w:val="none" w:sz="0" w:space="0" w:color="auto"/>
                                            <w:left w:val="none" w:sz="0" w:space="0" w:color="auto"/>
                                            <w:bottom w:val="none" w:sz="0" w:space="0" w:color="auto"/>
                                            <w:right w:val="none" w:sz="0" w:space="0" w:color="auto"/>
                                          </w:divBdr>
                                          <w:divsChild>
                                            <w:div w:id="1985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569267">
      <w:bodyDiv w:val="1"/>
      <w:marLeft w:val="0"/>
      <w:marRight w:val="0"/>
      <w:marTop w:val="0"/>
      <w:marBottom w:val="0"/>
      <w:divBdr>
        <w:top w:val="none" w:sz="0" w:space="0" w:color="auto"/>
        <w:left w:val="none" w:sz="0" w:space="0" w:color="auto"/>
        <w:bottom w:val="none" w:sz="0" w:space="0" w:color="auto"/>
        <w:right w:val="none" w:sz="0" w:space="0" w:color="auto"/>
      </w:divBdr>
      <w:divsChild>
        <w:div w:id="1250963471">
          <w:marLeft w:val="0"/>
          <w:marRight w:val="0"/>
          <w:marTop w:val="0"/>
          <w:marBottom w:val="0"/>
          <w:divBdr>
            <w:top w:val="none" w:sz="0" w:space="0" w:color="auto"/>
            <w:left w:val="none" w:sz="0" w:space="0" w:color="auto"/>
            <w:bottom w:val="none" w:sz="0" w:space="0" w:color="auto"/>
            <w:right w:val="none" w:sz="0" w:space="0" w:color="auto"/>
          </w:divBdr>
          <w:divsChild>
            <w:div w:id="1862163117">
              <w:marLeft w:val="0"/>
              <w:marRight w:val="0"/>
              <w:marTop w:val="0"/>
              <w:marBottom w:val="0"/>
              <w:divBdr>
                <w:top w:val="none" w:sz="0" w:space="0" w:color="auto"/>
                <w:left w:val="none" w:sz="0" w:space="0" w:color="auto"/>
                <w:bottom w:val="none" w:sz="0" w:space="0" w:color="auto"/>
                <w:right w:val="none" w:sz="0" w:space="0" w:color="auto"/>
              </w:divBdr>
              <w:divsChild>
                <w:div w:id="850141579">
                  <w:marLeft w:val="0"/>
                  <w:marRight w:val="0"/>
                  <w:marTop w:val="0"/>
                  <w:marBottom w:val="0"/>
                  <w:divBdr>
                    <w:top w:val="none" w:sz="0" w:space="0" w:color="auto"/>
                    <w:left w:val="none" w:sz="0" w:space="0" w:color="auto"/>
                    <w:bottom w:val="none" w:sz="0" w:space="0" w:color="auto"/>
                    <w:right w:val="none" w:sz="0" w:space="0" w:color="auto"/>
                  </w:divBdr>
                  <w:divsChild>
                    <w:div w:id="746266841">
                      <w:marLeft w:val="0"/>
                      <w:marRight w:val="0"/>
                      <w:marTop w:val="0"/>
                      <w:marBottom w:val="0"/>
                      <w:divBdr>
                        <w:top w:val="none" w:sz="0" w:space="0" w:color="auto"/>
                        <w:left w:val="none" w:sz="0" w:space="0" w:color="auto"/>
                        <w:bottom w:val="none" w:sz="0" w:space="0" w:color="auto"/>
                        <w:right w:val="none" w:sz="0" w:space="0" w:color="auto"/>
                      </w:divBdr>
                      <w:divsChild>
                        <w:div w:id="644511763">
                          <w:marLeft w:val="0"/>
                          <w:marRight w:val="0"/>
                          <w:marTop w:val="0"/>
                          <w:marBottom w:val="0"/>
                          <w:divBdr>
                            <w:top w:val="none" w:sz="0" w:space="0" w:color="auto"/>
                            <w:left w:val="none" w:sz="0" w:space="0" w:color="auto"/>
                            <w:bottom w:val="none" w:sz="0" w:space="0" w:color="auto"/>
                            <w:right w:val="none" w:sz="0" w:space="0" w:color="auto"/>
                          </w:divBdr>
                          <w:divsChild>
                            <w:div w:id="1220289309">
                              <w:marLeft w:val="0"/>
                              <w:marRight w:val="0"/>
                              <w:marTop w:val="0"/>
                              <w:marBottom w:val="0"/>
                              <w:divBdr>
                                <w:top w:val="none" w:sz="0" w:space="0" w:color="auto"/>
                                <w:left w:val="none" w:sz="0" w:space="0" w:color="auto"/>
                                <w:bottom w:val="none" w:sz="0" w:space="0" w:color="auto"/>
                                <w:right w:val="none" w:sz="0" w:space="0" w:color="auto"/>
                              </w:divBdr>
                              <w:divsChild>
                                <w:div w:id="1395548449">
                                  <w:marLeft w:val="0"/>
                                  <w:marRight w:val="0"/>
                                  <w:marTop w:val="0"/>
                                  <w:marBottom w:val="0"/>
                                  <w:divBdr>
                                    <w:top w:val="none" w:sz="0" w:space="0" w:color="auto"/>
                                    <w:left w:val="none" w:sz="0" w:space="0" w:color="auto"/>
                                    <w:bottom w:val="none" w:sz="0" w:space="0" w:color="auto"/>
                                    <w:right w:val="none" w:sz="0" w:space="0" w:color="auto"/>
                                  </w:divBdr>
                                  <w:divsChild>
                                    <w:div w:id="1695686777">
                                      <w:marLeft w:val="0"/>
                                      <w:marRight w:val="0"/>
                                      <w:marTop w:val="0"/>
                                      <w:marBottom w:val="0"/>
                                      <w:divBdr>
                                        <w:top w:val="single" w:sz="6" w:space="0" w:color="F5F5F5"/>
                                        <w:left w:val="single" w:sz="6" w:space="0" w:color="F5F5F5"/>
                                        <w:bottom w:val="single" w:sz="6" w:space="0" w:color="F5F5F5"/>
                                        <w:right w:val="single" w:sz="6" w:space="0" w:color="F5F5F5"/>
                                      </w:divBdr>
                                      <w:divsChild>
                                        <w:div w:id="301618431">
                                          <w:marLeft w:val="0"/>
                                          <w:marRight w:val="0"/>
                                          <w:marTop w:val="0"/>
                                          <w:marBottom w:val="0"/>
                                          <w:divBdr>
                                            <w:top w:val="none" w:sz="0" w:space="0" w:color="auto"/>
                                            <w:left w:val="none" w:sz="0" w:space="0" w:color="auto"/>
                                            <w:bottom w:val="none" w:sz="0" w:space="0" w:color="auto"/>
                                            <w:right w:val="none" w:sz="0" w:space="0" w:color="auto"/>
                                          </w:divBdr>
                                          <w:divsChild>
                                            <w:div w:id="1132095422">
                                              <w:marLeft w:val="0"/>
                                              <w:marRight w:val="0"/>
                                              <w:marTop w:val="0"/>
                                              <w:marBottom w:val="0"/>
                                              <w:divBdr>
                                                <w:top w:val="none" w:sz="0" w:space="0" w:color="auto"/>
                                                <w:left w:val="none" w:sz="0" w:space="0" w:color="auto"/>
                                                <w:bottom w:val="none" w:sz="0" w:space="0" w:color="auto"/>
                                                <w:right w:val="none" w:sz="0" w:space="0" w:color="auto"/>
                                              </w:divBdr>
                                              <w:divsChild>
                                                <w:div w:id="14963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8641">
                                          <w:marLeft w:val="0"/>
                                          <w:marRight w:val="0"/>
                                          <w:marTop w:val="0"/>
                                          <w:marBottom w:val="0"/>
                                          <w:divBdr>
                                            <w:top w:val="none" w:sz="0" w:space="0" w:color="auto"/>
                                            <w:left w:val="none" w:sz="0" w:space="0" w:color="auto"/>
                                            <w:bottom w:val="none" w:sz="0" w:space="0" w:color="auto"/>
                                            <w:right w:val="none" w:sz="0" w:space="0" w:color="auto"/>
                                          </w:divBdr>
                                          <w:divsChild>
                                            <w:div w:id="145250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customXml" Target="../customXml/item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ustomXml" Target="../customXml/item2.xml"/><Relationship Id="rId27" Type="http://schemas.openxmlformats.org/officeDocument/2006/relationships/customXml" Target="../customXml/item7.xml"/></Relationships>
</file>

<file path=word/_rels/footnotes.xml.rels><?xml version="1.0" encoding="UTF-8" standalone="yes"?>
<Relationships xmlns="http://schemas.openxmlformats.org/package/2006/relationships"><Relationship Id="rId3" Type="http://schemas.openxmlformats.org/officeDocument/2006/relationships/hyperlink" Target="http://www.ifc.org/wps/wcm/connect/b44dae8048855a5585ccd76a6515bb18/General%2BEHS%2B-%2BSpanish%2B-%2BFinal%2Brev%2Bcc.pdf?MOD=AJPERES" TargetMode="External"/><Relationship Id="rId2" Type="http://schemas.openxmlformats.org/officeDocument/2006/relationships/hyperlink" Target="http://idbdocs.iadb.org/wsdocs/getDocument.aspx?DOCNUM=40678872" TargetMode="External"/><Relationship Id="rId1" Type="http://schemas.openxmlformats.org/officeDocument/2006/relationships/hyperlink" Target="http://idbdocs.iadb.org/wsdocs/getDocument.aspx?DOCNUM=40678880" TargetMode="External"/><Relationship Id="rId4" Type="http://schemas.openxmlformats.org/officeDocument/2006/relationships/hyperlink" Target="http://www.ifc.org/wps/wcm/connect/0ff3840048855c708bd4db6a6515bb18/0000199659ESes%2BElectric%2BPower%2BTransmission%2Band%2BDistribution%2Brev%2Bcc.pdf?MOD=AJPE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z-Corporate" ma:contentTypeID="0x0101000308A27134084F4AA40781B2DCA498A500721408117DDF814780936000BF61A1C3" ma:contentTypeVersion="18" ma:contentTypeDescription="The corporate content type from which other content types in the corporate content type track inherit their information." ma:contentTypeScope="" ma:versionID="89dcc3b3f757ec315a8ac2a5ac1d544b">
  <xsd:schema xmlns:xsd="http://www.w3.org/2001/XMLSchema" xmlns:xs="http://www.w3.org/2001/XMLSchema" xmlns:p="http://schemas.microsoft.com/office/2006/metadata/properties" xmlns:ns2="cdc7663a-08f0-4737-9e8c-148ce897a09c" targetNamespace="http://schemas.microsoft.com/office/2006/metadata/properties" ma:root="true" ma:fieldsID="166565de65ec4633bedf7238eb69b408" ns2:_="">
    <xsd:import namespace="cdc7663a-08f0-4737-9e8c-148ce897a09c"/>
    <xsd:element name="properties">
      <xsd:complexType>
        <xsd:sequence>
          <xsd:element name="documentManagement">
            <xsd:complexType>
              <xsd:all>
                <xsd:element ref="ns2:Access_x0020_to_x0020_Information_x00a0_Policy"/>
                <xsd:element ref="ns2:Document_x0020_Author" minOccurs="0"/>
                <xsd:element ref="ns2:Other_x0020_Author" minOccurs="0"/>
                <xsd:element ref="ns2:Division_x0020_or_x0020_Unit" minOccurs="0"/>
                <xsd:element ref="ns2:Document_x0020_Language_x0020_IDB" minOccurs="0"/>
                <xsd:element ref="ns2:From_x003a_" minOccurs="0"/>
                <xsd:element ref="ns2:To_x003a_" minOccurs="0"/>
                <xsd:element ref="ns2:Identifier" minOccurs="0"/>
                <xsd:element ref="ns2:IDBDocs_x0020_Number" minOccurs="0"/>
                <xsd:element ref="ns2:Migration_x0020_Info" minOccurs="0"/>
                <xsd:element ref="ns2:ic46d7e087fd4a108fb86518ca413cc6" minOccurs="0"/>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j65ec2e3a7e44c39a1acebfd2a19200a" minOccurs="0"/>
                <xsd:element ref="ns2:SISCOR_x0020_Number" minOccurs="0"/>
                <xsd:element ref="ns2:Fiscal_x0020_Year_x0020_IDB" minOccurs="0"/>
                <xsd:element ref="ns2:Record_x0020_Number" minOccurs="0"/>
                <xsd:element ref="ns2:Related_x0020_SisCor_x0020_Number"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Access_x0020_to_x0020_Information_x00a0_Policy" ma:index="2"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5" nillable="true" ma:displayName="Document Author" ma:internalName="Document_x0020_Author">
      <xsd:simpleType>
        <xsd:restriction base="dms:Text">
          <xsd:maxLength value="255"/>
        </xsd:restriction>
      </xsd:simpleType>
    </xsd:element>
    <xsd:element name="Other_x0020_Author" ma:index="6" nillable="true" ma:displayName="Other Author" ma:internalName="Other_x0020_Author">
      <xsd:simpleType>
        <xsd:restriction base="dms:Text">
          <xsd:maxLength value="255"/>
        </xsd:restriction>
      </xsd:simpleType>
    </xsd:element>
    <xsd:element name="Division_x0020_or_x0020_Unit" ma:index="8" nillable="true" ma:displayName="Division or Unit" ma:internalName="Division_x0020_or_x0020_Unit">
      <xsd:simpleType>
        <xsd:restriction base="dms:Text">
          <xsd:maxLength value="255"/>
        </xsd:restriction>
      </xsd:simpleType>
    </xsd:element>
    <xsd:element name="Document_x0020_Language_x0020_IDB" ma:index="9"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10" nillable="true" ma:displayName="From:" ma:description="Sender name from email message" ma:internalName="From_x003A_">
      <xsd:simpleType>
        <xsd:restriction base="dms:Text">
          <xsd:maxLength value="255"/>
        </xsd:restriction>
      </xsd:simpleType>
    </xsd:element>
    <xsd:element name="To_x003a_" ma:index="11" nillable="true" ma:displayName="To:" ma:description="Addressee names from email message&#10;" ma:internalName="To_x003A_">
      <xsd:simpleType>
        <xsd:restriction base="dms:Text">
          <xsd:maxLength value="255"/>
        </xsd:restriction>
      </xsd:simpleType>
    </xsd:element>
    <xsd:element name="Identifier" ma:index="12" nillable="true" ma:displayName="Identifier" ma:internalName="Identifier">
      <xsd:simpleType>
        <xsd:restriction base="dms:Text">
          <xsd:maxLength value="255"/>
        </xsd:restriction>
      </xsd:simpleType>
    </xsd:element>
    <xsd:element name="IDBDocs_x0020_Number" ma:index="13" nillable="true" ma:displayName="IDBDocs Number" ma:internalName="IDBDocs_x0020_Number" ma:readOnly="false">
      <xsd:simpleType>
        <xsd:restriction base="dms:Text">
          <xsd:maxLength value="255"/>
        </xsd:restriction>
      </xsd:simpleType>
    </xsd:element>
    <xsd:element name="Migration_x0020_Info" ma:index="14" nillable="true" ma:displayName="Migration Info" ma:internalName="Migration_x0020_Info" ma:readOnly="false">
      <xsd:simpleType>
        <xsd:restriction base="dms:Note"/>
      </xsd:simpleType>
    </xsd:element>
    <xsd:element name="ic46d7e087fd4a108fb86518ca413cc6" ma:index="1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cf0f1ca6d90e4583ad80995bcde0e58a" ma:index="23" ma:taxonomy="true" ma:internalName="cf0f1ca6d90e4583ad80995bcde0e58a" ma:taxonomyFieldName="Function_x0020_Corporate_x0020_IDB" ma:displayName="Function Corporate IDB" ma:readOnly="false" ma:default="5;#5 Organization and Functions|4701d7f9-8df6-4219-aeac-8d4b644c65a0"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4273fb29-89c1-4946-86cf-3f1dd6c2040c}" ma:internalName="TaxCatchAll" ma:showField="CatchAllData" ma:web="1b454bb2-e976-4190-97cc-0d84b4469f4b">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hidden="true" ma:list="{4273fb29-89c1-4946-86cf-3f1dd6c2040c}" ma:internalName="TaxCatchAllLabel" ma:readOnly="true" ma:showField="CatchAllDataLabel" ma:web="1b454bb2-e976-4190-97cc-0d84b4469f4b">
      <xsd:complexType>
        <xsd:complexContent>
          <xsd:extension base="dms:MultiChoiceLookup">
            <xsd:sequence>
              <xsd:element name="Value" type="dms:Lookup" maxOccurs="unbounded" minOccurs="0" nillable="true"/>
            </xsd:sequence>
          </xsd:extension>
        </xsd:complexContent>
      </xsd:complexType>
    </xsd:element>
    <xsd:element name="j65ec2e3a7e44c39a1acebfd2a19200a" ma:index="27" ma:taxonomy="true" ma:internalName="j65ec2e3a7e44c39a1acebfd2a19200a" ma:taxonomyFieldName="Series_x0020_Corporate_x0020_IDB" ma:displayName="Series Corporate IDB" ma:readOnly="false" ma:default="16;#ORF-02.1 Auditing, Evaluation and Inspection - Cases|24e319bb-6d29-4f63-88b6-a651bbe1d802"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SISCOR_x0020_Number" ma:index="29" nillable="true" ma:displayName="SISCOR Number" ma:internalName="SISCOR_x0020_Number" ma:readOnly="false">
      <xsd:simpleType>
        <xsd:restriction base="dms:Text">
          <xsd:maxLength value="255"/>
        </xsd:restriction>
      </xsd:simpleType>
    </xsd:element>
    <xsd:element name="Fiscal_x0020_Year_x0020_IDB" ma:index="30" nillable="true" ma:displayName="Fiscal Year IDB" ma:internalName="Fiscal_x0020_Year_x0020_IDB" ma:readOnly="false">
      <xsd:simpleType>
        <xsd:restriction base="dms:Text">
          <xsd:maxLength value="255"/>
        </xsd:restriction>
      </xsd:simpleType>
    </xsd:element>
    <xsd:element name="Record_x0020_Number" ma:index="31" nillable="true" ma:displayName="Record Number" ma:internalName="Record_x0020_Number">
      <xsd:simpleType>
        <xsd:restriction base="dms:Text">
          <xsd:maxLength value="255"/>
        </xsd:restriction>
      </xsd:simpleType>
    </xsd:element>
    <xsd:element name="Related_x0020_SisCor_x0020_Number" ma:index="32" nillable="true" ma:displayName="Related SisCor Number" ma:internalName="Related_x0020_SisCor_x0020_Number">
      <xsd:simpleType>
        <xsd:restriction base="dms:Text">
          <xsd:maxLength value="255"/>
        </xsd:restriction>
      </xsd:simpleType>
    </xsd:element>
    <xsd:element name="TaxKeywordTaxHTField" ma:index="33" nillable="true" ma:taxonomy="true" ma:internalName="TaxKeywordTaxHTField" ma:taxonomyFieldName="TaxKeyword" ma:displayName="Tags" ma:fieldId="{23f27201-bee3-471e-b2e7-b64fd8b7ca38}" ma:taxonomyMulti="true" ma:sspId="ae61f9b1-e23d-4f49-b3d7-56b991556c4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ae61f9b1-e23d-4f49-b3d7-56b991556c4b" ContentTypeId="0x0101000308A27134084F4AA40781B2DCA498A5" PreviousValue="false"/>
</file>

<file path=customXml/item5.xml><?xml version="1.0" encoding="utf-8"?>
<b:Sources xmlns:b="http://schemas.openxmlformats.org/officeDocument/2006/bibliography" xmlns="http://schemas.openxmlformats.org/officeDocument/2006/bibliography" SelectedStyle="\APA.XSL" StyleName="APA">
  <b:Source>
    <b:Tag>Pla13</b:Tag>
    <b:SourceType>Book</b:SourceType>
    <b:Guid>{E1A4F457-1613-4C6B-84C5-EFF5C7F2F51C}</b:Guid>
    <b:Author>
      <b:Author>
        <b:Corporate>Plan de Desarrollo de Bucaramanga 2012-2015</b:Corporate>
      </b:Author>
    </b:Author>
    <b:City>Bucaramanga</b:City>
    <b:Title>Bucarmanga Ciudad Sostenible</b:Title>
    <b:Year>2012</b:Year>
    <b:RefOrder>14</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Division_x0020_or_x0020_Unit xmlns="cdc7663a-08f0-4737-9e8c-148ce897a09c">INE/ENE</Division_x0020_or_x0020_Unit>
    <Other_x0020_Author xmlns="cdc7663a-08f0-4737-9e8c-148ce897a09c" xsi:nil="true"/>
    <IDBDocs_x0020_Number xmlns="cdc7663a-08f0-4737-9e8c-148ce897a09c">40701398</IDBDocs_x0020_Number>
    <Document_x0020_Author xmlns="cdc7663a-08f0-4737-9e8c-148ce897a09c">Tejeda Ricardez, Jesus Alberto</Document_x0020_Author>
    <TaxCatchAll xmlns="cdc7663a-08f0-4737-9e8c-148ce897a09c">
      <Value>5</Value>
      <Value>17</Value>
    </TaxCatchAll>
    <Fiscal_x0020_Year_x0020_IDB xmlns="cdc7663a-08f0-4737-9e8c-148ce897a09c">2016</Fiscal_x0020_Year_x0020_IDB>
    <Migration_x0020_Info xmlns="cdc7663a-08f0-4737-9e8c-148ce897a09c">&lt;Data&gt;&lt;APPLICATION&gt;MS WORD&lt;/APPLICATION&gt;&lt;USER_STAGE&gt;Loan Proposal&lt;/USER_STAGE&gt;&lt;APPROVAL_CODE&gt;DE&lt;/APPROVAL_CODE&gt;&lt;APPROVAL_DESC&gt;Board of Executive Directors&lt;/APPROVAL_DESC&gt;&lt;PD_OBJ_TYPE&gt;0&lt;/PD_OBJ_TYPE&gt;&lt;MAKERECORD&gt;N&lt;/MAKERECORD&gt;&lt;/Data&gt;</Migration_x0020_Info>
    <SISCOR_x0020_Number xmlns="cdc7663a-08f0-4737-9e8c-148ce897a09c" xsi:nil="true"/>
    <Identifier xmlns="cdc7663a-08f0-4737-9e8c-148ce897a09c">ANALISIS AMBIENTAL Y SOCIAL TECFILE</Identifier>
    <Document_x0020_Language_x0020_IDB xmlns="cdc7663a-08f0-4737-9e8c-148ce897a09c">Spanish</Document_x0020_Language_x0020_IDB>
    <Access_x0020_to_x0020_Information_x00a0_Policy xmlns="cdc7663a-08f0-4737-9e8c-148ce897a09c">Public</Access_x0020_to_x0020_Information_x00a0_Policy>
    <ic46d7e087fd4a108fb86518ca413cc6 xmlns="cdc7663a-08f0-4737-9e8c-148ce897a09c">
      <Terms xmlns="http://schemas.microsoft.com/office/infopath/2007/PartnerControls"/>
    </ic46d7e087fd4a108fb86518ca413cc6>
    <From_x003a_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ORF-02.2 Auditing, Evaluation and Inspection - Case Working Documents</TermName>
          <TermId xmlns="http://schemas.microsoft.com/office/infopath/2007/PartnerControls">23cadae4-290a-4cca-bf39-2f1e9a6f4de3</TermId>
        </TermInfo>
      </Terms>
    </j65ec2e3a7e44c39a1acebfd2a19200a>
    <Related_x0020_SisCor_x0020_Number xmlns="cdc7663a-08f0-4737-9e8c-148ce897a09c" xsi:nil="true"/>
    <TaxKeywordTaxHTField xmlns="cdc7663a-08f0-4737-9e8c-148ce897a09c">
      <Terms xmlns="http://schemas.microsoft.com/office/infopath/2007/PartnerControls"/>
    </TaxKeywordTaxHTField>
    <To_x003a_ xmlns="cdc7663a-08f0-4737-9e8c-148ce897a09c" xsi:nil="true"/>
    <Record_x0020_Numb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5 Organization and Functions</TermName>
          <TermId xmlns="http://schemas.microsoft.com/office/infopath/2007/PartnerControls">4701d7f9-8df6-4219-aeac-8d4b644c65a0</TermId>
        </TermInfo>
      </Terms>
    </cf0f1ca6d90e4583ad80995bcde0e58a>
    <_dlc_DocId xmlns="cdc7663a-08f0-4737-9e8c-148ce897a09c">EZSHARE-394129275-42</_dlc_DocId>
    <_dlc_DocIdUrl xmlns="cdc7663a-08f0-4737-9e8c-148ce897a09c">
      <Url>https://idbg.sharepoint.com/teams/ez-MICI/cases/_layouts/15/DocIdRedir.aspx?ID=EZSHARE-394129275-42</Url>
      <Description>EZSHARE-394129275-42</Description>
    </_dlc_DocIdUrl>
  </documentManagement>
</p:properties>
</file>

<file path=customXml/item7.xml><?xml version="1.0" encoding="utf-8"?>
<?mso-contentType ?>
<FormUrls xmlns="http://schemas.microsoft.com/sharepoint/v3/contenttype/forms/url">
  <Display>_catalogs/masterpage/ECMForms/CorporateCT/View.aspx</Display>
  <Edit>_catalogs/masterpage/ECMForms/CorporateCT/Edit.aspx</Edit>
</FormUrls>
</file>

<file path=customXml/itemProps1.xml><?xml version="1.0" encoding="utf-8"?>
<ds:datastoreItem xmlns:ds="http://schemas.openxmlformats.org/officeDocument/2006/customXml" ds:itemID="{818921FC-745C-4763-AB55-34933E17199D}"/>
</file>

<file path=customXml/itemProps2.xml><?xml version="1.0" encoding="utf-8"?>
<ds:datastoreItem xmlns:ds="http://schemas.openxmlformats.org/officeDocument/2006/customXml" ds:itemID="{7B7B9B4C-2AD4-4EF8-9449-F0FD730F0148}"/>
</file>

<file path=customXml/itemProps3.xml><?xml version="1.0" encoding="utf-8"?>
<ds:datastoreItem xmlns:ds="http://schemas.openxmlformats.org/officeDocument/2006/customXml" ds:itemID="{0AF91DF4-66D8-4EE3-9A65-3FC5C7A3B0F5}"/>
</file>

<file path=customXml/itemProps4.xml><?xml version="1.0" encoding="utf-8"?>
<ds:datastoreItem xmlns:ds="http://schemas.openxmlformats.org/officeDocument/2006/customXml" ds:itemID="{F411E875-BC87-48DB-B067-926D2C3207CF}"/>
</file>

<file path=customXml/itemProps5.xml><?xml version="1.0" encoding="utf-8"?>
<ds:datastoreItem xmlns:ds="http://schemas.openxmlformats.org/officeDocument/2006/customXml" ds:itemID="{C9552920-6F31-4B08-9AE8-20AB294094FE}"/>
</file>

<file path=customXml/itemProps6.xml><?xml version="1.0" encoding="utf-8"?>
<ds:datastoreItem xmlns:ds="http://schemas.openxmlformats.org/officeDocument/2006/customXml" ds:itemID="{17040059-D7B0-4D8D-82DC-11219D3FDDA8}"/>
</file>

<file path=customXml/itemProps7.xml><?xml version="1.0" encoding="utf-8"?>
<ds:datastoreItem xmlns:ds="http://schemas.openxmlformats.org/officeDocument/2006/customXml" ds:itemID="{7AD57189-E5B5-47FD-8DA6-04EA72AAA3FD}"/>
</file>

<file path=docProps/app.xml><?xml version="1.0" encoding="utf-8"?>
<Properties xmlns="http://schemas.openxmlformats.org/officeDocument/2006/extended-properties" xmlns:vt="http://schemas.openxmlformats.org/officeDocument/2006/docPropsVTypes">
  <Template>Normal.dotm</Template>
  <TotalTime>1</TotalTime>
  <Pages>23</Pages>
  <Words>7634</Words>
  <Characters>43520</Characters>
  <Application>Microsoft Office Word</Application>
  <DocSecurity>4</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51052</CharactersWithSpaces>
  <SharedDoc>false</SharedDoc>
  <HLinks>
    <vt:vector size="144" baseType="variant">
      <vt:variant>
        <vt:i4>1572915</vt:i4>
      </vt:variant>
      <vt:variant>
        <vt:i4>116</vt:i4>
      </vt:variant>
      <vt:variant>
        <vt:i4>0</vt:i4>
      </vt:variant>
      <vt:variant>
        <vt:i4>5</vt:i4>
      </vt:variant>
      <vt:variant>
        <vt:lpwstr/>
      </vt:variant>
      <vt:variant>
        <vt:lpwstr>_Toc463535799</vt:lpwstr>
      </vt:variant>
      <vt:variant>
        <vt:i4>1572915</vt:i4>
      </vt:variant>
      <vt:variant>
        <vt:i4>110</vt:i4>
      </vt:variant>
      <vt:variant>
        <vt:i4>0</vt:i4>
      </vt:variant>
      <vt:variant>
        <vt:i4>5</vt:i4>
      </vt:variant>
      <vt:variant>
        <vt:lpwstr/>
      </vt:variant>
      <vt:variant>
        <vt:lpwstr>_Toc463535798</vt:lpwstr>
      </vt:variant>
      <vt:variant>
        <vt:i4>1572915</vt:i4>
      </vt:variant>
      <vt:variant>
        <vt:i4>104</vt:i4>
      </vt:variant>
      <vt:variant>
        <vt:i4>0</vt:i4>
      </vt:variant>
      <vt:variant>
        <vt:i4>5</vt:i4>
      </vt:variant>
      <vt:variant>
        <vt:lpwstr/>
      </vt:variant>
      <vt:variant>
        <vt:lpwstr>_Toc463535797</vt:lpwstr>
      </vt:variant>
      <vt:variant>
        <vt:i4>1572915</vt:i4>
      </vt:variant>
      <vt:variant>
        <vt:i4>98</vt:i4>
      </vt:variant>
      <vt:variant>
        <vt:i4>0</vt:i4>
      </vt:variant>
      <vt:variant>
        <vt:i4>5</vt:i4>
      </vt:variant>
      <vt:variant>
        <vt:lpwstr/>
      </vt:variant>
      <vt:variant>
        <vt:lpwstr>_Toc463535796</vt:lpwstr>
      </vt:variant>
      <vt:variant>
        <vt:i4>1572915</vt:i4>
      </vt:variant>
      <vt:variant>
        <vt:i4>92</vt:i4>
      </vt:variant>
      <vt:variant>
        <vt:i4>0</vt:i4>
      </vt:variant>
      <vt:variant>
        <vt:i4>5</vt:i4>
      </vt:variant>
      <vt:variant>
        <vt:lpwstr/>
      </vt:variant>
      <vt:variant>
        <vt:lpwstr>_Toc463535795</vt:lpwstr>
      </vt:variant>
      <vt:variant>
        <vt:i4>1572915</vt:i4>
      </vt:variant>
      <vt:variant>
        <vt:i4>86</vt:i4>
      </vt:variant>
      <vt:variant>
        <vt:i4>0</vt:i4>
      </vt:variant>
      <vt:variant>
        <vt:i4>5</vt:i4>
      </vt:variant>
      <vt:variant>
        <vt:lpwstr/>
      </vt:variant>
      <vt:variant>
        <vt:lpwstr>_Toc463535794</vt:lpwstr>
      </vt:variant>
      <vt:variant>
        <vt:i4>1572915</vt:i4>
      </vt:variant>
      <vt:variant>
        <vt:i4>80</vt:i4>
      </vt:variant>
      <vt:variant>
        <vt:i4>0</vt:i4>
      </vt:variant>
      <vt:variant>
        <vt:i4>5</vt:i4>
      </vt:variant>
      <vt:variant>
        <vt:lpwstr/>
      </vt:variant>
      <vt:variant>
        <vt:lpwstr>_Toc463535793</vt:lpwstr>
      </vt:variant>
      <vt:variant>
        <vt:i4>1572915</vt:i4>
      </vt:variant>
      <vt:variant>
        <vt:i4>74</vt:i4>
      </vt:variant>
      <vt:variant>
        <vt:i4>0</vt:i4>
      </vt:variant>
      <vt:variant>
        <vt:i4>5</vt:i4>
      </vt:variant>
      <vt:variant>
        <vt:lpwstr/>
      </vt:variant>
      <vt:variant>
        <vt:lpwstr>_Toc463535792</vt:lpwstr>
      </vt:variant>
      <vt:variant>
        <vt:i4>1572915</vt:i4>
      </vt:variant>
      <vt:variant>
        <vt:i4>68</vt:i4>
      </vt:variant>
      <vt:variant>
        <vt:i4>0</vt:i4>
      </vt:variant>
      <vt:variant>
        <vt:i4>5</vt:i4>
      </vt:variant>
      <vt:variant>
        <vt:lpwstr/>
      </vt:variant>
      <vt:variant>
        <vt:lpwstr>_Toc463535791</vt:lpwstr>
      </vt:variant>
      <vt:variant>
        <vt:i4>1572915</vt:i4>
      </vt:variant>
      <vt:variant>
        <vt:i4>62</vt:i4>
      </vt:variant>
      <vt:variant>
        <vt:i4>0</vt:i4>
      </vt:variant>
      <vt:variant>
        <vt:i4>5</vt:i4>
      </vt:variant>
      <vt:variant>
        <vt:lpwstr/>
      </vt:variant>
      <vt:variant>
        <vt:lpwstr>_Toc463535790</vt:lpwstr>
      </vt:variant>
      <vt:variant>
        <vt:i4>1638451</vt:i4>
      </vt:variant>
      <vt:variant>
        <vt:i4>56</vt:i4>
      </vt:variant>
      <vt:variant>
        <vt:i4>0</vt:i4>
      </vt:variant>
      <vt:variant>
        <vt:i4>5</vt:i4>
      </vt:variant>
      <vt:variant>
        <vt:lpwstr/>
      </vt:variant>
      <vt:variant>
        <vt:lpwstr>_Toc463535789</vt:lpwstr>
      </vt:variant>
      <vt:variant>
        <vt:i4>1638451</vt:i4>
      </vt:variant>
      <vt:variant>
        <vt:i4>50</vt:i4>
      </vt:variant>
      <vt:variant>
        <vt:i4>0</vt:i4>
      </vt:variant>
      <vt:variant>
        <vt:i4>5</vt:i4>
      </vt:variant>
      <vt:variant>
        <vt:lpwstr/>
      </vt:variant>
      <vt:variant>
        <vt:lpwstr>_Toc463535788</vt:lpwstr>
      </vt:variant>
      <vt:variant>
        <vt:i4>1638451</vt:i4>
      </vt:variant>
      <vt:variant>
        <vt:i4>44</vt:i4>
      </vt:variant>
      <vt:variant>
        <vt:i4>0</vt:i4>
      </vt:variant>
      <vt:variant>
        <vt:i4>5</vt:i4>
      </vt:variant>
      <vt:variant>
        <vt:lpwstr/>
      </vt:variant>
      <vt:variant>
        <vt:lpwstr>_Toc463535787</vt:lpwstr>
      </vt:variant>
      <vt:variant>
        <vt:i4>1638451</vt:i4>
      </vt:variant>
      <vt:variant>
        <vt:i4>38</vt:i4>
      </vt:variant>
      <vt:variant>
        <vt:i4>0</vt:i4>
      </vt:variant>
      <vt:variant>
        <vt:i4>5</vt:i4>
      </vt:variant>
      <vt:variant>
        <vt:lpwstr/>
      </vt:variant>
      <vt:variant>
        <vt:lpwstr>_Toc463535786</vt:lpwstr>
      </vt:variant>
      <vt:variant>
        <vt:i4>1638451</vt:i4>
      </vt:variant>
      <vt:variant>
        <vt:i4>32</vt:i4>
      </vt:variant>
      <vt:variant>
        <vt:i4>0</vt:i4>
      </vt:variant>
      <vt:variant>
        <vt:i4>5</vt:i4>
      </vt:variant>
      <vt:variant>
        <vt:lpwstr/>
      </vt:variant>
      <vt:variant>
        <vt:lpwstr>_Toc463535785</vt:lpwstr>
      </vt:variant>
      <vt:variant>
        <vt:i4>1638451</vt:i4>
      </vt:variant>
      <vt:variant>
        <vt:i4>26</vt:i4>
      </vt:variant>
      <vt:variant>
        <vt:i4>0</vt:i4>
      </vt:variant>
      <vt:variant>
        <vt:i4>5</vt:i4>
      </vt:variant>
      <vt:variant>
        <vt:lpwstr/>
      </vt:variant>
      <vt:variant>
        <vt:lpwstr>_Toc463535784</vt:lpwstr>
      </vt:variant>
      <vt:variant>
        <vt:i4>1638451</vt:i4>
      </vt:variant>
      <vt:variant>
        <vt:i4>20</vt:i4>
      </vt:variant>
      <vt:variant>
        <vt:i4>0</vt:i4>
      </vt:variant>
      <vt:variant>
        <vt:i4>5</vt:i4>
      </vt:variant>
      <vt:variant>
        <vt:lpwstr/>
      </vt:variant>
      <vt:variant>
        <vt:lpwstr>_Toc463535783</vt:lpwstr>
      </vt:variant>
      <vt:variant>
        <vt:i4>1638451</vt:i4>
      </vt:variant>
      <vt:variant>
        <vt:i4>14</vt:i4>
      </vt:variant>
      <vt:variant>
        <vt:i4>0</vt:i4>
      </vt:variant>
      <vt:variant>
        <vt:i4>5</vt:i4>
      </vt:variant>
      <vt:variant>
        <vt:lpwstr/>
      </vt:variant>
      <vt:variant>
        <vt:lpwstr>_Toc463535782</vt:lpwstr>
      </vt:variant>
      <vt:variant>
        <vt:i4>1638451</vt:i4>
      </vt:variant>
      <vt:variant>
        <vt:i4>8</vt:i4>
      </vt:variant>
      <vt:variant>
        <vt:i4>0</vt:i4>
      </vt:variant>
      <vt:variant>
        <vt:i4>5</vt:i4>
      </vt:variant>
      <vt:variant>
        <vt:lpwstr/>
      </vt:variant>
      <vt:variant>
        <vt:lpwstr>_Toc463535781</vt:lpwstr>
      </vt:variant>
      <vt:variant>
        <vt:i4>1638451</vt:i4>
      </vt:variant>
      <vt:variant>
        <vt:i4>2</vt:i4>
      </vt:variant>
      <vt:variant>
        <vt:i4>0</vt:i4>
      </vt:variant>
      <vt:variant>
        <vt:i4>5</vt:i4>
      </vt:variant>
      <vt:variant>
        <vt:lpwstr/>
      </vt:variant>
      <vt:variant>
        <vt:lpwstr>_Toc463535780</vt:lpwstr>
      </vt:variant>
      <vt:variant>
        <vt:i4>524379</vt:i4>
      </vt:variant>
      <vt:variant>
        <vt:i4>9</vt:i4>
      </vt:variant>
      <vt:variant>
        <vt:i4>0</vt:i4>
      </vt:variant>
      <vt:variant>
        <vt:i4>5</vt:i4>
      </vt:variant>
      <vt:variant>
        <vt:lpwstr>http://www.ifc.org/wps/wcm/connect/0ff3840048855c708bd4db6a6515bb18/0000199659ESes%2BElectric%2BPower%2BTransmission%2Band%2BDistribution%2Brev%2Bcc.pdf?MOD=AJPERES</vt:lpwstr>
      </vt:variant>
      <vt:variant>
        <vt:lpwstr/>
      </vt:variant>
      <vt:variant>
        <vt:i4>7864435</vt:i4>
      </vt:variant>
      <vt:variant>
        <vt:i4>6</vt:i4>
      </vt:variant>
      <vt:variant>
        <vt:i4>0</vt:i4>
      </vt:variant>
      <vt:variant>
        <vt:i4>5</vt:i4>
      </vt:variant>
      <vt:variant>
        <vt:lpwstr>http://www.ifc.org/wps/wcm/connect/b44dae8048855a5585ccd76a6515bb18/General%2BEHS%2B-%2BSpanish%2B-%2BFinal%2Brev%2Bcc.pdf?MOD=AJPERES</vt:lpwstr>
      </vt:variant>
      <vt:variant>
        <vt:lpwstr/>
      </vt:variant>
      <vt:variant>
        <vt:i4>7995428</vt:i4>
      </vt:variant>
      <vt:variant>
        <vt:i4>3</vt:i4>
      </vt:variant>
      <vt:variant>
        <vt:i4>0</vt:i4>
      </vt:variant>
      <vt:variant>
        <vt:i4>5</vt:i4>
      </vt:variant>
      <vt:variant>
        <vt:lpwstr>http://idbdocs.iadb.org/wsdocs/getDocument.aspx?DOCNUM=40678872</vt:lpwstr>
      </vt:variant>
      <vt:variant>
        <vt:lpwstr/>
      </vt:variant>
      <vt:variant>
        <vt:i4>7667748</vt:i4>
      </vt:variant>
      <vt:variant>
        <vt:i4>0</vt:i4>
      </vt:variant>
      <vt:variant>
        <vt:i4>0</vt:i4>
      </vt:variant>
      <vt:variant>
        <vt:i4>5</vt:i4>
      </vt:variant>
      <vt:variant>
        <vt:lpwstr>http://idbdocs.iadb.org/wsdocs/getDocument.aspx?DOCNUM=40678880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AMBIENTAL Y SOCIAL</dc:title>
  <dc:creator>carlosalinares</dc:creator>
  <cp:lastModifiedBy>IADB</cp:lastModifiedBy>
  <cp:revision>2</cp:revision>
  <cp:lastPrinted>2013-10-30T20:10:00Z</cp:lastPrinted>
  <dcterms:created xsi:type="dcterms:W3CDTF">2016-10-12T23:57:00Z</dcterms:created>
  <dcterms:modified xsi:type="dcterms:W3CDTF">2016-10-12T23:57:00Z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0x0101000308A27134084F4AA40781B2DCA498A500721408117DDF814780936000BF61A1C3</vt:lpwstr>
  </property>
  <property fmtid="{D5CDD505-2E9C-101B-9397-08002B2CF9AE}" pid="5" name="TaxKeywordTaxHTField">
    <vt:lpwstr/>
  </property>
  <property fmtid="{D5CDD505-2E9C-101B-9397-08002B2CF9AE}" pid="6" name="Series Operations IDB">
    <vt:lpwstr>6;#Unclassified|a6dff32e-d477-44cd-a56b-85efe9e0a56c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6;#Unclassified|a6dff32e-d477-44cd-a56b-85efe9e0a56c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7;#IDBDocs|cca77002-e150-4b2d-ab1f-1d7a7cdcae16</vt:lpwstr>
  </property>
  <property fmtid="{D5CDD505-2E9C-101B-9397-08002B2CF9AE}" pid="15" name="_dlc_DocIdItemGuid">
    <vt:lpwstr>eceabf3d-a2d6-4eab-8419-3044d29d6f96</vt:lpwstr>
  </property>
  <property fmtid="{D5CDD505-2E9C-101B-9397-08002B2CF9AE}" pid="16" name="Series Corporate IDB">
    <vt:lpwstr>17;#ORF-02.2 Auditing, Evaluation and Inspection - Case Working Documents|23cadae4-290a-4cca-bf39-2f1e9a6f4de3</vt:lpwstr>
  </property>
  <property fmtid="{D5CDD505-2E9C-101B-9397-08002B2CF9AE}" pid="17" name="Function Corporate IDB">
    <vt:lpwstr>5;#5 Organization and Functions|4701d7f9-8df6-4219-aeac-8d4b644c65a0</vt:lpwstr>
  </property>
  <property fmtid="{D5CDD505-2E9C-101B-9397-08002B2CF9AE}" pid="18" name="Disclosed">
    <vt:bool>true</vt:bool>
  </property>
</Properties>
</file>