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CB" w:rsidRPr="00807BF0" w:rsidRDefault="002942CB" w:rsidP="002942CB">
      <w:pPr>
        <w:jc w:val="center"/>
        <w:rPr>
          <w:rFonts w:ascii="Arial" w:hAnsi="Arial" w:cs="Arial"/>
          <w:bCs/>
          <w:lang w:val="es-ES_tradnl"/>
        </w:rPr>
      </w:pPr>
      <w:bookmarkStart w:id="0" w:name="_Toc362343478"/>
    </w:p>
    <w:p w:rsidR="002942CB" w:rsidRPr="00807BF0" w:rsidRDefault="002942CB" w:rsidP="002942CB">
      <w:pPr>
        <w:jc w:val="center"/>
        <w:rPr>
          <w:rFonts w:ascii="Arial" w:hAnsi="Arial" w:cs="Arial"/>
          <w:bCs/>
          <w:lang w:val="es-ES_tradnl"/>
        </w:rPr>
      </w:pPr>
    </w:p>
    <w:p w:rsidR="005F472C" w:rsidRPr="00807BF0" w:rsidRDefault="005F472C" w:rsidP="002942CB">
      <w:pPr>
        <w:jc w:val="center"/>
        <w:rPr>
          <w:rFonts w:ascii="Arial" w:hAnsi="Arial" w:cs="Arial"/>
          <w:bCs/>
          <w:lang w:val="es-ES_tradnl"/>
        </w:rPr>
      </w:pPr>
    </w:p>
    <w:p w:rsidR="002942CB" w:rsidRPr="00807BF0" w:rsidRDefault="002942CB" w:rsidP="002942CB">
      <w:pPr>
        <w:jc w:val="center"/>
        <w:rPr>
          <w:rFonts w:ascii="Arial" w:hAnsi="Arial" w:cs="Arial"/>
          <w:bCs/>
          <w:lang w:val="es-ES_tradnl"/>
        </w:rPr>
      </w:pPr>
      <w:r w:rsidRPr="00807BF0">
        <w:rPr>
          <w:rFonts w:ascii="Arial" w:hAnsi="Arial" w:cs="Arial"/>
          <w:bCs/>
          <w:lang w:val="es-ES_tradnl"/>
        </w:rPr>
        <w:t>PROGRAMA DE INFRAESTRUCTURA PARA LAS ZONAS AFECTADAS POR EL SISMO EN ECUADOR</w:t>
      </w:r>
    </w:p>
    <w:p w:rsidR="002942CB" w:rsidRPr="00807BF0" w:rsidRDefault="002942CB" w:rsidP="002942CB">
      <w:pPr>
        <w:jc w:val="center"/>
        <w:rPr>
          <w:rFonts w:ascii="Arial" w:hAnsi="Arial" w:cs="Arial"/>
          <w:bCs/>
          <w:lang w:val="es-ES_tradnl"/>
        </w:rPr>
      </w:pPr>
      <w:r w:rsidRPr="00807BF0">
        <w:rPr>
          <w:rFonts w:ascii="Arial" w:hAnsi="Arial" w:cs="Arial"/>
          <w:bCs/>
          <w:lang w:val="es-ES_tradnl"/>
        </w:rPr>
        <w:t>EC-L1219</w:t>
      </w:r>
    </w:p>
    <w:p w:rsidR="00FE318C" w:rsidRPr="00807BF0" w:rsidRDefault="00FE318C" w:rsidP="00FE318C">
      <w:pPr>
        <w:spacing w:before="0" w:after="160" w:line="259" w:lineRule="auto"/>
        <w:ind w:left="0"/>
        <w:jc w:val="center"/>
        <w:rPr>
          <w:rFonts w:ascii="Arial" w:hAnsi="Arial" w:cs="Arial"/>
          <w:caps/>
        </w:rPr>
      </w:pPr>
    </w:p>
    <w:p w:rsidR="00FE318C" w:rsidRPr="00807BF0" w:rsidRDefault="002F3495" w:rsidP="00FE318C">
      <w:pPr>
        <w:jc w:val="center"/>
        <w:rPr>
          <w:rFonts w:ascii="Arial" w:hAnsi="Arial" w:cs="Arial"/>
          <w:b/>
          <w:smallCaps/>
        </w:rPr>
      </w:pPr>
      <w:sdt>
        <w:sdtPr>
          <w:rPr>
            <w:rFonts w:ascii="Arial" w:hAnsi="Arial" w:cs="Arial"/>
            <w:b/>
            <w:smallCaps/>
          </w:rPr>
          <w:tag w:val="Escoja el país"/>
          <w:id w:val="15048889"/>
          <w:placeholder>
            <w:docPart w:val="50FDF352D91A40AAAC7F8546821C9AE0"/>
          </w:placeholder>
          <w:comboBox>
            <w:listItem w:displayText="Escoja el país" w:value="Escoja el país"/>
            <w:listItem w:displayText="--------" w:value="--------"/>
            <w:listItem w:displayText="ARGENTINA" w:value="ARGENTINA"/>
            <w:listItem w:displayText="BAHAMAS" w:value="BAHAMAS"/>
            <w:listItem w:displayText="BARBADOS" w:value="BARBADOS"/>
            <w:listItem w:displayText="BELICE" w:value="BELICE"/>
            <w:listItem w:displayText="BOLIVIA" w:value="BOLIVIA"/>
            <w:listItem w:displayText="BRASIL" w:value="BRASIL"/>
            <w:listItem w:displayText="CHILE" w:value="CHILE"/>
            <w:listItem w:displayText="COLOMBIA" w:value="COLOMBIA"/>
            <w:listItem w:displayText="COSTA RICA" w:value="COSTA RICA"/>
            <w:listItem w:displayText="ECUADOR" w:value="ECUADOR"/>
            <w:listItem w:displayText="EL SALVADOR" w:value="EL SALVADOR"/>
            <w:listItem w:displayText="GUATEMALA" w:value="GUATEMALA"/>
            <w:listItem w:displayText="GUYANA" w:value="GUYANA"/>
            <w:listItem w:displayText="HAITÍ" w:value="HAITÍ"/>
            <w:listItem w:displayText="HONDURAS" w:value="HONDURAS"/>
            <w:listItem w:displayText="JAMAICA" w:value="JAMAICA"/>
            <w:listItem w:displayText="MÉXICO" w:value="MÉXICO"/>
            <w:listItem w:displayText="NICARAGUA" w:value="NICARAGUA"/>
            <w:listItem w:displayText="PANAMÁ" w:value="PANAMÁ"/>
            <w:listItem w:displayText="PARAGUAY" w:value="PARAGUAY"/>
            <w:listItem w:displayText="PERÚ" w:value="PERÚ"/>
            <w:listItem w:displayText="REPÚBLICA DOMINICANA" w:value="REPÚBLICA DOMINICANA"/>
            <w:listItem w:displayText="SUTINAME" w:value="SUTINAME"/>
            <w:listItem w:displayText="TRINIDAD Y TOBAGO" w:value="TRINIDAD Y TOBAGO"/>
            <w:listItem w:displayText="URUGUAY" w:value="URUGUAY"/>
            <w:listItem w:displayText="VENEZUELA" w:value="VENEZUELA"/>
            <w:listItem w:displayText="REGIONAL" w:value="REGIONAL"/>
          </w:comboBox>
        </w:sdtPr>
        <w:sdtEndPr/>
        <w:sdtContent>
          <w:r w:rsidR="00FE318C" w:rsidRPr="00807BF0">
            <w:rPr>
              <w:rFonts w:ascii="Arial" w:hAnsi="Arial" w:cs="Arial"/>
              <w:b/>
              <w:smallCaps/>
            </w:rPr>
            <w:t>Ecuador</w:t>
          </w:r>
        </w:sdtContent>
      </w:sdt>
    </w:p>
    <w:p w:rsidR="00FE318C" w:rsidRPr="00807BF0" w:rsidRDefault="00FE318C" w:rsidP="00FE318C">
      <w:pPr>
        <w:jc w:val="center"/>
        <w:rPr>
          <w:rFonts w:ascii="Arial" w:hAnsi="Arial" w:cs="Arial"/>
          <w:b/>
        </w:rPr>
      </w:pPr>
    </w:p>
    <w:p w:rsidR="00FE318C" w:rsidRPr="00807BF0" w:rsidRDefault="00FE318C" w:rsidP="00FE318C">
      <w:pPr>
        <w:jc w:val="center"/>
        <w:rPr>
          <w:rFonts w:ascii="Arial" w:hAnsi="Arial" w:cs="Arial"/>
          <w:b/>
        </w:rPr>
      </w:pPr>
    </w:p>
    <w:p w:rsidR="00FE318C" w:rsidRPr="00807BF0" w:rsidRDefault="00FE318C" w:rsidP="00FE318C">
      <w:pPr>
        <w:jc w:val="center"/>
        <w:rPr>
          <w:rFonts w:ascii="Arial" w:hAnsi="Arial" w:cs="Arial"/>
          <w:b/>
        </w:rPr>
      </w:pPr>
    </w:p>
    <w:p w:rsidR="00FE318C" w:rsidRPr="00807BF0" w:rsidRDefault="00FE318C" w:rsidP="00FE318C">
      <w:pPr>
        <w:jc w:val="center"/>
        <w:rPr>
          <w:rFonts w:ascii="Arial" w:hAnsi="Arial" w:cs="Arial"/>
          <w:b/>
        </w:rPr>
      </w:pPr>
    </w:p>
    <w:p w:rsidR="00FE318C" w:rsidRPr="00807BF0" w:rsidRDefault="00FE318C" w:rsidP="00FE318C">
      <w:pPr>
        <w:pStyle w:val="ListParagraph"/>
        <w:jc w:val="center"/>
        <w:rPr>
          <w:rFonts w:ascii="Arial" w:hAnsi="Arial" w:cs="Arial"/>
          <w:b/>
          <w:bCs/>
          <w:lang w:val="es-ES"/>
        </w:rPr>
      </w:pPr>
    </w:p>
    <w:p w:rsidR="00FE318C" w:rsidRPr="00807BF0" w:rsidRDefault="00FE318C" w:rsidP="00FE318C">
      <w:pPr>
        <w:pStyle w:val="ListParagraph"/>
        <w:ind w:left="0"/>
        <w:jc w:val="center"/>
        <w:rPr>
          <w:rFonts w:ascii="Arial" w:hAnsi="Arial" w:cs="Arial"/>
          <w:b/>
          <w:bCs/>
          <w:lang w:val="es-ES"/>
        </w:rPr>
      </w:pPr>
    </w:p>
    <w:p w:rsidR="00FE318C" w:rsidRPr="00807BF0" w:rsidRDefault="00FE318C" w:rsidP="00FE318C">
      <w:pPr>
        <w:pStyle w:val="ListParagraph"/>
        <w:ind w:left="0"/>
        <w:jc w:val="center"/>
        <w:rPr>
          <w:rFonts w:ascii="Arial" w:hAnsi="Arial" w:cs="Arial"/>
          <w:b/>
          <w:bCs/>
          <w:lang w:val="es-ES"/>
        </w:rPr>
      </w:pPr>
    </w:p>
    <w:p w:rsidR="00FE318C" w:rsidRPr="00807BF0" w:rsidRDefault="00FE318C" w:rsidP="00FE318C">
      <w:pPr>
        <w:pStyle w:val="ListParagraph"/>
        <w:ind w:left="0"/>
        <w:jc w:val="center"/>
        <w:rPr>
          <w:rFonts w:ascii="Arial" w:hAnsi="Arial" w:cs="Arial"/>
          <w:b/>
          <w:bCs/>
          <w:lang w:val="es-ES"/>
        </w:rPr>
      </w:pPr>
    </w:p>
    <w:p w:rsidR="00FE318C" w:rsidRPr="00807BF0" w:rsidRDefault="00FE318C" w:rsidP="002942CB">
      <w:pPr>
        <w:pStyle w:val="ListParagraph"/>
        <w:ind w:left="0"/>
        <w:jc w:val="center"/>
        <w:rPr>
          <w:rFonts w:ascii="Arial" w:hAnsi="Arial" w:cs="Arial"/>
          <w:b/>
          <w:bCs/>
          <w:lang w:val="es-ES"/>
        </w:rPr>
      </w:pPr>
      <w:r w:rsidRPr="00807BF0">
        <w:rPr>
          <w:rFonts w:ascii="Arial" w:hAnsi="Arial" w:cs="Arial"/>
          <w:b/>
          <w:bCs/>
          <w:lang w:val="es-ES"/>
        </w:rPr>
        <w:t>ANÁLISIS AMBIENTAL Y SOCIAL</w:t>
      </w:r>
    </w:p>
    <w:p w:rsidR="00FE318C" w:rsidRPr="00807BF0" w:rsidRDefault="00FE318C" w:rsidP="00FE318C">
      <w:pPr>
        <w:jc w:val="center"/>
        <w:rPr>
          <w:rFonts w:ascii="Arial" w:hAnsi="Arial" w:cs="Arial"/>
        </w:rPr>
      </w:pPr>
    </w:p>
    <w:p w:rsidR="00FE318C" w:rsidRPr="00807BF0" w:rsidRDefault="00FE318C" w:rsidP="00FE318C">
      <w:pPr>
        <w:jc w:val="center"/>
        <w:rPr>
          <w:rFonts w:ascii="Arial" w:hAnsi="Arial" w:cs="Arial"/>
        </w:rPr>
      </w:pPr>
    </w:p>
    <w:p w:rsidR="00FE318C" w:rsidRPr="00807BF0" w:rsidRDefault="00FE318C" w:rsidP="00FE318C">
      <w:pPr>
        <w:jc w:val="center"/>
        <w:rPr>
          <w:rFonts w:ascii="Arial" w:hAnsi="Arial" w:cs="Arial"/>
        </w:rPr>
      </w:pPr>
    </w:p>
    <w:p w:rsidR="00FE318C" w:rsidRPr="00807BF0" w:rsidRDefault="00FE318C" w:rsidP="00FE318C">
      <w:pPr>
        <w:jc w:val="center"/>
        <w:rPr>
          <w:rFonts w:ascii="Arial" w:hAnsi="Arial" w:cs="Arial"/>
        </w:rPr>
      </w:pPr>
    </w:p>
    <w:p w:rsidR="005F472C" w:rsidRPr="00807BF0" w:rsidRDefault="005F472C" w:rsidP="00FE318C">
      <w:pPr>
        <w:jc w:val="center"/>
        <w:rPr>
          <w:rFonts w:ascii="Arial" w:hAnsi="Arial" w:cs="Arial"/>
        </w:rPr>
      </w:pPr>
    </w:p>
    <w:p w:rsidR="00FE318C" w:rsidRPr="00807BF0" w:rsidRDefault="00FE318C" w:rsidP="00FE318C">
      <w:pPr>
        <w:jc w:val="center"/>
        <w:rPr>
          <w:rFonts w:ascii="Arial" w:hAnsi="Arial" w:cs="Arial"/>
        </w:rPr>
      </w:pPr>
    </w:p>
    <w:p w:rsidR="00F5765A" w:rsidRPr="00807BF0" w:rsidRDefault="00F5765A" w:rsidP="00FE318C">
      <w:pPr>
        <w:jc w:val="center"/>
        <w:rPr>
          <w:rFonts w:ascii="Arial" w:hAnsi="Arial" w:cs="Arial"/>
        </w:rPr>
      </w:pPr>
    </w:p>
    <w:sdt>
      <w:sdtPr>
        <w:rPr>
          <w:rFonts w:ascii="Arial" w:hAnsi="Arial" w:cs="Arial"/>
          <w:lang w:val="en-US"/>
        </w:rPr>
        <w:id w:val="12013507"/>
        <w:placeholder>
          <w:docPart w:val="7F18127E9876440481D8D1DABA651AC2"/>
        </w:placeholder>
        <w:date>
          <w:dateFormat w:val="MMMM' de 'yyyy"/>
          <w:lid w:val="es-ES_tradnl"/>
          <w:storeMappedDataAs w:val="dateTime"/>
          <w:calendar w:val="gregorian"/>
        </w:date>
      </w:sdtPr>
      <w:sdtEndPr/>
      <w:sdtContent>
        <w:p w:rsidR="00FE318C" w:rsidRPr="00807BF0" w:rsidRDefault="00CA3F19" w:rsidP="002942CB">
          <w:pPr>
            <w:ind w:left="0"/>
            <w:jc w:val="center"/>
            <w:rPr>
              <w:rFonts w:ascii="Arial" w:hAnsi="Arial" w:cs="Arial"/>
              <w:lang w:val="en-US"/>
            </w:rPr>
          </w:pPr>
          <w:proofErr w:type="spellStart"/>
          <w:r w:rsidRPr="00807BF0">
            <w:rPr>
              <w:rFonts w:ascii="Arial" w:hAnsi="Arial" w:cs="Arial"/>
              <w:lang w:val="en-US"/>
            </w:rPr>
            <w:t>Octubre</w:t>
          </w:r>
          <w:proofErr w:type="spellEnd"/>
          <w:r w:rsidR="00EB3ED3" w:rsidRPr="00807BF0">
            <w:rPr>
              <w:rFonts w:ascii="Arial" w:hAnsi="Arial" w:cs="Arial"/>
              <w:lang w:val="en-US"/>
            </w:rPr>
            <w:t xml:space="preserve"> de 2016</w:t>
          </w:r>
        </w:p>
      </w:sdtContent>
    </w:sdt>
    <w:p w:rsidR="002942CB" w:rsidRPr="00807BF0" w:rsidRDefault="002942CB">
      <w:pPr>
        <w:spacing w:before="0" w:after="160" w:line="259" w:lineRule="auto"/>
        <w:ind w:left="0"/>
        <w:jc w:val="left"/>
        <w:rPr>
          <w:rFonts w:ascii="Arial" w:hAnsi="Arial" w:cs="Arial"/>
          <w:lang w:val="en-US"/>
        </w:rPr>
      </w:pPr>
    </w:p>
    <w:p w:rsidR="002942CB" w:rsidRPr="00807BF0" w:rsidRDefault="002942CB">
      <w:pPr>
        <w:spacing w:before="0" w:after="160" w:line="259" w:lineRule="auto"/>
        <w:ind w:left="0"/>
        <w:jc w:val="left"/>
        <w:rPr>
          <w:rFonts w:ascii="Arial" w:hAnsi="Arial" w:cs="Arial"/>
          <w:lang w:val="en-US"/>
        </w:rPr>
      </w:pPr>
    </w:p>
    <w:p w:rsidR="00C8367D" w:rsidRPr="00807BF0" w:rsidRDefault="00C8367D">
      <w:pPr>
        <w:spacing w:before="0" w:after="160" w:line="259" w:lineRule="auto"/>
        <w:ind w:left="0"/>
        <w:jc w:val="left"/>
        <w:rPr>
          <w:rFonts w:ascii="Arial" w:hAnsi="Arial" w:cs="Arial"/>
          <w:lang w:val="en-US"/>
        </w:rPr>
      </w:pPr>
    </w:p>
    <w:p w:rsidR="00C8367D" w:rsidRPr="00807BF0" w:rsidRDefault="00C8367D">
      <w:pPr>
        <w:spacing w:before="0" w:after="160" w:line="259" w:lineRule="auto"/>
        <w:ind w:left="0"/>
        <w:jc w:val="left"/>
        <w:rPr>
          <w:rFonts w:ascii="Arial" w:hAnsi="Arial" w:cs="Arial"/>
          <w:lang w:val="en-US"/>
        </w:rPr>
      </w:pPr>
    </w:p>
    <w:p w:rsidR="00F5765A" w:rsidRPr="00807BF0" w:rsidRDefault="00F5765A">
      <w:pPr>
        <w:spacing w:before="0" w:after="160" w:line="259" w:lineRule="auto"/>
        <w:ind w:left="0"/>
        <w:jc w:val="left"/>
        <w:rPr>
          <w:rFonts w:ascii="Arial" w:hAnsi="Arial" w:cs="Arial"/>
          <w:lang w:val="en-US"/>
        </w:rPr>
      </w:pPr>
    </w:p>
    <w:p w:rsidR="00F5765A" w:rsidRPr="00807BF0" w:rsidRDefault="00F5765A">
      <w:pPr>
        <w:spacing w:before="0" w:after="160" w:line="259" w:lineRule="auto"/>
        <w:ind w:left="0"/>
        <w:jc w:val="left"/>
        <w:rPr>
          <w:rFonts w:ascii="Arial" w:hAnsi="Arial" w:cs="Arial"/>
          <w:lang w:val="en-US"/>
        </w:rPr>
      </w:pPr>
    </w:p>
    <w:p w:rsidR="002942CB" w:rsidRPr="00807BF0" w:rsidRDefault="002942CB" w:rsidP="002942CB">
      <w:pPr>
        <w:spacing w:before="0" w:after="160" w:line="259" w:lineRule="auto"/>
        <w:ind w:left="0"/>
        <w:jc w:val="center"/>
        <w:rPr>
          <w:rFonts w:ascii="Arial" w:hAnsi="Arial" w:cs="Arial"/>
          <w:lang w:val="en-US"/>
        </w:rPr>
      </w:pPr>
      <w:proofErr w:type="spellStart"/>
      <w:r w:rsidRPr="00807BF0">
        <w:rPr>
          <w:rFonts w:ascii="Arial" w:hAnsi="Arial" w:cs="Arial"/>
          <w:lang w:val="en-US"/>
        </w:rPr>
        <w:t>Elaborado</w:t>
      </w:r>
      <w:proofErr w:type="spellEnd"/>
      <w:r w:rsidRPr="00807BF0">
        <w:rPr>
          <w:rFonts w:ascii="Arial" w:hAnsi="Arial" w:cs="Arial"/>
          <w:lang w:val="en-US"/>
        </w:rPr>
        <w:t xml:space="preserve"> </w:t>
      </w:r>
      <w:proofErr w:type="spellStart"/>
      <w:r w:rsidRPr="00807BF0">
        <w:rPr>
          <w:rFonts w:ascii="Arial" w:hAnsi="Arial" w:cs="Arial"/>
          <w:lang w:val="en-US"/>
        </w:rPr>
        <w:t>por</w:t>
      </w:r>
      <w:proofErr w:type="spellEnd"/>
      <w:r w:rsidRPr="00807BF0">
        <w:rPr>
          <w:rFonts w:ascii="Arial" w:hAnsi="Arial" w:cs="Arial"/>
          <w:lang w:val="en-US"/>
        </w:rPr>
        <w:t xml:space="preserve"> </w:t>
      </w:r>
      <w:proofErr w:type="spellStart"/>
      <w:r w:rsidRPr="00807BF0">
        <w:rPr>
          <w:rFonts w:ascii="Arial" w:hAnsi="Arial" w:cs="Arial"/>
          <w:lang w:val="en-US"/>
        </w:rPr>
        <w:t>Kléver</w:t>
      </w:r>
      <w:proofErr w:type="spellEnd"/>
      <w:r w:rsidRPr="00807BF0">
        <w:rPr>
          <w:rFonts w:ascii="Arial" w:hAnsi="Arial" w:cs="Arial"/>
          <w:lang w:val="en-US"/>
        </w:rPr>
        <w:t xml:space="preserve"> Chávez </w:t>
      </w:r>
      <w:proofErr w:type="spellStart"/>
      <w:r w:rsidRPr="00807BF0">
        <w:rPr>
          <w:rFonts w:ascii="Arial" w:hAnsi="Arial" w:cs="Arial"/>
          <w:lang w:val="en-US"/>
        </w:rPr>
        <w:t>Benalcázar</w:t>
      </w:r>
      <w:proofErr w:type="spellEnd"/>
    </w:p>
    <w:p w:rsidR="002942CB" w:rsidRPr="00807BF0" w:rsidRDefault="002942CB">
      <w:pPr>
        <w:spacing w:before="0" w:after="160" w:line="259" w:lineRule="auto"/>
        <w:ind w:left="0"/>
        <w:jc w:val="left"/>
        <w:rPr>
          <w:rFonts w:ascii="Arial" w:hAnsi="Arial" w:cs="Arial"/>
          <w:lang w:val="en-US"/>
        </w:rPr>
      </w:pPr>
      <w:r w:rsidRPr="00807BF0">
        <w:rPr>
          <w:rFonts w:ascii="Arial" w:hAnsi="Arial" w:cs="Arial"/>
          <w:lang w:val="en-US"/>
        </w:rPr>
        <w:br w:type="page"/>
      </w:r>
    </w:p>
    <w:sdt>
      <w:sdtPr>
        <w:rPr>
          <w:rFonts w:ascii="Arial" w:eastAsiaTheme="minorEastAsia" w:hAnsi="Arial" w:cs="Arial"/>
          <w:color w:val="auto"/>
          <w:sz w:val="22"/>
          <w:szCs w:val="22"/>
          <w:lang w:val="es-AR" w:eastAsia="en-US"/>
        </w:rPr>
        <w:id w:val="-690452364"/>
        <w:docPartObj>
          <w:docPartGallery w:val="Table of Contents"/>
          <w:docPartUnique/>
        </w:docPartObj>
      </w:sdtPr>
      <w:sdtEndPr>
        <w:rPr>
          <w:b/>
          <w:bCs/>
          <w:noProof/>
        </w:rPr>
      </w:sdtEndPr>
      <w:sdtContent>
        <w:p w:rsidR="00C53DC3" w:rsidRPr="00807BF0" w:rsidRDefault="00C53DC3">
          <w:pPr>
            <w:pStyle w:val="TOCHeading"/>
            <w:rPr>
              <w:rFonts w:ascii="Arial" w:hAnsi="Arial" w:cs="Arial"/>
              <w:sz w:val="22"/>
              <w:szCs w:val="22"/>
            </w:rPr>
          </w:pPr>
          <w:r w:rsidRPr="00807BF0">
            <w:rPr>
              <w:rFonts w:ascii="Arial" w:hAnsi="Arial" w:cs="Arial"/>
              <w:sz w:val="22"/>
              <w:szCs w:val="22"/>
            </w:rPr>
            <w:t>Ta</w:t>
          </w:r>
          <w:r w:rsidR="00E05630" w:rsidRPr="00807BF0">
            <w:rPr>
              <w:rFonts w:ascii="Arial" w:hAnsi="Arial" w:cs="Arial"/>
              <w:sz w:val="22"/>
              <w:szCs w:val="22"/>
            </w:rPr>
            <w:t>bla de Contenidos</w:t>
          </w:r>
        </w:p>
        <w:p w:rsidR="00E05630" w:rsidRPr="00807BF0" w:rsidRDefault="00C53DC3" w:rsidP="00E05630">
          <w:pPr>
            <w:pStyle w:val="TOC1"/>
            <w:tabs>
              <w:tab w:val="left" w:pos="720"/>
              <w:tab w:val="right" w:leader="dot" w:pos="8494"/>
            </w:tabs>
            <w:rPr>
              <w:rFonts w:ascii="Arial" w:hAnsi="Arial" w:cs="Arial"/>
              <w:noProof/>
            </w:rPr>
          </w:pPr>
          <w:r w:rsidRPr="00807BF0">
            <w:rPr>
              <w:rFonts w:ascii="Arial" w:hAnsi="Arial" w:cs="Arial"/>
            </w:rPr>
            <w:fldChar w:fldCharType="begin"/>
          </w:r>
          <w:r w:rsidRPr="00807BF0">
            <w:rPr>
              <w:rFonts w:ascii="Arial" w:hAnsi="Arial" w:cs="Arial"/>
            </w:rPr>
            <w:instrText xml:space="preserve"> TOC \o "1-3" \h \z \u </w:instrText>
          </w:r>
          <w:r w:rsidRPr="00807BF0">
            <w:rPr>
              <w:rFonts w:ascii="Arial" w:hAnsi="Arial" w:cs="Arial"/>
            </w:rPr>
            <w:fldChar w:fldCharType="separate"/>
          </w:r>
          <w:hyperlink w:anchor="_Toc465687797" w:history="1">
            <w:r w:rsidR="00E05630" w:rsidRPr="00807BF0">
              <w:rPr>
                <w:rStyle w:val="Hyperlink"/>
                <w:rFonts w:ascii="Arial" w:hAnsi="Arial" w:cs="Arial"/>
                <w:b/>
                <w:noProof/>
              </w:rPr>
              <w:t>1.</w:t>
            </w:r>
            <w:r w:rsidR="00E05630" w:rsidRPr="00807BF0">
              <w:rPr>
                <w:rFonts w:ascii="Arial" w:hAnsi="Arial" w:cs="Arial"/>
                <w:noProof/>
              </w:rPr>
              <w:tab/>
            </w:r>
            <w:r w:rsidR="00E05630" w:rsidRPr="00807BF0">
              <w:rPr>
                <w:rStyle w:val="Hyperlink"/>
                <w:rFonts w:ascii="Arial" w:hAnsi="Arial" w:cs="Arial"/>
                <w:b/>
                <w:noProof/>
              </w:rPr>
              <w:t>Antecedentes</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_Toc465687797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3</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798" w:history="1">
            <w:r w:rsidR="00E05630" w:rsidRPr="00807BF0">
              <w:rPr>
                <w:rStyle w:val="Hyperlink"/>
                <w:rFonts w:ascii="Arial" w:hAnsi="Arial" w:cs="Arial"/>
                <w:b/>
                <w:noProof/>
              </w:rPr>
              <w:t>2.</w:t>
            </w:r>
            <w:r w:rsidR="00E05630" w:rsidRPr="00807BF0">
              <w:rPr>
                <w:rFonts w:ascii="Arial" w:hAnsi="Arial" w:cs="Arial"/>
                <w:noProof/>
              </w:rPr>
              <w:tab/>
            </w:r>
            <w:r w:rsidR="00E05630" w:rsidRPr="00807BF0">
              <w:rPr>
                <w:rStyle w:val="Hyperlink"/>
                <w:rFonts w:ascii="Arial" w:hAnsi="Arial" w:cs="Arial"/>
                <w:b/>
                <w:noProof/>
              </w:rPr>
              <w:t>El Programa</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_Toc465687798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3</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799" w:history="1">
            <w:r w:rsidR="00E05630" w:rsidRPr="00807BF0">
              <w:rPr>
                <w:rStyle w:val="Hyperlink"/>
                <w:rFonts w:ascii="Arial" w:hAnsi="Arial" w:cs="Arial"/>
                <w:b/>
                <w:noProof/>
              </w:rPr>
              <w:t>3.</w:t>
            </w:r>
            <w:r w:rsidR="00E05630" w:rsidRPr="00807BF0">
              <w:rPr>
                <w:rFonts w:ascii="Arial" w:hAnsi="Arial" w:cs="Arial"/>
                <w:noProof/>
              </w:rPr>
              <w:tab/>
            </w:r>
            <w:r w:rsidR="00E05630" w:rsidRPr="00807BF0">
              <w:rPr>
                <w:rStyle w:val="Hyperlink"/>
                <w:rFonts w:ascii="Arial" w:hAnsi="Arial" w:cs="Arial"/>
                <w:b/>
                <w:noProof/>
              </w:rPr>
              <w:t>Marco Legal e Institucional Ambiental y Social</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_Toc465687799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3</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800" w:history="1">
            <w:r w:rsidR="00E05630" w:rsidRPr="00807BF0">
              <w:rPr>
                <w:rStyle w:val="Hyperlink"/>
                <w:rFonts w:ascii="Arial" w:hAnsi="Arial" w:cs="Arial"/>
                <w:b/>
                <w:noProof/>
              </w:rPr>
              <w:t>4.</w:t>
            </w:r>
            <w:r w:rsidR="00E05630" w:rsidRPr="00807BF0">
              <w:rPr>
                <w:rFonts w:ascii="Arial" w:hAnsi="Arial" w:cs="Arial"/>
                <w:noProof/>
              </w:rPr>
              <w:tab/>
            </w:r>
            <w:r w:rsidR="00E05630" w:rsidRPr="00807BF0">
              <w:rPr>
                <w:rStyle w:val="Hyperlink"/>
                <w:rFonts w:ascii="Arial" w:hAnsi="Arial" w:cs="Arial"/>
                <w:b/>
                <w:noProof/>
              </w:rPr>
              <w:t>Análisis de las Políticas y Salvaguardias Ambientales y Sociales Aplicables del Banco</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_Toc465687800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5</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801" w:history="1">
            <w:r w:rsidR="00E05630" w:rsidRPr="00807BF0">
              <w:rPr>
                <w:rStyle w:val="Hyperlink"/>
                <w:rFonts w:ascii="Arial" w:hAnsi="Arial" w:cs="Arial"/>
                <w:b/>
                <w:noProof/>
              </w:rPr>
              <w:t>5.</w:t>
            </w:r>
            <w:r w:rsidR="00E05630" w:rsidRPr="00807BF0">
              <w:rPr>
                <w:rFonts w:ascii="Arial" w:hAnsi="Arial" w:cs="Arial"/>
                <w:noProof/>
              </w:rPr>
              <w:tab/>
            </w:r>
            <w:r w:rsidR="00E05630" w:rsidRPr="00807BF0">
              <w:rPr>
                <w:rStyle w:val="Hyperlink"/>
                <w:rFonts w:ascii="Arial" w:hAnsi="Arial" w:cs="Arial"/>
                <w:b/>
                <w:noProof/>
              </w:rPr>
              <w:t>Estatus Socio-Ambiental de los Proyectos de la Operación</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_Toc465687801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9</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ind w:left="708" w:hanging="708"/>
            <w:rPr>
              <w:rFonts w:ascii="Arial" w:hAnsi="Arial" w:cs="Arial"/>
              <w:noProof/>
            </w:rPr>
          </w:pPr>
          <w:hyperlink w:anchor="_Toc465687802" w:history="1">
            <w:r w:rsidR="00E05630" w:rsidRPr="00807BF0">
              <w:rPr>
                <w:rStyle w:val="Hyperlink"/>
                <w:rFonts w:ascii="Arial" w:hAnsi="Arial" w:cs="Arial"/>
                <w:b/>
                <w:noProof/>
              </w:rPr>
              <w:t>6.</w:t>
            </w:r>
            <w:r w:rsidR="00E05630" w:rsidRPr="00807BF0">
              <w:rPr>
                <w:rFonts w:ascii="Arial" w:hAnsi="Arial" w:cs="Arial"/>
                <w:noProof/>
              </w:rPr>
              <w:tab/>
            </w:r>
            <w:r w:rsidR="00E05630" w:rsidRPr="00807BF0">
              <w:rPr>
                <w:rFonts w:ascii="Arial" w:hAnsi="Arial" w:cs="Arial"/>
                <w:noProof/>
              </w:rPr>
              <w:tab/>
            </w:r>
            <w:r w:rsidR="00E05630" w:rsidRPr="00807BF0">
              <w:rPr>
                <w:rStyle w:val="Hyperlink"/>
                <w:rFonts w:ascii="Arial" w:hAnsi="Arial" w:cs="Arial"/>
                <w:b/>
                <w:noProof/>
              </w:rPr>
              <w:t>Análisis de la Capacidad Institucional en Materia Ambiental y Social de los Organismos Ejecutores</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_Toc465687802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11</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803" w:history="1">
            <w:r w:rsidR="00E05630" w:rsidRPr="00807BF0">
              <w:rPr>
                <w:rStyle w:val="Hyperlink"/>
                <w:rFonts w:ascii="Arial" w:hAnsi="Arial" w:cs="Arial"/>
                <w:b/>
                <w:noProof/>
              </w:rPr>
              <w:t>7.</w:t>
            </w:r>
            <w:r w:rsidR="00E05630" w:rsidRPr="00807BF0">
              <w:rPr>
                <w:rFonts w:ascii="Arial" w:hAnsi="Arial" w:cs="Arial"/>
                <w:noProof/>
              </w:rPr>
              <w:tab/>
            </w:r>
            <w:r w:rsidR="00E05630" w:rsidRPr="00807BF0">
              <w:rPr>
                <w:rStyle w:val="Hyperlink"/>
                <w:rFonts w:ascii="Arial" w:hAnsi="Arial" w:cs="Arial"/>
                <w:b/>
                <w:noProof/>
              </w:rPr>
              <w:t>Análisis de los Aspectos Ambientales y Sociales Asociados al Programa</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_Toc465687803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13</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804" w:history="1">
            <w:r w:rsidR="00E05630" w:rsidRPr="00807BF0">
              <w:rPr>
                <w:rStyle w:val="Hyperlink"/>
                <w:rFonts w:ascii="Arial" w:hAnsi="Arial" w:cs="Arial"/>
                <w:b/>
                <w:noProof/>
              </w:rPr>
              <w:t>8.</w:t>
            </w:r>
            <w:r w:rsidR="00E05630" w:rsidRPr="00807BF0">
              <w:rPr>
                <w:rFonts w:ascii="Arial" w:hAnsi="Arial" w:cs="Arial"/>
                <w:noProof/>
              </w:rPr>
              <w:tab/>
            </w:r>
            <w:r w:rsidR="00E05630" w:rsidRPr="00807BF0">
              <w:rPr>
                <w:rStyle w:val="Hyperlink"/>
                <w:rFonts w:ascii="Arial" w:hAnsi="Arial" w:cs="Arial"/>
                <w:b/>
                <w:noProof/>
              </w:rPr>
              <w:t>Supervisión y Monitoreo</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_Toc465687804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21</w:t>
            </w:r>
            <w:r w:rsidR="00E05630" w:rsidRPr="00807BF0">
              <w:rPr>
                <w:rFonts w:ascii="Arial" w:hAnsi="Arial" w:cs="Arial"/>
                <w:noProof/>
                <w:webHidden/>
              </w:rPr>
              <w:fldChar w:fldCharType="end"/>
            </w:r>
          </w:hyperlink>
        </w:p>
        <w:p w:rsidR="00E05630" w:rsidRPr="00807BF0" w:rsidRDefault="002F3495" w:rsidP="00E05630">
          <w:pPr>
            <w:pStyle w:val="TOC1"/>
            <w:tabs>
              <w:tab w:val="left" w:pos="720"/>
              <w:tab w:val="right" w:leader="dot" w:pos="8494"/>
            </w:tabs>
            <w:rPr>
              <w:rFonts w:ascii="Arial" w:hAnsi="Arial" w:cs="Arial"/>
              <w:noProof/>
            </w:rPr>
          </w:pPr>
          <w:hyperlink w:anchor="_Toc465687805" w:history="1">
            <w:r w:rsidR="00E05630" w:rsidRPr="00807BF0">
              <w:rPr>
                <w:rStyle w:val="Hyperlink"/>
                <w:rFonts w:ascii="Arial" w:hAnsi="Arial" w:cs="Arial"/>
                <w:b/>
                <w:noProof/>
              </w:rPr>
              <w:t>9.</w:t>
            </w:r>
            <w:r w:rsidR="00E05630" w:rsidRPr="00807BF0">
              <w:rPr>
                <w:rFonts w:ascii="Arial" w:hAnsi="Arial" w:cs="Arial"/>
                <w:noProof/>
              </w:rPr>
              <w:tab/>
            </w:r>
            <w:r w:rsidR="00E05630" w:rsidRPr="00807BF0">
              <w:rPr>
                <w:rStyle w:val="Hyperlink"/>
                <w:rFonts w:ascii="Arial" w:hAnsi="Arial" w:cs="Arial"/>
                <w:b/>
                <w:noProof/>
              </w:rPr>
              <w:t>Marco de Gestión Ambiental y Social</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_Toc465687805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21</w:t>
            </w:r>
            <w:r w:rsidR="00E05630" w:rsidRPr="00807BF0">
              <w:rPr>
                <w:rFonts w:ascii="Arial" w:hAnsi="Arial" w:cs="Arial"/>
                <w:noProof/>
                <w:webHidden/>
              </w:rPr>
              <w:fldChar w:fldCharType="end"/>
            </w:r>
          </w:hyperlink>
        </w:p>
        <w:p w:rsidR="00E05630" w:rsidRPr="00807BF0" w:rsidRDefault="002F3495" w:rsidP="00E05630">
          <w:pPr>
            <w:pStyle w:val="TOC1"/>
            <w:tabs>
              <w:tab w:val="left" w:pos="660"/>
              <w:tab w:val="left" w:pos="720"/>
              <w:tab w:val="right" w:leader="dot" w:pos="8494"/>
            </w:tabs>
            <w:rPr>
              <w:rFonts w:ascii="Arial" w:hAnsi="Arial" w:cs="Arial"/>
              <w:noProof/>
            </w:rPr>
          </w:pPr>
          <w:hyperlink w:anchor="_Toc465687806" w:history="1">
            <w:r w:rsidR="00E05630" w:rsidRPr="00807BF0">
              <w:rPr>
                <w:rStyle w:val="Hyperlink"/>
                <w:rFonts w:ascii="Arial" w:hAnsi="Arial" w:cs="Arial"/>
                <w:b/>
                <w:noProof/>
              </w:rPr>
              <w:t>10.</w:t>
            </w:r>
            <w:r w:rsidR="00E05630" w:rsidRPr="00807BF0">
              <w:rPr>
                <w:rFonts w:ascii="Arial" w:hAnsi="Arial" w:cs="Arial"/>
                <w:noProof/>
              </w:rPr>
              <w:tab/>
            </w:r>
            <w:r w:rsidR="00E05630" w:rsidRPr="00807BF0">
              <w:rPr>
                <w:rFonts w:ascii="Arial" w:hAnsi="Arial" w:cs="Arial"/>
                <w:noProof/>
              </w:rPr>
              <w:tab/>
            </w:r>
            <w:r w:rsidR="00E05630" w:rsidRPr="00807BF0">
              <w:rPr>
                <w:rStyle w:val="Hyperlink"/>
                <w:rFonts w:ascii="Arial" w:hAnsi="Arial" w:cs="Arial"/>
                <w:b/>
                <w:noProof/>
              </w:rPr>
              <w:t>Anexos</w:t>
            </w:r>
            <w:r w:rsidR="00E05630" w:rsidRPr="00807BF0">
              <w:rPr>
                <w:rFonts w:ascii="Arial" w:hAnsi="Arial" w:cs="Arial"/>
                <w:noProof/>
                <w:webHidden/>
              </w:rPr>
              <w:tab/>
            </w:r>
            <w:r w:rsidR="00E05630" w:rsidRPr="00807BF0">
              <w:rPr>
                <w:rFonts w:ascii="Arial" w:hAnsi="Arial" w:cs="Arial"/>
                <w:noProof/>
                <w:webHidden/>
              </w:rPr>
              <w:fldChar w:fldCharType="begin"/>
            </w:r>
            <w:r w:rsidR="00E05630" w:rsidRPr="00807BF0">
              <w:rPr>
                <w:rFonts w:ascii="Arial" w:hAnsi="Arial" w:cs="Arial"/>
                <w:noProof/>
                <w:webHidden/>
              </w:rPr>
              <w:instrText xml:space="preserve"> PAGEREF _Toc465687806 \h </w:instrText>
            </w:r>
            <w:r w:rsidR="00E05630" w:rsidRPr="00807BF0">
              <w:rPr>
                <w:rFonts w:ascii="Arial" w:hAnsi="Arial" w:cs="Arial"/>
                <w:noProof/>
                <w:webHidden/>
              </w:rPr>
            </w:r>
            <w:r w:rsidR="00E05630" w:rsidRPr="00807BF0">
              <w:rPr>
                <w:rFonts w:ascii="Arial" w:hAnsi="Arial" w:cs="Arial"/>
                <w:noProof/>
                <w:webHidden/>
              </w:rPr>
              <w:fldChar w:fldCharType="separate"/>
            </w:r>
            <w:r w:rsidR="00D42163" w:rsidRPr="00807BF0">
              <w:rPr>
                <w:rFonts w:ascii="Arial" w:hAnsi="Arial" w:cs="Arial"/>
                <w:noProof/>
                <w:webHidden/>
              </w:rPr>
              <w:t>29</w:t>
            </w:r>
            <w:r w:rsidR="00E05630" w:rsidRPr="00807BF0">
              <w:rPr>
                <w:rFonts w:ascii="Arial" w:hAnsi="Arial" w:cs="Arial"/>
                <w:noProof/>
                <w:webHidden/>
              </w:rPr>
              <w:fldChar w:fldCharType="end"/>
            </w:r>
          </w:hyperlink>
        </w:p>
        <w:p w:rsidR="00C53DC3" w:rsidRPr="00807BF0" w:rsidRDefault="00C53DC3">
          <w:pPr>
            <w:rPr>
              <w:rFonts w:ascii="Arial" w:hAnsi="Arial" w:cs="Arial"/>
            </w:rPr>
          </w:pPr>
          <w:r w:rsidRPr="00807BF0">
            <w:rPr>
              <w:rFonts w:ascii="Arial" w:hAnsi="Arial" w:cs="Arial"/>
              <w:b/>
              <w:bCs/>
              <w:noProof/>
            </w:rPr>
            <w:fldChar w:fldCharType="end"/>
          </w:r>
        </w:p>
      </w:sdtContent>
    </w:sdt>
    <w:p w:rsidR="00C53DC3" w:rsidRPr="00807BF0" w:rsidRDefault="00C53DC3">
      <w:pPr>
        <w:spacing w:before="0" w:after="160" w:line="259" w:lineRule="auto"/>
        <w:ind w:left="0"/>
        <w:jc w:val="left"/>
        <w:rPr>
          <w:rFonts w:ascii="Arial" w:hAnsi="Arial" w:cs="Arial"/>
        </w:rPr>
      </w:pPr>
    </w:p>
    <w:p w:rsidR="00C53DC3" w:rsidRPr="00807BF0" w:rsidRDefault="00C53DC3">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E05630" w:rsidRPr="00807BF0" w:rsidRDefault="00E05630">
      <w:pPr>
        <w:spacing w:before="0" w:after="160" w:line="259" w:lineRule="auto"/>
        <w:ind w:left="0"/>
        <w:jc w:val="left"/>
        <w:rPr>
          <w:rFonts w:ascii="Arial" w:hAnsi="Arial" w:cs="Arial"/>
        </w:rPr>
      </w:pPr>
    </w:p>
    <w:p w:rsidR="00C53DC3" w:rsidRPr="00807BF0" w:rsidRDefault="00C53DC3">
      <w:pPr>
        <w:spacing w:before="0" w:after="160" w:line="259" w:lineRule="auto"/>
        <w:ind w:left="0"/>
        <w:jc w:val="left"/>
        <w:rPr>
          <w:rFonts w:ascii="Arial" w:hAnsi="Arial" w:cs="Arial"/>
        </w:rPr>
      </w:pPr>
    </w:p>
    <w:p w:rsidR="0062644D" w:rsidRPr="00807BF0" w:rsidRDefault="0062644D" w:rsidP="00C53DC3">
      <w:pPr>
        <w:pStyle w:val="subtittuloppalenapartadoDali"/>
        <w:numPr>
          <w:ilvl w:val="0"/>
          <w:numId w:val="1"/>
        </w:numPr>
        <w:outlineLvl w:val="0"/>
        <w:rPr>
          <w:rFonts w:ascii="Arial" w:hAnsi="Arial" w:cs="Arial"/>
          <w:b/>
          <w:sz w:val="22"/>
          <w:szCs w:val="22"/>
        </w:rPr>
      </w:pPr>
      <w:bookmarkStart w:id="1" w:name="_Toc465687797"/>
      <w:bookmarkEnd w:id="0"/>
      <w:r w:rsidRPr="00807BF0">
        <w:rPr>
          <w:rFonts w:ascii="Arial" w:hAnsi="Arial" w:cs="Arial"/>
          <w:b/>
          <w:sz w:val="22"/>
          <w:szCs w:val="22"/>
        </w:rPr>
        <w:lastRenderedPageBreak/>
        <w:t>A</w:t>
      </w:r>
      <w:r w:rsidR="00C53DC3" w:rsidRPr="00807BF0">
        <w:rPr>
          <w:rFonts w:ascii="Arial" w:hAnsi="Arial" w:cs="Arial"/>
          <w:b/>
          <w:caps w:val="0"/>
          <w:sz w:val="22"/>
          <w:szCs w:val="22"/>
        </w:rPr>
        <w:t>ntecedentes</w:t>
      </w:r>
      <w:bookmarkEnd w:id="1"/>
    </w:p>
    <w:p w:rsidR="004E73E3" w:rsidRPr="00807BF0" w:rsidRDefault="004E73E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16 de abril de 2016, un terremoto de magnitud 7,8 en la escala de Richter sacudió la costa noroeste de Ecuador, con epicentro localizado cerca de la localidad de </w:t>
      </w:r>
      <w:proofErr w:type="spellStart"/>
      <w:r w:rsidRPr="00807BF0">
        <w:rPr>
          <w:rFonts w:ascii="Arial" w:hAnsi="Arial" w:cs="Arial"/>
          <w:sz w:val="22"/>
          <w:szCs w:val="22"/>
        </w:rPr>
        <w:t>Muisne</w:t>
      </w:r>
      <w:proofErr w:type="spellEnd"/>
      <w:r w:rsidRPr="00807BF0">
        <w:rPr>
          <w:rFonts w:ascii="Arial" w:hAnsi="Arial" w:cs="Arial"/>
          <w:sz w:val="22"/>
          <w:szCs w:val="22"/>
        </w:rPr>
        <w:t xml:space="preserve">, 170 kilómetros al noroeste de Quito. En los dos meses que siguieron al terremoto se registraron más de 1.800 réplicas de variada intensidad. Las zonas más afectadas se encuentran en las provincias de Manabí, Esmeraldas, Santa Elena, Guayas, Santo Domingo y Los Ríos. Manabí resultó ser la provincia con las mayores pérdidas de infraestructura, por lo que se le prioriza en el programa. </w:t>
      </w:r>
    </w:p>
    <w:p w:rsidR="004E73E3" w:rsidRPr="00807BF0" w:rsidRDefault="004E73E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El terremoto y sus réplicas causaron la pérdida de 669 personas, 4.605 heridos y más de 80.000 desplazados, de los cuales cerca de 5.000 familias residen en albergues o refugios. Se registraron afectaciones en 13.863 viviendas. Se estima que aproximadamente 720.000 personas de 7 millones que viven en la zona, fueron afectadas.</w:t>
      </w:r>
    </w:p>
    <w:p w:rsidR="004E73E3" w:rsidRPr="00807BF0" w:rsidRDefault="004E73E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El 17 de abril de 2016, en ejercicio de las facultades que le confiere el artículo 164 de la Constitución de la República, y los artículos 29 y 36 de la Ley de Seguridad Pública y del Estado, el Presidente de la República de Ecuador, declaró el Estado de Excepción  en las provincias afectadas. A través de esta declaración se instruye la movilización nacional en dichas provincias, de tal manera que todas las entidades de la Administración Pública Central e Institucional, Fuerzas Armadas, Policía Nacional y Gobiernos Autónomos Descentralizados (GAD) coordinen esfuerzos para ejecutar las acciones para mitigar y prevenir los riesgos, así como para enfrentar, recuperar y mejorar las condiciones adversas en zonas afectadas. Bajo este marco, se instruye al Ministerio de Finanzas encontrar los fondos necesarios para atender la situación de excepción, pudiendo utilizar todas las asignaciones presupuestarias disponibles, salvo las destinadas a salud y educación.</w:t>
      </w:r>
    </w:p>
    <w:p w:rsidR="0093080F" w:rsidRPr="00807BF0" w:rsidRDefault="0093080F" w:rsidP="00C53DC3">
      <w:pPr>
        <w:pStyle w:val="subtittuloppalenapartadoDali"/>
        <w:numPr>
          <w:ilvl w:val="0"/>
          <w:numId w:val="1"/>
        </w:numPr>
        <w:outlineLvl w:val="0"/>
        <w:rPr>
          <w:rFonts w:ascii="Arial" w:hAnsi="Arial" w:cs="Arial"/>
          <w:b/>
          <w:sz w:val="22"/>
          <w:szCs w:val="22"/>
        </w:rPr>
      </w:pPr>
      <w:bookmarkStart w:id="2" w:name="_Toc465687798"/>
      <w:r w:rsidRPr="00807BF0">
        <w:rPr>
          <w:rFonts w:ascii="Arial" w:hAnsi="Arial" w:cs="Arial"/>
          <w:b/>
          <w:sz w:val="22"/>
          <w:szCs w:val="22"/>
        </w:rPr>
        <w:t>E</w:t>
      </w:r>
      <w:r w:rsidR="00C53DC3" w:rsidRPr="00807BF0">
        <w:rPr>
          <w:rFonts w:ascii="Arial" w:hAnsi="Arial" w:cs="Arial"/>
          <w:b/>
          <w:caps w:val="0"/>
          <w:sz w:val="22"/>
          <w:szCs w:val="22"/>
        </w:rPr>
        <w:t>l Programa</w:t>
      </w:r>
      <w:bookmarkEnd w:id="2"/>
    </w:p>
    <w:p w:rsidR="004E73E3" w:rsidRPr="00807BF0" w:rsidRDefault="004E73E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b/>
          <w:sz w:val="22"/>
          <w:szCs w:val="22"/>
        </w:rPr>
        <w:t>Objetivo.</w:t>
      </w:r>
      <w:r w:rsidRPr="00807BF0">
        <w:rPr>
          <w:rFonts w:ascii="Arial" w:hAnsi="Arial" w:cs="Arial"/>
          <w:sz w:val="22"/>
          <w:szCs w:val="22"/>
        </w:rPr>
        <w:t xml:space="preserve"> El objetivo general del programa es </w:t>
      </w:r>
      <w:r w:rsidR="00807BF0" w:rsidRPr="00807BF0">
        <w:rPr>
          <w:rFonts w:ascii="Arial" w:hAnsi="Arial" w:cs="Arial"/>
          <w:sz w:val="22"/>
          <w:szCs w:val="22"/>
        </w:rPr>
        <w:t>recuperar y mejorar el servicio eléctrico  a través de la reconstrucción de  la infraestructura eléctrica con incorporación de características sismorresistentes en las provincias de Esmeraldas, Manabí y Santo Domingo, afectadas por el terremoto.</w:t>
      </w:r>
      <w:r w:rsidR="00807BF0">
        <w:rPr>
          <w:rFonts w:ascii="Arial" w:hAnsi="Arial" w:cs="Arial"/>
          <w:sz w:val="22"/>
          <w:szCs w:val="22"/>
        </w:rPr>
        <w:t xml:space="preserve"> </w:t>
      </w:r>
      <w:r w:rsidR="00807BF0" w:rsidRPr="00807BF0">
        <w:rPr>
          <w:rFonts w:ascii="Arial" w:hAnsi="Arial" w:cs="Arial"/>
          <w:sz w:val="22"/>
          <w:szCs w:val="22"/>
        </w:rPr>
        <w:t xml:space="preserve">Los objetivos específicos son: (i) restablecer la capacidad de suministro eléctrico a nivel de 69 kilovoltios (kV) con la implementación de los proyectos de subtransmisión; y (ii) facilitar el aprovisionamiento confiable del servicio eléctrico a los usuarios finales, mediante la implementación de los proyectos de distribución. </w:t>
      </w:r>
      <w:r w:rsidRPr="00807BF0">
        <w:rPr>
          <w:rFonts w:ascii="Arial" w:hAnsi="Arial" w:cs="Arial"/>
          <w:sz w:val="22"/>
          <w:szCs w:val="22"/>
        </w:rPr>
        <w:t xml:space="preserve">El programa se estructura </w:t>
      </w:r>
      <w:r w:rsidR="00D12C2D" w:rsidRPr="00807BF0">
        <w:rPr>
          <w:rFonts w:ascii="Arial" w:hAnsi="Arial" w:cs="Arial"/>
          <w:sz w:val="22"/>
          <w:szCs w:val="22"/>
        </w:rPr>
        <w:t>de las siguiente forma:</w:t>
      </w:r>
    </w:p>
    <w:p w:rsidR="004E73E3" w:rsidRDefault="004E73E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b/>
          <w:sz w:val="22"/>
          <w:szCs w:val="22"/>
        </w:rPr>
        <w:t>Infraestructura de Ener</w:t>
      </w:r>
      <w:r w:rsidR="00D12C2D" w:rsidRPr="00807BF0">
        <w:rPr>
          <w:rFonts w:ascii="Arial" w:hAnsi="Arial" w:cs="Arial"/>
          <w:b/>
          <w:sz w:val="22"/>
          <w:szCs w:val="22"/>
        </w:rPr>
        <w:t xml:space="preserve">gía Eléctrica (US$35 millones): </w:t>
      </w:r>
      <w:r w:rsidRPr="00807BF0">
        <w:rPr>
          <w:rFonts w:ascii="Arial" w:hAnsi="Arial" w:cs="Arial"/>
          <w:b/>
          <w:sz w:val="22"/>
          <w:szCs w:val="22"/>
        </w:rPr>
        <w:t>Plan de Reconstrucción Integral Eléctrico</w:t>
      </w:r>
      <w:r w:rsidRPr="00807BF0">
        <w:rPr>
          <w:rFonts w:ascii="Arial" w:hAnsi="Arial" w:cs="Arial"/>
          <w:sz w:val="22"/>
          <w:szCs w:val="22"/>
        </w:rPr>
        <w:t>. Se apoyará el proceso de reconstrucción de infraestructura eléctrica siguiendo estándares que promueven la infraestructura resiliente, con el fin de estabilizar el sistema de distribución en todas sus etapas funcionales y reducir el tiempo de respuesta ante desastres naturales. El MEER ha priorizado proyectos en esta etapa, localizados en las provincias afectadas, e incluyen: (i) líneas de subtransmisión, (ii) subestaciones eléctricas de distribución; (iii) medidores y acometidas, y sistema de control y monitoreo. Además se financiará con contraparte local</w:t>
      </w:r>
      <w:r w:rsidR="00497F9A" w:rsidRPr="00807BF0">
        <w:rPr>
          <w:rFonts w:ascii="Arial" w:hAnsi="Arial" w:cs="Arial"/>
          <w:sz w:val="22"/>
          <w:szCs w:val="22"/>
        </w:rPr>
        <w:t>, la administración</w:t>
      </w:r>
      <w:r w:rsidRPr="00807BF0">
        <w:rPr>
          <w:rFonts w:ascii="Arial" w:hAnsi="Arial" w:cs="Arial"/>
          <w:sz w:val="22"/>
          <w:szCs w:val="22"/>
        </w:rPr>
        <w:t xml:space="preserve"> y el Impuesto al Valor Agregado.</w:t>
      </w:r>
    </w:p>
    <w:p w:rsidR="00807BF0" w:rsidRDefault="00807BF0" w:rsidP="00807BF0">
      <w:pPr>
        <w:pStyle w:val="Paragraph"/>
        <w:numPr>
          <w:ilvl w:val="0"/>
          <w:numId w:val="0"/>
        </w:numPr>
        <w:tabs>
          <w:tab w:val="left" w:pos="720"/>
        </w:tabs>
        <w:ind w:left="709"/>
        <w:outlineLvl w:val="9"/>
        <w:rPr>
          <w:rFonts w:ascii="Arial" w:hAnsi="Arial" w:cs="Arial"/>
          <w:b/>
          <w:sz w:val="22"/>
          <w:szCs w:val="22"/>
        </w:rPr>
      </w:pPr>
    </w:p>
    <w:p w:rsidR="00807BF0" w:rsidRPr="00807BF0" w:rsidRDefault="00807BF0" w:rsidP="00807BF0">
      <w:pPr>
        <w:pStyle w:val="Paragraph"/>
        <w:numPr>
          <w:ilvl w:val="0"/>
          <w:numId w:val="0"/>
        </w:numPr>
        <w:tabs>
          <w:tab w:val="left" w:pos="720"/>
        </w:tabs>
        <w:ind w:left="709"/>
        <w:outlineLvl w:val="9"/>
        <w:rPr>
          <w:rFonts w:ascii="Arial" w:hAnsi="Arial" w:cs="Arial"/>
          <w:sz w:val="22"/>
          <w:szCs w:val="22"/>
        </w:rPr>
      </w:pPr>
    </w:p>
    <w:p w:rsidR="0093080F" w:rsidRPr="00807BF0" w:rsidRDefault="00C53DC3" w:rsidP="00C53DC3">
      <w:pPr>
        <w:pStyle w:val="subtittuloppalenapartadoDali"/>
        <w:numPr>
          <w:ilvl w:val="0"/>
          <w:numId w:val="1"/>
        </w:numPr>
        <w:outlineLvl w:val="0"/>
        <w:rPr>
          <w:rFonts w:ascii="Arial" w:hAnsi="Arial" w:cs="Arial"/>
          <w:b/>
          <w:sz w:val="22"/>
          <w:szCs w:val="22"/>
        </w:rPr>
      </w:pPr>
      <w:bookmarkStart w:id="3" w:name="_Toc465687799"/>
      <w:r w:rsidRPr="00807BF0">
        <w:rPr>
          <w:rFonts w:ascii="Arial" w:hAnsi="Arial" w:cs="Arial"/>
          <w:b/>
          <w:caps w:val="0"/>
          <w:sz w:val="22"/>
          <w:szCs w:val="22"/>
        </w:rPr>
        <w:lastRenderedPageBreak/>
        <w:t>Marco Legal e Institucional Ambiental y Social</w:t>
      </w:r>
      <w:bookmarkEnd w:id="3"/>
    </w:p>
    <w:p w:rsidR="0093080F" w:rsidRPr="00807BF0" w:rsidRDefault="0093080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De conformidad con la legislación </w:t>
      </w:r>
      <w:proofErr w:type="spellStart"/>
      <w:r w:rsidRPr="00807BF0">
        <w:rPr>
          <w:rFonts w:ascii="Arial" w:hAnsi="Arial" w:cs="Arial"/>
          <w:sz w:val="22"/>
          <w:szCs w:val="22"/>
        </w:rPr>
        <w:t>socioambiental</w:t>
      </w:r>
      <w:proofErr w:type="spellEnd"/>
      <w:r w:rsidRPr="00807BF0">
        <w:rPr>
          <w:rFonts w:ascii="Arial" w:hAnsi="Arial" w:cs="Arial"/>
          <w:sz w:val="22"/>
          <w:szCs w:val="22"/>
        </w:rPr>
        <w:t xml:space="preserve"> vigente, además de lo estipulado en la Constitución de la República del Ecuador y otras leyes pertinentes, el </w:t>
      </w:r>
      <w:r w:rsidR="001620A3" w:rsidRPr="00807BF0">
        <w:rPr>
          <w:rFonts w:ascii="Arial" w:hAnsi="Arial" w:cs="Arial"/>
          <w:sz w:val="22"/>
          <w:szCs w:val="22"/>
        </w:rPr>
        <w:t>Programa</w:t>
      </w:r>
      <w:r w:rsidRPr="00807BF0">
        <w:rPr>
          <w:rFonts w:ascii="Arial" w:hAnsi="Arial" w:cs="Arial"/>
          <w:sz w:val="22"/>
          <w:szCs w:val="22"/>
        </w:rPr>
        <w:t xml:space="preserve"> debe observar lo dispuesto en los siguientes cuerpos legales, incluidos sus reglamentos: i) </w:t>
      </w:r>
      <w:r w:rsidR="001620A3" w:rsidRPr="00807BF0">
        <w:rPr>
          <w:rFonts w:ascii="Arial" w:hAnsi="Arial" w:cs="Arial"/>
          <w:sz w:val="22"/>
          <w:szCs w:val="22"/>
        </w:rPr>
        <w:t>Ley de Gestión Ambiental</w:t>
      </w:r>
      <w:r w:rsidRPr="00807BF0">
        <w:rPr>
          <w:rFonts w:ascii="Arial" w:hAnsi="Arial" w:cs="Arial"/>
          <w:sz w:val="22"/>
          <w:szCs w:val="22"/>
        </w:rPr>
        <w:t xml:space="preserve">; ii) Ley Orgánica de Participación Ciudadana y Consulta Previa; iii) </w:t>
      </w:r>
      <w:r w:rsidR="001620A3" w:rsidRPr="00807BF0">
        <w:rPr>
          <w:rFonts w:ascii="Arial" w:hAnsi="Arial" w:cs="Arial"/>
          <w:sz w:val="22"/>
          <w:szCs w:val="22"/>
        </w:rPr>
        <w:t xml:space="preserve">Ley Orgánica del Servicio Público de Energía Eléctrica; </w:t>
      </w:r>
      <w:r w:rsidR="00B0365E" w:rsidRPr="00807BF0">
        <w:rPr>
          <w:rFonts w:ascii="Arial" w:hAnsi="Arial" w:cs="Arial"/>
          <w:sz w:val="22"/>
          <w:szCs w:val="22"/>
        </w:rPr>
        <w:t xml:space="preserve">y, </w:t>
      </w:r>
      <w:r w:rsidRPr="00807BF0">
        <w:rPr>
          <w:rFonts w:ascii="Arial" w:hAnsi="Arial" w:cs="Arial"/>
          <w:sz w:val="22"/>
          <w:szCs w:val="22"/>
        </w:rPr>
        <w:t>iv) Normas Técnicas Ambientales</w:t>
      </w:r>
      <w:r w:rsidR="00324CFE" w:rsidRPr="00807BF0">
        <w:rPr>
          <w:rFonts w:ascii="Arial" w:hAnsi="Arial" w:cs="Arial"/>
          <w:sz w:val="22"/>
          <w:szCs w:val="22"/>
        </w:rPr>
        <w:t xml:space="preserve"> nacionales </w:t>
      </w:r>
      <w:r w:rsidRPr="00807BF0">
        <w:rPr>
          <w:rFonts w:ascii="Arial" w:hAnsi="Arial" w:cs="Arial"/>
          <w:sz w:val="22"/>
          <w:szCs w:val="22"/>
        </w:rPr>
        <w:t>entre los más relevantes. Así mismo, debe seguir los procedimientos nacionales con respecto al proceso de Licenciamiento Ambiental, señalados en el Acuerdo Ministerial 061 que reforma el Libro VI del Texto Unificado de Legislación Secundaria del Ministerio del Ambiente que define el nuevo procedimiento de Evaluación de Impacto Ambiental en el Ecuador.</w:t>
      </w:r>
    </w:p>
    <w:p w:rsidR="00324CFE" w:rsidRPr="00807BF0" w:rsidRDefault="00324CFE"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Ley de Gestión Ambiental establece los principios y directrices de la política ambiental; determina las obligaciones, las responsabilidades, los niveles de participación de los sectores público y privado en la gestión ambiental; fija los límites permisibles de contaminación, así como los controles y las sanciones en la gestión ambiental en el país; y orienta en los principios universales del desarrollo sustentable. </w:t>
      </w:r>
    </w:p>
    <w:p w:rsidR="00324CFE" w:rsidRPr="00807BF0" w:rsidRDefault="0093080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De forma particular, </w:t>
      </w:r>
      <w:r w:rsidR="00324CFE" w:rsidRPr="00807BF0">
        <w:rPr>
          <w:rFonts w:ascii="Arial" w:hAnsi="Arial" w:cs="Arial"/>
          <w:sz w:val="22"/>
          <w:szCs w:val="22"/>
        </w:rPr>
        <w:t xml:space="preserve">para el sector eléctrico, </w:t>
      </w:r>
      <w:r w:rsidRPr="00807BF0">
        <w:rPr>
          <w:rFonts w:ascii="Arial" w:hAnsi="Arial" w:cs="Arial"/>
          <w:sz w:val="22"/>
          <w:szCs w:val="22"/>
        </w:rPr>
        <w:t>la Ley Orgánica del Sector establece de manera concreta que previamente a la ejecución de la obra, los proyectos de generación, transmisión y distribución de energía eléctrica deberán cumplir con las políticas, normativa y procedimientos aplicables</w:t>
      </w:r>
      <w:r w:rsidR="00497F9A" w:rsidRPr="00807BF0">
        <w:rPr>
          <w:rFonts w:ascii="Arial" w:hAnsi="Arial" w:cs="Arial"/>
          <w:sz w:val="22"/>
          <w:szCs w:val="22"/>
        </w:rPr>
        <w:t>,</w:t>
      </w:r>
      <w:r w:rsidRPr="00807BF0">
        <w:rPr>
          <w:rFonts w:ascii="Arial" w:hAnsi="Arial" w:cs="Arial"/>
          <w:sz w:val="22"/>
          <w:szCs w:val="22"/>
        </w:rPr>
        <w:t xml:space="preserve"> según la categorización establecida por la Autoridad Ambiental Nacional, para la prevención, control, mitigación, reparación y seguimiento de impactos ambientales en las etapas de construcción, operación y retiro. Dichos estudios deberán incluir planes de mitigación o recuperación de las áreas afectadas y el análisis de costos correspondientes.</w:t>
      </w:r>
    </w:p>
    <w:p w:rsidR="0093080F" w:rsidRPr="00807BF0" w:rsidRDefault="0093080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Ley Orgánica de Participación Ciudadana y Consulta Previa, entre otros aspectos, establece la potestad ciudadana para proponer la creación, reforma o derogatoria de normas jurídicas ante la Función Legislativa o ante cualquier otra institución u órgano con competencia normativa en todos los niveles de gobierno.  Esta ley faculta también a los ciudadanos a realizar procesos de veedurías, observatorios y otros mecanismos de control social (o ambiental) a la actuación de los órganos y autoridades de todas las funciones del Estado (incluidas las autoridades ambientales correspondientes) y los diferentes niveles de gobierno, fomenta la participación ciudadana, instaura los presupuestos participativos, los consejos consultivos, la consulta previa, libre e informada, la rendición de cuentas y el acceso a la información.</w:t>
      </w:r>
    </w:p>
    <w:p w:rsidR="00C85459" w:rsidRPr="00807BF0" w:rsidRDefault="0093080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Acuerdo Ministerial No. 061 </w:t>
      </w:r>
      <w:r w:rsidR="00DD7B56" w:rsidRPr="00807BF0">
        <w:rPr>
          <w:rFonts w:ascii="Arial" w:hAnsi="Arial" w:cs="Arial"/>
          <w:sz w:val="22"/>
          <w:szCs w:val="22"/>
        </w:rPr>
        <w:t xml:space="preserve">del Ministerio del Ambiente </w:t>
      </w:r>
      <w:r w:rsidRPr="00807BF0">
        <w:rPr>
          <w:rFonts w:ascii="Arial" w:hAnsi="Arial" w:cs="Arial"/>
          <w:sz w:val="22"/>
          <w:szCs w:val="22"/>
        </w:rPr>
        <w:t>establece</w:t>
      </w:r>
      <w:r w:rsidRPr="00807BF0">
        <w:rPr>
          <w:rFonts w:ascii="Arial" w:hAnsi="Arial" w:cs="Arial"/>
          <w:sz w:val="22"/>
          <w:szCs w:val="22"/>
          <w:vertAlign w:val="superscript"/>
        </w:rPr>
        <w:footnoteReference w:id="1"/>
      </w:r>
      <w:r w:rsidRPr="00807BF0">
        <w:rPr>
          <w:rFonts w:ascii="Arial" w:hAnsi="Arial" w:cs="Arial"/>
          <w:sz w:val="22"/>
          <w:szCs w:val="22"/>
        </w:rPr>
        <w:t xml:space="preserve"> la necesidad de clasificar las obras públicas, privadas o mixtas y los proyectos de inversión públicos en tres categorías, en función del tipo de impactos que pueden generar en el ambiente</w:t>
      </w:r>
      <w:r w:rsidRPr="00807BF0">
        <w:rPr>
          <w:rFonts w:ascii="Arial" w:hAnsi="Arial" w:cs="Arial"/>
          <w:sz w:val="22"/>
          <w:szCs w:val="22"/>
          <w:vertAlign w:val="superscript"/>
        </w:rPr>
        <w:footnoteReference w:id="2"/>
      </w:r>
      <w:r w:rsidRPr="00807BF0">
        <w:rPr>
          <w:rFonts w:ascii="Arial" w:hAnsi="Arial" w:cs="Arial"/>
          <w:sz w:val="22"/>
          <w:szCs w:val="22"/>
        </w:rPr>
        <w:t xml:space="preserve">: i) Categoría I que otorga un Certificado Ambiental, que congrega a todos los proyectos cuyos impactos o riesgos ambientales son considerados no significativos; ii) Categoría II que otorga un Registro Ambiental, que aglutina a los proyectos cuyos impactos o riesgos ambientales son considerados bajos y medios; iii) Categoría III que otorga una </w:t>
      </w:r>
      <w:r w:rsidRPr="00807BF0">
        <w:rPr>
          <w:rFonts w:ascii="Arial" w:hAnsi="Arial" w:cs="Arial"/>
          <w:sz w:val="22"/>
          <w:szCs w:val="22"/>
        </w:rPr>
        <w:lastRenderedPageBreak/>
        <w:t xml:space="preserve">Licencia Ambiental, que agrupa a proyectos cuyos impactos o riesgos ambientales son considerados </w:t>
      </w:r>
      <w:r w:rsidR="00DD7B56" w:rsidRPr="00807BF0">
        <w:rPr>
          <w:rFonts w:ascii="Arial" w:hAnsi="Arial" w:cs="Arial"/>
          <w:sz w:val="22"/>
          <w:szCs w:val="22"/>
        </w:rPr>
        <w:t>altos</w:t>
      </w:r>
      <w:r w:rsidR="00C85459" w:rsidRPr="00807BF0">
        <w:rPr>
          <w:rFonts w:ascii="Arial" w:hAnsi="Arial" w:cs="Arial"/>
          <w:sz w:val="22"/>
          <w:szCs w:val="22"/>
        </w:rPr>
        <w:t>, según la siguiente tabla:</w:t>
      </w:r>
    </w:p>
    <w:p w:rsidR="00C85459" w:rsidRPr="00807BF0" w:rsidRDefault="00497F9A"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sz w:val="22"/>
          <w:szCs w:val="22"/>
        </w:rPr>
        <w:t xml:space="preserve">Tabla No. 01: </w:t>
      </w:r>
      <w:r w:rsidR="00C85459" w:rsidRPr="00807BF0">
        <w:rPr>
          <w:rFonts w:ascii="Arial" w:hAnsi="Arial" w:cs="Arial"/>
          <w:sz w:val="22"/>
          <w:szCs w:val="22"/>
        </w:rPr>
        <w:t>Tipología de Permiso Ambiental</w:t>
      </w:r>
    </w:p>
    <w:tbl>
      <w:tblPr>
        <w:tblStyle w:val="Cuadrculadetablaclara1"/>
        <w:tblW w:w="0" w:type="auto"/>
        <w:jc w:val="center"/>
        <w:tblLook w:val="04A0" w:firstRow="1" w:lastRow="0" w:firstColumn="1" w:lastColumn="0" w:noHBand="0" w:noVBand="1"/>
      </w:tblPr>
      <w:tblGrid>
        <w:gridCol w:w="1773"/>
        <w:gridCol w:w="2268"/>
        <w:gridCol w:w="3325"/>
      </w:tblGrid>
      <w:tr w:rsidR="00C85459" w:rsidRPr="00807BF0" w:rsidTr="00D93C72">
        <w:trPr>
          <w:tblHeader/>
          <w:jc w:val="center"/>
        </w:trPr>
        <w:tc>
          <w:tcPr>
            <w:tcW w:w="1773" w:type="dxa"/>
            <w:shd w:val="clear" w:color="auto" w:fill="D9D9D9" w:themeFill="background1" w:themeFillShade="D9"/>
          </w:tcPr>
          <w:p w:rsidR="00C85459" w:rsidRPr="00807BF0" w:rsidRDefault="00C85459" w:rsidP="00C53DC3">
            <w:pPr>
              <w:ind w:left="0"/>
              <w:jc w:val="center"/>
              <w:rPr>
                <w:rFonts w:ascii="Arial" w:hAnsi="Arial" w:cs="Arial"/>
                <w:b/>
              </w:rPr>
            </w:pPr>
            <w:r w:rsidRPr="00807BF0">
              <w:rPr>
                <w:rFonts w:ascii="Arial" w:hAnsi="Arial" w:cs="Arial"/>
                <w:b/>
              </w:rPr>
              <w:t>Tipo de permiso ambiental</w:t>
            </w:r>
          </w:p>
        </w:tc>
        <w:tc>
          <w:tcPr>
            <w:tcW w:w="2268" w:type="dxa"/>
            <w:shd w:val="clear" w:color="auto" w:fill="D9D9D9" w:themeFill="background1" w:themeFillShade="D9"/>
          </w:tcPr>
          <w:p w:rsidR="00C85459" w:rsidRPr="00807BF0" w:rsidRDefault="00C85459" w:rsidP="00C53DC3">
            <w:pPr>
              <w:ind w:left="0"/>
              <w:jc w:val="center"/>
              <w:rPr>
                <w:rFonts w:ascii="Arial" w:hAnsi="Arial" w:cs="Arial"/>
                <w:b/>
              </w:rPr>
            </w:pPr>
            <w:r w:rsidRPr="00807BF0">
              <w:rPr>
                <w:rFonts w:ascii="Arial" w:hAnsi="Arial" w:cs="Arial"/>
                <w:b/>
              </w:rPr>
              <w:t>Impacto Ambiental</w:t>
            </w:r>
          </w:p>
        </w:tc>
        <w:tc>
          <w:tcPr>
            <w:tcW w:w="3325" w:type="dxa"/>
            <w:shd w:val="clear" w:color="auto" w:fill="D9D9D9" w:themeFill="background1" w:themeFillShade="D9"/>
          </w:tcPr>
          <w:p w:rsidR="00C85459" w:rsidRPr="00807BF0" w:rsidRDefault="00C85459" w:rsidP="00C53DC3">
            <w:pPr>
              <w:ind w:left="0"/>
              <w:jc w:val="center"/>
              <w:rPr>
                <w:rFonts w:ascii="Arial" w:hAnsi="Arial" w:cs="Arial"/>
                <w:b/>
              </w:rPr>
            </w:pPr>
            <w:r w:rsidRPr="00807BF0">
              <w:rPr>
                <w:rFonts w:ascii="Arial" w:hAnsi="Arial" w:cs="Arial"/>
                <w:b/>
              </w:rPr>
              <w:t>Tipo de estudio ambiental requerido</w:t>
            </w:r>
          </w:p>
        </w:tc>
      </w:tr>
      <w:tr w:rsidR="00C85459" w:rsidRPr="00807BF0" w:rsidTr="00497F9A">
        <w:trPr>
          <w:jc w:val="center"/>
        </w:trPr>
        <w:tc>
          <w:tcPr>
            <w:tcW w:w="1773" w:type="dxa"/>
          </w:tcPr>
          <w:p w:rsidR="00C85459" w:rsidRPr="00807BF0" w:rsidRDefault="00C85459" w:rsidP="00C53DC3">
            <w:pPr>
              <w:ind w:left="0"/>
              <w:rPr>
                <w:rFonts w:ascii="Arial" w:hAnsi="Arial" w:cs="Arial"/>
              </w:rPr>
            </w:pPr>
            <w:r w:rsidRPr="00807BF0">
              <w:rPr>
                <w:rFonts w:ascii="Arial" w:hAnsi="Arial" w:cs="Arial"/>
              </w:rPr>
              <w:t>Certificado Ambiental</w:t>
            </w:r>
          </w:p>
        </w:tc>
        <w:tc>
          <w:tcPr>
            <w:tcW w:w="2268" w:type="dxa"/>
          </w:tcPr>
          <w:p w:rsidR="00C85459" w:rsidRPr="00807BF0" w:rsidRDefault="003F0946" w:rsidP="00C53DC3">
            <w:pPr>
              <w:ind w:left="0"/>
              <w:rPr>
                <w:rFonts w:ascii="Arial" w:hAnsi="Arial" w:cs="Arial"/>
              </w:rPr>
            </w:pPr>
            <w:r w:rsidRPr="00807BF0">
              <w:rPr>
                <w:rFonts w:ascii="Arial" w:hAnsi="Arial" w:cs="Arial"/>
              </w:rPr>
              <w:t>Impacto Ambiental y S</w:t>
            </w:r>
            <w:r w:rsidR="00C85459" w:rsidRPr="00807BF0">
              <w:rPr>
                <w:rFonts w:ascii="Arial" w:hAnsi="Arial" w:cs="Arial"/>
              </w:rPr>
              <w:t>ocial bajo</w:t>
            </w:r>
            <w:r w:rsidRPr="00807BF0">
              <w:rPr>
                <w:rFonts w:ascii="Arial" w:hAnsi="Arial" w:cs="Arial"/>
              </w:rPr>
              <w:t>, no significativo</w:t>
            </w:r>
          </w:p>
        </w:tc>
        <w:tc>
          <w:tcPr>
            <w:tcW w:w="3325" w:type="dxa"/>
          </w:tcPr>
          <w:p w:rsidR="00C85459" w:rsidRPr="00807BF0" w:rsidRDefault="00C85459" w:rsidP="00C53DC3">
            <w:pPr>
              <w:ind w:left="0"/>
              <w:rPr>
                <w:rFonts w:ascii="Arial" w:hAnsi="Arial" w:cs="Arial"/>
              </w:rPr>
            </w:pPr>
            <w:r w:rsidRPr="00807BF0">
              <w:rPr>
                <w:rFonts w:ascii="Arial" w:hAnsi="Arial" w:cs="Arial"/>
              </w:rPr>
              <w:t>Información general del proyecto y aplicación de Guía de Prácticas Ambientales</w:t>
            </w:r>
          </w:p>
        </w:tc>
      </w:tr>
      <w:tr w:rsidR="00C85459" w:rsidRPr="00807BF0" w:rsidTr="00497F9A">
        <w:trPr>
          <w:jc w:val="center"/>
        </w:trPr>
        <w:tc>
          <w:tcPr>
            <w:tcW w:w="1773" w:type="dxa"/>
          </w:tcPr>
          <w:p w:rsidR="00C85459" w:rsidRPr="00807BF0" w:rsidRDefault="00C85459" w:rsidP="00C53DC3">
            <w:pPr>
              <w:ind w:left="0"/>
              <w:rPr>
                <w:rFonts w:ascii="Arial" w:hAnsi="Arial" w:cs="Arial"/>
              </w:rPr>
            </w:pPr>
            <w:r w:rsidRPr="00807BF0">
              <w:rPr>
                <w:rFonts w:ascii="Arial" w:hAnsi="Arial" w:cs="Arial"/>
              </w:rPr>
              <w:t>Registro Ambiental</w:t>
            </w:r>
          </w:p>
        </w:tc>
        <w:tc>
          <w:tcPr>
            <w:tcW w:w="2268" w:type="dxa"/>
          </w:tcPr>
          <w:p w:rsidR="00C85459" w:rsidRPr="00807BF0" w:rsidRDefault="003F0946" w:rsidP="00C53DC3">
            <w:pPr>
              <w:ind w:left="0"/>
              <w:rPr>
                <w:rFonts w:ascii="Arial" w:hAnsi="Arial" w:cs="Arial"/>
              </w:rPr>
            </w:pPr>
            <w:r w:rsidRPr="00807BF0">
              <w:rPr>
                <w:rFonts w:ascii="Arial" w:hAnsi="Arial" w:cs="Arial"/>
              </w:rPr>
              <w:t>Impacto Ambiental y S</w:t>
            </w:r>
            <w:r w:rsidR="00C85459" w:rsidRPr="00807BF0">
              <w:rPr>
                <w:rFonts w:ascii="Arial" w:hAnsi="Arial" w:cs="Arial"/>
              </w:rPr>
              <w:t>ocial medio</w:t>
            </w:r>
          </w:p>
        </w:tc>
        <w:tc>
          <w:tcPr>
            <w:tcW w:w="3325" w:type="dxa"/>
          </w:tcPr>
          <w:p w:rsidR="00C85459" w:rsidRPr="00807BF0" w:rsidRDefault="00C85459" w:rsidP="00C53DC3">
            <w:pPr>
              <w:ind w:left="0"/>
              <w:rPr>
                <w:rFonts w:ascii="Arial" w:hAnsi="Arial" w:cs="Arial"/>
              </w:rPr>
            </w:pPr>
            <w:r w:rsidRPr="00807BF0">
              <w:rPr>
                <w:rFonts w:ascii="Arial" w:hAnsi="Arial" w:cs="Arial"/>
              </w:rPr>
              <w:t>Ficha Ambiental y Plan de Manejo Ambiental Básico (llenado electrónicamente)</w:t>
            </w:r>
          </w:p>
        </w:tc>
      </w:tr>
      <w:tr w:rsidR="00C85459" w:rsidRPr="00807BF0" w:rsidTr="00497F9A">
        <w:trPr>
          <w:jc w:val="center"/>
        </w:trPr>
        <w:tc>
          <w:tcPr>
            <w:tcW w:w="1773" w:type="dxa"/>
          </w:tcPr>
          <w:p w:rsidR="00C85459" w:rsidRPr="00807BF0" w:rsidRDefault="00C85459" w:rsidP="00C53DC3">
            <w:pPr>
              <w:ind w:left="0"/>
              <w:rPr>
                <w:rFonts w:ascii="Arial" w:hAnsi="Arial" w:cs="Arial"/>
              </w:rPr>
            </w:pPr>
            <w:r w:rsidRPr="00807BF0">
              <w:rPr>
                <w:rFonts w:ascii="Arial" w:hAnsi="Arial" w:cs="Arial"/>
              </w:rPr>
              <w:t>Licencia Ambiental</w:t>
            </w:r>
          </w:p>
        </w:tc>
        <w:tc>
          <w:tcPr>
            <w:tcW w:w="2268" w:type="dxa"/>
          </w:tcPr>
          <w:p w:rsidR="00C85459" w:rsidRPr="00807BF0" w:rsidRDefault="003F0946" w:rsidP="00C53DC3">
            <w:pPr>
              <w:ind w:left="0"/>
              <w:rPr>
                <w:rFonts w:ascii="Arial" w:hAnsi="Arial" w:cs="Arial"/>
              </w:rPr>
            </w:pPr>
            <w:r w:rsidRPr="00807BF0">
              <w:rPr>
                <w:rFonts w:ascii="Arial" w:hAnsi="Arial" w:cs="Arial"/>
              </w:rPr>
              <w:t>Impacto Ambiental y S</w:t>
            </w:r>
            <w:r w:rsidR="00C85459" w:rsidRPr="00807BF0">
              <w:rPr>
                <w:rFonts w:ascii="Arial" w:hAnsi="Arial" w:cs="Arial"/>
              </w:rPr>
              <w:t>ocial alto</w:t>
            </w:r>
          </w:p>
        </w:tc>
        <w:tc>
          <w:tcPr>
            <w:tcW w:w="3325" w:type="dxa"/>
          </w:tcPr>
          <w:p w:rsidR="00C85459" w:rsidRPr="00807BF0" w:rsidRDefault="00C85459" w:rsidP="00C53DC3">
            <w:pPr>
              <w:ind w:left="0"/>
              <w:rPr>
                <w:rFonts w:ascii="Arial" w:hAnsi="Arial" w:cs="Arial"/>
              </w:rPr>
            </w:pPr>
            <w:r w:rsidRPr="00807BF0">
              <w:rPr>
                <w:rFonts w:ascii="Arial" w:hAnsi="Arial" w:cs="Arial"/>
              </w:rPr>
              <w:t>Estudio de Impacto Ambiental y Plan de Manejo Ambiental Completo (llenado electrónicamente)</w:t>
            </w:r>
          </w:p>
        </w:tc>
      </w:tr>
    </w:tbl>
    <w:p w:rsidR="00C85459" w:rsidRPr="00807BF0" w:rsidRDefault="00C85459" w:rsidP="00C53DC3">
      <w:pPr>
        <w:pStyle w:val="Paragraph"/>
        <w:numPr>
          <w:ilvl w:val="0"/>
          <w:numId w:val="0"/>
        </w:numPr>
        <w:tabs>
          <w:tab w:val="left" w:pos="720"/>
        </w:tabs>
        <w:outlineLvl w:val="9"/>
        <w:rPr>
          <w:rFonts w:ascii="Arial" w:hAnsi="Arial" w:cs="Arial"/>
          <w:sz w:val="22"/>
          <w:szCs w:val="22"/>
        </w:rPr>
      </w:pPr>
    </w:p>
    <w:p w:rsidR="0093080F" w:rsidRPr="00807BF0" w:rsidRDefault="0093080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Si bien no hay una concordancia total</w:t>
      </w:r>
      <w:r w:rsidR="00C85459" w:rsidRPr="00807BF0">
        <w:rPr>
          <w:rFonts w:ascii="Arial" w:hAnsi="Arial" w:cs="Arial"/>
          <w:sz w:val="22"/>
          <w:szCs w:val="22"/>
        </w:rPr>
        <w:t xml:space="preserve"> con las salvaguardias ambientales del Banco</w:t>
      </w:r>
      <w:r w:rsidRPr="00807BF0">
        <w:rPr>
          <w:rFonts w:ascii="Arial" w:hAnsi="Arial" w:cs="Arial"/>
          <w:sz w:val="22"/>
          <w:szCs w:val="22"/>
        </w:rPr>
        <w:t>, estas categorías pueden ser equiparables a las contenidas en la política OP-703, de acuerdo con la siguiente tabla:</w:t>
      </w:r>
    </w:p>
    <w:p w:rsidR="0093080F" w:rsidRPr="00807BF0" w:rsidRDefault="00497F9A" w:rsidP="00C53DC3">
      <w:pPr>
        <w:pStyle w:val="Paragraph"/>
        <w:numPr>
          <w:ilvl w:val="0"/>
          <w:numId w:val="0"/>
        </w:numPr>
        <w:tabs>
          <w:tab w:val="left" w:pos="720"/>
        </w:tabs>
        <w:jc w:val="center"/>
        <w:outlineLvl w:val="9"/>
        <w:rPr>
          <w:rFonts w:ascii="Arial" w:hAnsi="Arial" w:cs="Arial"/>
          <w:sz w:val="22"/>
          <w:szCs w:val="22"/>
        </w:rPr>
      </w:pPr>
      <w:r w:rsidRPr="00807BF0">
        <w:rPr>
          <w:rFonts w:ascii="Arial" w:hAnsi="Arial" w:cs="Arial"/>
          <w:sz w:val="22"/>
          <w:szCs w:val="22"/>
        </w:rPr>
        <w:t>Tabla No. 02:</w:t>
      </w:r>
      <w:r w:rsidR="0093080F" w:rsidRPr="00807BF0">
        <w:rPr>
          <w:rFonts w:ascii="Arial" w:hAnsi="Arial" w:cs="Arial"/>
          <w:sz w:val="22"/>
          <w:szCs w:val="22"/>
        </w:rPr>
        <w:t xml:space="preserve"> Equivalencia entre la categorización de los proyectos según la legislación ecuatoriana y la Directriz B.3 de la Política OP-703 del Banco.</w:t>
      </w:r>
    </w:p>
    <w:tbl>
      <w:tblPr>
        <w:tblStyle w:val="Cuadrculadetablaclara1"/>
        <w:tblW w:w="6602" w:type="dxa"/>
        <w:jc w:val="center"/>
        <w:tblLook w:val="04A0" w:firstRow="1" w:lastRow="0" w:firstColumn="1" w:lastColumn="0" w:noHBand="0" w:noVBand="1"/>
      </w:tblPr>
      <w:tblGrid>
        <w:gridCol w:w="3681"/>
        <w:gridCol w:w="2921"/>
      </w:tblGrid>
      <w:tr w:rsidR="0093080F" w:rsidRPr="00807BF0" w:rsidTr="00D93C72">
        <w:trPr>
          <w:trHeight w:val="316"/>
          <w:jc w:val="center"/>
        </w:trPr>
        <w:tc>
          <w:tcPr>
            <w:tcW w:w="3681" w:type="dxa"/>
            <w:shd w:val="clear" w:color="auto" w:fill="D9D9D9" w:themeFill="background1" w:themeFillShade="D9"/>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t>Acuerdo Ministerial No. 061</w:t>
            </w:r>
          </w:p>
        </w:tc>
        <w:tc>
          <w:tcPr>
            <w:tcW w:w="2921" w:type="dxa"/>
            <w:shd w:val="clear" w:color="auto" w:fill="D9D9D9" w:themeFill="background1" w:themeFillShade="D9"/>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t xml:space="preserve">Política </w:t>
            </w:r>
            <w:r w:rsidR="00C85459" w:rsidRPr="00807BF0">
              <w:rPr>
                <w:rFonts w:ascii="Arial" w:hAnsi="Arial" w:cs="Arial"/>
                <w:b/>
                <w:sz w:val="22"/>
                <w:szCs w:val="22"/>
              </w:rPr>
              <w:t xml:space="preserve">BID </w:t>
            </w:r>
            <w:r w:rsidRPr="00807BF0">
              <w:rPr>
                <w:rFonts w:ascii="Arial" w:hAnsi="Arial" w:cs="Arial"/>
                <w:b/>
                <w:sz w:val="22"/>
                <w:szCs w:val="22"/>
              </w:rPr>
              <w:t>OP-703</w:t>
            </w:r>
          </w:p>
        </w:tc>
      </w:tr>
      <w:tr w:rsidR="0093080F" w:rsidRPr="00807BF0" w:rsidTr="00DD7B56">
        <w:trPr>
          <w:jc w:val="center"/>
        </w:trPr>
        <w:tc>
          <w:tcPr>
            <w:tcW w:w="3681" w:type="dxa"/>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Certificado Ambiental</w:t>
            </w:r>
          </w:p>
        </w:tc>
        <w:tc>
          <w:tcPr>
            <w:tcW w:w="2921" w:type="dxa"/>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C</w:t>
            </w:r>
          </w:p>
        </w:tc>
      </w:tr>
      <w:tr w:rsidR="0093080F" w:rsidRPr="00807BF0" w:rsidTr="00DD7B56">
        <w:trPr>
          <w:jc w:val="center"/>
        </w:trPr>
        <w:tc>
          <w:tcPr>
            <w:tcW w:w="3681" w:type="dxa"/>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Registro Ambiental</w:t>
            </w:r>
          </w:p>
        </w:tc>
        <w:tc>
          <w:tcPr>
            <w:tcW w:w="2921" w:type="dxa"/>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B (bajo riesgo)</w:t>
            </w:r>
          </w:p>
        </w:tc>
      </w:tr>
      <w:tr w:rsidR="0093080F" w:rsidRPr="00807BF0" w:rsidTr="00DD7B56">
        <w:trPr>
          <w:jc w:val="center"/>
        </w:trPr>
        <w:tc>
          <w:tcPr>
            <w:tcW w:w="3681" w:type="dxa"/>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Licencia Ambiental</w:t>
            </w:r>
          </w:p>
        </w:tc>
        <w:tc>
          <w:tcPr>
            <w:tcW w:w="2921" w:type="dxa"/>
          </w:tcPr>
          <w:p w:rsidR="0093080F" w:rsidRPr="00807BF0" w:rsidRDefault="0093080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B (alto riesgo) o A</w:t>
            </w:r>
          </w:p>
        </w:tc>
      </w:tr>
    </w:tbl>
    <w:p w:rsidR="0093080F" w:rsidRPr="00807BF0" w:rsidRDefault="0093080F" w:rsidP="00C53DC3">
      <w:pPr>
        <w:pStyle w:val="Paragraph"/>
        <w:numPr>
          <w:ilvl w:val="0"/>
          <w:numId w:val="0"/>
        </w:numPr>
        <w:tabs>
          <w:tab w:val="left" w:pos="720"/>
        </w:tabs>
        <w:ind w:left="709"/>
        <w:outlineLvl w:val="9"/>
        <w:rPr>
          <w:rFonts w:ascii="Arial" w:hAnsi="Arial" w:cs="Arial"/>
          <w:sz w:val="22"/>
          <w:szCs w:val="22"/>
        </w:rPr>
      </w:pPr>
    </w:p>
    <w:p w:rsidR="0062644D" w:rsidRPr="00807BF0" w:rsidRDefault="0093080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Además de lo estipulado en la legislación nacional, todos los proyectos a ser financiados en el marco de esta operación seguirán las directrices contenidas en las políticas del Banco. En los casos donde exista discrepancia entre los requerimientos exigidos por la legislación ambiental y los establecidos por las políticas, se aplicarán los más exigentes.  Adicionalmente y para asegurar un buen manejo ambiental y social de cada una de las obras contempladas en el Plan de Inversiones, se adoptará un marco de gestión ambiental y social, que incluye una serie de buenas prácticas ambientales y sociales; un PMA para cada proyecto que se anexará a los pliegos de licitación; y especificaciones técnicas ambientales de cumplimiento obligatorio para los contratistas y la supervisión de las obras </w:t>
      </w:r>
      <w:r w:rsidR="00DD7B56" w:rsidRPr="00807BF0">
        <w:rPr>
          <w:rFonts w:ascii="Arial" w:hAnsi="Arial" w:cs="Arial"/>
          <w:sz w:val="22"/>
          <w:szCs w:val="22"/>
        </w:rPr>
        <w:t>con énfasis en el manejo de desechos peligrosos.</w:t>
      </w:r>
      <w:r w:rsidRPr="00807BF0">
        <w:rPr>
          <w:rFonts w:ascii="Arial" w:hAnsi="Arial" w:cs="Arial"/>
          <w:sz w:val="22"/>
          <w:szCs w:val="22"/>
        </w:rPr>
        <w:t xml:space="preserve"> Adicionalmente se revisará y ajustará para su aplicación, el formato de la ficha ambiental de seguimiento sobre la base de las lecciones aprendidas, que fuera acordada en operaciones similar</w:t>
      </w:r>
      <w:r w:rsidR="00DD7B56" w:rsidRPr="00807BF0">
        <w:rPr>
          <w:rFonts w:ascii="Arial" w:hAnsi="Arial" w:cs="Arial"/>
          <w:sz w:val="22"/>
          <w:szCs w:val="22"/>
        </w:rPr>
        <w:t>es anteriores por el MAE y otras entidades del Estado como el MEER.</w:t>
      </w:r>
      <w:r w:rsidRPr="00807BF0">
        <w:rPr>
          <w:rFonts w:ascii="Arial" w:hAnsi="Arial" w:cs="Arial"/>
          <w:sz w:val="22"/>
          <w:szCs w:val="22"/>
        </w:rPr>
        <w:t xml:space="preserve"> Finalmente, en relación a la equivalencia de la </w:t>
      </w:r>
      <w:r w:rsidRPr="00807BF0">
        <w:rPr>
          <w:rFonts w:ascii="Arial" w:hAnsi="Arial" w:cs="Arial"/>
          <w:sz w:val="22"/>
          <w:szCs w:val="22"/>
        </w:rPr>
        <w:lastRenderedPageBreak/>
        <w:t>categorización ambiental entre la norma ecuatoriana y la del BID, se debe consignar que no habrá ningún proyecto dentro de la categoría A, por lo tanto, esta operación ha sido clasificada dentro de la categoría B.</w:t>
      </w:r>
    </w:p>
    <w:p w:rsidR="0062644D" w:rsidRPr="00807BF0" w:rsidRDefault="0062644D" w:rsidP="00C53DC3">
      <w:pPr>
        <w:pStyle w:val="subtittuloppalenapartadoDali"/>
        <w:numPr>
          <w:ilvl w:val="0"/>
          <w:numId w:val="1"/>
        </w:numPr>
        <w:spacing w:line="240" w:lineRule="auto"/>
        <w:outlineLvl w:val="0"/>
        <w:rPr>
          <w:rFonts w:ascii="Arial" w:hAnsi="Arial" w:cs="Arial"/>
          <w:b/>
          <w:caps w:val="0"/>
          <w:sz w:val="22"/>
          <w:szCs w:val="22"/>
        </w:rPr>
      </w:pPr>
      <w:bookmarkStart w:id="4" w:name="_Toc465687800"/>
      <w:r w:rsidRPr="00807BF0">
        <w:rPr>
          <w:rFonts w:ascii="Arial" w:hAnsi="Arial" w:cs="Arial"/>
          <w:b/>
          <w:caps w:val="0"/>
          <w:sz w:val="22"/>
          <w:szCs w:val="22"/>
        </w:rPr>
        <w:t xml:space="preserve">Análisis </w:t>
      </w:r>
      <w:r w:rsidR="00C53DC3" w:rsidRPr="00807BF0">
        <w:rPr>
          <w:rFonts w:ascii="Arial" w:hAnsi="Arial" w:cs="Arial"/>
          <w:b/>
          <w:caps w:val="0"/>
          <w:sz w:val="22"/>
          <w:szCs w:val="22"/>
        </w:rPr>
        <w:t>de</w:t>
      </w:r>
      <w:r w:rsidR="00C85459" w:rsidRPr="00807BF0">
        <w:rPr>
          <w:rFonts w:ascii="Arial" w:hAnsi="Arial" w:cs="Arial"/>
          <w:b/>
          <w:caps w:val="0"/>
          <w:sz w:val="22"/>
          <w:szCs w:val="22"/>
        </w:rPr>
        <w:t xml:space="preserve"> </w:t>
      </w:r>
      <w:r w:rsidR="00C53DC3" w:rsidRPr="00807BF0">
        <w:rPr>
          <w:rFonts w:ascii="Arial" w:hAnsi="Arial" w:cs="Arial"/>
          <w:b/>
          <w:caps w:val="0"/>
          <w:sz w:val="22"/>
          <w:szCs w:val="22"/>
        </w:rPr>
        <w:t>las Políticas y Salvaguardias Ambientales y Sociales A</w:t>
      </w:r>
      <w:r w:rsidRPr="00807BF0">
        <w:rPr>
          <w:rFonts w:ascii="Arial" w:hAnsi="Arial" w:cs="Arial"/>
          <w:b/>
          <w:caps w:val="0"/>
          <w:sz w:val="22"/>
          <w:szCs w:val="22"/>
        </w:rPr>
        <w:t>plicables</w:t>
      </w:r>
      <w:r w:rsidR="00C85459" w:rsidRPr="00807BF0">
        <w:rPr>
          <w:rFonts w:ascii="Arial" w:hAnsi="Arial" w:cs="Arial"/>
          <w:b/>
          <w:caps w:val="0"/>
          <w:sz w:val="22"/>
          <w:szCs w:val="22"/>
        </w:rPr>
        <w:t xml:space="preserve"> </w:t>
      </w:r>
      <w:r w:rsidR="00C53DC3" w:rsidRPr="00807BF0">
        <w:rPr>
          <w:rFonts w:ascii="Arial" w:hAnsi="Arial" w:cs="Arial"/>
          <w:b/>
          <w:caps w:val="0"/>
          <w:sz w:val="22"/>
          <w:szCs w:val="22"/>
        </w:rPr>
        <w:t>del Banco</w:t>
      </w:r>
      <w:bookmarkEnd w:id="4"/>
    </w:p>
    <w:p w:rsidR="0062644D" w:rsidRPr="00807BF0" w:rsidRDefault="00FF7F9E"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La siguiente ta</w:t>
      </w:r>
      <w:r w:rsidR="001F6893" w:rsidRPr="00807BF0">
        <w:rPr>
          <w:rFonts w:ascii="Arial" w:hAnsi="Arial" w:cs="Arial"/>
          <w:sz w:val="22"/>
          <w:szCs w:val="22"/>
        </w:rPr>
        <w:t>bla muestra una visión resumida</w:t>
      </w:r>
      <w:r w:rsidRPr="00807BF0">
        <w:rPr>
          <w:rFonts w:ascii="Arial" w:hAnsi="Arial" w:cs="Arial"/>
          <w:sz w:val="22"/>
          <w:szCs w:val="22"/>
        </w:rPr>
        <w:t xml:space="preserve"> de la aplicación de las políticas y salvaguardias del Banco en esta operación.</w:t>
      </w:r>
    </w:p>
    <w:p w:rsidR="001F6893" w:rsidRPr="00807BF0" w:rsidRDefault="001F6893" w:rsidP="00C53DC3">
      <w:pPr>
        <w:pStyle w:val="Paragraph"/>
        <w:numPr>
          <w:ilvl w:val="0"/>
          <w:numId w:val="0"/>
        </w:numPr>
        <w:tabs>
          <w:tab w:val="left" w:pos="720"/>
        </w:tabs>
        <w:outlineLvl w:val="9"/>
        <w:rPr>
          <w:rFonts w:ascii="Arial" w:hAnsi="Arial" w:cs="Arial"/>
          <w:sz w:val="22"/>
          <w:szCs w:val="22"/>
        </w:rPr>
      </w:pPr>
    </w:p>
    <w:p w:rsidR="00FF7F9E" w:rsidRPr="00807BF0" w:rsidRDefault="00497F9A" w:rsidP="00C53DC3">
      <w:pPr>
        <w:ind w:left="0"/>
        <w:jc w:val="center"/>
        <w:rPr>
          <w:rFonts w:ascii="Arial" w:hAnsi="Arial" w:cs="Arial"/>
        </w:rPr>
      </w:pPr>
      <w:r w:rsidRPr="00807BF0">
        <w:rPr>
          <w:rFonts w:ascii="Arial" w:hAnsi="Arial" w:cs="Arial"/>
        </w:rPr>
        <w:t>Tabla No. 03</w:t>
      </w:r>
      <w:r w:rsidR="00FF7F9E" w:rsidRPr="00807BF0">
        <w:rPr>
          <w:rFonts w:ascii="Arial" w:hAnsi="Arial" w:cs="Arial"/>
        </w:rPr>
        <w:t>:</w:t>
      </w:r>
      <w:r w:rsidR="001F6893" w:rsidRPr="00807BF0">
        <w:rPr>
          <w:rFonts w:ascii="Arial" w:hAnsi="Arial" w:cs="Arial"/>
        </w:rPr>
        <w:t xml:space="preserve"> Análisis de Políticas y Salvaguardias Ambientales y sociales del BID</w:t>
      </w:r>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427"/>
        <w:gridCol w:w="4194"/>
      </w:tblGrid>
      <w:tr w:rsidR="00EA09C4" w:rsidRPr="00807BF0" w:rsidTr="00EA09C4">
        <w:trPr>
          <w:trHeight w:val="310"/>
          <w:tblHeader/>
        </w:trPr>
        <w:tc>
          <w:tcPr>
            <w:tcW w:w="1890" w:type="dxa"/>
            <w:shd w:val="clear" w:color="auto" w:fill="548DD4"/>
            <w:tcMar>
              <w:top w:w="58" w:type="dxa"/>
              <w:left w:w="115" w:type="dxa"/>
              <w:bottom w:w="58" w:type="dxa"/>
              <w:right w:w="115"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Política / Directiva</w:t>
            </w:r>
          </w:p>
        </w:tc>
        <w:tc>
          <w:tcPr>
            <w:tcW w:w="2430" w:type="dxa"/>
            <w:shd w:val="clear" w:color="auto" w:fill="548DD4"/>
            <w:tcMar>
              <w:top w:w="58" w:type="dxa"/>
              <w:left w:w="115" w:type="dxa"/>
              <w:bottom w:w="58" w:type="dxa"/>
              <w:right w:w="115"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Acciones/Aspecto Aplicable</w:t>
            </w:r>
          </w:p>
        </w:tc>
        <w:tc>
          <w:tcPr>
            <w:tcW w:w="4230" w:type="dxa"/>
            <w:shd w:val="clear" w:color="auto" w:fill="548DD4"/>
            <w:tcMar>
              <w:top w:w="58" w:type="dxa"/>
              <w:left w:w="115" w:type="dxa"/>
              <w:bottom w:w="58" w:type="dxa"/>
              <w:right w:w="115" w:type="dxa"/>
            </w:tcMar>
            <w:vAlign w:val="center"/>
          </w:tcPr>
          <w:p w:rsidR="00EA09C4" w:rsidRPr="00807BF0" w:rsidRDefault="00EA09C4" w:rsidP="00C53DC3">
            <w:pPr>
              <w:autoSpaceDE w:val="0"/>
              <w:autoSpaceDN w:val="0"/>
              <w:adjustRightInd w:val="0"/>
              <w:ind w:left="151"/>
              <w:contextualSpacing/>
              <w:jc w:val="center"/>
              <w:rPr>
                <w:rFonts w:ascii="Arial" w:eastAsia="Times New Roman" w:hAnsi="Arial" w:cs="Arial"/>
                <w:b/>
                <w:color w:val="000000"/>
                <w:lang w:val="es-ES"/>
              </w:rPr>
            </w:pPr>
            <w:r w:rsidRPr="00807BF0">
              <w:rPr>
                <w:rFonts w:ascii="Arial" w:eastAsia="Times New Roman" w:hAnsi="Arial" w:cs="Arial"/>
                <w:b/>
                <w:color w:val="000000"/>
                <w:lang w:val="es-ES"/>
              </w:rPr>
              <w:t>Medidas / Salvaguardas</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 Políticas del Banco</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Cumplimiento con las políticas y directrices aplicables del Banco.</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 xml:space="preserve">Se ha verificado que la operación cumple con las políticas del Banco y se ha generado un Análisis Ambiental y Social (AAS), incluyendo una primera versión del Marco de Gestión Ambiental y Social para el Programa. Además, el AAS es el resultado de una revisión de la documentación socio-ambiental de la muestra del Programa, incluyendo licencias ambientales, estudios de impacto ambiental, planes de gestión ambientales y sociales, y reportes de los procesos de consulta pública.   </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B.2 Legislación y regulaciones nacionales</w:t>
            </w:r>
          </w:p>
        </w:tc>
        <w:tc>
          <w:tcPr>
            <w:tcW w:w="2430" w:type="dxa"/>
            <w:tcMar>
              <w:top w:w="29" w:type="dxa"/>
              <w:left w:w="29" w:type="dxa"/>
              <w:bottom w:w="29" w:type="dxa"/>
              <w:right w:w="29" w:type="dxa"/>
            </w:tcMar>
          </w:tcPr>
          <w:tbl>
            <w:tblPr>
              <w:tblW w:w="0" w:type="auto"/>
              <w:tblBorders>
                <w:top w:val="nil"/>
                <w:left w:val="nil"/>
                <w:bottom w:val="nil"/>
                <w:right w:val="nil"/>
              </w:tblBorders>
              <w:tblLook w:val="0000" w:firstRow="0" w:lastRow="0" w:firstColumn="0" w:lastColumn="0" w:noHBand="0" w:noVBand="0"/>
            </w:tblPr>
            <w:tblGrid>
              <w:gridCol w:w="2369"/>
            </w:tblGrid>
            <w:tr w:rsidR="00EA09C4" w:rsidRPr="00807BF0" w:rsidTr="00EA09C4">
              <w:trPr>
                <w:trHeight w:val="543"/>
              </w:trPr>
              <w:tc>
                <w:tcPr>
                  <w:tcW w:w="0" w:type="auto"/>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 xml:space="preserve">El Programa deberá cumplir con la legislación ambiental y de seguridad ocupacional a nivel nacional, estatal y municipal. </w:t>
                  </w:r>
                </w:p>
              </w:tc>
            </w:tr>
          </w:tbl>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La muestra del Programa cumple con la legislación nacional y está aplicando adecuadamente los instrumentos que exige la normativa local para la gestión ambiental y social. El MEER Y CNEL EP cuentan con un sistema de gestión ambiental; no obstante, la operación implementará acciones correctivas que permitirán reforzar el cumplimiento de la normativa ambiental ecuatoriana.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B.3 Pre-evaluación y clasificación</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Aplicación de la clasificación socio-ambiental apropiada.</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La operación ha sido pre-evaluada usando la herramienta de clasificación del Banco (</w:t>
            </w:r>
            <w:proofErr w:type="spellStart"/>
            <w:r w:rsidRPr="00807BF0">
              <w:rPr>
                <w:rFonts w:ascii="Arial" w:eastAsia="Times New Roman" w:hAnsi="Arial" w:cs="Arial"/>
                <w:i/>
                <w:color w:val="000000"/>
                <w:lang w:val="es-ES"/>
              </w:rPr>
              <w:t>ToolKit</w:t>
            </w:r>
            <w:proofErr w:type="spellEnd"/>
            <w:r w:rsidRPr="00807BF0">
              <w:rPr>
                <w:rFonts w:ascii="Arial" w:eastAsia="Times New Roman" w:hAnsi="Arial" w:cs="Arial"/>
                <w:color w:val="000000"/>
                <w:lang w:val="es-ES"/>
              </w:rPr>
              <w:t xml:space="preserve">) cuyo resultado es que la operación está clasificada como </w:t>
            </w:r>
            <w:r w:rsidRPr="00807BF0">
              <w:rPr>
                <w:rFonts w:ascii="Arial" w:eastAsia="Times New Roman" w:hAnsi="Arial" w:cs="Arial"/>
                <w:color w:val="000000"/>
                <w:u w:val="single"/>
                <w:lang w:val="es-ES"/>
              </w:rPr>
              <w:t>Categoría B</w:t>
            </w:r>
            <w:r w:rsidRPr="00807BF0">
              <w:rPr>
                <w:rFonts w:ascii="Arial" w:eastAsia="Times New Roman" w:hAnsi="Arial" w:cs="Arial"/>
                <w:color w:val="000000"/>
                <w:lang w:val="es-ES"/>
              </w:rPr>
              <w:t>.</w:t>
            </w:r>
          </w:p>
        </w:tc>
      </w:tr>
      <w:tr w:rsidR="00EA09C4" w:rsidRPr="00807BF0" w:rsidTr="00EA09C4">
        <w:trPr>
          <w:trHeight w:val="850"/>
        </w:trPr>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B.4 Otros factores de riesgo</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C"/>
              </w:rPr>
              <w:t>Riesgos relacionados a las debilidades de la capacidad institucional del MEER Y CNEL EP, encargadas de la gestión de los aspectos socio-</w:t>
            </w:r>
            <w:r w:rsidRPr="00807BF0">
              <w:rPr>
                <w:rFonts w:ascii="Arial" w:eastAsia="Times New Roman" w:hAnsi="Arial" w:cs="Arial"/>
                <w:color w:val="000000"/>
                <w:lang w:val="es-EC"/>
              </w:rPr>
              <w:lastRenderedPageBreak/>
              <w:t>ambientales aplicables a la operación.</w:t>
            </w:r>
          </w:p>
        </w:tc>
        <w:tc>
          <w:tcPr>
            <w:tcW w:w="4230" w:type="dxa"/>
            <w:tcMar>
              <w:top w:w="29" w:type="dxa"/>
              <w:left w:w="29" w:type="dxa"/>
              <w:bottom w:w="29" w:type="dxa"/>
              <w:right w:w="29" w:type="dxa"/>
            </w:tcMar>
          </w:tcPr>
          <w:tbl>
            <w:tblPr>
              <w:tblW w:w="0" w:type="auto"/>
              <w:tblBorders>
                <w:top w:val="nil"/>
                <w:left w:val="nil"/>
                <w:bottom w:val="nil"/>
                <w:right w:val="nil"/>
              </w:tblBorders>
              <w:tblLook w:val="0000" w:firstRow="0" w:lastRow="0" w:firstColumn="0" w:lastColumn="0" w:noHBand="0" w:noVBand="0"/>
            </w:tblPr>
            <w:tblGrid>
              <w:gridCol w:w="4136"/>
            </w:tblGrid>
            <w:tr w:rsidR="00EA09C4" w:rsidRPr="00807BF0" w:rsidTr="00EA09C4">
              <w:trPr>
                <w:trHeight w:val="855"/>
              </w:trPr>
              <w:tc>
                <w:tcPr>
                  <w:tcW w:w="0" w:type="auto"/>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C"/>
                    </w:rPr>
                    <w:lastRenderedPageBreak/>
                    <w:t xml:space="preserve">Como parte de los acuerdos señalados con el MEER Y CNEL EP, se fortalecerá la gestión socio ambiental de esta operación implementando planes recomendados por el Banco y la contratación de un especialista ambiental que será parte de la Unidad </w:t>
                  </w:r>
                  <w:r w:rsidRPr="00807BF0">
                    <w:rPr>
                      <w:rFonts w:ascii="Arial" w:eastAsia="Times New Roman" w:hAnsi="Arial" w:cs="Arial"/>
                      <w:color w:val="000000"/>
                      <w:lang w:val="es-EC"/>
                    </w:rPr>
                    <w:lastRenderedPageBreak/>
                    <w:t>de Gestión del Programa.</w:t>
                  </w:r>
                  <w:r w:rsidRPr="00807BF0">
                    <w:rPr>
                      <w:rFonts w:ascii="Arial" w:eastAsia="Times New Roman" w:hAnsi="Arial" w:cs="Arial"/>
                      <w:color w:val="000000"/>
                      <w:lang w:val="es-ES"/>
                    </w:rPr>
                    <w:t xml:space="preserve"> </w:t>
                  </w:r>
                </w:p>
              </w:tc>
            </w:tr>
          </w:tbl>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p>
        </w:tc>
      </w:tr>
      <w:tr w:rsidR="00EA09C4" w:rsidRPr="00807BF0" w:rsidTr="00EA09C4">
        <w:trPr>
          <w:trHeight w:val="454"/>
        </w:trPr>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lastRenderedPageBreak/>
              <w:t>B.5 Requisitos de evaluación ambiental</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Implementación de las correspondientes evaluaciones ambientales y sociales.</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La muestra del Programa cumple con esta directiva ya que la infraestructura propuesta cuenta con las respectivas evaluaciones ambientales y sociales. Adicionalmente, se ha realizado un Análisis Ambiental y Social para todo el Programa para identificar oportunidades, acciones y medidas que puedan mejorar los requerimientos exigidos por la normativa local, y también incluir buenas prácticas en lo ambiental, social, y salud y seguridad ocupacional . El AAS incluye una primera versión del Marco de Gestión Ambiental y Social (MGAS) para el Programa.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B.6 Consultas</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Llevar a cabo el proceso de consulta pública/socialización con las comunidades directa e indirectamente afectadas por los proyectos.</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El proceso de consulta pública para las obras del Programa ya ha comenzado, y principalmente se ha enfocado en las obras de las líneas de transmisión. Hasta el momento se han llevado a cabo dos consultas públicas/socialización. Ver Tabla 01 y párrafo 3.6 de este documento. Durante la etapa de ejecución del Programa se seguirá realizando el proceso de consulta. Adicionalmente, para mejorar el proceso continuo de socialización del Programa se implementará un Mecanismo de Resolución de Quejas y Reclamos.</w:t>
            </w:r>
            <w:r w:rsidRPr="00807BF0">
              <w:rPr>
                <w:rFonts w:ascii="Arial" w:eastAsia="Times New Roman" w:hAnsi="Arial" w:cs="Arial"/>
                <w:b/>
                <w:color w:val="000000"/>
                <w:lang w:val="es-ES"/>
              </w:rPr>
              <w:t xml:space="preserve"> </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B.7 Supervisión y cumplimiento</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Supervisión y cumplimiento de todos los requisitos socio-ambientales que apliquen a la operación, incluyendo los  requerimientos establecidos en el IGAS, y en el contrato de préstamo.</w:t>
            </w:r>
          </w:p>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C"/>
              </w:rPr>
              <w:t>Se reforzará el sistema de seguimiento al cumplimiento ambiental de las obras con el que cuenta actualmente el MEER y que se ha desarrollado en conjunto con el MAE.</w:t>
            </w:r>
          </w:p>
        </w:tc>
      </w:tr>
      <w:tr w:rsidR="00EA09C4" w:rsidRPr="00807BF0" w:rsidTr="00EA09C4">
        <w:trPr>
          <w:trHeight w:val="445"/>
        </w:trPr>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lastRenderedPageBreak/>
              <w:t>B.8 Impactos transfronterizos</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B.9 Hábitats naturales y sitios culturales</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hAnsi="Arial" w:cs="Arial"/>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B.10 Materiales peligrosos</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Manejo adecuado y control de materiales peligrosos.</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hAnsi="Arial" w:cs="Arial"/>
                <w:lang w:val="es-ES"/>
              </w:rPr>
              <w:t xml:space="preserve">La muestra del Programa evidencia que las evaluaciones ambientales y planes de gestión ambientales requeridas por normativa local incluyen las respectivas medidas necesarias para asegurar la gestión adecuada de materiales peligrosos. Sin embargo, se ha solicitado al ejecutor elaborar de una forma más detallada un plan para la gestión de </w:t>
            </w:r>
            <w:proofErr w:type="spellStart"/>
            <w:r w:rsidRPr="00807BF0">
              <w:rPr>
                <w:rFonts w:ascii="Arial" w:hAnsi="Arial" w:cs="Arial"/>
                <w:lang w:val="es-ES"/>
              </w:rPr>
              <w:t>PCBs</w:t>
            </w:r>
            <w:proofErr w:type="spellEnd"/>
            <w:r w:rsidRPr="00807BF0">
              <w:rPr>
                <w:rFonts w:ascii="Arial" w:hAnsi="Arial" w:cs="Arial"/>
                <w:lang w:val="es-ES"/>
              </w:rPr>
              <w:t>. Este plan formará parte del MGAS del Programa.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B.11 Prevención y reducción de la contaminación</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Generación de emisiones de gases a la atmósfera, ruido y desechos sólidos.</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A través de la muestra del Programa se ha constato que las evaluaciones ambientales y planes de gestión requeridos por las autoridades locales incluyen  medidas necesarias para prevenir, disminuir o eliminar la contaminación resultante de los proyectos a ser financiados a través de esta operación. Para asegurar que se siga cumpliendo con estas medidas para todas las obras del Programa el MGAS incluirá, como medida obligatoria de cumplimento, el cumplimiento de todos los planes que aplique para prevención y reducción de la contaminación.</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B.12 Proyectos en construcción</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B.13 Préstamos de política e instrumentos flexibles de préstamo</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 xml:space="preserve">B.14 Préstamos </w:t>
            </w:r>
            <w:proofErr w:type="spellStart"/>
            <w:r w:rsidRPr="00807BF0">
              <w:rPr>
                <w:rFonts w:ascii="Arial" w:eastAsia="Times New Roman" w:hAnsi="Arial" w:cs="Arial"/>
                <w:b/>
                <w:color w:val="000000"/>
                <w:lang w:val="es-ES"/>
              </w:rPr>
              <w:t>multifase</w:t>
            </w:r>
            <w:proofErr w:type="spellEnd"/>
            <w:r w:rsidRPr="00807BF0">
              <w:rPr>
                <w:rFonts w:ascii="Arial" w:eastAsia="Times New Roman" w:hAnsi="Arial" w:cs="Arial"/>
                <w:b/>
                <w:color w:val="000000"/>
                <w:lang w:val="es-ES"/>
              </w:rPr>
              <w:t xml:space="preserve"> o repetidos</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B.15 Operaciones con cofinanciamiento</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lastRenderedPageBreak/>
              <w:t>B.16 Sistemas nacionales</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N/A</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B.17 Adquisiciones</w:t>
            </w:r>
          </w:p>
        </w:tc>
        <w:tc>
          <w:tcPr>
            <w:tcW w:w="24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Análisis de los procesos de adquisición de bienes y servicios  del Programa.</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C"/>
              </w:rPr>
              <w:t>Se verificará que los bienes y servicios adquiridos en las operaciones se produzcan de manera ambientalmente y socialmente sostenible en lo que se refiere al uso de recursos, entorno laboral y relaciones comunitarias.</w:t>
            </w:r>
          </w:p>
        </w:tc>
      </w:tr>
      <w:tr w:rsidR="00EA09C4" w:rsidRPr="00807BF0" w:rsidTr="00EA09C4">
        <w:trPr>
          <w:trHeight w:val="1140"/>
        </w:trPr>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OP-710 Política de Reasentamiento Involuntario</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No se prevén situaciones de reasentamiento involuntario o desplazamiento económico como resultado de la construcción de las obras de infraestructura de todo el Programa.</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OP-765 Política de Pueblos Indígenas</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No se prevé impactos sobre pueblos indígenas.</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N/A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OP-704 Política de Manejo de Riesgo de Desastres</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Vulnerabilidad y exposición de la operación a desastres naturales.</w:t>
            </w:r>
          </w:p>
        </w:tc>
        <w:tc>
          <w:tcPr>
            <w:tcW w:w="4230" w:type="dxa"/>
            <w:tcMar>
              <w:top w:w="29" w:type="dxa"/>
              <w:left w:w="29" w:type="dxa"/>
              <w:bottom w:w="29" w:type="dxa"/>
              <w:right w:w="29" w:type="dxa"/>
            </w:tcMa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 xml:space="preserve">El nivel de riesgos de desastres para esta operación es de nivel algo. Las áreas del proyecto están expuestas principalmente a riesgos de eventos sísmicos de gran magnitud, y en una menor intensidad a riesgos de inundaciones. No obstante, como parte de la implementación del Programa se ha desarrollado un estudio de infraestructura de energía resiliente, con el fin de identificar buenas prácticas y estándares recomendados en otros países los mismos que serán utilizados en la construcción y rehabilitación de la infraestructura propuesta en este Programa. </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OP-761 Política de Igualdad de Género en el Desarrollo</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t>Cumplimiento con los lineamientos de la política OP-761.</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olor w:val="000000"/>
                <w:lang w:val="es-ES"/>
              </w:rPr>
            </w:pPr>
            <w:r w:rsidRPr="00807BF0">
              <w:rPr>
                <w:rFonts w:ascii="Arial" w:eastAsia="Times New Roman" w:hAnsi="Arial" w:cs="Arial"/>
                <w:color w:val="000000"/>
                <w:lang w:val="es-ES"/>
              </w:rPr>
              <w:t>La operación no cuenta con ningún programa específico relacionado a igualdad de género; no obstante, se verificará durante la implementación de la operación que se cumpla con los lineamientos de esta política.</w:t>
            </w:r>
          </w:p>
        </w:tc>
      </w:tr>
      <w:tr w:rsidR="00EA09C4" w:rsidRPr="00807BF0" w:rsidTr="00EA09C4">
        <w:tc>
          <w:tcPr>
            <w:tcW w:w="1890" w:type="dxa"/>
            <w:tcMar>
              <w:top w:w="29" w:type="dxa"/>
              <w:left w:w="29" w:type="dxa"/>
              <w:bottom w:w="29" w:type="dxa"/>
              <w:right w:w="29" w:type="dxa"/>
            </w:tcMar>
            <w:vAlign w:val="center"/>
          </w:tcPr>
          <w:p w:rsidR="00EA09C4" w:rsidRPr="00807BF0" w:rsidRDefault="00EA09C4" w:rsidP="00C53DC3">
            <w:pPr>
              <w:autoSpaceDE w:val="0"/>
              <w:autoSpaceDN w:val="0"/>
              <w:adjustRightInd w:val="0"/>
              <w:ind w:left="61"/>
              <w:contextualSpacing/>
              <w:jc w:val="left"/>
              <w:rPr>
                <w:rFonts w:ascii="Arial" w:eastAsia="Times New Roman" w:hAnsi="Arial" w:cs="Arial"/>
                <w:b/>
                <w:color w:val="000000"/>
                <w:lang w:val="es-ES"/>
              </w:rPr>
            </w:pPr>
            <w:r w:rsidRPr="00807BF0">
              <w:rPr>
                <w:rFonts w:ascii="Arial" w:eastAsia="Times New Roman" w:hAnsi="Arial" w:cs="Arial"/>
                <w:b/>
                <w:color w:val="000000"/>
                <w:lang w:val="es-ES"/>
              </w:rPr>
              <w:t xml:space="preserve">OP-102 Política </w:t>
            </w:r>
            <w:r w:rsidRPr="00807BF0">
              <w:rPr>
                <w:rFonts w:ascii="Arial" w:eastAsia="Times New Roman" w:hAnsi="Arial" w:cs="Arial"/>
                <w:b/>
                <w:color w:val="000000"/>
                <w:lang w:val="es-ES"/>
              </w:rPr>
              <w:lastRenderedPageBreak/>
              <w:t>de Acceso a la Información</w:t>
            </w:r>
          </w:p>
        </w:tc>
        <w:tc>
          <w:tcPr>
            <w:tcW w:w="24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jc w:val="left"/>
              <w:rPr>
                <w:rFonts w:ascii="Arial" w:eastAsia="Times New Roman" w:hAnsi="Arial" w:cs="Arial"/>
                <w:color w:val="000000"/>
                <w:lang w:val="es-ES"/>
              </w:rPr>
            </w:pPr>
            <w:r w:rsidRPr="00807BF0">
              <w:rPr>
                <w:rFonts w:ascii="Arial" w:eastAsia="Times New Roman" w:hAnsi="Arial" w:cs="Arial"/>
                <w:color w:val="000000"/>
                <w:lang w:val="es-ES"/>
              </w:rPr>
              <w:lastRenderedPageBreak/>
              <w:t xml:space="preserve">Divulgación de los </w:t>
            </w:r>
            <w:r w:rsidRPr="00807BF0">
              <w:rPr>
                <w:rFonts w:ascii="Arial" w:eastAsia="Times New Roman" w:hAnsi="Arial" w:cs="Arial"/>
                <w:color w:val="000000"/>
                <w:lang w:val="es-ES"/>
              </w:rPr>
              <w:lastRenderedPageBreak/>
              <w:t>aspectos ambientales y sociales de la operación a través de la página de internet del Banco.</w:t>
            </w:r>
          </w:p>
        </w:tc>
        <w:tc>
          <w:tcPr>
            <w:tcW w:w="4230" w:type="dxa"/>
            <w:tcMar>
              <w:top w:w="29" w:type="dxa"/>
              <w:left w:w="29" w:type="dxa"/>
              <w:bottom w:w="29" w:type="dxa"/>
              <w:right w:w="29" w:type="dxa"/>
            </w:tcMar>
            <w:vAlign w:val="center"/>
          </w:tcPr>
          <w:p w:rsidR="00EA09C4" w:rsidRPr="00807BF0" w:rsidRDefault="00EA09C4" w:rsidP="00C53DC3">
            <w:pPr>
              <w:autoSpaceDE w:val="0"/>
              <w:autoSpaceDN w:val="0"/>
              <w:adjustRightInd w:val="0"/>
              <w:ind w:left="151"/>
              <w:contextualSpacing/>
              <w:rPr>
                <w:rFonts w:ascii="Arial" w:eastAsia="Times New Roman" w:hAnsi="Arial" w:cs="Arial"/>
                <w:caps/>
                <w:color w:val="000000"/>
                <w:lang w:val="es-ES"/>
              </w:rPr>
            </w:pPr>
            <w:r w:rsidRPr="00807BF0">
              <w:rPr>
                <w:rFonts w:ascii="Arial" w:eastAsia="Times New Roman" w:hAnsi="Arial" w:cs="Arial"/>
                <w:color w:val="000000"/>
                <w:lang w:val="es-ES"/>
              </w:rPr>
              <w:lastRenderedPageBreak/>
              <w:t xml:space="preserve">La información relacionada con las </w:t>
            </w:r>
            <w:r w:rsidRPr="00807BF0">
              <w:rPr>
                <w:rFonts w:ascii="Arial" w:eastAsia="Times New Roman" w:hAnsi="Arial" w:cs="Arial"/>
                <w:color w:val="000000"/>
                <w:lang w:val="es-ES"/>
              </w:rPr>
              <w:lastRenderedPageBreak/>
              <w:t>evaluaciones socio-ambientales estará disponible tanto en el sitio de internet del Banco como en la de la agencia ejecutora. Específicamente para todo el Programa se ha desarrollado un Análisis Ambiental y Social, el cual ya está publicado en el sitio web del Banco. La primera versión de este análisis se publicó el 06 de septiembre de 2016. EXISTEN AUN PROBLEMAS CON EL LINK.</w:t>
            </w:r>
          </w:p>
        </w:tc>
      </w:tr>
    </w:tbl>
    <w:p w:rsidR="0062644D" w:rsidRPr="00807BF0" w:rsidRDefault="0062644D" w:rsidP="00C53DC3">
      <w:pPr>
        <w:ind w:left="0"/>
        <w:rPr>
          <w:rFonts w:ascii="Arial" w:hAnsi="Arial" w:cs="Arial"/>
        </w:rPr>
      </w:pPr>
    </w:p>
    <w:p w:rsidR="005E4B73" w:rsidRPr="00807BF0" w:rsidRDefault="00F143D3" w:rsidP="00C53DC3">
      <w:pPr>
        <w:pStyle w:val="subtittuloppalenapartadoDali"/>
        <w:numPr>
          <w:ilvl w:val="0"/>
          <w:numId w:val="1"/>
        </w:numPr>
        <w:spacing w:line="240" w:lineRule="auto"/>
        <w:outlineLvl w:val="0"/>
        <w:rPr>
          <w:rFonts w:ascii="Arial" w:hAnsi="Arial" w:cs="Arial"/>
          <w:b/>
          <w:caps w:val="0"/>
          <w:sz w:val="22"/>
          <w:szCs w:val="22"/>
        </w:rPr>
      </w:pPr>
      <w:bookmarkStart w:id="5" w:name="_Toc465687801"/>
      <w:r w:rsidRPr="00807BF0">
        <w:rPr>
          <w:rFonts w:ascii="Arial" w:hAnsi="Arial" w:cs="Arial"/>
          <w:b/>
          <w:caps w:val="0"/>
          <w:sz w:val="22"/>
          <w:szCs w:val="22"/>
        </w:rPr>
        <w:t>E</w:t>
      </w:r>
      <w:r w:rsidR="00C53DC3" w:rsidRPr="00807BF0">
        <w:rPr>
          <w:rFonts w:ascii="Arial" w:hAnsi="Arial" w:cs="Arial"/>
          <w:b/>
          <w:caps w:val="0"/>
          <w:sz w:val="22"/>
          <w:szCs w:val="22"/>
        </w:rPr>
        <w:t>status Socio-A</w:t>
      </w:r>
      <w:r w:rsidRPr="00807BF0">
        <w:rPr>
          <w:rFonts w:ascii="Arial" w:hAnsi="Arial" w:cs="Arial"/>
          <w:b/>
          <w:caps w:val="0"/>
          <w:sz w:val="22"/>
          <w:szCs w:val="22"/>
        </w:rPr>
        <w:t xml:space="preserve">mbiental </w:t>
      </w:r>
      <w:r w:rsidR="00C53DC3" w:rsidRPr="00807BF0">
        <w:rPr>
          <w:rFonts w:ascii="Arial" w:hAnsi="Arial" w:cs="Arial"/>
          <w:b/>
          <w:caps w:val="0"/>
          <w:sz w:val="22"/>
          <w:szCs w:val="22"/>
        </w:rPr>
        <w:t>de</w:t>
      </w:r>
      <w:r w:rsidR="00497F9A" w:rsidRPr="00807BF0">
        <w:rPr>
          <w:rFonts w:ascii="Arial" w:hAnsi="Arial" w:cs="Arial"/>
          <w:b/>
          <w:caps w:val="0"/>
          <w:sz w:val="22"/>
          <w:szCs w:val="22"/>
        </w:rPr>
        <w:t xml:space="preserve"> los Proyectos </w:t>
      </w:r>
      <w:r w:rsidR="00C53DC3" w:rsidRPr="00807BF0">
        <w:rPr>
          <w:rFonts w:ascii="Arial" w:hAnsi="Arial" w:cs="Arial"/>
          <w:b/>
          <w:caps w:val="0"/>
          <w:sz w:val="22"/>
          <w:szCs w:val="22"/>
        </w:rPr>
        <w:t>de la Operación</w:t>
      </w:r>
      <w:bookmarkEnd w:id="5"/>
    </w:p>
    <w:p w:rsidR="005E4B73" w:rsidRPr="00807BF0" w:rsidRDefault="005E4B7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En la siguiente tab</w:t>
      </w:r>
      <w:r w:rsidR="005C78B7" w:rsidRPr="00807BF0">
        <w:rPr>
          <w:rFonts w:ascii="Arial" w:hAnsi="Arial" w:cs="Arial"/>
          <w:sz w:val="22"/>
          <w:szCs w:val="22"/>
        </w:rPr>
        <w:t>la se presentan los proyectos considerados</w:t>
      </w:r>
      <w:r w:rsidRPr="00807BF0">
        <w:rPr>
          <w:rFonts w:ascii="Arial" w:hAnsi="Arial" w:cs="Arial"/>
          <w:sz w:val="22"/>
          <w:szCs w:val="22"/>
        </w:rPr>
        <w:t xml:space="preserve"> para esta operación, en ella se refleja además, </w:t>
      </w:r>
      <w:r w:rsidR="00AE7203" w:rsidRPr="00807BF0">
        <w:rPr>
          <w:rFonts w:ascii="Arial" w:hAnsi="Arial" w:cs="Arial"/>
          <w:sz w:val="22"/>
          <w:szCs w:val="22"/>
        </w:rPr>
        <w:t>la síntesis d</w:t>
      </w:r>
      <w:r w:rsidRPr="00807BF0">
        <w:rPr>
          <w:rFonts w:ascii="Arial" w:hAnsi="Arial" w:cs="Arial"/>
          <w:sz w:val="22"/>
          <w:szCs w:val="22"/>
        </w:rPr>
        <w:t>el estatus de cumplimiento ambiental y social de los mismos</w:t>
      </w:r>
      <w:r w:rsidR="005C78B7" w:rsidRPr="00807BF0">
        <w:rPr>
          <w:rFonts w:ascii="Arial" w:hAnsi="Arial" w:cs="Arial"/>
          <w:sz w:val="22"/>
          <w:szCs w:val="22"/>
        </w:rPr>
        <w:t xml:space="preserve"> de manera resumida</w:t>
      </w:r>
      <w:r w:rsidRPr="00807BF0">
        <w:rPr>
          <w:rFonts w:ascii="Arial" w:hAnsi="Arial" w:cs="Arial"/>
          <w:sz w:val="22"/>
          <w:szCs w:val="22"/>
        </w:rPr>
        <w:t>.</w:t>
      </w:r>
    </w:p>
    <w:p w:rsidR="005E4B73" w:rsidRPr="00807BF0" w:rsidRDefault="005E4B73" w:rsidP="00C53DC3">
      <w:pPr>
        <w:pStyle w:val="Paragraph"/>
        <w:numPr>
          <w:ilvl w:val="0"/>
          <w:numId w:val="0"/>
        </w:numPr>
        <w:tabs>
          <w:tab w:val="left" w:pos="720"/>
        </w:tabs>
        <w:ind w:left="709"/>
        <w:outlineLvl w:val="9"/>
        <w:rPr>
          <w:rFonts w:ascii="Arial" w:hAnsi="Arial" w:cs="Arial"/>
          <w:sz w:val="22"/>
          <w:szCs w:val="22"/>
        </w:rPr>
      </w:pPr>
    </w:p>
    <w:p w:rsidR="005E4B73" w:rsidRPr="00807BF0" w:rsidRDefault="00497F9A"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sz w:val="22"/>
          <w:szCs w:val="22"/>
        </w:rPr>
        <w:t>Tabla No. 04</w:t>
      </w:r>
      <w:r w:rsidR="005E4B73" w:rsidRPr="00807BF0">
        <w:rPr>
          <w:rFonts w:ascii="Arial" w:hAnsi="Arial" w:cs="Arial"/>
          <w:sz w:val="22"/>
          <w:szCs w:val="22"/>
        </w:rPr>
        <w:t xml:space="preserve">: Estatus Ambiental y Social de Proyectos </w:t>
      </w:r>
      <w:r w:rsidR="00AE7203" w:rsidRPr="00807BF0">
        <w:rPr>
          <w:rFonts w:ascii="Arial" w:hAnsi="Arial" w:cs="Arial"/>
          <w:sz w:val="22"/>
          <w:szCs w:val="22"/>
        </w:rPr>
        <w:t>de la Operación</w:t>
      </w:r>
    </w:p>
    <w:tbl>
      <w:tblPr>
        <w:tblStyle w:val="Cuadrculadetablaclara1"/>
        <w:tblW w:w="8784" w:type="dxa"/>
        <w:jc w:val="center"/>
        <w:tblLook w:val="04A0" w:firstRow="1" w:lastRow="0" w:firstColumn="1" w:lastColumn="0" w:noHBand="0" w:noVBand="1"/>
      </w:tblPr>
      <w:tblGrid>
        <w:gridCol w:w="1842"/>
        <w:gridCol w:w="2831"/>
        <w:gridCol w:w="4111"/>
      </w:tblGrid>
      <w:tr w:rsidR="00F143D3" w:rsidRPr="00807BF0" w:rsidTr="00AD6EDB">
        <w:trPr>
          <w:trHeight w:val="557"/>
          <w:tblHeader/>
          <w:jc w:val="center"/>
        </w:trPr>
        <w:tc>
          <w:tcPr>
            <w:tcW w:w="1842" w:type="dxa"/>
            <w:shd w:val="clear" w:color="auto" w:fill="D9D9D9" w:themeFill="background1" w:themeFillShade="D9"/>
            <w:hideMark/>
          </w:tcPr>
          <w:p w:rsidR="00F143D3" w:rsidRPr="00807BF0" w:rsidRDefault="00F143D3" w:rsidP="00C53DC3">
            <w:pPr>
              <w:spacing w:before="0" w:after="0" w:line="240" w:lineRule="auto"/>
              <w:ind w:left="0"/>
              <w:jc w:val="center"/>
              <w:rPr>
                <w:rFonts w:ascii="Arial" w:eastAsia="Times New Roman" w:hAnsi="Arial" w:cs="Arial"/>
                <w:b/>
                <w:bCs/>
                <w:lang w:val="es-EC" w:eastAsia="es-EC"/>
              </w:rPr>
            </w:pPr>
            <w:r w:rsidRPr="00807BF0">
              <w:rPr>
                <w:rFonts w:ascii="Arial" w:eastAsia="Times New Roman" w:hAnsi="Arial" w:cs="Arial"/>
                <w:b/>
                <w:bCs/>
                <w:lang w:val="es-EC" w:eastAsia="es-EC"/>
              </w:rPr>
              <w:t>ENTIDAD BENEFICIARIA</w:t>
            </w:r>
          </w:p>
        </w:tc>
        <w:tc>
          <w:tcPr>
            <w:tcW w:w="2831" w:type="dxa"/>
            <w:shd w:val="clear" w:color="auto" w:fill="D9D9D9" w:themeFill="background1" w:themeFillShade="D9"/>
            <w:hideMark/>
          </w:tcPr>
          <w:p w:rsidR="00F143D3" w:rsidRPr="00807BF0" w:rsidRDefault="00F143D3" w:rsidP="00C53DC3">
            <w:pPr>
              <w:spacing w:before="0" w:after="0" w:line="240" w:lineRule="auto"/>
              <w:ind w:left="0"/>
              <w:jc w:val="center"/>
              <w:rPr>
                <w:rFonts w:ascii="Arial" w:eastAsia="Times New Roman" w:hAnsi="Arial" w:cs="Arial"/>
                <w:b/>
                <w:bCs/>
                <w:lang w:val="es-EC" w:eastAsia="es-EC"/>
              </w:rPr>
            </w:pPr>
            <w:r w:rsidRPr="00807BF0">
              <w:rPr>
                <w:rFonts w:ascii="Arial" w:eastAsia="Times New Roman" w:hAnsi="Arial" w:cs="Arial"/>
                <w:b/>
                <w:bCs/>
                <w:lang w:val="es-EC" w:eastAsia="es-EC"/>
              </w:rPr>
              <w:t>NOMBRE PROYECTO</w:t>
            </w:r>
          </w:p>
        </w:tc>
        <w:tc>
          <w:tcPr>
            <w:tcW w:w="4111" w:type="dxa"/>
            <w:shd w:val="clear" w:color="auto" w:fill="D9D9D9" w:themeFill="background1" w:themeFillShade="D9"/>
            <w:hideMark/>
          </w:tcPr>
          <w:p w:rsidR="00F143D3" w:rsidRPr="00807BF0" w:rsidRDefault="00F143D3" w:rsidP="00C53DC3">
            <w:pPr>
              <w:spacing w:before="0" w:after="0" w:line="240" w:lineRule="auto"/>
              <w:ind w:left="0"/>
              <w:jc w:val="center"/>
              <w:rPr>
                <w:rFonts w:ascii="Arial" w:eastAsia="Times New Roman" w:hAnsi="Arial" w:cs="Arial"/>
                <w:b/>
                <w:bCs/>
                <w:lang w:val="es-EC" w:eastAsia="es-EC"/>
              </w:rPr>
            </w:pPr>
            <w:r w:rsidRPr="00807BF0">
              <w:rPr>
                <w:rFonts w:ascii="Arial" w:eastAsia="Times New Roman" w:hAnsi="Arial" w:cs="Arial"/>
                <w:b/>
                <w:bCs/>
                <w:lang w:val="es-EC" w:eastAsia="es-EC"/>
              </w:rPr>
              <w:t>ESTATUS DE REGULARIZACIÓN AMBIENTAL</w:t>
            </w:r>
          </w:p>
        </w:tc>
      </w:tr>
      <w:tr w:rsidR="00F143D3" w:rsidRPr="00807BF0" w:rsidTr="005E4B73">
        <w:trPr>
          <w:trHeight w:val="555"/>
          <w:jc w:val="center"/>
        </w:trPr>
        <w:tc>
          <w:tcPr>
            <w:tcW w:w="8784" w:type="dxa"/>
            <w:gridSpan w:val="3"/>
            <w:noWrap/>
            <w:vAlign w:val="center"/>
          </w:tcPr>
          <w:p w:rsidR="00F143D3" w:rsidRPr="00807BF0" w:rsidRDefault="00F143D3" w:rsidP="00C53DC3">
            <w:pPr>
              <w:spacing w:before="0" w:after="0" w:line="240" w:lineRule="auto"/>
              <w:ind w:left="0"/>
              <w:jc w:val="center"/>
              <w:rPr>
                <w:rFonts w:ascii="Arial" w:eastAsia="Times New Roman" w:hAnsi="Arial" w:cs="Arial"/>
                <w:b/>
                <w:lang w:val="es-EC" w:eastAsia="es-EC"/>
              </w:rPr>
            </w:pPr>
            <w:r w:rsidRPr="00807BF0">
              <w:rPr>
                <w:rFonts w:ascii="Arial" w:eastAsia="Times New Roman" w:hAnsi="Arial" w:cs="Arial"/>
                <w:b/>
                <w:lang w:val="es-EC" w:eastAsia="es-EC"/>
              </w:rPr>
              <w:t>SECTOR ELÉCTRICO</w:t>
            </w:r>
          </w:p>
        </w:tc>
      </w:tr>
      <w:tr w:rsidR="00F143D3" w:rsidRPr="00807BF0" w:rsidTr="005E4B73">
        <w:trPr>
          <w:trHeight w:val="900"/>
          <w:jc w:val="center"/>
        </w:trPr>
        <w:tc>
          <w:tcPr>
            <w:tcW w:w="1842" w:type="dxa"/>
            <w:vMerge w:val="restart"/>
            <w:noWrap/>
            <w:vAlign w:val="center"/>
            <w:hideMark/>
          </w:tcPr>
          <w:p w:rsidR="00F143D3" w:rsidRPr="00807BF0" w:rsidRDefault="00F143D3" w:rsidP="00C53DC3">
            <w:pPr>
              <w:spacing w:before="0" w:after="0" w:line="240" w:lineRule="auto"/>
              <w:ind w:left="0"/>
              <w:jc w:val="center"/>
              <w:rPr>
                <w:rFonts w:ascii="Arial" w:eastAsia="Times New Roman" w:hAnsi="Arial" w:cs="Arial"/>
                <w:lang w:val="es-EC" w:eastAsia="es-EC"/>
              </w:rPr>
            </w:pPr>
            <w:r w:rsidRPr="00807BF0">
              <w:rPr>
                <w:rFonts w:ascii="Arial" w:eastAsia="Times New Roman" w:hAnsi="Arial" w:cs="Arial"/>
                <w:lang w:val="es-EC" w:eastAsia="es-EC"/>
              </w:rPr>
              <w:t>CNEL EP UN Esmeraldas</w:t>
            </w: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Reforzamiento subsistema  </w:t>
            </w:r>
            <w:proofErr w:type="spellStart"/>
            <w:r w:rsidRPr="00807BF0">
              <w:rPr>
                <w:rFonts w:ascii="Arial" w:eastAsia="Times New Roman" w:hAnsi="Arial" w:cs="Arial"/>
                <w:lang w:val="es-EC" w:eastAsia="es-EC"/>
              </w:rPr>
              <w:t>Tonsupa</w:t>
            </w:r>
            <w:proofErr w:type="spellEnd"/>
            <w:r w:rsidRPr="00807BF0">
              <w:rPr>
                <w:rFonts w:ascii="Arial" w:eastAsia="Times New Roman" w:hAnsi="Arial" w:cs="Arial"/>
                <w:lang w:val="es-EC" w:eastAsia="es-EC"/>
              </w:rPr>
              <w:t xml:space="preserve"> - </w:t>
            </w:r>
            <w:proofErr w:type="spellStart"/>
            <w:r w:rsidRPr="00807BF0">
              <w:rPr>
                <w:rFonts w:ascii="Arial" w:eastAsia="Times New Roman" w:hAnsi="Arial" w:cs="Arial"/>
                <w:lang w:val="es-EC" w:eastAsia="es-EC"/>
              </w:rPr>
              <w:t>Atacames</w:t>
            </w:r>
            <w:proofErr w:type="spellEnd"/>
            <w:r w:rsidRPr="00807BF0">
              <w:rPr>
                <w:rFonts w:ascii="Arial" w:eastAsia="Times New Roman" w:hAnsi="Arial" w:cs="Arial"/>
                <w:lang w:val="es-EC" w:eastAsia="es-EC"/>
              </w:rPr>
              <w:t xml:space="preserve"> (Construcción SE </w:t>
            </w:r>
            <w:proofErr w:type="spellStart"/>
            <w:r w:rsidRPr="00807BF0">
              <w:rPr>
                <w:rFonts w:ascii="Arial" w:eastAsia="Times New Roman" w:hAnsi="Arial" w:cs="Arial"/>
                <w:lang w:val="es-EC" w:eastAsia="es-EC"/>
              </w:rPr>
              <w:t>Tonsupa</w:t>
            </w:r>
            <w:proofErr w:type="spellEnd"/>
            <w:r w:rsidRPr="00807BF0">
              <w:rPr>
                <w:rFonts w:ascii="Arial" w:eastAsia="Times New Roman" w:hAnsi="Arial" w:cs="Arial"/>
                <w:lang w:val="es-EC" w:eastAsia="es-EC"/>
              </w:rPr>
              <w:t xml:space="preserve">, Reforzamiento SE </w:t>
            </w:r>
            <w:proofErr w:type="spellStart"/>
            <w:r w:rsidRPr="00807BF0">
              <w:rPr>
                <w:rFonts w:ascii="Arial" w:eastAsia="Times New Roman" w:hAnsi="Arial" w:cs="Arial"/>
                <w:lang w:val="es-EC" w:eastAsia="es-EC"/>
              </w:rPr>
              <w:t>Atacames</w:t>
            </w:r>
            <w:proofErr w:type="spellEnd"/>
            <w:r w:rsidRPr="00807BF0">
              <w:rPr>
                <w:rFonts w:ascii="Arial" w:eastAsia="Times New Roman" w:hAnsi="Arial" w:cs="Arial"/>
                <w:lang w:val="es-EC" w:eastAsia="es-EC"/>
              </w:rPr>
              <w:t>)</w:t>
            </w:r>
          </w:p>
        </w:tc>
        <w:tc>
          <w:tcPr>
            <w:tcW w:w="4111" w:type="dxa"/>
            <w:noWrap/>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Cuenta con licencia ambiental para LT y SE </w:t>
            </w:r>
            <w:proofErr w:type="spellStart"/>
            <w:r w:rsidRPr="00807BF0">
              <w:rPr>
                <w:rFonts w:ascii="Arial" w:eastAsia="Times New Roman" w:hAnsi="Arial" w:cs="Arial"/>
                <w:lang w:val="es-EC" w:eastAsia="es-EC"/>
              </w:rPr>
              <w:t>Tonsupa</w:t>
            </w:r>
            <w:proofErr w:type="spellEnd"/>
            <w:r w:rsidRPr="00807BF0">
              <w:rPr>
                <w:rFonts w:ascii="Arial" w:eastAsia="Times New Roman" w:hAnsi="Arial" w:cs="Arial"/>
                <w:lang w:val="es-EC" w:eastAsia="es-EC"/>
              </w:rPr>
              <w:t xml:space="preserve"> (emitida en 06-15)</w:t>
            </w:r>
            <w:r w:rsidR="00F45996" w:rsidRPr="00807BF0">
              <w:rPr>
                <w:rFonts w:ascii="Arial" w:eastAsia="Times New Roman" w:hAnsi="Arial" w:cs="Arial"/>
                <w:lang w:val="es-EC" w:eastAsia="es-EC"/>
              </w:rPr>
              <w:t>. El proyecto debe cumplir las medidas ambientales señaladas en el plan de manejo ambiental aprobado por el MAE</w:t>
            </w:r>
            <w:r w:rsidR="00B22FB2" w:rsidRPr="00807BF0">
              <w:rPr>
                <w:rFonts w:ascii="Arial" w:eastAsia="Times New Roman" w:hAnsi="Arial" w:cs="Arial"/>
                <w:lang w:val="es-EC" w:eastAsia="es-EC"/>
              </w:rPr>
              <w:t>.</w:t>
            </w:r>
          </w:p>
        </w:tc>
      </w:tr>
      <w:tr w:rsidR="00F143D3" w:rsidRPr="00807BF0" w:rsidTr="005E4B73">
        <w:trPr>
          <w:trHeight w:val="900"/>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Rehabilitación de  las subestaciones  Rocafuerte  y Quininde1</w:t>
            </w:r>
          </w:p>
        </w:tc>
        <w:tc>
          <w:tcPr>
            <w:tcW w:w="4111" w:type="dxa"/>
            <w:noWrap/>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Al ser proyectos de rehabilitación </w:t>
            </w:r>
            <w:r w:rsidR="00F45996" w:rsidRPr="00807BF0">
              <w:rPr>
                <w:rFonts w:ascii="Arial" w:eastAsia="Times New Roman" w:hAnsi="Arial" w:cs="Arial"/>
                <w:lang w:val="es-EC" w:eastAsia="es-EC"/>
              </w:rPr>
              <w:t xml:space="preserve">de SE, </w:t>
            </w:r>
            <w:r w:rsidRPr="00807BF0">
              <w:rPr>
                <w:rFonts w:ascii="Arial" w:eastAsia="Times New Roman" w:hAnsi="Arial" w:cs="Arial"/>
                <w:lang w:val="es-EC" w:eastAsia="es-EC"/>
              </w:rPr>
              <w:t>solamente requieren del Certificado Ambiental (categoría de bajo impacto</w:t>
            </w:r>
            <w:r w:rsidR="00F45996" w:rsidRPr="00807BF0">
              <w:rPr>
                <w:rFonts w:ascii="Arial" w:eastAsia="Times New Roman" w:hAnsi="Arial" w:cs="Arial"/>
                <w:lang w:val="es-EC" w:eastAsia="es-EC"/>
              </w:rPr>
              <w:t xml:space="preserve"> ambiental) y deben aplicar l</w:t>
            </w:r>
            <w:r w:rsidRPr="00807BF0">
              <w:rPr>
                <w:rFonts w:ascii="Arial" w:eastAsia="Times New Roman" w:hAnsi="Arial" w:cs="Arial"/>
                <w:lang w:val="es-EC" w:eastAsia="es-EC"/>
              </w:rPr>
              <w:t xml:space="preserve">a guía de </w:t>
            </w:r>
            <w:r w:rsidR="00F45996" w:rsidRPr="00807BF0">
              <w:rPr>
                <w:rFonts w:ascii="Arial" w:eastAsia="Times New Roman" w:hAnsi="Arial" w:cs="Arial"/>
                <w:lang w:val="es-EC" w:eastAsia="es-EC"/>
              </w:rPr>
              <w:t>prácticas ambientales emitida por el MAE</w:t>
            </w:r>
            <w:r w:rsidR="00B22FB2" w:rsidRPr="00807BF0">
              <w:rPr>
                <w:rFonts w:ascii="Arial" w:eastAsia="Times New Roman" w:hAnsi="Arial" w:cs="Arial"/>
                <w:lang w:val="es-EC" w:eastAsia="es-EC"/>
              </w:rPr>
              <w:t>.</w:t>
            </w:r>
          </w:p>
        </w:tc>
      </w:tr>
      <w:tr w:rsidR="00F143D3" w:rsidRPr="00807BF0" w:rsidTr="005E4B73">
        <w:trPr>
          <w:trHeight w:val="900"/>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bCs/>
                <w:lang w:val="es-EC" w:eastAsia="es-EC"/>
              </w:rPr>
              <w:t xml:space="preserve">Reubicación </w:t>
            </w:r>
            <w:r w:rsidRPr="00807BF0">
              <w:rPr>
                <w:rFonts w:ascii="Arial" w:eastAsia="Times New Roman" w:hAnsi="Arial" w:cs="Arial"/>
                <w:lang w:val="es-EC" w:eastAsia="es-EC"/>
              </w:rPr>
              <w:t>de la Línea de Subtransmisión Santas Vainas - Las Palmas</w:t>
            </w:r>
          </w:p>
        </w:tc>
        <w:tc>
          <w:tcPr>
            <w:tcW w:w="4111" w:type="dxa"/>
            <w:noWrap/>
            <w:hideMark/>
          </w:tcPr>
          <w:p w:rsidR="00F143D3" w:rsidRPr="00807BF0" w:rsidRDefault="00F45996"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w:t>
            </w:r>
            <w:r w:rsidR="00F143D3" w:rsidRPr="00807BF0">
              <w:rPr>
                <w:rFonts w:ascii="Arial" w:eastAsia="Times New Roman" w:hAnsi="Arial" w:cs="Arial"/>
                <w:lang w:val="es-EC" w:eastAsia="es-EC"/>
              </w:rPr>
              <w:t xml:space="preserve">uenta con </w:t>
            </w:r>
            <w:r w:rsidRPr="00807BF0">
              <w:rPr>
                <w:rFonts w:ascii="Arial" w:eastAsia="Times New Roman" w:hAnsi="Arial" w:cs="Arial"/>
                <w:lang w:val="es-EC" w:eastAsia="es-EC"/>
              </w:rPr>
              <w:t xml:space="preserve">el </w:t>
            </w:r>
            <w:r w:rsidR="00F143D3" w:rsidRPr="00807BF0">
              <w:rPr>
                <w:rFonts w:ascii="Arial" w:eastAsia="Times New Roman" w:hAnsi="Arial" w:cs="Arial"/>
                <w:lang w:val="es-EC" w:eastAsia="es-EC"/>
              </w:rPr>
              <w:t xml:space="preserve">estudio </w:t>
            </w:r>
            <w:r w:rsidRPr="00807BF0">
              <w:rPr>
                <w:rFonts w:ascii="Arial" w:eastAsia="Times New Roman" w:hAnsi="Arial" w:cs="Arial"/>
                <w:lang w:val="es-EC" w:eastAsia="es-EC"/>
              </w:rPr>
              <w:t xml:space="preserve">de impacto </w:t>
            </w:r>
            <w:r w:rsidR="00F143D3" w:rsidRPr="00807BF0">
              <w:rPr>
                <w:rFonts w:ascii="Arial" w:eastAsia="Times New Roman" w:hAnsi="Arial" w:cs="Arial"/>
                <w:lang w:val="es-EC" w:eastAsia="es-EC"/>
              </w:rPr>
              <w:t xml:space="preserve">ambiental, </w:t>
            </w:r>
            <w:r w:rsidRPr="00807BF0">
              <w:rPr>
                <w:rFonts w:ascii="Arial" w:eastAsia="Times New Roman" w:hAnsi="Arial" w:cs="Arial"/>
                <w:lang w:val="es-EC" w:eastAsia="es-EC"/>
              </w:rPr>
              <w:t xml:space="preserve">ha pasado la fase de socialización y está en proceso la emisión de </w:t>
            </w:r>
            <w:r w:rsidR="00F143D3" w:rsidRPr="00807BF0">
              <w:rPr>
                <w:rFonts w:ascii="Arial" w:eastAsia="Times New Roman" w:hAnsi="Arial" w:cs="Arial"/>
                <w:lang w:val="es-EC" w:eastAsia="es-EC"/>
              </w:rPr>
              <w:t>la licencia ambiental</w:t>
            </w:r>
            <w:r w:rsidR="00B22FB2" w:rsidRPr="00807BF0">
              <w:rPr>
                <w:rFonts w:ascii="Arial" w:eastAsia="Times New Roman" w:hAnsi="Arial" w:cs="Arial"/>
                <w:lang w:val="es-EC" w:eastAsia="es-EC"/>
              </w:rPr>
              <w:t>.</w:t>
            </w:r>
          </w:p>
        </w:tc>
      </w:tr>
      <w:tr w:rsidR="00F143D3" w:rsidRPr="00807BF0" w:rsidTr="005E4B73">
        <w:trPr>
          <w:trHeight w:val="900"/>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Reubicación de L/S  </w:t>
            </w:r>
            <w:r w:rsidR="00F45996" w:rsidRPr="00807BF0">
              <w:rPr>
                <w:rFonts w:ascii="Arial" w:eastAsia="Times New Roman" w:hAnsi="Arial" w:cs="Arial"/>
                <w:lang w:val="es-EC" w:eastAsia="es-EC"/>
              </w:rPr>
              <w:t>Borbón</w:t>
            </w:r>
            <w:r w:rsidRPr="00807BF0">
              <w:rPr>
                <w:rFonts w:ascii="Arial" w:eastAsia="Times New Roman" w:hAnsi="Arial" w:cs="Arial"/>
                <w:lang w:val="es-EC" w:eastAsia="es-EC"/>
              </w:rPr>
              <w:t xml:space="preserve"> 1 - </w:t>
            </w:r>
            <w:r w:rsidR="00F45996" w:rsidRPr="00807BF0">
              <w:rPr>
                <w:rFonts w:ascii="Arial" w:eastAsia="Times New Roman" w:hAnsi="Arial" w:cs="Arial"/>
                <w:lang w:val="es-EC" w:eastAsia="es-EC"/>
              </w:rPr>
              <w:t>Borbón</w:t>
            </w:r>
            <w:r w:rsidRPr="00807BF0">
              <w:rPr>
                <w:rFonts w:ascii="Arial" w:eastAsia="Times New Roman" w:hAnsi="Arial" w:cs="Arial"/>
                <w:lang w:val="es-EC" w:eastAsia="es-EC"/>
              </w:rPr>
              <w:t xml:space="preserve"> 2</w:t>
            </w:r>
          </w:p>
        </w:tc>
        <w:tc>
          <w:tcPr>
            <w:tcW w:w="4111" w:type="dxa"/>
            <w:noWrap/>
            <w:hideMark/>
          </w:tcPr>
          <w:p w:rsidR="00F143D3" w:rsidRPr="00807BF0" w:rsidRDefault="00F45996"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w:t>
            </w:r>
            <w:r w:rsidR="00F143D3" w:rsidRPr="00807BF0">
              <w:rPr>
                <w:rFonts w:ascii="Arial" w:eastAsia="Times New Roman" w:hAnsi="Arial" w:cs="Arial"/>
                <w:lang w:val="es-EC" w:eastAsia="es-EC"/>
              </w:rPr>
              <w:t xml:space="preserve">uenta con licencia ambiental </w:t>
            </w:r>
            <w:r w:rsidRPr="00807BF0">
              <w:rPr>
                <w:rFonts w:ascii="Arial" w:eastAsia="Times New Roman" w:hAnsi="Arial" w:cs="Arial"/>
                <w:lang w:val="es-EC" w:eastAsia="es-EC"/>
              </w:rPr>
              <w:t xml:space="preserve">para la </w:t>
            </w:r>
            <w:r w:rsidR="00F143D3" w:rsidRPr="00807BF0">
              <w:rPr>
                <w:rFonts w:ascii="Arial" w:eastAsia="Times New Roman" w:hAnsi="Arial" w:cs="Arial"/>
                <w:lang w:val="es-EC" w:eastAsia="es-EC"/>
              </w:rPr>
              <w:t xml:space="preserve">LST </w:t>
            </w:r>
            <w:r w:rsidRPr="00807BF0">
              <w:rPr>
                <w:rFonts w:ascii="Arial" w:eastAsia="Times New Roman" w:hAnsi="Arial" w:cs="Arial"/>
                <w:lang w:val="es-EC" w:eastAsia="es-EC"/>
              </w:rPr>
              <w:t>Borbón -</w:t>
            </w:r>
            <w:r w:rsidR="00F143D3" w:rsidRPr="00807BF0">
              <w:rPr>
                <w:rFonts w:ascii="Arial" w:eastAsia="Times New Roman" w:hAnsi="Arial" w:cs="Arial"/>
                <w:lang w:val="es-EC" w:eastAsia="es-EC"/>
              </w:rPr>
              <w:t xml:space="preserve"> San Lorenzo (</w:t>
            </w:r>
            <w:r w:rsidRPr="00807BF0">
              <w:rPr>
                <w:rFonts w:ascii="Arial" w:eastAsia="Times New Roman" w:hAnsi="Arial" w:cs="Arial"/>
                <w:lang w:val="es-EC" w:eastAsia="es-EC"/>
              </w:rPr>
              <w:t xml:space="preserve">emitida en </w:t>
            </w:r>
            <w:r w:rsidR="00F143D3" w:rsidRPr="00807BF0">
              <w:rPr>
                <w:rFonts w:ascii="Arial" w:eastAsia="Times New Roman" w:hAnsi="Arial" w:cs="Arial"/>
                <w:lang w:val="es-EC" w:eastAsia="es-EC"/>
              </w:rPr>
              <w:t>09-07)</w:t>
            </w:r>
            <w:r w:rsidRPr="00807BF0">
              <w:rPr>
                <w:rFonts w:ascii="Arial" w:eastAsia="Times New Roman" w:hAnsi="Arial" w:cs="Arial"/>
                <w:lang w:val="es-EC" w:eastAsia="es-EC"/>
              </w:rPr>
              <w:t>, dentro del cual están considerados estas dos tramos de línea a ser reubicados. Estos proyectos deben cumplir el plan de manejo ambiental aprobado por el MAE</w:t>
            </w:r>
            <w:r w:rsidR="00B22FB2" w:rsidRPr="00807BF0">
              <w:rPr>
                <w:rFonts w:ascii="Arial" w:eastAsia="Times New Roman" w:hAnsi="Arial" w:cs="Arial"/>
                <w:lang w:val="es-EC" w:eastAsia="es-EC"/>
              </w:rPr>
              <w:t>.</w:t>
            </w:r>
          </w:p>
        </w:tc>
      </w:tr>
      <w:tr w:rsidR="00F143D3" w:rsidRPr="00807BF0" w:rsidTr="005E4B73">
        <w:trPr>
          <w:trHeight w:val="900"/>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Reforzamiento Subsistema El Salto-</w:t>
            </w:r>
            <w:proofErr w:type="spellStart"/>
            <w:r w:rsidRPr="00807BF0">
              <w:rPr>
                <w:rFonts w:ascii="Arial" w:eastAsia="Times New Roman" w:hAnsi="Arial" w:cs="Arial"/>
                <w:lang w:val="es-EC" w:eastAsia="es-EC"/>
              </w:rPr>
              <w:t>Atacames</w:t>
            </w:r>
            <w:proofErr w:type="spellEnd"/>
            <w:r w:rsidRPr="00807BF0">
              <w:rPr>
                <w:rFonts w:ascii="Arial" w:eastAsia="Times New Roman" w:hAnsi="Arial" w:cs="Arial"/>
                <w:lang w:val="es-EC" w:eastAsia="es-EC"/>
              </w:rPr>
              <w:t xml:space="preserve"> (Construcción de la Subestación </w:t>
            </w:r>
            <w:proofErr w:type="spellStart"/>
            <w:r w:rsidR="00B22FB2" w:rsidRPr="00807BF0">
              <w:rPr>
                <w:rFonts w:ascii="Arial" w:eastAsia="Times New Roman" w:hAnsi="Arial" w:cs="Arial"/>
                <w:lang w:val="es-EC" w:eastAsia="es-EC"/>
              </w:rPr>
              <w:t>Tonchigüe</w:t>
            </w:r>
            <w:proofErr w:type="spellEnd"/>
            <w:r w:rsidRPr="00807BF0">
              <w:rPr>
                <w:rFonts w:ascii="Arial" w:eastAsia="Times New Roman" w:hAnsi="Arial" w:cs="Arial"/>
                <w:lang w:val="es-EC" w:eastAsia="es-EC"/>
              </w:rPr>
              <w:t>)</w:t>
            </w:r>
          </w:p>
        </w:tc>
        <w:tc>
          <w:tcPr>
            <w:tcW w:w="4111" w:type="dxa"/>
            <w:noWrap/>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Cuenta con licencia ambiental para </w:t>
            </w:r>
            <w:r w:rsidR="00B22FB2" w:rsidRPr="00807BF0">
              <w:rPr>
                <w:rFonts w:ascii="Arial" w:eastAsia="Times New Roman" w:hAnsi="Arial" w:cs="Arial"/>
                <w:lang w:val="es-EC" w:eastAsia="es-EC"/>
              </w:rPr>
              <w:t xml:space="preserve">la </w:t>
            </w:r>
            <w:r w:rsidRPr="00807BF0">
              <w:rPr>
                <w:rFonts w:ascii="Arial" w:eastAsia="Times New Roman" w:hAnsi="Arial" w:cs="Arial"/>
                <w:lang w:val="es-EC" w:eastAsia="es-EC"/>
              </w:rPr>
              <w:t xml:space="preserve">SE </w:t>
            </w:r>
            <w:proofErr w:type="spellStart"/>
            <w:r w:rsidR="00B22FB2" w:rsidRPr="00807BF0">
              <w:rPr>
                <w:rFonts w:ascii="Arial" w:eastAsia="Times New Roman" w:hAnsi="Arial" w:cs="Arial"/>
                <w:lang w:val="es-EC" w:eastAsia="es-EC"/>
              </w:rPr>
              <w:t>Tonchigüe</w:t>
            </w:r>
            <w:proofErr w:type="spellEnd"/>
            <w:r w:rsidRPr="00807BF0">
              <w:rPr>
                <w:rFonts w:ascii="Arial" w:eastAsia="Times New Roman" w:hAnsi="Arial" w:cs="Arial"/>
                <w:lang w:val="es-EC" w:eastAsia="es-EC"/>
              </w:rPr>
              <w:t xml:space="preserve"> (</w:t>
            </w:r>
            <w:r w:rsidR="00B22FB2" w:rsidRPr="00807BF0">
              <w:rPr>
                <w:rFonts w:ascii="Arial" w:eastAsia="Times New Roman" w:hAnsi="Arial" w:cs="Arial"/>
                <w:lang w:val="es-EC" w:eastAsia="es-EC"/>
              </w:rPr>
              <w:t xml:space="preserve">emitida </w:t>
            </w:r>
            <w:r w:rsidRPr="00807BF0">
              <w:rPr>
                <w:rFonts w:ascii="Arial" w:eastAsia="Times New Roman" w:hAnsi="Arial" w:cs="Arial"/>
                <w:lang w:val="es-EC" w:eastAsia="es-EC"/>
              </w:rPr>
              <w:t>10-14)</w:t>
            </w:r>
            <w:r w:rsidR="00B22FB2" w:rsidRPr="00807BF0">
              <w:rPr>
                <w:rFonts w:ascii="Arial" w:eastAsia="Times New Roman" w:hAnsi="Arial" w:cs="Arial"/>
                <w:lang w:val="es-EC" w:eastAsia="es-EC"/>
              </w:rPr>
              <w:t>,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Reconstrucción de LST Propicia -La Pradera- </w:t>
            </w:r>
            <w:proofErr w:type="spellStart"/>
            <w:r w:rsidRPr="00807BF0">
              <w:rPr>
                <w:rFonts w:ascii="Arial" w:eastAsia="Times New Roman" w:hAnsi="Arial" w:cs="Arial"/>
                <w:lang w:val="es-EC" w:eastAsia="es-EC"/>
              </w:rPr>
              <w:t>Atacames</w:t>
            </w:r>
            <w:proofErr w:type="spellEnd"/>
          </w:p>
        </w:tc>
        <w:tc>
          <w:tcPr>
            <w:tcW w:w="4111" w:type="dxa"/>
            <w:noWrap/>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licencia ambiental (</w:t>
            </w:r>
            <w:r w:rsidR="00B22FB2" w:rsidRPr="00807BF0">
              <w:rPr>
                <w:rFonts w:ascii="Arial" w:eastAsia="Times New Roman" w:hAnsi="Arial" w:cs="Arial"/>
                <w:lang w:val="es-EC" w:eastAsia="es-EC"/>
              </w:rPr>
              <w:t xml:space="preserve">emitida </w:t>
            </w:r>
            <w:r w:rsidRPr="00807BF0">
              <w:rPr>
                <w:rFonts w:ascii="Arial" w:eastAsia="Times New Roman" w:hAnsi="Arial" w:cs="Arial"/>
                <w:lang w:val="es-EC" w:eastAsia="es-EC"/>
              </w:rPr>
              <w:t>04-15)</w:t>
            </w:r>
            <w:r w:rsidR="00B22FB2" w:rsidRPr="00807BF0">
              <w:rPr>
                <w:rFonts w:ascii="Arial" w:eastAsia="Times New Roman" w:hAnsi="Arial" w:cs="Arial"/>
                <w:lang w:val="es-EC" w:eastAsia="es-EC"/>
              </w:rPr>
              <w:t>,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val="restart"/>
            <w:noWrap/>
            <w:vAlign w:val="center"/>
            <w:hideMark/>
          </w:tcPr>
          <w:p w:rsidR="00F143D3" w:rsidRPr="00807BF0" w:rsidRDefault="00F143D3" w:rsidP="00C53DC3">
            <w:pPr>
              <w:spacing w:before="0" w:after="0" w:line="240" w:lineRule="auto"/>
              <w:ind w:left="0"/>
              <w:jc w:val="center"/>
              <w:rPr>
                <w:rFonts w:ascii="Arial" w:eastAsia="Times New Roman" w:hAnsi="Arial" w:cs="Arial"/>
                <w:lang w:val="es-EC" w:eastAsia="es-EC"/>
              </w:rPr>
            </w:pPr>
            <w:r w:rsidRPr="00807BF0">
              <w:rPr>
                <w:rFonts w:ascii="Arial" w:eastAsia="Times New Roman" w:hAnsi="Arial" w:cs="Arial"/>
                <w:lang w:val="es-EC" w:eastAsia="es-EC"/>
              </w:rPr>
              <w:t>CNEL EP UN Manabí</w:t>
            </w: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Repotenciación Integral Subestación Calceta y de Alimentadores.</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w:t>
            </w:r>
            <w:r w:rsidR="00F143D3" w:rsidRPr="00807BF0">
              <w:rPr>
                <w:rFonts w:ascii="Arial" w:eastAsia="Times New Roman" w:hAnsi="Arial" w:cs="Arial"/>
                <w:lang w:val="es-EC" w:eastAsia="es-EC"/>
              </w:rPr>
              <w:t>uenta con Registro Ambiental</w:t>
            </w:r>
            <w:r w:rsidRPr="00807BF0">
              <w:rPr>
                <w:rFonts w:ascii="Arial" w:eastAsia="Times New Roman" w:hAnsi="Arial" w:cs="Arial"/>
                <w:lang w:val="es-EC" w:eastAsia="es-EC"/>
              </w:rPr>
              <w:t xml:space="preserve"> y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Repotenciación Integral de Subestación</w:t>
            </w:r>
            <w:r w:rsidR="00B22FB2" w:rsidRPr="00807BF0">
              <w:rPr>
                <w:rFonts w:ascii="Arial" w:eastAsia="Times New Roman" w:hAnsi="Arial" w:cs="Arial"/>
                <w:lang w:val="es-EC" w:eastAsia="es-EC"/>
              </w:rPr>
              <w:t xml:space="preserve"> San Vicente y de Alimentadores</w:t>
            </w:r>
            <w:r w:rsidRPr="00807BF0">
              <w:rPr>
                <w:rFonts w:ascii="Arial" w:eastAsia="Times New Roman" w:hAnsi="Arial" w:cs="Arial"/>
                <w:lang w:val="es-EC" w:eastAsia="es-EC"/>
              </w:rPr>
              <w:t>.</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Registro Ambiental y por lo tanto las actividades de este proyecto deberán cumplir lo señalado en el plan de manejo ambiental aprobado por el MAE.</w:t>
            </w:r>
          </w:p>
        </w:tc>
      </w:tr>
      <w:tr w:rsidR="00F143D3" w:rsidRPr="00807BF0" w:rsidTr="005E4B73">
        <w:trPr>
          <w:trHeight w:val="1230"/>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C8367D"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Repotenciación Líneas</w:t>
            </w:r>
            <w:r w:rsidR="00F143D3" w:rsidRPr="00807BF0">
              <w:rPr>
                <w:rFonts w:ascii="Arial" w:eastAsia="Times New Roman" w:hAnsi="Arial" w:cs="Arial"/>
                <w:lang w:val="es-EC" w:eastAsia="es-EC"/>
              </w:rPr>
              <w:t xml:space="preserve"> de enlace a 69 kV de CNEL EP-UN Manabí Con la Subestación San Gregorio De CELEC EP De 167 MVA 230/69 kV, Incluye Remodelación de S/E Portoviejo 2 y Rocafuerte.</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El estudio ambiental</w:t>
            </w:r>
            <w:r w:rsidR="00F143D3" w:rsidRPr="00807BF0">
              <w:rPr>
                <w:rFonts w:ascii="Arial" w:eastAsia="Times New Roman" w:hAnsi="Arial" w:cs="Arial"/>
                <w:lang w:val="es-EC" w:eastAsia="es-EC"/>
              </w:rPr>
              <w:t xml:space="preserve"> </w:t>
            </w:r>
            <w:r w:rsidRPr="00807BF0">
              <w:rPr>
                <w:rFonts w:ascii="Arial" w:eastAsia="Times New Roman" w:hAnsi="Arial" w:cs="Arial"/>
                <w:lang w:val="es-EC" w:eastAsia="es-EC"/>
              </w:rPr>
              <w:t>está en proceso de contratación y ejecución</w:t>
            </w:r>
            <w:r w:rsidR="00F143D3" w:rsidRPr="00807BF0">
              <w:rPr>
                <w:rFonts w:ascii="Arial" w:eastAsia="Times New Roman" w:hAnsi="Arial" w:cs="Arial"/>
                <w:lang w:val="es-EC" w:eastAsia="es-EC"/>
              </w:rPr>
              <w:t xml:space="preserve">. </w:t>
            </w:r>
            <w:r w:rsidRPr="00807BF0">
              <w:rPr>
                <w:rFonts w:ascii="Arial" w:eastAsia="Times New Roman" w:hAnsi="Arial" w:cs="Arial"/>
                <w:lang w:val="es-EC" w:eastAsia="es-EC"/>
              </w:rPr>
              <w:t>Algunas de las Subestaciones involucradas sin embargo, cuentan con Registro Ambiental y s</w:t>
            </w:r>
            <w:r w:rsidR="00F143D3" w:rsidRPr="00807BF0">
              <w:rPr>
                <w:rFonts w:ascii="Arial" w:eastAsia="Times New Roman" w:hAnsi="Arial" w:cs="Arial"/>
                <w:lang w:val="es-EC" w:eastAsia="es-EC"/>
              </w:rPr>
              <w:t>on parte del proceso de regularizació</w:t>
            </w:r>
            <w:r w:rsidRPr="00807BF0">
              <w:rPr>
                <w:rFonts w:ascii="Arial" w:eastAsia="Times New Roman" w:hAnsi="Arial" w:cs="Arial"/>
                <w:lang w:val="es-EC" w:eastAsia="es-EC"/>
              </w:rPr>
              <w:t>n ambiental de todo el S</w:t>
            </w:r>
            <w:r w:rsidR="00F143D3" w:rsidRPr="00807BF0">
              <w:rPr>
                <w:rFonts w:ascii="Arial" w:eastAsia="Times New Roman" w:hAnsi="Arial" w:cs="Arial"/>
                <w:lang w:val="es-EC" w:eastAsia="es-EC"/>
              </w:rPr>
              <w:t xml:space="preserve">istema de </w:t>
            </w:r>
            <w:r w:rsidRPr="00807BF0">
              <w:rPr>
                <w:rFonts w:ascii="Arial" w:eastAsia="Times New Roman" w:hAnsi="Arial" w:cs="Arial"/>
                <w:lang w:val="es-EC" w:eastAsia="es-EC"/>
              </w:rPr>
              <w:t>CNEL Manabí que cuenta con Licencia Ambiental.</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Reco</w:t>
            </w:r>
            <w:r w:rsidR="00B22FB2" w:rsidRPr="00807BF0">
              <w:rPr>
                <w:rFonts w:ascii="Arial" w:eastAsia="Times New Roman" w:hAnsi="Arial" w:cs="Arial"/>
                <w:lang w:val="es-EC" w:eastAsia="es-EC"/>
              </w:rPr>
              <w:t>nstrucción y reubicación Línea d</w:t>
            </w:r>
            <w:r w:rsidRPr="00807BF0">
              <w:rPr>
                <w:rFonts w:ascii="Arial" w:eastAsia="Times New Roman" w:hAnsi="Arial" w:cs="Arial"/>
                <w:lang w:val="es-EC" w:eastAsia="es-EC"/>
              </w:rPr>
              <w:t xml:space="preserve">e Subtransmisión Rocafuerte - </w:t>
            </w:r>
            <w:proofErr w:type="spellStart"/>
            <w:r w:rsidRPr="00807BF0">
              <w:rPr>
                <w:rFonts w:ascii="Arial" w:eastAsia="Times New Roman" w:hAnsi="Arial" w:cs="Arial"/>
                <w:lang w:val="es-EC" w:eastAsia="es-EC"/>
              </w:rPr>
              <w:t>Tosagua</w:t>
            </w:r>
            <w:proofErr w:type="spellEnd"/>
            <w:r w:rsidRPr="00807BF0">
              <w:rPr>
                <w:rFonts w:ascii="Arial" w:eastAsia="Times New Roman" w:hAnsi="Arial" w:cs="Arial"/>
                <w:lang w:val="es-EC" w:eastAsia="es-EC"/>
              </w:rPr>
              <w:t>.</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El estudio ambiental está presupuestado para contratación, sin embargo las SE involucradas en este proyecto cuentan con Registro Ambiental y plan de manejo ambiental.</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Reconstrucción</w:t>
            </w:r>
            <w:r w:rsidR="00F143D3" w:rsidRPr="00807BF0">
              <w:rPr>
                <w:rFonts w:ascii="Arial" w:eastAsia="Times New Roman" w:hAnsi="Arial" w:cs="Arial"/>
                <w:lang w:val="es-EC" w:eastAsia="es-EC"/>
              </w:rPr>
              <w:t xml:space="preserve"> y reubicación Línea </w:t>
            </w:r>
            <w:r w:rsidRPr="00807BF0">
              <w:rPr>
                <w:rFonts w:ascii="Arial" w:eastAsia="Times New Roman" w:hAnsi="Arial" w:cs="Arial"/>
                <w:lang w:val="es-EC" w:eastAsia="es-EC"/>
              </w:rPr>
              <w:t>d</w:t>
            </w:r>
            <w:r w:rsidR="00F143D3" w:rsidRPr="00807BF0">
              <w:rPr>
                <w:rFonts w:ascii="Arial" w:eastAsia="Times New Roman" w:hAnsi="Arial" w:cs="Arial"/>
                <w:lang w:val="es-EC" w:eastAsia="es-EC"/>
              </w:rPr>
              <w:t xml:space="preserve">e Subtransmisión </w:t>
            </w:r>
            <w:proofErr w:type="spellStart"/>
            <w:r w:rsidR="00F143D3" w:rsidRPr="00807BF0">
              <w:rPr>
                <w:rFonts w:ascii="Arial" w:eastAsia="Times New Roman" w:hAnsi="Arial" w:cs="Arial"/>
                <w:lang w:val="es-EC" w:eastAsia="es-EC"/>
              </w:rPr>
              <w:t>Tosagua</w:t>
            </w:r>
            <w:proofErr w:type="spellEnd"/>
            <w:r w:rsidR="00F143D3" w:rsidRPr="00807BF0">
              <w:rPr>
                <w:rFonts w:ascii="Arial" w:eastAsia="Times New Roman" w:hAnsi="Arial" w:cs="Arial"/>
                <w:lang w:val="es-EC" w:eastAsia="es-EC"/>
              </w:rPr>
              <w:t>-San Vicente.</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El estudio ambiental está presupuestado para contratación, sin embargo las SE involucradas en este proyecto cuentan con Registro Ambiental y plan de manejo ambiental.</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Repotenciación Integral de Subestación </w:t>
            </w:r>
            <w:r w:rsidR="00B22FB2" w:rsidRPr="00807BF0">
              <w:rPr>
                <w:rFonts w:ascii="Arial" w:eastAsia="Times New Roman" w:hAnsi="Arial" w:cs="Arial"/>
                <w:lang w:val="es-EC" w:eastAsia="es-EC"/>
              </w:rPr>
              <w:t>Bahía y de Alimentadores</w:t>
            </w:r>
            <w:r w:rsidRPr="00807BF0">
              <w:rPr>
                <w:rFonts w:ascii="Arial" w:eastAsia="Times New Roman" w:hAnsi="Arial" w:cs="Arial"/>
                <w:lang w:val="es-EC" w:eastAsia="es-EC"/>
              </w:rPr>
              <w:t>.</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Registro Ambiental y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Reforzamiento subsistema </w:t>
            </w:r>
            <w:r w:rsidR="00C8367D" w:rsidRPr="00807BF0">
              <w:rPr>
                <w:rFonts w:ascii="Arial" w:eastAsia="Times New Roman" w:hAnsi="Arial" w:cs="Arial"/>
                <w:lang w:val="es-EC" w:eastAsia="es-EC"/>
              </w:rPr>
              <w:t>a 69</w:t>
            </w:r>
            <w:r w:rsidRPr="00807BF0">
              <w:rPr>
                <w:rFonts w:ascii="Arial" w:eastAsia="Times New Roman" w:hAnsi="Arial" w:cs="Arial"/>
                <w:lang w:val="es-EC" w:eastAsia="es-EC"/>
              </w:rPr>
              <w:t xml:space="preserve"> kV Bahía-San Vicente.</w:t>
            </w:r>
          </w:p>
        </w:tc>
        <w:tc>
          <w:tcPr>
            <w:tcW w:w="4111" w:type="dxa"/>
            <w:hideMark/>
          </w:tcPr>
          <w:p w:rsidR="00F143D3" w:rsidRPr="00807BF0" w:rsidRDefault="00B22FB2"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El estudio ambiental está presupuestado para contratación, sin embargo las SE involucradas en este proyecto cuentan con Registro Ambiental y plan de manejo ambiental.</w:t>
            </w:r>
          </w:p>
        </w:tc>
      </w:tr>
      <w:tr w:rsidR="00F143D3" w:rsidRPr="00807BF0" w:rsidTr="005E4B73">
        <w:trPr>
          <w:trHeight w:val="795"/>
          <w:jc w:val="center"/>
        </w:trPr>
        <w:tc>
          <w:tcPr>
            <w:tcW w:w="1842" w:type="dxa"/>
            <w:vMerge w:val="restart"/>
            <w:noWrap/>
            <w:vAlign w:val="center"/>
            <w:hideMark/>
          </w:tcPr>
          <w:p w:rsidR="00F143D3" w:rsidRPr="00807BF0" w:rsidRDefault="00F143D3" w:rsidP="00C53DC3">
            <w:pPr>
              <w:spacing w:before="0" w:after="0" w:line="240" w:lineRule="auto"/>
              <w:ind w:left="0"/>
              <w:jc w:val="center"/>
              <w:rPr>
                <w:rFonts w:ascii="Arial" w:eastAsia="Times New Roman" w:hAnsi="Arial" w:cs="Arial"/>
                <w:lang w:val="es-EC" w:eastAsia="es-EC"/>
              </w:rPr>
            </w:pPr>
            <w:r w:rsidRPr="00807BF0">
              <w:rPr>
                <w:rFonts w:ascii="Arial" w:eastAsia="Times New Roman" w:hAnsi="Arial" w:cs="Arial"/>
                <w:lang w:val="es-EC" w:eastAsia="es-EC"/>
              </w:rPr>
              <w:t>CNEL EP UN Santo Domingo</w:t>
            </w: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proofErr w:type="spellStart"/>
            <w:r w:rsidRPr="00807BF0">
              <w:rPr>
                <w:rFonts w:ascii="Arial" w:eastAsia="Times New Roman" w:hAnsi="Arial" w:cs="Arial"/>
                <w:lang w:val="es-EC" w:eastAsia="es-EC"/>
              </w:rPr>
              <w:t>Repotenciamiento</w:t>
            </w:r>
            <w:proofErr w:type="spellEnd"/>
            <w:r w:rsidRPr="00807BF0">
              <w:rPr>
                <w:rFonts w:ascii="Arial" w:eastAsia="Times New Roman" w:hAnsi="Arial" w:cs="Arial"/>
                <w:lang w:val="es-EC" w:eastAsia="es-EC"/>
              </w:rPr>
              <w:t xml:space="preserve"> Integral de S/E Pedernales a 69/13,8 kV y de </w:t>
            </w:r>
            <w:r w:rsidRPr="00807BF0">
              <w:rPr>
                <w:rFonts w:ascii="Arial" w:eastAsia="Times New Roman" w:hAnsi="Arial" w:cs="Arial"/>
                <w:lang w:val="es-EC" w:eastAsia="es-EC"/>
              </w:rPr>
              <w:lastRenderedPageBreak/>
              <w:t>Alimentadores Centro de Pedernales (incluido cambio de nivel de voltaje de 34,5 a 13,8)</w:t>
            </w:r>
          </w:p>
        </w:tc>
        <w:tc>
          <w:tcPr>
            <w:tcW w:w="4111" w:type="dxa"/>
            <w:hideMark/>
          </w:tcPr>
          <w:p w:rsidR="00F143D3" w:rsidRPr="00807BF0" w:rsidRDefault="005E4B7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lastRenderedPageBreak/>
              <w:t>D</w:t>
            </w:r>
            <w:r w:rsidR="00F143D3" w:rsidRPr="00807BF0">
              <w:rPr>
                <w:rFonts w:ascii="Arial" w:eastAsia="Times New Roman" w:hAnsi="Arial" w:cs="Arial"/>
                <w:lang w:val="es-EC" w:eastAsia="es-EC"/>
              </w:rPr>
              <w:t xml:space="preserve">ebe iniciar la regularización ambiental </w:t>
            </w:r>
            <w:r w:rsidR="004C192F" w:rsidRPr="00807BF0">
              <w:rPr>
                <w:rFonts w:ascii="Arial" w:eastAsia="Times New Roman" w:hAnsi="Arial" w:cs="Arial"/>
                <w:lang w:val="es-EC" w:eastAsia="es-EC"/>
              </w:rPr>
              <w:t xml:space="preserve">por Registro Ambiental y cumplir el plan de manejo ambiental que el MAE </w:t>
            </w:r>
            <w:r w:rsidR="004C192F" w:rsidRPr="00807BF0">
              <w:rPr>
                <w:rFonts w:ascii="Arial" w:eastAsia="Times New Roman" w:hAnsi="Arial" w:cs="Arial"/>
                <w:lang w:val="es-EC" w:eastAsia="es-EC"/>
              </w:rPr>
              <w:lastRenderedPageBreak/>
              <w:t>apruebe en el proceso.</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pt-BR" w:eastAsia="es-EC"/>
              </w:rPr>
            </w:pPr>
            <w:proofErr w:type="spellStart"/>
            <w:r w:rsidRPr="00807BF0">
              <w:rPr>
                <w:rFonts w:ascii="Arial" w:eastAsia="Times New Roman" w:hAnsi="Arial" w:cs="Arial"/>
                <w:lang w:val="pt-BR" w:eastAsia="es-EC"/>
              </w:rPr>
              <w:t>Reforzamiento</w:t>
            </w:r>
            <w:proofErr w:type="spellEnd"/>
            <w:r w:rsidRPr="00807BF0">
              <w:rPr>
                <w:rFonts w:ascii="Arial" w:eastAsia="Times New Roman" w:hAnsi="Arial" w:cs="Arial"/>
                <w:lang w:val="pt-BR" w:eastAsia="es-EC"/>
              </w:rPr>
              <w:t xml:space="preserve"> subsistema </w:t>
            </w:r>
            <w:proofErr w:type="spellStart"/>
            <w:r w:rsidRPr="00807BF0">
              <w:rPr>
                <w:rFonts w:ascii="Arial" w:eastAsia="Times New Roman" w:hAnsi="Arial" w:cs="Arial"/>
                <w:lang w:val="pt-BR" w:eastAsia="es-EC"/>
              </w:rPr>
              <w:t>Pedernales</w:t>
            </w:r>
            <w:proofErr w:type="spellEnd"/>
            <w:r w:rsidRPr="00807BF0">
              <w:rPr>
                <w:rFonts w:ascii="Arial" w:eastAsia="Times New Roman" w:hAnsi="Arial" w:cs="Arial"/>
                <w:lang w:val="pt-BR" w:eastAsia="es-EC"/>
              </w:rPr>
              <w:t xml:space="preserve"> LST S.N.I.  - S/E </w:t>
            </w:r>
            <w:proofErr w:type="spellStart"/>
            <w:r w:rsidRPr="00807BF0">
              <w:rPr>
                <w:rFonts w:ascii="Arial" w:eastAsia="Times New Roman" w:hAnsi="Arial" w:cs="Arial"/>
                <w:lang w:val="pt-BR" w:eastAsia="es-EC"/>
              </w:rPr>
              <w:t>Pedernales</w:t>
            </w:r>
            <w:proofErr w:type="spellEnd"/>
            <w:r w:rsidRPr="00807BF0">
              <w:rPr>
                <w:rFonts w:ascii="Arial" w:eastAsia="Times New Roman" w:hAnsi="Arial" w:cs="Arial"/>
                <w:lang w:val="pt-BR" w:eastAsia="es-EC"/>
              </w:rPr>
              <w:t xml:space="preserve"> a 69 </w:t>
            </w:r>
            <w:proofErr w:type="gramStart"/>
            <w:r w:rsidRPr="00807BF0">
              <w:rPr>
                <w:rFonts w:ascii="Arial" w:eastAsia="Times New Roman" w:hAnsi="Arial" w:cs="Arial"/>
                <w:lang w:val="pt-BR" w:eastAsia="es-EC"/>
              </w:rPr>
              <w:t>kV</w:t>
            </w:r>
            <w:proofErr w:type="gramEnd"/>
          </w:p>
        </w:tc>
        <w:tc>
          <w:tcPr>
            <w:tcW w:w="4111" w:type="dxa"/>
            <w:hideMark/>
          </w:tcPr>
          <w:p w:rsidR="00F143D3" w:rsidRPr="00807BF0" w:rsidRDefault="005E4B7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licencia ambiental,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proofErr w:type="spellStart"/>
            <w:r w:rsidRPr="00807BF0">
              <w:rPr>
                <w:rFonts w:ascii="Arial" w:eastAsia="Times New Roman" w:hAnsi="Arial" w:cs="Arial"/>
                <w:lang w:val="es-EC" w:eastAsia="es-EC"/>
              </w:rPr>
              <w:t>Repotenciamiento</w:t>
            </w:r>
            <w:proofErr w:type="spellEnd"/>
            <w:r w:rsidRPr="00807BF0">
              <w:rPr>
                <w:rFonts w:ascii="Arial" w:eastAsia="Times New Roman" w:hAnsi="Arial" w:cs="Arial"/>
                <w:lang w:val="es-EC" w:eastAsia="es-EC"/>
              </w:rPr>
              <w:t xml:space="preserve"> Integral de  S/E Jama 69/13,8 kV y de Alimentadores Centro de Jama</w:t>
            </w:r>
          </w:p>
        </w:tc>
        <w:tc>
          <w:tcPr>
            <w:tcW w:w="4111" w:type="dxa"/>
            <w:hideMark/>
          </w:tcPr>
          <w:p w:rsidR="00F143D3" w:rsidRPr="00807BF0" w:rsidRDefault="005E4B7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Registro Ambiental y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Reconstrucción Reubicación de 9 km de LST San Vicente Jama a línea de fábrica</w:t>
            </w:r>
          </w:p>
        </w:tc>
        <w:tc>
          <w:tcPr>
            <w:tcW w:w="4111" w:type="dxa"/>
            <w:hideMark/>
          </w:tcPr>
          <w:p w:rsidR="00F143D3" w:rsidRPr="00807BF0" w:rsidRDefault="005E4B7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licencia ambiental, por lo tanto las actividades de este proyecto deberán cumplir lo señalado en el plan de manejo ambiental aprobado por el MAE.</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Reforzamiento subsistema  Flavio Alfaro (incluye </w:t>
            </w:r>
            <w:r w:rsidR="00EA5355" w:rsidRPr="00807BF0">
              <w:rPr>
                <w:rFonts w:ascii="Arial" w:eastAsia="Times New Roman" w:hAnsi="Arial" w:cs="Arial"/>
                <w:lang w:val="es-EC" w:eastAsia="es-EC"/>
              </w:rPr>
              <w:t>habilitación</w:t>
            </w:r>
            <w:r w:rsidRPr="00807BF0">
              <w:rPr>
                <w:rFonts w:ascii="Arial" w:eastAsia="Times New Roman" w:hAnsi="Arial" w:cs="Arial"/>
                <w:lang w:val="es-EC" w:eastAsia="es-EC"/>
              </w:rPr>
              <w:t xml:space="preserve"> de SE)</w:t>
            </w:r>
          </w:p>
        </w:tc>
        <w:tc>
          <w:tcPr>
            <w:tcW w:w="4111" w:type="dxa"/>
            <w:hideMark/>
          </w:tcPr>
          <w:p w:rsidR="00F143D3" w:rsidRPr="00807BF0" w:rsidRDefault="005E4B7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el estudio de impacto ambiental, se encuentra en la fase de socialización previo a la emisión de la licencia ambiental.</w:t>
            </w:r>
          </w:p>
        </w:tc>
      </w:tr>
      <w:tr w:rsidR="00F143D3" w:rsidRPr="00807BF0" w:rsidTr="005E4B73">
        <w:trPr>
          <w:trHeight w:val="795"/>
          <w:jc w:val="center"/>
        </w:trPr>
        <w:tc>
          <w:tcPr>
            <w:tcW w:w="1842" w:type="dxa"/>
            <w:vMerge/>
            <w:noWrap/>
          </w:tcPr>
          <w:p w:rsidR="00F143D3" w:rsidRPr="00807BF0" w:rsidRDefault="00F143D3" w:rsidP="00C53DC3">
            <w:pPr>
              <w:spacing w:before="0" w:after="0" w:line="240" w:lineRule="auto"/>
              <w:ind w:left="0"/>
              <w:jc w:val="center"/>
              <w:rPr>
                <w:rFonts w:ascii="Arial" w:eastAsia="Times New Roman" w:hAnsi="Arial" w:cs="Arial"/>
                <w:lang w:val="es-EC" w:eastAsia="es-EC"/>
              </w:rPr>
            </w:pPr>
          </w:p>
        </w:tc>
        <w:tc>
          <w:tcPr>
            <w:tcW w:w="2831" w:type="dxa"/>
            <w:hideMark/>
          </w:tcPr>
          <w:p w:rsidR="00F143D3" w:rsidRPr="00807BF0" w:rsidRDefault="00F143D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 xml:space="preserve">Reforzamiento subsistema a 69 kV </w:t>
            </w:r>
            <w:proofErr w:type="spellStart"/>
            <w:r w:rsidRPr="00807BF0">
              <w:rPr>
                <w:rFonts w:ascii="Arial" w:eastAsia="Times New Roman" w:hAnsi="Arial" w:cs="Arial"/>
                <w:lang w:val="es-EC" w:eastAsia="es-EC"/>
              </w:rPr>
              <w:t>Sesme</w:t>
            </w:r>
            <w:proofErr w:type="spellEnd"/>
            <w:r w:rsidRPr="00807BF0">
              <w:rPr>
                <w:rFonts w:ascii="Arial" w:eastAsia="Times New Roman" w:hAnsi="Arial" w:cs="Arial"/>
                <w:lang w:val="es-EC" w:eastAsia="es-EC"/>
              </w:rPr>
              <w:t xml:space="preserve"> - Flavio Alfaro (incluye LST)</w:t>
            </w:r>
          </w:p>
        </w:tc>
        <w:tc>
          <w:tcPr>
            <w:tcW w:w="4111" w:type="dxa"/>
            <w:hideMark/>
          </w:tcPr>
          <w:p w:rsidR="00F143D3" w:rsidRPr="00807BF0" w:rsidRDefault="005E4B73" w:rsidP="00C53DC3">
            <w:pPr>
              <w:spacing w:before="0" w:after="0" w:line="240" w:lineRule="auto"/>
              <w:ind w:left="0"/>
              <w:jc w:val="left"/>
              <w:rPr>
                <w:rFonts w:ascii="Arial" w:eastAsia="Times New Roman" w:hAnsi="Arial" w:cs="Arial"/>
                <w:lang w:val="es-EC" w:eastAsia="es-EC"/>
              </w:rPr>
            </w:pPr>
            <w:r w:rsidRPr="00807BF0">
              <w:rPr>
                <w:rFonts w:ascii="Arial" w:eastAsia="Times New Roman" w:hAnsi="Arial" w:cs="Arial"/>
                <w:lang w:val="es-EC" w:eastAsia="es-EC"/>
              </w:rPr>
              <w:t>Cuenta con el estudio de impacto ambiental, se encuentra en la fase de socialización previo a la emisión de la licencia ambiental.</w:t>
            </w:r>
          </w:p>
        </w:tc>
      </w:tr>
    </w:tbl>
    <w:p w:rsidR="00F143D3" w:rsidRPr="00807BF0" w:rsidRDefault="00F143D3" w:rsidP="00C53DC3">
      <w:pPr>
        <w:ind w:left="0"/>
        <w:rPr>
          <w:rFonts w:ascii="Arial" w:hAnsi="Arial" w:cs="Arial"/>
        </w:rPr>
      </w:pPr>
    </w:p>
    <w:p w:rsidR="00292882" w:rsidRPr="00807BF0" w:rsidRDefault="00C663B8" w:rsidP="00C663B8">
      <w:pPr>
        <w:pStyle w:val="subtittuloppalenapartadoDali"/>
        <w:numPr>
          <w:ilvl w:val="0"/>
          <w:numId w:val="1"/>
        </w:numPr>
        <w:spacing w:line="240" w:lineRule="auto"/>
        <w:outlineLvl w:val="0"/>
        <w:rPr>
          <w:rFonts w:ascii="Arial" w:hAnsi="Arial" w:cs="Arial"/>
          <w:b/>
          <w:caps w:val="0"/>
          <w:sz w:val="22"/>
          <w:szCs w:val="22"/>
        </w:rPr>
      </w:pPr>
      <w:bookmarkStart w:id="6" w:name="_Toc465687802"/>
      <w:r w:rsidRPr="00807BF0">
        <w:rPr>
          <w:rFonts w:ascii="Arial" w:hAnsi="Arial" w:cs="Arial"/>
          <w:b/>
          <w:caps w:val="0"/>
          <w:sz w:val="22"/>
          <w:szCs w:val="22"/>
        </w:rPr>
        <w:t>Análisis de la Capacidad Institucional en Materia A</w:t>
      </w:r>
      <w:r w:rsidR="0062644D" w:rsidRPr="00807BF0">
        <w:rPr>
          <w:rFonts w:ascii="Arial" w:hAnsi="Arial" w:cs="Arial"/>
          <w:b/>
          <w:caps w:val="0"/>
          <w:sz w:val="22"/>
          <w:szCs w:val="22"/>
        </w:rPr>
        <w:t>mbi</w:t>
      </w:r>
      <w:r w:rsidRPr="00807BF0">
        <w:rPr>
          <w:rFonts w:ascii="Arial" w:hAnsi="Arial" w:cs="Arial"/>
          <w:b/>
          <w:caps w:val="0"/>
          <w:sz w:val="22"/>
          <w:szCs w:val="22"/>
        </w:rPr>
        <w:t>ental y Social de los Organismos</w:t>
      </w:r>
      <w:r w:rsidR="00292882" w:rsidRPr="00807BF0">
        <w:rPr>
          <w:rFonts w:ascii="Arial" w:hAnsi="Arial" w:cs="Arial"/>
          <w:b/>
          <w:caps w:val="0"/>
          <w:sz w:val="22"/>
          <w:szCs w:val="22"/>
        </w:rPr>
        <w:t xml:space="preserve"> </w:t>
      </w:r>
      <w:r w:rsidRPr="00807BF0">
        <w:rPr>
          <w:rFonts w:ascii="Arial" w:hAnsi="Arial" w:cs="Arial"/>
          <w:b/>
          <w:caps w:val="0"/>
          <w:sz w:val="22"/>
          <w:szCs w:val="22"/>
        </w:rPr>
        <w:t>Ejecutores</w:t>
      </w:r>
      <w:bookmarkEnd w:id="6"/>
    </w:p>
    <w:p w:rsidR="00F772B9" w:rsidRPr="00807BF0" w:rsidRDefault="00F772B9" w:rsidP="00C53DC3">
      <w:pPr>
        <w:pStyle w:val="ListParagraph"/>
        <w:ind w:left="360"/>
        <w:rPr>
          <w:rFonts w:ascii="Arial" w:hAnsi="Arial" w:cs="Arial"/>
          <w:caps/>
          <w:color w:val="44546A" w:themeColor="text2"/>
        </w:rPr>
      </w:pPr>
    </w:p>
    <w:p w:rsidR="00292882" w:rsidRPr="00807BF0" w:rsidRDefault="0029288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El Ministerio del Ambiente del Ecuador</w:t>
      </w:r>
      <w:r w:rsidR="00A91B30" w:rsidRPr="00807BF0">
        <w:rPr>
          <w:rFonts w:ascii="Arial" w:hAnsi="Arial" w:cs="Arial"/>
          <w:sz w:val="22"/>
          <w:szCs w:val="22"/>
        </w:rPr>
        <w:t xml:space="preserve"> (MAE) </w:t>
      </w:r>
      <w:r w:rsidRPr="00807BF0">
        <w:rPr>
          <w:rFonts w:ascii="Arial" w:hAnsi="Arial" w:cs="Arial"/>
          <w:sz w:val="22"/>
          <w:szCs w:val="22"/>
        </w:rPr>
        <w:t>ejerce las funciones de</w:t>
      </w:r>
      <w:r w:rsidR="00AE7203" w:rsidRPr="00807BF0">
        <w:rPr>
          <w:rFonts w:ascii="Arial" w:hAnsi="Arial" w:cs="Arial"/>
          <w:sz w:val="22"/>
          <w:szCs w:val="22"/>
        </w:rPr>
        <w:t xml:space="preserve">l proceso de </w:t>
      </w:r>
      <w:r w:rsidRPr="00807BF0">
        <w:rPr>
          <w:rFonts w:ascii="Arial" w:hAnsi="Arial" w:cs="Arial"/>
          <w:sz w:val="22"/>
          <w:szCs w:val="22"/>
        </w:rPr>
        <w:t>licenciamiento ambiental</w:t>
      </w:r>
      <w:r w:rsidR="00AE7203" w:rsidRPr="00807BF0">
        <w:rPr>
          <w:rFonts w:ascii="Arial" w:hAnsi="Arial" w:cs="Arial"/>
          <w:sz w:val="22"/>
          <w:szCs w:val="22"/>
        </w:rPr>
        <w:t>,</w:t>
      </w:r>
      <w:r w:rsidRPr="00807BF0">
        <w:rPr>
          <w:rFonts w:ascii="Arial" w:hAnsi="Arial" w:cs="Arial"/>
          <w:sz w:val="22"/>
          <w:szCs w:val="22"/>
        </w:rPr>
        <w:t xml:space="preserve"> exclusiv</w:t>
      </w:r>
      <w:r w:rsidR="00AE7203" w:rsidRPr="00807BF0">
        <w:rPr>
          <w:rFonts w:ascii="Arial" w:hAnsi="Arial" w:cs="Arial"/>
          <w:sz w:val="22"/>
          <w:szCs w:val="22"/>
        </w:rPr>
        <w:t>o</w:t>
      </w:r>
      <w:r w:rsidRPr="00807BF0">
        <w:rPr>
          <w:rFonts w:ascii="Arial" w:hAnsi="Arial" w:cs="Arial"/>
          <w:sz w:val="22"/>
          <w:szCs w:val="22"/>
        </w:rPr>
        <w:t xml:space="preserve"> para todos los proyectos eléctricos</w:t>
      </w:r>
      <w:r w:rsidR="003F3BA4" w:rsidRPr="00807BF0">
        <w:rPr>
          <w:rFonts w:ascii="Arial" w:hAnsi="Arial" w:cs="Arial"/>
          <w:sz w:val="22"/>
          <w:szCs w:val="22"/>
        </w:rPr>
        <w:t xml:space="preserve"> de generación, transmisión, subtransmisión o distribución en el país,</w:t>
      </w:r>
      <w:r w:rsidRPr="00807BF0">
        <w:rPr>
          <w:rFonts w:ascii="Arial" w:hAnsi="Arial" w:cs="Arial"/>
          <w:sz w:val="22"/>
          <w:szCs w:val="22"/>
        </w:rPr>
        <w:t xml:space="preserve"> independientemente de que intersequen o no con el Sistema Nacional de Áreas Naturales Protegidas (SNAP)</w:t>
      </w:r>
      <w:r w:rsidR="00EA5355" w:rsidRPr="00807BF0">
        <w:rPr>
          <w:rFonts w:ascii="Arial" w:hAnsi="Arial" w:cs="Arial"/>
          <w:sz w:val="22"/>
          <w:szCs w:val="22"/>
        </w:rPr>
        <w:t xml:space="preserve"> a partir de julio de 2015</w:t>
      </w:r>
      <w:r w:rsidR="00EA5355" w:rsidRPr="00807BF0">
        <w:rPr>
          <w:rStyle w:val="FootnoteReference"/>
          <w:rFonts w:ascii="Arial" w:hAnsi="Arial" w:cs="Arial"/>
          <w:sz w:val="22"/>
          <w:szCs w:val="22"/>
        </w:rPr>
        <w:footnoteReference w:id="3"/>
      </w:r>
      <w:r w:rsidRPr="00807BF0">
        <w:rPr>
          <w:rFonts w:ascii="Arial" w:hAnsi="Arial" w:cs="Arial"/>
          <w:sz w:val="22"/>
          <w:szCs w:val="22"/>
        </w:rPr>
        <w:t>.  Estas funci</w:t>
      </w:r>
      <w:r w:rsidR="003F3BA4" w:rsidRPr="00807BF0">
        <w:rPr>
          <w:rFonts w:ascii="Arial" w:hAnsi="Arial" w:cs="Arial"/>
          <w:sz w:val="22"/>
          <w:szCs w:val="22"/>
        </w:rPr>
        <w:t>ones las realiza a través de las</w:t>
      </w:r>
      <w:r w:rsidRPr="00807BF0">
        <w:rPr>
          <w:rFonts w:ascii="Arial" w:hAnsi="Arial" w:cs="Arial"/>
          <w:sz w:val="22"/>
          <w:szCs w:val="22"/>
        </w:rPr>
        <w:t xml:space="preserve"> Direcciones Nacionales de </w:t>
      </w:r>
      <w:r w:rsidR="003F3BA4" w:rsidRPr="00807BF0">
        <w:rPr>
          <w:rFonts w:ascii="Arial" w:hAnsi="Arial" w:cs="Arial"/>
          <w:sz w:val="22"/>
          <w:szCs w:val="22"/>
        </w:rPr>
        <w:t xml:space="preserve">i) </w:t>
      </w:r>
      <w:r w:rsidRPr="00807BF0">
        <w:rPr>
          <w:rFonts w:ascii="Arial" w:hAnsi="Arial" w:cs="Arial"/>
          <w:sz w:val="22"/>
          <w:szCs w:val="22"/>
        </w:rPr>
        <w:t xml:space="preserve">Prevención de la Contaminación Ambiental, y </w:t>
      </w:r>
      <w:r w:rsidR="003F3BA4" w:rsidRPr="00807BF0">
        <w:rPr>
          <w:rFonts w:ascii="Arial" w:hAnsi="Arial" w:cs="Arial"/>
          <w:sz w:val="22"/>
          <w:szCs w:val="22"/>
        </w:rPr>
        <w:t xml:space="preserve">ii) </w:t>
      </w:r>
      <w:r w:rsidRPr="00807BF0">
        <w:rPr>
          <w:rFonts w:ascii="Arial" w:hAnsi="Arial" w:cs="Arial"/>
          <w:sz w:val="22"/>
          <w:szCs w:val="22"/>
        </w:rPr>
        <w:t>de Control Ambienta</w:t>
      </w:r>
      <w:r w:rsidR="003F3BA4" w:rsidRPr="00807BF0">
        <w:rPr>
          <w:rFonts w:ascii="Arial" w:hAnsi="Arial" w:cs="Arial"/>
          <w:sz w:val="22"/>
          <w:szCs w:val="22"/>
        </w:rPr>
        <w:t>l</w:t>
      </w:r>
      <w:r w:rsidRPr="00807BF0">
        <w:rPr>
          <w:rFonts w:ascii="Arial" w:hAnsi="Arial" w:cs="Arial"/>
          <w:sz w:val="22"/>
          <w:szCs w:val="22"/>
        </w:rPr>
        <w:t xml:space="preserve"> respectivamente, las cuales han desconcentrado sus actividades en 24 Direcciones Provinciales, las que, entre otras funciones, se encargan de: i) procesar todas las solicitudes de licenciamiento ambiental de proyectos</w:t>
      </w:r>
      <w:r w:rsidR="00AE7203" w:rsidRPr="00807BF0">
        <w:rPr>
          <w:rFonts w:ascii="Arial" w:hAnsi="Arial" w:cs="Arial"/>
          <w:sz w:val="22"/>
          <w:szCs w:val="22"/>
        </w:rPr>
        <w:t>;</w:t>
      </w:r>
      <w:r w:rsidRPr="00807BF0">
        <w:rPr>
          <w:rFonts w:ascii="Arial" w:hAnsi="Arial" w:cs="Arial"/>
          <w:sz w:val="22"/>
          <w:szCs w:val="22"/>
        </w:rPr>
        <w:t xml:space="preserve"> ii) hacer el seguimiento al cumplimiento de los planes de manejo ambiental aprobados de los proyectos que cuentan con licencia ambiental en el marco del ré</w:t>
      </w:r>
      <w:r w:rsidR="00AE7203" w:rsidRPr="00807BF0">
        <w:rPr>
          <w:rFonts w:ascii="Arial" w:hAnsi="Arial" w:cs="Arial"/>
          <w:sz w:val="22"/>
          <w:szCs w:val="22"/>
        </w:rPr>
        <w:t>gimen de auditorías ambientales; iii)</w:t>
      </w:r>
      <w:r w:rsidR="003F3BA4" w:rsidRPr="00807BF0">
        <w:rPr>
          <w:rFonts w:ascii="Arial" w:hAnsi="Arial" w:cs="Arial"/>
          <w:sz w:val="22"/>
          <w:szCs w:val="22"/>
        </w:rPr>
        <w:t xml:space="preserve"> sancionar a los responsables de aquellos proyectos que no hayan cumplido con el debido proceso de licenciamiento ambiental previo o que no hayan cumplido con la aplicación de lo señalado en sus planes de manejo ambiental. </w:t>
      </w:r>
    </w:p>
    <w:p w:rsidR="00292882" w:rsidRPr="00807BF0" w:rsidRDefault="0029288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lastRenderedPageBreak/>
        <w:t xml:space="preserve">Para cumplir con las responsabilidades antes descritas el MAE dispone </w:t>
      </w:r>
      <w:r w:rsidR="00AE7203" w:rsidRPr="00807BF0">
        <w:rPr>
          <w:rFonts w:ascii="Arial" w:hAnsi="Arial" w:cs="Arial"/>
          <w:sz w:val="22"/>
          <w:szCs w:val="22"/>
        </w:rPr>
        <w:t xml:space="preserve">económicamente, </w:t>
      </w:r>
      <w:r w:rsidRPr="00807BF0">
        <w:rPr>
          <w:rFonts w:ascii="Arial" w:hAnsi="Arial" w:cs="Arial"/>
          <w:sz w:val="22"/>
          <w:szCs w:val="22"/>
        </w:rPr>
        <w:t xml:space="preserve">de las denominadas tasas </w:t>
      </w:r>
      <w:r w:rsidR="003F3BA4" w:rsidRPr="00807BF0">
        <w:rPr>
          <w:rFonts w:ascii="Arial" w:hAnsi="Arial" w:cs="Arial"/>
          <w:sz w:val="22"/>
          <w:szCs w:val="22"/>
        </w:rPr>
        <w:t xml:space="preserve">por emisión de Licencia Ambiental y </w:t>
      </w:r>
      <w:r w:rsidRPr="00807BF0">
        <w:rPr>
          <w:rFonts w:ascii="Arial" w:hAnsi="Arial" w:cs="Arial"/>
          <w:sz w:val="22"/>
          <w:szCs w:val="22"/>
        </w:rPr>
        <w:t xml:space="preserve">de </w:t>
      </w:r>
      <w:r w:rsidR="003F3BA4" w:rsidRPr="00807BF0">
        <w:rPr>
          <w:rFonts w:ascii="Arial" w:hAnsi="Arial" w:cs="Arial"/>
          <w:sz w:val="22"/>
          <w:szCs w:val="22"/>
        </w:rPr>
        <w:t>Seguimiento A</w:t>
      </w:r>
      <w:r w:rsidRPr="00807BF0">
        <w:rPr>
          <w:rFonts w:ascii="Arial" w:hAnsi="Arial" w:cs="Arial"/>
          <w:sz w:val="22"/>
          <w:szCs w:val="22"/>
        </w:rPr>
        <w:t>mbiental, que todo proponente de un proyecto debe cancelar de manera previa a la emisión de la Licencia</w:t>
      </w:r>
      <w:r w:rsidR="003F3BA4" w:rsidRPr="00807BF0">
        <w:rPr>
          <w:rFonts w:ascii="Arial" w:hAnsi="Arial" w:cs="Arial"/>
          <w:sz w:val="22"/>
          <w:szCs w:val="22"/>
        </w:rPr>
        <w:t xml:space="preserve"> Ambiental o Registro Ambiental. Estos aportes económicos forman parte del fondo con el que se</w:t>
      </w:r>
      <w:r w:rsidRPr="00807BF0">
        <w:rPr>
          <w:rFonts w:ascii="Arial" w:hAnsi="Arial" w:cs="Arial"/>
          <w:sz w:val="22"/>
          <w:szCs w:val="22"/>
        </w:rPr>
        <w:t xml:space="preserve"> cubre las tareas de seguimiento que debe realizar para garantizar la vis</w:t>
      </w:r>
      <w:r w:rsidR="003F3BA4" w:rsidRPr="00807BF0">
        <w:rPr>
          <w:rFonts w:ascii="Arial" w:hAnsi="Arial" w:cs="Arial"/>
          <w:sz w:val="22"/>
          <w:szCs w:val="22"/>
        </w:rPr>
        <w:t>i</w:t>
      </w:r>
      <w:r w:rsidRPr="00807BF0">
        <w:rPr>
          <w:rFonts w:ascii="Arial" w:hAnsi="Arial" w:cs="Arial"/>
          <w:sz w:val="22"/>
          <w:szCs w:val="22"/>
        </w:rPr>
        <w:t>ta a cada proyecto por lo menos una vez por año. Cabe señalar además que cada Dirección Provincial del MAE cuenta con una unidad de Calidad Ambiental compuesta con al menos 3 profesionales que se encargan de la supervisión del cumplimento de los planes de manejo ambiental de los proyectos.</w:t>
      </w:r>
    </w:p>
    <w:p w:rsidR="005A1FA2" w:rsidRPr="00807BF0" w:rsidRDefault="0029288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MEER </w:t>
      </w:r>
      <w:r w:rsidR="003F3BA4" w:rsidRPr="00807BF0">
        <w:rPr>
          <w:rFonts w:ascii="Arial" w:hAnsi="Arial" w:cs="Arial"/>
          <w:sz w:val="22"/>
          <w:szCs w:val="22"/>
        </w:rPr>
        <w:t xml:space="preserve">por su parte, en su rol de autoridad del sector eléctrico responsable de la política y planificación </w:t>
      </w:r>
      <w:r w:rsidR="00A91B30" w:rsidRPr="00807BF0">
        <w:rPr>
          <w:rFonts w:ascii="Arial" w:hAnsi="Arial" w:cs="Arial"/>
          <w:sz w:val="22"/>
          <w:szCs w:val="22"/>
        </w:rPr>
        <w:t>d</w:t>
      </w:r>
      <w:r w:rsidR="003F3BA4" w:rsidRPr="00807BF0">
        <w:rPr>
          <w:rFonts w:ascii="Arial" w:hAnsi="Arial" w:cs="Arial"/>
          <w:sz w:val="22"/>
          <w:szCs w:val="22"/>
        </w:rPr>
        <w:t xml:space="preserve">el desarrollo del sector eléctrico, </w:t>
      </w:r>
      <w:r w:rsidRPr="00807BF0">
        <w:rPr>
          <w:rFonts w:ascii="Arial" w:hAnsi="Arial" w:cs="Arial"/>
          <w:sz w:val="22"/>
          <w:szCs w:val="22"/>
        </w:rPr>
        <w:t xml:space="preserve">cuenta con </w:t>
      </w:r>
      <w:r w:rsidR="005A1FA2" w:rsidRPr="00807BF0">
        <w:rPr>
          <w:rFonts w:ascii="Arial" w:hAnsi="Arial" w:cs="Arial"/>
          <w:sz w:val="22"/>
          <w:szCs w:val="22"/>
        </w:rPr>
        <w:t xml:space="preserve">el asesoramiento de una especialista ambiental encargada de coordinar y supervisar la implementación de las políticas ambientales y sociales del Estado en las </w:t>
      </w:r>
      <w:r w:rsidR="00A91B30" w:rsidRPr="00807BF0">
        <w:rPr>
          <w:rFonts w:ascii="Arial" w:hAnsi="Arial" w:cs="Arial"/>
          <w:sz w:val="22"/>
          <w:szCs w:val="22"/>
        </w:rPr>
        <w:t>Empresas E</w:t>
      </w:r>
      <w:r w:rsidR="005A1FA2" w:rsidRPr="00807BF0">
        <w:rPr>
          <w:rFonts w:ascii="Arial" w:hAnsi="Arial" w:cs="Arial"/>
          <w:sz w:val="22"/>
          <w:szCs w:val="22"/>
        </w:rPr>
        <w:t>léctri</w:t>
      </w:r>
      <w:r w:rsidR="00A91B30" w:rsidRPr="00807BF0">
        <w:rPr>
          <w:rFonts w:ascii="Arial" w:hAnsi="Arial" w:cs="Arial"/>
          <w:sz w:val="22"/>
          <w:szCs w:val="22"/>
        </w:rPr>
        <w:t>cas y Unidades de Negocio del C</w:t>
      </w:r>
      <w:r w:rsidR="005A1FA2" w:rsidRPr="00807BF0">
        <w:rPr>
          <w:rFonts w:ascii="Arial" w:hAnsi="Arial" w:cs="Arial"/>
          <w:sz w:val="22"/>
          <w:szCs w:val="22"/>
        </w:rPr>
        <w:t>NEL EP. Se asegura además, que las políticas y salvaguardias ambientales y sociales de los organismos multilaterales de financiamiento sean cumplidas en el ejercicio de la ejecución de proyectos por ellas financiados.</w:t>
      </w:r>
      <w:r w:rsidR="003F3BA4" w:rsidRPr="00807BF0">
        <w:rPr>
          <w:rFonts w:ascii="Arial" w:hAnsi="Arial" w:cs="Arial"/>
          <w:sz w:val="22"/>
          <w:szCs w:val="22"/>
        </w:rPr>
        <w:t xml:space="preserve"> Su gestión se canaliza y coordina a través de los especialistas ambientales de las diferentes entidades públicas del Estado que generan y administran la energía eléctrica en el país.</w:t>
      </w:r>
    </w:p>
    <w:p w:rsidR="009D7969" w:rsidRPr="00807BF0" w:rsidRDefault="00BE0773"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CNEL EP</w:t>
      </w:r>
      <w:r w:rsidR="003F3BA4" w:rsidRPr="00807BF0">
        <w:rPr>
          <w:rFonts w:ascii="Arial" w:hAnsi="Arial" w:cs="Arial"/>
          <w:sz w:val="22"/>
          <w:szCs w:val="22"/>
        </w:rPr>
        <w:t>, la empresa pública responsable de la operación del sistema nacional de energía eléctrica, mantiene</w:t>
      </w:r>
      <w:r w:rsidRPr="00807BF0">
        <w:rPr>
          <w:rFonts w:ascii="Arial" w:hAnsi="Arial" w:cs="Arial"/>
          <w:sz w:val="22"/>
          <w:szCs w:val="22"/>
        </w:rPr>
        <w:t xml:space="preserve"> un especialista ambiental coordinador a nivel nacional</w:t>
      </w:r>
      <w:r w:rsidR="00A91B30" w:rsidRPr="00807BF0">
        <w:rPr>
          <w:rFonts w:ascii="Arial" w:hAnsi="Arial" w:cs="Arial"/>
          <w:sz w:val="22"/>
          <w:szCs w:val="22"/>
        </w:rPr>
        <w:t>,</w:t>
      </w:r>
      <w:r w:rsidRPr="00807BF0">
        <w:rPr>
          <w:rFonts w:ascii="Arial" w:hAnsi="Arial" w:cs="Arial"/>
          <w:sz w:val="22"/>
          <w:szCs w:val="22"/>
        </w:rPr>
        <w:t xml:space="preserve"> que mantiene permanente contacto </w:t>
      </w:r>
      <w:r w:rsidR="003F3BA4" w:rsidRPr="00807BF0">
        <w:rPr>
          <w:rFonts w:ascii="Arial" w:hAnsi="Arial" w:cs="Arial"/>
          <w:sz w:val="22"/>
          <w:szCs w:val="22"/>
        </w:rPr>
        <w:t xml:space="preserve">y coordinación </w:t>
      </w:r>
      <w:r w:rsidRPr="00807BF0">
        <w:rPr>
          <w:rFonts w:ascii="Arial" w:hAnsi="Arial" w:cs="Arial"/>
          <w:sz w:val="22"/>
          <w:szCs w:val="22"/>
        </w:rPr>
        <w:t xml:space="preserve">con </w:t>
      </w:r>
      <w:r w:rsidR="003F3BA4" w:rsidRPr="00807BF0">
        <w:rPr>
          <w:rFonts w:ascii="Arial" w:hAnsi="Arial" w:cs="Arial"/>
          <w:sz w:val="22"/>
          <w:szCs w:val="22"/>
        </w:rPr>
        <w:t xml:space="preserve">los </w:t>
      </w:r>
      <w:r w:rsidRPr="00807BF0">
        <w:rPr>
          <w:rFonts w:ascii="Arial" w:hAnsi="Arial" w:cs="Arial"/>
          <w:sz w:val="22"/>
          <w:szCs w:val="22"/>
        </w:rPr>
        <w:t xml:space="preserve">especialistas de las Empresas Eléctricas y las Unidades de Negocio de CNEL EP. Éstas Unidades de Negocio </w:t>
      </w:r>
      <w:r w:rsidR="00E05C0D" w:rsidRPr="00807BF0">
        <w:rPr>
          <w:rFonts w:ascii="Arial" w:hAnsi="Arial" w:cs="Arial"/>
          <w:sz w:val="22"/>
          <w:szCs w:val="22"/>
        </w:rPr>
        <w:t xml:space="preserve">y Empresas Eléctricas, </w:t>
      </w:r>
      <w:r w:rsidRPr="00807BF0">
        <w:rPr>
          <w:rFonts w:ascii="Arial" w:hAnsi="Arial" w:cs="Arial"/>
          <w:sz w:val="22"/>
          <w:szCs w:val="22"/>
        </w:rPr>
        <w:t>mantienen generalmente u</w:t>
      </w:r>
      <w:r w:rsidR="001F0AC7" w:rsidRPr="00807BF0">
        <w:rPr>
          <w:rFonts w:ascii="Arial" w:hAnsi="Arial" w:cs="Arial"/>
          <w:sz w:val="22"/>
          <w:szCs w:val="22"/>
        </w:rPr>
        <w:t>no o dos</w:t>
      </w:r>
      <w:r w:rsidRPr="00807BF0">
        <w:rPr>
          <w:rFonts w:ascii="Arial" w:hAnsi="Arial" w:cs="Arial"/>
          <w:sz w:val="22"/>
          <w:szCs w:val="22"/>
        </w:rPr>
        <w:t xml:space="preserve"> profesional</w:t>
      </w:r>
      <w:r w:rsidR="001F0AC7" w:rsidRPr="00807BF0">
        <w:rPr>
          <w:rFonts w:ascii="Arial" w:hAnsi="Arial" w:cs="Arial"/>
          <w:sz w:val="22"/>
          <w:szCs w:val="22"/>
        </w:rPr>
        <w:t>es</w:t>
      </w:r>
      <w:r w:rsidRPr="00807BF0">
        <w:rPr>
          <w:rFonts w:ascii="Arial" w:hAnsi="Arial" w:cs="Arial"/>
          <w:sz w:val="22"/>
          <w:szCs w:val="22"/>
        </w:rPr>
        <w:t xml:space="preserve"> encargado</w:t>
      </w:r>
      <w:r w:rsidR="001F0AC7" w:rsidRPr="00807BF0">
        <w:rPr>
          <w:rFonts w:ascii="Arial" w:hAnsi="Arial" w:cs="Arial"/>
          <w:sz w:val="22"/>
          <w:szCs w:val="22"/>
        </w:rPr>
        <w:t>s</w:t>
      </w:r>
      <w:r w:rsidRPr="00807BF0">
        <w:rPr>
          <w:rFonts w:ascii="Arial" w:hAnsi="Arial" w:cs="Arial"/>
          <w:sz w:val="22"/>
          <w:szCs w:val="22"/>
        </w:rPr>
        <w:t xml:space="preserve"> de la gestión para la supervisión ambiental y social de los proyectos a su carg</w:t>
      </w:r>
      <w:r w:rsidR="001F0AC7" w:rsidRPr="00807BF0">
        <w:rPr>
          <w:rFonts w:ascii="Arial" w:hAnsi="Arial" w:cs="Arial"/>
          <w:sz w:val="22"/>
          <w:szCs w:val="22"/>
        </w:rPr>
        <w:t>o, que en la mayoría de los cas</w:t>
      </w:r>
      <w:r w:rsidRPr="00807BF0">
        <w:rPr>
          <w:rFonts w:ascii="Arial" w:hAnsi="Arial" w:cs="Arial"/>
          <w:sz w:val="22"/>
          <w:szCs w:val="22"/>
        </w:rPr>
        <w:t xml:space="preserve">os es insuficiente y limitada. </w:t>
      </w:r>
      <w:r w:rsidR="001F0AC7" w:rsidRPr="00807BF0">
        <w:rPr>
          <w:rFonts w:ascii="Arial" w:hAnsi="Arial" w:cs="Arial"/>
          <w:sz w:val="22"/>
          <w:szCs w:val="22"/>
        </w:rPr>
        <w:t xml:space="preserve">La excepción es la Empresa Eléctrica Quito, la cual cuenta con un equipo de </w:t>
      </w:r>
      <w:r w:rsidR="00E05C0D" w:rsidRPr="00807BF0">
        <w:rPr>
          <w:rFonts w:ascii="Arial" w:hAnsi="Arial" w:cs="Arial"/>
          <w:sz w:val="22"/>
          <w:szCs w:val="22"/>
        </w:rPr>
        <w:t xml:space="preserve">al menos </w:t>
      </w:r>
      <w:r w:rsidR="001F0AC7" w:rsidRPr="00807BF0">
        <w:rPr>
          <w:rFonts w:ascii="Arial" w:hAnsi="Arial" w:cs="Arial"/>
          <w:sz w:val="22"/>
          <w:szCs w:val="22"/>
        </w:rPr>
        <w:t>12 profesionales dedicados.</w:t>
      </w:r>
    </w:p>
    <w:p w:rsidR="00C23E2D" w:rsidRPr="00807BF0" w:rsidRDefault="00C23E2D"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Cabe señalar que la legislación ambiental generada por la autoridad ambiental del sector eléctrico en su momento, determinó la obligatoriedad de que se instituya un departamento de gestión ambiental y social en cada una de las entidades operativas del sistema eléctrico en el país; de esta forma actualmente, todas las Unidades de Negocio Regionales de CNEL EP y las Empresas Eléctricas cuentan con este departamento con los especialistas antes señalados.</w:t>
      </w:r>
    </w:p>
    <w:p w:rsidR="00A47BDE" w:rsidRPr="00807BF0" w:rsidRDefault="00A47BDE"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En la siguiente figura, se puede apreciar la estructura organizacional </w:t>
      </w:r>
      <w:r w:rsidR="00C23E2D" w:rsidRPr="00807BF0">
        <w:rPr>
          <w:rFonts w:ascii="Arial" w:hAnsi="Arial" w:cs="Arial"/>
          <w:sz w:val="22"/>
          <w:szCs w:val="22"/>
        </w:rPr>
        <w:t>para</w:t>
      </w:r>
      <w:r w:rsidRPr="00807BF0">
        <w:rPr>
          <w:rFonts w:ascii="Arial" w:hAnsi="Arial" w:cs="Arial"/>
          <w:sz w:val="22"/>
          <w:szCs w:val="22"/>
        </w:rPr>
        <w:t xml:space="preserve"> la gestión ambiental y social para el sector eléctrico tal como funciona actualmente.</w:t>
      </w:r>
    </w:p>
    <w:p w:rsidR="0018538F" w:rsidRPr="00807BF0" w:rsidRDefault="0018538F" w:rsidP="00C53DC3">
      <w:pPr>
        <w:pStyle w:val="Paragraph"/>
        <w:numPr>
          <w:ilvl w:val="0"/>
          <w:numId w:val="0"/>
        </w:numPr>
        <w:tabs>
          <w:tab w:val="left" w:pos="720"/>
        </w:tabs>
        <w:ind w:left="720" w:hanging="720"/>
        <w:jc w:val="center"/>
        <w:outlineLvl w:val="9"/>
        <w:rPr>
          <w:rFonts w:ascii="Arial" w:hAnsi="Arial" w:cs="Arial"/>
          <w:sz w:val="22"/>
          <w:szCs w:val="22"/>
        </w:rPr>
      </w:pPr>
    </w:p>
    <w:p w:rsidR="00A47BDE" w:rsidRPr="00807BF0" w:rsidRDefault="0018538F"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rPr>
        <w:t>Figura 01: Organigrama Interinstitucional para la Gestión Ambiental</w:t>
      </w:r>
    </w:p>
    <w:p w:rsidR="00A47BDE" w:rsidRPr="00807BF0" w:rsidRDefault="006B1DD1" w:rsidP="00C53DC3">
      <w:pPr>
        <w:pStyle w:val="Paragraph"/>
        <w:numPr>
          <w:ilvl w:val="0"/>
          <w:numId w:val="0"/>
        </w:numPr>
        <w:tabs>
          <w:tab w:val="left" w:pos="720"/>
        </w:tabs>
        <w:ind w:left="720" w:hanging="720"/>
        <w:outlineLvl w:val="9"/>
        <w:rPr>
          <w:rFonts w:ascii="Arial" w:hAnsi="Arial" w:cs="Arial"/>
          <w:sz w:val="22"/>
          <w:szCs w:val="22"/>
        </w:rPr>
      </w:pPr>
      <w:r w:rsidRPr="00807BF0">
        <w:rPr>
          <w:rFonts w:ascii="Arial" w:hAnsi="Arial" w:cs="Arial"/>
          <w:noProof/>
          <w:sz w:val="22"/>
          <w:szCs w:val="22"/>
          <w:lang w:val="en-US" w:eastAsia="en-US"/>
        </w:rPr>
        <w:lastRenderedPageBreak/>
        <w:drawing>
          <wp:inline distT="0" distB="0" distL="0" distR="0" wp14:anchorId="54B4C932" wp14:editId="36976219">
            <wp:extent cx="5400040" cy="3599815"/>
            <wp:effectExtent l="0" t="0" r="0" b="63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92882" w:rsidRPr="00807BF0" w:rsidRDefault="00292882" w:rsidP="00C53DC3">
      <w:pPr>
        <w:ind w:left="0"/>
        <w:rPr>
          <w:rFonts w:ascii="Arial" w:hAnsi="Arial" w:cs="Arial"/>
        </w:rPr>
      </w:pPr>
    </w:p>
    <w:p w:rsidR="0062644D" w:rsidRPr="00807BF0" w:rsidRDefault="0062644D" w:rsidP="00C53DC3">
      <w:pPr>
        <w:rPr>
          <w:rFonts w:ascii="Arial" w:hAnsi="Arial" w:cs="Arial"/>
        </w:rPr>
      </w:pPr>
    </w:p>
    <w:p w:rsidR="0062644D" w:rsidRPr="00807BF0" w:rsidRDefault="00C663B8" w:rsidP="00C663B8">
      <w:pPr>
        <w:pStyle w:val="subtittuloppalenapartadoDali"/>
        <w:numPr>
          <w:ilvl w:val="0"/>
          <w:numId w:val="1"/>
        </w:numPr>
        <w:spacing w:line="240" w:lineRule="auto"/>
        <w:outlineLvl w:val="0"/>
        <w:rPr>
          <w:rFonts w:ascii="Arial" w:hAnsi="Arial" w:cs="Arial"/>
          <w:b/>
          <w:caps w:val="0"/>
          <w:sz w:val="22"/>
          <w:szCs w:val="22"/>
        </w:rPr>
      </w:pPr>
      <w:bookmarkStart w:id="7" w:name="_Toc465687803"/>
      <w:r w:rsidRPr="00807BF0">
        <w:rPr>
          <w:rFonts w:ascii="Arial" w:hAnsi="Arial" w:cs="Arial"/>
          <w:b/>
          <w:caps w:val="0"/>
          <w:sz w:val="22"/>
          <w:szCs w:val="22"/>
        </w:rPr>
        <w:t>Análisis de los Aspectos Ambientales y Sociales A</w:t>
      </w:r>
      <w:r w:rsidR="0062644D" w:rsidRPr="00807BF0">
        <w:rPr>
          <w:rFonts w:ascii="Arial" w:hAnsi="Arial" w:cs="Arial"/>
          <w:b/>
          <w:caps w:val="0"/>
          <w:sz w:val="22"/>
          <w:szCs w:val="22"/>
        </w:rPr>
        <w:t>sociados al Programa</w:t>
      </w:r>
      <w:bookmarkEnd w:id="7"/>
    </w:p>
    <w:p w:rsidR="0018538F" w:rsidRPr="00807BF0" w:rsidRDefault="0018538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análisis ambiental y social que se presenta a continuación, corresponde al realizado a un grupo de proyectos seleccionados aleatoriamente cuya inversión corresponde al menos al 30% del monto </w:t>
      </w:r>
      <w:r w:rsidR="009101F6" w:rsidRPr="00807BF0">
        <w:rPr>
          <w:rFonts w:ascii="Arial" w:hAnsi="Arial" w:cs="Arial"/>
          <w:sz w:val="22"/>
          <w:szCs w:val="22"/>
        </w:rPr>
        <w:t>asignado a esta operación. Para esta evaluación se visitó las áreas de influencia de los proyectos</w:t>
      </w:r>
      <w:r w:rsidR="00666878" w:rsidRPr="00807BF0">
        <w:rPr>
          <w:rFonts w:ascii="Arial" w:hAnsi="Arial" w:cs="Arial"/>
          <w:sz w:val="22"/>
          <w:szCs w:val="22"/>
        </w:rPr>
        <w:t>,</w:t>
      </w:r>
      <w:r w:rsidR="009101F6" w:rsidRPr="00807BF0">
        <w:rPr>
          <w:rFonts w:ascii="Arial" w:hAnsi="Arial" w:cs="Arial"/>
          <w:sz w:val="22"/>
          <w:szCs w:val="22"/>
        </w:rPr>
        <w:t xml:space="preserve"> concretamente en las provincias de Esmeraldas y Manabí, que fueron afectadas por el sismo de abril de 2016.</w:t>
      </w:r>
    </w:p>
    <w:p w:rsidR="009101F6" w:rsidRPr="00807BF0" w:rsidRDefault="009101F6" w:rsidP="00C53DC3">
      <w:pPr>
        <w:pStyle w:val="Paragraph"/>
        <w:numPr>
          <w:ilvl w:val="0"/>
          <w:numId w:val="0"/>
        </w:numPr>
        <w:tabs>
          <w:tab w:val="left" w:pos="720"/>
        </w:tabs>
        <w:ind w:left="709"/>
        <w:outlineLvl w:val="9"/>
        <w:rPr>
          <w:rFonts w:ascii="Arial" w:hAnsi="Arial" w:cs="Arial"/>
          <w:sz w:val="22"/>
          <w:szCs w:val="22"/>
        </w:rPr>
      </w:pPr>
    </w:p>
    <w:p w:rsidR="0062644D" w:rsidRPr="00807BF0" w:rsidRDefault="00216765" w:rsidP="00C53DC3">
      <w:pPr>
        <w:pStyle w:val="Paragraph"/>
        <w:numPr>
          <w:ilvl w:val="0"/>
          <w:numId w:val="0"/>
        </w:numPr>
        <w:tabs>
          <w:tab w:val="left" w:pos="720"/>
        </w:tabs>
        <w:ind w:left="709"/>
        <w:outlineLvl w:val="9"/>
        <w:rPr>
          <w:rFonts w:ascii="Arial" w:hAnsi="Arial" w:cs="Arial"/>
          <w:b/>
          <w:sz w:val="22"/>
          <w:szCs w:val="22"/>
        </w:rPr>
      </w:pPr>
      <w:r w:rsidRPr="00807BF0">
        <w:rPr>
          <w:rFonts w:ascii="Arial" w:hAnsi="Arial" w:cs="Arial"/>
          <w:b/>
          <w:sz w:val="22"/>
          <w:szCs w:val="22"/>
        </w:rPr>
        <w:t>Condiciones Ambientales y S</w:t>
      </w:r>
      <w:r w:rsidR="0062644D" w:rsidRPr="00807BF0">
        <w:rPr>
          <w:rFonts w:ascii="Arial" w:hAnsi="Arial" w:cs="Arial"/>
          <w:b/>
          <w:sz w:val="22"/>
          <w:szCs w:val="22"/>
        </w:rPr>
        <w:t>ociales para los Proyectos</w:t>
      </w:r>
      <w:r w:rsidRPr="00807BF0">
        <w:rPr>
          <w:rFonts w:ascii="Arial" w:hAnsi="Arial" w:cs="Arial"/>
          <w:b/>
          <w:sz w:val="22"/>
          <w:szCs w:val="22"/>
        </w:rPr>
        <w:t xml:space="preserve"> M</w:t>
      </w:r>
      <w:r w:rsidR="0062644D" w:rsidRPr="00807BF0">
        <w:rPr>
          <w:rFonts w:ascii="Arial" w:hAnsi="Arial" w:cs="Arial"/>
          <w:b/>
          <w:sz w:val="22"/>
          <w:szCs w:val="22"/>
        </w:rPr>
        <w:t>uestra</w:t>
      </w:r>
    </w:p>
    <w:p w:rsidR="00216765" w:rsidRPr="00807BF0" w:rsidRDefault="00216765"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Los sectores donde se realizará la intervención de esta operación de rehabilitación</w:t>
      </w:r>
      <w:r w:rsidR="00666878" w:rsidRPr="00807BF0">
        <w:rPr>
          <w:rFonts w:ascii="Arial" w:hAnsi="Arial" w:cs="Arial"/>
          <w:sz w:val="22"/>
          <w:szCs w:val="22"/>
        </w:rPr>
        <w:t xml:space="preserve"> de servicios eléctricos</w:t>
      </w:r>
      <w:r w:rsidRPr="00807BF0">
        <w:rPr>
          <w:rFonts w:ascii="Arial" w:hAnsi="Arial" w:cs="Arial"/>
          <w:sz w:val="22"/>
          <w:szCs w:val="22"/>
        </w:rPr>
        <w:t>, corresponden a zonas urbanas altamente pobladas, con alto grado de intervención y afectación por el desastre de abril de 2016 ubicadas en las provincias costeras de Manabí y Esmeraldas.</w:t>
      </w:r>
    </w:p>
    <w:p w:rsidR="00216765" w:rsidRPr="00807BF0" w:rsidRDefault="00216765"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provincia de Manabí, que ha sido la más afectada por el sismo de abril de 2016, se ubica al centro-noroccidente de la región litoral de Ecuador. Con una población de 1´395.249 habitantes, es la tercera provincia más poblada de Ecuador y se divide políticamente en 22 cantones. Sus actividades económicas principales son el comercio, la ganadería, la industria y la pesca ya que se encuentra el segundo puerto más importante del país y las mayores fábricas de atún en Manta, además el turismo es un sector en crecimiento, principalmente por sus extensas playas. </w:t>
      </w:r>
    </w:p>
    <w:p w:rsidR="00666878" w:rsidRPr="00807BF0" w:rsidRDefault="00666878"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sz w:val="22"/>
          <w:szCs w:val="22"/>
        </w:rPr>
        <w:t>Figura No. 02: Mapa de ubicación de las provincias de Esmeraldas y Manabí</w:t>
      </w:r>
    </w:p>
    <w:p w:rsidR="00666878" w:rsidRPr="00807BF0" w:rsidRDefault="00D670A2"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noProof/>
          <w:sz w:val="22"/>
          <w:szCs w:val="22"/>
          <w:lang w:val="en-US" w:eastAsia="en-US"/>
        </w:rPr>
        <w:lastRenderedPageBreak/>
        <mc:AlternateContent>
          <mc:Choice Requires="wps">
            <w:drawing>
              <wp:anchor distT="0" distB="0" distL="114300" distR="114300" simplePos="0" relativeHeight="251658240" behindDoc="0" locked="0" layoutInCell="1" allowOverlap="1" wp14:anchorId="689B383D" wp14:editId="25C9703A">
                <wp:simplePos x="0" y="0"/>
                <wp:positionH relativeFrom="column">
                  <wp:posOffset>1624965</wp:posOffset>
                </wp:positionH>
                <wp:positionV relativeFrom="paragraph">
                  <wp:posOffset>89535</wp:posOffset>
                </wp:positionV>
                <wp:extent cx="695325" cy="1295400"/>
                <wp:effectExtent l="57150" t="0" r="47625" b="0"/>
                <wp:wrapNone/>
                <wp:docPr id="3" name="Elipse 3"/>
                <wp:cNvGraphicFramePr/>
                <a:graphic xmlns:a="http://schemas.openxmlformats.org/drawingml/2006/main">
                  <a:graphicData uri="http://schemas.microsoft.com/office/word/2010/wordprocessingShape">
                    <wps:wsp>
                      <wps:cNvSpPr/>
                      <wps:spPr>
                        <a:xfrm rot="1054563">
                          <a:off x="0" y="0"/>
                          <a:ext cx="695325" cy="12954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 o:spid="_x0000_s1026" style="position:absolute;margin-left:127.95pt;margin-top:7.05pt;width:54.75pt;height:102pt;rotation:1151864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" filled="f" strokecolor="#ffc000" strokeweight="1pt">
                <v:stroke joinstyle="miter"/>
              </v:oval>
            </w:pict>
          </mc:Fallback>
        </mc:AlternateContent>
      </w:r>
      <w:r w:rsidR="00666878" w:rsidRPr="00807BF0">
        <w:rPr>
          <w:rFonts w:ascii="Arial" w:hAnsi="Arial" w:cs="Arial"/>
          <w:noProof/>
          <w:sz w:val="22"/>
          <w:szCs w:val="22"/>
          <w:lang w:val="en-US" w:eastAsia="en-US"/>
        </w:rPr>
        <w:drawing>
          <wp:inline distT="0" distB="0" distL="0" distR="0" wp14:anchorId="3BE32269" wp14:editId="13ABD89C">
            <wp:extent cx="4913028" cy="269049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ecuador.jpg"/>
                    <pic:cNvPicPr/>
                  </pic:nvPicPr>
                  <pic:blipFill>
                    <a:blip r:embed="rId14">
                      <a:extLst>
                        <a:ext uri="{28A0092B-C50C-407E-A947-70E740481C1C}">
                          <a14:useLocalDpi xmlns:a14="http://schemas.microsoft.com/office/drawing/2010/main" val="0"/>
                        </a:ext>
                      </a:extLst>
                    </a:blip>
                    <a:stretch>
                      <a:fillRect/>
                    </a:stretch>
                  </pic:blipFill>
                  <pic:spPr>
                    <a:xfrm>
                      <a:off x="0" y="0"/>
                      <a:ext cx="4918494" cy="2693488"/>
                    </a:xfrm>
                    <a:prstGeom prst="rect">
                      <a:avLst/>
                    </a:prstGeom>
                  </pic:spPr>
                </pic:pic>
              </a:graphicData>
            </a:graphic>
          </wp:inline>
        </w:drawing>
      </w:r>
    </w:p>
    <w:p w:rsidR="00666878" w:rsidRPr="00807BF0" w:rsidRDefault="00666878"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provincia de Esmeraldas, </w:t>
      </w:r>
      <w:r w:rsidR="009B3C47" w:rsidRPr="00807BF0">
        <w:rPr>
          <w:rFonts w:ascii="Arial" w:hAnsi="Arial" w:cs="Arial"/>
          <w:sz w:val="22"/>
          <w:szCs w:val="22"/>
        </w:rPr>
        <w:t xml:space="preserve">también afectada por el terremoto de abril 2016, se ubica al noroccidente de la costa ecuatoriana y colinda con la república de Colombia. Cuenta con una población de cerca de 500.000 habitantes y </w:t>
      </w:r>
      <w:proofErr w:type="spellStart"/>
      <w:r w:rsidR="009B3C47" w:rsidRPr="00807BF0">
        <w:rPr>
          <w:rFonts w:ascii="Arial" w:hAnsi="Arial" w:cs="Arial"/>
          <w:sz w:val="22"/>
          <w:szCs w:val="22"/>
        </w:rPr>
        <w:t>esta</w:t>
      </w:r>
      <w:proofErr w:type="spellEnd"/>
      <w:r w:rsidR="009B3C47" w:rsidRPr="00807BF0">
        <w:rPr>
          <w:rFonts w:ascii="Arial" w:hAnsi="Arial" w:cs="Arial"/>
          <w:sz w:val="22"/>
          <w:szCs w:val="22"/>
        </w:rPr>
        <w:t xml:space="preserve"> dividida geopolíticamente en 7 cantones. Sus actividades económicas más relevantes son el turismo, la agricultura, la pesca y en ella se encuentra la refinería más grande del Ecuador, además de contar con el puerto desde donde se exporta el petróleo al exterior.</w:t>
      </w:r>
    </w:p>
    <w:p w:rsidR="00454E64" w:rsidRPr="00807BF0" w:rsidRDefault="00454E64"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La totalidad de los proye</w:t>
      </w:r>
      <w:r w:rsidR="00D2021E" w:rsidRPr="00807BF0">
        <w:rPr>
          <w:rFonts w:ascii="Arial" w:hAnsi="Arial" w:cs="Arial"/>
          <w:sz w:val="22"/>
          <w:szCs w:val="22"/>
        </w:rPr>
        <w:t>ctos del programa, se ubican</w:t>
      </w:r>
      <w:r w:rsidRPr="00807BF0">
        <w:rPr>
          <w:rFonts w:ascii="Arial" w:hAnsi="Arial" w:cs="Arial"/>
          <w:sz w:val="22"/>
          <w:szCs w:val="22"/>
        </w:rPr>
        <w:t xml:space="preserve"> en zonas urbanas o rurales cercanas a</w:t>
      </w:r>
      <w:r w:rsidR="00D2021E" w:rsidRPr="00807BF0">
        <w:rPr>
          <w:rFonts w:ascii="Arial" w:hAnsi="Arial" w:cs="Arial"/>
          <w:sz w:val="22"/>
          <w:szCs w:val="22"/>
        </w:rPr>
        <w:t xml:space="preserve"> poblaciones, que reflejan estados</w:t>
      </w:r>
      <w:r w:rsidRPr="00807BF0">
        <w:rPr>
          <w:rFonts w:ascii="Arial" w:hAnsi="Arial" w:cs="Arial"/>
          <w:sz w:val="22"/>
          <w:szCs w:val="22"/>
        </w:rPr>
        <w:t xml:space="preserve"> de alto grado de intervención</w:t>
      </w:r>
      <w:r w:rsidR="00D2021E" w:rsidRPr="00807BF0">
        <w:rPr>
          <w:rFonts w:ascii="Arial" w:hAnsi="Arial" w:cs="Arial"/>
          <w:sz w:val="22"/>
          <w:szCs w:val="22"/>
        </w:rPr>
        <w:t xml:space="preserve"> antrópica</w:t>
      </w:r>
      <w:r w:rsidRPr="00807BF0">
        <w:rPr>
          <w:rFonts w:ascii="Arial" w:hAnsi="Arial" w:cs="Arial"/>
          <w:sz w:val="22"/>
          <w:szCs w:val="22"/>
        </w:rPr>
        <w:t xml:space="preserve">, </w:t>
      </w:r>
      <w:r w:rsidR="00D2021E" w:rsidRPr="00807BF0">
        <w:rPr>
          <w:rFonts w:ascii="Arial" w:hAnsi="Arial" w:cs="Arial"/>
          <w:sz w:val="22"/>
          <w:szCs w:val="22"/>
        </w:rPr>
        <w:t>ninguno de ellos, atraviesa o afecta a algún</w:t>
      </w:r>
      <w:r w:rsidRPr="00807BF0">
        <w:rPr>
          <w:rFonts w:ascii="Arial" w:hAnsi="Arial" w:cs="Arial"/>
          <w:sz w:val="22"/>
          <w:szCs w:val="22"/>
        </w:rPr>
        <w:t xml:space="preserve"> tipo de zonas de sensibilidad ecológica o protegida legalmente para fines de conservación.</w:t>
      </w:r>
    </w:p>
    <w:p w:rsidR="00454E64" w:rsidRPr="00807BF0" w:rsidRDefault="00454E64"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Los proyectos, relacionados con líneas de subtransmisión, corresponden fundamentalmente a intervenciones para su</w:t>
      </w:r>
      <w:r w:rsidR="00AD706C" w:rsidRPr="00807BF0">
        <w:rPr>
          <w:rFonts w:ascii="Arial" w:hAnsi="Arial" w:cs="Arial"/>
          <w:sz w:val="22"/>
          <w:szCs w:val="22"/>
        </w:rPr>
        <w:t>stitución total o parcial en los</w:t>
      </w:r>
      <w:r w:rsidRPr="00807BF0">
        <w:rPr>
          <w:rFonts w:ascii="Arial" w:hAnsi="Arial" w:cs="Arial"/>
          <w:sz w:val="22"/>
          <w:szCs w:val="22"/>
        </w:rPr>
        <w:t xml:space="preserve"> trazado</w:t>
      </w:r>
      <w:r w:rsidR="00AD706C" w:rsidRPr="00807BF0">
        <w:rPr>
          <w:rFonts w:ascii="Arial" w:hAnsi="Arial" w:cs="Arial"/>
          <w:sz w:val="22"/>
          <w:szCs w:val="22"/>
        </w:rPr>
        <w:t>s</w:t>
      </w:r>
      <w:r w:rsidRPr="00807BF0">
        <w:rPr>
          <w:rFonts w:ascii="Arial" w:hAnsi="Arial" w:cs="Arial"/>
          <w:sz w:val="22"/>
          <w:szCs w:val="22"/>
        </w:rPr>
        <w:t xml:space="preserve"> de las líneas de subtransmisión existentes, que permitan</w:t>
      </w:r>
      <w:r w:rsidR="00B70263" w:rsidRPr="00807BF0">
        <w:rPr>
          <w:rFonts w:ascii="Arial" w:hAnsi="Arial" w:cs="Arial"/>
          <w:sz w:val="22"/>
          <w:szCs w:val="22"/>
        </w:rPr>
        <w:t xml:space="preserve"> enfrentar de manera más segura, </w:t>
      </w:r>
      <w:r w:rsidRPr="00807BF0">
        <w:rPr>
          <w:rFonts w:ascii="Arial" w:hAnsi="Arial" w:cs="Arial"/>
          <w:sz w:val="22"/>
          <w:szCs w:val="22"/>
        </w:rPr>
        <w:t xml:space="preserve">técnica </w:t>
      </w:r>
      <w:r w:rsidR="00B70263" w:rsidRPr="00807BF0">
        <w:rPr>
          <w:rFonts w:ascii="Arial" w:hAnsi="Arial" w:cs="Arial"/>
          <w:sz w:val="22"/>
          <w:szCs w:val="22"/>
        </w:rPr>
        <w:t xml:space="preserve">y económica </w:t>
      </w:r>
      <w:r w:rsidRPr="00807BF0">
        <w:rPr>
          <w:rFonts w:ascii="Arial" w:hAnsi="Arial" w:cs="Arial"/>
          <w:sz w:val="22"/>
          <w:szCs w:val="22"/>
        </w:rPr>
        <w:t xml:space="preserve">los trabajos de mantenimiento, </w:t>
      </w:r>
      <w:r w:rsidR="00DE3632" w:rsidRPr="00807BF0">
        <w:rPr>
          <w:rFonts w:ascii="Arial" w:hAnsi="Arial" w:cs="Arial"/>
          <w:sz w:val="22"/>
          <w:szCs w:val="22"/>
        </w:rPr>
        <w:t>dado que actualmente e</w:t>
      </w:r>
      <w:r w:rsidR="00AD706C" w:rsidRPr="00807BF0">
        <w:rPr>
          <w:rFonts w:ascii="Arial" w:hAnsi="Arial" w:cs="Arial"/>
          <w:sz w:val="22"/>
          <w:szCs w:val="22"/>
        </w:rPr>
        <w:t xml:space="preserve">stas </w:t>
      </w:r>
      <w:r w:rsidR="00DE3632" w:rsidRPr="00807BF0">
        <w:rPr>
          <w:rFonts w:ascii="Arial" w:hAnsi="Arial" w:cs="Arial"/>
          <w:sz w:val="22"/>
          <w:szCs w:val="22"/>
        </w:rPr>
        <w:t xml:space="preserve">líneas </w:t>
      </w:r>
      <w:r w:rsidR="00AD706C" w:rsidRPr="00807BF0">
        <w:rPr>
          <w:rFonts w:ascii="Arial" w:hAnsi="Arial" w:cs="Arial"/>
          <w:sz w:val="22"/>
          <w:szCs w:val="22"/>
        </w:rPr>
        <w:t xml:space="preserve">atraviesan zonas montañosas de difícil y costoso acceso </w:t>
      </w:r>
      <w:r w:rsidR="00DE3632" w:rsidRPr="00807BF0">
        <w:rPr>
          <w:rFonts w:ascii="Arial" w:hAnsi="Arial" w:cs="Arial"/>
          <w:sz w:val="22"/>
          <w:szCs w:val="22"/>
        </w:rPr>
        <w:t xml:space="preserve">especialmente cuando requieren de una intervención </w:t>
      </w:r>
      <w:r w:rsidR="00B70263" w:rsidRPr="00807BF0">
        <w:rPr>
          <w:rFonts w:ascii="Arial" w:hAnsi="Arial" w:cs="Arial"/>
          <w:sz w:val="22"/>
          <w:szCs w:val="22"/>
        </w:rPr>
        <w:t xml:space="preserve">emergente </w:t>
      </w:r>
      <w:r w:rsidR="00DE3632" w:rsidRPr="00807BF0">
        <w:rPr>
          <w:rFonts w:ascii="Arial" w:hAnsi="Arial" w:cs="Arial"/>
          <w:sz w:val="22"/>
          <w:szCs w:val="22"/>
        </w:rPr>
        <w:t xml:space="preserve">por un evento natural como el </w:t>
      </w:r>
      <w:r w:rsidR="00B70263" w:rsidRPr="00807BF0">
        <w:rPr>
          <w:rFonts w:ascii="Arial" w:hAnsi="Arial" w:cs="Arial"/>
          <w:sz w:val="22"/>
          <w:szCs w:val="22"/>
        </w:rPr>
        <w:t>sismo que afectó la zona</w:t>
      </w:r>
      <w:r w:rsidR="00DE3632" w:rsidRPr="00807BF0">
        <w:rPr>
          <w:rFonts w:ascii="Arial" w:hAnsi="Arial" w:cs="Arial"/>
          <w:sz w:val="22"/>
          <w:szCs w:val="22"/>
        </w:rPr>
        <w:t xml:space="preserve"> en abril 2016.</w:t>
      </w:r>
      <w:r w:rsidR="005107E3" w:rsidRPr="00807BF0">
        <w:rPr>
          <w:rFonts w:ascii="Arial" w:hAnsi="Arial" w:cs="Arial"/>
          <w:sz w:val="22"/>
          <w:szCs w:val="22"/>
        </w:rPr>
        <w:t xml:space="preserve"> Otro factor determinante para intervenir en el mejoramiento </w:t>
      </w:r>
      <w:r w:rsidR="00B70263" w:rsidRPr="00807BF0">
        <w:rPr>
          <w:rFonts w:ascii="Arial" w:hAnsi="Arial" w:cs="Arial"/>
          <w:sz w:val="22"/>
          <w:szCs w:val="22"/>
        </w:rPr>
        <w:t xml:space="preserve">y reubicación </w:t>
      </w:r>
      <w:r w:rsidR="005107E3" w:rsidRPr="00807BF0">
        <w:rPr>
          <w:rFonts w:ascii="Arial" w:hAnsi="Arial" w:cs="Arial"/>
          <w:sz w:val="22"/>
          <w:szCs w:val="22"/>
        </w:rPr>
        <w:t xml:space="preserve">de las líneas de subtransmisión en este programa, es su paso por zonas pobladas, en muchos casos generadas por invasiones </w:t>
      </w:r>
      <w:r w:rsidR="00B70263" w:rsidRPr="00807BF0">
        <w:rPr>
          <w:rFonts w:ascii="Arial" w:hAnsi="Arial" w:cs="Arial"/>
          <w:sz w:val="22"/>
          <w:szCs w:val="22"/>
        </w:rPr>
        <w:t xml:space="preserve">de tierras </w:t>
      </w:r>
      <w:r w:rsidR="005107E3" w:rsidRPr="00807BF0">
        <w:rPr>
          <w:rFonts w:ascii="Arial" w:hAnsi="Arial" w:cs="Arial"/>
          <w:sz w:val="22"/>
          <w:szCs w:val="22"/>
        </w:rPr>
        <w:t xml:space="preserve">en procesos de expansión urbana descontrolada y que ahora ponen en riesgo a la población cuyas viviendas se encuentran dentro de la servidumbre de paso. </w:t>
      </w:r>
    </w:p>
    <w:p w:rsidR="0062644D" w:rsidRPr="00807BF0" w:rsidRDefault="0062644D" w:rsidP="00C53DC3">
      <w:pPr>
        <w:pStyle w:val="Paragraph"/>
        <w:numPr>
          <w:ilvl w:val="0"/>
          <w:numId w:val="0"/>
        </w:numPr>
        <w:tabs>
          <w:tab w:val="left" w:pos="720"/>
        </w:tabs>
        <w:ind w:left="709"/>
        <w:outlineLvl w:val="9"/>
        <w:rPr>
          <w:rFonts w:ascii="Arial" w:hAnsi="Arial" w:cs="Arial"/>
          <w:b/>
          <w:sz w:val="22"/>
          <w:szCs w:val="22"/>
        </w:rPr>
      </w:pPr>
      <w:r w:rsidRPr="00807BF0">
        <w:rPr>
          <w:rFonts w:ascii="Arial" w:hAnsi="Arial" w:cs="Arial"/>
          <w:b/>
          <w:sz w:val="22"/>
          <w:szCs w:val="22"/>
        </w:rPr>
        <w:t>Impactos directos e indirect</w:t>
      </w:r>
      <w:r w:rsidR="00216765" w:rsidRPr="00807BF0">
        <w:rPr>
          <w:rFonts w:ascii="Arial" w:hAnsi="Arial" w:cs="Arial"/>
          <w:b/>
          <w:sz w:val="22"/>
          <w:szCs w:val="22"/>
        </w:rPr>
        <w:t>os ambientales y sociales</w:t>
      </w:r>
    </w:p>
    <w:p w:rsidR="009B5FA2" w:rsidRPr="00807BF0" w:rsidRDefault="00A5352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Los proyectos eléctricos que se financiarán en el marco de la presente operación involucran la construcción, repotenciación o el mejoramiento de redes alimentadoras de distribución eléctrica a mediana o baja tensión, redes de subtransmisión y estaciones de subtransmisión, toda esta infraestructura debe incluir medidas de resiliencia para reducir el riesgo de daño</w:t>
      </w:r>
      <w:r w:rsidR="009B5FA2" w:rsidRPr="00807BF0">
        <w:rPr>
          <w:rFonts w:ascii="Arial" w:hAnsi="Arial" w:cs="Arial"/>
          <w:sz w:val="22"/>
          <w:szCs w:val="22"/>
        </w:rPr>
        <w:t xml:space="preserve"> frente a sismos.  En este sentido</w:t>
      </w:r>
      <w:r w:rsidRPr="00807BF0">
        <w:rPr>
          <w:rFonts w:ascii="Arial" w:hAnsi="Arial" w:cs="Arial"/>
          <w:sz w:val="22"/>
          <w:szCs w:val="22"/>
        </w:rPr>
        <w:t>, este tipo de proyectos; i) no requieren de la conformación de una franja de servidumbre nueva, salvo aquellas variantes  de reubicación de líneas de subtransmisión por seguridad y mantenimiento; ii) son sumamente flexibles en el sentido que permiten fácilmente reacomodar las líneas para evitar daños ambientales o impactos a</w:t>
      </w:r>
      <w:r w:rsidR="009B5FA2" w:rsidRPr="00807BF0">
        <w:rPr>
          <w:rFonts w:ascii="Arial" w:hAnsi="Arial" w:cs="Arial"/>
          <w:sz w:val="22"/>
          <w:szCs w:val="22"/>
        </w:rPr>
        <w:t xml:space="preserve"> la propiedad privada o comunal.</w:t>
      </w:r>
    </w:p>
    <w:p w:rsidR="00A53522" w:rsidRPr="00807BF0" w:rsidRDefault="009B5FA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lastRenderedPageBreak/>
        <w:t>En cuanto a las Subestaciones de Transmisión, la totalidad de los trabajos se harán al interior de aquellas existentes con actividades de sustitución de estructuras de soporte, obras civiles y equipamiento para mejorar la capacidad de recepción-entrega de energía eléctrica; y para aquellas Subestaciones de Transmisión nuevas, se realizarán en sitios previamente adquiridos de manera formal por CNEL EP.</w:t>
      </w:r>
    </w:p>
    <w:p w:rsidR="00A53522" w:rsidRPr="00807BF0" w:rsidRDefault="00A5352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Los impactos negativos que podrán generarse con la implantación de</w:t>
      </w:r>
      <w:r w:rsidR="00655694" w:rsidRPr="00807BF0">
        <w:rPr>
          <w:rFonts w:ascii="Arial" w:hAnsi="Arial" w:cs="Arial"/>
          <w:sz w:val="22"/>
          <w:szCs w:val="22"/>
        </w:rPr>
        <w:t xml:space="preserve"> los proyectos de este programa</w:t>
      </w:r>
      <w:r w:rsidRPr="00807BF0">
        <w:rPr>
          <w:rFonts w:ascii="Arial" w:hAnsi="Arial" w:cs="Arial"/>
          <w:sz w:val="22"/>
          <w:szCs w:val="22"/>
        </w:rPr>
        <w:t xml:space="preserve"> son conocidos, pequeños en magnitud e importancia, de fácil manejo a través de técnicas estándar y concentradas mayormente en la fase de construcción de la infraestructura a financiarse en el marco del Programa</w:t>
      </w:r>
      <w:r w:rsidR="002D3D9C" w:rsidRPr="00807BF0">
        <w:rPr>
          <w:rFonts w:ascii="Arial" w:hAnsi="Arial" w:cs="Arial"/>
          <w:sz w:val="22"/>
          <w:szCs w:val="22"/>
        </w:rPr>
        <w:t>.</w:t>
      </w:r>
    </w:p>
    <w:p w:rsidR="00A53522" w:rsidRPr="00807BF0" w:rsidRDefault="00A53522"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operación de los proyectos del programa, generará grandes e importantes impactos positivos en la población, dentro de los cuales cabe señalar los siguientes: i) dinamización </w:t>
      </w:r>
      <w:r w:rsidR="00FE5747" w:rsidRPr="00807BF0">
        <w:rPr>
          <w:rFonts w:ascii="Arial" w:hAnsi="Arial" w:cs="Arial"/>
          <w:sz w:val="22"/>
          <w:szCs w:val="22"/>
        </w:rPr>
        <w:t xml:space="preserve">y recuperación </w:t>
      </w:r>
      <w:r w:rsidRPr="00807BF0">
        <w:rPr>
          <w:rFonts w:ascii="Arial" w:hAnsi="Arial" w:cs="Arial"/>
          <w:sz w:val="22"/>
          <w:szCs w:val="22"/>
        </w:rPr>
        <w:t xml:space="preserve">de la economía local, ii) contribución al desarrollo local; iii) mejoramiento </w:t>
      </w:r>
      <w:r w:rsidR="00FE5747" w:rsidRPr="00807BF0">
        <w:rPr>
          <w:rFonts w:ascii="Arial" w:hAnsi="Arial" w:cs="Arial"/>
          <w:sz w:val="22"/>
          <w:szCs w:val="22"/>
        </w:rPr>
        <w:t xml:space="preserve">de la </w:t>
      </w:r>
      <w:r w:rsidRPr="00807BF0">
        <w:rPr>
          <w:rFonts w:ascii="Arial" w:hAnsi="Arial" w:cs="Arial"/>
          <w:sz w:val="22"/>
          <w:szCs w:val="22"/>
        </w:rPr>
        <w:t>seguridad ciudadana</w:t>
      </w:r>
      <w:r w:rsidR="003903DE" w:rsidRPr="00807BF0">
        <w:rPr>
          <w:rFonts w:ascii="Arial" w:hAnsi="Arial" w:cs="Arial"/>
          <w:sz w:val="22"/>
          <w:szCs w:val="22"/>
        </w:rPr>
        <w:t xml:space="preserve"> con el alejamiento de las líneas de subtransmisión </w:t>
      </w:r>
      <w:r w:rsidR="009F336D" w:rsidRPr="00807BF0">
        <w:rPr>
          <w:rFonts w:ascii="Arial" w:hAnsi="Arial" w:cs="Arial"/>
          <w:sz w:val="22"/>
          <w:szCs w:val="22"/>
        </w:rPr>
        <w:t>de viviendas</w:t>
      </w:r>
      <w:r w:rsidRPr="00807BF0">
        <w:rPr>
          <w:rFonts w:ascii="Arial" w:hAnsi="Arial" w:cs="Arial"/>
          <w:sz w:val="22"/>
          <w:szCs w:val="22"/>
        </w:rPr>
        <w:t>; y iv) mejoramiento de las condiciones de vida de los beneficiarios</w:t>
      </w:r>
      <w:r w:rsidR="00655694" w:rsidRPr="00807BF0">
        <w:rPr>
          <w:rFonts w:ascii="Arial" w:hAnsi="Arial" w:cs="Arial"/>
          <w:sz w:val="22"/>
          <w:szCs w:val="22"/>
        </w:rPr>
        <w:t xml:space="preserve"> afectados por el sismo.</w:t>
      </w:r>
    </w:p>
    <w:p w:rsidR="00655694" w:rsidRPr="00807BF0" w:rsidRDefault="00655694"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Entre los impactos y riesgos sociales más importantes que podría generar el programa se incluyen: i) eventual disconformidad de la población debido a posibles retrasos en la implementación de las actividades del proyecto; ii) aumento o generación de la sensación de inseguridad por la presencia de foráneos en la etapa de construcción; iii) posibles problemas de descoordinación comunitaria en la prestación de la contrapartida local para las obras; iv) falta de información oportuna y suficiente sobre los posibles molestias temporales que se pudieran causar por efectos de la construcción de las obras; entre los más relevantes.</w:t>
      </w:r>
    </w:p>
    <w:p w:rsidR="00655694" w:rsidRPr="00807BF0" w:rsidRDefault="00655694"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Debido a las características y magnitud de las obras contempladas en esta operación, los impactos acumulativos negativos que se producirían serán muy pequeños. Sin embargo, quizás el más importante impacto positivo de esta operación es el que se relaciona con la recuperación y operación más segura </w:t>
      </w:r>
      <w:r w:rsidR="00E54B5F" w:rsidRPr="00807BF0">
        <w:rPr>
          <w:rFonts w:ascii="Arial" w:hAnsi="Arial" w:cs="Arial"/>
          <w:sz w:val="22"/>
          <w:szCs w:val="22"/>
        </w:rPr>
        <w:t xml:space="preserve">y de calidad </w:t>
      </w:r>
      <w:r w:rsidRPr="00807BF0">
        <w:rPr>
          <w:rFonts w:ascii="Arial" w:hAnsi="Arial" w:cs="Arial"/>
          <w:sz w:val="22"/>
          <w:szCs w:val="22"/>
        </w:rPr>
        <w:t>de los servicios de electricidad a la población afectada por el sismo.</w:t>
      </w:r>
    </w:p>
    <w:p w:rsidR="0031388E" w:rsidRPr="00807BF0" w:rsidRDefault="0031388E"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Los impactos ambientales y sociales negativos serán mínimos y temporales durante la construcción y operación, mientras que los impactos positivos son permanentes y muy significativos al mitigar el riesgo de afectación a población cercana a las LT y S/E y al reforzar el sistema que actualmente cuenta con estructuras en creciente estado de deterioro por la edad de éstas instalaciones y los impactos que sufrieron por el sismo del 16 de abril.</w:t>
      </w:r>
    </w:p>
    <w:p w:rsidR="00E51765" w:rsidRPr="00807BF0" w:rsidRDefault="00E51765" w:rsidP="00C53DC3">
      <w:pPr>
        <w:pStyle w:val="Paragraph"/>
        <w:numPr>
          <w:ilvl w:val="0"/>
          <w:numId w:val="0"/>
        </w:numPr>
        <w:tabs>
          <w:tab w:val="left" w:pos="720"/>
        </w:tabs>
        <w:ind w:left="709"/>
        <w:outlineLvl w:val="9"/>
        <w:rPr>
          <w:rFonts w:ascii="Arial" w:hAnsi="Arial" w:cs="Arial"/>
          <w:b/>
          <w:sz w:val="22"/>
          <w:szCs w:val="22"/>
        </w:rPr>
      </w:pPr>
      <w:r w:rsidRPr="00807BF0">
        <w:rPr>
          <w:rFonts w:ascii="Arial" w:hAnsi="Arial" w:cs="Arial"/>
          <w:b/>
          <w:sz w:val="22"/>
          <w:szCs w:val="22"/>
        </w:rPr>
        <w:t>Evaluación Ambiental y Social de los proyectos de la muestra</w:t>
      </w:r>
    </w:p>
    <w:p w:rsidR="00E51765" w:rsidRPr="00807BF0" w:rsidRDefault="004A505E"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u w:val="single"/>
        </w:rPr>
        <w:t xml:space="preserve">Reforzamiento </w:t>
      </w:r>
      <w:r w:rsidR="00D70411" w:rsidRPr="00807BF0">
        <w:rPr>
          <w:rFonts w:ascii="Arial" w:hAnsi="Arial" w:cs="Arial"/>
          <w:sz w:val="22"/>
          <w:szCs w:val="22"/>
          <w:u w:val="single"/>
        </w:rPr>
        <w:t>S</w:t>
      </w:r>
      <w:r w:rsidRPr="00807BF0">
        <w:rPr>
          <w:rFonts w:ascii="Arial" w:hAnsi="Arial" w:cs="Arial"/>
          <w:sz w:val="22"/>
          <w:szCs w:val="22"/>
          <w:u w:val="single"/>
        </w:rPr>
        <w:t xml:space="preserve">ubsistema </w:t>
      </w:r>
      <w:r w:rsidR="00D70411" w:rsidRPr="00807BF0">
        <w:rPr>
          <w:rFonts w:ascii="Arial" w:hAnsi="Arial" w:cs="Arial"/>
          <w:sz w:val="22"/>
          <w:szCs w:val="22"/>
          <w:u w:val="single"/>
        </w:rPr>
        <w:t xml:space="preserve">Esmeraldas - </w:t>
      </w:r>
      <w:proofErr w:type="spellStart"/>
      <w:r w:rsidR="00D70411" w:rsidRPr="00807BF0">
        <w:rPr>
          <w:rFonts w:ascii="Arial" w:hAnsi="Arial" w:cs="Arial"/>
          <w:sz w:val="22"/>
          <w:szCs w:val="22"/>
          <w:u w:val="single"/>
        </w:rPr>
        <w:t>Tonchigüe</w:t>
      </w:r>
      <w:proofErr w:type="spellEnd"/>
      <w:r w:rsidR="00D70411" w:rsidRPr="00807BF0">
        <w:rPr>
          <w:rFonts w:ascii="Arial" w:hAnsi="Arial" w:cs="Arial"/>
          <w:sz w:val="22"/>
          <w:szCs w:val="22"/>
          <w:u w:val="single"/>
        </w:rPr>
        <w:t xml:space="preserve"> (Construcción S/E La Pradera, </w:t>
      </w:r>
      <w:proofErr w:type="spellStart"/>
      <w:r w:rsidRPr="00807BF0">
        <w:rPr>
          <w:rFonts w:ascii="Arial" w:hAnsi="Arial" w:cs="Arial"/>
          <w:sz w:val="22"/>
          <w:szCs w:val="22"/>
          <w:u w:val="single"/>
        </w:rPr>
        <w:t>Tonsupa</w:t>
      </w:r>
      <w:proofErr w:type="spellEnd"/>
      <w:r w:rsidR="00D70411" w:rsidRPr="00807BF0">
        <w:rPr>
          <w:rFonts w:ascii="Arial" w:hAnsi="Arial" w:cs="Arial"/>
          <w:sz w:val="22"/>
          <w:szCs w:val="22"/>
          <w:u w:val="single"/>
        </w:rPr>
        <w:t xml:space="preserve">, </w:t>
      </w:r>
      <w:proofErr w:type="spellStart"/>
      <w:r w:rsidR="00D70411" w:rsidRPr="00807BF0">
        <w:rPr>
          <w:rFonts w:ascii="Arial" w:hAnsi="Arial" w:cs="Arial"/>
          <w:sz w:val="22"/>
          <w:szCs w:val="22"/>
          <w:u w:val="single"/>
        </w:rPr>
        <w:t>Tonchigüe</w:t>
      </w:r>
      <w:proofErr w:type="spellEnd"/>
      <w:r w:rsidR="00D70411" w:rsidRPr="00807BF0">
        <w:rPr>
          <w:rFonts w:ascii="Arial" w:hAnsi="Arial" w:cs="Arial"/>
          <w:sz w:val="22"/>
          <w:szCs w:val="22"/>
          <w:u w:val="single"/>
        </w:rPr>
        <w:t xml:space="preserve"> y</w:t>
      </w:r>
      <w:r w:rsidRPr="00807BF0">
        <w:rPr>
          <w:rFonts w:ascii="Arial" w:hAnsi="Arial" w:cs="Arial"/>
          <w:sz w:val="22"/>
          <w:szCs w:val="22"/>
          <w:u w:val="single"/>
        </w:rPr>
        <w:t xml:space="preserve"> Reforzamiento SE </w:t>
      </w:r>
      <w:proofErr w:type="spellStart"/>
      <w:r w:rsidR="00D70411" w:rsidRPr="00807BF0">
        <w:rPr>
          <w:rFonts w:ascii="Arial" w:hAnsi="Arial" w:cs="Arial"/>
          <w:sz w:val="22"/>
          <w:szCs w:val="22"/>
          <w:u w:val="single"/>
        </w:rPr>
        <w:t>Atacames</w:t>
      </w:r>
      <w:proofErr w:type="spellEnd"/>
      <w:r w:rsidR="00D70411" w:rsidRPr="00807BF0">
        <w:rPr>
          <w:rFonts w:ascii="Arial" w:hAnsi="Arial" w:cs="Arial"/>
          <w:sz w:val="22"/>
          <w:szCs w:val="22"/>
          <w:u w:val="single"/>
        </w:rPr>
        <w:t>)</w:t>
      </w:r>
      <w:r w:rsidR="006C0D7F" w:rsidRPr="00807BF0">
        <w:rPr>
          <w:rFonts w:ascii="Arial" w:hAnsi="Arial" w:cs="Arial"/>
          <w:sz w:val="22"/>
          <w:szCs w:val="22"/>
        </w:rPr>
        <w:t xml:space="preserve">. </w:t>
      </w:r>
      <w:r w:rsidR="00D70411" w:rsidRPr="00807BF0">
        <w:rPr>
          <w:rFonts w:ascii="Arial" w:hAnsi="Arial" w:cs="Arial"/>
          <w:sz w:val="22"/>
          <w:szCs w:val="22"/>
        </w:rPr>
        <w:t xml:space="preserve">Este proyecto inicia en la ciudad de </w:t>
      </w:r>
      <w:r w:rsidR="006C0D7F" w:rsidRPr="00807BF0">
        <w:rPr>
          <w:rFonts w:ascii="Arial" w:hAnsi="Arial" w:cs="Arial"/>
          <w:sz w:val="22"/>
          <w:szCs w:val="22"/>
        </w:rPr>
        <w:t xml:space="preserve">Esmeraldas (Subestación Santas Vainas) hasta la población de </w:t>
      </w:r>
      <w:proofErr w:type="spellStart"/>
      <w:r w:rsidR="006C0D7F" w:rsidRPr="00807BF0">
        <w:rPr>
          <w:rFonts w:ascii="Arial" w:hAnsi="Arial" w:cs="Arial"/>
          <w:sz w:val="22"/>
          <w:szCs w:val="22"/>
        </w:rPr>
        <w:t>Tonchigüe</w:t>
      </w:r>
      <w:proofErr w:type="spellEnd"/>
      <w:r w:rsidR="006C0D7F" w:rsidRPr="00807BF0">
        <w:rPr>
          <w:rFonts w:ascii="Arial" w:hAnsi="Arial" w:cs="Arial"/>
          <w:sz w:val="22"/>
          <w:szCs w:val="22"/>
        </w:rPr>
        <w:t xml:space="preserve"> al sur de la provincia de Esmeraldas (Subestación </w:t>
      </w:r>
      <w:proofErr w:type="spellStart"/>
      <w:r w:rsidR="006C0D7F" w:rsidRPr="00807BF0">
        <w:rPr>
          <w:rFonts w:ascii="Arial" w:hAnsi="Arial" w:cs="Arial"/>
          <w:sz w:val="22"/>
          <w:szCs w:val="22"/>
        </w:rPr>
        <w:t>Tonchigüe</w:t>
      </w:r>
      <w:proofErr w:type="spellEnd"/>
      <w:r w:rsidR="006C0D7F" w:rsidRPr="00807BF0">
        <w:rPr>
          <w:rFonts w:ascii="Arial" w:hAnsi="Arial" w:cs="Arial"/>
          <w:sz w:val="22"/>
          <w:szCs w:val="22"/>
        </w:rPr>
        <w:t xml:space="preserve"> por construirse) recorriendo una distancia de aproximadamente 54,5 km. </w:t>
      </w:r>
      <w:r w:rsidR="00E51765" w:rsidRPr="00807BF0">
        <w:rPr>
          <w:rFonts w:ascii="Arial" w:hAnsi="Arial" w:cs="Arial"/>
          <w:sz w:val="22"/>
          <w:szCs w:val="22"/>
        </w:rPr>
        <w:t xml:space="preserve">Se tiene previsto ejecutar una variante a nivel de 69 kV </w:t>
      </w:r>
      <w:r w:rsidR="00D70411" w:rsidRPr="00807BF0">
        <w:rPr>
          <w:rFonts w:ascii="Arial" w:hAnsi="Arial" w:cs="Arial"/>
          <w:sz w:val="22"/>
          <w:szCs w:val="22"/>
        </w:rPr>
        <w:t xml:space="preserve">en el tramo que va </w:t>
      </w:r>
      <w:r w:rsidR="00E51765" w:rsidRPr="00807BF0">
        <w:rPr>
          <w:rFonts w:ascii="Arial" w:hAnsi="Arial" w:cs="Arial"/>
          <w:sz w:val="22"/>
          <w:szCs w:val="22"/>
        </w:rPr>
        <w:t xml:space="preserve">desde </w:t>
      </w:r>
      <w:proofErr w:type="spellStart"/>
      <w:r w:rsidR="00E51765" w:rsidRPr="00807BF0">
        <w:rPr>
          <w:rFonts w:ascii="Arial" w:hAnsi="Arial" w:cs="Arial"/>
          <w:sz w:val="22"/>
          <w:szCs w:val="22"/>
        </w:rPr>
        <w:t>Tonsupa</w:t>
      </w:r>
      <w:proofErr w:type="spellEnd"/>
      <w:r w:rsidR="00E51765" w:rsidRPr="00807BF0">
        <w:rPr>
          <w:rFonts w:ascii="Arial" w:hAnsi="Arial" w:cs="Arial"/>
          <w:sz w:val="22"/>
          <w:szCs w:val="22"/>
        </w:rPr>
        <w:t xml:space="preserve"> a </w:t>
      </w:r>
      <w:proofErr w:type="spellStart"/>
      <w:r w:rsidR="00E51765" w:rsidRPr="00807BF0">
        <w:rPr>
          <w:rFonts w:ascii="Arial" w:hAnsi="Arial" w:cs="Arial"/>
          <w:sz w:val="22"/>
          <w:szCs w:val="22"/>
        </w:rPr>
        <w:t>Atacames</w:t>
      </w:r>
      <w:proofErr w:type="spellEnd"/>
      <w:r w:rsidR="00E51765" w:rsidRPr="00807BF0">
        <w:rPr>
          <w:rFonts w:ascii="Arial" w:hAnsi="Arial" w:cs="Arial"/>
          <w:sz w:val="22"/>
          <w:szCs w:val="22"/>
        </w:rPr>
        <w:t>, con la finalidad de realizar la remediación de la Línea, puesto que la misma</w:t>
      </w:r>
      <w:r w:rsidR="006C0D7F" w:rsidRPr="00807BF0">
        <w:rPr>
          <w:rFonts w:ascii="Arial" w:hAnsi="Arial" w:cs="Arial"/>
          <w:sz w:val="22"/>
          <w:szCs w:val="22"/>
        </w:rPr>
        <w:t>,</w:t>
      </w:r>
      <w:r w:rsidR="00E51765" w:rsidRPr="00807BF0">
        <w:rPr>
          <w:rFonts w:ascii="Arial" w:hAnsi="Arial" w:cs="Arial"/>
          <w:sz w:val="22"/>
          <w:szCs w:val="22"/>
        </w:rPr>
        <w:t xml:space="preserve"> en este trayecto </w:t>
      </w:r>
      <w:r w:rsidR="006C0D7F" w:rsidRPr="00807BF0">
        <w:rPr>
          <w:rFonts w:ascii="Arial" w:hAnsi="Arial" w:cs="Arial"/>
          <w:sz w:val="22"/>
          <w:szCs w:val="22"/>
        </w:rPr>
        <w:t>va</w:t>
      </w:r>
      <w:r w:rsidR="00E51765" w:rsidRPr="00807BF0">
        <w:rPr>
          <w:rFonts w:ascii="Arial" w:hAnsi="Arial" w:cs="Arial"/>
          <w:sz w:val="22"/>
          <w:szCs w:val="22"/>
        </w:rPr>
        <w:t xml:space="preserve"> sobre viviendas y se han presentado accidentes y existen pedidos de la población </w:t>
      </w:r>
      <w:r w:rsidR="0079060B" w:rsidRPr="00807BF0">
        <w:rPr>
          <w:rFonts w:ascii="Arial" w:hAnsi="Arial" w:cs="Arial"/>
          <w:sz w:val="22"/>
          <w:szCs w:val="22"/>
        </w:rPr>
        <w:t xml:space="preserve">a su reubicación. El proyecto </w:t>
      </w:r>
      <w:r w:rsidR="00E51765" w:rsidRPr="00807BF0">
        <w:rPr>
          <w:rFonts w:ascii="Arial" w:hAnsi="Arial" w:cs="Arial"/>
          <w:sz w:val="22"/>
          <w:szCs w:val="22"/>
        </w:rPr>
        <w:t xml:space="preserve">incluye además la construcción de una S/E nueva, en una zona en la cual actualmente se tiene una demanda máxima durante feriados de 8,38 MVA; </w:t>
      </w:r>
      <w:r w:rsidR="0079060B" w:rsidRPr="00807BF0">
        <w:rPr>
          <w:rFonts w:ascii="Arial" w:hAnsi="Arial" w:cs="Arial"/>
          <w:sz w:val="22"/>
          <w:szCs w:val="22"/>
        </w:rPr>
        <w:t>zona en la cual, debido al</w:t>
      </w:r>
      <w:r w:rsidR="00E51765" w:rsidRPr="00807BF0">
        <w:rPr>
          <w:rFonts w:ascii="Arial" w:hAnsi="Arial" w:cs="Arial"/>
          <w:sz w:val="22"/>
          <w:szCs w:val="22"/>
        </w:rPr>
        <w:t xml:space="preserve"> auge turístico</w:t>
      </w:r>
      <w:r w:rsidR="0079060B" w:rsidRPr="00807BF0">
        <w:rPr>
          <w:rFonts w:ascii="Arial" w:hAnsi="Arial" w:cs="Arial"/>
          <w:sz w:val="22"/>
          <w:szCs w:val="22"/>
        </w:rPr>
        <w:t xml:space="preserve">, </w:t>
      </w:r>
      <w:r w:rsidR="00E51765" w:rsidRPr="00807BF0">
        <w:rPr>
          <w:rFonts w:ascii="Arial" w:hAnsi="Arial" w:cs="Arial"/>
          <w:sz w:val="22"/>
          <w:szCs w:val="22"/>
        </w:rPr>
        <w:t xml:space="preserve">se prevé </w:t>
      </w:r>
      <w:r w:rsidR="0079060B" w:rsidRPr="00807BF0">
        <w:rPr>
          <w:rFonts w:ascii="Arial" w:hAnsi="Arial" w:cs="Arial"/>
          <w:sz w:val="22"/>
          <w:szCs w:val="22"/>
        </w:rPr>
        <w:t>un</w:t>
      </w:r>
      <w:r w:rsidR="00E51765" w:rsidRPr="00807BF0">
        <w:rPr>
          <w:rFonts w:ascii="Arial" w:hAnsi="Arial" w:cs="Arial"/>
          <w:sz w:val="22"/>
          <w:szCs w:val="22"/>
        </w:rPr>
        <w:t xml:space="preserve"> crec</w:t>
      </w:r>
      <w:r w:rsidR="0079060B" w:rsidRPr="00807BF0">
        <w:rPr>
          <w:rFonts w:ascii="Arial" w:hAnsi="Arial" w:cs="Arial"/>
          <w:sz w:val="22"/>
          <w:szCs w:val="22"/>
        </w:rPr>
        <w:t xml:space="preserve">imiento de la demanda anual de 8,19%; y la readecuación de la S/E </w:t>
      </w:r>
      <w:proofErr w:type="spellStart"/>
      <w:r w:rsidR="0079060B" w:rsidRPr="00807BF0">
        <w:rPr>
          <w:rFonts w:ascii="Arial" w:hAnsi="Arial" w:cs="Arial"/>
          <w:sz w:val="22"/>
          <w:szCs w:val="22"/>
        </w:rPr>
        <w:t>Atacames</w:t>
      </w:r>
      <w:proofErr w:type="spellEnd"/>
      <w:r w:rsidR="0079060B" w:rsidRPr="00807BF0">
        <w:rPr>
          <w:rFonts w:ascii="Arial" w:hAnsi="Arial" w:cs="Arial"/>
          <w:sz w:val="22"/>
          <w:szCs w:val="22"/>
        </w:rPr>
        <w:t>.</w:t>
      </w:r>
    </w:p>
    <w:p w:rsidR="00E429F5" w:rsidRPr="00807BF0" w:rsidRDefault="00075A2F"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sz w:val="22"/>
          <w:szCs w:val="22"/>
        </w:rPr>
        <w:lastRenderedPageBreak/>
        <w:t>Figura No. 3: T</w:t>
      </w:r>
      <w:r w:rsidR="00E429F5" w:rsidRPr="00807BF0">
        <w:rPr>
          <w:rFonts w:ascii="Arial" w:hAnsi="Arial" w:cs="Arial"/>
          <w:sz w:val="22"/>
          <w:szCs w:val="22"/>
        </w:rPr>
        <w:t xml:space="preserve">razado entre S/E </w:t>
      </w:r>
      <w:proofErr w:type="spellStart"/>
      <w:r w:rsidR="00E429F5" w:rsidRPr="00807BF0">
        <w:rPr>
          <w:rFonts w:ascii="Arial" w:hAnsi="Arial" w:cs="Arial"/>
          <w:sz w:val="22"/>
          <w:szCs w:val="22"/>
        </w:rPr>
        <w:t>Tonsupa</w:t>
      </w:r>
      <w:proofErr w:type="spellEnd"/>
      <w:r w:rsidR="00E429F5" w:rsidRPr="00807BF0">
        <w:rPr>
          <w:rFonts w:ascii="Arial" w:hAnsi="Arial" w:cs="Arial"/>
          <w:sz w:val="22"/>
          <w:szCs w:val="22"/>
        </w:rPr>
        <w:t xml:space="preserve"> y S/E </w:t>
      </w:r>
      <w:proofErr w:type="spellStart"/>
      <w:r w:rsidR="00E429F5" w:rsidRPr="00807BF0">
        <w:rPr>
          <w:rFonts w:ascii="Arial" w:hAnsi="Arial" w:cs="Arial"/>
          <w:sz w:val="22"/>
          <w:szCs w:val="22"/>
        </w:rPr>
        <w:t>Atacames</w:t>
      </w:r>
      <w:proofErr w:type="spellEnd"/>
      <w:r w:rsidR="00E429F5" w:rsidRPr="00807BF0">
        <w:rPr>
          <w:rFonts w:ascii="Arial" w:hAnsi="Arial" w:cs="Arial"/>
          <w:sz w:val="22"/>
          <w:szCs w:val="22"/>
        </w:rPr>
        <w:t>: tramo para reubicación</w:t>
      </w:r>
    </w:p>
    <w:p w:rsidR="00E429F5" w:rsidRPr="00807BF0" w:rsidRDefault="00E429F5"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noProof/>
          <w:sz w:val="22"/>
          <w:szCs w:val="22"/>
          <w:lang w:val="en-US" w:eastAsia="en-US"/>
        </w:rPr>
        <mc:AlternateContent>
          <mc:Choice Requires="wpg">
            <w:drawing>
              <wp:anchor distT="0" distB="0" distL="114300" distR="114300" simplePos="0" relativeHeight="251668480" behindDoc="0" locked="0" layoutInCell="1" allowOverlap="1" wp14:anchorId="42A19092" wp14:editId="4B33F7D9">
                <wp:simplePos x="0" y="0"/>
                <wp:positionH relativeFrom="column">
                  <wp:posOffset>1539240</wp:posOffset>
                </wp:positionH>
                <wp:positionV relativeFrom="paragraph">
                  <wp:posOffset>1040130</wp:posOffset>
                </wp:positionV>
                <wp:extent cx="3438525" cy="1645285"/>
                <wp:effectExtent l="19050" t="19050" r="47625" b="12065"/>
                <wp:wrapNone/>
                <wp:docPr id="15" name="Grupo 15"/>
                <wp:cNvGraphicFramePr/>
                <a:graphic xmlns:a="http://schemas.openxmlformats.org/drawingml/2006/main">
                  <a:graphicData uri="http://schemas.microsoft.com/office/word/2010/wordprocessingGroup">
                    <wpg:wgp>
                      <wpg:cNvGrpSpPr/>
                      <wpg:grpSpPr>
                        <a:xfrm>
                          <a:off x="0" y="0"/>
                          <a:ext cx="3438525" cy="1645285"/>
                          <a:chOff x="0" y="0"/>
                          <a:chExt cx="3438525" cy="1645285"/>
                        </a:xfrm>
                      </wpg:grpSpPr>
                      <wps:wsp>
                        <wps:cNvPr id="13" name="Triángulo isósceles 5"/>
                        <wps:cNvSpPr/>
                        <wps:spPr>
                          <a:xfrm>
                            <a:off x="3114675" y="0"/>
                            <a:ext cx="323850" cy="32131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Triángulo isósceles 5"/>
                        <wps:cNvSpPr/>
                        <wps:spPr>
                          <a:xfrm>
                            <a:off x="0" y="1323975"/>
                            <a:ext cx="323850" cy="32131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upo 15" o:spid="_x0000_s1026" style="position:absolute;margin-left:121.2pt;margin-top:81.9pt;width:270.75pt;height:129.55pt;z-index:251668480" coordsize="34385,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7" type="#_x0000_t5" style="position:absolute;left:31146;width:3239;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WKMMA&#10;AADbAAAADwAAAGRycy9kb3ducmV2LnhtbERPTWvCQBC9C/6HZYTe6iYt1JJmI2IptXooVaHXaXZM&#10;FrOzIbvG+O9doeBtHu9z8vlgG9FT541jBek0AUFcOm24UrDffTy+gvABWWPjmBRcyMO8GI9yzLQ7&#10;8w/121CJGMI+QwV1CG0mpS9rsuinriWO3MF1FkOEXSV1h+cYbhv5lCQv0qLh2FBjS8uayuP2ZBWs&#10;Z+nxy5zeze+q2izS/a7//vvslXqYDIs3EIGGcBf/u1c6zn+G2y/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oWKMMAAADbAAAADwAAAAAAAAAAAAAAAACYAgAAZHJzL2Rv&#10;d25yZXYueG1sUEsFBgAAAAAEAAQA9QAAAIgDAAAAAA==&#10;" fillcolor="red" strokecolor="#1f4d78 [1604]" strokeweight="1pt"/>
                <v:shape id="Triángulo isósceles 5" o:spid="_x0000_s1028" type="#_x0000_t5" style="position:absolute;top:13239;width:3238;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OXMMA&#10;AADbAAAADwAAAGRycy9kb3ducmV2LnhtbERPTWvCQBC9C/6HZYTe6ial1JJmI2IptXooVaHXaXZM&#10;FrOzIbvG+O9doeBtHu9z8vlgG9FT541jBek0AUFcOm24UrDffTy+gvABWWPjmBRcyMO8GI9yzLQ7&#10;8w/121CJGMI+QwV1CG0mpS9rsuinriWO3MF1FkOEXSV1h+cYbhv5lCQv0qLh2FBjS8uayuP2ZBWs&#10;Z+nxy5zeze+q2izS/a7//vvslXqYDIs3EIGGcBf/u1c6zn+G2y/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OOXMMAAADbAAAADwAAAAAAAAAAAAAAAACYAgAAZHJzL2Rv&#10;d25yZXYueG1sUEsFBgAAAAAEAAQA9QAAAIgDAAAAAA==&#10;" fillcolor="red" strokecolor="#1f4d78 [1604]" strokeweight="1pt"/>
              </v:group>
            </w:pict>
          </mc:Fallback>
        </mc:AlternateContent>
      </w:r>
      <w:r w:rsidRPr="00807BF0">
        <w:rPr>
          <w:rFonts w:ascii="Arial" w:hAnsi="Arial" w:cs="Arial"/>
          <w:noProof/>
          <w:sz w:val="22"/>
          <w:szCs w:val="22"/>
          <w:lang w:val="en-US" w:eastAsia="en-US"/>
        </w:rPr>
        <w:drawing>
          <wp:anchor distT="0" distB="0" distL="114300" distR="114300" simplePos="0" relativeHeight="251663360" behindDoc="1" locked="0" layoutInCell="1" allowOverlap="1" wp14:anchorId="23B80C43" wp14:editId="66BB244E">
            <wp:simplePos x="0" y="0"/>
            <wp:positionH relativeFrom="margin">
              <wp:align>right</wp:align>
            </wp:positionH>
            <wp:positionV relativeFrom="paragraph">
              <wp:posOffset>40005</wp:posOffset>
            </wp:positionV>
            <wp:extent cx="4942800" cy="3056400"/>
            <wp:effectExtent l="0" t="0" r="0" b="0"/>
            <wp:wrapTight wrapText="bothSides">
              <wp:wrapPolygon edited="0">
                <wp:start x="0" y="0"/>
                <wp:lineTo x="0" y="21407"/>
                <wp:lineTo x="21481" y="21407"/>
                <wp:lineTo x="21481" y="0"/>
                <wp:lineTo x="0"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942800" cy="3056400"/>
                    </a:xfrm>
                    <a:prstGeom prst="rect">
                      <a:avLst/>
                    </a:prstGeom>
                  </pic:spPr>
                </pic:pic>
              </a:graphicData>
            </a:graphic>
            <wp14:sizeRelH relativeFrom="margin">
              <wp14:pctWidth>0</wp14:pctWidth>
            </wp14:sizeRelH>
            <wp14:sizeRelV relativeFrom="margin">
              <wp14:pctHeight>0</wp14:pctHeight>
            </wp14:sizeRelV>
          </wp:anchor>
        </w:drawing>
      </w:r>
      <w:r w:rsidRPr="00807BF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46CA67E" wp14:editId="473C07AA">
                <wp:simplePos x="0" y="0"/>
                <wp:positionH relativeFrom="column">
                  <wp:posOffset>1434465</wp:posOffset>
                </wp:positionH>
                <wp:positionV relativeFrom="paragraph">
                  <wp:posOffset>2277110</wp:posOffset>
                </wp:positionV>
                <wp:extent cx="323850" cy="321310"/>
                <wp:effectExtent l="19050" t="19050" r="38100" b="21590"/>
                <wp:wrapNone/>
                <wp:docPr id="12" name="Triángulo isósceles 5"/>
                <wp:cNvGraphicFramePr/>
                <a:graphic xmlns:a="http://schemas.openxmlformats.org/drawingml/2006/main">
                  <a:graphicData uri="http://schemas.microsoft.com/office/word/2010/wordprocessingShape">
                    <wps:wsp>
                      <wps:cNvSpPr/>
                      <wps:spPr>
                        <a:xfrm>
                          <a:off x="0" y="0"/>
                          <a:ext cx="323850" cy="32131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Triángulo isósceles 5" o:spid="_x0000_s1026" type="#_x0000_t5" style="position:absolute;margin-left:112.95pt;margin-top:179.3pt;width:25.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" fillcolor="red" strokecolor="#1f4d78 [1604]" strokeweight="1pt"/>
            </w:pict>
          </mc:Fallback>
        </mc:AlternateContent>
      </w:r>
      <w:r w:rsidRPr="00807BF0">
        <w:rPr>
          <w:rFonts w:ascii="Arial" w:hAnsi="Arial" w:cs="Arial"/>
          <w:noProof/>
          <w:sz w:val="22"/>
          <w:szCs w:val="22"/>
          <w:lang w:val="en-US" w:eastAsia="en-US"/>
        </w:rPr>
        <mc:AlternateContent>
          <mc:Choice Requires="wps">
            <w:drawing>
              <wp:anchor distT="0" distB="0" distL="114300" distR="114300" simplePos="0" relativeHeight="251660288" behindDoc="0" locked="0" layoutInCell="1" allowOverlap="1" wp14:anchorId="64FEE111" wp14:editId="210D40FD">
                <wp:simplePos x="0" y="0"/>
                <wp:positionH relativeFrom="column">
                  <wp:posOffset>4444365</wp:posOffset>
                </wp:positionH>
                <wp:positionV relativeFrom="paragraph">
                  <wp:posOffset>1019810</wp:posOffset>
                </wp:positionV>
                <wp:extent cx="323850" cy="321310"/>
                <wp:effectExtent l="19050" t="19050" r="38100" b="21590"/>
                <wp:wrapNone/>
                <wp:docPr id="9" name="Triángulo isósceles 5"/>
                <wp:cNvGraphicFramePr/>
                <a:graphic xmlns:a="http://schemas.openxmlformats.org/drawingml/2006/main">
                  <a:graphicData uri="http://schemas.microsoft.com/office/word/2010/wordprocessingShape">
                    <wps:wsp>
                      <wps:cNvSpPr/>
                      <wps:spPr>
                        <a:xfrm>
                          <a:off x="0" y="0"/>
                          <a:ext cx="323850" cy="32131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Triángulo isósceles 5" o:spid="_x0000_s1026" type="#_x0000_t5" style="position:absolute;margin-left:349.95pt;margin-top:80.3pt;width:25.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" fillcolor="red" strokecolor="#1f4d78 [1604]" strokeweight="1pt"/>
            </w:pict>
          </mc:Fallback>
        </mc:AlternateContent>
      </w:r>
    </w:p>
    <w:p w:rsidR="00D70411" w:rsidRPr="00807BF0" w:rsidRDefault="00E51765" w:rsidP="00C53DC3">
      <w:pPr>
        <w:pStyle w:val="Paragraph"/>
        <w:numPr>
          <w:ilvl w:val="1"/>
          <w:numId w:val="1"/>
        </w:numPr>
        <w:tabs>
          <w:tab w:val="left" w:pos="720"/>
        </w:tabs>
        <w:ind w:left="709" w:hanging="709"/>
        <w:outlineLvl w:val="9"/>
        <w:rPr>
          <w:rFonts w:ascii="Arial" w:hAnsi="Arial" w:cs="Arial"/>
          <w:sz w:val="22"/>
          <w:szCs w:val="22"/>
          <w:lang w:val="es-EC" w:eastAsia="es-EC"/>
        </w:rPr>
      </w:pPr>
      <w:r w:rsidRPr="00807BF0">
        <w:rPr>
          <w:rFonts w:ascii="Arial" w:hAnsi="Arial" w:cs="Arial"/>
          <w:sz w:val="22"/>
          <w:szCs w:val="22"/>
          <w:lang w:val="es-EC" w:eastAsia="es-EC"/>
        </w:rPr>
        <w:t>Este proyecto</w:t>
      </w:r>
      <w:r w:rsidR="004A505E" w:rsidRPr="00807BF0">
        <w:rPr>
          <w:rFonts w:ascii="Arial" w:hAnsi="Arial" w:cs="Arial"/>
          <w:sz w:val="22"/>
          <w:szCs w:val="22"/>
          <w:lang w:val="es-EC" w:eastAsia="es-EC"/>
        </w:rPr>
        <w:t xml:space="preserve"> </w:t>
      </w:r>
      <w:r w:rsidR="006C0D7F" w:rsidRPr="00807BF0">
        <w:rPr>
          <w:rFonts w:ascii="Arial" w:hAnsi="Arial" w:cs="Arial"/>
          <w:sz w:val="22"/>
          <w:szCs w:val="22"/>
          <w:lang w:val="es-EC" w:eastAsia="es-EC"/>
        </w:rPr>
        <w:t xml:space="preserve">integral </w:t>
      </w:r>
      <w:r w:rsidR="004A505E" w:rsidRPr="00807BF0">
        <w:rPr>
          <w:rFonts w:ascii="Arial" w:hAnsi="Arial" w:cs="Arial"/>
          <w:sz w:val="22"/>
          <w:szCs w:val="22"/>
          <w:lang w:val="es-EC" w:eastAsia="es-EC"/>
        </w:rPr>
        <w:t>cuenta con licencia</w:t>
      </w:r>
      <w:r w:rsidR="006C0D7F" w:rsidRPr="00807BF0">
        <w:rPr>
          <w:rFonts w:ascii="Arial" w:hAnsi="Arial" w:cs="Arial"/>
          <w:sz w:val="22"/>
          <w:szCs w:val="22"/>
          <w:lang w:val="es-EC" w:eastAsia="es-EC"/>
        </w:rPr>
        <w:t>s</w:t>
      </w:r>
      <w:r w:rsidR="004A505E" w:rsidRPr="00807BF0">
        <w:rPr>
          <w:rFonts w:ascii="Arial" w:hAnsi="Arial" w:cs="Arial"/>
          <w:sz w:val="22"/>
          <w:szCs w:val="22"/>
          <w:lang w:val="es-EC" w:eastAsia="es-EC"/>
        </w:rPr>
        <w:t xml:space="preserve"> ambiental</w:t>
      </w:r>
      <w:r w:rsidR="006C0D7F" w:rsidRPr="00807BF0">
        <w:rPr>
          <w:rFonts w:ascii="Arial" w:hAnsi="Arial" w:cs="Arial"/>
          <w:sz w:val="22"/>
          <w:szCs w:val="22"/>
          <w:lang w:val="es-EC" w:eastAsia="es-EC"/>
        </w:rPr>
        <w:t>es</w:t>
      </w:r>
      <w:r w:rsidR="004A505E" w:rsidRPr="00807BF0">
        <w:rPr>
          <w:rFonts w:ascii="Arial" w:hAnsi="Arial" w:cs="Arial"/>
          <w:sz w:val="22"/>
          <w:szCs w:val="22"/>
          <w:lang w:val="es-EC" w:eastAsia="es-EC"/>
        </w:rPr>
        <w:t xml:space="preserve"> </w:t>
      </w:r>
      <w:r w:rsidR="006C0D7F" w:rsidRPr="00807BF0">
        <w:rPr>
          <w:rFonts w:ascii="Arial" w:hAnsi="Arial" w:cs="Arial"/>
          <w:sz w:val="22"/>
          <w:szCs w:val="22"/>
          <w:lang w:val="es-EC" w:eastAsia="es-EC"/>
        </w:rPr>
        <w:t xml:space="preserve">para los tramos: i) Esmeraldas – La Pradera (S/E </w:t>
      </w:r>
      <w:proofErr w:type="spellStart"/>
      <w:r w:rsidR="006C0D7F" w:rsidRPr="00807BF0">
        <w:rPr>
          <w:rFonts w:ascii="Arial" w:hAnsi="Arial" w:cs="Arial"/>
          <w:sz w:val="22"/>
          <w:szCs w:val="22"/>
          <w:lang w:val="es-EC" w:eastAsia="es-EC"/>
        </w:rPr>
        <w:t>Prosperina</w:t>
      </w:r>
      <w:proofErr w:type="spellEnd"/>
      <w:r w:rsidR="006C0D7F" w:rsidRPr="00807BF0">
        <w:rPr>
          <w:rFonts w:ascii="Arial" w:hAnsi="Arial" w:cs="Arial"/>
          <w:sz w:val="22"/>
          <w:szCs w:val="22"/>
          <w:lang w:val="es-EC" w:eastAsia="es-EC"/>
        </w:rPr>
        <w:t xml:space="preserve"> en la Refinería Esmeraldas – S/E La Pradera), ii) La Pradera – </w:t>
      </w:r>
      <w:proofErr w:type="spellStart"/>
      <w:r w:rsidR="006C0D7F" w:rsidRPr="00807BF0">
        <w:rPr>
          <w:rFonts w:ascii="Arial" w:hAnsi="Arial" w:cs="Arial"/>
          <w:sz w:val="22"/>
          <w:szCs w:val="22"/>
          <w:lang w:val="es-EC" w:eastAsia="es-EC"/>
        </w:rPr>
        <w:t>Tonsupa</w:t>
      </w:r>
      <w:proofErr w:type="spellEnd"/>
      <w:r w:rsidR="006C0D7F" w:rsidRPr="00807BF0">
        <w:rPr>
          <w:rFonts w:ascii="Arial" w:hAnsi="Arial" w:cs="Arial"/>
          <w:sz w:val="22"/>
          <w:szCs w:val="22"/>
          <w:lang w:val="es-EC" w:eastAsia="es-EC"/>
        </w:rPr>
        <w:t xml:space="preserve"> (S/E La Pradera – S/E </w:t>
      </w:r>
      <w:proofErr w:type="spellStart"/>
      <w:r w:rsidR="006C0D7F" w:rsidRPr="00807BF0">
        <w:rPr>
          <w:rFonts w:ascii="Arial" w:hAnsi="Arial" w:cs="Arial"/>
          <w:sz w:val="22"/>
          <w:szCs w:val="22"/>
          <w:lang w:val="es-EC" w:eastAsia="es-EC"/>
        </w:rPr>
        <w:t>Tonsu</w:t>
      </w:r>
      <w:r w:rsidR="00D70411" w:rsidRPr="00807BF0">
        <w:rPr>
          <w:rFonts w:ascii="Arial" w:hAnsi="Arial" w:cs="Arial"/>
          <w:sz w:val="22"/>
          <w:szCs w:val="22"/>
          <w:lang w:val="es-EC" w:eastAsia="es-EC"/>
        </w:rPr>
        <w:t>pa</w:t>
      </w:r>
      <w:proofErr w:type="spellEnd"/>
      <w:r w:rsidR="00D70411" w:rsidRPr="00807BF0">
        <w:rPr>
          <w:rFonts w:ascii="Arial" w:hAnsi="Arial" w:cs="Arial"/>
          <w:sz w:val="22"/>
          <w:szCs w:val="22"/>
          <w:lang w:val="es-EC" w:eastAsia="es-EC"/>
        </w:rPr>
        <w:t xml:space="preserve"> por constru</w:t>
      </w:r>
      <w:r w:rsidR="008364EF" w:rsidRPr="00807BF0">
        <w:rPr>
          <w:rFonts w:ascii="Arial" w:hAnsi="Arial" w:cs="Arial"/>
          <w:sz w:val="22"/>
          <w:szCs w:val="22"/>
          <w:lang w:val="es-EC" w:eastAsia="es-EC"/>
        </w:rPr>
        <w:t xml:space="preserve">irse), y, iii) </w:t>
      </w:r>
      <w:proofErr w:type="spellStart"/>
      <w:r w:rsidR="008364EF" w:rsidRPr="00807BF0">
        <w:rPr>
          <w:rFonts w:ascii="Arial" w:hAnsi="Arial" w:cs="Arial"/>
          <w:sz w:val="22"/>
          <w:szCs w:val="22"/>
          <w:lang w:val="es-EC" w:eastAsia="es-EC"/>
        </w:rPr>
        <w:t>Atacames</w:t>
      </w:r>
      <w:proofErr w:type="spellEnd"/>
      <w:r w:rsidR="008364EF" w:rsidRPr="00807BF0">
        <w:rPr>
          <w:rFonts w:ascii="Arial" w:hAnsi="Arial" w:cs="Arial"/>
          <w:sz w:val="22"/>
          <w:szCs w:val="22"/>
          <w:lang w:val="es-EC" w:eastAsia="es-EC"/>
        </w:rPr>
        <w:t xml:space="preserve"> – </w:t>
      </w:r>
      <w:proofErr w:type="spellStart"/>
      <w:r w:rsidR="008364EF" w:rsidRPr="00807BF0">
        <w:rPr>
          <w:rFonts w:ascii="Arial" w:hAnsi="Arial" w:cs="Arial"/>
          <w:sz w:val="22"/>
          <w:szCs w:val="22"/>
          <w:lang w:val="es-EC" w:eastAsia="es-EC"/>
        </w:rPr>
        <w:t>Tonchigüe</w:t>
      </w:r>
      <w:proofErr w:type="spellEnd"/>
      <w:r w:rsidR="008364EF" w:rsidRPr="00807BF0">
        <w:rPr>
          <w:rFonts w:ascii="Arial" w:hAnsi="Arial" w:cs="Arial"/>
          <w:sz w:val="22"/>
          <w:szCs w:val="22"/>
          <w:lang w:val="es-EC" w:eastAsia="es-EC"/>
        </w:rPr>
        <w:t xml:space="preserve"> (S/E </w:t>
      </w:r>
      <w:proofErr w:type="spellStart"/>
      <w:r w:rsidR="008364EF" w:rsidRPr="00807BF0">
        <w:rPr>
          <w:rFonts w:ascii="Arial" w:hAnsi="Arial" w:cs="Arial"/>
          <w:sz w:val="22"/>
          <w:szCs w:val="22"/>
          <w:lang w:val="es-EC" w:eastAsia="es-EC"/>
        </w:rPr>
        <w:t>Atacames</w:t>
      </w:r>
      <w:proofErr w:type="spellEnd"/>
      <w:r w:rsidR="008364EF" w:rsidRPr="00807BF0">
        <w:rPr>
          <w:rFonts w:ascii="Arial" w:hAnsi="Arial" w:cs="Arial"/>
          <w:sz w:val="22"/>
          <w:szCs w:val="22"/>
          <w:lang w:val="es-EC" w:eastAsia="es-EC"/>
        </w:rPr>
        <w:t xml:space="preserve"> – S/E </w:t>
      </w:r>
      <w:proofErr w:type="spellStart"/>
      <w:r w:rsidR="008364EF" w:rsidRPr="00807BF0">
        <w:rPr>
          <w:rFonts w:ascii="Arial" w:hAnsi="Arial" w:cs="Arial"/>
          <w:sz w:val="22"/>
          <w:szCs w:val="22"/>
          <w:lang w:val="es-EC" w:eastAsia="es-EC"/>
        </w:rPr>
        <w:t>Tonchi</w:t>
      </w:r>
      <w:r w:rsidR="00D70411" w:rsidRPr="00807BF0">
        <w:rPr>
          <w:rFonts w:ascii="Arial" w:hAnsi="Arial" w:cs="Arial"/>
          <w:sz w:val="22"/>
          <w:szCs w:val="22"/>
          <w:lang w:val="es-EC" w:eastAsia="es-EC"/>
        </w:rPr>
        <w:t>güe</w:t>
      </w:r>
      <w:proofErr w:type="spellEnd"/>
      <w:r w:rsidR="00D70411" w:rsidRPr="00807BF0">
        <w:rPr>
          <w:rFonts w:ascii="Arial" w:hAnsi="Arial" w:cs="Arial"/>
          <w:sz w:val="22"/>
          <w:szCs w:val="22"/>
          <w:lang w:val="es-EC" w:eastAsia="es-EC"/>
        </w:rPr>
        <w:t>) y consecuentemente con</w:t>
      </w:r>
      <w:r w:rsidR="004A505E" w:rsidRPr="00807BF0">
        <w:rPr>
          <w:rFonts w:ascii="Arial" w:hAnsi="Arial" w:cs="Arial"/>
          <w:sz w:val="22"/>
          <w:szCs w:val="22"/>
          <w:lang w:val="es-EC" w:eastAsia="es-EC"/>
        </w:rPr>
        <w:t xml:space="preserve"> plan</w:t>
      </w:r>
      <w:r w:rsidR="00D70411" w:rsidRPr="00807BF0">
        <w:rPr>
          <w:rFonts w:ascii="Arial" w:hAnsi="Arial" w:cs="Arial"/>
          <w:sz w:val="22"/>
          <w:szCs w:val="22"/>
          <w:lang w:val="es-EC" w:eastAsia="es-EC"/>
        </w:rPr>
        <w:t>es</w:t>
      </w:r>
      <w:r w:rsidR="004A505E" w:rsidRPr="00807BF0">
        <w:rPr>
          <w:rFonts w:ascii="Arial" w:hAnsi="Arial" w:cs="Arial"/>
          <w:sz w:val="22"/>
          <w:szCs w:val="22"/>
          <w:lang w:val="es-EC" w:eastAsia="es-EC"/>
        </w:rPr>
        <w:t xml:space="preserve"> d</w:t>
      </w:r>
      <w:r w:rsidR="00ED1ADD" w:rsidRPr="00807BF0">
        <w:rPr>
          <w:rFonts w:ascii="Arial" w:hAnsi="Arial" w:cs="Arial"/>
          <w:sz w:val="22"/>
          <w:szCs w:val="22"/>
          <w:lang w:val="es-EC" w:eastAsia="es-EC"/>
        </w:rPr>
        <w:t>e</w:t>
      </w:r>
      <w:r w:rsidR="004A505E" w:rsidRPr="00807BF0">
        <w:rPr>
          <w:rFonts w:ascii="Arial" w:hAnsi="Arial" w:cs="Arial"/>
          <w:sz w:val="22"/>
          <w:szCs w:val="22"/>
          <w:lang w:val="es-EC" w:eastAsia="es-EC"/>
        </w:rPr>
        <w:t xml:space="preserve"> manejo ambiental que debe</w:t>
      </w:r>
      <w:r w:rsidR="00D70411" w:rsidRPr="00807BF0">
        <w:rPr>
          <w:rFonts w:ascii="Arial" w:hAnsi="Arial" w:cs="Arial"/>
          <w:sz w:val="22"/>
          <w:szCs w:val="22"/>
          <w:lang w:val="es-EC" w:eastAsia="es-EC"/>
        </w:rPr>
        <w:t>n</w:t>
      </w:r>
      <w:r w:rsidR="004A505E" w:rsidRPr="00807BF0">
        <w:rPr>
          <w:rFonts w:ascii="Arial" w:hAnsi="Arial" w:cs="Arial"/>
          <w:sz w:val="22"/>
          <w:szCs w:val="22"/>
          <w:lang w:val="es-EC" w:eastAsia="es-EC"/>
        </w:rPr>
        <w:t xml:space="preserve"> ser cumplido</w:t>
      </w:r>
      <w:r w:rsidR="00D70411" w:rsidRPr="00807BF0">
        <w:rPr>
          <w:rFonts w:ascii="Arial" w:hAnsi="Arial" w:cs="Arial"/>
          <w:sz w:val="22"/>
          <w:szCs w:val="22"/>
          <w:lang w:val="es-EC" w:eastAsia="es-EC"/>
        </w:rPr>
        <w:t>s</w:t>
      </w:r>
      <w:r w:rsidR="004A505E" w:rsidRPr="00807BF0">
        <w:rPr>
          <w:rFonts w:ascii="Arial" w:hAnsi="Arial" w:cs="Arial"/>
          <w:sz w:val="22"/>
          <w:szCs w:val="22"/>
          <w:lang w:val="es-EC" w:eastAsia="es-EC"/>
        </w:rPr>
        <w:t xml:space="preserve"> estrictamente.</w:t>
      </w:r>
      <w:r w:rsidR="00ED1ADD" w:rsidRPr="00807BF0">
        <w:rPr>
          <w:rFonts w:ascii="Arial" w:hAnsi="Arial" w:cs="Arial"/>
          <w:sz w:val="22"/>
          <w:szCs w:val="22"/>
          <w:lang w:val="es-EC" w:eastAsia="es-EC"/>
        </w:rPr>
        <w:t xml:space="preserve"> </w:t>
      </w:r>
      <w:r w:rsidR="00D70411" w:rsidRPr="00807BF0">
        <w:rPr>
          <w:rFonts w:ascii="Arial" w:hAnsi="Arial" w:cs="Arial"/>
          <w:sz w:val="22"/>
          <w:szCs w:val="22"/>
          <w:lang w:val="es-EC" w:eastAsia="es-EC"/>
        </w:rPr>
        <w:t xml:space="preserve">El tramo </w:t>
      </w:r>
      <w:proofErr w:type="spellStart"/>
      <w:r w:rsidR="00D70411" w:rsidRPr="00807BF0">
        <w:rPr>
          <w:rFonts w:ascii="Arial" w:hAnsi="Arial" w:cs="Arial"/>
          <w:sz w:val="22"/>
          <w:szCs w:val="22"/>
          <w:lang w:val="es-EC" w:eastAsia="es-EC"/>
        </w:rPr>
        <w:t>To</w:t>
      </w:r>
      <w:r w:rsidR="008364EF" w:rsidRPr="00807BF0">
        <w:rPr>
          <w:rFonts w:ascii="Arial" w:hAnsi="Arial" w:cs="Arial"/>
          <w:sz w:val="22"/>
          <w:szCs w:val="22"/>
          <w:lang w:val="es-EC" w:eastAsia="es-EC"/>
        </w:rPr>
        <w:t>n</w:t>
      </w:r>
      <w:r w:rsidR="00D70411" w:rsidRPr="00807BF0">
        <w:rPr>
          <w:rFonts w:ascii="Arial" w:hAnsi="Arial" w:cs="Arial"/>
          <w:sz w:val="22"/>
          <w:szCs w:val="22"/>
          <w:lang w:val="es-EC" w:eastAsia="es-EC"/>
        </w:rPr>
        <w:t>supa</w:t>
      </w:r>
      <w:proofErr w:type="spellEnd"/>
      <w:r w:rsidR="00D70411" w:rsidRPr="00807BF0">
        <w:rPr>
          <w:rFonts w:ascii="Arial" w:hAnsi="Arial" w:cs="Arial"/>
          <w:sz w:val="22"/>
          <w:szCs w:val="22"/>
          <w:lang w:val="es-EC" w:eastAsia="es-EC"/>
        </w:rPr>
        <w:t xml:space="preserve"> – </w:t>
      </w:r>
      <w:proofErr w:type="spellStart"/>
      <w:r w:rsidR="00D70411" w:rsidRPr="00807BF0">
        <w:rPr>
          <w:rFonts w:ascii="Arial" w:hAnsi="Arial" w:cs="Arial"/>
          <w:sz w:val="22"/>
          <w:szCs w:val="22"/>
          <w:lang w:val="es-EC" w:eastAsia="es-EC"/>
        </w:rPr>
        <w:t>Atacames</w:t>
      </w:r>
      <w:proofErr w:type="spellEnd"/>
      <w:r w:rsidR="00D70411" w:rsidRPr="00807BF0">
        <w:rPr>
          <w:rFonts w:ascii="Arial" w:hAnsi="Arial" w:cs="Arial"/>
          <w:sz w:val="22"/>
          <w:szCs w:val="22"/>
          <w:lang w:val="es-EC" w:eastAsia="es-EC"/>
        </w:rPr>
        <w:t xml:space="preserve"> de 10 km, se encuentra en proceso de regularización ambiental y se espera obtener un Registro Ambiental con su respecto plan de manejo ambiental.</w:t>
      </w:r>
    </w:p>
    <w:p w:rsidR="00075A2F" w:rsidRPr="00807BF0" w:rsidRDefault="00075A2F" w:rsidP="00C53DC3">
      <w:pPr>
        <w:pStyle w:val="Paragraph"/>
        <w:numPr>
          <w:ilvl w:val="0"/>
          <w:numId w:val="0"/>
        </w:numPr>
        <w:tabs>
          <w:tab w:val="left" w:pos="720"/>
        </w:tabs>
        <w:outlineLvl w:val="9"/>
        <w:rPr>
          <w:rFonts w:ascii="Arial" w:hAnsi="Arial" w:cs="Arial"/>
          <w:sz w:val="22"/>
          <w:szCs w:val="22"/>
        </w:rPr>
      </w:pPr>
    </w:p>
    <w:p w:rsidR="00075A2F" w:rsidRPr="00807BF0" w:rsidRDefault="00075A2F" w:rsidP="00C53DC3">
      <w:pPr>
        <w:pStyle w:val="Paragraph"/>
        <w:numPr>
          <w:ilvl w:val="0"/>
          <w:numId w:val="0"/>
        </w:numPr>
        <w:tabs>
          <w:tab w:val="left" w:pos="720"/>
        </w:tabs>
        <w:jc w:val="center"/>
        <w:outlineLvl w:val="9"/>
        <w:rPr>
          <w:rFonts w:ascii="Arial" w:hAnsi="Arial" w:cs="Arial"/>
          <w:sz w:val="22"/>
          <w:szCs w:val="22"/>
        </w:rPr>
      </w:pPr>
      <w:r w:rsidRPr="00807BF0">
        <w:rPr>
          <w:rFonts w:ascii="Arial" w:hAnsi="Arial" w:cs="Arial"/>
          <w:sz w:val="22"/>
          <w:szCs w:val="22"/>
        </w:rPr>
        <w:t>Figura No. 4: Trazado integral del Subsistema Esmeraldas -</w:t>
      </w:r>
      <w:proofErr w:type="spellStart"/>
      <w:r w:rsidRPr="00807BF0">
        <w:rPr>
          <w:rFonts w:ascii="Arial" w:hAnsi="Arial" w:cs="Arial"/>
          <w:sz w:val="22"/>
          <w:szCs w:val="22"/>
        </w:rPr>
        <w:t>Tonchigüe</w:t>
      </w:r>
      <w:proofErr w:type="spellEnd"/>
    </w:p>
    <w:p w:rsidR="00075A2F" w:rsidRPr="00807BF0" w:rsidRDefault="00075A2F" w:rsidP="00C53DC3">
      <w:pPr>
        <w:pStyle w:val="Paragraph"/>
        <w:numPr>
          <w:ilvl w:val="0"/>
          <w:numId w:val="0"/>
        </w:numPr>
        <w:tabs>
          <w:tab w:val="left" w:pos="720"/>
        </w:tabs>
        <w:ind w:left="720" w:hanging="720"/>
        <w:outlineLvl w:val="9"/>
        <w:rPr>
          <w:rFonts w:ascii="Arial" w:hAnsi="Arial" w:cs="Arial"/>
          <w:sz w:val="22"/>
          <w:szCs w:val="22"/>
          <w:lang w:val="es-EC" w:eastAsia="es-EC"/>
        </w:rPr>
      </w:pPr>
    </w:p>
    <w:p w:rsidR="00075A2F" w:rsidRPr="00807BF0" w:rsidRDefault="00075A2F" w:rsidP="00C53DC3">
      <w:pPr>
        <w:pStyle w:val="Paragraph"/>
        <w:numPr>
          <w:ilvl w:val="0"/>
          <w:numId w:val="0"/>
        </w:numPr>
        <w:tabs>
          <w:tab w:val="left" w:pos="720"/>
        </w:tabs>
        <w:ind w:left="709"/>
        <w:outlineLvl w:val="9"/>
        <w:rPr>
          <w:rFonts w:ascii="Arial" w:hAnsi="Arial" w:cs="Arial"/>
          <w:sz w:val="22"/>
          <w:szCs w:val="22"/>
          <w:lang w:val="es-EC" w:eastAsia="es-EC"/>
        </w:rPr>
      </w:pPr>
      <w:r w:rsidRPr="00807BF0">
        <w:rPr>
          <w:rFonts w:ascii="Arial" w:hAnsi="Arial" w:cs="Arial"/>
          <w:noProof/>
          <w:sz w:val="22"/>
          <w:szCs w:val="22"/>
          <w:lang w:val="en-US" w:eastAsia="en-US"/>
        </w:rPr>
        <w:drawing>
          <wp:inline distT="0" distB="0" distL="0" distR="0" wp14:anchorId="1482EE66" wp14:editId="7E007347">
            <wp:extent cx="4943474" cy="3048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5847" cy="3049463"/>
                    </a:xfrm>
                    <a:prstGeom prst="rect">
                      <a:avLst/>
                    </a:prstGeom>
                    <a:noFill/>
                    <a:ln>
                      <a:noFill/>
                    </a:ln>
                  </pic:spPr>
                </pic:pic>
              </a:graphicData>
            </a:graphic>
          </wp:inline>
        </w:drawing>
      </w:r>
    </w:p>
    <w:p w:rsidR="00075A2F" w:rsidRPr="00807BF0" w:rsidRDefault="00075A2F" w:rsidP="00C53DC3">
      <w:pPr>
        <w:pStyle w:val="Paragraph"/>
        <w:numPr>
          <w:ilvl w:val="0"/>
          <w:numId w:val="0"/>
        </w:numPr>
        <w:tabs>
          <w:tab w:val="left" w:pos="720"/>
        </w:tabs>
        <w:ind w:left="709"/>
        <w:outlineLvl w:val="9"/>
        <w:rPr>
          <w:rFonts w:ascii="Arial" w:hAnsi="Arial" w:cs="Arial"/>
          <w:sz w:val="22"/>
          <w:szCs w:val="22"/>
          <w:lang w:val="es-EC" w:eastAsia="es-EC"/>
        </w:rPr>
      </w:pPr>
    </w:p>
    <w:p w:rsidR="00C8367D" w:rsidRPr="00807BF0" w:rsidRDefault="00ED1ADD"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lang w:val="es-EC" w:eastAsia="es-EC"/>
        </w:rPr>
        <w:lastRenderedPageBreak/>
        <w:t xml:space="preserve">Las áreas de intervención de este proyecto de reforzamiento son principalmente vías públicas por lo cual las afectaciones a </w:t>
      </w:r>
      <w:r w:rsidR="00385BE8" w:rsidRPr="00807BF0">
        <w:rPr>
          <w:rFonts w:ascii="Arial" w:hAnsi="Arial" w:cs="Arial"/>
          <w:sz w:val="22"/>
          <w:szCs w:val="22"/>
          <w:lang w:val="es-EC" w:eastAsia="es-EC"/>
        </w:rPr>
        <w:t>las poblaciones son</w:t>
      </w:r>
      <w:r w:rsidRPr="00807BF0">
        <w:rPr>
          <w:rFonts w:ascii="Arial" w:hAnsi="Arial" w:cs="Arial"/>
          <w:sz w:val="22"/>
          <w:szCs w:val="22"/>
          <w:lang w:val="es-EC" w:eastAsia="es-EC"/>
        </w:rPr>
        <w:t xml:space="preserve"> insignificante</w:t>
      </w:r>
      <w:r w:rsidR="00385BE8" w:rsidRPr="00807BF0">
        <w:rPr>
          <w:rFonts w:ascii="Arial" w:hAnsi="Arial" w:cs="Arial"/>
          <w:sz w:val="22"/>
          <w:szCs w:val="22"/>
          <w:lang w:val="es-EC" w:eastAsia="es-EC"/>
        </w:rPr>
        <w:t>s</w:t>
      </w:r>
      <w:r w:rsidRPr="00807BF0">
        <w:rPr>
          <w:rFonts w:ascii="Arial" w:hAnsi="Arial" w:cs="Arial"/>
          <w:sz w:val="22"/>
          <w:szCs w:val="22"/>
          <w:lang w:val="es-EC" w:eastAsia="es-EC"/>
        </w:rPr>
        <w:t>. Más bien el proyecto pretende optimizar y asegurar la LT con un nuevo trazado, eliminado zonas donde el paso de la LT es de alto riego por el crecimiento acelerado de la construcción de vivienda sobre el antiguo derecho de vía existente</w:t>
      </w:r>
      <w:r w:rsidR="00E51765" w:rsidRPr="00807BF0">
        <w:rPr>
          <w:rFonts w:ascii="Arial" w:hAnsi="Arial" w:cs="Arial"/>
          <w:sz w:val="22"/>
          <w:szCs w:val="22"/>
          <w:lang w:val="es-EC" w:eastAsia="es-EC"/>
        </w:rPr>
        <w:t xml:space="preserve"> por procesos de invasión de tierras</w:t>
      </w:r>
      <w:r w:rsidRPr="00807BF0">
        <w:rPr>
          <w:rFonts w:ascii="Arial" w:hAnsi="Arial" w:cs="Arial"/>
          <w:sz w:val="22"/>
          <w:szCs w:val="22"/>
          <w:lang w:val="es-EC" w:eastAsia="es-EC"/>
        </w:rPr>
        <w:t>.</w:t>
      </w:r>
      <w:r w:rsidR="00153007" w:rsidRPr="00807BF0">
        <w:rPr>
          <w:rFonts w:ascii="Arial" w:hAnsi="Arial" w:cs="Arial"/>
          <w:sz w:val="22"/>
          <w:szCs w:val="22"/>
          <w:lang w:val="es-EC" w:eastAsia="es-EC"/>
        </w:rPr>
        <w:t xml:space="preserve"> </w:t>
      </w:r>
      <w:r w:rsidR="000C485C" w:rsidRPr="00807BF0">
        <w:rPr>
          <w:rFonts w:ascii="Arial" w:hAnsi="Arial" w:cs="Arial"/>
          <w:sz w:val="22"/>
          <w:szCs w:val="22"/>
          <w:lang w:val="es-EC" w:eastAsia="es-EC"/>
        </w:rPr>
        <w:t xml:space="preserve">La ruta en su mayoría sigue la línea existente de la vía principal que une las poblaciones de Esmeraldas – </w:t>
      </w:r>
      <w:proofErr w:type="spellStart"/>
      <w:r w:rsidR="000C485C" w:rsidRPr="00807BF0">
        <w:rPr>
          <w:rFonts w:ascii="Arial" w:hAnsi="Arial" w:cs="Arial"/>
          <w:sz w:val="22"/>
          <w:szCs w:val="22"/>
          <w:lang w:val="es-EC" w:eastAsia="es-EC"/>
        </w:rPr>
        <w:t>Tonsupa</w:t>
      </w:r>
      <w:proofErr w:type="spellEnd"/>
      <w:r w:rsidR="000C485C" w:rsidRPr="00807BF0">
        <w:rPr>
          <w:rFonts w:ascii="Arial" w:hAnsi="Arial" w:cs="Arial"/>
          <w:sz w:val="22"/>
          <w:szCs w:val="22"/>
          <w:lang w:val="es-EC" w:eastAsia="es-EC"/>
        </w:rPr>
        <w:t xml:space="preserve"> – </w:t>
      </w:r>
      <w:proofErr w:type="spellStart"/>
      <w:r w:rsidR="000C485C" w:rsidRPr="00807BF0">
        <w:rPr>
          <w:rFonts w:ascii="Arial" w:hAnsi="Arial" w:cs="Arial"/>
          <w:sz w:val="22"/>
          <w:szCs w:val="22"/>
          <w:lang w:val="es-EC" w:eastAsia="es-EC"/>
        </w:rPr>
        <w:t>Atacames</w:t>
      </w:r>
      <w:proofErr w:type="spellEnd"/>
      <w:r w:rsidR="000C485C" w:rsidRPr="00807BF0">
        <w:rPr>
          <w:rFonts w:ascii="Arial" w:hAnsi="Arial" w:cs="Arial"/>
          <w:sz w:val="22"/>
          <w:szCs w:val="22"/>
          <w:lang w:val="es-EC" w:eastAsia="es-EC"/>
        </w:rPr>
        <w:t xml:space="preserve">, atravesando las poblaciones y zonas agrícolas y ganaderas. </w:t>
      </w:r>
      <w:r w:rsidR="00153007" w:rsidRPr="00807BF0">
        <w:rPr>
          <w:rFonts w:ascii="Arial" w:hAnsi="Arial" w:cs="Arial"/>
          <w:sz w:val="22"/>
          <w:szCs w:val="22"/>
          <w:lang w:val="es-EC" w:eastAsia="es-EC"/>
        </w:rPr>
        <w:t>El predio para la construcción de la</w:t>
      </w:r>
      <w:r w:rsidR="00D70411" w:rsidRPr="00807BF0">
        <w:rPr>
          <w:rFonts w:ascii="Arial" w:hAnsi="Arial" w:cs="Arial"/>
          <w:sz w:val="22"/>
          <w:szCs w:val="22"/>
          <w:lang w:val="es-EC" w:eastAsia="es-EC"/>
        </w:rPr>
        <w:t>s</w:t>
      </w:r>
      <w:r w:rsidR="00153007" w:rsidRPr="00807BF0">
        <w:rPr>
          <w:rFonts w:ascii="Arial" w:hAnsi="Arial" w:cs="Arial"/>
          <w:sz w:val="22"/>
          <w:szCs w:val="22"/>
          <w:lang w:val="es-EC" w:eastAsia="es-EC"/>
        </w:rPr>
        <w:t xml:space="preserve"> nueva</w:t>
      </w:r>
      <w:r w:rsidR="00D70411" w:rsidRPr="00807BF0">
        <w:rPr>
          <w:rFonts w:ascii="Arial" w:hAnsi="Arial" w:cs="Arial"/>
          <w:sz w:val="22"/>
          <w:szCs w:val="22"/>
          <w:lang w:val="es-EC" w:eastAsia="es-EC"/>
        </w:rPr>
        <w:t>s</w:t>
      </w:r>
      <w:r w:rsidR="00153007" w:rsidRPr="00807BF0">
        <w:rPr>
          <w:rFonts w:ascii="Arial" w:hAnsi="Arial" w:cs="Arial"/>
          <w:sz w:val="22"/>
          <w:szCs w:val="22"/>
          <w:lang w:val="es-EC" w:eastAsia="es-EC"/>
        </w:rPr>
        <w:t xml:space="preserve"> S</w:t>
      </w:r>
      <w:r w:rsidR="00D70411" w:rsidRPr="00807BF0">
        <w:rPr>
          <w:rFonts w:ascii="Arial" w:hAnsi="Arial" w:cs="Arial"/>
          <w:sz w:val="22"/>
          <w:szCs w:val="22"/>
          <w:lang w:val="es-EC" w:eastAsia="es-EC"/>
        </w:rPr>
        <w:t>/</w:t>
      </w:r>
      <w:r w:rsidR="00153007" w:rsidRPr="00807BF0">
        <w:rPr>
          <w:rFonts w:ascii="Arial" w:hAnsi="Arial" w:cs="Arial"/>
          <w:sz w:val="22"/>
          <w:szCs w:val="22"/>
          <w:lang w:val="es-EC" w:eastAsia="es-EC"/>
        </w:rPr>
        <w:t xml:space="preserve">E </w:t>
      </w:r>
      <w:r w:rsidR="00D70411" w:rsidRPr="00807BF0">
        <w:rPr>
          <w:rFonts w:ascii="Arial" w:hAnsi="Arial" w:cs="Arial"/>
          <w:sz w:val="22"/>
          <w:szCs w:val="22"/>
          <w:lang w:val="es-EC" w:eastAsia="es-EC"/>
        </w:rPr>
        <w:t xml:space="preserve">La Pradera, </w:t>
      </w:r>
      <w:proofErr w:type="spellStart"/>
      <w:r w:rsidR="00153007" w:rsidRPr="00807BF0">
        <w:rPr>
          <w:rFonts w:ascii="Arial" w:hAnsi="Arial" w:cs="Arial"/>
          <w:sz w:val="22"/>
          <w:szCs w:val="22"/>
          <w:lang w:val="es-EC" w:eastAsia="es-EC"/>
        </w:rPr>
        <w:t>Tonsupa</w:t>
      </w:r>
      <w:proofErr w:type="spellEnd"/>
      <w:r w:rsidR="00D70411" w:rsidRPr="00807BF0">
        <w:rPr>
          <w:rFonts w:ascii="Arial" w:hAnsi="Arial" w:cs="Arial"/>
          <w:sz w:val="22"/>
          <w:szCs w:val="22"/>
          <w:lang w:val="es-EC" w:eastAsia="es-EC"/>
        </w:rPr>
        <w:t xml:space="preserve"> y </w:t>
      </w:r>
      <w:proofErr w:type="spellStart"/>
      <w:r w:rsidR="00D70411" w:rsidRPr="00807BF0">
        <w:rPr>
          <w:rFonts w:ascii="Arial" w:hAnsi="Arial" w:cs="Arial"/>
          <w:sz w:val="22"/>
          <w:szCs w:val="22"/>
          <w:lang w:val="es-EC" w:eastAsia="es-EC"/>
        </w:rPr>
        <w:t>Tonchigüe</w:t>
      </w:r>
      <w:proofErr w:type="spellEnd"/>
      <w:r w:rsidR="00D70411" w:rsidRPr="00807BF0">
        <w:rPr>
          <w:rFonts w:ascii="Arial" w:hAnsi="Arial" w:cs="Arial"/>
          <w:sz w:val="22"/>
          <w:szCs w:val="22"/>
          <w:lang w:val="es-EC" w:eastAsia="es-EC"/>
        </w:rPr>
        <w:t>, son</w:t>
      </w:r>
      <w:r w:rsidR="00153007" w:rsidRPr="00807BF0">
        <w:rPr>
          <w:rFonts w:ascii="Arial" w:hAnsi="Arial" w:cs="Arial"/>
          <w:sz w:val="22"/>
          <w:szCs w:val="22"/>
          <w:lang w:val="es-EC" w:eastAsia="es-EC"/>
        </w:rPr>
        <w:t xml:space="preserve"> de propiedad de la empresa CNEL Esmeraldas y por lo tanto no generará afectación por expropiaciones.</w:t>
      </w:r>
    </w:p>
    <w:p w:rsidR="003859F3" w:rsidRPr="00807BF0" w:rsidRDefault="003859F3" w:rsidP="00C53DC3">
      <w:pPr>
        <w:pStyle w:val="Paragraph"/>
        <w:numPr>
          <w:ilvl w:val="0"/>
          <w:numId w:val="0"/>
        </w:numPr>
        <w:tabs>
          <w:tab w:val="left" w:pos="720"/>
        </w:tabs>
        <w:ind w:left="709"/>
        <w:outlineLvl w:val="9"/>
        <w:rPr>
          <w:rFonts w:ascii="Arial" w:hAnsi="Arial" w:cs="Arial"/>
          <w:sz w:val="22"/>
          <w:szCs w:val="22"/>
        </w:rPr>
      </w:pPr>
    </w:p>
    <w:p w:rsidR="00075A2F" w:rsidRPr="00807BF0" w:rsidRDefault="00075A2F"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sz w:val="22"/>
          <w:szCs w:val="22"/>
          <w:lang w:val="es-EC" w:eastAsia="es-EC"/>
        </w:rPr>
        <w:t>Figura No. 5: Vista de trazado actual con afectación directa a viviendas</w:t>
      </w:r>
    </w:p>
    <w:tbl>
      <w:tblPr>
        <w:tblStyle w:val="TableGrid"/>
        <w:tblW w:w="0" w:type="auto"/>
        <w:tblInd w:w="709" w:type="dxa"/>
        <w:tblLook w:val="04A0" w:firstRow="1" w:lastRow="0" w:firstColumn="1" w:lastColumn="0" w:noHBand="0" w:noVBand="1"/>
      </w:tblPr>
      <w:tblGrid>
        <w:gridCol w:w="4341"/>
        <w:gridCol w:w="3670"/>
      </w:tblGrid>
      <w:tr w:rsidR="000D57D2" w:rsidRPr="00807BF0" w:rsidTr="00CD2990">
        <w:tc>
          <w:tcPr>
            <w:tcW w:w="4247" w:type="dxa"/>
          </w:tcPr>
          <w:p w:rsidR="000D57D2" w:rsidRPr="00807BF0" w:rsidRDefault="000D57D2"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72535BC8" wp14:editId="02F50491">
                  <wp:extent cx="2619375" cy="14695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9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816" cy="1477089"/>
                          </a:xfrm>
                          <a:prstGeom prst="rect">
                            <a:avLst/>
                          </a:prstGeom>
                        </pic:spPr>
                      </pic:pic>
                    </a:graphicData>
                  </a:graphic>
                </wp:inline>
              </w:drawing>
            </w:r>
          </w:p>
          <w:p w:rsidR="000D57D2" w:rsidRPr="00807BF0" w:rsidRDefault="000D57D2"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 xml:space="preserve">Vista de la L/ST sobre viviendas en zona de </w:t>
            </w:r>
            <w:proofErr w:type="spellStart"/>
            <w:r w:rsidRPr="00807BF0">
              <w:rPr>
                <w:rFonts w:ascii="Arial" w:hAnsi="Arial" w:cs="Arial"/>
                <w:sz w:val="22"/>
                <w:szCs w:val="22"/>
              </w:rPr>
              <w:t>Atacames</w:t>
            </w:r>
            <w:proofErr w:type="spellEnd"/>
            <w:r w:rsidR="00A56956" w:rsidRPr="00807BF0">
              <w:rPr>
                <w:rFonts w:ascii="Arial" w:hAnsi="Arial" w:cs="Arial"/>
                <w:sz w:val="22"/>
                <w:szCs w:val="22"/>
              </w:rPr>
              <w:t>, generando alto riesgo a la población.</w:t>
            </w:r>
          </w:p>
        </w:tc>
        <w:tc>
          <w:tcPr>
            <w:tcW w:w="4247" w:type="dxa"/>
          </w:tcPr>
          <w:p w:rsidR="000D57D2" w:rsidRPr="00807BF0" w:rsidRDefault="00075A2F" w:rsidP="00C53DC3">
            <w:pPr>
              <w:pStyle w:val="Paragraph"/>
              <w:numPr>
                <w:ilvl w:val="0"/>
                <w:numId w:val="0"/>
              </w:numPr>
              <w:tabs>
                <w:tab w:val="left" w:pos="720"/>
              </w:tabs>
              <w:jc w:val="center"/>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0CBCDA5D" wp14:editId="4411D14B">
                  <wp:extent cx="2221930" cy="1502008"/>
                  <wp:effectExtent l="0" t="1905" r="508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1969.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41633" cy="1515327"/>
                          </a:xfrm>
                          <a:prstGeom prst="rect">
                            <a:avLst/>
                          </a:prstGeom>
                        </pic:spPr>
                      </pic:pic>
                    </a:graphicData>
                  </a:graphic>
                </wp:inline>
              </w:drawing>
            </w:r>
          </w:p>
          <w:p w:rsidR="000D57D2" w:rsidRPr="00807BF0" w:rsidRDefault="00075A2F"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 xml:space="preserve">Vista de la L/ST sobre viviendas en zona </w:t>
            </w:r>
            <w:proofErr w:type="spellStart"/>
            <w:r w:rsidRPr="00807BF0">
              <w:rPr>
                <w:rFonts w:ascii="Arial" w:hAnsi="Arial" w:cs="Arial"/>
                <w:sz w:val="22"/>
                <w:szCs w:val="22"/>
              </w:rPr>
              <w:t>Tonsupa</w:t>
            </w:r>
            <w:proofErr w:type="spellEnd"/>
            <w:r w:rsidRPr="00807BF0">
              <w:rPr>
                <w:rFonts w:ascii="Arial" w:hAnsi="Arial" w:cs="Arial"/>
                <w:sz w:val="22"/>
                <w:szCs w:val="22"/>
              </w:rPr>
              <w:t>, generando alto riesgo a la población.</w:t>
            </w:r>
          </w:p>
        </w:tc>
      </w:tr>
    </w:tbl>
    <w:p w:rsidR="00FF08D3" w:rsidRPr="00807BF0" w:rsidRDefault="00FF08D3" w:rsidP="00C53DC3">
      <w:pPr>
        <w:pStyle w:val="Paragraph"/>
        <w:numPr>
          <w:ilvl w:val="0"/>
          <w:numId w:val="0"/>
        </w:numPr>
        <w:tabs>
          <w:tab w:val="left" w:pos="720"/>
        </w:tabs>
        <w:outlineLvl w:val="9"/>
        <w:rPr>
          <w:rFonts w:ascii="Arial" w:hAnsi="Arial" w:cs="Arial"/>
          <w:sz w:val="22"/>
          <w:szCs w:val="22"/>
          <w:u w:val="single"/>
        </w:rPr>
      </w:pPr>
    </w:p>
    <w:p w:rsidR="00D975A6" w:rsidRPr="00807BF0" w:rsidRDefault="00AA5BEE" w:rsidP="00C53DC3">
      <w:pPr>
        <w:pStyle w:val="Paragraph"/>
        <w:numPr>
          <w:ilvl w:val="1"/>
          <w:numId w:val="1"/>
        </w:numPr>
        <w:tabs>
          <w:tab w:val="left" w:pos="720"/>
        </w:tabs>
        <w:ind w:left="709" w:hanging="709"/>
        <w:outlineLvl w:val="9"/>
        <w:rPr>
          <w:rFonts w:ascii="Arial" w:hAnsi="Arial" w:cs="Arial"/>
          <w:sz w:val="22"/>
          <w:szCs w:val="22"/>
          <w:lang w:val="es-EC" w:eastAsia="es-EC"/>
        </w:rPr>
      </w:pPr>
      <w:r w:rsidRPr="00807BF0">
        <w:rPr>
          <w:rFonts w:ascii="Arial" w:hAnsi="Arial" w:cs="Arial"/>
          <w:sz w:val="22"/>
          <w:szCs w:val="22"/>
          <w:lang w:val="es-EC" w:eastAsia="es-EC"/>
        </w:rPr>
        <w:t xml:space="preserve">El proceso de consulta pública de los proyectos </w:t>
      </w:r>
      <w:r w:rsidR="00CB1783" w:rsidRPr="00807BF0">
        <w:rPr>
          <w:rFonts w:ascii="Arial" w:hAnsi="Arial" w:cs="Arial"/>
          <w:sz w:val="22"/>
          <w:szCs w:val="22"/>
          <w:lang w:val="es-EC" w:eastAsia="es-EC"/>
        </w:rPr>
        <w:t xml:space="preserve">que hacen parte </w:t>
      </w:r>
      <w:r w:rsidRPr="00807BF0">
        <w:rPr>
          <w:rFonts w:ascii="Arial" w:hAnsi="Arial" w:cs="Arial"/>
          <w:sz w:val="22"/>
          <w:szCs w:val="22"/>
          <w:lang w:val="es-EC" w:eastAsia="es-EC"/>
        </w:rPr>
        <w:t xml:space="preserve">de este reforzamiento, se llevaron a cabo conforme a los mecanismos y herramientas de participación social, señalados en la legislación referente a la evaluación de impacto ambiental en el Ecuador. De esta forma se evidenció, a través de los informes entregados lo siguiente: i) para el proyecto de la S/E </w:t>
      </w:r>
      <w:proofErr w:type="spellStart"/>
      <w:r w:rsidRPr="00807BF0">
        <w:rPr>
          <w:rFonts w:ascii="Arial" w:hAnsi="Arial" w:cs="Arial"/>
          <w:sz w:val="22"/>
          <w:szCs w:val="22"/>
          <w:lang w:val="es-EC" w:eastAsia="es-EC"/>
        </w:rPr>
        <w:t>Tonchigüe</w:t>
      </w:r>
      <w:proofErr w:type="spellEnd"/>
      <w:r w:rsidRPr="00807BF0">
        <w:rPr>
          <w:rFonts w:ascii="Arial" w:hAnsi="Arial" w:cs="Arial"/>
          <w:sz w:val="22"/>
          <w:szCs w:val="22"/>
          <w:lang w:val="es-EC" w:eastAsia="es-EC"/>
        </w:rPr>
        <w:t>, el proceso de socialización se llevó a cabo en enero de 2014, en una reunión informativa pública en la cancha de uso múltiple de la comunidad Abdón Calderón y se contó con un centro de información para revisi</w:t>
      </w:r>
      <w:r w:rsidR="00CB1783" w:rsidRPr="00807BF0">
        <w:rPr>
          <w:rFonts w:ascii="Arial" w:hAnsi="Arial" w:cs="Arial"/>
          <w:sz w:val="22"/>
          <w:szCs w:val="22"/>
          <w:lang w:val="es-EC" w:eastAsia="es-EC"/>
        </w:rPr>
        <w:t>ón del estudio a</w:t>
      </w:r>
      <w:r w:rsidRPr="00807BF0">
        <w:rPr>
          <w:rFonts w:ascii="Arial" w:hAnsi="Arial" w:cs="Arial"/>
          <w:sz w:val="22"/>
          <w:szCs w:val="22"/>
          <w:lang w:val="es-EC" w:eastAsia="es-EC"/>
        </w:rPr>
        <w:t>mbiental por 14 días</w:t>
      </w:r>
      <w:r w:rsidR="00DC0EB4" w:rsidRPr="00807BF0">
        <w:rPr>
          <w:rFonts w:ascii="Arial" w:hAnsi="Arial" w:cs="Arial"/>
          <w:sz w:val="22"/>
          <w:szCs w:val="22"/>
          <w:lang w:val="es-EC" w:eastAsia="es-EC"/>
        </w:rPr>
        <w:t xml:space="preserve"> en el mismo mes y año</w:t>
      </w:r>
      <w:r w:rsidRPr="00807BF0">
        <w:rPr>
          <w:rFonts w:ascii="Arial" w:hAnsi="Arial" w:cs="Arial"/>
          <w:sz w:val="22"/>
          <w:szCs w:val="22"/>
          <w:lang w:val="es-EC" w:eastAsia="es-EC"/>
        </w:rPr>
        <w:t xml:space="preserve">; ii) el proyecto de la línea de subtransmisión de 69 KV y de la sub estación </w:t>
      </w:r>
      <w:proofErr w:type="spellStart"/>
      <w:r w:rsidRPr="00807BF0">
        <w:rPr>
          <w:rFonts w:ascii="Arial" w:hAnsi="Arial" w:cs="Arial"/>
          <w:sz w:val="22"/>
          <w:szCs w:val="22"/>
          <w:lang w:val="es-EC" w:eastAsia="es-EC"/>
        </w:rPr>
        <w:t>Tonsupa</w:t>
      </w:r>
      <w:proofErr w:type="spellEnd"/>
      <w:r w:rsidRPr="00807BF0">
        <w:rPr>
          <w:rFonts w:ascii="Arial" w:hAnsi="Arial" w:cs="Arial"/>
          <w:sz w:val="22"/>
          <w:szCs w:val="22"/>
          <w:lang w:val="es-EC" w:eastAsia="es-EC"/>
        </w:rPr>
        <w:t xml:space="preserve"> a 69 / 13.8 KV, </w:t>
      </w:r>
      <w:r w:rsidR="00DC0EB4" w:rsidRPr="00807BF0">
        <w:rPr>
          <w:rFonts w:ascii="Arial" w:hAnsi="Arial" w:cs="Arial"/>
          <w:sz w:val="22"/>
          <w:szCs w:val="22"/>
          <w:lang w:val="es-EC" w:eastAsia="es-EC"/>
        </w:rPr>
        <w:t xml:space="preserve">cumplió con la ejecución de la audiencia pública en marzo 2015, en el hotel El Cisne de la vía a </w:t>
      </w:r>
      <w:proofErr w:type="spellStart"/>
      <w:r w:rsidR="00DC0EB4" w:rsidRPr="00807BF0">
        <w:rPr>
          <w:rFonts w:ascii="Arial" w:hAnsi="Arial" w:cs="Arial"/>
          <w:sz w:val="22"/>
          <w:szCs w:val="22"/>
          <w:lang w:val="es-EC" w:eastAsia="es-EC"/>
        </w:rPr>
        <w:t>Atacames</w:t>
      </w:r>
      <w:proofErr w:type="spellEnd"/>
      <w:r w:rsidR="00DC0EB4" w:rsidRPr="00807BF0">
        <w:rPr>
          <w:rFonts w:ascii="Arial" w:hAnsi="Arial" w:cs="Arial"/>
          <w:sz w:val="22"/>
          <w:szCs w:val="22"/>
          <w:lang w:val="es-EC" w:eastAsia="es-EC"/>
        </w:rPr>
        <w:t xml:space="preserve">, e instaló un centro de información pública por 14 días para revisión del estudio de impacto ambiental entre marzo y abril del 2015; iii) en febrero de 2015, en las oficinas de la unidad educativa Jaime Hurtado junto a la refinería Esmeraldas, se ejecutó la </w:t>
      </w:r>
      <w:r w:rsidR="00CB1783" w:rsidRPr="00807BF0">
        <w:rPr>
          <w:rFonts w:ascii="Arial" w:hAnsi="Arial" w:cs="Arial"/>
          <w:sz w:val="22"/>
          <w:szCs w:val="22"/>
          <w:lang w:val="es-EC" w:eastAsia="es-EC"/>
        </w:rPr>
        <w:t>audiencia</w:t>
      </w:r>
      <w:r w:rsidR="00DC0EB4" w:rsidRPr="00807BF0">
        <w:rPr>
          <w:rFonts w:ascii="Arial" w:hAnsi="Arial" w:cs="Arial"/>
          <w:sz w:val="22"/>
          <w:szCs w:val="22"/>
          <w:lang w:val="es-EC" w:eastAsia="es-EC"/>
        </w:rPr>
        <w:t xml:space="preserve"> pública del estudio ambiental del proyecto L/ST </w:t>
      </w:r>
      <w:r w:rsidR="00CB1783" w:rsidRPr="00807BF0">
        <w:rPr>
          <w:rFonts w:ascii="Arial" w:hAnsi="Arial" w:cs="Arial"/>
          <w:sz w:val="22"/>
          <w:szCs w:val="22"/>
          <w:lang w:val="es-EC" w:eastAsia="es-EC"/>
        </w:rPr>
        <w:t xml:space="preserve">a 69kV y S/E La Pradera y de igual forma, se mantuvo un centro de información para consultas del estudio ambiental por 7 días en el mismo mes. Estas reuniones informativas permitieron transparentar los comentarios y preocupaciones de la comunidad en las áreas de influencia del proyecto de reforzamiento del subsistema Esmeraldas – </w:t>
      </w:r>
      <w:proofErr w:type="spellStart"/>
      <w:r w:rsidR="00CB1783" w:rsidRPr="00807BF0">
        <w:rPr>
          <w:rFonts w:ascii="Arial" w:hAnsi="Arial" w:cs="Arial"/>
          <w:sz w:val="22"/>
          <w:szCs w:val="22"/>
          <w:lang w:val="es-EC" w:eastAsia="es-EC"/>
        </w:rPr>
        <w:t>Tonchigüe</w:t>
      </w:r>
      <w:proofErr w:type="spellEnd"/>
      <w:r w:rsidR="00CB1783" w:rsidRPr="00807BF0">
        <w:rPr>
          <w:rFonts w:ascii="Arial" w:hAnsi="Arial" w:cs="Arial"/>
          <w:sz w:val="22"/>
          <w:szCs w:val="22"/>
          <w:lang w:val="es-EC" w:eastAsia="es-EC"/>
        </w:rPr>
        <w:t xml:space="preserve"> entre las que se </w:t>
      </w:r>
      <w:r w:rsidR="00CB1783" w:rsidRPr="00807BF0">
        <w:rPr>
          <w:rFonts w:ascii="Arial" w:hAnsi="Arial" w:cs="Arial"/>
          <w:sz w:val="22"/>
          <w:szCs w:val="22"/>
          <w:lang w:val="es-EC" w:eastAsia="es-EC"/>
        </w:rPr>
        <w:lastRenderedPageBreak/>
        <w:t xml:space="preserve">destacan las expectativas de generación de empleo, implementación de mecanismos de atención y resolución de quejas de la comunidad e informar oportuna y suficientemente a la comunidad antes de inicio de obras, entre los </w:t>
      </w:r>
      <w:r w:rsidR="00DA2992" w:rsidRPr="00807BF0">
        <w:rPr>
          <w:rFonts w:ascii="Arial" w:hAnsi="Arial" w:cs="Arial"/>
          <w:sz w:val="22"/>
          <w:szCs w:val="22"/>
          <w:lang w:val="es-EC" w:eastAsia="es-EC"/>
        </w:rPr>
        <w:t>más</w:t>
      </w:r>
      <w:r w:rsidR="00CB1783" w:rsidRPr="00807BF0">
        <w:rPr>
          <w:rFonts w:ascii="Arial" w:hAnsi="Arial" w:cs="Arial"/>
          <w:sz w:val="22"/>
          <w:szCs w:val="22"/>
          <w:lang w:val="es-EC" w:eastAsia="es-EC"/>
        </w:rPr>
        <w:t xml:space="preserve"> relevantes.</w:t>
      </w:r>
    </w:p>
    <w:p w:rsidR="004D0FDD" w:rsidRPr="00807BF0" w:rsidRDefault="004D0FDD" w:rsidP="00C53DC3">
      <w:pPr>
        <w:pStyle w:val="Paragraph"/>
        <w:numPr>
          <w:ilvl w:val="1"/>
          <w:numId w:val="1"/>
        </w:numPr>
        <w:tabs>
          <w:tab w:val="left" w:pos="720"/>
        </w:tabs>
        <w:ind w:left="709" w:hanging="709"/>
        <w:outlineLvl w:val="9"/>
        <w:rPr>
          <w:rFonts w:ascii="Arial" w:hAnsi="Arial" w:cs="Arial"/>
          <w:sz w:val="22"/>
          <w:szCs w:val="22"/>
          <w:lang w:val="es-EC" w:eastAsia="es-EC"/>
        </w:rPr>
      </w:pPr>
      <w:r w:rsidRPr="00807BF0">
        <w:rPr>
          <w:rFonts w:ascii="Arial" w:hAnsi="Arial" w:cs="Arial"/>
          <w:sz w:val="22"/>
          <w:szCs w:val="22"/>
          <w:u w:val="single"/>
          <w:lang w:val="es-EC" w:eastAsia="es-EC"/>
        </w:rPr>
        <w:t>Repotenciación de Subestaci</w:t>
      </w:r>
      <w:r w:rsidR="00D670A2" w:rsidRPr="00807BF0">
        <w:rPr>
          <w:rFonts w:ascii="Arial" w:hAnsi="Arial" w:cs="Arial"/>
          <w:sz w:val="22"/>
          <w:szCs w:val="22"/>
          <w:u w:val="single"/>
          <w:lang w:val="es-EC" w:eastAsia="es-EC"/>
        </w:rPr>
        <w:t>ones de Transmisión CNEL Manabí</w:t>
      </w:r>
      <w:r w:rsidR="0073016C" w:rsidRPr="00807BF0">
        <w:rPr>
          <w:rFonts w:ascii="Arial" w:hAnsi="Arial" w:cs="Arial"/>
          <w:sz w:val="22"/>
          <w:szCs w:val="22"/>
          <w:lang w:val="es-EC" w:eastAsia="es-EC"/>
        </w:rPr>
        <w:t>; el proyecto</w:t>
      </w:r>
      <w:r w:rsidR="00D670A2" w:rsidRPr="00807BF0">
        <w:rPr>
          <w:rFonts w:ascii="Arial" w:hAnsi="Arial" w:cs="Arial"/>
          <w:sz w:val="22"/>
          <w:szCs w:val="22"/>
          <w:lang w:val="es-EC" w:eastAsia="es-EC"/>
        </w:rPr>
        <w:t xml:space="preserve"> contempla la ejecución de trabajos de repotenciación</w:t>
      </w:r>
      <w:r w:rsidR="00156A59" w:rsidRPr="00807BF0">
        <w:rPr>
          <w:rFonts w:ascii="Arial" w:hAnsi="Arial" w:cs="Arial"/>
          <w:sz w:val="22"/>
          <w:szCs w:val="22"/>
          <w:lang w:val="es-EC" w:eastAsia="es-EC"/>
        </w:rPr>
        <w:t xml:space="preserve"> de varias</w:t>
      </w:r>
      <w:r w:rsidR="00D670A2" w:rsidRPr="00807BF0">
        <w:rPr>
          <w:rFonts w:ascii="Arial" w:hAnsi="Arial" w:cs="Arial"/>
          <w:sz w:val="22"/>
          <w:szCs w:val="22"/>
          <w:lang w:val="es-EC" w:eastAsia="es-EC"/>
        </w:rPr>
        <w:t xml:space="preserve"> Subestaciones de Transmisión dentro de la provincia de Manabí</w:t>
      </w:r>
      <w:r w:rsidR="00156A59" w:rsidRPr="00807BF0">
        <w:rPr>
          <w:rFonts w:ascii="Arial" w:hAnsi="Arial" w:cs="Arial"/>
          <w:sz w:val="22"/>
          <w:szCs w:val="22"/>
          <w:lang w:val="es-EC" w:eastAsia="es-EC"/>
        </w:rPr>
        <w:t xml:space="preserve">, entre las que se destacan, para fines de esta evaluación, las siguientes: </w:t>
      </w:r>
      <w:r w:rsidR="00D670A2" w:rsidRPr="00807BF0">
        <w:rPr>
          <w:rFonts w:ascii="Arial" w:hAnsi="Arial" w:cs="Arial"/>
          <w:sz w:val="22"/>
          <w:szCs w:val="22"/>
          <w:lang w:val="es-EC" w:eastAsia="es-EC"/>
        </w:rPr>
        <w:t xml:space="preserve">S/E Pedernales, S/E Jama, S/E Bahía, S/E San Vicente, S/E </w:t>
      </w:r>
      <w:proofErr w:type="spellStart"/>
      <w:r w:rsidR="00D670A2" w:rsidRPr="00807BF0">
        <w:rPr>
          <w:rFonts w:ascii="Arial" w:hAnsi="Arial" w:cs="Arial"/>
          <w:sz w:val="22"/>
          <w:szCs w:val="22"/>
          <w:lang w:val="es-EC" w:eastAsia="es-EC"/>
        </w:rPr>
        <w:t>Tosagua</w:t>
      </w:r>
      <w:proofErr w:type="spellEnd"/>
      <w:r w:rsidR="00D670A2" w:rsidRPr="00807BF0">
        <w:rPr>
          <w:rFonts w:ascii="Arial" w:hAnsi="Arial" w:cs="Arial"/>
          <w:sz w:val="22"/>
          <w:szCs w:val="22"/>
          <w:lang w:val="es-EC" w:eastAsia="es-EC"/>
        </w:rPr>
        <w:t>, S/E Calceta, S/E Rocafuerte, S/E Por</w:t>
      </w:r>
      <w:r w:rsidR="00156A59" w:rsidRPr="00807BF0">
        <w:rPr>
          <w:rFonts w:ascii="Arial" w:hAnsi="Arial" w:cs="Arial"/>
          <w:sz w:val="22"/>
          <w:szCs w:val="22"/>
          <w:lang w:val="es-EC" w:eastAsia="es-EC"/>
        </w:rPr>
        <w:t>toviejo, S/E y Playa Prieta,</w:t>
      </w:r>
      <w:r w:rsidR="00D670A2" w:rsidRPr="00807BF0">
        <w:rPr>
          <w:rFonts w:ascii="Arial" w:hAnsi="Arial" w:cs="Arial"/>
          <w:sz w:val="22"/>
          <w:szCs w:val="22"/>
          <w:lang w:val="es-EC" w:eastAsia="es-EC"/>
        </w:rPr>
        <w:t xml:space="preserve"> que fueron parte de la infraestructura afectada por el sismo </w:t>
      </w:r>
      <w:r w:rsidR="00156A59" w:rsidRPr="00807BF0">
        <w:rPr>
          <w:rFonts w:ascii="Arial" w:hAnsi="Arial" w:cs="Arial"/>
          <w:sz w:val="22"/>
          <w:szCs w:val="22"/>
          <w:lang w:val="es-EC" w:eastAsia="es-EC"/>
        </w:rPr>
        <w:t>y sus réplicas</w:t>
      </w:r>
      <w:r w:rsidR="00A964B1" w:rsidRPr="00807BF0">
        <w:rPr>
          <w:rFonts w:ascii="Arial" w:hAnsi="Arial" w:cs="Arial"/>
          <w:sz w:val="22"/>
          <w:szCs w:val="22"/>
          <w:lang w:val="es-EC" w:eastAsia="es-EC"/>
        </w:rPr>
        <w:t xml:space="preserve">, </w:t>
      </w:r>
      <w:r w:rsidR="00156A59" w:rsidRPr="00807BF0">
        <w:rPr>
          <w:rFonts w:ascii="Arial" w:hAnsi="Arial" w:cs="Arial"/>
          <w:sz w:val="22"/>
          <w:szCs w:val="22"/>
          <w:lang w:val="es-EC" w:eastAsia="es-EC"/>
        </w:rPr>
        <w:t xml:space="preserve"> que han causado grave daño a la infraestructura de éstas, por lo </w:t>
      </w:r>
      <w:r w:rsidR="00D670A2" w:rsidRPr="00807BF0">
        <w:rPr>
          <w:rFonts w:ascii="Arial" w:hAnsi="Arial" w:cs="Arial"/>
          <w:sz w:val="22"/>
          <w:szCs w:val="22"/>
          <w:lang w:val="es-EC" w:eastAsia="es-EC"/>
        </w:rPr>
        <w:t>que requiere</w:t>
      </w:r>
      <w:r w:rsidR="00156A59" w:rsidRPr="00807BF0">
        <w:rPr>
          <w:rFonts w:ascii="Arial" w:hAnsi="Arial" w:cs="Arial"/>
          <w:sz w:val="22"/>
          <w:szCs w:val="22"/>
          <w:lang w:val="es-EC" w:eastAsia="es-EC"/>
        </w:rPr>
        <w:t>n</w:t>
      </w:r>
      <w:r w:rsidR="00D670A2" w:rsidRPr="00807BF0">
        <w:rPr>
          <w:rFonts w:ascii="Arial" w:hAnsi="Arial" w:cs="Arial"/>
          <w:sz w:val="22"/>
          <w:szCs w:val="22"/>
          <w:lang w:val="es-EC" w:eastAsia="es-EC"/>
        </w:rPr>
        <w:t xml:space="preserve"> de </w:t>
      </w:r>
      <w:r w:rsidR="00156A59" w:rsidRPr="00807BF0">
        <w:rPr>
          <w:rFonts w:ascii="Arial" w:hAnsi="Arial" w:cs="Arial"/>
          <w:sz w:val="22"/>
          <w:szCs w:val="22"/>
          <w:lang w:val="es-EC" w:eastAsia="es-EC"/>
        </w:rPr>
        <w:t>su</w:t>
      </w:r>
      <w:r w:rsidR="00D670A2" w:rsidRPr="00807BF0">
        <w:rPr>
          <w:rFonts w:ascii="Arial" w:hAnsi="Arial" w:cs="Arial"/>
          <w:sz w:val="22"/>
          <w:szCs w:val="22"/>
          <w:lang w:val="es-EC" w:eastAsia="es-EC"/>
        </w:rPr>
        <w:t xml:space="preserve"> modernización con infraestructura moderna y resiliente, que soporte este tipo de desastres en el futuro.</w:t>
      </w:r>
      <w:r w:rsidR="008067B6" w:rsidRPr="00807BF0">
        <w:rPr>
          <w:rFonts w:ascii="Arial" w:hAnsi="Arial" w:cs="Arial"/>
          <w:sz w:val="22"/>
          <w:szCs w:val="22"/>
          <w:lang w:val="es-EC" w:eastAsia="es-EC"/>
        </w:rPr>
        <w:t xml:space="preserve"> Todas las subestaciones se encuentran ocupando terrenos de propiedad de la CNEL EP Manabí, muchas de ellas en zonas urbanas con alto grado de intervención antrópica.</w:t>
      </w:r>
    </w:p>
    <w:p w:rsidR="00D670A2" w:rsidRPr="00807BF0" w:rsidRDefault="00156A59" w:rsidP="00C53DC3">
      <w:pPr>
        <w:pStyle w:val="Paragraph"/>
        <w:numPr>
          <w:ilvl w:val="1"/>
          <w:numId w:val="1"/>
        </w:numPr>
        <w:tabs>
          <w:tab w:val="left" w:pos="720"/>
        </w:tabs>
        <w:ind w:left="709" w:hanging="709"/>
        <w:outlineLvl w:val="9"/>
        <w:rPr>
          <w:rFonts w:ascii="Arial" w:hAnsi="Arial" w:cs="Arial"/>
          <w:sz w:val="22"/>
          <w:szCs w:val="22"/>
          <w:lang w:val="es-EC" w:eastAsia="es-EC"/>
        </w:rPr>
      </w:pPr>
      <w:r w:rsidRPr="00807BF0">
        <w:rPr>
          <w:rFonts w:ascii="Arial" w:hAnsi="Arial" w:cs="Arial"/>
          <w:sz w:val="22"/>
          <w:szCs w:val="22"/>
          <w:lang w:val="es-EC" w:eastAsia="es-EC"/>
        </w:rPr>
        <w:t>La repotenciación de las S/E</w:t>
      </w:r>
      <w:r w:rsidR="008067B6" w:rsidRPr="00807BF0">
        <w:rPr>
          <w:rFonts w:ascii="Arial" w:hAnsi="Arial" w:cs="Arial"/>
          <w:sz w:val="22"/>
          <w:szCs w:val="22"/>
          <w:lang w:val="es-EC" w:eastAsia="es-EC"/>
        </w:rPr>
        <w:t>s</w:t>
      </w:r>
      <w:r w:rsidRPr="00807BF0">
        <w:rPr>
          <w:rFonts w:ascii="Arial" w:hAnsi="Arial" w:cs="Arial"/>
          <w:sz w:val="22"/>
          <w:szCs w:val="22"/>
          <w:lang w:val="es-EC" w:eastAsia="es-EC"/>
        </w:rPr>
        <w:t xml:space="preserve"> considera en la mayoría de los casos, el mejoramiento de la infraestructura civil acorde a las necesidades de CNEL EP Manabí, la instalación de transformadores de mayor capacidad y mejor tecnología y la instalación de infraestructura para la plataforma tecnológica SCADA, además de la repotenciación de varias líneas de alimentadores de distribución de sus zonas aledañas.</w:t>
      </w:r>
    </w:p>
    <w:p w:rsidR="0073016C" w:rsidRPr="00807BF0" w:rsidRDefault="00343636" w:rsidP="00C53DC3">
      <w:pPr>
        <w:pStyle w:val="Paragraph"/>
        <w:numPr>
          <w:ilvl w:val="1"/>
          <w:numId w:val="1"/>
        </w:numPr>
        <w:tabs>
          <w:tab w:val="left" w:pos="720"/>
        </w:tabs>
        <w:ind w:left="709" w:hanging="709"/>
        <w:outlineLvl w:val="9"/>
        <w:rPr>
          <w:rFonts w:ascii="Arial" w:hAnsi="Arial" w:cs="Arial"/>
          <w:sz w:val="22"/>
          <w:szCs w:val="22"/>
          <w:lang w:val="es-EC" w:eastAsia="es-EC"/>
        </w:rPr>
      </w:pPr>
      <w:r w:rsidRPr="00807BF0">
        <w:rPr>
          <w:rFonts w:ascii="Arial" w:hAnsi="Arial" w:cs="Arial"/>
          <w:sz w:val="22"/>
          <w:szCs w:val="22"/>
          <w:lang w:val="es-EC" w:eastAsia="es-EC"/>
        </w:rPr>
        <w:t>Todas las estaciones de Subtransmisión de la muestra se han sometido oportunamente al proceso de regularización ambiental ante la autoridad ambiental nacional</w:t>
      </w:r>
      <w:r w:rsidR="006F62E0" w:rsidRPr="00807BF0">
        <w:rPr>
          <w:rFonts w:ascii="Arial" w:hAnsi="Arial" w:cs="Arial"/>
          <w:sz w:val="22"/>
          <w:szCs w:val="22"/>
          <w:lang w:val="es-EC" w:eastAsia="es-EC"/>
        </w:rPr>
        <w:t>. Pa</w:t>
      </w:r>
      <w:r w:rsidRPr="00807BF0">
        <w:rPr>
          <w:rFonts w:ascii="Arial" w:hAnsi="Arial" w:cs="Arial"/>
          <w:sz w:val="22"/>
          <w:szCs w:val="22"/>
          <w:lang w:val="es-EC" w:eastAsia="es-EC"/>
        </w:rPr>
        <w:t xml:space="preserve">ra este tipo de emprendimientos, la legislación ambiental ecuatoriana demanda de la obtención del Registro Ambiental y la preparación de un plan de manejo ambiental básico.  </w:t>
      </w:r>
    </w:p>
    <w:p w:rsidR="006F62E0" w:rsidRPr="00807BF0" w:rsidRDefault="00927F34" w:rsidP="00C53DC3">
      <w:pPr>
        <w:pStyle w:val="Paragraph"/>
        <w:numPr>
          <w:ilvl w:val="0"/>
          <w:numId w:val="0"/>
        </w:numPr>
        <w:tabs>
          <w:tab w:val="left" w:pos="720"/>
        </w:tabs>
        <w:ind w:left="720" w:hanging="720"/>
        <w:jc w:val="center"/>
        <w:outlineLvl w:val="9"/>
        <w:rPr>
          <w:rFonts w:ascii="Arial" w:hAnsi="Arial" w:cs="Arial"/>
          <w:sz w:val="22"/>
          <w:szCs w:val="22"/>
          <w:lang w:val="es-EC" w:eastAsia="es-EC"/>
        </w:rPr>
      </w:pPr>
      <w:r w:rsidRPr="00807BF0">
        <w:rPr>
          <w:rFonts w:ascii="Arial" w:hAnsi="Arial" w:cs="Arial"/>
          <w:noProof/>
          <w:sz w:val="22"/>
          <w:szCs w:val="22"/>
          <w:lang w:val="en-US" w:eastAsia="en-US"/>
        </w:rPr>
        <mc:AlternateContent>
          <mc:Choice Requires="wps">
            <w:drawing>
              <wp:anchor distT="0" distB="0" distL="114300" distR="114300" simplePos="0" relativeHeight="251673600" behindDoc="0" locked="0" layoutInCell="1" allowOverlap="1" wp14:anchorId="7A96FADB" wp14:editId="0D22A590">
                <wp:simplePos x="0" y="0"/>
                <wp:positionH relativeFrom="column">
                  <wp:posOffset>3177540</wp:posOffset>
                </wp:positionH>
                <wp:positionV relativeFrom="paragraph">
                  <wp:posOffset>619125</wp:posOffset>
                </wp:positionV>
                <wp:extent cx="123825" cy="85725"/>
                <wp:effectExtent l="19050" t="19050" r="47625" b="28575"/>
                <wp:wrapNone/>
                <wp:docPr id="21" name="Triángulo isósceles 21"/>
                <wp:cNvGraphicFramePr/>
                <a:graphic xmlns:a="http://schemas.openxmlformats.org/drawingml/2006/main">
                  <a:graphicData uri="http://schemas.microsoft.com/office/word/2010/wordprocessingShape">
                    <wps:wsp>
                      <wps:cNvSpPr/>
                      <wps:spPr>
                        <a:xfrm>
                          <a:off x="0" y="0"/>
                          <a:ext cx="123825" cy="857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ángulo isósceles 21" o:spid="_x0000_s1026" type="#_x0000_t5" style="position:absolute;margin-left:250.2pt;margin-top:48.75pt;width:9.7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" fillcolor="red" strokecolor="#1f4d78 [1604]" strokeweight="1pt"/>
            </w:pict>
          </mc:Fallback>
        </mc:AlternateContent>
      </w:r>
      <w:r w:rsidRPr="00807BF0">
        <w:rPr>
          <w:rFonts w:ascii="Arial" w:hAnsi="Arial" w:cs="Arial"/>
          <w:noProof/>
          <w:sz w:val="22"/>
          <w:szCs w:val="22"/>
          <w:lang w:val="en-US" w:eastAsia="en-US"/>
        </w:rPr>
        <mc:AlternateContent>
          <mc:Choice Requires="wps">
            <w:drawing>
              <wp:anchor distT="0" distB="0" distL="114300" distR="114300" simplePos="0" relativeHeight="251671552" behindDoc="0" locked="0" layoutInCell="1" allowOverlap="1" wp14:anchorId="05363E7D" wp14:editId="0D07E53B">
                <wp:simplePos x="0" y="0"/>
                <wp:positionH relativeFrom="column">
                  <wp:posOffset>3044190</wp:posOffset>
                </wp:positionH>
                <wp:positionV relativeFrom="paragraph">
                  <wp:posOffset>1990725</wp:posOffset>
                </wp:positionV>
                <wp:extent cx="123825" cy="85725"/>
                <wp:effectExtent l="19050" t="19050" r="47625" b="28575"/>
                <wp:wrapNone/>
                <wp:docPr id="20" name="Triángulo isósceles 20"/>
                <wp:cNvGraphicFramePr/>
                <a:graphic xmlns:a="http://schemas.openxmlformats.org/drawingml/2006/main">
                  <a:graphicData uri="http://schemas.microsoft.com/office/word/2010/wordprocessingShape">
                    <wps:wsp>
                      <wps:cNvSpPr/>
                      <wps:spPr>
                        <a:xfrm>
                          <a:off x="0" y="0"/>
                          <a:ext cx="123825" cy="857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ángulo isósceles 20" o:spid="_x0000_s1026" type="#_x0000_t5" style="position:absolute;margin-left:239.7pt;margin-top:156.75pt;width:9.75pt;height: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" fillcolor="red" strokecolor="#1f4d78 [1604]" strokeweight="1pt"/>
            </w:pict>
          </mc:Fallback>
        </mc:AlternateContent>
      </w:r>
      <w:r w:rsidRPr="00807BF0">
        <w:rPr>
          <w:rFonts w:ascii="Arial" w:hAnsi="Arial" w:cs="Arial"/>
          <w:noProof/>
          <w:sz w:val="22"/>
          <w:szCs w:val="22"/>
          <w:lang w:val="en-US" w:eastAsia="en-US"/>
        </w:rPr>
        <mc:AlternateContent>
          <mc:Choice Requires="wps">
            <w:drawing>
              <wp:anchor distT="0" distB="0" distL="114300" distR="114300" simplePos="0" relativeHeight="251675648" behindDoc="0" locked="0" layoutInCell="1" allowOverlap="1" wp14:anchorId="02F1B52B" wp14:editId="0DBFF6F6">
                <wp:simplePos x="0" y="0"/>
                <wp:positionH relativeFrom="column">
                  <wp:posOffset>2987040</wp:posOffset>
                </wp:positionH>
                <wp:positionV relativeFrom="paragraph">
                  <wp:posOffset>2543175</wp:posOffset>
                </wp:positionV>
                <wp:extent cx="123825" cy="85725"/>
                <wp:effectExtent l="19050" t="19050" r="47625" b="28575"/>
                <wp:wrapNone/>
                <wp:docPr id="22" name="Triángulo isósceles 22"/>
                <wp:cNvGraphicFramePr/>
                <a:graphic xmlns:a="http://schemas.openxmlformats.org/drawingml/2006/main">
                  <a:graphicData uri="http://schemas.microsoft.com/office/word/2010/wordprocessingShape">
                    <wps:wsp>
                      <wps:cNvSpPr/>
                      <wps:spPr>
                        <a:xfrm>
                          <a:off x="0" y="0"/>
                          <a:ext cx="123825" cy="857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ángulo isósceles 22" o:spid="_x0000_s1026" type="#_x0000_t5" style="position:absolute;margin-left:235.2pt;margin-top:200.25pt;width:9.75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" fillcolor="red" strokecolor="#1f4d78 [1604]" strokeweight="1pt"/>
            </w:pict>
          </mc:Fallback>
        </mc:AlternateContent>
      </w:r>
      <w:r w:rsidRPr="00807BF0">
        <w:rPr>
          <w:rFonts w:ascii="Arial" w:hAnsi="Arial" w:cs="Arial"/>
          <w:noProof/>
          <w:sz w:val="22"/>
          <w:szCs w:val="22"/>
          <w:lang w:val="en-US" w:eastAsia="en-US"/>
        </w:rPr>
        <mc:AlternateContent>
          <mc:Choice Requires="wps">
            <w:drawing>
              <wp:anchor distT="0" distB="0" distL="114300" distR="114300" simplePos="0" relativeHeight="251679744" behindDoc="0" locked="0" layoutInCell="1" allowOverlap="1" wp14:anchorId="1871E1A9" wp14:editId="63EAD3E7">
                <wp:simplePos x="0" y="0"/>
                <wp:positionH relativeFrom="column">
                  <wp:posOffset>1234440</wp:posOffset>
                </wp:positionH>
                <wp:positionV relativeFrom="paragraph">
                  <wp:posOffset>1952625</wp:posOffset>
                </wp:positionV>
                <wp:extent cx="123825" cy="85725"/>
                <wp:effectExtent l="19050" t="19050" r="47625" b="28575"/>
                <wp:wrapNone/>
                <wp:docPr id="24" name="Triángulo isósceles 24"/>
                <wp:cNvGraphicFramePr/>
                <a:graphic xmlns:a="http://schemas.openxmlformats.org/drawingml/2006/main">
                  <a:graphicData uri="http://schemas.microsoft.com/office/word/2010/wordprocessingShape">
                    <wps:wsp>
                      <wps:cNvSpPr/>
                      <wps:spPr>
                        <a:xfrm>
                          <a:off x="0" y="0"/>
                          <a:ext cx="123825" cy="857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ángulo isósceles 24" o:spid="_x0000_s1026" type="#_x0000_t5" style="position:absolute;margin-left:97.2pt;margin-top:153.75pt;width:9.75pt;height: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" fillcolor="red" strokecolor="#1f4d78 [1604]" strokeweight="1pt"/>
            </w:pict>
          </mc:Fallback>
        </mc:AlternateContent>
      </w:r>
      <w:r w:rsidRPr="00807BF0">
        <w:rPr>
          <w:rFonts w:ascii="Arial" w:hAnsi="Arial" w:cs="Arial"/>
          <w:noProof/>
          <w:sz w:val="22"/>
          <w:szCs w:val="22"/>
          <w:lang w:val="en-US" w:eastAsia="en-US"/>
        </w:rPr>
        <mc:AlternateContent>
          <mc:Choice Requires="wps">
            <w:drawing>
              <wp:anchor distT="0" distB="0" distL="114300" distR="114300" simplePos="0" relativeHeight="251677696" behindDoc="0" locked="0" layoutInCell="1" allowOverlap="1" wp14:anchorId="42D03802" wp14:editId="49017E91">
                <wp:simplePos x="0" y="0"/>
                <wp:positionH relativeFrom="column">
                  <wp:posOffset>1577340</wp:posOffset>
                </wp:positionH>
                <wp:positionV relativeFrom="paragraph">
                  <wp:posOffset>2124075</wp:posOffset>
                </wp:positionV>
                <wp:extent cx="123825" cy="85725"/>
                <wp:effectExtent l="19050" t="19050" r="47625" b="28575"/>
                <wp:wrapNone/>
                <wp:docPr id="23" name="Triángulo isósceles 23"/>
                <wp:cNvGraphicFramePr/>
                <a:graphic xmlns:a="http://schemas.openxmlformats.org/drawingml/2006/main">
                  <a:graphicData uri="http://schemas.microsoft.com/office/word/2010/wordprocessingShape">
                    <wps:wsp>
                      <wps:cNvSpPr/>
                      <wps:spPr>
                        <a:xfrm>
                          <a:off x="0" y="0"/>
                          <a:ext cx="123825" cy="857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ángulo isósceles 23" o:spid="_x0000_s1026" type="#_x0000_t5" style="position:absolute;margin-left:124.2pt;margin-top:167.25pt;width:9.75pt;height: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" fillcolor="red" strokecolor="#1f4d78 [1604]" strokeweight="1pt"/>
            </w:pict>
          </mc:Fallback>
        </mc:AlternateContent>
      </w:r>
      <w:r w:rsidRPr="00807BF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59615259" wp14:editId="05A0F9BA">
                <wp:simplePos x="0" y="0"/>
                <wp:positionH relativeFrom="column">
                  <wp:posOffset>3501390</wp:posOffset>
                </wp:positionH>
                <wp:positionV relativeFrom="paragraph">
                  <wp:posOffset>581025</wp:posOffset>
                </wp:positionV>
                <wp:extent cx="123825" cy="85725"/>
                <wp:effectExtent l="19050" t="19050" r="47625" b="28575"/>
                <wp:wrapNone/>
                <wp:docPr id="19" name="Triángulo isósceles 19"/>
                <wp:cNvGraphicFramePr/>
                <a:graphic xmlns:a="http://schemas.openxmlformats.org/drawingml/2006/main">
                  <a:graphicData uri="http://schemas.microsoft.com/office/word/2010/wordprocessingShape">
                    <wps:wsp>
                      <wps:cNvSpPr/>
                      <wps:spPr>
                        <a:xfrm>
                          <a:off x="0" y="0"/>
                          <a:ext cx="123825" cy="857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ángulo isósceles 19" o:spid="_x0000_s1026" type="#_x0000_t5" style="position:absolute;margin-left:275.7pt;margin-top:45.75pt;width:9.75pt;height: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" fillcolor="red" strokecolor="#1f4d78 [1604]" strokeweight="1pt"/>
            </w:pict>
          </mc:Fallback>
        </mc:AlternateContent>
      </w:r>
      <w:r w:rsidR="006F62E0" w:rsidRPr="00807BF0">
        <w:rPr>
          <w:rFonts w:ascii="Arial" w:hAnsi="Arial" w:cs="Arial"/>
          <w:noProof/>
          <w:sz w:val="22"/>
          <w:szCs w:val="22"/>
          <w:lang w:val="en-US" w:eastAsia="en-US"/>
        </w:rPr>
        <w:drawing>
          <wp:inline distT="0" distB="0" distL="0" distR="0" wp14:anchorId="0B98FC70" wp14:editId="0718FA15">
            <wp:extent cx="5238115" cy="2966458"/>
            <wp:effectExtent l="0" t="0" r="63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nel manabí.jpg"/>
                    <pic:cNvPicPr/>
                  </pic:nvPicPr>
                  <pic:blipFill>
                    <a:blip r:embed="rId19">
                      <a:extLst>
                        <a:ext uri="{28A0092B-C50C-407E-A947-70E740481C1C}">
                          <a14:useLocalDpi xmlns:a14="http://schemas.microsoft.com/office/drawing/2010/main" val="0"/>
                        </a:ext>
                      </a:extLst>
                    </a:blip>
                    <a:stretch>
                      <a:fillRect/>
                    </a:stretch>
                  </pic:blipFill>
                  <pic:spPr>
                    <a:xfrm>
                      <a:off x="0" y="0"/>
                      <a:ext cx="5247026" cy="2971505"/>
                    </a:xfrm>
                    <a:prstGeom prst="rect">
                      <a:avLst/>
                    </a:prstGeom>
                  </pic:spPr>
                </pic:pic>
              </a:graphicData>
            </a:graphic>
          </wp:inline>
        </w:drawing>
      </w:r>
    </w:p>
    <w:p w:rsidR="006F5911" w:rsidRPr="00807BF0" w:rsidRDefault="006F5911" w:rsidP="00C53DC3">
      <w:pPr>
        <w:pStyle w:val="Paragraph"/>
        <w:numPr>
          <w:ilvl w:val="0"/>
          <w:numId w:val="0"/>
        </w:numPr>
        <w:tabs>
          <w:tab w:val="left" w:pos="720"/>
        </w:tabs>
        <w:ind w:left="720" w:hanging="720"/>
        <w:jc w:val="center"/>
        <w:outlineLvl w:val="9"/>
        <w:rPr>
          <w:rFonts w:ascii="Arial" w:hAnsi="Arial" w:cs="Arial"/>
          <w:sz w:val="22"/>
          <w:szCs w:val="22"/>
          <w:lang w:val="es-EC" w:eastAsia="es-EC"/>
        </w:rPr>
      </w:pPr>
    </w:p>
    <w:p w:rsidR="00153007" w:rsidRPr="00807BF0" w:rsidRDefault="00343636" w:rsidP="00C53DC3">
      <w:pPr>
        <w:pStyle w:val="Paragraph"/>
        <w:numPr>
          <w:ilvl w:val="1"/>
          <w:numId w:val="1"/>
        </w:numPr>
        <w:tabs>
          <w:tab w:val="left" w:pos="720"/>
        </w:tabs>
        <w:ind w:left="709" w:hanging="709"/>
        <w:outlineLvl w:val="9"/>
        <w:rPr>
          <w:rFonts w:ascii="Arial" w:hAnsi="Arial" w:cs="Arial"/>
          <w:sz w:val="22"/>
          <w:szCs w:val="22"/>
          <w:lang w:val="es-EC" w:eastAsia="es-EC"/>
        </w:rPr>
      </w:pPr>
      <w:r w:rsidRPr="00807BF0">
        <w:rPr>
          <w:rFonts w:ascii="Arial" w:hAnsi="Arial" w:cs="Arial"/>
          <w:sz w:val="22"/>
          <w:szCs w:val="22"/>
          <w:lang w:val="es-EC" w:eastAsia="es-EC"/>
        </w:rPr>
        <w:t>De</w:t>
      </w:r>
      <w:r w:rsidR="0073016C" w:rsidRPr="00807BF0">
        <w:rPr>
          <w:rFonts w:ascii="Arial" w:hAnsi="Arial" w:cs="Arial"/>
          <w:sz w:val="22"/>
          <w:szCs w:val="22"/>
          <w:lang w:val="es-EC" w:eastAsia="es-EC"/>
        </w:rPr>
        <w:t xml:space="preserve"> </w:t>
      </w:r>
      <w:r w:rsidRPr="00807BF0">
        <w:rPr>
          <w:rFonts w:ascii="Arial" w:hAnsi="Arial" w:cs="Arial"/>
          <w:sz w:val="22"/>
          <w:szCs w:val="22"/>
          <w:lang w:val="es-EC" w:eastAsia="es-EC"/>
        </w:rPr>
        <w:t xml:space="preserve">la información entregada por la CNEL EP Manabí y de los planes de manejo ambiental evaluados, se identifica que se señalan actividades de mitigación de impactos relacionadas con el control de contaminación por emisiones al aire o eventuales descargas al suelo o agua, mecanismos de comunicación e información con la comunidad beneficiaria por potenciales afectaciones temporales al servicio, mantener un plan de contingencia para casos de </w:t>
      </w:r>
      <w:r w:rsidRPr="00807BF0">
        <w:rPr>
          <w:rFonts w:ascii="Arial" w:hAnsi="Arial" w:cs="Arial"/>
          <w:sz w:val="22"/>
          <w:szCs w:val="22"/>
          <w:lang w:val="es-EC" w:eastAsia="es-EC"/>
        </w:rPr>
        <w:lastRenderedPageBreak/>
        <w:t>emergencias, y especialmente mantener un sistema de gestión integral de desechos peligrosos y no peligrosos que se generen en la S/E.</w:t>
      </w:r>
      <w:r w:rsidR="0073016C" w:rsidRPr="00807BF0">
        <w:rPr>
          <w:rFonts w:ascii="Arial" w:hAnsi="Arial" w:cs="Arial"/>
          <w:sz w:val="22"/>
          <w:szCs w:val="22"/>
          <w:lang w:val="es-EC" w:eastAsia="es-EC"/>
        </w:rPr>
        <w:t xml:space="preserve"> </w:t>
      </w:r>
    </w:p>
    <w:p w:rsidR="007B6AEB" w:rsidRPr="00807BF0" w:rsidRDefault="007B6AEB"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Los impactos ambientales y sociales de estos emprendimientos, son irrelevantes y de carácter temporal durante la fase de construcción, mientras que en la fase de operación proporcionarán solidez y seguridad frente a riesgos como el generado por el último sismo que afectó severamente a ésta infraestructura eléctrica.</w:t>
      </w:r>
    </w:p>
    <w:p w:rsidR="003859F3" w:rsidRPr="00807BF0" w:rsidRDefault="007B6AEB"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Todas las intervenciones se realzarán al interior de las subestaciones y los elementos que se sustituyan deberán ser clasificados y entregados a gestores de residuos, especialmente aquellos relacionados con desechos peligrosos como sustitución de transformadores.</w:t>
      </w:r>
    </w:p>
    <w:p w:rsidR="003859F3" w:rsidRPr="00807BF0" w:rsidRDefault="003859F3"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sz w:val="22"/>
          <w:szCs w:val="22"/>
          <w:lang w:val="es-EC" w:eastAsia="es-EC"/>
        </w:rPr>
        <w:t>Figura No. 6: Vista del estado de S/Es CNEL EP Manabí</w:t>
      </w:r>
    </w:p>
    <w:tbl>
      <w:tblPr>
        <w:tblStyle w:val="TableGrid"/>
        <w:tblW w:w="0" w:type="auto"/>
        <w:tblInd w:w="709" w:type="dxa"/>
        <w:tblLook w:val="04A0" w:firstRow="1" w:lastRow="0" w:firstColumn="1" w:lastColumn="0" w:noHBand="0" w:noVBand="1"/>
      </w:tblPr>
      <w:tblGrid>
        <w:gridCol w:w="3936"/>
        <w:gridCol w:w="3852"/>
      </w:tblGrid>
      <w:tr w:rsidR="007B6AEB" w:rsidRPr="00807BF0" w:rsidTr="006F5911">
        <w:tc>
          <w:tcPr>
            <w:tcW w:w="3934" w:type="dxa"/>
          </w:tcPr>
          <w:p w:rsidR="007B6AEB" w:rsidRPr="00807BF0" w:rsidRDefault="005A76EC"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643E9D3E" wp14:editId="51233468">
                  <wp:extent cx="2353310" cy="131699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310" cy="1316990"/>
                          </a:xfrm>
                          <a:prstGeom prst="rect">
                            <a:avLst/>
                          </a:prstGeom>
                          <a:noFill/>
                        </pic:spPr>
                      </pic:pic>
                    </a:graphicData>
                  </a:graphic>
                </wp:inline>
              </w:drawing>
            </w:r>
          </w:p>
          <w:p w:rsidR="007B6AEB" w:rsidRPr="00807BF0" w:rsidRDefault="005A76EC"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 xml:space="preserve">Vista del deterioro y afectación del sismo </w:t>
            </w:r>
            <w:r w:rsidR="00480920" w:rsidRPr="00807BF0">
              <w:rPr>
                <w:rFonts w:ascii="Arial" w:hAnsi="Arial" w:cs="Arial"/>
                <w:sz w:val="22"/>
                <w:szCs w:val="22"/>
              </w:rPr>
              <w:t>en</w:t>
            </w:r>
            <w:r w:rsidR="00343636" w:rsidRPr="00807BF0">
              <w:rPr>
                <w:rFonts w:ascii="Arial" w:hAnsi="Arial" w:cs="Arial"/>
                <w:sz w:val="22"/>
                <w:szCs w:val="22"/>
              </w:rPr>
              <w:t xml:space="preserve"> la</w:t>
            </w:r>
            <w:r w:rsidRPr="00807BF0">
              <w:rPr>
                <w:rFonts w:ascii="Arial" w:hAnsi="Arial" w:cs="Arial"/>
                <w:sz w:val="22"/>
                <w:szCs w:val="22"/>
              </w:rPr>
              <w:t xml:space="preserve"> S</w:t>
            </w:r>
            <w:r w:rsidR="00343636" w:rsidRPr="00807BF0">
              <w:rPr>
                <w:rFonts w:ascii="Arial" w:hAnsi="Arial" w:cs="Arial"/>
                <w:sz w:val="22"/>
                <w:szCs w:val="22"/>
              </w:rPr>
              <w:t>/</w:t>
            </w:r>
            <w:r w:rsidRPr="00807BF0">
              <w:rPr>
                <w:rFonts w:ascii="Arial" w:hAnsi="Arial" w:cs="Arial"/>
                <w:sz w:val="22"/>
                <w:szCs w:val="22"/>
              </w:rPr>
              <w:t>E Rocafuerte</w:t>
            </w:r>
            <w:r w:rsidR="0073016C" w:rsidRPr="00807BF0">
              <w:rPr>
                <w:rFonts w:ascii="Arial" w:hAnsi="Arial" w:cs="Arial"/>
                <w:sz w:val="22"/>
                <w:szCs w:val="22"/>
              </w:rPr>
              <w:t xml:space="preserve"> y existencia de estructuras de soporte  obsoletas</w:t>
            </w:r>
          </w:p>
        </w:tc>
        <w:tc>
          <w:tcPr>
            <w:tcW w:w="3851" w:type="dxa"/>
          </w:tcPr>
          <w:p w:rsidR="005A76EC" w:rsidRPr="00807BF0" w:rsidRDefault="005A76EC"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4E9E4E4D" wp14:editId="2A2EB59E">
                  <wp:extent cx="2308969" cy="1295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0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3409" cy="1297891"/>
                          </a:xfrm>
                          <a:prstGeom prst="rect">
                            <a:avLst/>
                          </a:prstGeom>
                        </pic:spPr>
                      </pic:pic>
                    </a:graphicData>
                  </a:graphic>
                </wp:inline>
              </w:drawing>
            </w:r>
          </w:p>
          <w:p w:rsidR="005A76EC" w:rsidRPr="00807BF0" w:rsidRDefault="0064523E"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Instalación emergente móvil operando hasta reforzamiento definitivo</w:t>
            </w:r>
            <w:r w:rsidR="00343636" w:rsidRPr="00807BF0">
              <w:rPr>
                <w:rFonts w:ascii="Arial" w:hAnsi="Arial" w:cs="Arial"/>
                <w:sz w:val="22"/>
                <w:szCs w:val="22"/>
              </w:rPr>
              <w:t xml:space="preserve"> en la S/E </w:t>
            </w:r>
            <w:r w:rsidR="0073016C" w:rsidRPr="00807BF0">
              <w:rPr>
                <w:rFonts w:ascii="Arial" w:hAnsi="Arial" w:cs="Arial"/>
                <w:sz w:val="22"/>
                <w:szCs w:val="22"/>
              </w:rPr>
              <w:t>Bahía</w:t>
            </w:r>
          </w:p>
        </w:tc>
      </w:tr>
    </w:tbl>
    <w:p w:rsidR="000E6160" w:rsidRPr="00807BF0" w:rsidRDefault="004B59E0"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No se han realizado procesos de socialización de los proyectos de repotenciación de las S/Es de CNEL Manabí, en vista de que el reglamento que regula éstos procesos en el país, no </w:t>
      </w:r>
      <w:r w:rsidR="000C5327" w:rsidRPr="00807BF0">
        <w:rPr>
          <w:rFonts w:ascii="Arial" w:hAnsi="Arial" w:cs="Arial"/>
          <w:sz w:val="22"/>
          <w:szCs w:val="22"/>
        </w:rPr>
        <w:t>solicita que se ejecute</w:t>
      </w:r>
      <w:r w:rsidRPr="00807BF0">
        <w:rPr>
          <w:rFonts w:ascii="Arial" w:hAnsi="Arial" w:cs="Arial"/>
          <w:sz w:val="22"/>
          <w:szCs w:val="22"/>
        </w:rPr>
        <w:t xml:space="preserve"> ésta actividad de manera obligatoria, para proyectos de categoría II que deben</w:t>
      </w:r>
      <w:r w:rsidR="000C5327" w:rsidRPr="00807BF0">
        <w:rPr>
          <w:rFonts w:ascii="Arial" w:hAnsi="Arial" w:cs="Arial"/>
          <w:sz w:val="22"/>
          <w:szCs w:val="22"/>
        </w:rPr>
        <w:t xml:space="preserve"> obtener un Registro Ambiental; sin embargo, si se cumplió con este requisito obligatorio durante el proceso de licenciamiento ambiental para las etapas de operación, mantenimiento y cierre del Sistema de Distribución y Subtransmisión Eléctrica que incluye Subestaciones Eléctricas y Líneas de Subtransmisión de CNEL EP Unidad de Negocio Manabí, que se cumplió</w:t>
      </w:r>
      <w:r w:rsidR="00345491" w:rsidRPr="00807BF0">
        <w:rPr>
          <w:rFonts w:ascii="Arial" w:hAnsi="Arial" w:cs="Arial"/>
          <w:sz w:val="22"/>
          <w:szCs w:val="22"/>
        </w:rPr>
        <w:t xml:space="preserve"> en los primeros meses de 2015.</w:t>
      </w:r>
    </w:p>
    <w:p w:rsidR="006F5911" w:rsidRPr="00807BF0" w:rsidRDefault="0073016C"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u w:val="single"/>
        </w:rPr>
        <w:t xml:space="preserve">Reforzamiento subsistema a 69 kV </w:t>
      </w:r>
      <w:proofErr w:type="spellStart"/>
      <w:r w:rsidRPr="00807BF0">
        <w:rPr>
          <w:rFonts w:ascii="Arial" w:hAnsi="Arial" w:cs="Arial"/>
          <w:sz w:val="22"/>
          <w:szCs w:val="22"/>
          <w:u w:val="single"/>
        </w:rPr>
        <w:t>Sesme</w:t>
      </w:r>
      <w:proofErr w:type="spellEnd"/>
      <w:r w:rsidRPr="00807BF0">
        <w:rPr>
          <w:rFonts w:ascii="Arial" w:hAnsi="Arial" w:cs="Arial"/>
          <w:sz w:val="22"/>
          <w:szCs w:val="22"/>
          <w:u w:val="single"/>
        </w:rPr>
        <w:t xml:space="preserve"> - Flavio Alfaro</w:t>
      </w:r>
      <w:r w:rsidRPr="00807BF0">
        <w:rPr>
          <w:rFonts w:ascii="Arial" w:hAnsi="Arial" w:cs="Arial"/>
          <w:sz w:val="22"/>
          <w:szCs w:val="22"/>
        </w:rPr>
        <w:t>, el proyecto considera la construcción de la S/E Flavio Alfaro para reforzamiento del sistema eléctrico y mejora de la confiabil</w:t>
      </w:r>
      <w:r w:rsidR="008067B6" w:rsidRPr="00807BF0">
        <w:rPr>
          <w:rFonts w:ascii="Arial" w:hAnsi="Arial" w:cs="Arial"/>
          <w:sz w:val="22"/>
          <w:szCs w:val="22"/>
        </w:rPr>
        <w:t>idad de la zona norte de Manabí y de esta manera d</w:t>
      </w:r>
      <w:r w:rsidRPr="00807BF0">
        <w:rPr>
          <w:rFonts w:ascii="Arial" w:hAnsi="Arial" w:cs="Arial"/>
          <w:sz w:val="22"/>
          <w:szCs w:val="22"/>
        </w:rPr>
        <w:t>isminuir las pérdidas técnicas del alimentador Flavio Alfaro, además de mejorar la calidad de servicio eléctrico a los habitantes del sector</w:t>
      </w:r>
      <w:r w:rsidR="008067B6" w:rsidRPr="00807BF0">
        <w:rPr>
          <w:rFonts w:ascii="Arial" w:hAnsi="Arial" w:cs="Arial"/>
          <w:sz w:val="22"/>
          <w:szCs w:val="22"/>
        </w:rPr>
        <w:t xml:space="preserve">. Este proyecto incluye la construcción de la L/ST </w:t>
      </w:r>
      <w:proofErr w:type="spellStart"/>
      <w:r w:rsidR="008067B6" w:rsidRPr="00807BF0">
        <w:rPr>
          <w:rFonts w:ascii="Arial" w:hAnsi="Arial" w:cs="Arial"/>
          <w:sz w:val="22"/>
          <w:szCs w:val="22"/>
        </w:rPr>
        <w:t>Sesme</w:t>
      </w:r>
      <w:proofErr w:type="spellEnd"/>
      <w:r w:rsidR="008067B6" w:rsidRPr="00807BF0">
        <w:rPr>
          <w:rFonts w:ascii="Arial" w:hAnsi="Arial" w:cs="Arial"/>
          <w:sz w:val="22"/>
          <w:szCs w:val="22"/>
        </w:rPr>
        <w:t xml:space="preserve"> – Flavio Alfaro.</w:t>
      </w:r>
    </w:p>
    <w:p w:rsidR="006F5911" w:rsidRPr="00807BF0" w:rsidRDefault="006F5911"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área de intervención de esta línea y subestaciones, es un área con fuerte vocación agrícola de la provincia de Manabí y corresponde a una zona montañosa de la costa ecuatoriana. La línea de subtransmisión seguirá en la mayoría de la ruta la carretera de conexión existente entre las poblaciones de </w:t>
      </w:r>
      <w:proofErr w:type="spellStart"/>
      <w:r w:rsidRPr="00807BF0">
        <w:rPr>
          <w:rFonts w:ascii="Arial" w:hAnsi="Arial" w:cs="Arial"/>
          <w:sz w:val="22"/>
          <w:szCs w:val="22"/>
        </w:rPr>
        <w:t>Sesme</w:t>
      </w:r>
      <w:proofErr w:type="spellEnd"/>
      <w:r w:rsidRPr="00807BF0">
        <w:rPr>
          <w:rFonts w:ascii="Arial" w:hAnsi="Arial" w:cs="Arial"/>
          <w:sz w:val="22"/>
          <w:szCs w:val="22"/>
        </w:rPr>
        <w:t xml:space="preserve"> y Flavio Alfaro en un tramo de aproximadamente de 20 km y siguiendo de manera paralela a la L/T Chone Santo Domingo; lo que implica que el área de influencia del proyecto, es un área de alto grado de intervención y no implica expropiaciones ni desplazamientos en su trayecto.</w:t>
      </w:r>
    </w:p>
    <w:p w:rsidR="006F5911" w:rsidRPr="00807BF0" w:rsidRDefault="006F5911"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proyecto fue sometido al proceso de regularización ambiental, correspondiendo para este caso la preparación de un estudio de impacto </w:t>
      </w:r>
      <w:r w:rsidRPr="00807BF0">
        <w:rPr>
          <w:rFonts w:ascii="Arial" w:hAnsi="Arial" w:cs="Arial"/>
          <w:sz w:val="22"/>
          <w:szCs w:val="22"/>
        </w:rPr>
        <w:lastRenderedPageBreak/>
        <w:t xml:space="preserve">ambiental y la obtención de una Licencia Ambiental. Al momento de esta evaluación el proceso de licenciamiento ambiental se encontraba en la fase de socialización con las comunidades de las áreas de influencia (consulta pública), lo que implica que se encuentra en la ruta final para la revisión y emisión de la licencia ambiental por parte del MAE. </w:t>
      </w:r>
    </w:p>
    <w:p w:rsidR="006F5911" w:rsidRPr="00807BF0" w:rsidRDefault="006F5911" w:rsidP="00C53DC3">
      <w:pPr>
        <w:pStyle w:val="Paragraph"/>
        <w:numPr>
          <w:ilvl w:val="0"/>
          <w:numId w:val="0"/>
        </w:numPr>
        <w:tabs>
          <w:tab w:val="left" w:pos="720"/>
        </w:tabs>
        <w:ind w:left="360"/>
        <w:jc w:val="center"/>
        <w:outlineLvl w:val="9"/>
        <w:rPr>
          <w:rFonts w:ascii="Arial" w:hAnsi="Arial" w:cs="Arial"/>
          <w:sz w:val="22"/>
          <w:szCs w:val="22"/>
        </w:rPr>
      </w:pPr>
      <w:r w:rsidRPr="00807BF0">
        <w:rPr>
          <w:rFonts w:ascii="Arial" w:hAnsi="Arial" w:cs="Arial"/>
          <w:sz w:val="22"/>
          <w:szCs w:val="22"/>
          <w:lang w:val="es-EC" w:eastAsia="es-EC"/>
        </w:rPr>
        <w:t xml:space="preserve">Figura No. 7: Vista del trazado de la L/ST </w:t>
      </w:r>
      <w:proofErr w:type="spellStart"/>
      <w:r w:rsidRPr="00807BF0">
        <w:rPr>
          <w:rFonts w:ascii="Arial" w:hAnsi="Arial" w:cs="Arial"/>
          <w:sz w:val="22"/>
          <w:szCs w:val="22"/>
          <w:lang w:val="es-EC" w:eastAsia="es-EC"/>
        </w:rPr>
        <w:t>Sesme</w:t>
      </w:r>
      <w:proofErr w:type="spellEnd"/>
      <w:r w:rsidRPr="00807BF0">
        <w:rPr>
          <w:rFonts w:ascii="Arial" w:hAnsi="Arial" w:cs="Arial"/>
          <w:sz w:val="22"/>
          <w:szCs w:val="22"/>
          <w:lang w:val="es-EC" w:eastAsia="es-EC"/>
        </w:rPr>
        <w:t xml:space="preserve"> – Flavio Alfaro</w:t>
      </w:r>
    </w:p>
    <w:p w:rsidR="006F5911" w:rsidRPr="00807BF0" w:rsidRDefault="006F5911" w:rsidP="00C53DC3">
      <w:pPr>
        <w:pStyle w:val="Paragraph"/>
        <w:numPr>
          <w:ilvl w:val="0"/>
          <w:numId w:val="0"/>
        </w:numPr>
        <w:tabs>
          <w:tab w:val="left" w:pos="720"/>
        </w:tabs>
        <w:outlineLvl w:val="9"/>
        <w:rPr>
          <w:rFonts w:ascii="Arial" w:hAnsi="Arial" w:cs="Arial"/>
          <w:sz w:val="22"/>
          <w:szCs w:val="22"/>
        </w:rPr>
      </w:pPr>
    </w:p>
    <w:p w:rsidR="006F5911" w:rsidRPr="00807BF0" w:rsidRDefault="006F5911"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5CFA397A" wp14:editId="067BD750">
            <wp:extent cx="4610100" cy="3237628"/>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8358" cy="3243428"/>
                    </a:xfrm>
                    <a:prstGeom prst="rect">
                      <a:avLst/>
                    </a:prstGeom>
                    <a:noFill/>
                    <a:ln>
                      <a:noFill/>
                    </a:ln>
                  </pic:spPr>
                </pic:pic>
              </a:graphicData>
            </a:graphic>
          </wp:inline>
        </w:drawing>
      </w:r>
    </w:p>
    <w:p w:rsidR="006F5911" w:rsidRPr="00807BF0" w:rsidRDefault="006F5911" w:rsidP="00C53DC3">
      <w:pPr>
        <w:pStyle w:val="Paragraph"/>
        <w:numPr>
          <w:ilvl w:val="0"/>
          <w:numId w:val="0"/>
        </w:numPr>
        <w:tabs>
          <w:tab w:val="left" w:pos="720"/>
        </w:tabs>
        <w:ind w:left="720" w:hanging="720"/>
        <w:jc w:val="center"/>
        <w:outlineLvl w:val="9"/>
        <w:rPr>
          <w:rFonts w:ascii="Arial" w:hAnsi="Arial" w:cs="Arial"/>
          <w:sz w:val="22"/>
          <w:szCs w:val="22"/>
        </w:rPr>
      </w:pPr>
    </w:p>
    <w:p w:rsidR="006F5911" w:rsidRPr="00807BF0" w:rsidRDefault="006F5911"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El plan de manejo ambiental reúne los requisitos que la autoridad ambiental nacional demanda en este tipo de proyectos, sin embargo, éste deberá ser reforzado para asegurar que los impactos ambientales y sociales que se puedan presentar pu</w:t>
      </w:r>
      <w:r w:rsidR="004B59E0" w:rsidRPr="00807BF0">
        <w:rPr>
          <w:rFonts w:ascii="Arial" w:hAnsi="Arial" w:cs="Arial"/>
          <w:sz w:val="22"/>
          <w:szCs w:val="22"/>
        </w:rPr>
        <w:t>edan ser mitigados o eliminados, especialmente en lo relacionado con la implementación de un adecuado sistema de gestión integral de desechos peligrosos y especiales que se generen durante la construcción-instalación de la L/ST, reforzar los mecanismos de comunicación e información a las comunidades por donde pasará la línea de manera previa, incluyendo la atención a quejas, y finalmente reforzar los procedimientos de negociación y acuerdo con los afectados, por el paso de servidumbre especialmente con la tala selectiva de especies vegetales en zonas agrícolas o forestales.</w:t>
      </w:r>
    </w:p>
    <w:p w:rsidR="005A3B65" w:rsidRPr="00807BF0" w:rsidRDefault="005A3B65" w:rsidP="00C53DC3">
      <w:pPr>
        <w:pStyle w:val="Paragraph"/>
        <w:numPr>
          <w:ilvl w:val="0"/>
          <w:numId w:val="0"/>
        </w:numPr>
        <w:tabs>
          <w:tab w:val="left" w:pos="720"/>
        </w:tabs>
        <w:ind w:left="709"/>
        <w:outlineLvl w:val="9"/>
        <w:rPr>
          <w:rFonts w:ascii="Arial" w:hAnsi="Arial" w:cs="Arial"/>
          <w:sz w:val="22"/>
          <w:szCs w:val="22"/>
        </w:rPr>
      </w:pPr>
    </w:p>
    <w:p w:rsidR="0073016C" w:rsidRPr="00807BF0" w:rsidRDefault="006F5911" w:rsidP="00C53DC3">
      <w:pPr>
        <w:pStyle w:val="Paragraph"/>
        <w:numPr>
          <w:ilvl w:val="0"/>
          <w:numId w:val="0"/>
        </w:numPr>
        <w:tabs>
          <w:tab w:val="left" w:pos="720"/>
        </w:tabs>
        <w:ind w:left="360"/>
        <w:jc w:val="center"/>
        <w:outlineLvl w:val="9"/>
        <w:rPr>
          <w:rFonts w:ascii="Arial" w:hAnsi="Arial" w:cs="Arial"/>
          <w:sz w:val="22"/>
          <w:szCs w:val="22"/>
        </w:rPr>
      </w:pPr>
      <w:r w:rsidRPr="00807BF0">
        <w:rPr>
          <w:rFonts w:ascii="Arial" w:hAnsi="Arial" w:cs="Arial"/>
          <w:sz w:val="22"/>
          <w:szCs w:val="22"/>
          <w:lang w:val="es-EC" w:eastAsia="es-EC"/>
        </w:rPr>
        <w:t xml:space="preserve">Figura No. </w:t>
      </w:r>
      <w:r w:rsidR="005A3B65" w:rsidRPr="00807BF0">
        <w:rPr>
          <w:rFonts w:ascii="Arial" w:hAnsi="Arial" w:cs="Arial"/>
          <w:sz w:val="22"/>
          <w:szCs w:val="22"/>
          <w:lang w:val="es-EC" w:eastAsia="es-EC"/>
        </w:rPr>
        <w:t>8</w:t>
      </w:r>
      <w:r w:rsidRPr="00807BF0">
        <w:rPr>
          <w:rFonts w:ascii="Arial" w:hAnsi="Arial" w:cs="Arial"/>
          <w:sz w:val="22"/>
          <w:szCs w:val="22"/>
          <w:lang w:val="es-EC" w:eastAsia="es-EC"/>
        </w:rPr>
        <w:t xml:space="preserve">: Vista del trazado de la L/ST </w:t>
      </w:r>
      <w:proofErr w:type="spellStart"/>
      <w:r w:rsidRPr="00807BF0">
        <w:rPr>
          <w:rFonts w:ascii="Arial" w:hAnsi="Arial" w:cs="Arial"/>
          <w:sz w:val="22"/>
          <w:szCs w:val="22"/>
          <w:lang w:val="es-EC" w:eastAsia="es-EC"/>
        </w:rPr>
        <w:t>Sesme</w:t>
      </w:r>
      <w:proofErr w:type="spellEnd"/>
      <w:r w:rsidRPr="00807BF0">
        <w:rPr>
          <w:rFonts w:ascii="Arial" w:hAnsi="Arial" w:cs="Arial"/>
          <w:sz w:val="22"/>
          <w:szCs w:val="22"/>
          <w:lang w:val="es-EC" w:eastAsia="es-EC"/>
        </w:rPr>
        <w:t xml:space="preserve"> – Flavio Alfaro</w:t>
      </w:r>
    </w:p>
    <w:tbl>
      <w:tblPr>
        <w:tblStyle w:val="TableGrid"/>
        <w:tblW w:w="0" w:type="auto"/>
        <w:tblInd w:w="720" w:type="dxa"/>
        <w:tblLook w:val="04A0" w:firstRow="1" w:lastRow="0" w:firstColumn="1" w:lastColumn="0" w:noHBand="0" w:noVBand="1"/>
      </w:tblPr>
      <w:tblGrid>
        <w:gridCol w:w="3955"/>
        <w:gridCol w:w="4045"/>
      </w:tblGrid>
      <w:tr w:rsidR="005717C3" w:rsidRPr="00807BF0" w:rsidTr="005717C3">
        <w:tc>
          <w:tcPr>
            <w:tcW w:w="4247" w:type="dxa"/>
          </w:tcPr>
          <w:p w:rsidR="005717C3" w:rsidRPr="00807BF0" w:rsidRDefault="005717C3"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noProof/>
                <w:sz w:val="22"/>
                <w:szCs w:val="22"/>
                <w:lang w:val="en-US" w:eastAsia="en-US"/>
              </w:rPr>
              <w:lastRenderedPageBreak/>
              <w:drawing>
                <wp:inline distT="0" distB="0" distL="0" distR="0" wp14:anchorId="57FFD14E" wp14:editId="0C0D94DA">
                  <wp:extent cx="2186089" cy="153352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836" cy="1536855"/>
                          </a:xfrm>
                          <a:prstGeom prst="rect">
                            <a:avLst/>
                          </a:prstGeom>
                          <a:noFill/>
                          <a:ln>
                            <a:noFill/>
                          </a:ln>
                        </pic:spPr>
                      </pic:pic>
                    </a:graphicData>
                  </a:graphic>
                </wp:inline>
              </w:drawing>
            </w:r>
          </w:p>
          <w:p w:rsidR="005717C3" w:rsidRPr="00807BF0" w:rsidRDefault="005717C3"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Vista de una zona agrícola por donde pasa la L/ST</w:t>
            </w:r>
            <w:r w:rsidR="009B3C47" w:rsidRPr="00807BF0">
              <w:rPr>
                <w:rFonts w:ascii="Arial" w:hAnsi="Arial" w:cs="Arial"/>
                <w:sz w:val="22"/>
                <w:szCs w:val="22"/>
              </w:rPr>
              <w:t xml:space="preserve">. (Tomado del </w:t>
            </w:r>
            <w:proofErr w:type="spellStart"/>
            <w:r w:rsidR="009B3C47" w:rsidRPr="00807BF0">
              <w:rPr>
                <w:rFonts w:ascii="Arial" w:hAnsi="Arial" w:cs="Arial"/>
                <w:sz w:val="22"/>
                <w:szCs w:val="22"/>
              </w:rPr>
              <w:t>EsIA</w:t>
            </w:r>
            <w:proofErr w:type="spellEnd"/>
            <w:r w:rsidR="009B3C47" w:rsidRPr="00807BF0">
              <w:rPr>
                <w:rFonts w:ascii="Arial" w:hAnsi="Arial" w:cs="Arial"/>
                <w:sz w:val="22"/>
                <w:szCs w:val="22"/>
              </w:rPr>
              <w:t>).</w:t>
            </w:r>
          </w:p>
        </w:tc>
        <w:tc>
          <w:tcPr>
            <w:tcW w:w="4247" w:type="dxa"/>
          </w:tcPr>
          <w:p w:rsidR="005717C3" w:rsidRPr="00807BF0" w:rsidRDefault="005717C3"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001417D0" wp14:editId="1DE224E9">
                  <wp:extent cx="2296939" cy="15335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790" cy="1538099"/>
                          </a:xfrm>
                          <a:prstGeom prst="rect">
                            <a:avLst/>
                          </a:prstGeom>
                          <a:noFill/>
                          <a:ln>
                            <a:noFill/>
                          </a:ln>
                        </pic:spPr>
                      </pic:pic>
                    </a:graphicData>
                  </a:graphic>
                </wp:inline>
              </w:drawing>
            </w:r>
          </w:p>
          <w:p w:rsidR="00D554CB" w:rsidRPr="00807BF0" w:rsidRDefault="00D554CB"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 xml:space="preserve">Vista del área a las afueras de la S/E </w:t>
            </w:r>
            <w:proofErr w:type="spellStart"/>
            <w:r w:rsidRPr="00807BF0">
              <w:rPr>
                <w:rFonts w:ascii="Arial" w:hAnsi="Arial" w:cs="Arial"/>
                <w:sz w:val="22"/>
                <w:szCs w:val="22"/>
              </w:rPr>
              <w:t>Sesme</w:t>
            </w:r>
            <w:proofErr w:type="spellEnd"/>
            <w:r w:rsidR="009B3C47" w:rsidRPr="00807BF0">
              <w:rPr>
                <w:rFonts w:ascii="Arial" w:hAnsi="Arial" w:cs="Arial"/>
                <w:sz w:val="22"/>
                <w:szCs w:val="22"/>
              </w:rPr>
              <w:t xml:space="preserve">. (Tomado del </w:t>
            </w:r>
            <w:proofErr w:type="spellStart"/>
            <w:r w:rsidR="009B3C47" w:rsidRPr="00807BF0">
              <w:rPr>
                <w:rFonts w:ascii="Arial" w:hAnsi="Arial" w:cs="Arial"/>
                <w:sz w:val="22"/>
                <w:szCs w:val="22"/>
              </w:rPr>
              <w:t>EsIA</w:t>
            </w:r>
            <w:proofErr w:type="spellEnd"/>
            <w:r w:rsidR="009B3C47" w:rsidRPr="00807BF0">
              <w:rPr>
                <w:rFonts w:ascii="Arial" w:hAnsi="Arial" w:cs="Arial"/>
                <w:sz w:val="22"/>
                <w:szCs w:val="22"/>
              </w:rPr>
              <w:t>).</w:t>
            </w:r>
          </w:p>
        </w:tc>
      </w:tr>
    </w:tbl>
    <w:p w:rsidR="005717C3" w:rsidRPr="00807BF0" w:rsidRDefault="005717C3" w:rsidP="00C53DC3">
      <w:pPr>
        <w:pStyle w:val="Paragraph"/>
        <w:numPr>
          <w:ilvl w:val="0"/>
          <w:numId w:val="0"/>
        </w:numPr>
        <w:tabs>
          <w:tab w:val="left" w:pos="720"/>
        </w:tabs>
        <w:ind w:left="720" w:hanging="720"/>
        <w:outlineLvl w:val="9"/>
        <w:rPr>
          <w:rFonts w:ascii="Arial" w:hAnsi="Arial" w:cs="Arial"/>
          <w:sz w:val="22"/>
          <w:szCs w:val="22"/>
        </w:rPr>
      </w:pPr>
    </w:p>
    <w:p w:rsidR="0009407D" w:rsidRPr="00807BF0" w:rsidRDefault="0009407D" w:rsidP="00C663B8">
      <w:pPr>
        <w:pStyle w:val="subtittuloppalenapartadoDali"/>
        <w:numPr>
          <w:ilvl w:val="0"/>
          <w:numId w:val="1"/>
        </w:numPr>
        <w:spacing w:line="240" w:lineRule="auto"/>
        <w:outlineLvl w:val="0"/>
        <w:rPr>
          <w:rFonts w:ascii="Arial" w:hAnsi="Arial" w:cs="Arial"/>
          <w:b/>
          <w:caps w:val="0"/>
          <w:sz w:val="22"/>
          <w:szCs w:val="22"/>
        </w:rPr>
      </w:pPr>
      <w:bookmarkStart w:id="8" w:name="_Toc384255602"/>
      <w:bookmarkStart w:id="9" w:name="_Toc368387776"/>
      <w:bookmarkStart w:id="10" w:name="_Toc465687804"/>
      <w:r w:rsidRPr="00807BF0">
        <w:rPr>
          <w:rFonts w:ascii="Arial" w:hAnsi="Arial" w:cs="Arial"/>
          <w:b/>
          <w:caps w:val="0"/>
          <w:sz w:val="22"/>
          <w:szCs w:val="22"/>
        </w:rPr>
        <w:t>Supervisión y Monitoreo</w:t>
      </w:r>
      <w:bookmarkEnd w:id="8"/>
      <w:bookmarkEnd w:id="9"/>
      <w:bookmarkEnd w:id="10"/>
    </w:p>
    <w:p w:rsidR="0009407D" w:rsidRPr="00807BF0" w:rsidRDefault="0009407D"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supervisión y el monitoreo de las actividades de esta operación serán ejecutados, en su orden, por el MEER, las Unidades de Negocio de CNEL EP Manabí, Esmeraldas y Santo Domingo, y el Banco. Cada una de las obras contará con la presencia de: i) una firma constructora (el constructor o contratista) que estará a cargo de la construcción del proyecto de esta operación, la que en virtud del contrato correspondiente, además de cumplir con los requerimientos de orden técnico y financiero, deberá acatar las disposiciones ambientales y sociales que se incluirán bajo la forma de cláusulas contractuales y especificaciones técnicas ambientales; ii) una fiscalización, la que, como parte de sus responsabilidades de control, deberá verificar que el contratista cumpla con las disposiciones en materia ambiental y social que se incluyan en los contratos de obra; iii) la supervisión y seguimiento de parte de los especialistas ambientales </w:t>
      </w:r>
      <w:r w:rsidR="00B53B65" w:rsidRPr="00807BF0">
        <w:rPr>
          <w:rFonts w:ascii="Arial" w:hAnsi="Arial" w:cs="Arial"/>
          <w:sz w:val="22"/>
          <w:szCs w:val="22"/>
        </w:rPr>
        <w:t>de las CNEL EP Manabí, Esmeraldas y Santo Domingo en coordinación con los contratistas y la autoridad ambiental; iv)</w:t>
      </w:r>
      <w:r w:rsidRPr="00807BF0">
        <w:rPr>
          <w:rFonts w:ascii="Arial" w:hAnsi="Arial" w:cs="Arial"/>
          <w:sz w:val="22"/>
          <w:szCs w:val="22"/>
        </w:rPr>
        <w:t xml:space="preserve"> la supervisión de la autoridad ambiental competente, MAE, la que de conformidad con la legislación vigente, tiene la potestad de verificar en campo el cumplimiento cabal de la legislación ambiental vigente, en especial de las disposiciones contenidas en las correspond</w:t>
      </w:r>
      <w:r w:rsidR="00B53B65" w:rsidRPr="00807BF0">
        <w:rPr>
          <w:rFonts w:ascii="Arial" w:hAnsi="Arial" w:cs="Arial"/>
          <w:sz w:val="22"/>
          <w:szCs w:val="22"/>
        </w:rPr>
        <w:t xml:space="preserve">ientes licencias o permisos; y </w:t>
      </w:r>
      <w:r w:rsidRPr="00807BF0">
        <w:rPr>
          <w:rFonts w:ascii="Arial" w:hAnsi="Arial" w:cs="Arial"/>
          <w:sz w:val="22"/>
          <w:szCs w:val="22"/>
        </w:rPr>
        <w:t>v) la supervisión ambiental y social a cargo del Banco para verificar el cumplimiento de las políticas ambientales y sociales del BID.</w:t>
      </w:r>
    </w:p>
    <w:p w:rsidR="00B53B65" w:rsidRPr="00807BF0" w:rsidRDefault="00B53B65" w:rsidP="00C53DC3">
      <w:pPr>
        <w:pStyle w:val="Paragraph"/>
        <w:numPr>
          <w:ilvl w:val="0"/>
          <w:numId w:val="0"/>
        </w:numPr>
        <w:tabs>
          <w:tab w:val="left" w:pos="720"/>
        </w:tabs>
        <w:ind w:left="709"/>
        <w:outlineLvl w:val="9"/>
        <w:rPr>
          <w:rFonts w:ascii="Arial" w:hAnsi="Arial" w:cs="Arial"/>
          <w:b/>
          <w:sz w:val="22"/>
          <w:szCs w:val="22"/>
        </w:rPr>
      </w:pPr>
      <w:r w:rsidRPr="00807BF0">
        <w:rPr>
          <w:rFonts w:ascii="Arial" w:hAnsi="Arial" w:cs="Arial"/>
          <w:b/>
          <w:sz w:val="22"/>
          <w:szCs w:val="22"/>
        </w:rPr>
        <w:t>Indicadores de gestión ambiental y social</w:t>
      </w:r>
    </w:p>
    <w:p w:rsidR="0009407D" w:rsidRPr="00807BF0" w:rsidRDefault="0009407D"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Entre los indicadores de gestión </w:t>
      </w:r>
      <w:proofErr w:type="spellStart"/>
      <w:r w:rsidRPr="00807BF0">
        <w:rPr>
          <w:rFonts w:ascii="Arial" w:hAnsi="Arial" w:cs="Arial"/>
          <w:sz w:val="22"/>
          <w:szCs w:val="22"/>
        </w:rPr>
        <w:t>socioambiental</w:t>
      </w:r>
      <w:proofErr w:type="spellEnd"/>
      <w:r w:rsidRPr="00807BF0">
        <w:rPr>
          <w:rFonts w:ascii="Arial" w:hAnsi="Arial" w:cs="Arial"/>
          <w:sz w:val="22"/>
          <w:szCs w:val="22"/>
        </w:rPr>
        <w:t xml:space="preserve"> más importantes se incluyen los siguientes: i) número de consultas públicas adicionales al mínimo requerido por la política OP-703</w:t>
      </w:r>
      <w:r w:rsidR="00B53B65" w:rsidRPr="00807BF0">
        <w:rPr>
          <w:rFonts w:ascii="Arial" w:hAnsi="Arial" w:cs="Arial"/>
          <w:sz w:val="22"/>
          <w:szCs w:val="22"/>
        </w:rPr>
        <w:t xml:space="preserve">, especialmente en aquellas áreas del proyecto que atraviesen zonas urbanas y que puedan haber posibles molestias por las obras en fase de construcción </w:t>
      </w:r>
      <w:r w:rsidRPr="00807BF0">
        <w:rPr>
          <w:rFonts w:ascii="Arial" w:hAnsi="Arial" w:cs="Arial"/>
          <w:sz w:val="22"/>
          <w:szCs w:val="22"/>
        </w:rPr>
        <w:t xml:space="preserve">; ii) número de modificaciones realizadas en cada proyecto como fruto del proceso de consulta pública; iii) número de quejas recibidas y atendidas por el sistema de captura y procesamiento de quejas y reclamos; iv) variación en el tiempo del número de penalidades aplicadas a los contratistas por incumplimiento de compromisos socio-ambientales; v) número y calidad de las medidas de manejo ambiental o social adicionales a las incluidas en los PMA de cada proyecto que el sistema de monitoreo y gestión haya podido implementar, para evitar o paliar los efectos de impactos no previstos; </w:t>
      </w:r>
      <w:r w:rsidR="00B53B65" w:rsidRPr="00807BF0">
        <w:rPr>
          <w:rFonts w:ascii="Arial" w:hAnsi="Arial" w:cs="Arial"/>
          <w:sz w:val="22"/>
          <w:szCs w:val="22"/>
        </w:rPr>
        <w:t xml:space="preserve">y, </w:t>
      </w:r>
      <w:r w:rsidRPr="00807BF0">
        <w:rPr>
          <w:rFonts w:ascii="Arial" w:hAnsi="Arial" w:cs="Arial"/>
          <w:sz w:val="22"/>
          <w:szCs w:val="22"/>
        </w:rPr>
        <w:t>vi) número de no conformidades abiertas durante un proceso de seguimiento ambiental o auditorí</w:t>
      </w:r>
      <w:r w:rsidR="00B53B65" w:rsidRPr="00807BF0">
        <w:rPr>
          <w:rFonts w:ascii="Arial" w:hAnsi="Arial" w:cs="Arial"/>
          <w:sz w:val="22"/>
          <w:szCs w:val="22"/>
        </w:rPr>
        <w:t>a ambiental a cada proyecto.</w:t>
      </w:r>
    </w:p>
    <w:p w:rsidR="00D554CB" w:rsidRPr="00807BF0" w:rsidRDefault="00CB2895" w:rsidP="00C663B8">
      <w:pPr>
        <w:pStyle w:val="subtittuloppalenapartadoDali"/>
        <w:numPr>
          <w:ilvl w:val="0"/>
          <w:numId w:val="1"/>
        </w:numPr>
        <w:spacing w:line="240" w:lineRule="auto"/>
        <w:outlineLvl w:val="0"/>
        <w:rPr>
          <w:rFonts w:ascii="Arial" w:hAnsi="Arial" w:cs="Arial"/>
          <w:b/>
          <w:caps w:val="0"/>
          <w:sz w:val="22"/>
          <w:szCs w:val="22"/>
        </w:rPr>
      </w:pPr>
      <w:bookmarkStart w:id="11" w:name="_Toc465687805"/>
      <w:r w:rsidRPr="00807BF0">
        <w:rPr>
          <w:rFonts w:ascii="Arial" w:hAnsi="Arial" w:cs="Arial"/>
          <w:b/>
          <w:caps w:val="0"/>
          <w:sz w:val="22"/>
          <w:szCs w:val="22"/>
        </w:rPr>
        <w:t>Marco de Gestión Ambiental y Social</w:t>
      </w:r>
      <w:bookmarkEnd w:id="11"/>
    </w:p>
    <w:p w:rsidR="00653228" w:rsidRPr="00807BF0" w:rsidRDefault="00653228" w:rsidP="00C663B8">
      <w:pPr>
        <w:pStyle w:val="Paragraph"/>
        <w:numPr>
          <w:ilvl w:val="1"/>
          <w:numId w:val="3"/>
        </w:numPr>
        <w:tabs>
          <w:tab w:val="left" w:pos="720"/>
        </w:tabs>
        <w:ind w:left="709" w:hanging="709"/>
        <w:outlineLvl w:val="9"/>
        <w:rPr>
          <w:rFonts w:ascii="Arial" w:hAnsi="Arial" w:cs="Arial"/>
          <w:sz w:val="22"/>
          <w:szCs w:val="22"/>
        </w:rPr>
      </w:pPr>
      <w:bookmarkStart w:id="12" w:name="_Toc417239885"/>
      <w:r w:rsidRPr="00807BF0">
        <w:rPr>
          <w:rFonts w:ascii="Arial" w:hAnsi="Arial" w:cs="Arial"/>
          <w:b/>
          <w:sz w:val="22"/>
          <w:szCs w:val="22"/>
        </w:rPr>
        <w:lastRenderedPageBreak/>
        <w:t>Introducción</w:t>
      </w:r>
      <w:bookmarkEnd w:id="12"/>
      <w:r w:rsidR="00C663B8" w:rsidRPr="00807BF0">
        <w:rPr>
          <w:rFonts w:ascii="Arial" w:hAnsi="Arial" w:cs="Arial"/>
          <w:b/>
          <w:sz w:val="22"/>
          <w:szCs w:val="22"/>
        </w:rPr>
        <w:t xml:space="preserve">. </w:t>
      </w:r>
      <w:r w:rsidRPr="00807BF0">
        <w:rPr>
          <w:rFonts w:ascii="Arial" w:hAnsi="Arial" w:cs="Arial"/>
          <w:sz w:val="22"/>
          <w:szCs w:val="22"/>
        </w:rPr>
        <w:t>El Marco de Gestión Ambiental y Social específico para este programa, contiene un compendio de acciones y medidas de prevención y control ambiental para los proyectos de este programa, en función del tipo de obra y de la sensibilidad del medio, así como los instrumentos y procedimientos de gestión ambiental requeridos para la ejecución sostenible de este programa.</w:t>
      </w:r>
    </w:p>
    <w:p w:rsidR="00653228" w:rsidRPr="00807BF0" w:rsidRDefault="00653228" w:rsidP="00C53DC3">
      <w:pPr>
        <w:pStyle w:val="Paragraph"/>
        <w:numPr>
          <w:ilvl w:val="1"/>
          <w:numId w:val="3"/>
        </w:numPr>
        <w:tabs>
          <w:tab w:val="left" w:pos="720"/>
        </w:tabs>
        <w:ind w:left="709" w:hanging="709"/>
        <w:outlineLvl w:val="9"/>
        <w:rPr>
          <w:rFonts w:ascii="Arial" w:hAnsi="Arial" w:cs="Arial"/>
          <w:sz w:val="22"/>
          <w:szCs w:val="22"/>
        </w:rPr>
      </w:pPr>
      <w:bookmarkStart w:id="13" w:name="_Toc417239887"/>
      <w:r w:rsidRPr="00807BF0">
        <w:rPr>
          <w:rFonts w:ascii="Arial" w:hAnsi="Arial" w:cs="Arial"/>
          <w:b/>
          <w:sz w:val="22"/>
          <w:szCs w:val="22"/>
        </w:rPr>
        <w:t>Objetivo General</w:t>
      </w:r>
      <w:bookmarkEnd w:id="13"/>
      <w:r w:rsidRPr="00807BF0">
        <w:rPr>
          <w:rFonts w:ascii="Arial" w:hAnsi="Arial" w:cs="Arial"/>
          <w:sz w:val="22"/>
          <w:szCs w:val="22"/>
        </w:rPr>
        <w:t>. Asegurar la sostenibilidad ambiental y social de los proyectos a financiarse en el marco del Programa y garantizar el cumplimiento tanto de la legislación ambiental nacional como la Política de Medio Ambiente y Cumplimiento de Salvaguardias Ambientales del BID.</w:t>
      </w:r>
    </w:p>
    <w:p w:rsidR="00653228" w:rsidRPr="00807BF0" w:rsidRDefault="00653228" w:rsidP="00C53DC3">
      <w:pPr>
        <w:pStyle w:val="Paragraph"/>
        <w:numPr>
          <w:ilvl w:val="1"/>
          <w:numId w:val="3"/>
        </w:numPr>
        <w:tabs>
          <w:tab w:val="left" w:pos="720"/>
        </w:tabs>
        <w:ind w:left="709" w:hanging="709"/>
        <w:outlineLvl w:val="9"/>
        <w:rPr>
          <w:rFonts w:ascii="Arial" w:hAnsi="Arial" w:cs="Arial"/>
          <w:sz w:val="22"/>
          <w:szCs w:val="22"/>
        </w:rPr>
      </w:pPr>
      <w:bookmarkStart w:id="14" w:name="_Toc417239888"/>
      <w:r w:rsidRPr="00807BF0">
        <w:rPr>
          <w:rFonts w:ascii="Arial" w:hAnsi="Arial" w:cs="Arial"/>
          <w:b/>
          <w:sz w:val="22"/>
          <w:szCs w:val="22"/>
        </w:rPr>
        <w:t>Objetivos Específicos</w:t>
      </w:r>
      <w:bookmarkEnd w:id="14"/>
      <w:r w:rsidR="003E01AA" w:rsidRPr="00807BF0">
        <w:rPr>
          <w:rFonts w:ascii="Arial" w:hAnsi="Arial" w:cs="Arial"/>
          <w:sz w:val="22"/>
          <w:szCs w:val="22"/>
        </w:rPr>
        <w:t xml:space="preserve">. </w:t>
      </w:r>
      <w:r w:rsidRPr="00807BF0">
        <w:rPr>
          <w:rFonts w:ascii="Arial" w:hAnsi="Arial" w:cs="Arial"/>
          <w:sz w:val="22"/>
          <w:szCs w:val="22"/>
        </w:rPr>
        <w:t>Determinar las condiciones y acciones de carácter preventivo, correctivo y de compensación necesarios para asegurar el éxito de la ejecución</w:t>
      </w:r>
      <w:r w:rsidR="003E01AA" w:rsidRPr="00807BF0">
        <w:rPr>
          <w:rFonts w:ascii="Arial" w:hAnsi="Arial" w:cs="Arial"/>
          <w:sz w:val="22"/>
          <w:szCs w:val="22"/>
        </w:rPr>
        <w:t xml:space="preserve"> de los proyectos del programa y </w:t>
      </w:r>
      <w:r w:rsidRPr="00807BF0">
        <w:rPr>
          <w:rFonts w:ascii="Arial" w:hAnsi="Arial" w:cs="Arial"/>
          <w:sz w:val="22"/>
          <w:szCs w:val="22"/>
        </w:rPr>
        <w:t>aseguramiento de calidad y de cumplimiento con la respectiva legislación ambiental nacional y la Política de Medio Ambiente y Cumplimiento de Sa</w:t>
      </w:r>
      <w:r w:rsidR="00DC6081" w:rsidRPr="00807BF0">
        <w:rPr>
          <w:rFonts w:ascii="Arial" w:hAnsi="Arial" w:cs="Arial"/>
          <w:sz w:val="22"/>
          <w:szCs w:val="22"/>
        </w:rPr>
        <w:t>lvaguardias Ambientales del BID.</w:t>
      </w:r>
    </w:p>
    <w:p w:rsidR="00653228" w:rsidRPr="00807BF0" w:rsidRDefault="00BE52C5" w:rsidP="00C53DC3">
      <w:pPr>
        <w:pStyle w:val="Paragraph"/>
        <w:numPr>
          <w:ilvl w:val="0"/>
          <w:numId w:val="0"/>
        </w:numPr>
        <w:tabs>
          <w:tab w:val="left" w:pos="720"/>
        </w:tabs>
        <w:ind w:left="709"/>
        <w:outlineLvl w:val="9"/>
        <w:rPr>
          <w:rFonts w:ascii="Arial" w:hAnsi="Arial" w:cs="Arial"/>
          <w:b/>
          <w:sz w:val="22"/>
          <w:szCs w:val="22"/>
        </w:rPr>
      </w:pPr>
      <w:r w:rsidRPr="00807BF0">
        <w:rPr>
          <w:rFonts w:ascii="Arial" w:hAnsi="Arial" w:cs="Arial"/>
          <w:b/>
          <w:sz w:val="22"/>
          <w:szCs w:val="22"/>
        </w:rPr>
        <w:t>Acciones Propuestas en el MGAS</w:t>
      </w:r>
    </w:p>
    <w:p w:rsidR="00CD2990" w:rsidRPr="00807BF0" w:rsidRDefault="00CD2990"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A continuación, se presentan las acciones de orden general que han sido diseñadas para prevenir, mitigar o compensar los impactos ambientales y sociales identificados en el marco de esta operación.</w:t>
      </w:r>
    </w:p>
    <w:p w:rsidR="001D6650" w:rsidRPr="00807BF0" w:rsidRDefault="001D6650"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u w:val="single"/>
        </w:rPr>
        <w:t>Construcci</w:t>
      </w:r>
      <w:r w:rsidR="00C35620" w:rsidRPr="00807BF0">
        <w:rPr>
          <w:rFonts w:ascii="Arial" w:hAnsi="Arial" w:cs="Arial"/>
          <w:sz w:val="22"/>
          <w:szCs w:val="22"/>
          <w:u w:val="single"/>
        </w:rPr>
        <w:t>ón bajo</w:t>
      </w:r>
      <w:r w:rsidR="00BE52C5" w:rsidRPr="00807BF0">
        <w:rPr>
          <w:rFonts w:ascii="Arial" w:hAnsi="Arial" w:cs="Arial"/>
          <w:sz w:val="22"/>
          <w:szCs w:val="22"/>
          <w:u w:val="single"/>
        </w:rPr>
        <w:t xml:space="preserve"> Servidumbre de P</w:t>
      </w:r>
      <w:r w:rsidRPr="00807BF0">
        <w:rPr>
          <w:rFonts w:ascii="Arial" w:hAnsi="Arial" w:cs="Arial"/>
          <w:sz w:val="22"/>
          <w:szCs w:val="22"/>
          <w:u w:val="single"/>
        </w:rPr>
        <w:t>aso</w:t>
      </w:r>
      <w:r w:rsidR="007D7F82" w:rsidRPr="00807BF0">
        <w:rPr>
          <w:rFonts w:ascii="Arial" w:hAnsi="Arial" w:cs="Arial"/>
          <w:sz w:val="22"/>
          <w:szCs w:val="22"/>
        </w:rPr>
        <w:t xml:space="preserve">. </w:t>
      </w:r>
      <w:r w:rsidR="0022032F" w:rsidRPr="00807BF0">
        <w:rPr>
          <w:rFonts w:ascii="Arial" w:hAnsi="Arial" w:cs="Arial"/>
          <w:sz w:val="22"/>
          <w:szCs w:val="22"/>
        </w:rPr>
        <w:t>E</w:t>
      </w:r>
      <w:r w:rsidR="007D7F82" w:rsidRPr="00807BF0">
        <w:rPr>
          <w:rFonts w:ascii="Arial" w:hAnsi="Arial" w:cs="Arial"/>
          <w:sz w:val="22"/>
          <w:szCs w:val="22"/>
        </w:rPr>
        <w:t xml:space="preserve">l </w:t>
      </w:r>
      <w:r w:rsidRPr="00807BF0">
        <w:rPr>
          <w:rFonts w:ascii="Arial" w:hAnsi="Arial" w:cs="Arial"/>
          <w:sz w:val="22"/>
          <w:szCs w:val="22"/>
        </w:rPr>
        <w:t>emplazamiento de las líneas de subtransmisión y subestaciones deberá diseñarse, siempre que sea posible, utilizando los corredores existentes de energía eléctrica y transporte para la transmisión y distribución de energía eléctrica, de igual forma, las carreteras y vías existentes que eviten la afectación a ecosistemas vulnerables o de importancia ecológica del área de influencia del proyecto</w:t>
      </w:r>
      <w:r w:rsidR="00DC6081" w:rsidRPr="00807BF0">
        <w:rPr>
          <w:rFonts w:ascii="Arial" w:hAnsi="Arial" w:cs="Arial"/>
          <w:sz w:val="22"/>
          <w:szCs w:val="22"/>
        </w:rPr>
        <w:t>, sean estos terrestres o acuáticos</w:t>
      </w:r>
      <w:r w:rsidRPr="00807BF0">
        <w:rPr>
          <w:rFonts w:ascii="Arial" w:hAnsi="Arial" w:cs="Arial"/>
          <w:sz w:val="22"/>
          <w:szCs w:val="22"/>
        </w:rPr>
        <w:t>.</w:t>
      </w:r>
      <w:r w:rsidR="00676908" w:rsidRPr="00807BF0">
        <w:rPr>
          <w:rFonts w:ascii="Arial" w:hAnsi="Arial" w:cs="Arial"/>
          <w:sz w:val="22"/>
          <w:szCs w:val="22"/>
        </w:rPr>
        <w:t xml:space="preserve"> De ser factible, evitar la tala o corte de especies vegetales de importancia y realizar pasos aéreos de cables sobre la vegetación evitando en todo momento afectar a la fauna que interactúa con esta vegetación.</w:t>
      </w:r>
      <w:r w:rsidR="00DC6081" w:rsidRPr="00807BF0">
        <w:rPr>
          <w:rFonts w:ascii="Arial" w:hAnsi="Arial" w:cs="Arial"/>
          <w:sz w:val="22"/>
          <w:szCs w:val="22"/>
        </w:rPr>
        <w:t xml:space="preserve"> Para el caso de Subestaciones de transmisión deberán adquirirse predios alejados de cuerpos de agua y en zonas donde se haya realizado estudios de vulnerabilidad que prevengan procesos de deslizamientos o inundaciones.</w:t>
      </w:r>
    </w:p>
    <w:p w:rsidR="00335EE6" w:rsidRPr="00807BF0" w:rsidRDefault="00335EE6"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Para la aplicación de esta acci</w:t>
      </w:r>
      <w:r w:rsidR="004774F6" w:rsidRPr="00807BF0">
        <w:rPr>
          <w:rFonts w:ascii="Arial" w:hAnsi="Arial" w:cs="Arial"/>
          <w:sz w:val="22"/>
          <w:szCs w:val="22"/>
        </w:rPr>
        <w:t xml:space="preserve">ón correctiva se deberá considerar las disposiciones señaladas en la Ley Orgánica del Servicio Público de Energía Eléctrica en los artículos 81 a 87 del Título VIII </w:t>
      </w:r>
      <w:r w:rsidR="00B52A60" w:rsidRPr="00807BF0">
        <w:rPr>
          <w:rFonts w:ascii="Arial" w:hAnsi="Arial" w:cs="Arial"/>
          <w:sz w:val="22"/>
          <w:szCs w:val="22"/>
        </w:rPr>
        <w:t xml:space="preserve">“Declaratorias de Utilidad Pública y Servidumbres de Tránsito”. </w:t>
      </w:r>
      <w:r w:rsidR="00D41EAA" w:rsidRPr="00807BF0">
        <w:rPr>
          <w:rFonts w:ascii="Arial" w:hAnsi="Arial" w:cs="Arial"/>
          <w:sz w:val="22"/>
          <w:szCs w:val="22"/>
        </w:rPr>
        <w:t>(ver Anexo No.2).</w:t>
      </w:r>
    </w:p>
    <w:p w:rsidR="007E26D0" w:rsidRPr="00807BF0" w:rsidRDefault="00C35620"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En la fase de mantenimiento de servidumbres de paso, se </w:t>
      </w:r>
      <w:r w:rsidR="00804A47" w:rsidRPr="00807BF0">
        <w:rPr>
          <w:rFonts w:ascii="Arial" w:hAnsi="Arial" w:cs="Arial"/>
          <w:sz w:val="22"/>
          <w:szCs w:val="22"/>
        </w:rPr>
        <w:t>procurará</w:t>
      </w:r>
      <w:r w:rsidRPr="00807BF0">
        <w:rPr>
          <w:rFonts w:ascii="Arial" w:hAnsi="Arial" w:cs="Arial"/>
          <w:sz w:val="22"/>
          <w:szCs w:val="22"/>
        </w:rPr>
        <w:t xml:space="preserve"> trabajar bajo la modalidad de eliminación selectiva de especies arbóreas de gran altura y el fomento de hierbas y arbustos de bajo crecimiento para lograr un manejo adecuado e integral de la vegetación sin afectar especies de interés biótico. El equipo y maquinaria utilizada en las fases de mantenimiento deberá ser de baja generación de ruido y evitará la práctica de actividades de mantenimiento y transporte manual de combustibles por riesgo a contaminación en su manipulación.</w:t>
      </w:r>
      <w:r w:rsidR="00804A47" w:rsidRPr="00807BF0">
        <w:rPr>
          <w:rFonts w:ascii="Arial" w:hAnsi="Arial" w:cs="Arial"/>
          <w:sz w:val="22"/>
          <w:szCs w:val="22"/>
        </w:rPr>
        <w:t xml:space="preserve"> </w:t>
      </w:r>
    </w:p>
    <w:p w:rsidR="001D6650" w:rsidRPr="00807BF0" w:rsidRDefault="00804A47"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Ésta última disposición se deberá cumplir en observación de la Norma INEN 2266-2009, que establece los requisitos que deben cumplir para el transporte, almacenamiento y manejo de materiales peligrosos. (ver Anexo No. 3). </w:t>
      </w:r>
    </w:p>
    <w:p w:rsidR="006B7824" w:rsidRPr="00807BF0" w:rsidRDefault="00E86A01"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u w:val="single"/>
        </w:rPr>
        <w:t>Exposición a Campos Electromagnéticos</w:t>
      </w:r>
      <w:r w:rsidR="0022032F" w:rsidRPr="00807BF0">
        <w:rPr>
          <w:rFonts w:ascii="Arial" w:hAnsi="Arial" w:cs="Arial"/>
          <w:sz w:val="22"/>
          <w:szCs w:val="22"/>
        </w:rPr>
        <w:t>. D</w:t>
      </w:r>
      <w:r w:rsidRPr="00807BF0">
        <w:rPr>
          <w:rFonts w:ascii="Arial" w:hAnsi="Arial" w:cs="Arial"/>
          <w:sz w:val="22"/>
          <w:szCs w:val="22"/>
        </w:rPr>
        <w:t xml:space="preserve">urante la fase de construcción, se debe evitar la instalación de cables de transmisión y equipos de alto voltaje por encima o limitando con propiedades residenciales y otros lugares destinados a elevadas tasas de ocupación humana (por ejemplo colegios y oficinas), </w:t>
      </w:r>
      <w:r w:rsidR="00996724" w:rsidRPr="00807BF0">
        <w:rPr>
          <w:rFonts w:ascii="Arial" w:hAnsi="Arial" w:cs="Arial"/>
          <w:sz w:val="22"/>
          <w:szCs w:val="22"/>
        </w:rPr>
        <w:t>en este sentido, las rutas de las LST deberán ser reajustadas cuando se presenten estos casos.</w:t>
      </w:r>
    </w:p>
    <w:p w:rsidR="00C35620" w:rsidRPr="00807BF0" w:rsidRDefault="00996724"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lastRenderedPageBreak/>
        <w:t>De la misma forma, se deberá estudiar la posibilidad</w:t>
      </w:r>
      <w:r w:rsidR="008560C4" w:rsidRPr="00807BF0">
        <w:rPr>
          <w:rFonts w:ascii="Arial" w:hAnsi="Arial" w:cs="Arial"/>
          <w:sz w:val="22"/>
          <w:szCs w:val="22"/>
        </w:rPr>
        <w:t>, si es factible,</w:t>
      </w:r>
      <w:r w:rsidRPr="00807BF0">
        <w:rPr>
          <w:rFonts w:ascii="Arial" w:hAnsi="Arial" w:cs="Arial"/>
          <w:sz w:val="22"/>
          <w:szCs w:val="22"/>
        </w:rPr>
        <w:t xml:space="preserve"> de aplicar</w:t>
      </w:r>
      <w:r w:rsidR="00E86A01" w:rsidRPr="00807BF0">
        <w:rPr>
          <w:rFonts w:ascii="Arial" w:hAnsi="Arial" w:cs="Arial"/>
          <w:sz w:val="22"/>
          <w:szCs w:val="22"/>
        </w:rPr>
        <w:t xml:space="preserve"> técnicas de ingeniería que reduzc</w:t>
      </w:r>
      <w:r w:rsidRPr="00807BF0">
        <w:rPr>
          <w:rFonts w:ascii="Arial" w:hAnsi="Arial" w:cs="Arial"/>
          <w:sz w:val="22"/>
          <w:szCs w:val="22"/>
        </w:rPr>
        <w:t xml:space="preserve">an los campos electromagnéticos </w:t>
      </w:r>
      <w:r w:rsidR="00E86A01" w:rsidRPr="00807BF0">
        <w:rPr>
          <w:rFonts w:ascii="Arial" w:hAnsi="Arial" w:cs="Arial"/>
          <w:sz w:val="22"/>
          <w:szCs w:val="22"/>
        </w:rPr>
        <w:t>creados por tendidos</w:t>
      </w:r>
      <w:r w:rsidRPr="00807BF0">
        <w:rPr>
          <w:rFonts w:ascii="Arial" w:hAnsi="Arial" w:cs="Arial"/>
          <w:sz w:val="22"/>
          <w:szCs w:val="22"/>
        </w:rPr>
        <w:t>,</w:t>
      </w:r>
      <w:r w:rsidR="00E86A01" w:rsidRPr="00807BF0">
        <w:rPr>
          <w:rFonts w:ascii="Arial" w:hAnsi="Arial" w:cs="Arial"/>
          <w:sz w:val="22"/>
          <w:szCs w:val="22"/>
        </w:rPr>
        <w:t xml:space="preserve"> subestaciones o transformadores eléctricos. Algunos ejemplos de estas técnicas incluyen: </w:t>
      </w:r>
      <w:r w:rsidR="008560C4" w:rsidRPr="00807BF0">
        <w:rPr>
          <w:rFonts w:ascii="Arial" w:hAnsi="Arial" w:cs="Arial"/>
          <w:sz w:val="22"/>
          <w:szCs w:val="22"/>
        </w:rPr>
        <w:t>i) p</w:t>
      </w:r>
      <w:r w:rsidR="00E86A01" w:rsidRPr="00807BF0">
        <w:rPr>
          <w:rFonts w:ascii="Arial" w:hAnsi="Arial" w:cs="Arial"/>
          <w:sz w:val="22"/>
          <w:szCs w:val="22"/>
        </w:rPr>
        <w:t xml:space="preserve">roteger con aleaciones específicas de metal, </w:t>
      </w:r>
      <w:r w:rsidR="008560C4" w:rsidRPr="00807BF0">
        <w:rPr>
          <w:rFonts w:ascii="Arial" w:hAnsi="Arial" w:cs="Arial"/>
          <w:sz w:val="22"/>
          <w:szCs w:val="22"/>
        </w:rPr>
        <w:t>ii) e</w:t>
      </w:r>
      <w:r w:rsidR="00E86A01" w:rsidRPr="00807BF0">
        <w:rPr>
          <w:rFonts w:ascii="Arial" w:hAnsi="Arial" w:cs="Arial"/>
          <w:sz w:val="22"/>
          <w:szCs w:val="22"/>
        </w:rPr>
        <w:t xml:space="preserve">nterrar los cables de transmisión, </w:t>
      </w:r>
      <w:r w:rsidR="008560C4" w:rsidRPr="00807BF0">
        <w:rPr>
          <w:rFonts w:ascii="Arial" w:hAnsi="Arial" w:cs="Arial"/>
          <w:sz w:val="22"/>
          <w:szCs w:val="22"/>
        </w:rPr>
        <w:t>iii) i</w:t>
      </w:r>
      <w:r w:rsidR="00E86A01" w:rsidRPr="00807BF0">
        <w:rPr>
          <w:rFonts w:ascii="Arial" w:hAnsi="Arial" w:cs="Arial"/>
          <w:sz w:val="22"/>
          <w:szCs w:val="22"/>
        </w:rPr>
        <w:t>ncrementar la altu</w:t>
      </w:r>
      <w:r w:rsidR="008560C4" w:rsidRPr="00807BF0">
        <w:rPr>
          <w:rFonts w:ascii="Arial" w:hAnsi="Arial" w:cs="Arial"/>
          <w:sz w:val="22"/>
          <w:szCs w:val="22"/>
        </w:rPr>
        <w:t>ra de las torres de transmisión y</w:t>
      </w:r>
      <w:r w:rsidR="00E86A01" w:rsidRPr="00807BF0">
        <w:rPr>
          <w:rFonts w:ascii="Arial" w:hAnsi="Arial" w:cs="Arial"/>
          <w:sz w:val="22"/>
          <w:szCs w:val="22"/>
        </w:rPr>
        <w:t xml:space="preserve"> </w:t>
      </w:r>
      <w:r w:rsidR="008560C4" w:rsidRPr="00807BF0">
        <w:rPr>
          <w:rFonts w:ascii="Arial" w:hAnsi="Arial" w:cs="Arial"/>
          <w:sz w:val="22"/>
          <w:szCs w:val="22"/>
        </w:rPr>
        <w:t>iv) m</w:t>
      </w:r>
      <w:r w:rsidR="00E86A01" w:rsidRPr="00807BF0">
        <w:rPr>
          <w:rFonts w:ascii="Arial" w:hAnsi="Arial" w:cs="Arial"/>
          <w:sz w:val="22"/>
          <w:szCs w:val="22"/>
        </w:rPr>
        <w:t>odificar el tamaño, espaciado y configuración de los conductores eléctricos</w:t>
      </w:r>
      <w:r w:rsidR="008560C4" w:rsidRPr="00807BF0">
        <w:rPr>
          <w:rFonts w:ascii="Arial" w:hAnsi="Arial" w:cs="Arial"/>
          <w:sz w:val="22"/>
          <w:szCs w:val="22"/>
        </w:rPr>
        <w:t>.</w:t>
      </w:r>
    </w:p>
    <w:p w:rsidR="00936001" w:rsidRPr="00807BF0" w:rsidRDefault="00936001"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base para el análisis de estas alternativas tecnológicas deberá ser el monitoreo de los campos electromagnéticos, que se cuantifica como RNI (radiaciones no ionizantes) que </w:t>
      </w:r>
      <w:r w:rsidR="001D4D6E" w:rsidRPr="00807BF0">
        <w:rPr>
          <w:rFonts w:ascii="Arial" w:hAnsi="Arial" w:cs="Arial"/>
          <w:sz w:val="22"/>
          <w:szCs w:val="22"/>
        </w:rPr>
        <w:t>de conformidad con la norma ecuatoriana debe realizarse una vez al año y reportada a la autoridad ambiental competente.</w:t>
      </w:r>
    </w:p>
    <w:p w:rsidR="00D41EAA" w:rsidRPr="00807BF0" w:rsidRDefault="00D41EAA"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norma para el monitoreo de emisiones de RNI, está detallada en </w:t>
      </w:r>
      <w:r w:rsidR="00B24602" w:rsidRPr="00807BF0">
        <w:rPr>
          <w:rFonts w:ascii="Arial" w:hAnsi="Arial" w:cs="Arial"/>
          <w:sz w:val="22"/>
          <w:szCs w:val="22"/>
        </w:rPr>
        <w:t>el Acu</w:t>
      </w:r>
      <w:r w:rsidR="001D7705" w:rsidRPr="00807BF0">
        <w:rPr>
          <w:rFonts w:ascii="Arial" w:hAnsi="Arial" w:cs="Arial"/>
          <w:sz w:val="22"/>
          <w:szCs w:val="22"/>
        </w:rPr>
        <w:t>e</w:t>
      </w:r>
      <w:r w:rsidR="00180F0D" w:rsidRPr="00807BF0">
        <w:rPr>
          <w:rFonts w:ascii="Arial" w:hAnsi="Arial" w:cs="Arial"/>
          <w:sz w:val="22"/>
          <w:szCs w:val="22"/>
        </w:rPr>
        <w:t>rdo Ministerial No. 1</w:t>
      </w:r>
      <w:r w:rsidR="00B24602" w:rsidRPr="00807BF0">
        <w:rPr>
          <w:rFonts w:ascii="Arial" w:hAnsi="Arial" w:cs="Arial"/>
          <w:sz w:val="22"/>
          <w:szCs w:val="22"/>
        </w:rPr>
        <w:t>55 de m</w:t>
      </w:r>
      <w:r w:rsidR="001D7705" w:rsidRPr="00807BF0">
        <w:rPr>
          <w:rFonts w:ascii="Arial" w:hAnsi="Arial" w:cs="Arial"/>
          <w:sz w:val="22"/>
          <w:szCs w:val="22"/>
        </w:rPr>
        <w:t>arzo 2007, en el que se expiden las “Normas Técnicas Ambientales para la Prevención y Control de la Contaminación Ambiental para los Sectores de Infraestructura: Eléctrico, Telecomunicaciones y Transporte (Puertos</w:t>
      </w:r>
      <w:r w:rsidR="00FD1271" w:rsidRPr="00807BF0">
        <w:rPr>
          <w:rFonts w:ascii="Arial" w:hAnsi="Arial" w:cs="Arial"/>
          <w:sz w:val="22"/>
          <w:szCs w:val="22"/>
        </w:rPr>
        <w:t xml:space="preserve"> y Aeropuertos” (ver Anexo No. 4</w:t>
      </w:r>
      <w:r w:rsidR="001D7705" w:rsidRPr="00807BF0">
        <w:rPr>
          <w:rFonts w:ascii="Arial" w:hAnsi="Arial" w:cs="Arial"/>
          <w:sz w:val="22"/>
          <w:szCs w:val="22"/>
        </w:rPr>
        <w:t>).</w:t>
      </w:r>
    </w:p>
    <w:p w:rsidR="00213BD3" w:rsidRPr="00807BF0" w:rsidRDefault="00213BD3"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u w:val="single"/>
        </w:rPr>
        <w:t>Gestión de Materiales Peligrosos</w:t>
      </w:r>
      <w:r w:rsidR="0022032F" w:rsidRPr="00807BF0">
        <w:rPr>
          <w:rFonts w:ascii="Arial" w:hAnsi="Arial" w:cs="Arial"/>
          <w:sz w:val="22"/>
          <w:szCs w:val="22"/>
        </w:rPr>
        <w:t>.</w:t>
      </w:r>
      <w:r w:rsidRPr="00807BF0">
        <w:rPr>
          <w:rFonts w:ascii="Arial" w:hAnsi="Arial" w:cs="Arial"/>
          <w:sz w:val="22"/>
          <w:szCs w:val="22"/>
        </w:rPr>
        <w:t xml:space="preserve"> </w:t>
      </w:r>
      <w:r w:rsidR="00936001" w:rsidRPr="00807BF0">
        <w:rPr>
          <w:rFonts w:ascii="Arial" w:hAnsi="Arial" w:cs="Arial"/>
          <w:sz w:val="22"/>
          <w:szCs w:val="22"/>
        </w:rPr>
        <w:t>En aquellos proyectos de repotenciación especialmente, donde se deba retirar equipos instalados tales como transformadores</w:t>
      </w:r>
      <w:r w:rsidR="0052557A" w:rsidRPr="00807BF0">
        <w:rPr>
          <w:rFonts w:ascii="Arial" w:hAnsi="Arial" w:cs="Arial"/>
          <w:sz w:val="22"/>
          <w:szCs w:val="22"/>
        </w:rPr>
        <w:t xml:space="preserve"> que contiene aceites dieléctricos con </w:t>
      </w:r>
      <w:proofErr w:type="spellStart"/>
      <w:r w:rsidR="0052557A" w:rsidRPr="00807BF0">
        <w:rPr>
          <w:rFonts w:ascii="Arial" w:hAnsi="Arial" w:cs="Arial"/>
          <w:sz w:val="22"/>
          <w:szCs w:val="22"/>
        </w:rPr>
        <w:t>PCBs</w:t>
      </w:r>
      <w:proofErr w:type="spellEnd"/>
      <w:r w:rsidR="00936001" w:rsidRPr="00807BF0">
        <w:rPr>
          <w:rFonts w:ascii="Arial" w:hAnsi="Arial" w:cs="Arial"/>
          <w:sz w:val="22"/>
          <w:szCs w:val="22"/>
        </w:rPr>
        <w:t>, a</w:t>
      </w:r>
      <w:r w:rsidR="0022032F" w:rsidRPr="00807BF0">
        <w:rPr>
          <w:rFonts w:ascii="Arial" w:hAnsi="Arial" w:cs="Arial"/>
          <w:sz w:val="22"/>
          <w:szCs w:val="22"/>
        </w:rPr>
        <w:t xml:space="preserve">ntes de su eliminación definitiva, </w:t>
      </w:r>
      <w:r w:rsidR="00936001" w:rsidRPr="00807BF0">
        <w:rPr>
          <w:rFonts w:ascii="Arial" w:hAnsi="Arial" w:cs="Arial"/>
          <w:sz w:val="22"/>
          <w:szCs w:val="22"/>
        </w:rPr>
        <w:t>éstos</w:t>
      </w:r>
      <w:r w:rsidR="0022032F" w:rsidRPr="00807BF0">
        <w:rPr>
          <w:rFonts w:ascii="Arial" w:hAnsi="Arial" w:cs="Arial"/>
          <w:sz w:val="22"/>
          <w:szCs w:val="22"/>
        </w:rPr>
        <w:t xml:space="preserve"> se almacenarán en </w:t>
      </w:r>
      <w:r w:rsidR="00936001" w:rsidRPr="00807BF0">
        <w:rPr>
          <w:rFonts w:ascii="Arial" w:hAnsi="Arial" w:cs="Arial"/>
          <w:sz w:val="22"/>
          <w:szCs w:val="22"/>
        </w:rPr>
        <w:t xml:space="preserve">bodegas construidas Ad-hoc para este tipo de almacenamiento, que contengan: i) al menos </w:t>
      </w:r>
      <w:r w:rsidR="0022032F" w:rsidRPr="00807BF0">
        <w:rPr>
          <w:rFonts w:ascii="Arial" w:hAnsi="Arial" w:cs="Arial"/>
          <w:sz w:val="22"/>
          <w:szCs w:val="22"/>
        </w:rPr>
        <w:t xml:space="preserve">bloques de hormigón con bordillos </w:t>
      </w:r>
      <w:r w:rsidR="00936001" w:rsidRPr="00807BF0">
        <w:rPr>
          <w:rFonts w:ascii="Arial" w:hAnsi="Arial" w:cs="Arial"/>
          <w:sz w:val="22"/>
          <w:szCs w:val="22"/>
        </w:rPr>
        <w:t xml:space="preserve">(cubetos) </w:t>
      </w:r>
      <w:r w:rsidR="0022032F" w:rsidRPr="00807BF0">
        <w:rPr>
          <w:rFonts w:ascii="Arial" w:hAnsi="Arial" w:cs="Arial"/>
          <w:sz w:val="22"/>
          <w:szCs w:val="22"/>
        </w:rPr>
        <w:t xml:space="preserve">capaces de </w:t>
      </w:r>
      <w:r w:rsidR="00936001" w:rsidRPr="00807BF0">
        <w:rPr>
          <w:rFonts w:ascii="Arial" w:hAnsi="Arial" w:cs="Arial"/>
          <w:sz w:val="22"/>
          <w:szCs w:val="22"/>
        </w:rPr>
        <w:t>contener el</w:t>
      </w:r>
      <w:r w:rsidR="0022032F" w:rsidRPr="00807BF0">
        <w:rPr>
          <w:rFonts w:ascii="Arial" w:hAnsi="Arial" w:cs="Arial"/>
          <w:sz w:val="22"/>
          <w:szCs w:val="22"/>
        </w:rPr>
        <w:t xml:space="preserve"> líquido de </w:t>
      </w:r>
      <w:r w:rsidR="00936001" w:rsidRPr="00807BF0">
        <w:rPr>
          <w:rFonts w:ascii="Arial" w:hAnsi="Arial" w:cs="Arial"/>
          <w:sz w:val="22"/>
          <w:szCs w:val="22"/>
        </w:rPr>
        <w:t>estos equipos</w:t>
      </w:r>
      <w:r w:rsidR="0022032F" w:rsidRPr="00807BF0">
        <w:rPr>
          <w:rFonts w:ascii="Arial" w:hAnsi="Arial" w:cs="Arial"/>
          <w:sz w:val="22"/>
          <w:szCs w:val="22"/>
        </w:rPr>
        <w:t xml:space="preserve"> en caso de producirse vertidos </w:t>
      </w:r>
      <w:r w:rsidR="00936001" w:rsidRPr="00807BF0">
        <w:rPr>
          <w:rFonts w:ascii="Arial" w:hAnsi="Arial" w:cs="Arial"/>
          <w:sz w:val="22"/>
          <w:szCs w:val="22"/>
        </w:rPr>
        <w:t xml:space="preserve">o fugas; ii) </w:t>
      </w:r>
      <w:r w:rsidR="0022032F" w:rsidRPr="00807BF0">
        <w:rPr>
          <w:rFonts w:ascii="Arial" w:hAnsi="Arial" w:cs="Arial"/>
          <w:sz w:val="22"/>
          <w:szCs w:val="22"/>
        </w:rPr>
        <w:t xml:space="preserve">disponer de un techo para impedir la acumulación de </w:t>
      </w:r>
      <w:r w:rsidR="00936001" w:rsidRPr="00807BF0">
        <w:rPr>
          <w:rFonts w:ascii="Arial" w:hAnsi="Arial" w:cs="Arial"/>
          <w:sz w:val="22"/>
          <w:szCs w:val="22"/>
        </w:rPr>
        <w:t xml:space="preserve">precipitaciones en dicha zona; iii) ventilación adecuada, kit anti-derrames; y, iv) una vía de acceso libre de obstáculos y de acceso directo a la bodega. </w:t>
      </w:r>
    </w:p>
    <w:p w:rsidR="00E86A01" w:rsidRPr="00807BF0" w:rsidRDefault="000669D1"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Adicionalmente</w:t>
      </w:r>
      <w:r w:rsidR="00F543DA" w:rsidRPr="00807BF0">
        <w:rPr>
          <w:rFonts w:ascii="Arial" w:hAnsi="Arial" w:cs="Arial"/>
          <w:sz w:val="22"/>
          <w:szCs w:val="22"/>
        </w:rPr>
        <w:t>,</w:t>
      </w:r>
      <w:r w:rsidRPr="00807BF0">
        <w:rPr>
          <w:rFonts w:ascii="Arial" w:hAnsi="Arial" w:cs="Arial"/>
          <w:sz w:val="22"/>
          <w:szCs w:val="22"/>
        </w:rPr>
        <w:t xml:space="preserve"> se deberán aplicar las mejores prácticas ambientales, cuando se manipule otro tipo de productos químicos peligrosos </w:t>
      </w:r>
      <w:r w:rsidR="00F543DA" w:rsidRPr="00807BF0">
        <w:rPr>
          <w:rFonts w:ascii="Arial" w:hAnsi="Arial" w:cs="Arial"/>
          <w:sz w:val="22"/>
          <w:szCs w:val="22"/>
        </w:rPr>
        <w:t xml:space="preserve">en la fase de construcción, </w:t>
      </w:r>
      <w:r w:rsidRPr="00807BF0">
        <w:rPr>
          <w:rFonts w:ascii="Arial" w:hAnsi="Arial" w:cs="Arial"/>
          <w:sz w:val="22"/>
          <w:szCs w:val="22"/>
        </w:rPr>
        <w:t>tales como combustibles, prestantes de madera (para casos con postes de madera) o herbicidas para mantener limpio la servidumbre de paso y en programas de mantenimiento de las instalaciones eléctricas</w:t>
      </w:r>
      <w:r w:rsidR="00F543DA" w:rsidRPr="00807BF0">
        <w:rPr>
          <w:rFonts w:ascii="Arial" w:hAnsi="Arial" w:cs="Arial"/>
          <w:sz w:val="22"/>
          <w:szCs w:val="22"/>
        </w:rPr>
        <w:t xml:space="preserve">. </w:t>
      </w:r>
      <w:r w:rsidR="0052557A" w:rsidRPr="00807BF0">
        <w:rPr>
          <w:rFonts w:ascii="Arial" w:hAnsi="Arial" w:cs="Arial"/>
          <w:sz w:val="22"/>
          <w:szCs w:val="22"/>
        </w:rPr>
        <w:t xml:space="preserve">Al igual que para el caso de los transformadores con </w:t>
      </w:r>
      <w:proofErr w:type="spellStart"/>
      <w:r w:rsidR="0052557A" w:rsidRPr="00807BF0">
        <w:rPr>
          <w:rFonts w:ascii="Arial" w:hAnsi="Arial" w:cs="Arial"/>
          <w:sz w:val="22"/>
          <w:szCs w:val="22"/>
        </w:rPr>
        <w:t>PCBs</w:t>
      </w:r>
      <w:proofErr w:type="spellEnd"/>
      <w:r w:rsidR="0052557A" w:rsidRPr="00807BF0">
        <w:rPr>
          <w:rFonts w:ascii="Arial" w:hAnsi="Arial" w:cs="Arial"/>
          <w:sz w:val="22"/>
          <w:szCs w:val="22"/>
        </w:rPr>
        <w:t xml:space="preserve">, éstos deberán ser almacenados </w:t>
      </w:r>
      <w:r w:rsidR="00382F1D" w:rsidRPr="00807BF0">
        <w:rPr>
          <w:rFonts w:ascii="Arial" w:hAnsi="Arial" w:cs="Arial"/>
          <w:sz w:val="22"/>
          <w:szCs w:val="22"/>
        </w:rPr>
        <w:t xml:space="preserve">en bodegas que cumplan con las normas de seguridad antes mencionadas </w:t>
      </w:r>
      <w:r w:rsidR="0052557A" w:rsidRPr="00807BF0">
        <w:rPr>
          <w:rFonts w:ascii="Arial" w:hAnsi="Arial" w:cs="Arial"/>
          <w:sz w:val="22"/>
          <w:szCs w:val="22"/>
        </w:rPr>
        <w:t>y gestionados reduciendo el r</w:t>
      </w:r>
      <w:r w:rsidR="00F543DA" w:rsidRPr="00807BF0">
        <w:rPr>
          <w:rFonts w:ascii="Arial" w:hAnsi="Arial" w:cs="Arial"/>
          <w:sz w:val="22"/>
          <w:szCs w:val="22"/>
        </w:rPr>
        <w:t xml:space="preserve">iesgo </w:t>
      </w:r>
      <w:r w:rsidR="0052557A" w:rsidRPr="00807BF0">
        <w:rPr>
          <w:rFonts w:ascii="Arial" w:hAnsi="Arial" w:cs="Arial"/>
          <w:sz w:val="22"/>
          <w:szCs w:val="22"/>
        </w:rPr>
        <w:t>asociado</w:t>
      </w:r>
      <w:r w:rsidR="00F543DA" w:rsidRPr="00807BF0">
        <w:rPr>
          <w:rFonts w:ascii="Arial" w:hAnsi="Arial" w:cs="Arial"/>
          <w:sz w:val="22"/>
          <w:szCs w:val="22"/>
        </w:rPr>
        <w:t xml:space="preserve"> con la prevención de vertidos, respuesta ante emergencias, limpieza y recuperación de suelos contaminados</w:t>
      </w:r>
      <w:r w:rsidR="0052557A" w:rsidRPr="00807BF0">
        <w:rPr>
          <w:rFonts w:ascii="Arial" w:hAnsi="Arial" w:cs="Arial"/>
          <w:sz w:val="22"/>
          <w:szCs w:val="22"/>
        </w:rPr>
        <w:t>.</w:t>
      </w:r>
    </w:p>
    <w:p w:rsidR="007E26D0" w:rsidRPr="00807BF0" w:rsidRDefault="009173E8"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Los proyectos del Programa, deberán someterse a los requerimientos señalados en la norma nacional ecuatoriana para la gestión ambientalmente adecuada de transformadores retirados de líneas de subtransmisión, en cuanto a la aplicación del proceso de identificación y cuantificación de la concentración de </w:t>
      </w:r>
      <w:proofErr w:type="spellStart"/>
      <w:r w:rsidRPr="00807BF0">
        <w:rPr>
          <w:rFonts w:ascii="Arial" w:hAnsi="Arial" w:cs="Arial"/>
          <w:sz w:val="22"/>
          <w:szCs w:val="22"/>
        </w:rPr>
        <w:t>PCBs</w:t>
      </w:r>
      <w:proofErr w:type="spellEnd"/>
      <w:r w:rsidRPr="00807BF0">
        <w:rPr>
          <w:rFonts w:ascii="Arial" w:hAnsi="Arial" w:cs="Arial"/>
          <w:sz w:val="22"/>
          <w:szCs w:val="22"/>
        </w:rPr>
        <w:t xml:space="preserve">, inicialmente con el método colorimétrico para la identificación de la presencia de </w:t>
      </w:r>
      <w:proofErr w:type="spellStart"/>
      <w:r w:rsidRPr="00807BF0">
        <w:rPr>
          <w:rFonts w:ascii="Arial" w:hAnsi="Arial" w:cs="Arial"/>
          <w:sz w:val="22"/>
          <w:szCs w:val="22"/>
        </w:rPr>
        <w:t>PCBs</w:t>
      </w:r>
      <w:proofErr w:type="spellEnd"/>
      <w:r w:rsidRPr="00807BF0">
        <w:rPr>
          <w:rFonts w:ascii="Arial" w:hAnsi="Arial" w:cs="Arial"/>
          <w:sz w:val="22"/>
          <w:szCs w:val="22"/>
        </w:rPr>
        <w:t xml:space="preserve"> y posteriormente con el método de cromatografía de gases, para la cuantificación exacta del contenido y determinar su forma de confinamiento.</w:t>
      </w:r>
      <w:r w:rsidR="00FD1271" w:rsidRPr="00807BF0">
        <w:rPr>
          <w:rFonts w:ascii="Arial" w:hAnsi="Arial" w:cs="Arial"/>
          <w:sz w:val="22"/>
          <w:szCs w:val="22"/>
        </w:rPr>
        <w:t xml:space="preserve"> </w:t>
      </w:r>
    </w:p>
    <w:p w:rsidR="00780391" w:rsidRPr="00807BF0" w:rsidRDefault="00780391"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La norma técnica nacional para la gestión ambientalmente adecuada de los residuos que contienen </w:t>
      </w:r>
      <w:proofErr w:type="spellStart"/>
      <w:r w:rsidRPr="00807BF0">
        <w:rPr>
          <w:rFonts w:ascii="Arial" w:hAnsi="Arial" w:cs="Arial"/>
          <w:sz w:val="22"/>
          <w:szCs w:val="22"/>
        </w:rPr>
        <w:t>PCBs</w:t>
      </w:r>
      <w:proofErr w:type="spellEnd"/>
      <w:r w:rsidRPr="00807BF0">
        <w:rPr>
          <w:rFonts w:ascii="Arial" w:hAnsi="Arial" w:cs="Arial"/>
          <w:sz w:val="22"/>
          <w:szCs w:val="22"/>
        </w:rPr>
        <w:t xml:space="preserve"> está señalado a detalle en el </w:t>
      </w:r>
      <w:bookmarkStart w:id="15" w:name="_Toc464143632"/>
      <w:bookmarkStart w:id="16" w:name="_Toc460589154"/>
      <w:bookmarkStart w:id="17" w:name="_Toc459811841"/>
      <w:r w:rsidR="00FD1271" w:rsidRPr="00807BF0">
        <w:rPr>
          <w:rFonts w:ascii="Arial" w:hAnsi="Arial" w:cs="Arial"/>
          <w:sz w:val="22"/>
          <w:szCs w:val="22"/>
        </w:rPr>
        <w:t xml:space="preserve">Acuerdo Ministerial Nº 146 </w:t>
      </w:r>
      <w:r w:rsidR="007E26D0" w:rsidRPr="00807BF0">
        <w:rPr>
          <w:rFonts w:ascii="Arial" w:hAnsi="Arial" w:cs="Arial"/>
          <w:sz w:val="22"/>
          <w:szCs w:val="22"/>
        </w:rPr>
        <w:t xml:space="preserve">de enero de 2015, </w:t>
      </w:r>
      <w:r w:rsidR="00FD1271" w:rsidRPr="00807BF0">
        <w:rPr>
          <w:rFonts w:ascii="Arial" w:hAnsi="Arial" w:cs="Arial"/>
          <w:sz w:val="22"/>
          <w:szCs w:val="22"/>
        </w:rPr>
        <w:t xml:space="preserve">que expide los Procedimientos para la Gestión Integral y Ambientalmente Racional de los </w:t>
      </w:r>
      <w:proofErr w:type="spellStart"/>
      <w:r w:rsidR="00FD1271" w:rsidRPr="00807BF0">
        <w:rPr>
          <w:rFonts w:ascii="Arial" w:hAnsi="Arial" w:cs="Arial"/>
          <w:sz w:val="22"/>
          <w:szCs w:val="22"/>
        </w:rPr>
        <w:t>Bifenilos</w:t>
      </w:r>
      <w:proofErr w:type="spellEnd"/>
      <w:r w:rsidR="00FD1271" w:rsidRPr="00807BF0">
        <w:rPr>
          <w:rFonts w:ascii="Arial" w:hAnsi="Arial" w:cs="Arial"/>
          <w:sz w:val="22"/>
          <w:szCs w:val="22"/>
        </w:rPr>
        <w:t xml:space="preserve"> </w:t>
      </w:r>
      <w:proofErr w:type="spellStart"/>
      <w:r w:rsidR="00FD1271" w:rsidRPr="00807BF0">
        <w:rPr>
          <w:rFonts w:ascii="Arial" w:hAnsi="Arial" w:cs="Arial"/>
          <w:sz w:val="22"/>
          <w:szCs w:val="22"/>
        </w:rPr>
        <w:t>Policlorados</w:t>
      </w:r>
      <w:proofErr w:type="spellEnd"/>
      <w:r w:rsidR="00FD1271" w:rsidRPr="00807BF0">
        <w:rPr>
          <w:rFonts w:ascii="Arial" w:hAnsi="Arial" w:cs="Arial"/>
          <w:sz w:val="22"/>
          <w:szCs w:val="22"/>
        </w:rPr>
        <w:t xml:space="preserve"> (PCB) en el Ecuador</w:t>
      </w:r>
      <w:bookmarkEnd w:id="15"/>
      <w:bookmarkEnd w:id="16"/>
      <w:bookmarkEnd w:id="17"/>
      <w:r w:rsidR="00FD1271" w:rsidRPr="00807BF0">
        <w:rPr>
          <w:rFonts w:ascii="Arial" w:hAnsi="Arial" w:cs="Arial"/>
          <w:sz w:val="22"/>
          <w:szCs w:val="22"/>
        </w:rPr>
        <w:t>; e</w:t>
      </w:r>
      <w:r w:rsidRPr="00807BF0">
        <w:rPr>
          <w:rFonts w:ascii="Arial" w:hAnsi="Arial" w:cs="Arial"/>
          <w:sz w:val="22"/>
          <w:szCs w:val="22"/>
        </w:rPr>
        <w:t xml:space="preserve">n él se señalan los procedimientos técnicos a seguir para la gestión ambiental integral de éstos materiales en todo el ciclo de vida de los desechos que contiene concentraciones de </w:t>
      </w:r>
      <w:proofErr w:type="spellStart"/>
      <w:r w:rsidRPr="00807BF0">
        <w:rPr>
          <w:rFonts w:ascii="Arial" w:hAnsi="Arial" w:cs="Arial"/>
          <w:sz w:val="22"/>
          <w:szCs w:val="22"/>
        </w:rPr>
        <w:t>PCBs</w:t>
      </w:r>
      <w:proofErr w:type="spellEnd"/>
      <w:r w:rsidRPr="00807BF0">
        <w:rPr>
          <w:rFonts w:ascii="Arial" w:hAnsi="Arial" w:cs="Arial"/>
          <w:sz w:val="22"/>
          <w:szCs w:val="22"/>
        </w:rPr>
        <w:t xml:space="preserve"> sobre la norma, incluyendo los métodos para el análisis de la concentración de estos compuestos tóxicos en </w:t>
      </w:r>
      <w:r w:rsidRPr="00807BF0">
        <w:rPr>
          <w:rFonts w:ascii="Arial" w:hAnsi="Arial" w:cs="Arial"/>
          <w:sz w:val="22"/>
          <w:szCs w:val="22"/>
        </w:rPr>
        <w:lastRenderedPageBreak/>
        <w:t>los aceites dieléctricos y las medidas de acción y confinamien</w:t>
      </w:r>
      <w:r w:rsidR="00FD1271" w:rsidRPr="00807BF0">
        <w:rPr>
          <w:rFonts w:ascii="Arial" w:hAnsi="Arial" w:cs="Arial"/>
          <w:sz w:val="22"/>
          <w:szCs w:val="22"/>
        </w:rPr>
        <w:t>to para su disposición final. (V</w:t>
      </w:r>
      <w:r w:rsidRPr="00807BF0">
        <w:rPr>
          <w:rFonts w:ascii="Arial" w:hAnsi="Arial" w:cs="Arial"/>
          <w:sz w:val="22"/>
          <w:szCs w:val="22"/>
        </w:rPr>
        <w:t xml:space="preserve">er Anexo No. </w:t>
      </w:r>
      <w:r w:rsidR="00FD1271" w:rsidRPr="00807BF0">
        <w:rPr>
          <w:rFonts w:ascii="Arial" w:hAnsi="Arial" w:cs="Arial"/>
          <w:sz w:val="22"/>
          <w:szCs w:val="22"/>
        </w:rPr>
        <w:t>5</w:t>
      </w:r>
      <w:r w:rsidRPr="00807BF0">
        <w:rPr>
          <w:rFonts w:ascii="Arial" w:hAnsi="Arial" w:cs="Arial"/>
          <w:sz w:val="22"/>
          <w:szCs w:val="22"/>
        </w:rPr>
        <w:t>).</w:t>
      </w:r>
    </w:p>
    <w:p w:rsidR="00BE52C5" w:rsidRPr="00807BF0" w:rsidRDefault="00BE52C5"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u w:val="single"/>
        </w:rPr>
        <w:t>Seguridad y Salud Ocupacional</w:t>
      </w:r>
      <w:r w:rsidRPr="00807BF0">
        <w:rPr>
          <w:rFonts w:ascii="Arial" w:hAnsi="Arial" w:cs="Arial"/>
          <w:sz w:val="22"/>
          <w:szCs w:val="22"/>
        </w:rPr>
        <w:t>. Dado que los trabajadores de este tipo de proyectos están expuestos a riesgos ocupacionales derivados del contacto con líneas eléctricas vivas durante la construcción, operación y mantenimiento, se deberán observar las siguientes recomendaciones: i) disponer que la instalación, mantenimiento o reparación de equipos eléctricos sean realizados únicamente por obreros capacitados y calificados</w:t>
      </w:r>
      <w:r w:rsidR="00E11110" w:rsidRPr="00807BF0">
        <w:rPr>
          <w:rFonts w:ascii="Arial" w:hAnsi="Arial" w:cs="Arial"/>
          <w:sz w:val="22"/>
          <w:szCs w:val="22"/>
        </w:rPr>
        <w:t>; ii) d</w:t>
      </w:r>
      <w:r w:rsidRPr="00807BF0">
        <w:rPr>
          <w:rFonts w:ascii="Arial" w:hAnsi="Arial" w:cs="Arial"/>
          <w:sz w:val="22"/>
          <w:szCs w:val="22"/>
        </w:rPr>
        <w:t xml:space="preserve">esactivar y conectar a tierra </w:t>
      </w:r>
      <w:r w:rsidR="00E11110" w:rsidRPr="00807BF0">
        <w:rPr>
          <w:rFonts w:ascii="Arial" w:hAnsi="Arial" w:cs="Arial"/>
          <w:sz w:val="22"/>
          <w:szCs w:val="22"/>
        </w:rPr>
        <w:t>adecuadamente,</w:t>
      </w:r>
      <w:r w:rsidRPr="00807BF0">
        <w:rPr>
          <w:rFonts w:ascii="Arial" w:hAnsi="Arial" w:cs="Arial"/>
          <w:sz w:val="22"/>
          <w:szCs w:val="22"/>
        </w:rPr>
        <w:t xml:space="preserve"> las líneas de energía eléctrica</w:t>
      </w:r>
      <w:r w:rsidR="00E11110" w:rsidRPr="00807BF0">
        <w:rPr>
          <w:rFonts w:ascii="Arial" w:hAnsi="Arial" w:cs="Arial"/>
          <w:sz w:val="22"/>
          <w:szCs w:val="22"/>
        </w:rPr>
        <w:t>,</w:t>
      </w:r>
      <w:r w:rsidRPr="00807BF0">
        <w:rPr>
          <w:rFonts w:ascii="Arial" w:hAnsi="Arial" w:cs="Arial"/>
          <w:sz w:val="22"/>
          <w:szCs w:val="22"/>
        </w:rPr>
        <w:t xml:space="preserve"> antes de realizar trabajos en </w:t>
      </w:r>
      <w:r w:rsidR="00E11110" w:rsidRPr="00807BF0">
        <w:rPr>
          <w:rFonts w:ascii="Arial" w:hAnsi="Arial" w:cs="Arial"/>
          <w:sz w:val="22"/>
          <w:szCs w:val="22"/>
        </w:rPr>
        <w:t>éstas o en sitios cercanos a ellas; iii) a</w:t>
      </w:r>
      <w:r w:rsidRPr="00807BF0">
        <w:rPr>
          <w:rFonts w:ascii="Arial" w:hAnsi="Arial" w:cs="Arial"/>
          <w:sz w:val="22"/>
          <w:szCs w:val="22"/>
        </w:rPr>
        <w:t xml:space="preserve">segurarse de que todo trabajo sea llevado a cabo cumpliendo estrictamente las normas específicas de </w:t>
      </w:r>
      <w:r w:rsidR="00E11110" w:rsidRPr="00807BF0">
        <w:rPr>
          <w:rFonts w:ascii="Arial" w:hAnsi="Arial" w:cs="Arial"/>
          <w:sz w:val="22"/>
          <w:szCs w:val="22"/>
        </w:rPr>
        <w:t>seguridad y aislamiento; iv)</w:t>
      </w:r>
      <w:r w:rsidRPr="00807BF0">
        <w:rPr>
          <w:rFonts w:ascii="Arial" w:hAnsi="Arial" w:cs="Arial"/>
          <w:sz w:val="22"/>
          <w:szCs w:val="22"/>
        </w:rPr>
        <w:t xml:space="preserve"> </w:t>
      </w:r>
      <w:r w:rsidR="00E11110" w:rsidRPr="00807BF0">
        <w:rPr>
          <w:rFonts w:ascii="Arial" w:hAnsi="Arial" w:cs="Arial"/>
          <w:sz w:val="22"/>
          <w:szCs w:val="22"/>
        </w:rPr>
        <w:t>e</w:t>
      </w:r>
      <w:r w:rsidR="008E58A7" w:rsidRPr="00807BF0">
        <w:rPr>
          <w:rFonts w:ascii="Arial" w:hAnsi="Arial" w:cs="Arial"/>
          <w:sz w:val="22"/>
          <w:szCs w:val="22"/>
        </w:rPr>
        <w:t>n general los trabajos eléctricos deberán realizarse cumpliendo las normas de seguridad y protección señaladas en la normativa nacional ecuatoriana.</w:t>
      </w:r>
    </w:p>
    <w:p w:rsidR="004265E1" w:rsidRPr="00807BF0" w:rsidRDefault="00C2146F"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Dentro del mismo aspecto de seguridad y salud ocupacional, específicamente para t</w:t>
      </w:r>
      <w:r w:rsidR="004265E1" w:rsidRPr="00807BF0">
        <w:rPr>
          <w:rFonts w:ascii="Arial" w:hAnsi="Arial" w:cs="Arial"/>
          <w:sz w:val="22"/>
          <w:szCs w:val="22"/>
        </w:rPr>
        <w:t>rabajos en altura</w:t>
      </w:r>
      <w:r w:rsidRPr="00807BF0">
        <w:rPr>
          <w:rFonts w:ascii="Arial" w:hAnsi="Arial" w:cs="Arial"/>
          <w:sz w:val="22"/>
          <w:szCs w:val="22"/>
        </w:rPr>
        <w:t xml:space="preserve">, además de lo expuesto, se deberá r </w:t>
      </w:r>
      <w:r w:rsidR="00536996" w:rsidRPr="00807BF0">
        <w:rPr>
          <w:rFonts w:ascii="Arial" w:hAnsi="Arial" w:cs="Arial"/>
          <w:sz w:val="22"/>
          <w:szCs w:val="22"/>
        </w:rPr>
        <w:t>considerar los siguientes aspectos siempre que apliquen a uno de los proyectos del Programa: i) Revisión de</w:t>
      </w:r>
      <w:r w:rsidRPr="00807BF0">
        <w:rPr>
          <w:rFonts w:ascii="Arial" w:hAnsi="Arial" w:cs="Arial"/>
          <w:sz w:val="22"/>
          <w:szCs w:val="22"/>
        </w:rPr>
        <w:t xml:space="preserve"> la integridad de las estructuras antes de llevar a cabo los trabajos</w:t>
      </w:r>
      <w:r w:rsidR="00536996" w:rsidRPr="00807BF0">
        <w:rPr>
          <w:rFonts w:ascii="Arial" w:hAnsi="Arial" w:cs="Arial"/>
          <w:sz w:val="22"/>
          <w:szCs w:val="22"/>
        </w:rPr>
        <w:t>, ii)</w:t>
      </w:r>
      <w:r w:rsidRPr="00807BF0">
        <w:rPr>
          <w:rFonts w:ascii="Arial" w:hAnsi="Arial" w:cs="Arial"/>
          <w:sz w:val="22"/>
          <w:szCs w:val="22"/>
        </w:rPr>
        <w:t xml:space="preserve"> </w:t>
      </w:r>
      <w:r w:rsidR="00536996" w:rsidRPr="00807BF0">
        <w:rPr>
          <w:rFonts w:ascii="Arial" w:hAnsi="Arial" w:cs="Arial"/>
          <w:sz w:val="22"/>
          <w:szCs w:val="22"/>
        </w:rPr>
        <w:t>c</w:t>
      </w:r>
      <w:r w:rsidRPr="00807BF0">
        <w:rPr>
          <w:rFonts w:ascii="Arial" w:hAnsi="Arial" w:cs="Arial"/>
          <w:sz w:val="22"/>
          <w:szCs w:val="22"/>
        </w:rPr>
        <w:t>apacitación en técnicas de subida y uso de medi</w:t>
      </w:r>
      <w:r w:rsidR="00536996" w:rsidRPr="00807BF0">
        <w:rPr>
          <w:rFonts w:ascii="Arial" w:hAnsi="Arial" w:cs="Arial"/>
          <w:sz w:val="22"/>
          <w:szCs w:val="22"/>
        </w:rPr>
        <w:t>das de protección contra caídas; iii)</w:t>
      </w:r>
      <w:r w:rsidRPr="00807BF0">
        <w:rPr>
          <w:rFonts w:ascii="Arial" w:hAnsi="Arial" w:cs="Arial"/>
          <w:sz w:val="22"/>
          <w:szCs w:val="22"/>
        </w:rPr>
        <w:t xml:space="preserve"> inspección, mantenimiento y reemplazo de los equipos de protección contra caídas y rescate de trabajadores que han quedado suspendidos en el aire</w:t>
      </w:r>
      <w:r w:rsidR="00536996" w:rsidRPr="00807BF0">
        <w:rPr>
          <w:rFonts w:ascii="Arial" w:hAnsi="Arial" w:cs="Arial"/>
          <w:sz w:val="22"/>
          <w:szCs w:val="22"/>
        </w:rPr>
        <w:t xml:space="preserve">; iv) definir </w:t>
      </w:r>
      <w:r w:rsidRPr="00807BF0">
        <w:rPr>
          <w:rFonts w:ascii="Arial" w:hAnsi="Arial" w:cs="Arial"/>
          <w:sz w:val="22"/>
          <w:szCs w:val="22"/>
        </w:rPr>
        <w:t>criterios respecto del uso de sistemas que ofrecen total protecc</w:t>
      </w:r>
      <w:r w:rsidR="001679A5" w:rsidRPr="00807BF0">
        <w:rPr>
          <w:rFonts w:ascii="Arial" w:hAnsi="Arial" w:cs="Arial"/>
          <w:sz w:val="22"/>
          <w:szCs w:val="22"/>
        </w:rPr>
        <w:t>ión contra caídas, entre otros aspectos técnicos.</w:t>
      </w:r>
    </w:p>
    <w:p w:rsidR="001F7635" w:rsidRPr="00807BF0" w:rsidRDefault="001F7635" w:rsidP="00C53DC3">
      <w:pPr>
        <w:pStyle w:val="Paragraph"/>
        <w:numPr>
          <w:ilvl w:val="1"/>
          <w:numId w:val="3"/>
        </w:numPr>
        <w:tabs>
          <w:tab w:val="left" w:pos="720"/>
        </w:tabs>
        <w:ind w:left="709" w:hanging="709"/>
        <w:outlineLvl w:val="9"/>
        <w:rPr>
          <w:rFonts w:ascii="Arial" w:hAnsi="Arial" w:cs="Arial"/>
          <w:sz w:val="22"/>
          <w:szCs w:val="22"/>
        </w:rPr>
      </w:pPr>
      <w:bookmarkStart w:id="18" w:name="_Toc464143628"/>
      <w:bookmarkStart w:id="19" w:name="_Toc460589150"/>
      <w:bookmarkStart w:id="20" w:name="_Toc459811837"/>
      <w:r w:rsidRPr="00807BF0">
        <w:rPr>
          <w:rFonts w:ascii="Arial" w:hAnsi="Arial" w:cs="Arial"/>
          <w:sz w:val="22"/>
          <w:szCs w:val="22"/>
        </w:rPr>
        <w:t>La norma existente en el Ecuador para cumplir con estas recomendaciones antes mencionadas, se sustenta en el Reglamento de Seguridad y Salud de los Trabajadores y Mejoramiento del Medio Ambiente de Trabajo</w:t>
      </w:r>
      <w:bookmarkEnd w:id="18"/>
      <w:bookmarkEnd w:id="19"/>
      <w:bookmarkEnd w:id="20"/>
      <w:r w:rsidR="000501BE" w:rsidRPr="00807BF0">
        <w:rPr>
          <w:rFonts w:ascii="Arial" w:hAnsi="Arial" w:cs="Arial"/>
          <w:sz w:val="22"/>
          <w:szCs w:val="22"/>
        </w:rPr>
        <w:t>, promulgado mediante Decreto Ejecutivo No. 2393 de noviembre de 1986.</w:t>
      </w:r>
      <w:r w:rsidR="00FF7013" w:rsidRPr="00807BF0">
        <w:rPr>
          <w:rFonts w:ascii="Arial" w:hAnsi="Arial" w:cs="Arial"/>
          <w:sz w:val="22"/>
          <w:szCs w:val="22"/>
        </w:rPr>
        <w:t xml:space="preserve"> (ver Anexo No. 6).</w:t>
      </w:r>
    </w:p>
    <w:p w:rsidR="005B4D60" w:rsidRPr="00807BF0" w:rsidRDefault="005B4D60"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u w:val="single"/>
        </w:rPr>
        <w:t>Aspectos visuales</w:t>
      </w:r>
      <w:r w:rsidRPr="00807BF0">
        <w:rPr>
          <w:rFonts w:ascii="Arial" w:hAnsi="Arial" w:cs="Arial"/>
          <w:sz w:val="22"/>
          <w:szCs w:val="22"/>
        </w:rPr>
        <w:t>. Los proyectos del Programa, para fines de reducir el impacto visual que pueda ocurr</w:t>
      </w:r>
      <w:r w:rsidR="00FF7013" w:rsidRPr="00807BF0">
        <w:rPr>
          <w:rFonts w:ascii="Arial" w:hAnsi="Arial" w:cs="Arial"/>
          <w:sz w:val="22"/>
          <w:szCs w:val="22"/>
        </w:rPr>
        <w:t>ir especialmente cuando las LST</w:t>
      </w:r>
      <w:r w:rsidR="00083D7C" w:rsidRPr="00807BF0">
        <w:rPr>
          <w:rFonts w:ascii="Arial" w:hAnsi="Arial" w:cs="Arial"/>
          <w:sz w:val="22"/>
          <w:szCs w:val="22"/>
        </w:rPr>
        <w:t xml:space="preserve"> </w:t>
      </w:r>
      <w:r w:rsidRPr="00807BF0">
        <w:rPr>
          <w:rFonts w:ascii="Arial" w:hAnsi="Arial" w:cs="Arial"/>
          <w:sz w:val="22"/>
          <w:szCs w:val="22"/>
        </w:rPr>
        <w:t>vayan a pasar cerca a zonas pobladas, deberán realizar talleres de socialización con las comunidades involucradas en la fase de diseño de las líneas, de manera que se procure identificar l</w:t>
      </w:r>
      <w:r w:rsidR="00FF7013" w:rsidRPr="00807BF0">
        <w:rPr>
          <w:rFonts w:ascii="Arial" w:hAnsi="Arial" w:cs="Arial"/>
          <w:sz w:val="22"/>
          <w:szCs w:val="22"/>
        </w:rPr>
        <w:t>a ruta más factible de manera previa a la fase de construcción y se cuente con el mecanismos e comunicación y difusión de información de manera oportuna y suficiente hacia la comunidad del área de influencia del proyecto.</w:t>
      </w:r>
    </w:p>
    <w:p w:rsidR="00083D7C" w:rsidRPr="00807BF0" w:rsidRDefault="00B44F90"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u w:val="single"/>
        </w:rPr>
        <w:t>Aspectos institucionales</w:t>
      </w:r>
      <w:r w:rsidRPr="00807BF0">
        <w:rPr>
          <w:rFonts w:ascii="Arial" w:hAnsi="Arial" w:cs="Arial"/>
          <w:sz w:val="22"/>
          <w:szCs w:val="22"/>
        </w:rPr>
        <w:t xml:space="preserve">. Para asegurar que se implementen planes de manejo ambiental efectivos durante la ejecución de los proyectos de este programa, el MEER, el CNEL EP y sus Unidades de Negocio Manabí, Esmeraldas y Santo Domingo, deberán reforzarse con el apoyo de al menos un especialista ambiental y de seguridad y salud ocupacional, que de soporte a la gestión que ejecutarán en relación a este programa, los especialistas de éstas Unidades de Negocio, particularmente en lo relacionado a: i) las acciones de regularización ambiental de los proyectos de manera previa al proceso contractual de su construcción; ii) la capacitación ambiental y especialmente en el plan de manejo ambiental (o guías de prácticas ambientales) de los proyectos que deben ser cumplidos con el contratista; iii) la documentación de las evidencias de cumplimiento del plan de manejo ambiental practicada por los contratistas; iv) la supervisión en obra del cumplimiento de las actividades del plan de manejo ambiental; </w:t>
      </w:r>
      <w:r w:rsidR="00257583" w:rsidRPr="00807BF0">
        <w:rPr>
          <w:rFonts w:ascii="Arial" w:hAnsi="Arial" w:cs="Arial"/>
          <w:sz w:val="22"/>
          <w:szCs w:val="22"/>
        </w:rPr>
        <w:t xml:space="preserve">la preparación de reportes de cumplimiento del plan de </w:t>
      </w:r>
      <w:r w:rsidR="00257583" w:rsidRPr="00807BF0">
        <w:rPr>
          <w:rFonts w:ascii="Arial" w:hAnsi="Arial" w:cs="Arial"/>
          <w:sz w:val="22"/>
          <w:szCs w:val="22"/>
        </w:rPr>
        <w:lastRenderedPageBreak/>
        <w:t>manejo ambiental a la autoridad ambiental competente, incluyendo reporte detallad de la gestión de los desechos peligrosos.</w:t>
      </w:r>
    </w:p>
    <w:p w:rsidR="000B2FB2" w:rsidRPr="00807BF0" w:rsidRDefault="000B2FB2"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A continuación se presenta una tabla resumen de las normas técnicas referidas en los Anexos para cada acción recomendada en el MGAS:</w:t>
      </w:r>
    </w:p>
    <w:p w:rsidR="00BE270A" w:rsidRPr="00807BF0" w:rsidRDefault="00BE270A" w:rsidP="00C53DC3">
      <w:pPr>
        <w:pStyle w:val="Paragraph"/>
        <w:numPr>
          <w:ilvl w:val="0"/>
          <w:numId w:val="0"/>
        </w:numPr>
        <w:tabs>
          <w:tab w:val="left" w:pos="720"/>
        </w:tabs>
        <w:ind w:left="709"/>
        <w:jc w:val="center"/>
        <w:outlineLvl w:val="9"/>
        <w:rPr>
          <w:rFonts w:ascii="Arial" w:hAnsi="Arial" w:cs="Arial"/>
          <w:sz w:val="22"/>
          <w:szCs w:val="22"/>
        </w:rPr>
      </w:pPr>
      <w:r w:rsidRPr="00807BF0">
        <w:rPr>
          <w:rFonts w:ascii="Arial" w:hAnsi="Arial" w:cs="Arial"/>
          <w:sz w:val="22"/>
          <w:szCs w:val="22"/>
        </w:rPr>
        <w:t>Tabla No. 5: Resumen de Acciones y norma aplicables del MGAS</w:t>
      </w:r>
    </w:p>
    <w:tbl>
      <w:tblPr>
        <w:tblStyle w:val="Cuadrculadetablaclara1"/>
        <w:tblW w:w="0" w:type="auto"/>
        <w:tblLayout w:type="fixed"/>
        <w:tblLook w:val="04A0" w:firstRow="1" w:lastRow="0" w:firstColumn="1" w:lastColumn="0" w:noHBand="0" w:noVBand="1"/>
      </w:tblPr>
      <w:tblGrid>
        <w:gridCol w:w="2832"/>
        <w:gridCol w:w="4251"/>
        <w:gridCol w:w="1411"/>
      </w:tblGrid>
      <w:tr w:rsidR="000B2FB2" w:rsidRPr="00807BF0" w:rsidTr="00152510">
        <w:tc>
          <w:tcPr>
            <w:tcW w:w="2832" w:type="dxa"/>
            <w:shd w:val="clear" w:color="auto" w:fill="D9D9D9" w:themeFill="background1" w:themeFillShade="D9"/>
          </w:tcPr>
          <w:p w:rsidR="000B2FB2" w:rsidRPr="00807BF0" w:rsidRDefault="000B2FB2" w:rsidP="00C53DC3">
            <w:pPr>
              <w:pStyle w:val="Paragraph"/>
              <w:numPr>
                <w:ilvl w:val="0"/>
                <w:numId w:val="0"/>
              </w:numPr>
              <w:tabs>
                <w:tab w:val="left" w:pos="720"/>
              </w:tabs>
              <w:jc w:val="center"/>
              <w:outlineLvl w:val="9"/>
              <w:rPr>
                <w:rFonts w:ascii="Arial" w:hAnsi="Arial" w:cs="Arial"/>
                <w:b/>
                <w:sz w:val="22"/>
                <w:szCs w:val="22"/>
              </w:rPr>
            </w:pPr>
            <w:r w:rsidRPr="00807BF0">
              <w:rPr>
                <w:rFonts w:ascii="Arial" w:hAnsi="Arial" w:cs="Arial"/>
                <w:b/>
                <w:sz w:val="22"/>
                <w:szCs w:val="22"/>
              </w:rPr>
              <w:t>Acción MGAS</w:t>
            </w:r>
          </w:p>
        </w:tc>
        <w:tc>
          <w:tcPr>
            <w:tcW w:w="4251" w:type="dxa"/>
            <w:shd w:val="clear" w:color="auto" w:fill="D9D9D9" w:themeFill="background1" w:themeFillShade="D9"/>
          </w:tcPr>
          <w:p w:rsidR="000B2FB2" w:rsidRPr="00807BF0" w:rsidRDefault="000B2FB2" w:rsidP="00C53DC3">
            <w:pPr>
              <w:pStyle w:val="Paragraph"/>
              <w:numPr>
                <w:ilvl w:val="0"/>
                <w:numId w:val="0"/>
              </w:numPr>
              <w:tabs>
                <w:tab w:val="left" w:pos="720"/>
              </w:tabs>
              <w:jc w:val="center"/>
              <w:outlineLvl w:val="9"/>
              <w:rPr>
                <w:rFonts w:ascii="Arial" w:hAnsi="Arial" w:cs="Arial"/>
                <w:b/>
                <w:sz w:val="22"/>
                <w:szCs w:val="22"/>
              </w:rPr>
            </w:pPr>
            <w:r w:rsidRPr="00807BF0">
              <w:rPr>
                <w:rFonts w:ascii="Arial" w:hAnsi="Arial" w:cs="Arial"/>
                <w:b/>
                <w:sz w:val="22"/>
                <w:szCs w:val="22"/>
              </w:rPr>
              <w:t>Ley/Norma</w:t>
            </w:r>
          </w:p>
        </w:tc>
        <w:tc>
          <w:tcPr>
            <w:tcW w:w="1411" w:type="dxa"/>
            <w:shd w:val="clear" w:color="auto" w:fill="D9D9D9" w:themeFill="background1" w:themeFillShade="D9"/>
          </w:tcPr>
          <w:p w:rsidR="000B2FB2" w:rsidRPr="00807BF0" w:rsidRDefault="000B2FB2" w:rsidP="00C53DC3">
            <w:pPr>
              <w:pStyle w:val="Paragraph"/>
              <w:numPr>
                <w:ilvl w:val="0"/>
                <w:numId w:val="0"/>
              </w:numPr>
              <w:tabs>
                <w:tab w:val="left" w:pos="720"/>
              </w:tabs>
              <w:jc w:val="center"/>
              <w:outlineLvl w:val="9"/>
              <w:rPr>
                <w:rFonts w:ascii="Arial" w:hAnsi="Arial" w:cs="Arial"/>
                <w:b/>
                <w:sz w:val="22"/>
                <w:szCs w:val="22"/>
              </w:rPr>
            </w:pPr>
            <w:r w:rsidRPr="00807BF0">
              <w:rPr>
                <w:rFonts w:ascii="Arial" w:hAnsi="Arial" w:cs="Arial"/>
                <w:b/>
                <w:sz w:val="22"/>
                <w:szCs w:val="22"/>
              </w:rPr>
              <w:t>Anexo</w:t>
            </w:r>
          </w:p>
        </w:tc>
      </w:tr>
      <w:tr w:rsidR="000B2FB2" w:rsidRPr="00807BF0" w:rsidTr="00152510">
        <w:tc>
          <w:tcPr>
            <w:tcW w:w="2832" w:type="dxa"/>
          </w:tcPr>
          <w:p w:rsidR="000B2FB2" w:rsidRPr="00807BF0" w:rsidRDefault="00152510" w:rsidP="00C53DC3">
            <w:pPr>
              <w:pStyle w:val="Paragraph"/>
              <w:numPr>
                <w:ilvl w:val="0"/>
                <w:numId w:val="0"/>
              </w:numPr>
              <w:tabs>
                <w:tab w:val="left" w:pos="720"/>
              </w:tabs>
              <w:jc w:val="left"/>
              <w:outlineLvl w:val="9"/>
              <w:rPr>
                <w:rFonts w:ascii="Arial" w:hAnsi="Arial" w:cs="Arial"/>
                <w:sz w:val="22"/>
                <w:szCs w:val="22"/>
              </w:rPr>
            </w:pPr>
            <w:r w:rsidRPr="00807BF0">
              <w:rPr>
                <w:rFonts w:ascii="Arial" w:hAnsi="Arial" w:cs="Arial"/>
                <w:sz w:val="22"/>
                <w:szCs w:val="22"/>
              </w:rPr>
              <w:t xml:space="preserve">Construcción bajo </w:t>
            </w:r>
            <w:r w:rsidR="000B2FB2" w:rsidRPr="00807BF0">
              <w:rPr>
                <w:rFonts w:ascii="Arial" w:hAnsi="Arial" w:cs="Arial"/>
                <w:sz w:val="22"/>
                <w:szCs w:val="22"/>
              </w:rPr>
              <w:t>Servidumbre de Paso</w:t>
            </w:r>
          </w:p>
        </w:tc>
        <w:tc>
          <w:tcPr>
            <w:tcW w:w="4251" w:type="dxa"/>
          </w:tcPr>
          <w:p w:rsidR="000B2FB2" w:rsidRPr="00807BF0" w:rsidRDefault="000B2FB2"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 xml:space="preserve">Ley Orgánica del Servicio Público de Energía Eléctrica, artículos 81 a 87 del Título VIII “Declaratorias de Utilidad Pública y Servidumbres de Tránsito”. </w:t>
            </w:r>
          </w:p>
        </w:tc>
        <w:tc>
          <w:tcPr>
            <w:tcW w:w="1411" w:type="dxa"/>
          </w:tcPr>
          <w:p w:rsidR="000B2FB2" w:rsidRPr="00807BF0" w:rsidRDefault="000B2FB2"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Anexo No.2</w:t>
            </w:r>
          </w:p>
        </w:tc>
      </w:tr>
      <w:tr w:rsidR="00152510" w:rsidRPr="00807BF0" w:rsidTr="00152510">
        <w:tc>
          <w:tcPr>
            <w:tcW w:w="2832" w:type="dxa"/>
          </w:tcPr>
          <w:p w:rsidR="00152510" w:rsidRPr="00807BF0" w:rsidRDefault="00152510" w:rsidP="00C53DC3">
            <w:pPr>
              <w:pStyle w:val="Paragraph"/>
              <w:numPr>
                <w:ilvl w:val="0"/>
                <w:numId w:val="0"/>
              </w:numPr>
              <w:tabs>
                <w:tab w:val="left" w:pos="720"/>
              </w:tabs>
              <w:jc w:val="left"/>
              <w:outlineLvl w:val="9"/>
              <w:rPr>
                <w:rFonts w:ascii="Arial" w:hAnsi="Arial" w:cs="Arial"/>
                <w:sz w:val="22"/>
                <w:szCs w:val="22"/>
              </w:rPr>
            </w:pPr>
            <w:r w:rsidRPr="00807BF0">
              <w:rPr>
                <w:rFonts w:ascii="Arial" w:hAnsi="Arial" w:cs="Arial"/>
                <w:sz w:val="22"/>
                <w:szCs w:val="22"/>
              </w:rPr>
              <w:t>Mantenimiento y transporte manual de combustibles en sitio de obra</w:t>
            </w:r>
          </w:p>
        </w:tc>
        <w:tc>
          <w:tcPr>
            <w:tcW w:w="425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Norma INEN 2266-2009, que establece los requisitos que deben cumplir para el transporte, almacenamiento y manejo de materiales peligrosos.</w:t>
            </w:r>
          </w:p>
        </w:tc>
        <w:tc>
          <w:tcPr>
            <w:tcW w:w="141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Anexo No. 3</w:t>
            </w:r>
          </w:p>
        </w:tc>
      </w:tr>
      <w:tr w:rsidR="00152510" w:rsidRPr="00807BF0" w:rsidTr="00152510">
        <w:tc>
          <w:tcPr>
            <w:tcW w:w="2832" w:type="dxa"/>
          </w:tcPr>
          <w:p w:rsidR="00152510" w:rsidRPr="00807BF0" w:rsidRDefault="00152510" w:rsidP="00C53DC3">
            <w:pPr>
              <w:pStyle w:val="Paragraph"/>
              <w:numPr>
                <w:ilvl w:val="0"/>
                <w:numId w:val="0"/>
              </w:numPr>
              <w:tabs>
                <w:tab w:val="left" w:pos="720"/>
              </w:tabs>
              <w:jc w:val="left"/>
              <w:outlineLvl w:val="9"/>
              <w:rPr>
                <w:rFonts w:ascii="Arial" w:hAnsi="Arial" w:cs="Arial"/>
                <w:sz w:val="22"/>
                <w:szCs w:val="22"/>
              </w:rPr>
            </w:pPr>
            <w:r w:rsidRPr="00807BF0">
              <w:rPr>
                <w:rFonts w:ascii="Arial" w:hAnsi="Arial" w:cs="Arial"/>
                <w:sz w:val="22"/>
                <w:szCs w:val="22"/>
              </w:rPr>
              <w:t>Exposición a Campos Electromagnéticos</w:t>
            </w:r>
          </w:p>
        </w:tc>
        <w:tc>
          <w:tcPr>
            <w:tcW w:w="425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A.M. No. 155, marzo 2007, que expide las “Normas Técnicas Ambientales para la Prevención y Control de la Contaminación Ambiental para los Sectores de Infraestructura: Eléctrico, Telecomunicaciones y Transporte (Puertos y Aeropuertos”</w:t>
            </w:r>
          </w:p>
        </w:tc>
        <w:tc>
          <w:tcPr>
            <w:tcW w:w="141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Anexo No. 4</w:t>
            </w:r>
          </w:p>
        </w:tc>
      </w:tr>
      <w:tr w:rsidR="00152510" w:rsidRPr="00807BF0" w:rsidTr="00152510">
        <w:tc>
          <w:tcPr>
            <w:tcW w:w="2832" w:type="dxa"/>
          </w:tcPr>
          <w:p w:rsidR="00152510" w:rsidRPr="00807BF0" w:rsidRDefault="00152510" w:rsidP="00C53DC3">
            <w:pPr>
              <w:pStyle w:val="Paragraph"/>
              <w:numPr>
                <w:ilvl w:val="0"/>
                <w:numId w:val="0"/>
              </w:numPr>
              <w:tabs>
                <w:tab w:val="left" w:pos="720"/>
              </w:tabs>
              <w:jc w:val="left"/>
              <w:outlineLvl w:val="9"/>
              <w:rPr>
                <w:rFonts w:ascii="Arial" w:hAnsi="Arial" w:cs="Arial"/>
                <w:sz w:val="22"/>
                <w:szCs w:val="22"/>
              </w:rPr>
            </w:pPr>
            <w:r w:rsidRPr="00807BF0">
              <w:rPr>
                <w:rFonts w:ascii="Arial" w:hAnsi="Arial" w:cs="Arial"/>
                <w:sz w:val="22"/>
                <w:szCs w:val="22"/>
              </w:rPr>
              <w:t>Gestión de Materiales Peligrosos</w:t>
            </w:r>
          </w:p>
        </w:tc>
        <w:tc>
          <w:tcPr>
            <w:tcW w:w="425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 xml:space="preserve">A.M. Nº 146, enero de 2015, que expide los Procedimientos para la Gestión Integral y Ambientalmente Racional de los </w:t>
            </w:r>
            <w:proofErr w:type="spellStart"/>
            <w:r w:rsidRPr="00807BF0">
              <w:rPr>
                <w:rFonts w:ascii="Arial" w:hAnsi="Arial" w:cs="Arial"/>
                <w:sz w:val="22"/>
                <w:szCs w:val="22"/>
              </w:rPr>
              <w:t>Bifenilos</w:t>
            </w:r>
            <w:proofErr w:type="spellEnd"/>
            <w:r w:rsidRPr="00807BF0">
              <w:rPr>
                <w:rFonts w:ascii="Arial" w:hAnsi="Arial" w:cs="Arial"/>
                <w:sz w:val="22"/>
                <w:szCs w:val="22"/>
              </w:rPr>
              <w:t xml:space="preserve"> </w:t>
            </w:r>
            <w:proofErr w:type="spellStart"/>
            <w:r w:rsidRPr="00807BF0">
              <w:rPr>
                <w:rFonts w:ascii="Arial" w:hAnsi="Arial" w:cs="Arial"/>
                <w:sz w:val="22"/>
                <w:szCs w:val="22"/>
              </w:rPr>
              <w:t>Policlorados</w:t>
            </w:r>
            <w:proofErr w:type="spellEnd"/>
            <w:r w:rsidRPr="00807BF0">
              <w:rPr>
                <w:rFonts w:ascii="Arial" w:hAnsi="Arial" w:cs="Arial"/>
                <w:sz w:val="22"/>
                <w:szCs w:val="22"/>
              </w:rPr>
              <w:t xml:space="preserve"> (PCB) en el Ecuador</w:t>
            </w:r>
          </w:p>
        </w:tc>
        <w:tc>
          <w:tcPr>
            <w:tcW w:w="141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Anexo No. 5</w:t>
            </w:r>
          </w:p>
        </w:tc>
      </w:tr>
      <w:tr w:rsidR="00152510" w:rsidRPr="00807BF0" w:rsidTr="00152510">
        <w:tc>
          <w:tcPr>
            <w:tcW w:w="2832" w:type="dxa"/>
          </w:tcPr>
          <w:p w:rsidR="00152510" w:rsidRPr="00807BF0" w:rsidRDefault="00152510" w:rsidP="00C53DC3">
            <w:pPr>
              <w:pStyle w:val="Paragraph"/>
              <w:numPr>
                <w:ilvl w:val="0"/>
                <w:numId w:val="0"/>
              </w:numPr>
              <w:tabs>
                <w:tab w:val="left" w:pos="720"/>
              </w:tabs>
              <w:jc w:val="left"/>
              <w:outlineLvl w:val="9"/>
              <w:rPr>
                <w:rFonts w:ascii="Arial" w:hAnsi="Arial" w:cs="Arial"/>
                <w:sz w:val="22"/>
                <w:szCs w:val="22"/>
              </w:rPr>
            </w:pPr>
            <w:r w:rsidRPr="00807BF0">
              <w:rPr>
                <w:rFonts w:ascii="Arial" w:hAnsi="Arial" w:cs="Arial"/>
                <w:sz w:val="22"/>
                <w:szCs w:val="22"/>
              </w:rPr>
              <w:t>Seguridad y Salud Ocupacional</w:t>
            </w:r>
          </w:p>
        </w:tc>
        <w:tc>
          <w:tcPr>
            <w:tcW w:w="425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D. E. No. 2393, noviembre de 1986, Reglamento de Seguridad y Salud de los Trabajadores y Mejoramiento del Medio Ambiente de Trabajo.</w:t>
            </w:r>
          </w:p>
        </w:tc>
        <w:tc>
          <w:tcPr>
            <w:tcW w:w="1411" w:type="dxa"/>
          </w:tcPr>
          <w:p w:rsidR="00152510" w:rsidRPr="00807BF0" w:rsidRDefault="00152510" w:rsidP="00C53DC3">
            <w:pPr>
              <w:pStyle w:val="Paragraph"/>
              <w:numPr>
                <w:ilvl w:val="0"/>
                <w:numId w:val="0"/>
              </w:numPr>
              <w:tabs>
                <w:tab w:val="left" w:pos="720"/>
              </w:tabs>
              <w:outlineLvl w:val="9"/>
              <w:rPr>
                <w:rFonts w:ascii="Arial" w:hAnsi="Arial" w:cs="Arial"/>
                <w:sz w:val="22"/>
                <w:szCs w:val="22"/>
              </w:rPr>
            </w:pPr>
            <w:r w:rsidRPr="00807BF0">
              <w:rPr>
                <w:rFonts w:ascii="Arial" w:hAnsi="Arial" w:cs="Arial"/>
                <w:sz w:val="22"/>
                <w:szCs w:val="22"/>
              </w:rPr>
              <w:t>Anexo No. 6</w:t>
            </w:r>
          </w:p>
        </w:tc>
      </w:tr>
    </w:tbl>
    <w:p w:rsidR="000B2FB2" w:rsidRPr="00807BF0" w:rsidRDefault="000B2FB2" w:rsidP="00C53DC3">
      <w:pPr>
        <w:pStyle w:val="Paragraph"/>
        <w:numPr>
          <w:ilvl w:val="0"/>
          <w:numId w:val="0"/>
        </w:numPr>
        <w:tabs>
          <w:tab w:val="left" w:pos="720"/>
        </w:tabs>
        <w:outlineLvl w:val="9"/>
        <w:rPr>
          <w:rFonts w:ascii="Arial" w:hAnsi="Arial" w:cs="Arial"/>
          <w:sz w:val="22"/>
          <w:szCs w:val="22"/>
        </w:rPr>
      </w:pPr>
    </w:p>
    <w:p w:rsidR="00E86A01" w:rsidRPr="00807BF0" w:rsidRDefault="00257583"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En complemento a lo señalado en detalle anteriormente, a continuación se presenta en la tabla </w:t>
      </w:r>
      <w:r w:rsidR="00BE270A" w:rsidRPr="00807BF0">
        <w:rPr>
          <w:rFonts w:ascii="Arial" w:hAnsi="Arial" w:cs="Arial"/>
          <w:sz w:val="22"/>
          <w:szCs w:val="22"/>
        </w:rPr>
        <w:t>No. 06</w:t>
      </w:r>
      <w:r w:rsidRPr="00807BF0">
        <w:rPr>
          <w:rFonts w:ascii="Arial" w:hAnsi="Arial" w:cs="Arial"/>
          <w:sz w:val="22"/>
          <w:szCs w:val="22"/>
        </w:rPr>
        <w:t>, las acciones generales sugeridas que deberán ser observadas por los proyectos de este Programa.</w:t>
      </w:r>
    </w:p>
    <w:p w:rsidR="00CD2990" w:rsidRPr="00807BF0" w:rsidRDefault="00BE270A" w:rsidP="00C53DC3">
      <w:pPr>
        <w:spacing w:before="100" w:beforeAutospacing="1" w:after="100" w:afterAutospacing="1" w:line="240" w:lineRule="auto"/>
        <w:jc w:val="center"/>
        <w:rPr>
          <w:rFonts w:ascii="Arial" w:hAnsi="Arial" w:cs="Arial"/>
        </w:rPr>
      </w:pPr>
      <w:r w:rsidRPr="00807BF0">
        <w:rPr>
          <w:rFonts w:ascii="Arial" w:hAnsi="Arial" w:cs="Arial"/>
        </w:rPr>
        <w:t>Tabla No. 06</w:t>
      </w:r>
      <w:r w:rsidR="00CD2990" w:rsidRPr="00807BF0">
        <w:rPr>
          <w:rFonts w:ascii="Arial" w:hAnsi="Arial" w:cs="Arial"/>
        </w:rPr>
        <w:t xml:space="preserve">: </w:t>
      </w:r>
      <w:r w:rsidR="00257583" w:rsidRPr="00807BF0">
        <w:rPr>
          <w:rFonts w:ascii="Arial" w:hAnsi="Arial" w:cs="Arial"/>
        </w:rPr>
        <w:t>Acciones Generales MGAS</w:t>
      </w:r>
    </w:p>
    <w:tbl>
      <w:tblPr>
        <w:tblStyle w:val="Cuadrculadetablaclara1"/>
        <w:tblW w:w="8494" w:type="dxa"/>
        <w:tblLayout w:type="fixed"/>
        <w:tblLook w:val="04A0" w:firstRow="1" w:lastRow="0" w:firstColumn="1" w:lastColumn="0" w:noHBand="0" w:noVBand="1"/>
      </w:tblPr>
      <w:tblGrid>
        <w:gridCol w:w="1555"/>
        <w:gridCol w:w="1701"/>
        <w:gridCol w:w="2126"/>
        <w:gridCol w:w="567"/>
        <w:gridCol w:w="425"/>
        <w:gridCol w:w="2101"/>
        <w:gridCol w:w="9"/>
        <w:gridCol w:w="10"/>
      </w:tblGrid>
      <w:tr w:rsidR="00CD2990" w:rsidRPr="00807BF0" w:rsidTr="00152510">
        <w:trPr>
          <w:trHeight w:val="198"/>
          <w:tblHeader/>
        </w:trPr>
        <w:tc>
          <w:tcPr>
            <w:tcW w:w="1555" w:type="dxa"/>
            <w:vMerge w:val="restart"/>
            <w:shd w:val="clear" w:color="auto" w:fill="D9D9D9" w:themeFill="background1" w:themeFillShade="D9"/>
            <w:noWrap/>
            <w:hideMark/>
          </w:tcPr>
          <w:p w:rsidR="00CD2990" w:rsidRPr="00807BF0" w:rsidRDefault="00CD2990" w:rsidP="00C53DC3">
            <w:pPr>
              <w:spacing w:before="100" w:beforeAutospacing="1" w:after="100" w:afterAutospacing="1" w:line="240" w:lineRule="auto"/>
              <w:ind w:left="0"/>
              <w:jc w:val="center"/>
              <w:rPr>
                <w:rFonts w:ascii="Arial" w:eastAsia="Times New Roman" w:hAnsi="Arial" w:cs="Arial"/>
                <w:b/>
                <w:bCs/>
                <w:color w:val="000000"/>
                <w:lang w:eastAsia="es-ES"/>
              </w:rPr>
            </w:pPr>
            <w:r w:rsidRPr="00807BF0">
              <w:rPr>
                <w:rFonts w:ascii="Arial" w:eastAsia="Times New Roman" w:hAnsi="Arial" w:cs="Arial"/>
                <w:b/>
                <w:bCs/>
                <w:color w:val="000000"/>
                <w:lang w:eastAsia="es-ES"/>
              </w:rPr>
              <w:t>PROGRAMA</w:t>
            </w:r>
          </w:p>
        </w:tc>
        <w:tc>
          <w:tcPr>
            <w:tcW w:w="1701" w:type="dxa"/>
            <w:vMerge w:val="restart"/>
            <w:shd w:val="clear" w:color="auto" w:fill="D9D9D9" w:themeFill="background1" w:themeFillShade="D9"/>
            <w:noWrap/>
            <w:hideMark/>
          </w:tcPr>
          <w:p w:rsidR="00CD2990" w:rsidRPr="00807BF0" w:rsidRDefault="00CD2990" w:rsidP="00C53DC3">
            <w:pPr>
              <w:spacing w:before="100" w:beforeAutospacing="1" w:after="100" w:afterAutospacing="1" w:line="240" w:lineRule="auto"/>
              <w:ind w:left="0"/>
              <w:jc w:val="center"/>
              <w:rPr>
                <w:rFonts w:ascii="Arial" w:eastAsia="Times New Roman" w:hAnsi="Arial" w:cs="Arial"/>
                <w:b/>
                <w:bCs/>
                <w:color w:val="000000"/>
                <w:lang w:eastAsia="es-ES"/>
              </w:rPr>
            </w:pPr>
            <w:r w:rsidRPr="00807BF0">
              <w:rPr>
                <w:rFonts w:ascii="Arial" w:eastAsia="Times New Roman" w:hAnsi="Arial" w:cs="Arial"/>
                <w:b/>
                <w:bCs/>
                <w:color w:val="000000"/>
                <w:lang w:eastAsia="es-ES"/>
              </w:rPr>
              <w:t>IMPACTO/ RIESGO</w:t>
            </w:r>
          </w:p>
        </w:tc>
        <w:tc>
          <w:tcPr>
            <w:tcW w:w="2126" w:type="dxa"/>
            <w:vMerge w:val="restart"/>
            <w:shd w:val="clear" w:color="auto" w:fill="D9D9D9" w:themeFill="background1" w:themeFillShade="D9"/>
            <w:noWrap/>
            <w:hideMark/>
          </w:tcPr>
          <w:p w:rsidR="00CD2990" w:rsidRPr="00807BF0" w:rsidRDefault="00CD2990" w:rsidP="00C53DC3">
            <w:pPr>
              <w:spacing w:before="100" w:beforeAutospacing="1" w:after="100" w:afterAutospacing="1" w:line="240" w:lineRule="auto"/>
              <w:ind w:left="0"/>
              <w:jc w:val="center"/>
              <w:rPr>
                <w:rFonts w:ascii="Arial" w:eastAsia="Times New Roman" w:hAnsi="Arial" w:cs="Arial"/>
                <w:b/>
                <w:bCs/>
                <w:color w:val="000000"/>
                <w:lang w:eastAsia="es-ES"/>
              </w:rPr>
            </w:pPr>
            <w:r w:rsidRPr="00807BF0">
              <w:rPr>
                <w:rFonts w:ascii="Arial" w:eastAsia="Times New Roman" w:hAnsi="Arial" w:cs="Arial"/>
                <w:b/>
                <w:bCs/>
                <w:color w:val="000000"/>
                <w:lang w:eastAsia="es-ES"/>
              </w:rPr>
              <w:t>MEDIDA</w:t>
            </w:r>
          </w:p>
        </w:tc>
        <w:tc>
          <w:tcPr>
            <w:tcW w:w="992" w:type="dxa"/>
            <w:gridSpan w:val="2"/>
            <w:shd w:val="clear" w:color="auto" w:fill="D9D9D9" w:themeFill="background1" w:themeFillShade="D9"/>
            <w:noWrap/>
            <w:hideMark/>
          </w:tcPr>
          <w:p w:rsidR="00CD2990" w:rsidRPr="00807BF0" w:rsidRDefault="00CD2990" w:rsidP="00C53DC3">
            <w:pPr>
              <w:spacing w:before="100" w:beforeAutospacing="1" w:after="100" w:afterAutospacing="1" w:line="240" w:lineRule="auto"/>
              <w:ind w:left="0"/>
              <w:jc w:val="center"/>
              <w:rPr>
                <w:rFonts w:ascii="Arial" w:eastAsia="Times New Roman" w:hAnsi="Arial" w:cs="Arial"/>
                <w:b/>
                <w:bCs/>
                <w:color w:val="000000"/>
                <w:lang w:eastAsia="es-ES"/>
              </w:rPr>
            </w:pPr>
            <w:r w:rsidRPr="00807BF0">
              <w:rPr>
                <w:rFonts w:ascii="Arial" w:eastAsia="Times New Roman" w:hAnsi="Arial" w:cs="Arial"/>
                <w:b/>
                <w:bCs/>
                <w:color w:val="000000"/>
                <w:lang w:eastAsia="es-ES"/>
              </w:rPr>
              <w:t>FASE</w:t>
            </w:r>
          </w:p>
        </w:tc>
        <w:tc>
          <w:tcPr>
            <w:tcW w:w="2120" w:type="dxa"/>
            <w:gridSpan w:val="3"/>
            <w:vMerge w:val="restart"/>
            <w:shd w:val="clear" w:color="auto" w:fill="D9D9D9" w:themeFill="background1" w:themeFillShade="D9"/>
            <w:noWrap/>
            <w:hideMark/>
          </w:tcPr>
          <w:p w:rsidR="00CD2990" w:rsidRPr="00807BF0" w:rsidRDefault="00CD2990" w:rsidP="00C53DC3">
            <w:pPr>
              <w:spacing w:before="100" w:beforeAutospacing="1" w:after="100" w:afterAutospacing="1" w:line="240" w:lineRule="auto"/>
              <w:ind w:left="0"/>
              <w:jc w:val="center"/>
              <w:rPr>
                <w:rFonts w:ascii="Arial" w:eastAsia="Times New Roman" w:hAnsi="Arial" w:cs="Arial"/>
                <w:b/>
                <w:bCs/>
                <w:color w:val="000000"/>
                <w:lang w:eastAsia="es-ES"/>
              </w:rPr>
            </w:pPr>
            <w:r w:rsidRPr="00807BF0">
              <w:rPr>
                <w:rFonts w:ascii="Arial" w:eastAsia="Times New Roman" w:hAnsi="Arial" w:cs="Arial"/>
                <w:b/>
                <w:bCs/>
                <w:color w:val="000000"/>
                <w:lang w:eastAsia="es-ES"/>
              </w:rPr>
              <w:t>INDICADOR</w:t>
            </w:r>
          </w:p>
        </w:tc>
      </w:tr>
      <w:tr w:rsidR="00CD2990" w:rsidRPr="00807BF0" w:rsidTr="00BC5D4B">
        <w:trPr>
          <w:trHeight w:val="1495"/>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b/>
                <w:bCs/>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b/>
                <w:bCs/>
                <w:color w:val="000000"/>
                <w:lang w:val="es-ES_tradnl" w:eastAsia="es-ES"/>
              </w:rPr>
            </w:pPr>
          </w:p>
        </w:tc>
        <w:tc>
          <w:tcPr>
            <w:tcW w:w="2126"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b/>
                <w:bCs/>
                <w:color w:val="000000"/>
                <w:lang w:val="es-ES_tradnl" w:eastAsia="es-ES"/>
              </w:rPr>
            </w:pPr>
          </w:p>
        </w:tc>
        <w:tc>
          <w:tcPr>
            <w:tcW w:w="567" w:type="dxa"/>
            <w:shd w:val="clear" w:color="auto" w:fill="D9D9D9" w:themeFill="background1" w:themeFillShade="D9"/>
            <w:noWrap/>
            <w:textDirection w:val="btLr"/>
            <w:hideMark/>
          </w:tcPr>
          <w:p w:rsidR="00CD2990" w:rsidRPr="00807BF0" w:rsidRDefault="00CD2990" w:rsidP="00C53DC3">
            <w:pPr>
              <w:spacing w:before="100" w:beforeAutospacing="1" w:after="100" w:afterAutospacing="1" w:line="240" w:lineRule="auto"/>
              <w:ind w:left="113" w:right="113"/>
              <w:jc w:val="left"/>
              <w:rPr>
                <w:rFonts w:ascii="Arial" w:eastAsia="Times New Roman" w:hAnsi="Arial" w:cs="Arial"/>
                <w:b/>
                <w:bCs/>
                <w:color w:val="000000"/>
                <w:lang w:eastAsia="es-ES"/>
              </w:rPr>
            </w:pPr>
            <w:r w:rsidRPr="00807BF0">
              <w:rPr>
                <w:rFonts w:ascii="Arial" w:eastAsia="Times New Roman" w:hAnsi="Arial" w:cs="Arial"/>
                <w:b/>
                <w:bCs/>
                <w:color w:val="000000"/>
                <w:lang w:eastAsia="es-ES"/>
              </w:rPr>
              <w:t>Construcción</w:t>
            </w:r>
          </w:p>
        </w:tc>
        <w:tc>
          <w:tcPr>
            <w:tcW w:w="425" w:type="dxa"/>
            <w:shd w:val="clear" w:color="auto" w:fill="D9D9D9" w:themeFill="background1" w:themeFillShade="D9"/>
            <w:noWrap/>
            <w:textDirection w:val="btLr"/>
            <w:hideMark/>
          </w:tcPr>
          <w:p w:rsidR="00CD2990" w:rsidRPr="00807BF0" w:rsidRDefault="00CD2990" w:rsidP="00C53DC3">
            <w:pPr>
              <w:spacing w:before="100" w:beforeAutospacing="1" w:after="100" w:afterAutospacing="1" w:line="240" w:lineRule="auto"/>
              <w:ind w:left="113" w:right="113"/>
              <w:jc w:val="left"/>
              <w:rPr>
                <w:rFonts w:ascii="Arial" w:eastAsia="Times New Roman" w:hAnsi="Arial" w:cs="Arial"/>
                <w:b/>
                <w:bCs/>
                <w:color w:val="000000"/>
                <w:lang w:eastAsia="es-ES"/>
              </w:rPr>
            </w:pPr>
            <w:r w:rsidRPr="00807BF0">
              <w:rPr>
                <w:rFonts w:ascii="Arial" w:eastAsia="Times New Roman" w:hAnsi="Arial" w:cs="Arial"/>
                <w:b/>
                <w:bCs/>
                <w:color w:val="000000"/>
                <w:lang w:eastAsia="es-ES"/>
              </w:rPr>
              <w:t>Operación</w:t>
            </w:r>
          </w:p>
        </w:tc>
        <w:tc>
          <w:tcPr>
            <w:tcW w:w="2120" w:type="dxa"/>
            <w:gridSpan w:val="3"/>
            <w:vMerge/>
            <w:hideMark/>
          </w:tcPr>
          <w:p w:rsidR="00CD2990" w:rsidRPr="00807BF0" w:rsidRDefault="00CD2990" w:rsidP="00C53DC3">
            <w:pPr>
              <w:spacing w:before="100" w:beforeAutospacing="1" w:after="100" w:afterAutospacing="1" w:line="240" w:lineRule="auto"/>
              <w:jc w:val="left"/>
              <w:rPr>
                <w:rFonts w:ascii="Arial" w:eastAsia="Times New Roman" w:hAnsi="Arial" w:cs="Arial"/>
                <w:b/>
                <w:bCs/>
                <w:color w:val="000000"/>
                <w:lang w:val="es-ES_tradnl" w:eastAsia="es-ES"/>
              </w:rPr>
            </w:pPr>
          </w:p>
        </w:tc>
      </w:tr>
      <w:tr w:rsidR="00CD2990" w:rsidRPr="00807BF0" w:rsidTr="00BC5D4B">
        <w:trPr>
          <w:trHeight w:val="204"/>
        </w:trPr>
        <w:tc>
          <w:tcPr>
            <w:tcW w:w="1555"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Prevención y Control de la </w:t>
            </w:r>
            <w:r w:rsidRPr="00807BF0">
              <w:rPr>
                <w:rFonts w:ascii="Arial" w:eastAsia="Times New Roman" w:hAnsi="Arial" w:cs="Arial"/>
                <w:color w:val="000000"/>
                <w:lang w:eastAsia="es-ES"/>
              </w:rPr>
              <w:lastRenderedPageBreak/>
              <w:t>Contaminación Ambiental</w:t>
            </w:r>
          </w:p>
        </w:tc>
        <w:tc>
          <w:tcPr>
            <w:tcW w:w="17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lastRenderedPageBreak/>
              <w:t xml:space="preserve">Contaminación del suelo: </w:t>
            </w:r>
            <w:r w:rsidRPr="00807BF0">
              <w:rPr>
                <w:rFonts w:ascii="Arial" w:eastAsia="Times New Roman" w:hAnsi="Arial" w:cs="Arial"/>
                <w:color w:val="000000"/>
                <w:lang w:eastAsia="es-ES"/>
              </w:rPr>
              <w:lastRenderedPageBreak/>
              <w:t>fugas, derrames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lastRenderedPageBreak/>
              <w:t xml:space="preserve">Colocación de equipos y </w:t>
            </w:r>
            <w:r w:rsidRPr="00807BF0">
              <w:rPr>
                <w:rFonts w:ascii="Arial" w:eastAsia="Times New Roman" w:hAnsi="Arial" w:cs="Arial"/>
                <w:color w:val="000000"/>
                <w:lang w:eastAsia="es-ES"/>
              </w:rPr>
              <w:lastRenderedPageBreak/>
              <w:t>materiales anti derrames e impermeabilizantes: cubeto de contención.</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lastRenderedPageBreak/>
              <w:t>x</w:t>
            </w:r>
          </w:p>
        </w:tc>
        <w:tc>
          <w:tcPr>
            <w:tcW w:w="425"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 </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Número de derrames no </w:t>
            </w:r>
            <w:r w:rsidRPr="00807BF0">
              <w:rPr>
                <w:rFonts w:ascii="Arial" w:eastAsia="Times New Roman" w:hAnsi="Arial" w:cs="Arial"/>
                <w:color w:val="000000"/>
                <w:lang w:eastAsia="es-ES"/>
              </w:rPr>
              <w:lastRenderedPageBreak/>
              <w:t>controlados por /obra</w:t>
            </w:r>
          </w:p>
        </w:tc>
      </w:tr>
      <w:tr w:rsidR="00CD2990" w:rsidRPr="00807BF0" w:rsidTr="00BC5D4B">
        <w:trPr>
          <w:trHeight w:val="56"/>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Contaminación del aire: material </w:t>
            </w:r>
            <w:proofErr w:type="spellStart"/>
            <w:r w:rsidRPr="00807BF0">
              <w:rPr>
                <w:rFonts w:ascii="Arial" w:eastAsia="Times New Roman" w:hAnsi="Arial" w:cs="Arial"/>
                <w:color w:val="000000"/>
                <w:lang w:eastAsia="es-ES"/>
              </w:rPr>
              <w:t>particulado</w:t>
            </w:r>
            <w:proofErr w:type="spellEnd"/>
            <w:r w:rsidRPr="00807BF0">
              <w:rPr>
                <w:rFonts w:ascii="Arial" w:eastAsia="Times New Roman" w:hAnsi="Arial" w:cs="Arial"/>
                <w:color w:val="000000"/>
                <w:lang w:eastAsia="es-ES"/>
              </w:rPr>
              <w:t xml:space="preserve"> y gases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Mantenimiento adecuado de vehículos que ingresan a la obra</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chequeos mecánicos por año</w:t>
            </w:r>
          </w:p>
        </w:tc>
      </w:tr>
      <w:tr w:rsidR="00CD2990" w:rsidRPr="00807BF0" w:rsidTr="00BC5D4B">
        <w:trPr>
          <w:trHeight w:val="90"/>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Colocación de cubiertas plásticas al material de construcción</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Número de riegos por semana en fase de construcción</w:t>
            </w:r>
          </w:p>
        </w:tc>
      </w:tr>
      <w:tr w:rsidR="00CD2990" w:rsidRPr="00807BF0" w:rsidTr="00BC5D4B">
        <w:trPr>
          <w:trHeight w:val="124"/>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del agua</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Colocación de barreras de intercepción antes de cuerpos de agua, drenajes o vertientes.</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 </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barreras colocadas</w:t>
            </w:r>
          </w:p>
        </w:tc>
      </w:tr>
      <w:tr w:rsidR="00CD2990" w:rsidRPr="00807BF0" w:rsidTr="00BC5D4B">
        <w:trPr>
          <w:trHeight w:val="756"/>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Ubicación instalaciones alejadas de cursos de agua.</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 </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Registro fotográfico</w:t>
            </w:r>
          </w:p>
        </w:tc>
      </w:tr>
      <w:tr w:rsidR="00CD2990" w:rsidRPr="00807BF0" w:rsidTr="00BC5D4B">
        <w:trPr>
          <w:trHeight w:val="50"/>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acústica: ruido y vibraciones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proofErr w:type="spellStart"/>
            <w:r w:rsidRPr="00807BF0">
              <w:rPr>
                <w:rFonts w:ascii="Arial" w:eastAsia="Times New Roman" w:hAnsi="Arial" w:cs="Arial"/>
                <w:color w:val="000000"/>
                <w:lang w:eastAsia="es-ES"/>
              </w:rPr>
              <w:t>Monitoreos</w:t>
            </w:r>
            <w:proofErr w:type="spellEnd"/>
            <w:r w:rsidRPr="00807BF0">
              <w:rPr>
                <w:rFonts w:ascii="Arial" w:eastAsia="Times New Roman" w:hAnsi="Arial" w:cs="Arial"/>
                <w:color w:val="000000"/>
                <w:lang w:eastAsia="es-ES"/>
              </w:rPr>
              <w:t xml:space="preserve"> de ruido en áreas de trabajo</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 xml:space="preserve">Número de </w:t>
            </w:r>
            <w:proofErr w:type="spellStart"/>
            <w:r w:rsidRPr="00807BF0">
              <w:rPr>
                <w:rFonts w:ascii="Arial" w:eastAsia="Times New Roman" w:hAnsi="Arial" w:cs="Arial"/>
                <w:color w:val="000000"/>
                <w:lang w:eastAsia="es-ES"/>
              </w:rPr>
              <w:t>monitoreos</w:t>
            </w:r>
            <w:proofErr w:type="spellEnd"/>
            <w:r w:rsidRPr="00807BF0">
              <w:rPr>
                <w:rFonts w:ascii="Arial" w:eastAsia="Times New Roman" w:hAnsi="Arial" w:cs="Arial"/>
                <w:color w:val="000000"/>
                <w:lang w:eastAsia="es-ES"/>
              </w:rPr>
              <w:t>/año</w:t>
            </w:r>
          </w:p>
        </w:tc>
      </w:tr>
      <w:tr w:rsidR="00CD2990" w:rsidRPr="00807BF0" w:rsidTr="00BC5D4B">
        <w:trPr>
          <w:trHeight w:val="98"/>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Mantenimiento adecuado de los vehículos que ingresan al lugar</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chequeos mecánicos por año</w:t>
            </w:r>
          </w:p>
        </w:tc>
      </w:tr>
      <w:tr w:rsidR="00CD2990" w:rsidRPr="00807BF0" w:rsidTr="00BC5D4B">
        <w:trPr>
          <w:trHeight w:val="275"/>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Restricción de la velocidad de circulación de vehículos y maquinaria.</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Registros de control por mes</w:t>
            </w:r>
          </w:p>
        </w:tc>
      </w:tr>
      <w:tr w:rsidR="00CD2990" w:rsidRPr="00807BF0" w:rsidTr="00BC5D4B">
        <w:trPr>
          <w:trHeight w:val="126"/>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Visual</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No acumulación de tierras, escombros, residuos o cualquier material en las áreas de trabajo.</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Registro fotográfico</w:t>
            </w:r>
          </w:p>
        </w:tc>
      </w:tr>
      <w:tr w:rsidR="00CD2990" w:rsidRPr="00807BF0" w:rsidTr="00BC5D4B">
        <w:trPr>
          <w:trHeight w:val="797"/>
        </w:trPr>
        <w:tc>
          <w:tcPr>
            <w:tcW w:w="1555"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Relaciones Comunitarias</w:t>
            </w: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Impactos negativos que afecten a la población</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Realización de procesos informativos, acercamientos con la población involucrada, según normativa </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charlas informativas por año</w:t>
            </w:r>
          </w:p>
        </w:tc>
      </w:tr>
      <w:tr w:rsidR="00CD2990" w:rsidRPr="00807BF0" w:rsidTr="00BC5D4B">
        <w:trPr>
          <w:trHeight w:val="293"/>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Información a la comunidad sobre el "Sistema de Atención a Quejas" y "Medidas de </w:t>
            </w:r>
            <w:r w:rsidRPr="00807BF0">
              <w:rPr>
                <w:rFonts w:ascii="Arial" w:eastAsia="Times New Roman" w:hAnsi="Arial" w:cs="Arial"/>
                <w:color w:val="000000"/>
                <w:lang w:eastAsia="es-ES"/>
              </w:rPr>
              <w:lastRenderedPageBreak/>
              <w:t>Compensación".</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lastRenderedPageBreak/>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quejas subsanadas por número de quejas recibidas en un año</w:t>
            </w:r>
          </w:p>
        </w:tc>
      </w:tr>
      <w:tr w:rsidR="00CD2990" w:rsidRPr="00807BF0" w:rsidTr="00BC5D4B">
        <w:trPr>
          <w:trHeight w:val="293"/>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Organización comunitaria en el sistema de vigilancia para mantenimiento de la infraestructura</w:t>
            </w:r>
          </w:p>
        </w:tc>
        <w:tc>
          <w:tcPr>
            <w:tcW w:w="567" w:type="dxa"/>
            <w:noWrap/>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actas de vigilancia realizadas por la comunidad al año</w:t>
            </w:r>
          </w:p>
        </w:tc>
      </w:tr>
      <w:tr w:rsidR="00CD2990" w:rsidRPr="00807BF0" w:rsidTr="00BC5D4B">
        <w:trPr>
          <w:trHeight w:val="32"/>
        </w:trPr>
        <w:tc>
          <w:tcPr>
            <w:tcW w:w="1555" w:type="dxa"/>
            <w:vMerge w:val="restart"/>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hAnsi="Arial" w:cs="Arial"/>
              </w:rPr>
              <w:br w:type="page"/>
            </w:r>
            <w:r w:rsidRPr="00807BF0">
              <w:rPr>
                <w:rFonts w:ascii="Arial" w:eastAsia="Times New Roman" w:hAnsi="Arial" w:cs="Arial"/>
                <w:color w:val="000000"/>
                <w:lang w:eastAsia="es-ES"/>
              </w:rPr>
              <w:t>Capacitación y Comunicación</w:t>
            </w:r>
          </w:p>
        </w:tc>
        <w:tc>
          <w:tcPr>
            <w:tcW w:w="17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del suelo, aire, agua</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Capacitaciones periódicas en manejo y disposición de residuos, prevención y contaminación de recursos, gestión e impactos ambientales del proyecto</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 </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capacitaciones recibidas por año</w:t>
            </w:r>
          </w:p>
        </w:tc>
      </w:tr>
      <w:tr w:rsidR="00CD2990" w:rsidRPr="00807BF0" w:rsidTr="00BC5D4B">
        <w:trPr>
          <w:trHeight w:val="461"/>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themeColor="text1"/>
                <w:lang w:eastAsia="es-ES"/>
              </w:rPr>
              <w:t>Riesgos en salud y seguridad de trabajadores y operadores comunitarios. Riesgo de instalaciones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Capacitaciones sobre riesgos laborales, de salud, riesgos naturales,  seguridad industrial</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 </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Número de capacitaciones recibidas en fase de construcción</w:t>
            </w:r>
          </w:p>
        </w:tc>
      </w:tr>
      <w:tr w:rsidR="00CD2990" w:rsidRPr="00807BF0" w:rsidTr="00BC5D4B">
        <w:trPr>
          <w:trHeight w:val="429"/>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Capacitaciones periódicas sobre uso y manejo de equipos de protección personal y primeros auxilios</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Número de capacitaciones recibidas en fase de construcción</w:t>
            </w:r>
          </w:p>
        </w:tc>
      </w:tr>
      <w:tr w:rsidR="00CD2990" w:rsidRPr="00807BF0" w:rsidTr="00BC5D4B">
        <w:trPr>
          <w:trHeight w:val="52"/>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Entrenamientos y simulación de situaciones de riesgo</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Cantidad de entrenamientos realizados por año</w:t>
            </w:r>
          </w:p>
        </w:tc>
      </w:tr>
      <w:tr w:rsidR="00CD2990" w:rsidRPr="00807BF0" w:rsidTr="00BC5D4B">
        <w:trPr>
          <w:trHeight w:val="146"/>
        </w:trPr>
        <w:tc>
          <w:tcPr>
            <w:tcW w:w="1555"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Residuos Sólidos</w:t>
            </w:r>
          </w:p>
        </w:tc>
        <w:tc>
          <w:tcPr>
            <w:tcW w:w="17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del suelo</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Clasificación los residuos generados según su tipo.</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Cantidad de contenedores por frente de obra</w:t>
            </w:r>
          </w:p>
        </w:tc>
      </w:tr>
      <w:tr w:rsidR="00CD2990" w:rsidRPr="00807BF0" w:rsidTr="00BC5D4B">
        <w:trPr>
          <w:trHeight w:val="318"/>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ambiental</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Transporte de residuos comunes al relleno sanitario o botadero autorizado más cercano, utilizando los contenedores adecuados</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20" w:type="dxa"/>
            <w:gridSpan w:val="3"/>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Cantidad de residuos comunes transportados por mes en fase de construcción</w:t>
            </w:r>
          </w:p>
        </w:tc>
      </w:tr>
      <w:tr w:rsidR="00CD2990" w:rsidRPr="00807BF0" w:rsidTr="00BC5D4B">
        <w:trPr>
          <w:trHeight w:val="475"/>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Entrega de residuos especiales a gestores ambientales autorizados.</w:t>
            </w:r>
          </w:p>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lastRenderedPageBreak/>
              <w:t xml:space="preserve">Aplicación de programas sostenidos de </w:t>
            </w:r>
            <w:proofErr w:type="spellStart"/>
            <w:r w:rsidRPr="00807BF0">
              <w:rPr>
                <w:rFonts w:ascii="Arial" w:eastAsia="Times New Roman" w:hAnsi="Arial" w:cs="Arial"/>
                <w:color w:val="000000"/>
                <w:lang w:eastAsia="es-ES"/>
              </w:rPr>
              <w:t>chatarrización</w:t>
            </w:r>
            <w:proofErr w:type="spellEnd"/>
            <w:r w:rsidRPr="00807BF0">
              <w:rPr>
                <w:rFonts w:ascii="Arial" w:eastAsia="Times New Roman" w:hAnsi="Arial" w:cs="Arial"/>
                <w:color w:val="000000"/>
                <w:lang w:eastAsia="es-ES"/>
              </w:rPr>
              <w:t xml:space="preserve"> de cocinas de GLP que sean sustituidas</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lastRenderedPageBreak/>
              <w:t>x</w:t>
            </w:r>
          </w:p>
        </w:tc>
        <w:tc>
          <w:tcPr>
            <w:tcW w:w="425"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20" w:type="dxa"/>
            <w:gridSpan w:val="3"/>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Cantidad de residuos especiales entregados por mes</w:t>
            </w:r>
          </w:p>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Cantidad de </w:t>
            </w:r>
            <w:r w:rsidRPr="00807BF0">
              <w:rPr>
                <w:rFonts w:ascii="Arial" w:eastAsia="Times New Roman" w:hAnsi="Arial" w:cs="Arial"/>
                <w:color w:val="000000"/>
                <w:lang w:eastAsia="es-ES"/>
              </w:rPr>
              <w:lastRenderedPageBreak/>
              <w:t>Chatarra reciclada por mes</w:t>
            </w:r>
          </w:p>
        </w:tc>
      </w:tr>
      <w:tr w:rsidR="00CD2990" w:rsidRPr="00807BF0" w:rsidTr="00BC5D4B">
        <w:trPr>
          <w:gridAfter w:val="1"/>
          <w:wAfter w:w="10" w:type="dxa"/>
          <w:trHeight w:val="317"/>
        </w:trPr>
        <w:tc>
          <w:tcPr>
            <w:tcW w:w="1555"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lastRenderedPageBreak/>
              <w:t>Seguridad Industrial y Salud Ocupacional</w:t>
            </w: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Riesgos en salud y seguridad de trabajadores y moradores. Riesgo de instalaciones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Análisis médicos periódicos de trabajadores</w:t>
            </w:r>
          </w:p>
        </w:tc>
        <w:tc>
          <w:tcPr>
            <w:tcW w:w="567"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 </w:t>
            </w:r>
          </w:p>
        </w:tc>
        <w:tc>
          <w:tcPr>
            <w:tcW w:w="425" w:type="dxa"/>
            <w:noWrap/>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p>
        </w:tc>
        <w:tc>
          <w:tcPr>
            <w:tcW w:w="2110" w:type="dxa"/>
            <w:gridSpan w:val="2"/>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análisis por año</w:t>
            </w:r>
          </w:p>
        </w:tc>
      </w:tr>
      <w:tr w:rsidR="00CD2990" w:rsidRPr="00807BF0" w:rsidTr="00BC5D4B">
        <w:trPr>
          <w:gridAfter w:val="1"/>
          <w:wAfter w:w="10" w:type="dxa"/>
          <w:trHeight w:val="42"/>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Utilización de equipos de protección personal</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p>
        </w:tc>
        <w:tc>
          <w:tcPr>
            <w:tcW w:w="2110" w:type="dxa"/>
            <w:gridSpan w:val="2"/>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Registro mensual de utilización de equipos y fotográfico.</w:t>
            </w:r>
          </w:p>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accidentes por año.</w:t>
            </w:r>
          </w:p>
        </w:tc>
      </w:tr>
      <w:tr w:rsidR="00CD2990" w:rsidRPr="00807BF0" w:rsidTr="00BC5D4B">
        <w:trPr>
          <w:gridAfter w:val="1"/>
          <w:wAfter w:w="10" w:type="dxa"/>
          <w:trHeight w:val="199"/>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Dotación de botiquines de primeros auxilios bien equipados</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p>
        </w:tc>
        <w:tc>
          <w:tcPr>
            <w:tcW w:w="2110" w:type="dxa"/>
            <w:gridSpan w:val="2"/>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botiquines por frente de obra</w:t>
            </w:r>
          </w:p>
        </w:tc>
      </w:tr>
      <w:tr w:rsidR="00CD2990" w:rsidRPr="00807BF0" w:rsidTr="00BC5D4B">
        <w:trPr>
          <w:gridAfter w:val="1"/>
          <w:wAfter w:w="10" w:type="dxa"/>
          <w:trHeight w:val="42"/>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Mantenimiento de seguros de vida de los trabajadores, equipos e instalaciones en general</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p>
        </w:tc>
        <w:tc>
          <w:tcPr>
            <w:tcW w:w="2110" w:type="dxa"/>
            <w:gridSpan w:val="2"/>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Cantidad de trabajadores asegurados total de trabajadores</w:t>
            </w:r>
          </w:p>
        </w:tc>
      </w:tr>
      <w:tr w:rsidR="00CD2990" w:rsidRPr="00807BF0" w:rsidTr="00BC5D4B">
        <w:trPr>
          <w:gridAfter w:val="2"/>
          <w:wAfter w:w="19" w:type="dxa"/>
          <w:trHeight w:val="245"/>
        </w:trPr>
        <w:tc>
          <w:tcPr>
            <w:tcW w:w="1555" w:type="dxa"/>
            <w:vMerge w:val="restart"/>
            <w:noWrap/>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Contingencias</w:t>
            </w:r>
          </w:p>
        </w:tc>
        <w:tc>
          <w:tcPr>
            <w:tcW w:w="1701" w:type="dxa"/>
            <w:vMerge w:val="restart"/>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Riesgos en salud y seguridad de trabajadores y operadores comunitarios. Riesgo de instalaciones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Señalización adecuada en toda el área</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Registro fotográfico</w:t>
            </w:r>
          </w:p>
        </w:tc>
      </w:tr>
      <w:tr w:rsidR="00CD2990" w:rsidRPr="00807BF0" w:rsidTr="00BC5D4B">
        <w:trPr>
          <w:gridAfter w:val="2"/>
          <w:wAfter w:w="19" w:type="dxa"/>
          <w:trHeight w:val="158"/>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Mantenimiento de vías de evacuación desalojadas </w:t>
            </w:r>
          </w:p>
        </w:tc>
        <w:tc>
          <w:tcPr>
            <w:tcW w:w="567"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Registro fotográfico</w:t>
            </w:r>
          </w:p>
        </w:tc>
      </w:tr>
      <w:tr w:rsidR="00CD2990" w:rsidRPr="00807BF0" w:rsidTr="00BC5D4B">
        <w:trPr>
          <w:gridAfter w:val="2"/>
          <w:wAfter w:w="19" w:type="dxa"/>
          <w:trHeight w:val="63"/>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Inspecciones periódicas a infraestructura</w:t>
            </w:r>
          </w:p>
        </w:tc>
        <w:tc>
          <w:tcPr>
            <w:tcW w:w="567" w:type="dxa"/>
            <w:noWrap/>
            <w:hideMark/>
          </w:tcPr>
          <w:p w:rsidR="00CD2990" w:rsidRPr="00807BF0" w:rsidRDefault="00CD2990" w:rsidP="00C53DC3">
            <w:pPr>
              <w:spacing w:before="100" w:beforeAutospacing="1" w:after="100" w:afterAutospacing="1" w:line="240" w:lineRule="auto"/>
              <w:jc w:val="center"/>
              <w:rPr>
                <w:rFonts w:ascii="Arial" w:eastAsia="Times New Roman" w:hAnsi="Arial" w:cs="Arial"/>
                <w:color w:val="000000"/>
                <w:lang w:eastAsia="es-ES"/>
              </w:rPr>
            </w:pPr>
            <w:r w:rsidRPr="00807BF0">
              <w:rPr>
                <w:rFonts w:ascii="Arial" w:eastAsia="Times New Roman" w:hAnsi="Arial" w:cs="Arial"/>
                <w:color w:val="000000"/>
                <w:lang w:eastAsia="es-ES"/>
              </w:rPr>
              <w:t> </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Número de inspecciones por mes</w:t>
            </w:r>
          </w:p>
        </w:tc>
      </w:tr>
      <w:tr w:rsidR="00CD2990" w:rsidRPr="00807BF0" w:rsidTr="00BC5D4B">
        <w:trPr>
          <w:gridAfter w:val="2"/>
          <w:wAfter w:w="19" w:type="dxa"/>
          <w:trHeight w:val="395"/>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Mantenimiento de extintores revisados, recargados e identificados según su tipo</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Número de extintores revisados por mes</w:t>
            </w:r>
          </w:p>
        </w:tc>
      </w:tr>
      <w:tr w:rsidR="00CD2990" w:rsidRPr="00807BF0" w:rsidTr="00BC5D4B">
        <w:trPr>
          <w:gridAfter w:val="1"/>
          <w:wAfter w:w="10" w:type="dxa"/>
          <w:trHeight w:val="252"/>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Contaminación acústica: ruido y vibraciones</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 xml:space="preserve">Realización de </w:t>
            </w:r>
            <w:proofErr w:type="spellStart"/>
            <w:r w:rsidRPr="00807BF0">
              <w:rPr>
                <w:rFonts w:ascii="Arial" w:eastAsia="Times New Roman" w:hAnsi="Arial" w:cs="Arial"/>
                <w:color w:val="000000"/>
                <w:lang w:eastAsia="es-ES"/>
              </w:rPr>
              <w:t>monitoreos</w:t>
            </w:r>
            <w:proofErr w:type="spellEnd"/>
            <w:r w:rsidRPr="00807BF0">
              <w:rPr>
                <w:rFonts w:ascii="Arial" w:eastAsia="Times New Roman" w:hAnsi="Arial" w:cs="Arial"/>
                <w:color w:val="000000"/>
                <w:lang w:eastAsia="es-ES"/>
              </w:rPr>
              <w:t xml:space="preserve"> de ruido y RNI de infraestructura</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 </w:t>
            </w:r>
          </w:p>
        </w:tc>
        <w:tc>
          <w:tcPr>
            <w:tcW w:w="425" w:type="dxa"/>
            <w:noWrap/>
            <w:hideMark/>
          </w:tcPr>
          <w:p w:rsidR="00CD2990" w:rsidRPr="00807BF0" w:rsidRDefault="00CD2990" w:rsidP="00C53DC3">
            <w:pPr>
              <w:spacing w:before="100" w:beforeAutospacing="1" w:after="100" w:afterAutospacing="1" w:line="240" w:lineRule="auto"/>
              <w:rPr>
                <w:rFonts w:ascii="Arial" w:eastAsia="Times New Roman" w:hAnsi="Arial" w:cs="Arial"/>
                <w:color w:val="000000"/>
                <w:lang w:eastAsia="es-ES"/>
              </w:rPr>
            </w:pPr>
          </w:p>
        </w:tc>
        <w:tc>
          <w:tcPr>
            <w:tcW w:w="2110" w:type="dxa"/>
            <w:gridSpan w:val="2"/>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val="es-ES_tradnl" w:eastAsia="es-ES"/>
              </w:rPr>
            </w:pPr>
            <w:r w:rsidRPr="00807BF0">
              <w:rPr>
                <w:rFonts w:ascii="Arial" w:eastAsia="Times New Roman" w:hAnsi="Arial" w:cs="Arial"/>
                <w:color w:val="000000"/>
                <w:lang w:eastAsia="es-ES"/>
              </w:rPr>
              <w:t xml:space="preserve">Número de </w:t>
            </w:r>
            <w:proofErr w:type="spellStart"/>
            <w:r w:rsidRPr="00807BF0">
              <w:rPr>
                <w:rFonts w:ascii="Arial" w:eastAsia="Times New Roman" w:hAnsi="Arial" w:cs="Arial"/>
                <w:color w:val="000000"/>
                <w:lang w:eastAsia="es-ES"/>
              </w:rPr>
              <w:t>monitoreos</w:t>
            </w:r>
            <w:proofErr w:type="spellEnd"/>
            <w:r w:rsidRPr="00807BF0">
              <w:rPr>
                <w:rFonts w:ascii="Arial" w:eastAsia="Times New Roman" w:hAnsi="Arial" w:cs="Arial"/>
                <w:color w:val="000000"/>
                <w:lang w:eastAsia="es-ES"/>
              </w:rPr>
              <w:t xml:space="preserve"> realizados en fase de construcción </w:t>
            </w:r>
          </w:p>
        </w:tc>
      </w:tr>
      <w:tr w:rsidR="00CD2990" w:rsidRPr="00807BF0" w:rsidTr="00BC5D4B">
        <w:trPr>
          <w:gridAfter w:val="1"/>
          <w:wAfter w:w="10" w:type="dxa"/>
          <w:trHeight w:val="1055"/>
        </w:trPr>
        <w:tc>
          <w:tcPr>
            <w:tcW w:w="1555" w:type="dxa"/>
            <w:vMerge/>
            <w:hideMark/>
          </w:tcPr>
          <w:p w:rsidR="00CD2990" w:rsidRPr="00807BF0" w:rsidRDefault="00CD2990" w:rsidP="00C53DC3">
            <w:pPr>
              <w:spacing w:before="100" w:beforeAutospacing="1" w:after="100" w:afterAutospacing="1" w:line="240" w:lineRule="auto"/>
              <w:jc w:val="left"/>
              <w:rPr>
                <w:rFonts w:ascii="Arial" w:eastAsia="Times New Roman" w:hAnsi="Arial" w:cs="Arial"/>
                <w:color w:val="000000"/>
                <w:lang w:val="es-ES_tradnl" w:eastAsia="es-ES"/>
              </w:rPr>
            </w:pPr>
          </w:p>
        </w:tc>
        <w:tc>
          <w:tcPr>
            <w:tcW w:w="1701"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Verificación de cumplimiento total</w:t>
            </w:r>
          </w:p>
        </w:tc>
        <w:tc>
          <w:tcPr>
            <w:tcW w:w="2126" w:type="dxa"/>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Seguimiento a la ejecución del PMA, (autoevaluaciones)</w:t>
            </w:r>
          </w:p>
        </w:tc>
        <w:tc>
          <w:tcPr>
            <w:tcW w:w="567"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425" w:type="dxa"/>
            <w:noWrap/>
            <w:hideMark/>
          </w:tcPr>
          <w:p w:rsidR="00CD2990" w:rsidRPr="00807BF0" w:rsidRDefault="00CD2990" w:rsidP="00C53DC3">
            <w:pPr>
              <w:spacing w:before="100" w:beforeAutospacing="1" w:after="100" w:afterAutospacing="1" w:line="240" w:lineRule="auto"/>
              <w:ind w:left="0"/>
              <w:rPr>
                <w:rFonts w:ascii="Arial" w:eastAsia="Times New Roman" w:hAnsi="Arial" w:cs="Arial"/>
                <w:color w:val="000000"/>
                <w:lang w:eastAsia="es-ES"/>
              </w:rPr>
            </w:pPr>
            <w:r w:rsidRPr="00807BF0">
              <w:rPr>
                <w:rFonts w:ascii="Arial" w:eastAsia="Times New Roman" w:hAnsi="Arial" w:cs="Arial"/>
                <w:color w:val="000000"/>
                <w:lang w:eastAsia="es-ES"/>
              </w:rPr>
              <w:t>x</w:t>
            </w:r>
          </w:p>
        </w:tc>
        <w:tc>
          <w:tcPr>
            <w:tcW w:w="2110" w:type="dxa"/>
            <w:gridSpan w:val="2"/>
            <w:hideMark/>
          </w:tcPr>
          <w:p w:rsidR="00CD2990" w:rsidRPr="00807BF0" w:rsidRDefault="00CD2990" w:rsidP="00C53DC3">
            <w:pPr>
              <w:spacing w:before="100" w:beforeAutospacing="1" w:after="100" w:afterAutospacing="1" w:line="240" w:lineRule="auto"/>
              <w:ind w:left="0"/>
              <w:jc w:val="left"/>
              <w:rPr>
                <w:rFonts w:ascii="Arial" w:eastAsia="Times New Roman" w:hAnsi="Arial" w:cs="Arial"/>
                <w:color w:val="000000"/>
                <w:lang w:eastAsia="es-ES"/>
              </w:rPr>
            </w:pPr>
            <w:r w:rsidRPr="00807BF0">
              <w:rPr>
                <w:rFonts w:ascii="Arial" w:eastAsia="Times New Roman" w:hAnsi="Arial" w:cs="Arial"/>
                <w:color w:val="000000"/>
                <w:lang w:eastAsia="es-ES"/>
              </w:rPr>
              <w:t>Informes de seguimiento de PMA por año</w:t>
            </w:r>
          </w:p>
        </w:tc>
      </w:tr>
    </w:tbl>
    <w:p w:rsidR="00CD2990" w:rsidRPr="00807BF0" w:rsidRDefault="00CD2990" w:rsidP="00C53DC3">
      <w:pPr>
        <w:pStyle w:val="Paragraph"/>
        <w:numPr>
          <w:ilvl w:val="0"/>
          <w:numId w:val="0"/>
        </w:numPr>
        <w:tabs>
          <w:tab w:val="left" w:pos="720"/>
        </w:tabs>
        <w:outlineLvl w:val="9"/>
        <w:rPr>
          <w:rFonts w:ascii="Arial" w:hAnsi="Arial" w:cs="Arial"/>
          <w:sz w:val="22"/>
          <w:szCs w:val="22"/>
        </w:rPr>
      </w:pPr>
    </w:p>
    <w:p w:rsidR="007D5A4F" w:rsidRPr="00807BF0" w:rsidRDefault="007D5A4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lastRenderedPageBreak/>
        <w:t>Además de las condiciones de or</w:t>
      </w:r>
      <w:r w:rsidR="00AC56EA" w:rsidRPr="00807BF0">
        <w:rPr>
          <w:rFonts w:ascii="Arial" w:hAnsi="Arial" w:cs="Arial"/>
          <w:sz w:val="22"/>
          <w:szCs w:val="22"/>
        </w:rPr>
        <w:t>den operativo que se destacan</w:t>
      </w:r>
      <w:r w:rsidRPr="00807BF0">
        <w:rPr>
          <w:rFonts w:ascii="Arial" w:hAnsi="Arial" w:cs="Arial"/>
          <w:sz w:val="22"/>
          <w:szCs w:val="22"/>
        </w:rPr>
        <w:t xml:space="preserve"> para el efecto</w:t>
      </w:r>
      <w:r w:rsidR="00AC56EA" w:rsidRPr="00807BF0">
        <w:rPr>
          <w:rFonts w:ascii="Arial" w:hAnsi="Arial" w:cs="Arial"/>
          <w:sz w:val="22"/>
          <w:szCs w:val="22"/>
        </w:rPr>
        <w:t xml:space="preserve"> en la tabla anterior</w:t>
      </w:r>
      <w:r w:rsidRPr="00807BF0">
        <w:rPr>
          <w:rFonts w:ascii="Arial" w:hAnsi="Arial" w:cs="Arial"/>
          <w:sz w:val="22"/>
          <w:szCs w:val="22"/>
        </w:rPr>
        <w:t>, como requisito previo al primer desembolso, el Ejecutor deberá presentar a satisfacción del Banco lo siguiente:</w:t>
      </w:r>
    </w:p>
    <w:p w:rsidR="007D5A4F" w:rsidRPr="00807BF0" w:rsidRDefault="007D5A4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La evidencia de la adopción de un mecanismo para la recepción y resolución de quejas y reclamos que incluya a c</w:t>
      </w:r>
      <w:r w:rsidR="00AC56EA" w:rsidRPr="00807BF0">
        <w:rPr>
          <w:rFonts w:ascii="Arial" w:hAnsi="Arial" w:cs="Arial"/>
          <w:sz w:val="22"/>
          <w:szCs w:val="22"/>
        </w:rPr>
        <w:t xml:space="preserve">ontratistas y fiscalizadores; la aplicación de las </w:t>
      </w:r>
      <w:r w:rsidRPr="00807BF0">
        <w:rPr>
          <w:rFonts w:ascii="Arial" w:hAnsi="Arial" w:cs="Arial"/>
          <w:sz w:val="22"/>
          <w:szCs w:val="22"/>
        </w:rPr>
        <w:t>ficha</w:t>
      </w:r>
      <w:r w:rsidR="00AC56EA" w:rsidRPr="00807BF0">
        <w:rPr>
          <w:rFonts w:ascii="Arial" w:hAnsi="Arial" w:cs="Arial"/>
          <w:sz w:val="22"/>
          <w:szCs w:val="22"/>
        </w:rPr>
        <w:t>s para el seguimiento ambiental, que han sido adoptadas por el MEER y CNEL y que se han diseñado en concordancia con el MAE para este fin.</w:t>
      </w:r>
    </w:p>
    <w:p w:rsidR="007D5A4F" w:rsidRPr="00807BF0" w:rsidRDefault="007D5A4F" w:rsidP="00C53DC3">
      <w:pPr>
        <w:pStyle w:val="Paragraph"/>
        <w:numPr>
          <w:ilvl w:val="1"/>
          <w:numId w:val="1"/>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El llamado a licitación para la construcción de cada uno de los proyectos contemplados en este programa, estará precedido por la presentación del Ejecutor a satisfacción del Banco </w:t>
      </w:r>
      <w:r w:rsidR="00AC56EA" w:rsidRPr="00807BF0">
        <w:rPr>
          <w:rFonts w:ascii="Arial" w:hAnsi="Arial" w:cs="Arial"/>
          <w:sz w:val="22"/>
          <w:szCs w:val="22"/>
        </w:rPr>
        <w:t>de una evaluación a</w:t>
      </w:r>
      <w:r w:rsidRPr="00807BF0">
        <w:rPr>
          <w:rFonts w:ascii="Arial" w:hAnsi="Arial" w:cs="Arial"/>
          <w:sz w:val="22"/>
          <w:szCs w:val="22"/>
        </w:rPr>
        <w:t xml:space="preserve">mbiental </w:t>
      </w:r>
      <w:r w:rsidR="00AC56EA" w:rsidRPr="00807BF0">
        <w:rPr>
          <w:rFonts w:ascii="Arial" w:hAnsi="Arial" w:cs="Arial"/>
          <w:sz w:val="22"/>
          <w:szCs w:val="22"/>
        </w:rPr>
        <w:t xml:space="preserve">y social </w:t>
      </w:r>
      <w:r w:rsidRPr="00807BF0">
        <w:rPr>
          <w:rFonts w:ascii="Arial" w:hAnsi="Arial" w:cs="Arial"/>
          <w:sz w:val="22"/>
          <w:szCs w:val="22"/>
        </w:rPr>
        <w:t>de</w:t>
      </w:r>
      <w:r w:rsidR="00AC56EA" w:rsidRPr="00807BF0">
        <w:rPr>
          <w:rFonts w:ascii="Arial" w:hAnsi="Arial" w:cs="Arial"/>
          <w:sz w:val="22"/>
          <w:szCs w:val="22"/>
        </w:rPr>
        <w:t xml:space="preserve"> cada</w:t>
      </w:r>
      <w:r w:rsidRPr="00807BF0">
        <w:rPr>
          <w:rFonts w:ascii="Arial" w:hAnsi="Arial" w:cs="Arial"/>
          <w:sz w:val="22"/>
          <w:szCs w:val="22"/>
        </w:rPr>
        <w:t xml:space="preserve"> proyecto, junto con su </w:t>
      </w:r>
      <w:r w:rsidR="00AC56EA" w:rsidRPr="00807BF0">
        <w:rPr>
          <w:rFonts w:ascii="Arial" w:hAnsi="Arial" w:cs="Arial"/>
          <w:sz w:val="22"/>
          <w:szCs w:val="22"/>
        </w:rPr>
        <w:t xml:space="preserve">plan de manejo ambiental </w:t>
      </w:r>
      <w:r w:rsidRPr="00807BF0">
        <w:rPr>
          <w:rFonts w:ascii="Arial" w:hAnsi="Arial" w:cs="Arial"/>
          <w:sz w:val="22"/>
          <w:szCs w:val="22"/>
        </w:rPr>
        <w:t>y el presupuesto estimativo para su implementación de conformidad con el alcance definido en la categoría ambiental designado por la</w:t>
      </w:r>
      <w:r w:rsidR="00AC56EA" w:rsidRPr="00807BF0">
        <w:rPr>
          <w:rFonts w:ascii="Arial" w:hAnsi="Arial" w:cs="Arial"/>
          <w:sz w:val="22"/>
          <w:szCs w:val="22"/>
        </w:rPr>
        <w:t xml:space="preserve"> autoridad ambiental competente; u</w:t>
      </w:r>
      <w:r w:rsidRPr="00807BF0">
        <w:rPr>
          <w:rFonts w:ascii="Arial" w:hAnsi="Arial" w:cs="Arial"/>
          <w:sz w:val="22"/>
          <w:szCs w:val="22"/>
        </w:rPr>
        <w:t>n detalle de las Especificacion</w:t>
      </w:r>
      <w:r w:rsidR="00AC56EA" w:rsidRPr="00807BF0">
        <w:rPr>
          <w:rFonts w:ascii="Arial" w:hAnsi="Arial" w:cs="Arial"/>
          <w:sz w:val="22"/>
          <w:szCs w:val="22"/>
        </w:rPr>
        <w:t>es Técnicas Ambientales (</w:t>
      </w:r>
      <w:proofErr w:type="spellStart"/>
      <w:r w:rsidR="00AC56EA" w:rsidRPr="00807BF0">
        <w:rPr>
          <w:rFonts w:ascii="Arial" w:hAnsi="Arial" w:cs="Arial"/>
          <w:sz w:val="22"/>
          <w:szCs w:val="22"/>
        </w:rPr>
        <w:t>ETA’s</w:t>
      </w:r>
      <w:proofErr w:type="spellEnd"/>
      <w:r w:rsidR="00AC56EA" w:rsidRPr="00807BF0">
        <w:rPr>
          <w:rFonts w:ascii="Arial" w:hAnsi="Arial" w:cs="Arial"/>
          <w:sz w:val="22"/>
          <w:szCs w:val="22"/>
        </w:rPr>
        <w:t>); l</w:t>
      </w:r>
      <w:r w:rsidRPr="00807BF0">
        <w:rPr>
          <w:rFonts w:ascii="Arial" w:hAnsi="Arial" w:cs="Arial"/>
          <w:sz w:val="22"/>
          <w:szCs w:val="22"/>
        </w:rPr>
        <w:t xml:space="preserve">a evidencia de la incorporación, en los pliegos de licitación, del </w:t>
      </w:r>
      <w:r w:rsidR="00AC56EA" w:rsidRPr="00807BF0">
        <w:rPr>
          <w:rFonts w:ascii="Arial" w:hAnsi="Arial" w:cs="Arial"/>
          <w:sz w:val="22"/>
          <w:szCs w:val="22"/>
        </w:rPr>
        <w:t>acatamiento obligatorio del plan de manejo ambiental y</w:t>
      </w:r>
      <w:r w:rsidRPr="00807BF0">
        <w:rPr>
          <w:rFonts w:ascii="Arial" w:hAnsi="Arial" w:cs="Arial"/>
          <w:sz w:val="22"/>
          <w:szCs w:val="22"/>
        </w:rPr>
        <w:t xml:space="preserve"> de las Especificaciones Técnicas Ambientales </w:t>
      </w:r>
      <w:proofErr w:type="spellStart"/>
      <w:r w:rsidRPr="00807BF0">
        <w:rPr>
          <w:rFonts w:ascii="Arial" w:hAnsi="Arial" w:cs="Arial"/>
          <w:sz w:val="22"/>
          <w:szCs w:val="22"/>
        </w:rPr>
        <w:t>ETA’s</w:t>
      </w:r>
      <w:proofErr w:type="spellEnd"/>
      <w:r w:rsidRPr="00807BF0">
        <w:rPr>
          <w:rFonts w:ascii="Arial" w:hAnsi="Arial" w:cs="Arial"/>
          <w:sz w:val="22"/>
          <w:szCs w:val="22"/>
        </w:rPr>
        <w:t>.</w:t>
      </w:r>
    </w:p>
    <w:p w:rsidR="007D5A4F" w:rsidRPr="00807BF0" w:rsidRDefault="007D5A4F"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De igual manera, la orden de inicio de obras de cada uno de los proyectos previstos en esta operación, estarán supeditados a que el Ejecutor presente a satisfacción del Banco  lo siguiente:</w:t>
      </w:r>
      <w:r w:rsidR="00AC56EA" w:rsidRPr="00807BF0">
        <w:rPr>
          <w:rFonts w:ascii="Arial" w:hAnsi="Arial" w:cs="Arial"/>
          <w:sz w:val="22"/>
          <w:szCs w:val="22"/>
        </w:rPr>
        <w:t xml:space="preserve"> i) La licencia A</w:t>
      </w:r>
      <w:r w:rsidRPr="00807BF0">
        <w:rPr>
          <w:rFonts w:ascii="Arial" w:hAnsi="Arial" w:cs="Arial"/>
          <w:sz w:val="22"/>
          <w:szCs w:val="22"/>
        </w:rPr>
        <w:t xml:space="preserve">mbiental </w:t>
      </w:r>
      <w:r w:rsidR="00AC56EA" w:rsidRPr="00807BF0">
        <w:rPr>
          <w:rFonts w:ascii="Arial" w:hAnsi="Arial" w:cs="Arial"/>
          <w:sz w:val="22"/>
          <w:szCs w:val="22"/>
        </w:rPr>
        <w:t xml:space="preserve">o Registro Ambiental (según aplique) </w:t>
      </w:r>
      <w:r w:rsidRPr="00807BF0">
        <w:rPr>
          <w:rFonts w:ascii="Arial" w:hAnsi="Arial" w:cs="Arial"/>
          <w:sz w:val="22"/>
          <w:szCs w:val="22"/>
        </w:rPr>
        <w:t>conferid</w:t>
      </w:r>
      <w:r w:rsidR="00AC56EA" w:rsidRPr="00807BF0">
        <w:rPr>
          <w:rFonts w:ascii="Arial" w:hAnsi="Arial" w:cs="Arial"/>
          <w:sz w:val="22"/>
          <w:szCs w:val="22"/>
        </w:rPr>
        <w:t>o</w:t>
      </w:r>
      <w:r w:rsidRPr="00807BF0">
        <w:rPr>
          <w:rFonts w:ascii="Arial" w:hAnsi="Arial" w:cs="Arial"/>
          <w:sz w:val="22"/>
          <w:szCs w:val="22"/>
        </w:rPr>
        <w:t xml:space="preserve"> por la autoridad ambiental competente, así como los permisos y las autorizaciones que la legislación ambiental ecuatoriana requiera, de conformidad con la categoría ambiental definida</w:t>
      </w:r>
      <w:r w:rsidR="00AC56EA" w:rsidRPr="00807BF0">
        <w:rPr>
          <w:rFonts w:ascii="Arial" w:hAnsi="Arial" w:cs="Arial"/>
          <w:sz w:val="22"/>
          <w:szCs w:val="22"/>
        </w:rPr>
        <w:t xml:space="preserve"> que aplique para cada proyecto; ii) l</w:t>
      </w:r>
      <w:r w:rsidRPr="00807BF0">
        <w:rPr>
          <w:rFonts w:ascii="Arial" w:hAnsi="Arial" w:cs="Arial"/>
          <w:sz w:val="22"/>
          <w:szCs w:val="22"/>
        </w:rPr>
        <w:t>a evidencia de haber realizado al menos una consulta pública para cada proyecto, que haya cubierto a</w:t>
      </w:r>
      <w:r w:rsidR="00AC56EA" w:rsidRPr="00807BF0">
        <w:rPr>
          <w:rFonts w:ascii="Arial" w:hAnsi="Arial" w:cs="Arial"/>
          <w:sz w:val="22"/>
          <w:szCs w:val="22"/>
        </w:rPr>
        <w:t>l menos los siguientes puntos: a) descripción del proyecto; b</w:t>
      </w:r>
      <w:r w:rsidRPr="00807BF0">
        <w:rPr>
          <w:rFonts w:ascii="Arial" w:hAnsi="Arial" w:cs="Arial"/>
          <w:sz w:val="22"/>
          <w:szCs w:val="22"/>
        </w:rPr>
        <w:t>) descripció</w:t>
      </w:r>
      <w:r w:rsidR="00AC56EA" w:rsidRPr="00807BF0">
        <w:rPr>
          <w:rFonts w:ascii="Arial" w:hAnsi="Arial" w:cs="Arial"/>
          <w:sz w:val="22"/>
          <w:szCs w:val="22"/>
        </w:rPr>
        <w:t>n de los impactos probables; c</w:t>
      </w:r>
      <w:r w:rsidRPr="00807BF0">
        <w:rPr>
          <w:rFonts w:ascii="Arial" w:hAnsi="Arial" w:cs="Arial"/>
          <w:sz w:val="22"/>
          <w:szCs w:val="22"/>
        </w:rPr>
        <w:t>) descripción de las medidas de manejo propuestas para manejar los impactos identificados</w:t>
      </w:r>
      <w:r w:rsidR="00AC56EA" w:rsidRPr="00807BF0">
        <w:rPr>
          <w:rFonts w:ascii="Arial" w:hAnsi="Arial" w:cs="Arial"/>
          <w:sz w:val="22"/>
          <w:szCs w:val="22"/>
        </w:rPr>
        <w:t>; d</w:t>
      </w:r>
      <w:r w:rsidRPr="00807BF0">
        <w:rPr>
          <w:rFonts w:ascii="Arial" w:hAnsi="Arial" w:cs="Arial"/>
          <w:sz w:val="22"/>
          <w:szCs w:val="22"/>
        </w:rPr>
        <w:t>) descripción del sistema de captura y procesa</w:t>
      </w:r>
      <w:r w:rsidR="00AC56EA" w:rsidRPr="00807BF0">
        <w:rPr>
          <w:rFonts w:ascii="Arial" w:hAnsi="Arial" w:cs="Arial"/>
          <w:sz w:val="22"/>
          <w:szCs w:val="22"/>
        </w:rPr>
        <w:t>miento de quejas y reclamos; y e</w:t>
      </w:r>
      <w:r w:rsidRPr="00807BF0">
        <w:rPr>
          <w:rFonts w:ascii="Arial" w:hAnsi="Arial" w:cs="Arial"/>
          <w:sz w:val="22"/>
          <w:szCs w:val="22"/>
        </w:rPr>
        <w:t>) espacio para la recepción de sugerencias a</w:t>
      </w:r>
      <w:r w:rsidR="00AC56EA" w:rsidRPr="00807BF0">
        <w:rPr>
          <w:rFonts w:ascii="Arial" w:hAnsi="Arial" w:cs="Arial"/>
          <w:sz w:val="22"/>
          <w:szCs w:val="22"/>
        </w:rPr>
        <w:t>l proyecto propuesto o a su plan de manejo ambiental</w:t>
      </w:r>
      <w:r w:rsidRPr="00807BF0">
        <w:rPr>
          <w:rFonts w:ascii="Arial" w:hAnsi="Arial" w:cs="Arial"/>
          <w:sz w:val="22"/>
          <w:szCs w:val="22"/>
        </w:rPr>
        <w:t>.</w:t>
      </w:r>
    </w:p>
    <w:p w:rsidR="007D5A4F" w:rsidRPr="00807BF0" w:rsidRDefault="007D5A4F"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Para el caso de la construcción de las nuevas subestaciones, la evidencia de la tenencia legal de los terrenos donde se implantarán.</w:t>
      </w:r>
    </w:p>
    <w:p w:rsidR="00CB2895" w:rsidRPr="00807BF0" w:rsidRDefault="007D5A4F" w:rsidP="00C53DC3">
      <w:pPr>
        <w:pStyle w:val="Paragraph"/>
        <w:numPr>
          <w:ilvl w:val="1"/>
          <w:numId w:val="3"/>
        </w:numPr>
        <w:tabs>
          <w:tab w:val="left" w:pos="720"/>
        </w:tabs>
        <w:ind w:left="709" w:hanging="709"/>
        <w:outlineLvl w:val="9"/>
        <w:rPr>
          <w:rFonts w:ascii="Arial" w:hAnsi="Arial" w:cs="Arial"/>
          <w:sz w:val="22"/>
          <w:szCs w:val="22"/>
        </w:rPr>
      </w:pPr>
      <w:r w:rsidRPr="00807BF0">
        <w:rPr>
          <w:rFonts w:ascii="Arial" w:hAnsi="Arial" w:cs="Arial"/>
          <w:sz w:val="22"/>
          <w:szCs w:val="22"/>
        </w:rPr>
        <w:t xml:space="preserve">Como regla general, el Banco supervisará cada seis meses el desarrollo ambiental y social del Programa. También efectuará visitas de seguimiento y supervisión </w:t>
      </w:r>
      <w:proofErr w:type="spellStart"/>
      <w:r w:rsidRPr="00807BF0">
        <w:rPr>
          <w:rFonts w:ascii="Arial" w:hAnsi="Arial" w:cs="Arial"/>
          <w:sz w:val="22"/>
          <w:szCs w:val="22"/>
        </w:rPr>
        <w:t>socioambiental</w:t>
      </w:r>
      <w:proofErr w:type="spellEnd"/>
      <w:r w:rsidRPr="00807BF0">
        <w:rPr>
          <w:rFonts w:ascii="Arial" w:hAnsi="Arial" w:cs="Arial"/>
          <w:sz w:val="22"/>
          <w:szCs w:val="22"/>
        </w:rPr>
        <w:t xml:space="preserve"> al inicio y a la entrega – recepción de las obras previstas en el marco de esta operación.</w:t>
      </w:r>
    </w:p>
    <w:p w:rsidR="00EA09C4" w:rsidRPr="00807BF0" w:rsidRDefault="00E05630" w:rsidP="00C663B8">
      <w:pPr>
        <w:pStyle w:val="subtittuloppalenapartadoDali"/>
        <w:numPr>
          <w:ilvl w:val="0"/>
          <w:numId w:val="1"/>
        </w:numPr>
        <w:spacing w:line="240" w:lineRule="auto"/>
        <w:outlineLvl w:val="0"/>
        <w:rPr>
          <w:rFonts w:ascii="Arial" w:hAnsi="Arial" w:cs="Arial"/>
          <w:b/>
          <w:caps w:val="0"/>
          <w:sz w:val="22"/>
          <w:szCs w:val="22"/>
        </w:rPr>
      </w:pPr>
      <w:bookmarkStart w:id="21" w:name="_Toc465687806"/>
      <w:r w:rsidRPr="00807BF0">
        <w:rPr>
          <w:rFonts w:ascii="Arial" w:hAnsi="Arial" w:cs="Arial"/>
          <w:b/>
          <w:caps w:val="0"/>
          <w:sz w:val="22"/>
          <w:szCs w:val="22"/>
        </w:rPr>
        <w:t>Anexos</w:t>
      </w:r>
      <w:bookmarkEnd w:id="21"/>
    </w:p>
    <w:p w:rsidR="002F3495" w:rsidRDefault="002F3495">
      <w:pPr>
        <w:spacing w:before="0" w:after="160" w:line="259" w:lineRule="auto"/>
        <w:ind w:left="0"/>
        <w:jc w:val="left"/>
        <w:rPr>
          <w:rFonts w:ascii="Arial" w:eastAsia="Times New Roman" w:hAnsi="Arial" w:cs="Arial"/>
          <w:lang w:val="es-ES_tradnl" w:eastAsia="x-none"/>
        </w:rPr>
      </w:pPr>
      <w:r>
        <w:rPr>
          <w:rFonts w:ascii="Arial" w:hAnsi="Arial" w:cs="Arial"/>
        </w:rPr>
        <w:br w:type="page"/>
      </w:r>
    </w:p>
    <w:p w:rsidR="00EA09C4" w:rsidRPr="00807BF0" w:rsidRDefault="00EA09C4" w:rsidP="00C53DC3">
      <w:pPr>
        <w:pStyle w:val="Paragraph"/>
        <w:numPr>
          <w:ilvl w:val="0"/>
          <w:numId w:val="0"/>
        </w:numPr>
        <w:tabs>
          <w:tab w:val="left" w:pos="720"/>
        </w:tabs>
        <w:ind w:left="720" w:hanging="720"/>
        <w:outlineLvl w:val="9"/>
        <w:rPr>
          <w:rFonts w:ascii="Arial" w:hAnsi="Arial" w:cs="Arial"/>
          <w:sz w:val="22"/>
          <w:szCs w:val="22"/>
        </w:rPr>
      </w:pPr>
      <w:bookmarkStart w:id="22" w:name="_GoBack"/>
      <w:bookmarkEnd w:id="22"/>
    </w:p>
    <w:p w:rsidR="00BF55D4" w:rsidRPr="00807BF0" w:rsidRDefault="002E168B"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t>ANEXO No. 1: Coordenadas de las Líneas de Transmisión de la Muestra</w:t>
      </w:r>
    </w:p>
    <w:p w:rsidR="00BF55D4" w:rsidRPr="00807BF0" w:rsidRDefault="00BF55D4" w:rsidP="00C53DC3">
      <w:pPr>
        <w:pStyle w:val="Paragraph"/>
        <w:numPr>
          <w:ilvl w:val="0"/>
          <w:numId w:val="0"/>
        </w:numPr>
        <w:tabs>
          <w:tab w:val="left" w:pos="720"/>
        </w:tabs>
        <w:ind w:left="720" w:hanging="720"/>
        <w:jc w:val="center"/>
        <w:outlineLvl w:val="9"/>
        <w:rPr>
          <w:rFonts w:ascii="Arial" w:hAnsi="Arial" w:cs="Arial"/>
          <w:sz w:val="22"/>
          <w:szCs w:val="22"/>
        </w:rPr>
      </w:pPr>
    </w:p>
    <w:p w:rsidR="002E168B" w:rsidRPr="00807BF0" w:rsidRDefault="00E976AD" w:rsidP="00C53DC3">
      <w:pPr>
        <w:pStyle w:val="Paragraph"/>
        <w:numPr>
          <w:ilvl w:val="0"/>
          <w:numId w:val="0"/>
        </w:numPr>
        <w:tabs>
          <w:tab w:val="left" w:pos="720"/>
        </w:tabs>
        <w:ind w:left="720" w:hanging="720"/>
        <w:jc w:val="center"/>
        <w:outlineLvl w:val="9"/>
        <w:rPr>
          <w:rFonts w:ascii="Arial" w:hAnsi="Arial" w:cs="Arial"/>
          <w:sz w:val="22"/>
          <w:szCs w:val="22"/>
          <w:lang w:val="fr-FR"/>
        </w:rPr>
      </w:pPr>
      <w:proofErr w:type="spellStart"/>
      <w:r w:rsidRPr="00807BF0">
        <w:rPr>
          <w:rFonts w:ascii="Arial" w:hAnsi="Arial" w:cs="Arial"/>
          <w:sz w:val="22"/>
          <w:szCs w:val="22"/>
          <w:lang w:val="fr-FR"/>
        </w:rPr>
        <w:t>Vértices</w:t>
      </w:r>
      <w:proofErr w:type="spellEnd"/>
      <w:r w:rsidRPr="00807BF0">
        <w:rPr>
          <w:rFonts w:ascii="Arial" w:hAnsi="Arial" w:cs="Arial"/>
          <w:sz w:val="22"/>
          <w:szCs w:val="22"/>
          <w:lang w:val="fr-FR"/>
        </w:rPr>
        <w:t xml:space="preserve"> de la </w:t>
      </w:r>
      <w:r w:rsidR="002E168B" w:rsidRPr="00807BF0">
        <w:rPr>
          <w:rFonts w:ascii="Arial" w:hAnsi="Arial" w:cs="Arial"/>
          <w:sz w:val="22"/>
          <w:szCs w:val="22"/>
          <w:lang w:val="fr-FR"/>
        </w:rPr>
        <w:t xml:space="preserve">L/ST </w:t>
      </w:r>
      <w:proofErr w:type="spellStart"/>
      <w:r w:rsidR="002E168B" w:rsidRPr="00807BF0">
        <w:rPr>
          <w:rFonts w:ascii="Arial" w:hAnsi="Arial" w:cs="Arial"/>
          <w:sz w:val="22"/>
          <w:szCs w:val="22"/>
          <w:lang w:val="fr-FR"/>
        </w:rPr>
        <w:t>Sesme</w:t>
      </w:r>
      <w:proofErr w:type="spellEnd"/>
      <w:r w:rsidR="002E168B" w:rsidRPr="00807BF0">
        <w:rPr>
          <w:rFonts w:ascii="Arial" w:hAnsi="Arial" w:cs="Arial"/>
          <w:sz w:val="22"/>
          <w:szCs w:val="22"/>
          <w:lang w:val="fr-FR"/>
        </w:rPr>
        <w:t xml:space="preserve"> – Flavio Alfaro</w:t>
      </w:r>
    </w:p>
    <w:p w:rsidR="002E168B" w:rsidRPr="00807BF0" w:rsidRDefault="002E168B" w:rsidP="00C53DC3">
      <w:pPr>
        <w:pStyle w:val="Paragraph"/>
        <w:numPr>
          <w:ilvl w:val="0"/>
          <w:numId w:val="0"/>
        </w:numPr>
        <w:tabs>
          <w:tab w:val="left" w:pos="720"/>
        </w:tabs>
        <w:ind w:left="720" w:hanging="720"/>
        <w:jc w:val="center"/>
        <w:outlineLvl w:val="9"/>
        <w:rPr>
          <w:rFonts w:ascii="Arial" w:hAnsi="Arial" w:cs="Arial"/>
          <w:sz w:val="22"/>
          <w:szCs w:val="22"/>
        </w:rPr>
      </w:pPr>
      <w:r w:rsidRPr="00807BF0">
        <w:rPr>
          <w:rFonts w:ascii="Arial" w:hAnsi="Arial" w:cs="Arial"/>
          <w:noProof/>
          <w:sz w:val="22"/>
          <w:szCs w:val="22"/>
          <w:lang w:val="en-US" w:eastAsia="en-US"/>
        </w:rPr>
        <w:drawing>
          <wp:inline distT="0" distB="0" distL="0" distR="0" wp14:anchorId="07AEC7C8" wp14:editId="5732E932">
            <wp:extent cx="4448175" cy="41052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4105275"/>
                    </a:xfrm>
                    <a:prstGeom prst="rect">
                      <a:avLst/>
                    </a:prstGeom>
                    <a:noFill/>
                    <a:ln>
                      <a:noFill/>
                    </a:ln>
                  </pic:spPr>
                </pic:pic>
              </a:graphicData>
            </a:graphic>
          </wp:inline>
        </w:drawing>
      </w:r>
    </w:p>
    <w:p w:rsidR="00B52A60" w:rsidRPr="00807BF0" w:rsidRDefault="00B52A60" w:rsidP="00C53DC3">
      <w:pPr>
        <w:pStyle w:val="Paragraph"/>
        <w:numPr>
          <w:ilvl w:val="0"/>
          <w:numId w:val="0"/>
        </w:numPr>
        <w:tabs>
          <w:tab w:val="left" w:pos="720"/>
        </w:tabs>
        <w:ind w:left="720" w:hanging="720"/>
        <w:jc w:val="center"/>
        <w:outlineLvl w:val="9"/>
        <w:rPr>
          <w:rFonts w:ascii="Arial" w:hAnsi="Arial" w:cs="Arial"/>
          <w:sz w:val="22"/>
          <w:szCs w:val="22"/>
        </w:rPr>
      </w:pPr>
    </w:p>
    <w:p w:rsidR="00B52A60" w:rsidRPr="00807BF0" w:rsidRDefault="00B52A60" w:rsidP="00C53DC3">
      <w:pPr>
        <w:spacing w:before="0" w:after="160" w:line="259" w:lineRule="auto"/>
        <w:ind w:left="0"/>
        <w:jc w:val="left"/>
        <w:rPr>
          <w:rFonts w:ascii="Arial" w:eastAsia="Times New Roman" w:hAnsi="Arial" w:cs="Arial"/>
          <w:lang w:val="es-ES_tradnl" w:eastAsia="x-none"/>
        </w:rPr>
      </w:pPr>
      <w:r w:rsidRPr="00807BF0">
        <w:rPr>
          <w:rFonts w:ascii="Arial" w:hAnsi="Arial" w:cs="Arial"/>
        </w:rPr>
        <w:br w:type="page"/>
      </w:r>
    </w:p>
    <w:p w:rsidR="00B52A60" w:rsidRPr="00807BF0" w:rsidRDefault="00B52A60"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lastRenderedPageBreak/>
        <w:t>Anexo No. 2</w:t>
      </w:r>
      <w:r w:rsidR="00D41EAA" w:rsidRPr="00807BF0">
        <w:rPr>
          <w:rFonts w:ascii="Arial" w:hAnsi="Arial" w:cs="Arial"/>
          <w:b/>
          <w:sz w:val="22"/>
          <w:szCs w:val="22"/>
        </w:rPr>
        <w:t xml:space="preserve">. </w:t>
      </w:r>
      <w:r w:rsidRPr="00807BF0">
        <w:rPr>
          <w:rFonts w:ascii="Arial" w:hAnsi="Arial" w:cs="Arial"/>
          <w:b/>
          <w:sz w:val="22"/>
          <w:szCs w:val="22"/>
        </w:rPr>
        <w:t>Artículos 81 – 87 de la LOSPEE sobre Declaratorias de Utilidad Pública y Servidumbres del Tránsito</w:t>
      </w:r>
    </w:p>
    <w:p w:rsidR="00B52A60" w:rsidRPr="00807BF0" w:rsidRDefault="00B52A60"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sz w:val="22"/>
          <w:szCs w:val="22"/>
        </w:rPr>
      </w:pPr>
    </w:p>
    <w:p w:rsidR="004B6EFA" w:rsidRPr="00807BF0" w:rsidRDefault="00D41EAA"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lastRenderedPageBreak/>
        <w:t xml:space="preserve">Anexo No. 3. </w:t>
      </w:r>
      <w:r w:rsidR="004B6EFA" w:rsidRPr="00807BF0">
        <w:rPr>
          <w:rFonts w:ascii="Arial" w:hAnsi="Arial" w:cs="Arial"/>
          <w:b/>
          <w:sz w:val="22"/>
          <w:szCs w:val="22"/>
        </w:rPr>
        <w:t>Norma INEN 2266-2009: Transporte, Almacenamiento y Manejo de Materiales Peligrosos. (Extracto)</w:t>
      </w:r>
    </w:p>
    <w:p w:rsidR="004B6EFA" w:rsidRPr="00807BF0" w:rsidRDefault="004B6EFA"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B52A60" w:rsidRPr="00807BF0" w:rsidRDefault="00180F0D"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lastRenderedPageBreak/>
        <w:t xml:space="preserve">Anexo No. 4. </w:t>
      </w:r>
      <w:r w:rsidR="00D41EAA" w:rsidRPr="00807BF0">
        <w:rPr>
          <w:rFonts w:ascii="Arial" w:hAnsi="Arial" w:cs="Arial"/>
          <w:b/>
          <w:sz w:val="22"/>
          <w:szCs w:val="22"/>
        </w:rPr>
        <w:t>Reglamento de protección de emisiones de radiación no ionizante generadas por uso de frecuencias del espectro radioeléctrico</w:t>
      </w:r>
    </w:p>
    <w:p w:rsidR="00D41EAA" w:rsidRPr="00807BF0" w:rsidRDefault="00D41EAA"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outlineLvl w:val="9"/>
        <w:rPr>
          <w:rFonts w:ascii="Arial" w:hAnsi="Arial" w:cs="Arial"/>
          <w:b/>
          <w:sz w:val="22"/>
          <w:szCs w:val="22"/>
        </w:rPr>
      </w:pPr>
    </w:p>
    <w:p w:rsidR="00780391" w:rsidRPr="00807BF0" w:rsidRDefault="00780391"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lastRenderedPageBreak/>
        <w:t xml:space="preserve">Anexo No. </w:t>
      </w:r>
      <w:r w:rsidR="00180F0D" w:rsidRPr="00807BF0">
        <w:rPr>
          <w:rFonts w:ascii="Arial" w:hAnsi="Arial" w:cs="Arial"/>
          <w:b/>
          <w:sz w:val="22"/>
          <w:szCs w:val="22"/>
        </w:rPr>
        <w:t>5</w:t>
      </w:r>
      <w:r w:rsidRPr="00807BF0">
        <w:rPr>
          <w:rFonts w:ascii="Arial" w:hAnsi="Arial" w:cs="Arial"/>
          <w:b/>
          <w:sz w:val="22"/>
          <w:szCs w:val="22"/>
        </w:rPr>
        <w:t xml:space="preserve">. Manual de Procedimientos para el Manejo de </w:t>
      </w:r>
      <w:proofErr w:type="spellStart"/>
      <w:r w:rsidRPr="00807BF0">
        <w:rPr>
          <w:rFonts w:ascii="Arial" w:hAnsi="Arial" w:cs="Arial"/>
          <w:b/>
          <w:sz w:val="22"/>
          <w:szCs w:val="22"/>
        </w:rPr>
        <w:t>Bifenilos</w:t>
      </w:r>
      <w:proofErr w:type="spellEnd"/>
      <w:r w:rsidRPr="00807BF0">
        <w:rPr>
          <w:rFonts w:ascii="Arial" w:hAnsi="Arial" w:cs="Arial"/>
          <w:b/>
          <w:sz w:val="22"/>
          <w:szCs w:val="22"/>
        </w:rPr>
        <w:t xml:space="preserve"> </w:t>
      </w:r>
      <w:proofErr w:type="spellStart"/>
      <w:r w:rsidRPr="00807BF0">
        <w:rPr>
          <w:rFonts w:ascii="Arial" w:hAnsi="Arial" w:cs="Arial"/>
          <w:b/>
          <w:sz w:val="22"/>
          <w:szCs w:val="22"/>
        </w:rPr>
        <w:t>Policlorados</w:t>
      </w:r>
      <w:proofErr w:type="spellEnd"/>
      <w:r w:rsidRPr="00807BF0">
        <w:rPr>
          <w:rFonts w:ascii="Arial" w:hAnsi="Arial" w:cs="Arial"/>
          <w:b/>
          <w:sz w:val="22"/>
          <w:szCs w:val="22"/>
        </w:rPr>
        <w:t xml:space="preserve"> (</w:t>
      </w:r>
      <w:proofErr w:type="spellStart"/>
      <w:r w:rsidRPr="00807BF0">
        <w:rPr>
          <w:rFonts w:ascii="Arial" w:hAnsi="Arial" w:cs="Arial"/>
          <w:b/>
          <w:sz w:val="22"/>
          <w:szCs w:val="22"/>
        </w:rPr>
        <w:t>PCBs</w:t>
      </w:r>
      <w:proofErr w:type="spellEnd"/>
      <w:r w:rsidRPr="00807BF0">
        <w:rPr>
          <w:rFonts w:ascii="Arial" w:hAnsi="Arial" w:cs="Arial"/>
          <w:b/>
          <w:sz w:val="22"/>
          <w:szCs w:val="22"/>
        </w:rPr>
        <w:t>) en el Sector Eléctrico Ecuatoriano</w:t>
      </w:r>
    </w:p>
    <w:p w:rsidR="00EA09C4" w:rsidRPr="00807BF0" w:rsidRDefault="00EA09C4"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51F53" w:rsidRPr="00807BF0" w:rsidRDefault="00451F53" w:rsidP="00C53DC3">
      <w:pPr>
        <w:pStyle w:val="Paragraph"/>
        <w:numPr>
          <w:ilvl w:val="0"/>
          <w:numId w:val="0"/>
        </w:numPr>
        <w:tabs>
          <w:tab w:val="left" w:pos="720"/>
        </w:tabs>
        <w:ind w:left="720" w:hanging="720"/>
        <w:jc w:val="center"/>
        <w:outlineLvl w:val="9"/>
        <w:rPr>
          <w:rFonts w:ascii="Arial" w:hAnsi="Arial" w:cs="Arial"/>
          <w:b/>
          <w:sz w:val="22"/>
          <w:szCs w:val="22"/>
        </w:rPr>
      </w:pPr>
    </w:p>
    <w:p w:rsidR="004C7DBB" w:rsidRPr="00807BF0" w:rsidRDefault="004C7DBB" w:rsidP="00C53DC3">
      <w:pPr>
        <w:pStyle w:val="Paragraph"/>
        <w:numPr>
          <w:ilvl w:val="0"/>
          <w:numId w:val="0"/>
        </w:numPr>
        <w:tabs>
          <w:tab w:val="left" w:pos="720"/>
        </w:tabs>
        <w:ind w:left="720" w:hanging="720"/>
        <w:jc w:val="center"/>
        <w:outlineLvl w:val="9"/>
        <w:rPr>
          <w:rFonts w:ascii="Arial" w:hAnsi="Arial" w:cs="Arial"/>
          <w:b/>
          <w:sz w:val="22"/>
          <w:szCs w:val="22"/>
        </w:rPr>
      </w:pPr>
      <w:r w:rsidRPr="00807BF0">
        <w:rPr>
          <w:rFonts w:ascii="Arial" w:hAnsi="Arial" w:cs="Arial"/>
          <w:b/>
          <w:sz w:val="22"/>
          <w:szCs w:val="22"/>
        </w:rPr>
        <w:lastRenderedPageBreak/>
        <w:t>Anexo No. 6. Reglamento de Seguridad y Salud de los Trabajadores y Mejoramiento del Medio Ambiente de Trabajo</w:t>
      </w:r>
    </w:p>
    <w:p w:rsidR="00780391" w:rsidRPr="00807BF0" w:rsidRDefault="00780391" w:rsidP="00C53DC3">
      <w:pPr>
        <w:pStyle w:val="Paragraph"/>
        <w:numPr>
          <w:ilvl w:val="0"/>
          <w:numId w:val="0"/>
        </w:numPr>
        <w:tabs>
          <w:tab w:val="left" w:pos="720"/>
        </w:tabs>
        <w:ind w:left="720" w:hanging="720"/>
        <w:outlineLvl w:val="9"/>
        <w:rPr>
          <w:rFonts w:ascii="Arial" w:hAnsi="Arial" w:cs="Arial"/>
          <w:b/>
          <w:sz w:val="22"/>
          <w:szCs w:val="22"/>
        </w:rPr>
      </w:pPr>
    </w:p>
    <w:sectPr w:rsidR="00780391" w:rsidRPr="00807BF0" w:rsidSect="00F5765A">
      <w:footerReference w:type="default" r:id="rId2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BF0" w:rsidRDefault="00807BF0" w:rsidP="00502457">
      <w:pPr>
        <w:spacing w:before="0" w:after="0" w:line="240" w:lineRule="auto"/>
      </w:pPr>
      <w:r>
        <w:separator/>
      </w:r>
    </w:p>
  </w:endnote>
  <w:endnote w:type="continuationSeparator" w:id="0">
    <w:p w:rsidR="00807BF0" w:rsidRDefault="00807BF0" w:rsidP="005024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578867249"/>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rsidR="00807BF0" w:rsidRPr="00807BF0" w:rsidRDefault="00807BF0">
            <w:pPr>
              <w:pStyle w:val="Footer"/>
              <w:jc w:val="right"/>
              <w:rPr>
                <w:rFonts w:ascii="Arial" w:hAnsi="Arial" w:cs="Arial"/>
                <w:sz w:val="20"/>
                <w:szCs w:val="20"/>
              </w:rPr>
            </w:pPr>
            <w:r w:rsidRPr="00807BF0">
              <w:rPr>
                <w:rFonts w:ascii="Arial" w:hAnsi="Arial" w:cs="Arial"/>
                <w:sz w:val="20"/>
                <w:szCs w:val="20"/>
                <w:lang w:val="es-ES"/>
              </w:rPr>
              <w:t xml:space="preserve">Página </w:t>
            </w:r>
            <w:r w:rsidRPr="00807BF0">
              <w:rPr>
                <w:rFonts w:ascii="Arial" w:hAnsi="Arial" w:cs="Arial"/>
                <w:b/>
                <w:bCs/>
                <w:sz w:val="20"/>
                <w:szCs w:val="20"/>
              </w:rPr>
              <w:fldChar w:fldCharType="begin"/>
            </w:r>
            <w:r w:rsidRPr="00807BF0">
              <w:rPr>
                <w:rFonts w:ascii="Arial" w:hAnsi="Arial" w:cs="Arial"/>
                <w:b/>
                <w:bCs/>
                <w:sz w:val="20"/>
                <w:szCs w:val="20"/>
              </w:rPr>
              <w:instrText>PAGE</w:instrText>
            </w:r>
            <w:r w:rsidRPr="00807BF0">
              <w:rPr>
                <w:rFonts w:ascii="Arial" w:hAnsi="Arial" w:cs="Arial"/>
                <w:b/>
                <w:bCs/>
                <w:sz w:val="20"/>
                <w:szCs w:val="20"/>
              </w:rPr>
              <w:fldChar w:fldCharType="separate"/>
            </w:r>
            <w:r w:rsidR="002F3495">
              <w:rPr>
                <w:rFonts w:ascii="Arial" w:hAnsi="Arial" w:cs="Arial"/>
                <w:b/>
                <w:bCs/>
                <w:noProof/>
                <w:sz w:val="20"/>
                <w:szCs w:val="20"/>
              </w:rPr>
              <w:t>31</w:t>
            </w:r>
            <w:r w:rsidRPr="00807BF0">
              <w:rPr>
                <w:rFonts w:ascii="Arial" w:hAnsi="Arial" w:cs="Arial"/>
                <w:b/>
                <w:bCs/>
                <w:sz w:val="20"/>
                <w:szCs w:val="20"/>
              </w:rPr>
              <w:fldChar w:fldCharType="end"/>
            </w:r>
            <w:r w:rsidRPr="00807BF0">
              <w:rPr>
                <w:rFonts w:ascii="Arial" w:hAnsi="Arial" w:cs="Arial"/>
                <w:sz w:val="20"/>
                <w:szCs w:val="20"/>
                <w:lang w:val="es-ES"/>
              </w:rPr>
              <w:t xml:space="preserve"> de </w:t>
            </w:r>
            <w:r w:rsidRPr="00807BF0">
              <w:rPr>
                <w:rFonts w:ascii="Arial" w:hAnsi="Arial" w:cs="Arial"/>
                <w:b/>
                <w:bCs/>
                <w:sz w:val="20"/>
                <w:szCs w:val="20"/>
              </w:rPr>
              <w:fldChar w:fldCharType="begin"/>
            </w:r>
            <w:r w:rsidRPr="00807BF0">
              <w:rPr>
                <w:rFonts w:ascii="Arial" w:hAnsi="Arial" w:cs="Arial"/>
                <w:b/>
                <w:bCs/>
                <w:sz w:val="20"/>
                <w:szCs w:val="20"/>
              </w:rPr>
              <w:instrText>NUMPAGES</w:instrText>
            </w:r>
            <w:r w:rsidRPr="00807BF0">
              <w:rPr>
                <w:rFonts w:ascii="Arial" w:hAnsi="Arial" w:cs="Arial"/>
                <w:b/>
                <w:bCs/>
                <w:sz w:val="20"/>
                <w:szCs w:val="20"/>
              </w:rPr>
              <w:fldChar w:fldCharType="separate"/>
            </w:r>
            <w:r w:rsidR="002F3495">
              <w:rPr>
                <w:rFonts w:ascii="Arial" w:hAnsi="Arial" w:cs="Arial"/>
                <w:b/>
                <w:bCs/>
                <w:noProof/>
                <w:sz w:val="20"/>
                <w:szCs w:val="20"/>
              </w:rPr>
              <w:t>36</w:t>
            </w:r>
            <w:r w:rsidRPr="00807BF0">
              <w:rPr>
                <w:rFonts w:ascii="Arial" w:hAnsi="Arial" w:cs="Arial"/>
                <w:b/>
                <w:bCs/>
                <w:sz w:val="20"/>
                <w:szCs w:val="20"/>
              </w:rPr>
              <w:fldChar w:fldCharType="end"/>
            </w:r>
          </w:p>
        </w:sdtContent>
      </w:sdt>
    </w:sdtContent>
  </w:sdt>
  <w:p w:rsidR="00807BF0" w:rsidRDefault="00807B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BF0" w:rsidRDefault="00807BF0" w:rsidP="00502457">
      <w:pPr>
        <w:spacing w:before="0" w:after="0" w:line="240" w:lineRule="auto"/>
      </w:pPr>
      <w:r>
        <w:separator/>
      </w:r>
    </w:p>
  </w:footnote>
  <w:footnote w:type="continuationSeparator" w:id="0">
    <w:p w:rsidR="00807BF0" w:rsidRDefault="00807BF0" w:rsidP="00502457">
      <w:pPr>
        <w:spacing w:before="0" w:after="0" w:line="240" w:lineRule="auto"/>
      </w:pPr>
      <w:r>
        <w:continuationSeparator/>
      </w:r>
    </w:p>
  </w:footnote>
  <w:footnote w:id="1">
    <w:p w:rsidR="00807BF0" w:rsidRPr="00807BF0" w:rsidRDefault="00807BF0" w:rsidP="001620A3">
      <w:pPr>
        <w:pStyle w:val="FootnoteText"/>
        <w:ind w:left="709" w:hanging="709"/>
        <w:rPr>
          <w:rFonts w:ascii="Arial" w:hAnsi="Arial" w:cs="Arial"/>
          <w:sz w:val="20"/>
          <w:szCs w:val="20"/>
        </w:rPr>
      </w:pPr>
      <w:r w:rsidRPr="00807BF0">
        <w:rPr>
          <w:rStyle w:val="FootnoteReference"/>
          <w:rFonts w:ascii="Arial" w:hAnsi="Arial" w:cs="Arial"/>
          <w:sz w:val="20"/>
          <w:szCs w:val="20"/>
        </w:rPr>
        <w:footnoteRef/>
      </w:r>
      <w:r w:rsidRPr="00807BF0">
        <w:rPr>
          <w:rFonts w:ascii="Arial" w:hAnsi="Arial" w:cs="Arial"/>
          <w:sz w:val="20"/>
          <w:szCs w:val="20"/>
        </w:rPr>
        <w:t xml:space="preserve"> </w:t>
      </w:r>
      <w:r w:rsidRPr="00807BF0">
        <w:rPr>
          <w:rFonts w:ascii="Arial" w:hAnsi="Arial" w:cs="Arial"/>
          <w:sz w:val="20"/>
          <w:szCs w:val="20"/>
        </w:rPr>
        <w:tab/>
        <w:t>Promulgado del 4 de mayo de 2015 y que reforma al Sistema Único de Manejo Ambiental en los temas de la Evaluación de Impacto Ambiental y del Control Ambiental.</w:t>
      </w:r>
    </w:p>
  </w:footnote>
  <w:footnote w:id="2">
    <w:p w:rsidR="00807BF0" w:rsidRPr="00807BF0" w:rsidRDefault="00807BF0" w:rsidP="0093080F">
      <w:pPr>
        <w:pStyle w:val="FootnoteText"/>
        <w:rPr>
          <w:rFonts w:ascii="Arial" w:hAnsi="Arial" w:cs="Arial"/>
          <w:sz w:val="20"/>
          <w:szCs w:val="20"/>
        </w:rPr>
      </w:pPr>
      <w:r w:rsidRPr="00807BF0">
        <w:rPr>
          <w:rStyle w:val="FootnoteReference"/>
          <w:rFonts w:ascii="Arial" w:hAnsi="Arial" w:cs="Arial"/>
          <w:sz w:val="20"/>
          <w:szCs w:val="20"/>
        </w:rPr>
        <w:footnoteRef/>
      </w:r>
      <w:r w:rsidRPr="00807BF0">
        <w:rPr>
          <w:rFonts w:ascii="Arial" w:hAnsi="Arial" w:cs="Arial"/>
          <w:sz w:val="20"/>
          <w:szCs w:val="20"/>
        </w:rPr>
        <w:t xml:space="preserve"> </w:t>
      </w:r>
      <w:r w:rsidRPr="00807BF0">
        <w:rPr>
          <w:rFonts w:ascii="Arial" w:hAnsi="Arial" w:cs="Arial"/>
          <w:sz w:val="20"/>
          <w:szCs w:val="20"/>
        </w:rPr>
        <w:tab/>
        <w:t>Para fines de la legislación, el término ambiente también incluye los aspectos sociales.</w:t>
      </w:r>
    </w:p>
  </w:footnote>
  <w:footnote w:id="3">
    <w:p w:rsidR="00807BF0" w:rsidRPr="00EA5355" w:rsidRDefault="00807BF0">
      <w:pPr>
        <w:pStyle w:val="FootnoteText"/>
        <w:rPr>
          <w:lang w:val="es-EC"/>
        </w:rPr>
      </w:pPr>
      <w:r>
        <w:rPr>
          <w:rStyle w:val="FootnoteReference"/>
        </w:rPr>
        <w:footnoteRef/>
      </w:r>
      <w:r>
        <w:t xml:space="preserve"> </w:t>
      </w:r>
      <w:r w:rsidRPr="003F3BA4">
        <w:rPr>
          <w:sz w:val="16"/>
          <w:szCs w:val="16"/>
          <w:lang w:val="es-EC"/>
        </w:rPr>
        <w:t>Antes de la fecha señalada, la autoridad ambiental para el sector eléctrico era el ARCONEL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9"/>
    <w:multiLevelType w:val="multilevel"/>
    <w:tmpl w:val="B1742A5C"/>
    <w:lvl w:ilvl="0">
      <w:start w:val="1"/>
      <w:numFmt w:val="upperRoman"/>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hint="default"/>
        <w:b w:val="0"/>
        <w:i w:val="0"/>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1">
    <w:nsid w:val="16AE4D7F"/>
    <w:multiLevelType w:val="multilevel"/>
    <w:tmpl w:val="6CA67C1E"/>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nsid w:val="3FAB3E0E"/>
    <w:multiLevelType w:val="hybridMultilevel"/>
    <w:tmpl w:val="A730644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68D45710"/>
    <w:multiLevelType w:val="hybridMultilevel"/>
    <w:tmpl w:val="870674B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FA55AB3"/>
    <w:multiLevelType w:val="multilevel"/>
    <w:tmpl w:val="E99499E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num w:numId="1">
    <w:abstractNumId w:val="4"/>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3"/>
  </w:num>
  <w:num w:numId="25">
    <w:abstractNumId w:val="0"/>
  </w:num>
  <w:num w:numId="26">
    <w:abstractNumId w:val="2"/>
  </w:num>
  <w:num w:numId="27">
    <w:abstractNumId w:val="0"/>
  </w:num>
  <w:num w:numId="28">
    <w:abstractNumId w:val="0"/>
  </w:num>
  <w:num w:numId="2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44D"/>
    <w:rsid w:val="00003011"/>
    <w:rsid w:val="000369E2"/>
    <w:rsid w:val="000501BE"/>
    <w:rsid w:val="00054732"/>
    <w:rsid w:val="00057C1A"/>
    <w:rsid w:val="000669D1"/>
    <w:rsid w:val="00071430"/>
    <w:rsid w:val="00075A2F"/>
    <w:rsid w:val="0007673C"/>
    <w:rsid w:val="00083D7C"/>
    <w:rsid w:val="0009407D"/>
    <w:rsid w:val="000B2FB2"/>
    <w:rsid w:val="000C485C"/>
    <w:rsid w:val="000C5327"/>
    <w:rsid w:val="000D57D2"/>
    <w:rsid w:val="000E6160"/>
    <w:rsid w:val="00102EC1"/>
    <w:rsid w:val="00123F3E"/>
    <w:rsid w:val="0013781F"/>
    <w:rsid w:val="00152510"/>
    <w:rsid w:val="00153007"/>
    <w:rsid w:val="00156A59"/>
    <w:rsid w:val="001620A3"/>
    <w:rsid w:val="001679A5"/>
    <w:rsid w:val="0017229E"/>
    <w:rsid w:val="00180F0D"/>
    <w:rsid w:val="0018538F"/>
    <w:rsid w:val="001A1E58"/>
    <w:rsid w:val="001B51D7"/>
    <w:rsid w:val="001C711D"/>
    <w:rsid w:val="001D4D6E"/>
    <w:rsid w:val="001D6650"/>
    <w:rsid w:val="001D7705"/>
    <w:rsid w:val="001F0AC7"/>
    <w:rsid w:val="001F2CF8"/>
    <w:rsid w:val="001F60CF"/>
    <w:rsid w:val="001F6893"/>
    <w:rsid w:val="001F7635"/>
    <w:rsid w:val="001F7D47"/>
    <w:rsid w:val="00202D0E"/>
    <w:rsid w:val="00206219"/>
    <w:rsid w:val="00212A7F"/>
    <w:rsid w:val="00213BD3"/>
    <w:rsid w:val="00216765"/>
    <w:rsid w:val="0022032F"/>
    <w:rsid w:val="002246F1"/>
    <w:rsid w:val="00243AFA"/>
    <w:rsid w:val="002526C7"/>
    <w:rsid w:val="00257583"/>
    <w:rsid w:val="0027024C"/>
    <w:rsid w:val="00287475"/>
    <w:rsid w:val="00291CB6"/>
    <w:rsid w:val="00292882"/>
    <w:rsid w:val="002942CB"/>
    <w:rsid w:val="00294614"/>
    <w:rsid w:val="002A0C39"/>
    <w:rsid w:val="002B6B99"/>
    <w:rsid w:val="002D3D9C"/>
    <w:rsid w:val="002E168B"/>
    <w:rsid w:val="002F3495"/>
    <w:rsid w:val="002F7CEF"/>
    <w:rsid w:val="003065D5"/>
    <w:rsid w:val="0031388E"/>
    <w:rsid w:val="00324CFE"/>
    <w:rsid w:val="00335EE6"/>
    <w:rsid w:val="0034205D"/>
    <w:rsid w:val="00343636"/>
    <w:rsid w:val="00345491"/>
    <w:rsid w:val="00361D2C"/>
    <w:rsid w:val="00370866"/>
    <w:rsid w:val="00382F1D"/>
    <w:rsid w:val="003859F3"/>
    <w:rsid w:val="00385BE8"/>
    <w:rsid w:val="003903DE"/>
    <w:rsid w:val="003A05E5"/>
    <w:rsid w:val="003E01AA"/>
    <w:rsid w:val="003F0946"/>
    <w:rsid w:val="003F2065"/>
    <w:rsid w:val="003F3BA4"/>
    <w:rsid w:val="003F5535"/>
    <w:rsid w:val="00406B31"/>
    <w:rsid w:val="004265E1"/>
    <w:rsid w:val="00445529"/>
    <w:rsid w:val="00451F53"/>
    <w:rsid w:val="00454E64"/>
    <w:rsid w:val="004774F6"/>
    <w:rsid w:val="00480920"/>
    <w:rsid w:val="00497F9A"/>
    <w:rsid w:val="004A480A"/>
    <w:rsid w:val="004A505E"/>
    <w:rsid w:val="004B59E0"/>
    <w:rsid w:val="004B6EFA"/>
    <w:rsid w:val="004C192F"/>
    <w:rsid w:val="004C7DBB"/>
    <w:rsid w:val="004D0FDD"/>
    <w:rsid w:val="004E73E3"/>
    <w:rsid w:val="00502457"/>
    <w:rsid w:val="00502D7A"/>
    <w:rsid w:val="005072A7"/>
    <w:rsid w:val="005107E3"/>
    <w:rsid w:val="0052557A"/>
    <w:rsid w:val="00536996"/>
    <w:rsid w:val="0054124F"/>
    <w:rsid w:val="005545D9"/>
    <w:rsid w:val="00567B4A"/>
    <w:rsid w:val="005717C3"/>
    <w:rsid w:val="005A1FA2"/>
    <w:rsid w:val="005A3B65"/>
    <w:rsid w:val="005A76EC"/>
    <w:rsid w:val="005B2C0A"/>
    <w:rsid w:val="005B4D60"/>
    <w:rsid w:val="005C78B7"/>
    <w:rsid w:val="005E4B73"/>
    <w:rsid w:val="005F472C"/>
    <w:rsid w:val="00625C70"/>
    <w:rsid w:val="0062644D"/>
    <w:rsid w:val="006448E2"/>
    <w:rsid w:val="0064523E"/>
    <w:rsid w:val="00653228"/>
    <w:rsid w:val="00655694"/>
    <w:rsid w:val="00666878"/>
    <w:rsid w:val="00676908"/>
    <w:rsid w:val="006B1DD1"/>
    <w:rsid w:val="006B7824"/>
    <w:rsid w:val="006C0D7F"/>
    <w:rsid w:val="006D4EF9"/>
    <w:rsid w:val="006D7914"/>
    <w:rsid w:val="006F2989"/>
    <w:rsid w:val="006F5911"/>
    <w:rsid w:val="006F62E0"/>
    <w:rsid w:val="0073016C"/>
    <w:rsid w:val="00732498"/>
    <w:rsid w:val="00780391"/>
    <w:rsid w:val="00785C01"/>
    <w:rsid w:val="0079060B"/>
    <w:rsid w:val="007B6AEB"/>
    <w:rsid w:val="007B7391"/>
    <w:rsid w:val="007D5A4F"/>
    <w:rsid w:val="007D7F82"/>
    <w:rsid w:val="007E26D0"/>
    <w:rsid w:val="007F7141"/>
    <w:rsid w:val="00804A47"/>
    <w:rsid w:val="008067B6"/>
    <w:rsid w:val="00807BF0"/>
    <w:rsid w:val="00827767"/>
    <w:rsid w:val="008364EF"/>
    <w:rsid w:val="008560C4"/>
    <w:rsid w:val="00865F0B"/>
    <w:rsid w:val="0087160E"/>
    <w:rsid w:val="008C1C77"/>
    <w:rsid w:val="008D7892"/>
    <w:rsid w:val="008E58A7"/>
    <w:rsid w:val="008F1D67"/>
    <w:rsid w:val="009101F6"/>
    <w:rsid w:val="009120B9"/>
    <w:rsid w:val="009173E8"/>
    <w:rsid w:val="00927A39"/>
    <w:rsid w:val="00927F34"/>
    <w:rsid w:val="0093080F"/>
    <w:rsid w:val="00936001"/>
    <w:rsid w:val="0094370B"/>
    <w:rsid w:val="00965FE1"/>
    <w:rsid w:val="00996724"/>
    <w:rsid w:val="009B3C47"/>
    <w:rsid w:val="009B5FA2"/>
    <w:rsid w:val="009C3BF6"/>
    <w:rsid w:val="009D7969"/>
    <w:rsid w:val="009F336D"/>
    <w:rsid w:val="00A01CAA"/>
    <w:rsid w:val="00A0301F"/>
    <w:rsid w:val="00A342A8"/>
    <w:rsid w:val="00A47BDE"/>
    <w:rsid w:val="00A53522"/>
    <w:rsid w:val="00A56956"/>
    <w:rsid w:val="00A879A8"/>
    <w:rsid w:val="00A91B30"/>
    <w:rsid w:val="00A91E58"/>
    <w:rsid w:val="00A964B1"/>
    <w:rsid w:val="00AA5BEE"/>
    <w:rsid w:val="00AA62DA"/>
    <w:rsid w:val="00AB466B"/>
    <w:rsid w:val="00AC56EA"/>
    <w:rsid w:val="00AD46AC"/>
    <w:rsid w:val="00AD6C9E"/>
    <w:rsid w:val="00AD6EDB"/>
    <w:rsid w:val="00AD706C"/>
    <w:rsid w:val="00AE7203"/>
    <w:rsid w:val="00B0365E"/>
    <w:rsid w:val="00B22FB2"/>
    <w:rsid w:val="00B24602"/>
    <w:rsid w:val="00B44F90"/>
    <w:rsid w:val="00B52A60"/>
    <w:rsid w:val="00B53B65"/>
    <w:rsid w:val="00B70263"/>
    <w:rsid w:val="00B80494"/>
    <w:rsid w:val="00BC5D4B"/>
    <w:rsid w:val="00BE0773"/>
    <w:rsid w:val="00BE270A"/>
    <w:rsid w:val="00BE52C5"/>
    <w:rsid w:val="00BF55D4"/>
    <w:rsid w:val="00C2146F"/>
    <w:rsid w:val="00C23E2D"/>
    <w:rsid w:val="00C30026"/>
    <w:rsid w:val="00C33DDB"/>
    <w:rsid w:val="00C35620"/>
    <w:rsid w:val="00C53DC3"/>
    <w:rsid w:val="00C663B8"/>
    <w:rsid w:val="00C75194"/>
    <w:rsid w:val="00C8124A"/>
    <w:rsid w:val="00C820A1"/>
    <w:rsid w:val="00C8367D"/>
    <w:rsid w:val="00C85459"/>
    <w:rsid w:val="00C87EA5"/>
    <w:rsid w:val="00CA3F19"/>
    <w:rsid w:val="00CB1783"/>
    <w:rsid w:val="00CB2895"/>
    <w:rsid w:val="00CC4F14"/>
    <w:rsid w:val="00CD2990"/>
    <w:rsid w:val="00D12C2D"/>
    <w:rsid w:val="00D2021E"/>
    <w:rsid w:val="00D41EAA"/>
    <w:rsid w:val="00D42163"/>
    <w:rsid w:val="00D47CCC"/>
    <w:rsid w:val="00D554CB"/>
    <w:rsid w:val="00D62D43"/>
    <w:rsid w:val="00D670A2"/>
    <w:rsid w:val="00D70411"/>
    <w:rsid w:val="00D82A0F"/>
    <w:rsid w:val="00D93C72"/>
    <w:rsid w:val="00D975A6"/>
    <w:rsid w:val="00DA2992"/>
    <w:rsid w:val="00DC0B0F"/>
    <w:rsid w:val="00DC0EB4"/>
    <w:rsid w:val="00DC1373"/>
    <w:rsid w:val="00DC5E30"/>
    <w:rsid w:val="00DC6081"/>
    <w:rsid w:val="00DD7B56"/>
    <w:rsid w:val="00DE3632"/>
    <w:rsid w:val="00DF26FA"/>
    <w:rsid w:val="00E05630"/>
    <w:rsid w:val="00E05C0D"/>
    <w:rsid w:val="00E11110"/>
    <w:rsid w:val="00E16DF8"/>
    <w:rsid w:val="00E24CE1"/>
    <w:rsid w:val="00E429F5"/>
    <w:rsid w:val="00E51765"/>
    <w:rsid w:val="00E54B5F"/>
    <w:rsid w:val="00E7069E"/>
    <w:rsid w:val="00E77616"/>
    <w:rsid w:val="00E86A01"/>
    <w:rsid w:val="00E945DF"/>
    <w:rsid w:val="00E976AD"/>
    <w:rsid w:val="00EA09C4"/>
    <w:rsid w:val="00EA5355"/>
    <w:rsid w:val="00EB3ED3"/>
    <w:rsid w:val="00EC26CC"/>
    <w:rsid w:val="00ED1ADD"/>
    <w:rsid w:val="00EE6961"/>
    <w:rsid w:val="00EF4754"/>
    <w:rsid w:val="00F143D3"/>
    <w:rsid w:val="00F449AF"/>
    <w:rsid w:val="00F45996"/>
    <w:rsid w:val="00F4633A"/>
    <w:rsid w:val="00F543DA"/>
    <w:rsid w:val="00F5514A"/>
    <w:rsid w:val="00F5765A"/>
    <w:rsid w:val="00F60A2F"/>
    <w:rsid w:val="00F61386"/>
    <w:rsid w:val="00F772B9"/>
    <w:rsid w:val="00FD1271"/>
    <w:rsid w:val="00FE318C"/>
    <w:rsid w:val="00FE5747"/>
    <w:rsid w:val="00FF00EF"/>
    <w:rsid w:val="00FF08D3"/>
    <w:rsid w:val="00FF7013"/>
    <w:rsid w:val="00FF7F9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erpo del texto (dali)"/>
    <w:qFormat/>
    <w:rsid w:val="0062644D"/>
    <w:pPr>
      <w:spacing w:before="120" w:after="120" w:line="280" w:lineRule="exact"/>
      <w:ind w:left="567"/>
      <w:jc w:val="both"/>
    </w:pPr>
    <w:rPr>
      <w:rFonts w:ascii="Cambria" w:eastAsiaTheme="minorEastAsia" w:hAnsi="Cambria"/>
      <w:lang w:val="es-AR"/>
    </w:rPr>
  </w:style>
  <w:style w:type="paragraph" w:styleId="Heading1">
    <w:name w:val="heading 1"/>
    <w:basedOn w:val="Normal"/>
    <w:next w:val="Normal"/>
    <w:link w:val="Heading1Char"/>
    <w:uiPriority w:val="9"/>
    <w:qFormat/>
    <w:rsid w:val="00212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940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644D"/>
    <w:pPr>
      <w:spacing w:before="0" w:after="0"/>
      <w:ind w:left="720"/>
      <w:contextualSpacing/>
    </w:pPr>
  </w:style>
  <w:style w:type="character" w:customStyle="1" w:styleId="ListParagraphChar">
    <w:name w:val="List Paragraph Char"/>
    <w:basedOn w:val="DefaultParagraphFont"/>
    <w:link w:val="ListParagraph"/>
    <w:uiPriority w:val="34"/>
    <w:rsid w:val="0062644D"/>
    <w:rPr>
      <w:rFonts w:ascii="Cambria" w:eastAsiaTheme="minorEastAsia" w:hAnsi="Cambria"/>
      <w:lang w:val="es-AR"/>
    </w:rPr>
  </w:style>
  <w:style w:type="paragraph" w:customStyle="1" w:styleId="subtittuloppalenapartadoDali">
    <w:name w:val="subtittulo ppal en apartado (Dali)"/>
    <w:basedOn w:val="ListParagraph"/>
    <w:link w:val="subtittuloppalenapartadoDaliCar"/>
    <w:qFormat/>
    <w:rsid w:val="0062644D"/>
    <w:pPr>
      <w:spacing w:before="240" w:after="240"/>
      <w:ind w:left="708"/>
    </w:pPr>
    <w:rPr>
      <w:caps/>
      <w:color w:val="44546A" w:themeColor="text2"/>
      <w:sz w:val="24"/>
      <w:szCs w:val="24"/>
    </w:rPr>
  </w:style>
  <w:style w:type="character" w:customStyle="1" w:styleId="subtittuloppalenapartadoDaliCar">
    <w:name w:val="subtittulo ppal en apartado (Dali) Car"/>
    <w:basedOn w:val="ListParagraphChar"/>
    <w:link w:val="subtittuloppalenapartadoDali"/>
    <w:rsid w:val="0062644D"/>
    <w:rPr>
      <w:rFonts w:ascii="Cambria" w:eastAsiaTheme="minorEastAsia" w:hAnsi="Cambria"/>
      <w:caps/>
      <w:color w:val="44546A" w:themeColor="text2"/>
      <w:sz w:val="24"/>
      <w:szCs w:val="24"/>
      <w:lang w:val="es-AR"/>
    </w:rPr>
  </w:style>
  <w:style w:type="paragraph" w:customStyle="1" w:styleId="Chapter">
    <w:name w:val="Chapter"/>
    <w:basedOn w:val="Normal"/>
    <w:next w:val="Normal"/>
    <w:rsid w:val="00502457"/>
    <w:pPr>
      <w:numPr>
        <w:numId w:val="2"/>
      </w:numPr>
      <w:tabs>
        <w:tab w:val="left" w:pos="1440"/>
      </w:tabs>
      <w:spacing w:before="0"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aliases w:val="paragraph,p,PARAGRAPH,PG,pa,at"/>
    <w:basedOn w:val="BodyTextIndent"/>
    <w:link w:val="ParagraphChar"/>
    <w:qFormat/>
    <w:rsid w:val="00502457"/>
    <w:pPr>
      <w:numPr>
        <w:ilvl w:val="1"/>
        <w:numId w:val="2"/>
      </w:numPr>
      <w:spacing w:line="240" w:lineRule="auto"/>
      <w:outlineLvl w:val="1"/>
    </w:pPr>
    <w:rPr>
      <w:rFonts w:ascii="Times New Roman" w:eastAsia="Times New Roman" w:hAnsi="Times New Roman" w:cs="Times New Roman"/>
      <w:sz w:val="24"/>
      <w:szCs w:val="20"/>
      <w:lang w:val="es-ES_tradnl" w:eastAsia="x-none"/>
    </w:rPr>
  </w:style>
  <w:style w:type="paragraph" w:customStyle="1" w:styleId="subpar">
    <w:name w:val="subpar"/>
    <w:basedOn w:val="BodyTextIndent3"/>
    <w:rsid w:val="00502457"/>
    <w:pPr>
      <w:numPr>
        <w:ilvl w:val="2"/>
        <w:numId w:val="2"/>
      </w:numPr>
      <w:tabs>
        <w:tab w:val="clear" w:pos="1152"/>
      </w:tabs>
      <w:spacing w:line="240" w:lineRule="auto"/>
      <w:ind w:left="2727" w:hanging="360"/>
      <w:outlineLvl w:val="2"/>
    </w:pPr>
    <w:rPr>
      <w:rFonts w:ascii="Times New Roman" w:eastAsia="Times New Roman" w:hAnsi="Times New Roman" w:cs="Times New Roman"/>
      <w:sz w:val="24"/>
      <w:szCs w:val="20"/>
      <w:lang w:val="es-ES_tradnl" w:eastAsia="x-none"/>
    </w:rPr>
  </w:style>
  <w:style w:type="paragraph" w:customStyle="1" w:styleId="SubSubPar">
    <w:name w:val="SubSubPar"/>
    <w:basedOn w:val="subpar"/>
    <w:rsid w:val="00502457"/>
    <w:pPr>
      <w:numPr>
        <w:ilvl w:val="3"/>
      </w:numPr>
      <w:tabs>
        <w:tab w:val="clear" w:pos="1584"/>
        <w:tab w:val="left" w:pos="0"/>
      </w:tabs>
      <w:ind w:left="3447" w:hanging="360"/>
    </w:pPr>
  </w:style>
  <w:style w:type="character" w:customStyle="1" w:styleId="ParagraphChar">
    <w:name w:val="Paragraph Char"/>
    <w:aliases w:val="paragraph Char,p Char,PARAGRAPH Char,PG Char,pa Char,at Char"/>
    <w:link w:val="Paragraph"/>
    <w:locked/>
    <w:rsid w:val="00502457"/>
    <w:rPr>
      <w:rFonts w:ascii="Times New Roman" w:eastAsia="Times New Roman" w:hAnsi="Times New Roman" w:cs="Times New Roman"/>
      <w:sz w:val="24"/>
      <w:szCs w:val="20"/>
      <w:lang w:val="es-ES_tradnl" w:eastAsia="x-none"/>
    </w:rPr>
  </w:style>
  <w:style w:type="character" w:customStyle="1" w:styleId="FootnoteTextChar1">
    <w:name w:val="Footnote Text Char1"/>
    <w:aliases w:val="fn Char,Texto de rodapé Char,nota_rodapé Char,nota de rodapé Char,Geneva 9 Char,Font: Geneva 9 Char,Boston 10 Char,f Char,footnote Char,single space Char,FOOTNOTES Char,footnote text Char,Footnote Text Char Char Char,foottextfr Char"/>
    <w:link w:val="FootnoteText"/>
    <w:uiPriority w:val="99"/>
    <w:locked/>
    <w:rsid w:val="00502457"/>
    <w:rPr>
      <w:lang w:val="es-ES"/>
    </w:rPr>
  </w:style>
  <w:style w:type="paragraph" w:styleId="FootnoteText">
    <w:name w:val="footnote text"/>
    <w:aliases w:val="fn,Texto de rodapé,nota_rodapé,nota de rodapé,Geneva 9,Font: Geneva 9,Boston 10,f,footnote,single space,FOOTNOTES,footnote text,Footnote Text Char Char,foottextfr,foottextf,Footnote Text arial11,F,Style 25,Fußnotentextr,Footnote Text Char"/>
    <w:basedOn w:val="Normal"/>
    <w:link w:val="FootnoteTextChar1"/>
    <w:uiPriority w:val="99"/>
    <w:unhideWhenUsed/>
    <w:rsid w:val="00502457"/>
    <w:pPr>
      <w:spacing w:before="0" w:after="0" w:line="240" w:lineRule="auto"/>
      <w:ind w:left="0"/>
      <w:jc w:val="left"/>
    </w:pPr>
    <w:rPr>
      <w:rFonts w:asciiTheme="minorHAnsi" w:eastAsiaTheme="minorHAnsi" w:hAnsiTheme="minorHAnsi"/>
      <w:lang w:val="es-ES"/>
    </w:rPr>
  </w:style>
  <w:style w:type="character" w:customStyle="1" w:styleId="TextonotapieCar1">
    <w:name w:val="Texto nota pie Car1"/>
    <w:basedOn w:val="DefaultParagraphFont"/>
    <w:uiPriority w:val="99"/>
    <w:semiHidden/>
    <w:rsid w:val="00502457"/>
    <w:rPr>
      <w:rFonts w:ascii="Cambria" w:eastAsiaTheme="minorEastAsia" w:hAnsi="Cambria"/>
      <w:sz w:val="20"/>
      <w:szCs w:val="20"/>
      <w:lang w:val="es-AR"/>
    </w:rPr>
  </w:style>
  <w:style w:type="character" w:styleId="FootnoteReference">
    <w:name w:val="footnote reference"/>
    <w:aliases w:val="FC,16 Point,Superscript 6 Point,Footnote Referencefr,Footnote Referencef,Style 24,F1,Footnote Referencefra,de nota al pie,(Ref. de nota al pie),referencia nota al pie,Ref. de nota al pi,Ref,o,ftref,Fußnotenzeichen DISS,titulo 2"/>
    <w:uiPriority w:val="99"/>
    <w:unhideWhenUsed/>
    <w:rsid w:val="00502457"/>
    <w:rPr>
      <w:vertAlign w:val="superscript"/>
    </w:rPr>
  </w:style>
  <w:style w:type="paragraph" w:styleId="BodyTextIndent">
    <w:name w:val="Body Text Indent"/>
    <w:basedOn w:val="Normal"/>
    <w:link w:val="BodyTextIndentChar"/>
    <w:uiPriority w:val="99"/>
    <w:semiHidden/>
    <w:unhideWhenUsed/>
    <w:rsid w:val="00502457"/>
    <w:pPr>
      <w:ind w:left="283"/>
    </w:pPr>
  </w:style>
  <w:style w:type="character" w:customStyle="1" w:styleId="BodyTextIndentChar">
    <w:name w:val="Body Text Indent Char"/>
    <w:basedOn w:val="DefaultParagraphFont"/>
    <w:link w:val="BodyTextIndent"/>
    <w:uiPriority w:val="99"/>
    <w:semiHidden/>
    <w:rsid w:val="00502457"/>
    <w:rPr>
      <w:rFonts w:ascii="Cambria" w:eastAsiaTheme="minorEastAsia" w:hAnsi="Cambria"/>
      <w:lang w:val="es-AR"/>
    </w:rPr>
  </w:style>
  <w:style w:type="paragraph" w:styleId="BodyTextIndent3">
    <w:name w:val="Body Text Indent 3"/>
    <w:basedOn w:val="Normal"/>
    <w:link w:val="BodyTextIndent3Char"/>
    <w:uiPriority w:val="99"/>
    <w:semiHidden/>
    <w:unhideWhenUsed/>
    <w:rsid w:val="00502457"/>
    <w:pPr>
      <w:ind w:left="283"/>
    </w:pPr>
    <w:rPr>
      <w:sz w:val="16"/>
      <w:szCs w:val="16"/>
    </w:rPr>
  </w:style>
  <w:style w:type="character" w:customStyle="1" w:styleId="BodyTextIndent3Char">
    <w:name w:val="Body Text Indent 3 Char"/>
    <w:basedOn w:val="DefaultParagraphFont"/>
    <w:link w:val="BodyTextIndent3"/>
    <w:uiPriority w:val="99"/>
    <w:semiHidden/>
    <w:rsid w:val="00502457"/>
    <w:rPr>
      <w:rFonts w:ascii="Cambria" w:eastAsiaTheme="minorEastAsia" w:hAnsi="Cambria"/>
      <w:sz w:val="16"/>
      <w:szCs w:val="16"/>
      <w:lang w:val="es-AR"/>
    </w:rPr>
  </w:style>
  <w:style w:type="paragraph" w:styleId="Caption">
    <w:name w:val="caption"/>
    <w:basedOn w:val="Normal"/>
    <w:next w:val="Normal"/>
    <w:uiPriority w:val="35"/>
    <w:unhideWhenUsed/>
    <w:qFormat/>
    <w:rsid w:val="0093080F"/>
    <w:pPr>
      <w:spacing w:before="0" w:after="200" w:line="240" w:lineRule="auto"/>
      <w:ind w:left="0"/>
    </w:pPr>
    <w:rPr>
      <w:rFonts w:ascii="Times New Roman" w:eastAsiaTheme="minorHAnsi" w:hAnsi="Times New Roman"/>
      <w:b/>
      <w:bCs/>
      <w:color w:val="5B9BD5" w:themeColor="accent1"/>
      <w:sz w:val="18"/>
      <w:szCs w:val="18"/>
      <w:lang w:val="es-ES_tradnl"/>
    </w:rPr>
  </w:style>
  <w:style w:type="table" w:customStyle="1" w:styleId="Cuadrculadetablaclara1">
    <w:name w:val="Cuadrícula de tabla clara1"/>
    <w:basedOn w:val="TableNormal"/>
    <w:uiPriority w:val="40"/>
    <w:rsid w:val="0093080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DD7B56"/>
    <w:pPr>
      <w:spacing w:before="100" w:beforeAutospacing="1" w:after="100" w:afterAutospacing="1" w:line="240" w:lineRule="auto"/>
      <w:ind w:left="0"/>
      <w:jc w:val="left"/>
    </w:pPr>
    <w:rPr>
      <w:rFonts w:ascii="Times New Roman" w:eastAsia="Times New Roman" w:hAnsi="Times New Roman" w:cs="Times New Roman"/>
      <w:sz w:val="24"/>
      <w:szCs w:val="24"/>
      <w:lang w:val="es-EC" w:eastAsia="es-EC"/>
    </w:rPr>
  </w:style>
  <w:style w:type="paragraph" w:customStyle="1" w:styleId="Newpage">
    <w:name w:val="Newpage"/>
    <w:basedOn w:val="Normal"/>
    <w:rsid w:val="00655694"/>
    <w:pPr>
      <w:tabs>
        <w:tab w:val="left" w:pos="1440"/>
        <w:tab w:val="left" w:pos="3060"/>
      </w:tabs>
      <w:spacing w:before="240" w:after="0" w:line="240" w:lineRule="auto"/>
      <w:ind w:left="0"/>
      <w:jc w:val="center"/>
    </w:pPr>
    <w:rPr>
      <w:rFonts w:ascii="Times New Roman" w:eastAsia="Times New Roman" w:hAnsi="Times New Roman" w:cs="Times New Roman"/>
      <w:b/>
      <w:smallCaps/>
      <w:sz w:val="24"/>
      <w:szCs w:val="20"/>
      <w:lang w:val="es-ES_tradnl"/>
    </w:rPr>
  </w:style>
  <w:style w:type="table" w:styleId="TableGrid">
    <w:name w:val="Table Grid"/>
    <w:basedOn w:val="TableNormal"/>
    <w:uiPriority w:val="39"/>
    <w:rsid w:val="00FE31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E318C"/>
    <w:pPr>
      <w:spacing w:before="0" w:line="240" w:lineRule="auto"/>
      <w:ind w:left="0"/>
    </w:pPr>
    <w:rPr>
      <w:rFonts w:ascii="Times New Roman" w:eastAsiaTheme="minorHAnsi" w:hAnsi="Times New Roman"/>
      <w:sz w:val="24"/>
      <w:lang w:val="es-ES_tradnl"/>
    </w:rPr>
  </w:style>
  <w:style w:type="character" w:customStyle="1" w:styleId="BodyTextChar">
    <w:name w:val="Body Text Char"/>
    <w:basedOn w:val="DefaultParagraphFont"/>
    <w:link w:val="BodyText"/>
    <w:uiPriority w:val="99"/>
    <w:semiHidden/>
    <w:rsid w:val="00FE318C"/>
    <w:rPr>
      <w:rFonts w:ascii="Times New Roman" w:hAnsi="Times New Roman"/>
      <w:sz w:val="24"/>
      <w:lang w:val="es-ES_tradnl"/>
    </w:rPr>
  </w:style>
  <w:style w:type="character" w:customStyle="1" w:styleId="Heading1Char">
    <w:name w:val="Heading 1 Char"/>
    <w:basedOn w:val="DefaultParagraphFont"/>
    <w:link w:val="Heading1"/>
    <w:uiPriority w:val="9"/>
    <w:rsid w:val="00212A7F"/>
    <w:rPr>
      <w:rFonts w:asciiTheme="majorHAnsi" w:eastAsiaTheme="majorEastAsia" w:hAnsiTheme="majorHAnsi" w:cstheme="majorBidi"/>
      <w:color w:val="2E74B5" w:themeColor="accent1" w:themeShade="BF"/>
      <w:sz w:val="32"/>
      <w:szCs w:val="32"/>
      <w:lang w:val="es-AR"/>
    </w:rPr>
  </w:style>
  <w:style w:type="paragraph" w:styleId="TOCHeading">
    <w:name w:val="TOC Heading"/>
    <w:basedOn w:val="Heading1"/>
    <w:next w:val="Normal"/>
    <w:uiPriority w:val="39"/>
    <w:unhideWhenUsed/>
    <w:qFormat/>
    <w:rsid w:val="00212A7F"/>
    <w:pPr>
      <w:spacing w:line="259" w:lineRule="auto"/>
      <w:ind w:left="0"/>
      <w:jc w:val="left"/>
      <w:outlineLvl w:val="9"/>
    </w:pPr>
    <w:rPr>
      <w:lang w:val="es-EC" w:eastAsia="es-EC"/>
    </w:rPr>
  </w:style>
  <w:style w:type="paragraph" w:styleId="TOC3">
    <w:name w:val="toc 3"/>
    <w:basedOn w:val="Normal"/>
    <w:next w:val="Normal"/>
    <w:autoRedefine/>
    <w:uiPriority w:val="39"/>
    <w:unhideWhenUsed/>
    <w:qFormat/>
    <w:rsid w:val="00212A7F"/>
    <w:pPr>
      <w:spacing w:after="100"/>
      <w:ind w:left="440"/>
    </w:pPr>
  </w:style>
  <w:style w:type="paragraph" w:styleId="TOC2">
    <w:name w:val="toc 2"/>
    <w:basedOn w:val="Normal"/>
    <w:next w:val="Normal"/>
    <w:autoRedefine/>
    <w:uiPriority w:val="39"/>
    <w:unhideWhenUsed/>
    <w:qFormat/>
    <w:rsid w:val="00212A7F"/>
    <w:pPr>
      <w:spacing w:after="100"/>
      <w:ind w:left="220"/>
    </w:pPr>
  </w:style>
  <w:style w:type="character" w:styleId="Hyperlink">
    <w:name w:val="Hyperlink"/>
    <w:basedOn w:val="DefaultParagraphFont"/>
    <w:uiPriority w:val="99"/>
    <w:unhideWhenUsed/>
    <w:rsid w:val="00212A7F"/>
    <w:rPr>
      <w:color w:val="0563C1" w:themeColor="hyperlink"/>
      <w:u w:val="single"/>
    </w:rPr>
  </w:style>
  <w:style w:type="character" w:styleId="CommentReference">
    <w:name w:val="annotation reference"/>
    <w:basedOn w:val="DefaultParagraphFont"/>
    <w:uiPriority w:val="99"/>
    <w:semiHidden/>
    <w:unhideWhenUsed/>
    <w:rsid w:val="00EF4754"/>
    <w:rPr>
      <w:sz w:val="16"/>
      <w:szCs w:val="16"/>
    </w:rPr>
  </w:style>
  <w:style w:type="paragraph" w:styleId="CommentText">
    <w:name w:val="annotation text"/>
    <w:basedOn w:val="Normal"/>
    <w:link w:val="CommentTextChar"/>
    <w:uiPriority w:val="99"/>
    <w:semiHidden/>
    <w:unhideWhenUsed/>
    <w:rsid w:val="00EF4754"/>
    <w:pPr>
      <w:spacing w:line="240" w:lineRule="auto"/>
    </w:pPr>
    <w:rPr>
      <w:sz w:val="20"/>
      <w:szCs w:val="20"/>
    </w:rPr>
  </w:style>
  <w:style w:type="character" w:customStyle="1" w:styleId="CommentTextChar">
    <w:name w:val="Comment Text Char"/>
    <w:basedOn w:val="DefaultParagraphFont"/>
    <w:link w:val="CommentText"/>
    <w:uiPriority w:val="99"/>
    <w:semiHidden/>
    <w:rsid w:val="00EF4754"/>
    <w:rPr>
      <w:rFonts w:ascii="Cambria" w:eastAsiaTheme="minorEastAsia" w:hAnsi="Cambria"/>
      <w:sz w:val="20"/>
      <w:szCs w:val="20"/>
      <w:lang w:val="es-AR"/>
    </w:rPr>
  </w:style>
  <w:style w:type="paragraph" w:styleId="CommentSubject">
    <w:name w:val="annotation subject"/>
    <w:basedOn w:val="CommentText"/>
    <w:next w:val="CommentText"/>
    <w:link w:val="CommentSubjectChar"/>
    <w:uiPriority w:val="99"/>
    <w:semiHidden/>
    <w:unhideWhenUsed/>
    <w:rsid w:val="00EF4754"/>
    <w:rPr>
      <w:b/>
      <w:bCs/>
    </w:rPr>
  </w:style>
  <w:style w:type="character" w:customStyle="1" w:styleId="CommentSubjectChar">
    <w:name w:val="Comment Subject Char"/>
    <w:basedOn w:val="CommentTextChar"/>
    <w:link w:val="CommentSubject"/>
    <w:uiPriority w:val="99"/>
    <w:semiHidden/>
    <w:rsid w:val="00EF4754"/>
    <w:rPr>
      <w:rFonts w:ascii="Cambria" w:eastAsiaTheme="minorEastAsia" w:hAnsi="Cambria"/>
      <w:b/>
      <w:bCs/>
      <w:sz w:val="20"/>
      <w:szCs w:val="20"/>
      <w:lang w:val="es-AR"/>
    </w:rPr>
  </w:style>
  <w:style w:type="paragraph" w:styleId="BalloonText">
    <w:name w:val="Balloon Text"/>
    <w:basedOn w:val="Normal"/>
    <w:link w:val="BalloonTextChar"/>
    <w:uiPriority w:val="99"/>
    <w:semiHidden/>
    <w:unhideWhenUsed/>
    <w:rsid w:val="00EF47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754"/>
    <w:rPr>
      <w:rFonts w:ascii="Segoe UI" w:eastAsiaTheme="minorEastAsia" w:hAnsi="Segoe UI" w:cs="Segoe UI"/>
      <w:sz w:val="18"/>
      <w:szCs w:val="18"/>
      <w:lang w:val="es-AR"/>
    </w:rPr>
  </w:style>
  <w:style w:type="paragraph" w:styleId="Header">
    <w:name w:val="header"/>
    <w:basedOn w:val="Normal"/>
    <w:link w:val="HeaderChar"/>
    <w:uiPriority w:val="99"/>
    <w:unhideWhenUsed/>
    <w:rsid w:val="00AD46A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46AC"/>
    <w:rPr>
      <w:rFonts w:ascii="Cambria" w:eastAsiaTheme="minorEastAsia" w:hAnsi="Cambria"/>
      <w:lang w:val="es-AR"/>
    </w:rPr>
  </w:style>
  <w:style w:type="paragraph" w:styleId="Footer">
    <w:name w:val="footer"/>
    <w:basedOn w:val="Normal"/>
    <w:link w:val="FooterChar"/>
    <w:uiPriority w:val="99"/>
    <w:unhideWhenUsed/>
    <w:rsid w:val="00AD46A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46AC"/>
    <w:rPr>
      <w:rFonts w:ascii="Cambria" w:eastAsiaTheme="minorEastAsia" w:hAnsi="Cambria"/>
      <w:lang w:val="es-AR"/>
    </w:rPr>
  </w:style>
  <w:style w:type="paragraph" w:styleId="NoSpacing">
    <w:name w:val="No Spacing"/>
    <w:uiPriority w:val="1"/>
    <w:qFormat/>
    <w:rsid w:val="009B5FA2"/>
    <w:pPr>
      <w:spacing w:after="0" w:line="240" w:lineRule="auto"/>
      <w:ind w:left="567"/>
      <w:jc w:val="both"/>
    </w:pPr>
    <w:rPr>
      <w:rFonts w:ascii="Cambria" w:eastAsiaTheme="minorEastAsia" w:hAnsi="Cambria"/>
      <w:lang w:val="es-AR"/>
    </w:rPr>
  </w:style>
  <w:style w:type="character" w:customStyle="1" w:styleId="Heading2Char">
    <w:name w:val="Heading 2 Char"/>
    <w:basedOn w:val="DefaultParagraphFont"/>
    <w:link w:val="Heading2"/>
    <w:uiPriority w:val="9"/>
    <w:semiHidden/>
    <w:rsid w:val="0009407D"/>
    <w:rPr>
      <w:rFonts w:asciiTheme="majorHAnsi" w:eastAsiaTheme="majorEastAsia" w:hAnsiTheme="majorHAnsi" w:cstheme="majorBidi"/>
      <w:color w:val="2E74B5" w:themeColor="accent1" w:themeShade="BF"/>
      <w:sz w:val="26"/>
      <w:szCs w:val="26"/>
      <w:lang w:val="es-AR"/>
    </w:rPr>
  </w:style>
  <w:style w:type="paragraph" w:customStyle="1" w:styleId="Default">
    <w:name w:val="Default"/>
    <w:rsid w:val="00AA5BEE"/>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qFormat/>
    <w:rsid w:val="00C53DC3"/>
    <w:pPr>
      <w:spacing w:before="0" w:after="100" w:line="276" w:lineRule="auto"/>
      <w:ind w:left="0"/>
      <w:jc w:val="left"/>
    </w:pPr>
    <w:rPr>
      <w:rFonts w:asciiTheme="minorHAnsi" w:hAnsiTheme="minorHAnsi"/>
      <w:lang w:val="en-US"/>
    </w:rPr>
  </w:style>
  <w:style w:type="paragraph" w:styleId="TOC4">
    <w:name w:val="toc 4"/>
    <w:basedOn w:val="Normal"/>
    <w:next w:val="Normal"/>
    <w:autoRedefine/>
    <w:uiPriority w:val="39"/>
    <w:unhideWhenUsed/>
    <w:rsid w:val="00C53DC3"/>
    <w:pPr>
      <w:spacing w:before="0" w:after="100" w:line="276" w:lineRule="auto"/>
      <w:ind w:left="660"/>
      <w:jc w:val="left"/>
    </w:pPr>
    <w:rPr>
      <w:rFonts w:asciiTheme="minorHAnsi" w:hAnsiTheme="minorHAnsi"/>
      <w:lang w:val="en-US"/>
    </w:rPr>
  </w:style>
  <w:style w:type="paragraph" w:styleId="TOC5">
    <w:name w:val="toc 5"/>
    <w:basedOn w:val="Normal"/>
    <w:next w:val="Normal"/>
    <w:autoRedefine/>
    <w:uiPriority w:val="39"/>
    <w:unhideWhenUsed/>
    <w:rsid w:val="00C53DC3"/>
    <w:pPr>
      <w:spacing w:before="0" w:after="100" w:line="276" w:lineRule="auto"/>
      <w:ind w:left="880"/>
      <w:jc w:val="left"/>
    </w:pPr>
    <w:rPr>
      <w:rFonts w:asciiTheme="minorHAnsi" w:hAnsiTheme="minorHAnsi"/>
      <w:lang w:val="en-US"/>
    </w:rPr>
  </w:style>
  <w:style w:type="paragraph" w:styleId="TOC6">
    <w:name w:val="toc 6"/>
    <w:basedOn w:val="Normal"/>
    <w:next w:val="Normal"/>
    <w:autoRedefine/>
    <w:uiPriority w:val="39"/>
    <w:unhideWhenUsed/>
    <w:rsid w:val="00C53DC3"/>
    <w:pPr>
      <w:spacing w:before="0" w:after="100" w:line="276" w:lineRule="auto"/>
      <w:ind w:left="1100"/>
      <w:jc w:val="left"/>
    </w:pPr>
    <w:rPr>
      <w:rFonts w:asciiTheme="minorHAnsi" w:hAnsiTheme="minorHAnsi"/>
      <w:lang w:val="en-US"/>
    </w:rPr>
  </w:style>
  <w:style w:type="paragraph" w:styleId="TOC7">
    <w:name w:val="toc 7"/>
    <w:basedOn w:val="Normal"/>
    <w:next w:val="Normal"/>
    <w:autoRedefine/>
    <w:uiPriority w:val="39"/>
    <w:unhideWhenUsed/>
    <w:rsid w:val="00C53DC3"/>
    <w:pPr>
      <w:spacing w:before="0" w:after="100" w:line="276" w:lineRule="auto"/>
      <w:ind w:left="1320"/>
      <w:jc w:val="left"/>
    </w:pPr>
    <w:rPr>
      <w:rFonts w:asciiTheme="minorHAnsi" w:hAnsiTheme="minorHAnsi"/>
      <w:lang w:val="en-US"/>
    </w:rPr>
  </w:style>
  <w:style w:type="paragraph" w:styleId="TOC8">
    <w:name w:val="toc 8"/>
    <w:basedOn w:val="Normal"/>
    <w:next w:val="Normal"/>
    <w:autoRedefine/>
    <w:uiPriority w:val="39"/>
    <w:unhideWhenUsed/>
    <w:rsid w:val="00C53DC3"/>
    <w:pPr>
      <w:spacing w:before="0" w:after="100" w:line="276" w:lineRule="auto"/>
      <w:ind w:left="1540"/>
      <w:jc w:val="left"/>
    </w:pPr>
    <w:rPr>
      <w:rFonts w:asciiTheme="minorHAnsi" w:hAnsiTheme="minorHAnsi"/>
      <w:lang w:val="en-US"/>
    </w:rPr>
  </w:style>
  <w:style w:type="paragraph" w:styleId="TOC9">
    <w:name w:val="toc 9"/>
    <w:basedOn w:val="Normal"/>
    <w:next w:val="Normal"/>
    <w:autoRedefine/>
    <w:uiPriority w:val="39"/>
    <w:unhideWhenUsed/>
    <w:rsid w:val="00C53DC3"/>
    <w:pPr>
      <w:spacing w:before="0" w:after="100" w:line="276" w:lineRule="auto"/>
      <w:ind w:left="1760"/>
      <w:jc w:val="left"/>
    </w:pPr>
    <w:rPr>
      <w:rFonts w:asciiTheme="minorHAnsi" w:hAnsiTheme="minorHAns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erpo del texto (dali)"/>
    <w:qFormat/>
    <w:rsid w:val="0062644D"/>
    <w:pPr>
      <w:spacing w:before="120" w:after="120" w:line="280" w:lineRule="exact"/>
      <w:ind w:left="567"/>
      <w:jc w:val="both"/>
    </w:pPr>
    <w:rPr>
      <w:rFonts w:ascii="Cambria" w:eastAsiaTheme="minorEastAsia" w:hAnsi="Cambria"/>
      <w:lang w:val="es-AR"/>
    </w:rPr>
  </w:style>
  <w:style w:type="paragraph" w:styleId="Heading1">
    <w:name w:val="heading 1"/>
    <w:basedOn w:val="Normal"/>
    <w:next w:val="Normal"/>
    <w:link w:val="Heading1Char"/>
    <w:uiPriority w:val="9"/>
    <w:qFormat/>
    <w:rsid w:val="00212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940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644D"/>
    <w:pPr>
      <w:spacing w:before="0" w:after="0"/>
      <w:ind w:left="720"/>
      <w:contextualSpacing/>
    </w:pPr>
  </w:style>
  <w:style w:type="character" w:customStyle="1" w:styleId="ListParagraphChar">
    <w:name w:val="List Paragraph Char"/>
    <w:basedOn w:val="DefaultParagraphFont"/>
    <w:link w:val="ListParagraph"/>
    <w:uiPriority w:val="34"/>
    <w:rsid w:val="0062644D"/>
    <w:rPr>
      <w:rFonts w:ascii="Cambria" w:eastAsiaTheme="minorEastAsia" w:hAnsi="Cambria"/>
      <w:lang w:val="es-AR"/>
    </w:rPr>
  </w:style>
  <w:style w:type="paragraph" w:customStyle="1" w:styleId="subtittuloppalenapartadoDali">
    <w:name w:val="subtittulo ppal en apartado (Dali)"/>
    <w:basedOn w:val="ListParagraph"/>
    <w:link w:val="subtittuloppalenapartadoDaliCar"/>
    <w:qFormat/>
    <w:rsid w:val="0062644D"/>
    <w:pPr>
      <w:spacing w:before="240" w:after="240"/>
      <w:ind w:left="708"/>
    </w:pPr>
    <w:rPr>
      <w:caps/>
      <w:color w:val="44546A" w:themeColor="text2"/>
      <w:sz w:val="24"/>
      <w:szCs w:val="24"/>
    </w:rPr>
  </w:style>
  <w:style w:type="character" w:customStyle="1" w:styleId="subtittuloppalenapartadoDaliCar">
    <w:name w:val="subtittulo ppal en apartado (Dali) Car"/>
    <w:basedOn w:val="ListParagraphChar"/>
    <w:link w:val="subtittuloppalenapartadoDali"/>
    <w:rsid w:val="0062644D"/>
    <w:rPr>
      <w:rFonts w:ascii="Cambria" w:eastAsiaTheme="minorEastAsia" w:hAnsi="Cambria"/>
      <w:caps/>
      <w:color w:val="44546A" w:themeColor="text2"/>
      <w:sz w:val="24"/>
      <w:szCs w:val="24"/>
      <w:lang w:val="es-AR"/>
    </w:rPr>
  </w:style>
  <w:style w:type="paragraph" w:customStyle="1" w:styleId="Chapter">
    <w:name w:val="Chapter"/>
    <w:basedOn w:val="Normal"/>
    <w:next w:val="Normal"/>
    <w:rsid w:val="00502457"/>
    <w:pPr>
      <w:numPr>
        <w:numId w:val="2"/>
      </w:numPr>
      <w:tabs>
        <w:tab w:val="left" w:pos="1440"/>
      </w:tabs>
      <w:spacing w:before="0"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aliases w:val="paragraph,p,PARAGRAPH,PG,pa,at"/>
    <w:basedOn w:val="BodyTextIndent"/>
    <w:link w:val="ParagraphChar"/>
    <w:qFormat/>
    <w:rsid w:val="00502457"/>
    <w:pPr>
      <w:numPr>
        <w:ilvl w:val="1"/>
        <w:numId w:val="2"/>
      </w:numPr>
      <w:spacing w:line="240" w:lineRule="auto"/>
      <w:outlineLvl w:val="1"/>
    </w:pPr>
    <w:rPr>
      <w:rFonts w:ascii="Times New Roman" w:eastAsia="Times New Roman" w:hAnsi="Times New Roman" w:cs="Times New Roman"/>
      <w:sz w:val="24"/>
      <w:szCs w:val="20"/>
      <w:lang w:val="es-ES_tradnl" w:eastAsia="x-none"/>
    </w:rPr>
  </w:style>
  <w:style w:type="paragraph" w:customStyle="1" w:styleId="subpar">
    <w:name w:val="subpar"/>
    <w:basedOn w:val="BodyTextIndent3"/>
    <w:rsid w:val="00502457"/>
    <w:pPr>
      <w:numPr>
        <w:ilvl w:val="2"/>
        <w:numId w:val="2"/>
      </w:numPr>
      <w:tabs>
        <w:tab w:val="clear" w:pos="1152"/>
      </w:tabs>
      <w:spacing w:line="240" w:lineRule="auto"/>
      <w:ind w:left="2727" w:hanging="360"/>
      <w:outlineLvl w:val="2"/>
    </w:pPr>
    <w:rPr>
      <w:rFonts w:ascii="Times New Roman" w:eastAsia="Times New Roman" w:hAnsi="Times New Roman" w:cs="Times New Roman"/>
      <w:sz w:val="24"/>
      <w:szCs w:val="20"/>
      <w:lang w:val="es-ES_tradnl" w:eastAsia="x-none"/>
    </w:rPr>
  </w:style>
  <w:style w:type="paragraph" w:customStyle="1" w:styleId="SubSubPar">
    <w:name w:val="SubSubPar"/>
    <w:basedOn w:val="subpar"/>
    <w:rsid w:val="00502457"/>
    <w:pPr>
      <w:numPr>
        <w:ilvl w:val="3"/>
      </w:numPr>
      <w:tabs>
        <w:tab w:val="clear" w:pos="1584"/>
        <w:tab w:val="left" w:pos="0"/>
      </w:tabs>
      <w:ind w:left="3447" w:hanging="360"/>
    </w:pPr>
  </w:style>
  <w:style w:type="character" w:customStyle="1" w:styleId="ParagraphChar">
    <w:name w:val="Paragraph Char"/>
    <w:aliases w:val="paragraph Char,p Char,PARAGRAPH Char,PG Char,pa Char,at Char"/>
    <w:link w:val="Paragraph"/>
    <w:locked/>
    <w:rsid w:val="00502457"/>
    <w:rPr>
      <w:rFonts w:ascii="Times New Roman" w:eastAsia="Times New Roman" w:hAnsi="Times New Roman" w:cs="Times New Roman"/>
      <w:sz w:val="24"/>
      <w:szCs w:val="20"/>
      <w:lang w:val="es-ES_tradnl" w:eastAsia="x-none"/>
    </w:rPr>
  </w:style>
  <w:style w:type="character" w:customStyle="1" w:styleId="FootnoteTextChar1">
    <w:name w:val="Footnote Text Char1"/>
    <w:aliases w:val="fn Char,Texto de rodapé Char,nota_rodapé Char,nota de rodapé Char,Geneva 9 Char,Font: Geneva 9 Char,Boston 10 Char,f Char,footnote Char,single space Char,FOOTNOTES Char,footnote text Char,Footnote Text Char Char Char,foottextfr Char"/>
    <w:link w:val="FootnoteText"/>
    <w:uiPriority w:val="99"/>
    <w:locked/>
    <w:rsid w:val="00502457"/>
    <w:rPr>
      <w:lang w:val="es-ES"/>
    </w:rPr>
  </w:style>
  <w:style w:type="paragraph" w:styleId="FootnoteText">
    <w:name w:val="footnote text"/>
    <w:aliases w:val="fn,Texto de rodapé,nota_rodapé,nota de rodapé,Geneva 9,Font: Geneva 9,Boston 10,f,footnote,single space,FOOTNOTES,footnote text,Footnote Text Char Char,foottextfr,foottextf,Footnote Text arial11,F,Style 25,Fußnotentextr,Footnote Text Char"/>
    <w:basedOn w:val="Normal"/>
    <w:link w:val="FootnoteTextChar1"/>
    <w:uiPriority w:val="99"/>
    <w:unhideWhenUsed/>
    <w:rsid w:val="00502457"/>
    <w:pPr>
      <w:spacing w:before="0" w:after="0" w:line="240" w:lineRule="auto"/>
      <w:ind w:left="0"/>
      <w:jc w:val="left"/>
    </w:pPr>
    <w:rPr>
      <w:rFonts w:asciiTheme="minorHAnsi" w:eastAsiaTheme="minorHAnsi" w:hAnsiTheme="minorHAnsi"/>
      <w:lang w:val="es-ES"/>
    </w:rPr>
  </w:style>
  <w:style w:type="character" w:customStyle="1" w:styleId="TextonotapieCar1">
    <w:name w:val="Texto nota pie Car1"/>
    <w:basedOn w:val="DefaultParagraphFont"/>
    <w:uiPriority w:val="99"/>
    <w:semiHidden/>
    <w:rsid w:val="00502457"/>
    <w:rPr>
      <w:rFonts w:ascii="Cambria" w:eastAsiaTheme="minorEastAsia" w:hAnsi="Cambria"/>
      <w:sz w:val="20"/>
      <w:szCs w:val="20"/>
      <w:lang w:val="es-AR"/>
    </w:rPr>
  </w:style>
  <w:style w:type="character" w:styleId="FootnoteReference">
    <w:name w:val="footnote reference"/>
    <w:aliases w:val="FC,16 Point,Superscript 6 Point,Footnote Referencefr,Footnote Referencef,Style 24,F1,Footnote Referencefra,de nota al pie,(Ref. de nota al pie),referencia nota al pie,Ref. de nota al pi,Ref,o,ftref,Fußnotenzeichen DISS,titulo 2"/>
    <w:uiPriority w:val="99"/>
    <w:unhideWhenUsed/>
    <w:rsid w:val="00502457"/>
    <w:rPr>
      <w:vertAlign w:val="superscript"/>
    </w:rPr>
  </w:style>
  <w:style w:type="paragraph" w:styleId="BodyTextIndent">
    <w:name w:val="Body Text Indent"/>
    <w:basedOn w:val="Normal"/>
    <w:link w:val="BodyTextIndentChar"/>
    <w:uiPriority w:val="99"/>
    <w:semiHidden/>
    <w:unhideWhenUsed/>
    <w:rsid w:val="00502457"/>
    <w:pPr>
      <w:ind w:left="283"/>
    </w:pPr>
  </w:style>
  <w:style w:type="character" w:customStyle="1" w:styleId="BodyTextIndentChar">
    <w:name w:val="Body Text Indent Char"/>
    <w:basedOn w:val="DefaultParagraphFont"/>
    <w:link w:val="BodyTextIndent"/>
    <w:uiPriority w:val="99"/>
    <w:semiHidden/>
    <w:rsid w:val="00502457"/>
    <w:rPr>
      <w:rFonts w:ascii="Cambria" w:eastAsiaTheme="minorEastAsia" w:hAnsi="Cambria"/>
      <w:lang w:val="es-AR"/>
    </w:rPr>
  </w:style>
  <w:style w:type="paragraph" w:styleId="BodyTextIndent3">
    <w:name w:val="Body Text Indent 3"/>
    <w:basedOn w:val="Normal"/>
    <w:link w:val="BodyTextIndent3Char"/>
    <w:uiPriority w:val="99"/>
    <w:semiHidden/>
    <w:unhideWhenUsed/>
    <w:rsid w:val="00502457"/>
    <w:pPr>
      <w:ind w:left="283"/>
    </w:pPr>
    <w:rPr>
      <w:sz w:val="16"/>
      <w:szCs w:val="16"/>
    </w:rPr>
  </w:style>
  <w:style w:type="character" w:customStyle="1" w:styleId="BodyTextIndent3Char">
    <w:name w:val="Body Text Indent 3 Char"/>
    <w:basedOn w:val="DefaultParagraphFont"/>
    <w:link w:val="BodyTextIndent3"/>
    <w:uiPriority w:val="99"/>
    <w:semiHidden/>
    <w:rsid w:val="00502457"/>
    <w:rPr>
      <w:rFonts w:ascii="Cambria" w:eastAsiaTheme="minorEastAsia" w:hAnsi="Cambria"/>
      <w:sz w:val="16"/>
      <w:szCs w:val="16"/>
      <w:lang w:val="es-AR"/>
    </w:rPr>
  </w:style>
  <w:style w:type="paragraph" w:styleId="Caption">
    <w:name w:val="caption"/>
    <w:basedOn w:val="Normal"/>
    <w:next w:val="Normal"/>
    <w:uiPriority w:val="35"/>
    <w:unhideWhenUsed/>
    <w:qFormat/>
    <w:rsid w:val="0093080F"/>
    <w:pPr>
      <w:spacing w:before="0" w:after="200" w:line="240" w:lineRule="auto"/>
      <w:ind w:left="0"/>
    </w:pPr>
    <w:rPr>
      <w:rFonts w:ascii="Times New Roman" w:eastAsiaTheme="minorHAnsi" w:hAnsi="Times New Roman"/>
      <w:b/>
      <w:bCs/>
      <w:color w:val="5B9BD5" w:themeColor="accent1"/>
      <w:sz w:val="18"/>
      <w:szCs w:val="18"/>
      <w:lang w:val="es-ES_tradnl"/>
    </w:rPr>
  </w:style>
  <w:style w:type="table" w:customStyle="1" w:styleId="Cuadrculadetablaclara1">
    <w:name w:val="Cuadrícula de tabla clara1"/>
    <w:basedOn w:val="TableNormal"/>
    <w:uiPriority w:val="40"/>
    <w:rsid w:val="0093080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DD7B56"/>
    <w:pPr>
      <w:spacing w:before="100" w:beforeAutospacing="1" w:after="100" w:afterAutospacing="1" w:line="240" w:lineRule="auto"/>
      <w:ind w:left="0"/>
      <w:jc w:val="left"/>
    </w:pPr>
    <w:rPr>
      <w:rFonts w:ascii="Times New Roman" w:eastAsia="Times New Roman" w:hAnsi="Times New Roman" w:cs="Times New Roman"/>
      <w:sz w:val="24"/>
      <w:szCs w:val="24"/>
      <w:lang w:val="es-EC" w:eastAsia="es-EC"/>
    </w:rPr>
  </w:style>
  <w:style w:type="paragraph" w:customStyle="1" w:styleId="Newpage">
    <w:name w:val="Newpage"/>
    <w:basedOn w:val="Normal"/>
    <w:rsid w:val="00655694"/>
    <w:pPr>
      <w:tabs>
        <w:tab w:val="left" w:pos="1440"/>
        <w:tab w:val="left" w:pos="3060"/>
      </w:tabs>
      <w:spacing w:before="240" w:after="0" w:line="240" w:lineRule="auto"/>
      <w:ind w:left="0"/>
      <w:jc w:val="center"/>
    </w:pPr>
    <w:rPr>
      <w:rFonts w:ascii="Times New Roman" w:eastAsia="Times New Roman" w:hAnsi="Times New Roman" w:cs="Times New Roman"/>
      <w:b/>
      <w:smallCaps/>
      <w:sz w:val="24"/>
      <w:szCs w:val="20"/>
      <w:lang w:val="es-ES_tradnl"/>
    </w:rPr>
  </w:style>
  <w:style w:type="table" w:styleId="TableGrid">
    <w:name w:val="Table Grid"/>
    <w:basedOn w:val="TableNormal"/>
    <w:uiPriority w:val="39"/>
    <w:rsid w:val="00FE31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E318C"/>
    <w:pPr>
      <w:spacing w:before="0" w:line="240" w:lineRule="auto"/>
      <w:ind w:left="0"/>
    </w:pPr>
    <w:rPr>
      <w:rFonts w:ascii="Times New Roman" w:eastAsiaTheme="minorHAnsi" w:hAnsi="Times New Roman"/>
      <w:sz w:val="24"/>
      <w:lang w:val="es-ES_tradnl"/>
    </w:rPr>
  </w:style>
  <w:style w:type="character" w:customStyle="1" w:styleId="BodyTextChar">
    <w:name w:val="Body Text Char"/>
    <w:basedOn w:val="DefaultParagraphFont"/>
    <w:link w:val="BodyText"/>
    <w:uiPriority w:val="99"/>
    <w:semiHidden/>
    <w:rsid w:val="00FE318C"/>
    <w:rPr>
      <w:rFonts w:ascii="Times New Roman" w:hAnsi="Times New Roman"/>
      <w:sz w:val="24"/>
      <w:lang w:val="es-ES_tradnl"/>
    </w:rPr>
  </w:style>
  <w:style w:type="character" w:customStyle="1" w:styleId="Heading1Char">
    <w:name w:val="Heading 1 Char"/>
    <w:basedOn w:val="DefaultParagraphFont"/>
    <w:link w:val="Heading1"/>
    <w:uiPriority w:val="9"/>
    <w:rsid w:val="00212A7F"/>
    <w:rPr>
      <w:rFonts w:asciiTheme="majorHAnsi" w:eastAsiaTheme="majorEastAsia" w:hAnsiTheme="majorHAnsi" w:cstheme="majorBidi"/>
      <w:color w:val="2E74B5" w:themeColor="accent1" w:themeShade="BF"/>
      <w:sz w:val="32"/>
      <w:szCs w:val="32"/>
      <w:lang w:val="es-AR"/>
    </w:rPr>
  </w:style>
  <w:style w:type="paragraph" w:styleId="TOCHeading">
    <w:name w:val="TOC Heading"/>
    <w:basedOn w:val="Heading1"/>
    <w:next w:val="Normal"/>
    <w:uiPriority w:val="39"/>
    <w:unhideWhenUsed/>
    <w:qFormat/>
    <w:rsid w:val="00212A7F"/>
    <w:pPr>
      <w:spacing w:line="259" w:lineRule="auto"/>
      <w:ind w:left="0"/>
      <w:jc w:val="left"/>
      <w:outlineLvl w:val="9"/>
    </w:pPr>
    <w:rPr>
      <w:lang w:val="es-EC" w:eastAsia="es-EC"/>
    </w:rPr>
  </w:style>
  <w:style w:type="paragraph" w:styleId="TOC3">
    <w:name w:val="toc 3"/>
    <w:basedOn w:val="Normal"/>
    <w:next w:val="Normal"/>
    <w:autoRedefine/>
    <w:uiPriority w:val="39"/>
    <w:unhideWhenUsed/>
    <w:qFormat/>
    <w:rsid w:val="00212A7F"/>
    <w:pPr>
      <w:spacing w:after="100"/>
      <w:ind w:left="440"/>
    </w:pPr>
  </w:style>
  <w:style w:type="paragraph" w:styleId="TOC2">
    <w:name w:val="toc 2"/>
    <w:basedOn w:val="Normal"/>
    <w:next w:val="Normal"/>
    <w:autoRedefine/>
    <w:uiPriority w:val="39"/>
    <w:unhideWhenUsed/>
    <w:qFormat/>
    <w:rsid w:val="00212A7F"/>
    <w:pPr>
      <w:spacing w:after="100"/>
      <w:ind w:left="220"/>
    </w:pPr>
  </w:style>
  <w:style w:type="character" w:styleId="Hyperlink">
    <w:name w:val="Hyperlink"/>
    <w:basedOn w:val="DefaultParagraphFont"/>
    <w:uiPriority w:val="99"/>
    <w:unhideWhenUsed/>
    <w:rsid w:val="00212A7F"/>
    <w:rPr>
      <w:color w:val="0563C1" w:themeColor="hyperlink"/>
      <w:u w:val="single"/>
    </w:rPr>
  </w:style>
  <w:style w:type="character" w:styleId="CommentReference">
    <w:name w:val="annotation reference"/>
    <w:basedOn w:val="DefaultParagraphFont"/>
    <w:uiPriority w:val="99"/>
    <w:semiHidden/>
    <w:unhideWhenUsed/>
    <w:rsid w:val="00EF4754"/>
    <w:rPr>
      <w:sz w:val="16"/>
      <w:szCs w:val="16"/>
    </w:rPr>
  </w:style>
  <w:style w:type="paragraph" w:styleId="CommentText">
    <w:name w:val="annotation text"/>
    <w:basedOn w:val="Normal"/>
    <w:link w:val="CommentTextChar"/>
    <w:uiPriority w:val="99"/>
    <w:semiHidden/>
    <w:unhideWhenUsed/>
    <w:rsid w:val="00EF4754"/>
    <w:pPr>
      <w:spacing w:line="240" w:lineRule="auto"/>
    </w:pPr>
    <w:rPr>
      <w:sz w:val="20"/>
      <w:szCs w:val="20"/>
    </w:rPr>
  </w:style>
  <w:style w:type="character" w:customStyle="1" w:styleId="CommentTextChar">
    <w:name w:val="Comment Text Char"/>
    <w:basedOn w:val="DefaultParagraphFont"/>
    <w:link w:val="CommentText"/>
    <w:uiPriority w:val="99"/>
    <w:semiHidden/>
    <w:rsid w:val="00EF4754"/>
    <w:rPr>
      <w:rFonts w:ascii="Cambria" w:eastAsiaTheme="minorEastAsia" w:hAnsi="Cambria"/>
      <w:sz w:val="20"/>
      <w:szCs w:val="20"/>
      <w:lang w:val="es-AR"/>
    </w:rPr>
  </w:style>
  <w:style w:type="paragraph" w:styleId="CommentSubject">
    <w:name w:val="annotation subject"/>
    <w:basedOn w:val="CommentText"/>
    <w:next w:val="CommentText"/>
    <w:link w:val="CommentSubjectChar"/>
    <w:uiPriority w:val="99"/>
    <w:semiHidden/>
    <w:unhideWhenUsed/>
    <w:rsid w:val="00EF4754"/>
    <w:rPr>
      <w:b/>
      <w:bCs/>
    </w:rPr>
  </w:style>
  <w:style w:type="character" w:customStyle="1" w:styleId="CommentSubjectChar">
    <w:name w:val="Comment Subject Char"/>
    <w:basedOn w:val="CommentTextChar"/>
    <w:link w:val="CommentSubject"/>
    <w:uiPriority w:val="99"/>
    <w:semiHidden/>
    <w:rsid w:val="00EF4754"/>
    <w:rPr>
      <w:rFonts w:ascii="Cambria" w:eastAsiaTheme="minorEastAsia" w:hAnsi="Cambria"/>
      <w:b/>
      <w:bCs/>
      <w:sz w:val="20"/>
      <w:szCs w:val="20"/>
      <w:lang w:val="es-AR"/>
    </w:rPr>
  </w:style>
  <w:style w:type="paragraph" w:styleId="BalloonText">
    <w:name w:val="Balloon Text"/>
    <w:basedOn w:val="Normal"/>
    <w:link w:val="BalloonTextChar"/>
    <w:uiPriority w:val="99"/>
    <w:semiHidden/>
    <w:unhideWhenUsed/>
    <w:rsid w:val="00EF47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754"/>
    <w:rPr>
      <w:rFonts w:ascii="Segoe UI" w:eastAsiaTheme="minorEastAsia" w:hAnsi="Segoe UI" w:cs="Segoe UI"/>
      <w:sz w:val="18"/>
      <w:szCs w:val="18"/>
      <w:lang w:val="es-AR"/>
    </w:rPr>
  </w:style>
  <w:style w:type="paragraph" w:styleId="Header">
    <w:name w:val="header"/>
    <w:basedOn w:val="Normal"/>
    <w:link w:val="HeaderChar"/>
    <w:uiPriority w:val="99"/>
    <w:unhideWhenUsed/>
    <w:rsid w:val="00AD46A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46AC"/>
    <w:rPr>
      <w:rFonts w:ascii="Cambria" w:eastAsiaTheme="minorEastAsia" w:hAnsi="Cambria"/>
      <w:lang w:val="es-AR"/>
    </w:rPr>
  </w:style>
  <w:style w:type="paragraph" w:styleId="Footer">
    <w:name w:val="footer"/>
    <w:basedOn w:val="Normal"/>
    <w:link w:val="FooterChar"/>
    <w:uiPriority w:val="99"/>
    <w:unhideWhenUsed/>
    <w:rsid w:val="00AD46A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46AC"/>
    <w:rPr>
      <w:rFonts w:ascii="Cambria" w:eastAsiaTheme="minorEastAsia" w:hAnsi="Cambria"/>
      <w:lang w:val="es-AR"/>
    </w:rPr>
  </w:style>
  <w:style w:type="paragraph" w:styleId="NoSpacing">
    <w:name w:val="No Spacing"/>
    <w:uiPriority w:val="1"/>
    <w:qFormat/>
    <w:rsid w:val="009B5FA2"/>
    <w:pPr>
      <w:spacing w:after="0" w:line="240" w:lineRule="auto"/>
      <w:ind w:left="567"/>
      <w:jc w:val="both"/>
    </w:pPr>
    <w:rPr>
      <w:rFonts w:ascii="Cambria" w:eastAsiaTheme="minorEastAsia" w:hAnsi="Cambria"/>
      <w:lang w:val="es-AR"/>
    </w:rPr>
  </w:style>
  <w:style w:type="character" w:customStyle="1" w:styleId="Heading2Char">
    <w:name w:val="Heading 2 Char"/>
    <w:basedOn w:val="DefaultParagraphFont"/>
    <w:link w:val="Heading2"/>
    <w:uiPriority w:val="9"/>
    <w:semiHidden/>
    <w:rsid w:val="0009407D"/>
    <w:rPr>
      <w:rFonts w:asciiTheme="majorHAnsi" w:eastAsiaTheme="majorEastAsia" w:hAnsiTheme="majorHAnsi" w:cstheme="majorBidi"/>
      <w:color w:val="2E74B5" w:themeColor="accent1" w:themeShade="BF"/>
      <w:sz w:val="26"/>
      <w:szCs w:val="26"/>
      <w:lang w:val="es-AR"/>
    </w:rPr>
  </w:style>
  <w:style w:type="paragraph" w:customStyle="1" w:styleId="Default">
    <w:name w:val="Default"/>
    <w:rsid w:val="00AA5BEE"/>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qFormat/>
    <w:rsid w:val="00C53DC3"/>
    <w:pPr>
      <w:spacing w:before="0" w:after="100" w:line="276" w:lineRule="auto"/>
      <w:ind w:left="0"/>
      <w:jc w:val="left"/>
    </w:pPr>
    <w:rPr>
      <w:rFonts w:asciiTheme="minorHAnsi" w:hAnsiTheme="minorHAnsi"/>
      <w:lang w:val="en-US"/>
    </w:rPr>
  </w:style>
  <w:style w:type="paragraph" w:styleId="TOC4">
    <w:name w:val="toc 4"/>
    <w:basedOn w:val="Normal"/>
    <w:next w:val="Normal"/>
    <w:autoRedefine/>
    <w:uiPriority w:val="39"/>
    <w:unhideWhenUsed/>
    <w:rsid w:val="00C53DC3"/>
    <w:pPr>
      <w:spacing w:before="0" w:after="100" w:line="276" w:lineRule="auto"/>
      <w:ind w:left="660"/>
      <w:jc w:val="left"/>
    </w:pPr>
    <w:rPr>
      <w:rFonts w:asciiTheme="minorHAnsi" w:hAnsiTheme="minorHAnsi"/>
      <w:lang w:val="en-US"/>
    </w:rPr>
  </w:style>
  <w:style w:type="paragraph" w:styleId="TOC5">
    <w:name w:val="toc 5"/>
    <w:basedOn w:val="Normal"/>
    <w:next w:val="Normal"/>
    <w:autoRedefine/>
    <w:uiPriority w:val="39"/>
    <w:unhideWhenUsed/>
    <w:rsid w:val="00C53DC3"/>
    <w:pPr>
      <w:spacing w:before="0" w:after="100" w:line="276" w:lineRule="auto"/>
      <w:ind w:left="880"/>
      <w:jc w:val="left"/>
    </w:pPr>
    <w:rPr>
      <w:rFonts w:asciiTheme="minorHAnsi" w:hAnsiTheme="minorHAnsi"/>
      <w:lang w:val="en-US"/>
    </w:rPr>
  </w:style>
  <w:style w:type="paragraph" w:styleId="TOC6">
    <w:name w:val="toc 6"/>
    <w:basedOn w:val="Normal"/>
    <w:next w:val="Normal"/>
    <w:autoRedefine/>
    <w:uiPriority w:val="39"/>
    <w:unhideWhenUsed/>
    <w:rsid w:val="00C53DC3"/>
    <w:pPr>
      <w:spacing w:before="0" w:after="100" w:line="276" w:lineRule="auto"/>
      <w:ind w:left="1100"/>
      <w:jc w:val="left"/>
    </w:pPr>
    <w:rPr>
      <w:rFonts w:asciiTheme="minorHAnsi" w:hAnsiTheme="minorHAnsi"/>
      <w:lang w:val="en-US"/>
    </w:rPr>
  </w:style>
  <w:style w:type="paragraph" w:styleId="TOC7">
    <w:name w:val="toc 7"/>
    <w:basedOn w:val="Normal"/>
    <w:next w:val="Normal"/>
    <w:autoRedefine/>
    <w:uiPriority w:val="39"/>
    <w:unhideWhenUsed/>
    <w:rsid w:val="00C53DC3"/>
    <w:pPr>
      <w:spacing w:before="0" w:after="100" w:line="276" w:lineRule="auto"/>
      <w:ind w:left="1320"/>
      <w:jc w:val="left"/>
    </w:pPr>
    <w:rPr>
      <w:rFonts w:asciiTheme="minorHAnsi" w:hAnsiTheme="minorHAnsi"/>
      <w:lang w:val="en-US"/>
    </w:rPr>
  </w:style>
  <w:style w:type="paragraph" w:styleId="TOC8">
    <w:name w:val="toc 8"/>
    <w:basedOn w:val="Normal"/>
    <w:next w:val="Normal"/>
    <w:autoRedefine/>
    <w:uiPriority w:val="39"/>
    <w:unhideWhenUsed/>
    <w:rsid w:val="00C53DC3"/>
    <w:pPr>
      <w:spacing w:before="0" w:after="100" w:line="276" w:lineRule="auto"/>
      <w:ind w:left="1540"/>
      <w:jc w:val="left"/>
    </w:pPr>
    <w:rPr>
      <w:rFonts w:asciiTheme="minorHAnsi" w:hAnsiTheme="minorHAnsi"/>
      <w:lang w:val="en-US"/>
    </w:rPr>
  </w:style>
  <w:style w:type="paragraph" w:styleId="TOC9">
    <w:name w:val="toc 9"/>
    <w:basedOn w:val="Normal"/>
    <w:next w:val="Normal"/>
    <w:autoRedefine/>
    <w:uiPriority w:val="39"/>
    <w:unhideWhenUsed/>
    <w:rsid w:val="00C53DC3"/>
    <w:pPr>
      <w:spacing w:before="0" w:after="100" w:line="276" w:lineRule="auto"/>
      <w:ind w:left="1760"/>
      <w:jc w:val="left"/>
    </w:pPr>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02238">
      <w:bodyDiv w:val="1"/>
      <w:marLeft w:val="0"/>
      <w:marRight w:val="0"/>
      <w:marTop w:val="0"/>
      <w:marBottom w:val="0"/>
      <w:divBdr>
        <w:top w:val="none" w:sz="0" w:space="0" w:color="auto"/>
        <w:left w:val="none" w:sz="0" w:space="0" w:color="auto"/>
        <w:bottom w:val="none" w:sz="0" w:space="0" w:color="auto"/>
        <w:right w:val="none" w:sz="0" w:space="0" w:color="auto"/>
      </w:divBdr>
    </w:div>
    <w:div w:id="383286997">
      <w:bodyDiv w:val="1"/>
      <w:marLeft w:val="0"/>
      <w:marRight w:val="0"/>
      <w:marTop w:val="0"/>
      <w:marBottom w:val="0"/>
      <w:divBdr>
        <w:top w:val="none" w:sz="0" w:space="0" w:color="auto"/>
        <w:left w:val="none" w:sz="0" w:space="0" w:color="auto"/>
        <w:bottom w:val="none" w:sz="0" w:space="0" w:color="auto"/>
        <w:right w:val="none" w:sz="0" w:space="0" w:color="auto"/>
      </w:divBdr>
    </w:div>
    <w:div w:id="579220411">
      <w:bodyDiv w:val="1"/>
      <w:marLeft w:val="0"/>
      <w:marRight w:val="0"/>
      <w:marTop w:val="0"/>
      <w:marBottom w:val="0"/>
      <w:divBdr>
        <w:top w:val="none" w:sz="0" w:space="0" w:color="auto"/>
        <w:left w:val="none" w:sz="0" w:space="0" w:color="auto"/>
        <w:bottom w:val="none" w:sz="0" w:space="0" w:color="auto"/>
        <w:right w:val="none" w:sz="0" w:space="0" w:color="auto"/>
      </w:divBdr>
    </w:div>
    <w:div w:id="685526218">
      <w:bodyDiv w:val="1"/>
      <w:marLeft w:val="0"/>
      <w:marRight w:val="0"/>
      <w:marTop w:val="0"/>
      <w:marBottom w:val="0"/>
      <w:divBdr>
        <w:top w:val="none" w:sz="0" w:space="0" w:color="auto"/>
        <w:left w:val="none" w:sz="0" w:space="0" w:color="auto"/>
        <w:bottom w:val="none" w:sz="0" w:space="0" w:color="auto"/>
        <w:right w:val="none" w:sz="0" w:space="0" w:color="auto"/>
      </w:divBdr>
    </w:div>
    <w:div w:id="759719520">
      <w:bodyDiv w:val="1"/>
      <w:marLeft w:val="0"/>
      <w:marRight w:val="0"/>
      <w:marTop w:val="0"/>
      <w:marBottom w:val="0"/>
      <w:divBdr>
        <w:top w:val="none" w:sz="0" w:space="0" w:color="auto"/>
        <w:left w:val="none" w:sz="0" w:space="0" w:color="auto"/>
        <w:bottom w:val="none" w:sz="0" w:space="0" w:color="auto"/>
        <w:right w:val="none" w:sz="0" w:space="0" w:color="auto"/>
      </w:divBdr>
    </w:div>
    <w:div w:id="789789539">
      <w:bodyDiv w:val="1"/>
      <w:marLeft w:val="0"/>
      <w:marRight w:val="0"/>
      <w:marTop w:val="0"/>
      <w:marBottom w:val="0"/>
      <w:divBdr>
        <w:top w:val="none" w:sz="0" w:space="0" w:color="auto"/>
        <w:left w:val="none" w:sz="0" w:space="0" w:color="auto"/>
        <w:bottom w:val="none" w:sz="0" w:space="0" w:color="auto"/>
        <w:right w:val="none" w:sz="0" w:space="0" w:color="auto"/>
      </w:divBdr>
    </w:div>
    <w:div w:id="883371215">
      <w:bodyDiv w:val="1"/>
      <w:marLeft w:val="0"/>
      <w:marRight w:val="0"/>
      <w:marTop w:val="0"/>
      <w:marBottom w:val="0"/>
      <w:divBdr>
        <w:top w:val="none" w:sz="0" w:space="0" w:color="auto"/>
        <w:left w:val="none" w:sz="0" w:space="0" w:color="auto"/>
        <w:bottom w:val="none" w:sz="0" w:space="0" w:color="auto"/>
        <w:right w:val="none" w:sz="0" w:space="0" w:color="auto"/>
      </w:divBdr>
    </w:div>
    <w:div w:id="921335289">
      <w:bodyDiv w:val="1"/>
      <w:marLeft w:val="0"/>
      <w:marRight w:val="0"/>
      <w:marTop w:val="0"/>
      <w:marBottom w:val="0"/>
      <w:divBdr>
        <w:top w:val="none" w:sz="0" w:space="0" w:color="auto"/>
        <w:left w:val="none" w:sz="0" w:space="0" w:color="auto"/>
        <w:bottom w:val="none" w:sz="0" w:space="0" w:color="auto"/>
        <w:right w:val="none" w:sz="0" w:space="0" w:color="auto"/>
      </w:divBdr>
    </w:div>
    <w:div w:id="97572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6.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emf"/><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glossaryDocument" Target="glossary/document.xml"/><Relationship Id="rId10" Type="http://schemas.openxmlformats.org/officeDocument/2006/relationships/diagramLayout" Target="diagrams/layout1.xml"/><Relationship Id="rId19" Type="http://schemas.openxmlformats.org/officeDocument/2006/relationships/image" Target="media/image6.jpg"/><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g"/><Relationship Id="rId22" Type="http://schemas.openxmlformats.org/officeDocument/2006/relationships/image" Target="media/image9.emf"/><Relationship Id="rId27" Type="http://schemas.openxmlformats.org/officeDocument/2006/relationships/fontTable" Target="fontTable.xml"/><Relationship Id="rId30" Type="http://schemas.openxmlformats.org/officeDocument/2006/relationships/customXml" Target="../customXml/item2.xml"/><Relationship Id="rId35" Type="http://schemas.openxmlformats.org/officeDocument/2006/relationships/customXml" Target="../customXml/item7.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7C87FF-6F1C-496E-9DDF-9EBBE80B5EB2}" type="doc">
      <dgm:prSet loTypeId="urn:microsoft.com/office/officeart/2005/8/layout/hierarchy6" loCatId="hierarchy" qsTypeId="urn:microsoft.com/office/officeart/2005/8/quickstyle/simple1" qsCatId="simple" csTypeId="urn:microsoft.com/office/officeart/2005/8/colors/colorful4" csCatId="colorful" phldr="1"/>
      <dgm:spPr/>
      <dgm:t>
        <a:bodyPr/>
        <a:lstStyle/>
        <a:p>
          <a:endParaRPr lang="es-EC"/>
        </a:p>
      </dgm:t>
    </dgm:pt>
    <dgm:pt modelId="{6536BCA3-8CDA-4834-A212-9B5AB8A242BF}">
      <dgm:prSet phldrT="[Texto]" custT="1"/>
      <dgm:spPr/>
      <dgm:t>
        <a:bodyPr/>
        <a:lstStyle/>
        <a:p>
          <a:r>
            <a:rPr lang="es-EC" sz="1200" dirty="0" smtClean="0"/>
            <a:t>MAE</a:t>
          </a:r>
        </a:p>
        <a:p>
          <a:r>
            <a:rPr lang="es-EC" sz="1200" dirty="0" smtClean="0"/>
            <a:t>Autoridad Ambiental</a:t>
          </a:r>
          <a:endParaRPr lang="es-EC" sz="1200" dirty="0"/>
        </a:p>
      </dgm:t>
    </dgm:pt>
    <dgm:pt modelId="{A0A7E2A5-BB64-419F-90CF-2CD495B928E0}" type="parTrans" cxnId="{8E0BB52B-E131-4095-82DF-44676649877D}">
      <dgm:prSet/>
      <dgm:spPr/>
      <dgm:t>
        <a:bodyPr/>
        <a:lstStyle/>
        <a:p>
          <a:endParaRPr lang="es-EC"/>
        </a:p>
      </dgm:t>
    </dgm:pt>
    <dgm:pt modelId="{A2D68CA8-EC0D-4123-AD56-0B3559DB804F}" type="sibTrans" cxnId="{8E0BB52B-E131-4095-82DF-44676649877D}">
      <dgm:prSet/>
      <dgm:spPr/>
      <dgm:t>
        <a:bodyPr/>
        <a:lstStyle/>
        <a:p>
          <a:endParaRPr lang="es-EC"/>
        </a:p>
      </dgm:t>
    </dgm:pt>
    <dgm:pt modelId="{54BB2D8E-59B2-4B93-AF6E-DC113172F919}">
      <dgm:prSet phldrT="[Texto]" custT="1"/>
      <dgm:spPr/>
      <dgm:t>
        <a:bodyPr/>
        <a:lstStyle/>
        <a:p>
          <a:r>
            <a:rPr lang="es-EC" sz="1050" dirty="0" smtClean="0"/>
            <a:t>MEER</a:t>
          </a:r>
        </a:p>
        <a:p>
          <a:r>
            <a:rPr lang="es-EC" sz="1050" dirty="0" smtClean="0"/>
            <a:t>Autoridad del Sector Eléctrico</a:t>
          </a:r>
        </a:p>
        <a:p>
          <a:r>
            <a:rPr lang="es-EC" sz="1050" dirty="0" smtClean="0"/>
            <a:t>Coordinador de la aplicación de la política ambiental y social del Estado</a:t>
          </a:r>
          <a:endParaRPr lang="es-EC" sz="1050" dirty="0"/>
        </a:p>
      </dgm:t>
    </dgm:pt>
    <dgm:pt modelId="{48724723-6F6A-4032-B03A-AA057D79ADB1}" type="parTrans" cxnId="{111BD78B-1324-43C7-B6B0-151CA8C30615}">
      <dgm:prSet/>
      <dgm:spPr/>
      <dgm:t>
        <a:bodyPr/>
        <a:lstStyle/>
        <a:p>
          <a:endParaRPr lang="es-EC"/>
        </a:p>
      </dgm:t>
    </dgm:pt>
    <dgm:pt modelId="{96E4212D-A392-4567-944A-6BAB9CD201DF}" type="sibTrans" cxnId="{111BD78B-1324-43C7-B6B0-151CA8C30615}">
      <dgm:prSet/>
      <dgm:spPr/>
      <dgm:t>
        <a:bodyPr/>
        <a:lstStyle/>
        <a:p>
          <a:endParaRPr lang="es-EC"/>
        </a:p>
      </dgm:t>
    </dgm:pt>
    <dgm:pt modelId="{7EC8C43C-AA93-4335-AABD-37062F9F9A0B}">
      <dgm:prSet phldrT="[Texto]" custT="1"/>
      <dgm:spPr/>
      <dgm:t>
        <a:bodyPr/>
        <a:lstStyle/>
        <a:p>
          <a:r>
            <a:rPr lang="es-EC" sz="1000" dirty="0" smtClean="0"/>
            <a:t>CNEL EP</a:t>
          </a:r>
        </a:p>
        <a:p>
          <a:r>
            <a:rPr lang="es-EC" sz="1000" dirty="0" smtClean="0"/>
            <a:t>Coordinador de la gestión ambiental y social empresarial</a:t>
          </a:r>
        </a:p>
      </dgm:t>
    </dgm:pt>
    <dgm:pt modelId="{AD5F0675-17AD-4FF7-904A-EF76D6273B91}" type="parTrans" cxnId="{D24E1E71-B405-483F-9474-C0CD246041A8}">
      <dgm:prSet/>
      <dgm:spPr/>
      <dgm:t>
        <a:bodyPr/>
        <a:lstStyle/>
        <a:p>
          <a:endParaRPr lang="es-EC"/>
        </a:p>
      </dgm:t>
    </dgm:pt>
    <dgm:pt modelId="{6D361F4C-4776-4466-98AF-D30255C31110}" type="sibTrans" cxnId="{D24E1E71-B405-483F-9474-C0CD246041A8}">
      <dgm:prSet/>
      <dgm:spPr/>
      <dgm:t>
        <a:bodyPr/>
        <a:lstStyle/>
        <a:p>
          <a:endParaRPr lang="es-EC"/>
        </a:p>
      </dgm:t>
    </dgm:pt>
    <dgm:pt modelId="{DDF38B43-723D-4099-95A2-4201DA050006}">
      <dgm:prSet phldrT="[Texto]" custT="1"/>
      <dgm:spPr/>
      <dgm:t>
        <a:bodyPr/>
        <a:lstStyle/>
        <a:p>
          <a:r>
            <a:rPr lang="es-EC" sz="1600" dirty="0" smtClean="0"/>
            <a:t>Nivel Rector</a:t>
          </a:r>
          <a:endParaRPr lang="es-EC" sz="1600" dirty="0"/>
        </a:p>
      </dgm:t>
    </dgm:pt>
    <dgm:pt modelId="{1D3C4224-EFB2-43B4-8FE9-5870F2638A46}" type="parTrans" cxnId="{1C3FC898-4148-4CAB-8DF3-AC363D9627A2}">
      <dgm:prSet/>
      <dgm:spPr/>
      <dgm:t>
        <a:bodyPr/>
        <a:lstStyle/>
        <a:p>
          <a:endParaRPr lang="es-EC"/>
        </a:p>
      </dgm:t>
    </dgm:pt>
    <dgm:pt modelId="{0A412A8A-D5DD-4D82-9A8A-75C574CF175F}" type="sibTrans" cxnId="{1C3FC898-4148-4CAB-8DF3-AC363D9627A2}">
      <dgm:prSet/>
      <dgm:spPr/>
      <dgm:t>
        <a:bodyPr/>
        <a:lstStyle/>
        <a:p>
          <a:endParaRPr lang="es-EC"/>
        </a:p>
      </dgm:t>
    </dgm:pt>
    <dgm:pt modelId="{C2ED8FB0-C908-412B-8616-7E520BB3A3CE}">
      <dgm:prSet phldrT="[Texto]" custT="1"/>
      <dgm:spPr/>
      <dgm:t>
        <a:bodyPr/>
        <a:lstStyle/>
        <a:p>
          <a:r>
            <a:rPr lang="es-EC" sz="1600" dirty="0" smtClean="0"/>
            <a:t>Nivel Coordinador</a:t>
          </a:r>
          <a:endParaRPr lang="es-EC" sz="1600" dirty="0"/>
        </a:p>
      </dgm:t>
    </dgm:pt>
    <dgm:pt modelId="{6A3E6ADA-F4A4-493E-953D-F7AD3AE95B73}" type="parTrans" cxnId="{FE184C37-A2DB-4658-863A-6504144E3CD5}">
      <dgm:prSet/>
      <dgm:spPr/>
      <dgm:t>
        <a:bodyPr/>
        <a:lstStyle/>
        <a:p>
          <a:endParaRPr lang="es-EC"/>
        </a:p>
      </dgm:t>
    </dgm:pt>
    <dgm:pt modelId="{81C87272-7EFB-49AE-9A35-125812DFA3A7}" type="sibTrans" cxnId="{FE184C37-A2DB-4658-863A-6504144E3CD5}">
      <dgm:prSet/>
      <dgm:spPr/>
      <dgm:t>
        <a:bodyPr/>
        <a:lstStyle/>
        <a:p>
          <a:endParaRPr lang="es-EC"/>
        </a:p>
      </dgm:t>
    </dgm:pt>
    <dgm:pt modelId="{DA89BAB9-8156-4AD2-A789-409247E9B610}">
      <dgm:prSet phldrT="[Texto]" custT="1"/>
      <dgm:spPr/>
      <dgm:t>
        <a:bodyPr/>
        <a:lstStyle/>
        <a:p>
          <a:r>
            <a:rPr lang="es-EC" sz="1600" dirty="0" smtClean="0"/>
            <a:t>Nivel Operativo</a:t>
          </a:r>
          <a:endParaRPr lang="es-EC" sz="1600" dirty="0"/>
        </a:p>
      </dgm:t>
    </dgm:pt>
    <dgm:pt modelId="{635CE0FB-9133-4419-90D9-C9DE9424F232}" type="parTrans" cxnId="{7E0E1CA8-DD2F-4DB4-9468-1714FFE78017}">
      <dgm:prSet/>
      <dgm:spPr/>
      <dgm:t>
        <a:bodyPr/>
        <a:lstStyle/>
        <a:p>
          <a:endParaRPr lang="es-EC"/>
        </a:p>
      </dgm:t>
    </dgm:pt>
    <dgm:pt modelId="{00EA1D58-4628-4D40-B436-1C93CC645F93}" type="sibTrans" cxnId="{7E0E1CA8-DD2F-4DB4-9468-1714FFE78017}">
      <dgm:prSet/>
      <dgm:spPr/>
      <dgm:t>
        <a:bodyPr/>
        <a:lstStyle/>
        <a:p>
          <a:endParaRPr lang="es-EC"/>
        </a:p>
      </dgm:t>
    </dgm:pt>
    <dgm:pt modelId="{A517BA6A-4EDC-4A30-B81C-B6098DB38139}">
      <dgm:prSet phldrT="[Texto]" custT="1"/>
      <dgm:spPr/>
      <dgm:t>
        <a:bodyPr/>
        <a:lstStyle/>
        <a:p>
          <a:r>
            <a:rPr lang="es-EC" sz="1600" dirty="0" smtClean="0"/>
            <a:t>Nivel Ejecutor</a:t>
          </a:r>
          <a:endParaRPr lang="es-EC" sz="1600" dirty="0"/>
        </a:p>
      </dgm:t>
    </dgm:pt>
    <dgm:pt modelId="{3E0C3C21-0B4A-4FD5-8663-10B677C8EB56}" type="parTrans" cxnId="{2D5A8BFA-A216-4BF0-B7BC-4290AE52FD54}">
      <dgm:prSet/>
      <dgm:spPr/>
      <dgm:t>
        <a:bodyPr/>
        <a:lstStyle/>
        <a:p>
          <a:endParaRPr lang="es-EC"/>
        </a:p>
      </dgm:t>
    </dgm:pt>
    <dgm:pt modelId="{459B90AE-6BF8-4CFD-AD67-8A93A22E4E40}" type="sibTrans" cxnId="{2D5A8BFA-A216-4BF0-B7BC-4290AE52FD54}">
      <dgm:prSet/>
      <dgm:spPr/>
      <dgm:t>
        <a:bodyPr/>
        <a:lstStyle/>
        <a:p>
          <a:endParaRPr lang="es-EC"/>
        </a:p>
      </dgm:t>
    </dgm:pt>
    <dgm:pt modelId="{CA1BAF30-3937-487C-B89F-D4933343DD64}">
      <dgm:prSet/>
      <dgm:spPr/>
      <dgm:t>
        <a:bodyPr/>
        <a:lstStyle/>
        <a:p>
          <a:r>
            <a:rPr lang="es-EC" dirty="0" smtClean="0"/>
            <a:t>UNIDADES DE NEGOCIO Y </a:t>
          </a:r>
        </a:p>
        <a:p>
          <a:r>
            <a:rPr lang="es-EC" dirty="0" smtClean="0"/>
            <a:t>EMPRESAS ELÉCTRICAS</a:t>
          </a:r>
        </a:p>
        <a:p>
          <a:r>
            <a:rPr lang="es-EC" dirty="0" smtClean="0"/>
            <a:t>Responsables de Licenciamiento Ambiental y cumplimiento ambiental de sus proyectos</a:t>
          </a:r>
          <a:endParaRPr lang="es-EC" dirty="0"/>
        </a:p>
      </dgm:t>
    </dgm:pt>
    <dgm:pt modelId="{64EDC116-860A-4896-B5E4-BF83C7E22C5D}" type="parTrans" cxnId="{A3FC7477-FE4E-4059-B06A-678D3909E44D}">
      <dgm:prSet/>
      <dgm:spPr/>
      <dgm:t>
        <a:bodyPr/>
        <a:lstStyle/>
        <a:p>
          <a:endParaRPr lang="es-EC"/>
        </a:p>
      </dgm:t>
    </dgm:pt>
    <dgm:pt modelId="{49648BA2-89A1-414A-9601-3A7F243C78D8}" type="sibTrans" cxnId="{A3FC7477-FE4E-4059-B06A-678D3909E44D}">
      <dgm:prSet/>
      <dgm:spPr/>
      <dgm:t>
        <a:bodyPr/>
        <a:lstStyle/>
        <a:p>
          <a:endParaRPr lang="es-EC"/>
        </a:p>
      </dgm:t>
    </dgm:pt>
    <dgm:pt modelId="{30A89E9C-3884-4204-8393-4D6006AB9AE5}" type="pres">
      <dgm:prSet presAssocID="{2E7C87FF-6F1C-496E-9DDF-9EBBE80B5EB2}" presName="mainComposite" presStyleCnt="0">
        <dgm:presLayoutVars>
          <dgm:chPref val="1"/>
          <dgm:dir/>
          <dgm:animOne val="branch"/>
          <dgm:animLvl val="lvl"/>
          <dgm:resizeHandles val="exact"/>
        </dgm:presLayoutVars>
      </dgm:prSet>
      <dgm:spPr/>
      <dgm:t>
        <a:bodyPr/>
        <a:lstStyle/>
        <a:p>
          <a:endParaRPr lang="es-EC"/>
        </a:p>
      </dgm:t>
    </dgm:pt>
    <dgm:pt modelId="{4A7AA01E-37BF-4A7F-9853-94375D1378E6}" type="pres">
      <dgm:prSet presAssocID="{2E7C87FF-6F1C-496E-9DDF-9EBBE80B5EB2}" presName="hierFlow" presStyleCnt="0"/>
      <dgm:spPr/>
    </dgm:pt>
    <dgm:pt modelId="{13E7213C-0B7F-4062-A51F-B4CF4DFF7F41}" type="pres">
      <dgm:prSet presAssocID="{2E7C87FF-6F1C-496E-9DDF-9EBBE80B5EB2}" presName="firstBuf" presStyleCnt="0"/>
      <dgm:spPr/>
    </dgm:pt>
    <dgm:pt modelId="{2B85C191-BA5E-4C2D-9003-7D4380694296}" type="pres">
      <dgm:prSet presAssocID="{2E7C87FF-6F1C-496E-9DDF-9EBBE80B5EB2}" presName="hierChild1" presStyleCnt="0">
        <dgm:presLayoutVars>
          <dgm:chPref val="1"/>
          <dgm:animOne val="branch"/>
          <dgm:animLvl val="lvl"/>
        </dgm:presLayoutVars>
      </dgm:prSet>
      <dgm:spPr/>
    </dgm:pt>
    <dgm:pt modelId="{E7D4C8FC-AD43-4D23-993C-03FDF68AFEED}" type="pres">
      <dgm:prSet presAssocID="{6536BCA3-8CDA-4834-A212-9B5AB8A242BF}" presName="Name14" presStyleCnt="0"/>
      <dgm:spPr/>
    </dgm:pt>
    <dgm:pt modelId="{DFC8A9A3-B4A9-4989-B590-D4E8F298FAA3}" type="pres">
      <dgm:prSet presAssocID="{6536BCA3-8CDA-4834-A212-9B5AB8A242BF}" presName="level1Shape" presStyleLbl="node0" presStyleIdx="0" presStyleCnt="1" custScaleX="256359" custScaleY="72724">
        <dgm:presLayoutVars>
          <dgm:chPref val="3"/>
        </dgm:presLayoutVars>
      </dgm:prSet>
      <dgm:spPr/>
      <dgm:t>
        <a:bodyPr/>
        <a:lstStyle/>
        <a:p>
          <a:endParaRPr lang="es-EC"/>
        </a:p>
      </dgm:t>
    </dgm:pt>
    <dgm:pt modelId="{0DB99E0F-41B0-4213-B384-A43EB2548890}" type="pres">
      <dgm:prSet presAssocID="{6536BCA3-8CDA-4834-A212-9B5AB8A242BF}" presName="hierChild2" presStyleCnt="0"/>
      <dgm:spPr/>
    </dgm:pt>
    <dgm:pt modelId="{7988FA32-EFFB-4F7A-B751-2CF378713490}" type="pres">
      <dgm:prSet presAssocID="{48724723-6F6A-4032-B03A-AA057D79ADB1}" presName="Name19" presStyleLbl="parChTrans1D2" presStyleIdx="0" presStyleCnt="1"/>
      <dgm:spPr/>
      <dgm:t>
        <a:bodyPr/>
        <a:lstStyle/>
        <a:p>
          <a:endParaRPr lang="es-EC"/>
        </a:p>
      </dgm:t>
    </dgm:pt>
    <dgm:pt modelId="{1226C013-2573-4D35-A8CD-112266140B2C}" type="pres">
      <dgm:prSet presAssocID="{54BB2D8E-59B2-4B93-AF6E-DC113172F919}" presName="Name21" presStyleCnt="0"/>
      <dgm:spPr/>
    </dgm:pt>
    <dgm:pt modelId="{06648CAC-852F-473E-8CC3-3EA9FBC0BF6D}" type="pres">
      <dgm:prSet presAssocID="{54BB2D8E-59B2-4B93-AF6E-DC113172F919}" presName="level2Shape" presStyleLbl="node2" presStyleIdx="0" presStyleCnt="1" custScaleX="259913" custScaleY="102000" custLinFactNeighborX="77" custLinFactNeighborY="2271"/>
      <dgm:spPr/>
      <dgm:t>
        <a:bodyPr/>
        <a:lstStyle/>
        <a:p>
          <a:endParaRPr lang="es-EC"/>
        </a:p>
      </dgm:t>
    </dgm:pt>
    <dgm:pt modelId="{24227925-C38D-4C0D-8E1D-23F37C4B7CD1}" type="pres">
      <dgm:prSet presAssocID="{54BB2D8E-59B2-4B93-AF6E-DC113172F919}" presName="hierChild3" presStyleCnt="0"/>
      <dgm:spPr/>
    </dgm:pt>
    <dgm:pt modelId="{09300807-E728-4738-90E9-E03558247C11}" type="pres">
      <dgm:prSet presAssocID="{AD5F0675-17AD-4FF7-904A-EF76D6273B91}" presName="Name19" presStyleLbl="parChTrans1D3" presStyleIdx="0" presStyleCnt="1"/>
      <dgm:spPr/>
      <dgm:t>
        <a:bodyPr/>
        <a:lstStyle/>
        <a:p>
          <a:endParaRPr lang="es-EC"/>
        </a:p>
      </dgm:t>
    </dgm:pt>
    <dgm:pt modelId="{434C9064-EECA-49C1-B11E-E815C1EBE141}" type="pres">
      <dgm:prSet presAssocID="{7EC8C43C-AA93-4335-AABD-37062F9F9A0B}" presName="Name21" presStyleCnt="0"/>
      <dgm:spPr/>
    </dgm:pt>
    <dgm:pt modelId="{135F2329-1F5E-4C2F-91C9-D21636BEA7D4}" type="pres">
      <dgm:prSet presAssocID="{7EC8C43C-AA93-4335-AABD-37062F9F9A0B}" presName="level2Shape" presStyleLbl="node3" presStyleIdx="0" presStyleCnt="1" custScaleX="260834" custScaleY="97058" custLinFactNeighborX="92" custLinFactNeighborY="5869"/>
      <dgm:spPr/>
      <dgm:t>
        <a:bodyPr/>
        <a:lstStyle/>
        <a:p>
          <a:endParaRPr lang="es-EC"/>
        </a:p>
      </dgm:t>
    </dgm:pt>
    <dgm:pt modelId="{137786EA-4575-4119-BBBA-46071B1D981F}" type="pres">
      <dgm:prSet presAssocID="{7EC8C43C-AA93-4335-AABD-37062F9F9A0B}" presName="hierChild3" presStyleCnt="0"/>
      <dgm:spPr/>
    </dgm:pt>
    <dgm:pt modelId="{BFDF8195-47A9-4EC8-AED5-8FFE129AA2A5}" type="pres">
      <dgm:prSet presAssocID="{64EDC116-860A-4896-B5E4-BF83C7E22C5D}" presName="Name19" presStyleLbl="parChTrans1D4" presStyleIdx="0" presStyleCnt="1"/>
      <dgm:spPr/>
      <dgm:t>
        <a:bodyPr/>
        <a:lstStyle/>
        <a:p>
          <a:endParaRPr lang="es-EC"/>
        </a:p>
      </dgm:t>
    </dgm:pt>
    <dgm:pt modelId="{10DA349C-5393-45A5-AC6D-2FCC9A7A0811}" type="pres">
      <dgm:prSet presAssocID="{CA1BAF30-3937-487C-B89F-D4933343DD64}" presName="Name21" presStyleCnt="0"/>
      <dgm:spPr/>
    </dgm:pt>
    <dgm:pt modelId="{6C61FB08-68B4-4AA2-9948-506DDF2C446B}" type="pres">
      <dgm:prSet presAssocID="{CA1BAF30-3937-487C-B89F-D4933343DD64}" presName="level2Shape" presStyleLbl="node4" presStyleIdx="0" presStyleCnt="1" custScaleX="181325" custScaleY="109281" custLinFactNeighborY="10390"/>
      <dgm:spPr/>
      <dgm:t>
        <a:bodyPr/>
        <a:lstStyle/>
        <a:p>
          <a:endParaRPr lang="es-EC"/>
        </a:p>
      </dgm:t>
    </dgm:pt>
    <dgm:pt modelId="{31A36D8E-0C9D-43AA-85CC-5620B5B9DBDC}" type="pres">
      <dgm:prSet presAssocID="{CA1BAF30-3937-487C-B89F-D4933343DD64}" presName="hierChild3" presStyleCnt="0"/>
      <dgm:spPr/>
    </dgm:pt>
    <dgm:pt modelId="{E2ECDCBB-1324-4D71-8934-FF83E20405B7}" type="pres">
      <dgm:prSet presAssocID="{2E7C87FF-6F1C-496E-9DDF-9EBBE80B5EB2}" presName="bgShapesFlow" presStyleCnt="0"/>
      <dgm:spPr/>
    </dgm:pt>
    <dgm:pt modelId="{FC3D3003-7142-4565-BAB3-4BB5C9476F75}" type="pres">
      <dgm:prSet presAssocID="{DDF38B43-723D-4099-95A2-4201DA050006}" presName="rectComp" presStyleCnt="0"/>
      <dgm:spPr/>
    </dgm:pt>
    <dgm:pt modelId="{CBF89D74-B235-430A-9C44-237E85E60522}" type="pres">
      <dgm:prSet presAssocID="{DDF38B43-723D-4099-95A2-4201DA050006}" presName="bgRect" presStyleLbl="bgShp" presStyleIdx="0" presStyleCnt="4"/>
      <dgm:spPr/>
      <dgm:t>
        <a:bodyPr/>
        <a:lstStyle/>
        <a:p>
          <a:endParaRPr lang="es-EC"/>
        </a:p>
      </dgm:t>
    </dgm:pt>
    <dgm:pt modelId="{BE88F7B2-87E8-42AB-AE29-1E0C02CB57D3}" type="pres">
      <dgm:prSet presAssocID="{DDF38B43-723D-4099-95A2-4201DA050006}" presName="bgRectTx" presStyleLbl="bgShp" presStyleIdx="0" presStyleCnt="4">
        <dgm:presLayoutVars>
          <dgm:bulletEnabled val="1"/>
        </dgm:presLayoutVars>
      </dgm:prSet>
      <dgm:spPr/>
      <dgm:t>
        <a:bodyPr/>
        <a:lstStyle/>
        <a:p>
          <a:endParaRPr lang="es-EC"/>
        </a:p>
      </dgm:t>
    </dgm:pt>
    <dgm:pt modelId="{FC4EEEC1-5870-4587-94D5-8B1F04AEB3CE}" type="pres">
      <dgm:prSet presAssocID="{DDF38B43-723D-4099-95A2-4201DA050006}" presName="spComp" presStyleCnt="0"/>
      <dgm:spPr/>
    </dgm:pt>
    <dgm:pt modelId="{617169BB-6B1A-44B5-8B92-294F86F890E8}" type="pres">
      <dgm:prSet presAssocID="{DDF38B43-723D-4099-95A2-4201DA050006}" presName="vSp" presStyleCnt="0"/>
      <dgm:spPr/>
    </dgm:pt>
    <dgm:pt modelId="{08DE4B6C-218E-43BC-A1EE-A3A01948B97A}" type="pres">
      <dgm:prSet presAssocID="{C2ED8FB0-C908-412B-8616-7E520BB3A3CE}" presName="rectComp" presStyleCnt="0"/>
      <dgm:spPr/>
    </dgm:pt>
    <dgm:pt modelId="{87CF5BD5-E0A6-481D-82F5-AE59934BE283}" type="pres">
      <dgm:prSet presAssocID="{C2ED8FB0-C908-412B-8616-7E520BB3A3CE}" presName="bgRect" presStyleLbl="bgShp" presStyleIdx="1" presStyleCnt="4"/>
      <dgm:spPr/>
      <dgm:t>
        <a:bodyPr/>
        <a:lstStyle/>
        <a:p>
          <a:endParaRPr lang="es-EC"/>
        </a:p>
      </dgm:t>
    </dgm:pt>
    <dgm:pt modelId="{61E3DB4F-3E76-4D00-B7DB-6352A2557D1E}" type="pres">
      <dgm:prSet presAssocID="{C2ED8FB0-C908-412B-8616-7E520BB3A3CE}" presName="bgRectTx" presStyleLbl="bgShp" presStyleIdx="1" presStyleCnt="4">
        <dgm:presLayoutVars>
          <dgm:bulletEnabled val="1"/>
        </dgm:presLayoutVars>
      </dgm:prSet>
      <dgm:spPr/>
      <dgm:t>
        <a:bodyPr/>
        <a:lstStyle/>
        <a:p>
          <a:endParaRPr lang="es-EC"/>
        </a:p>
      </dgm:t>
    </dgm:pt>
    <dgm:pt modelId="{EAC6EF71-5389-4193-883C-93A65BB206B0}" type="pres">
      <dgm:prSet presAssocID="{C2ED8FB0-C908-412B-8616-7E520BB3A3CE}" presName="spComp" presStyleCnt="0"/>
      <dgm:spPr/>
    </dgm:pt>
    <dgm:pt modelId="{1B6E9FF8-256C-42AC-A6F4-12F40B988479}" type="pres">
      <dgm:prSet presAssocID="{C2ED8FB0-C908-412B-8616-7E520BB3A3CE}" presName="vSp" presStyleCnt="0"/>
      <dgm:spPr/>
    </dgm:pt>
    <dgm:pt modelId="{30A9399E-0992-4085-9679-E7844EB1C660}" type="pres">
      <dgm:prSet presAssocID="{DA89BAB9-8156-4AD2-A789-409247E9B610}" presName="rectComp" presStyleCnt="0"/>
      <dgm:spPr/>
    </dgm:pt>
    <dgm:pt modelId="{1FF2A367-AFB8-4184-BA0E-7D8E459A4D2D}" type="pres">
      <dgm:prSet presAssocID="{DA89BAB9-8156-4AD2-A789-409247E9B610}" presName="bgRect" presStyleLbl="bgShp" presStyleIdx="2" presStyleCnt="4"/>
      <dgm:spPr/>
      <dgm:t>
        <a:bodyPr/>
        <a:lstStyle/>
        <a:p>
          <a:endParaRPr lang="es-EC"/>
        </a:p>
      </dgm:t>
    </dgm:pt>
    <dgm:pt modelId="{F2E5326F-9BA9-43AA-8FC1-3EC8F6AA5DB9}" type="pres">
      <dgm:prSet presAssocID="{DA89BAB9-8156-4AD2-A789-409247E9B610}" presName="bgRectTx" presStyleLbl="bgShp" presStyleIdx="2" presStyleCnt="4">
        <dgm:presLayoutVars>
          <dgm:bulletEnabled val="1"/>
        </dgm:presLayoutVars>
      </dgm:prSet>
      <dgm:spPr/>
      <dgm:t>
        <a:bodyPr/>
        <a:lstStyle/>
        <a:p>
          <a:endParaRPr lang="es-EC"/>
        </a:p>
      </dgm:t>
    </dgm:pt>
    <dgm:pt modelId="{EFD7AAC9-7BB5-49B2-82DC-1A234660D0C6}" type="pres">
      <dgm:prSet presAssocID="{DA89BAB9-8156-4AD2-A789-409247E9B610}" presName="spComp" presStyleCnt="0"/>
      <dgm:spPr/>
    </dgm:pt>
    <dgm:pt modelId="{0EB32F00-96A0-4A36-99A7-1BAF64E27A78}" type="pres">
      <dgm:prSet presAssocID="{DA89BAB9-8156-4AD2-A789-409247E9B610}" presName="vSp" presStyleCnt="0"/>
      <dgm:spPr/>
    </dgm:pt>
    <dgm:pt modelId="{4ABDEFB9-19BD-4BD4-A2A3-8228417F78F3}" type="pres">
      <dgm:prSet presAssocID="{A517BA6A-4EDC-4A30-B81C-B6098DB38139}" presName="rectComp" presStyleCnt="0"/>
      <dgm:spPr/>
    </dgm:pt>
    <dgm:pt modelId="{EC3E4A36-E92F-488C-8831-292D40473411}" type="pres">
      <dgm:prSet presAssocID="{A517BA6A-4EDC-4A30-B81C-B6098DB38139}" presName="bgRect" presStyleLbl="bgShp" presStyleIdx="3" presStyleCnt="4"/>
      <dgm:spPr/>
      <dgm:t>
        <a:bodyPr/>
        <a:lstStyle/>
        <a:p>
          <a:endParaRPr lang="es-EC"/>
        </a:p>
      </dgm:t>
    </dgm:pt>
    <dgm:pt modelId="{3F15126B-25CF-4A33-91EA-A7636E8368F1}" type="pres">
      <dgm:prSet presAssocID="{A517BA6A-4EDC-4A30-B81C-B6098DB38139}" presName="bgRectTx" presStyleLbl="bgShp" presStyleIdx="3" presStyleCnt="4">
        <dgm:presLayoutVars>
          <dgm:bulletEnabled val="1"/>
        </dgm:presLayoutVars>
      </dgm:prSet>
      <dgm:spPr/>
      <dgm:t>
        <a:bodyPr/>
        <a:lstStyle/>
        <a:p>
          <a:endParaRPr lang="es-EC"/>
        </a:p>
      </dgm:t>
    </dgm:pt>
  </dgm:ptLst>
  <dgm:cxnLst>
    <dgm:cxn modelId="{C1DEFC1B-A9C2-481F-A82F-1894BC6BEC17}" type="presOf" srcId="{AD5F0675-17AD-4FF7-904A-EF76D6273B91}" destId="{09300807-E728-4738-90E9-E03558247C11}" srcOrd="0" destOrd="0" presId="urn:microsoft.com/office/officeart/2005/8/layout/hierarchy6"/>
    <dgm:cxn modelId="{86D64918-E411-42DF-B108-6831AB0B397D}" type="presOf" srcId="{DA89BAB9-8156-4AD2-A789-409247E9B610}" destId="{F2E5326F-9BA9-43AA-8FC1-3EC8F6AA5DB9}" srcOrd="1" destOrd="0" presId="urn:microsoft.com/office/officeart/2005/8/layout/hierarchy6"/>
    <dgm:cxn modelId="{CDFF742F-214B-4C71-A04C-29F35A95E410}" type="presOf" srcId="{DDF38B43-723D-4099-95A2-4201DA050006}" destId="{BE88F7B2-87E8-42AB-AE29-1E0C02CB57D3}" srcOrd="1" destOrd="0" presId="urn:microsoft.com/office/officeart/2005/8/layout/hierarchy6"/>
    <dgm:cxn modelId="{111BD78B-1324-43C7-B6B0-151CA8C30615}" srcId="{6536BCA3-8CDA-4834-A212-9B5AB8A242BF}" destId="{54BB2D8E-59B2-4B93-AF6E-DC113172F919}" srcOrd="0" destOrd="0" parTransId="{48724723-6F6A-4032-B03A-AA057D79ADB1}" sibTransId="{96E4212D-A392-4567-944A-6BAB9CD201DF}"/>
    <dgm:cxn modelId="{2D5A8BFA-A216-4BF0-B7BC-4290AE52FD54}" srcId="{2E7C87FF-6F1C-496E-9DDF-9EBBE80B5EB2}" destId="{A517BA6A-4EDC-4A30-B81C-B6098DB38139}" srcOrd="4" destOrd="0" parTransId="{3E0C3C21-0B4A-4FD5-8663-10B677C8EB56}" sibTransId="{459B90AE-6BF8-4CFD-AD67-8A93A22E4E40}"/>
    <dgm:cxn modelId="{FE184C37-A2DB-4658-863A-6504144E3CD5}" srcId="{2E7C87FF-6F1C-496E-9DDF-9EBBE80B5EB2}" destId="{C2ED8FB0-C908-412B-8616-7E520BB3A3CE}" srcOrd="2" destOrd="0" parTransId="{6A3E6ADA-F4A4-493E-953D-F7AD3AE95B73}" sibTransId="{81C87272-7EFB-49AE-9A35-125812DFA3A7}"/>
    <dgm:cxn modelId="{E73AB645-78D4-4F6D-821E-6777E1379C04}" type="presOf" srcId="{48724723-6F6A-4032-B03A-AA057D79ADB1}" destId="{7988FA32-EFFB-4F7A-B751-2CF378713490}" srcOrd="0" destOrd="0" presId="urn:microsoft.com/office/officeart/2005/8/layout/hierarchy6"/>
    <dgm:cxn modelId="{F2241992-B32B-42A4-B83A-407276A09741}" type="presOf" srcId="{A517BA6A-4EDC-4A30-B81C-B6098DB38139}" destId="{EC3E4A36-E92F-488C-8831-292D40473411}" srcOrd="0" destOrd="0" presId="urn:microsoft.com/office/officeart/2005/8/layout/hierarchy6"/>
    <dgm:cxn modelId="{D9CB8BA9-831A-48B3-9A49-84E9668CF2CC}" type="presOf" srcId="{DDF38B43-723D-4099-95A2-4201DA050006}" destId="{CBF89D74-B235-430A-9C44-237E85E60522}" srcOrd="0" destOrd="0" presId="urn:microsoft.com/office/officeart/2005/8/layout/hierarchy6"/>
    <dgm:cxn modelId="{016509D0-DE97-4D88-8AB2-41FE0C0760C5}" type="presOf" srcId="{C2ED8FB0-C908-412B-8616-7E520BB3A3CE}" destId="{87CF5BD5-E0A6-481D-82F5-AE59934BE283}" srcOrd="0" destOrd="0" presId="urn:microsoft.com/office/officeart/2005/8/layout/hierarchy6"/>
    <dgm:cxn modelId="{F0A0E470-1D6E-4440-AE3B-B4E517676F49}" type="presOf" srcId="{2E7C87FF-6F1C-496E-9DDF-9EBBE80B5EB2}" destId="{30A89E9C-3884-4204-8393-4D6006AB9AE5}" srcOrd="0" destOrd="0" presId="urn:microsoft.com/office/officeart/2005/8/layout/hierarchy6"/>
    <dgm:cxn modelId="{E301346F-9010-48E8-94F5-1075375FFF02}" type="presOf" srcId="{C2ED8FB0-C908-412B-8616-7E520BB3A3CE}" destId="{61E3DB4F-3E76-4D00-B7DB-6352A2557D1E}" srcOrd="1" destOrd="0" presId="urn:microsoft.com/office/officeart/2005/8/layout/hierarchy6"/>
    <dgm:cxn modelId="{BE3EC873-EFB4-4980-928A-3626032E57CE}" type="presOf" srcId="{A517BA6A-4EDC-4A30-B81C-B6098DB38139}" destId="{3F15126B-25CF-4A33-91EA-A7636E8368F1}" srcOrd="1" destOrd="0" presId="urn:microsoft.com/office/officeart/2005/8/layout/hierarchy6"/>
    <dgm:cxn modelId="{D24E1E71-B405-483F-9474-C0CD246041A8}" srcId="{54BB2D8E-59B2-4B93-AF6E-DC113172F919}" destId="{7EC8C43C-AA93-4335-AABD-37062F9F9A0B}" srcOrd="0" destOrd="0" parTransId="{AD5F0675-17AD-4FF7-904A-EF76D6273B91}" sibTransId="{6D361F4C-4776-4466-98AF-D30255C31110}"/>
    <dgm:cxn modelId="{199F4534-B42E-4884-AFCC-FC11970D5915}" type="presOf" srcId="{CA1BAF30-3937-487C-B89F-D4933343DD64}" destId="{6C61FB08-68B4-4AA2-9948-506DDF2C446B}" srcOrd="0" destOrd="0" presId="urn:microsoft.com/office/officeart/2005/8/layout/hierarchy6"/>
    <dgm:cxn modelId="{8E0BB52B-E131-4095-82DF-44676649877D}" srcId="{2E7C87FF-6F1C-496E-9DDF-9EBBE80B5EB2}" destId="{6536BCA3-8CDA-4834-A212-9B5AB8A242BF}" srcOrd="0" destOrd="0" parTransId="{A0A7E2A5-BB64-419F-90CF-2CD495B928E0}" sibTransId="{A2D68CA8-EC0D-4123-AD56-0B3559DB804F}"/>
    <dgm:cxn modelId="{A3FC7477-FE4E-4059-B06A-678D3909E44D}" srcId="{7EC8C43C-AA93-4335-AABD-37062F9F9A0B}" destId="{CA1BAF30-3937-487C-B89F-D4933343DD64}" srcOrd="0" destOrd="0" parTransId="{64EDC116-860A-4896-B5E4-BF83C7E22C5D}" sibTransId="{49648BA2-89A1-414A-9601-3A7F243C78D8}"/>
    <dgm:cxn modelId="{1C3FC898-4148-4CAB-8DF3-AC363D9627A2}" srcId="{2E7C87FF-6F1C-496E-9DDF-9EBBE80B5EB2}" destId="{DDF38B43-723D-4099-95A2-4201DA050006}" srcOrd="1" destOrd="0" parTransId="{1D3C4224-EFB2-43B4-8FE9-5870F2638A46}" sibTransId="{0A412A8A-D5DD-4D82-9A8A-75C574CF175F}"/>
    <dgm:cxn modelId="{E5183267-18C3-4E4E-969B-90E88C61568C}" type="presOf" srcId="{DA89BAB9-8156-4AD2-A789-409247E9B610}" destId="{1FF2A367-AFB8-4184-BA0E-7D8E459A4D2D}" srcOrd="0" destOrd="0" presId="urn:microsoft.com/office/officeart/2005/8/layout/hierarchy6"/>
    <dgm:cxn modelId="{3712AAE1-4740-4876-8888-D0D6E4263AC8}" type="presOf" srcId="{7EC8C43C-AA93-4335-AABD-37062F9F9A0B}" destId="{135F2329-1F5E-4C2F-91C9-D21636BEA7D4}" srcOrd="0" destOrd="0" presId="urn:microsoft.com/office/officeart/2005/8/layout/hierarchy6"/>
    <dgm:cxn modelId="{7E0E1CA8-DD2F-4DB4-9468-1714FFE78017}" srcId="{2E7C87FF-6F1C-496E-9DDF-9EBBE80B5EB2}" destId="{DA89BAB9-8156-4AD2-A789-409247E9B610}" srcOrd="3" destOrd="0" parTransId="{635CE0FB-9133-4419-90D9-C9DE9424F232}" sibTransId="{00EA1D58-4628-4D40-B436-1C93CC645F93}"/>
    <dgm:cxn modelId="{937EBB9C-4B2F-41D7-8200-A7DEB8DF2165}" type="presOf" srcId="{64EDC116-860A-4896-B5E4-BF83C7E22C5D}" destId="{BFDF8195-47A9-4EC8-AED5-8FFE129AA2A5}" srcOrd="0" destOrd="0" presId="urn:microsoft.com/office/officeart/2005/8/layout/hierarchy6"/>
    <dgm:cxn modelId="{E45D944E-2562-4892-B3D9-2F3574812528}" type="presOf" srcId="{54BB2D8E-59B2-4B93-AF6E-DC113172F919}" destId="{06648CAC-852F-473E-8CC3-3EA9FBC0BF6D}" srcOrd="0" destOrd="0" presId="urn:microsoft.com/office/officeart/2005/8/layout/hierarchy6"/>
    <dgm:cxn modelId="{EFD39FB3-3E5E-462C-8E44-633BEB326EA7}" type="presOf" srcId="{6536BCA3-8CDA-4834-A212-9B5AB8A242BF}" destId="{DFC8A9A3-B4A9-4989-B590-D4E8F298FAA3}" srcOrd="0" destOrd="0" presId="urn:microsoft.com/office/officeart/2005/8/layout/hierarchy6"/>
    <dgm:cxn modelId="{5BE3CD7E-C236-4B6B-A0AA-2A561DFFFA6A}" type="presParOf" srcId="{30A89E9C-3884-4204-8393-4D6006AB9AE5}" destId="{4A7AA01E-37BF-4A7F-9853-94375D1378E6}" srcOrd="0" destOrd="0" presId="urn:microsoft.com/office/officeart/2005/8/layout/hierarchy6"/>
    <dgm:cxn modelId="{37379915-341C-4FAE-B68D-D5DAA08DA8B0}" type="presParOf" srcId="{4A7AA01E-37BF-4A7F-9853-94375D1378E6}" destId="{13E7213C-0B7F-4062-A51F-B4CF4DFF7F41}" srcOrd="0" destOrd="0" presId="urn:microsoft.com/office/officeart/2005/8/layout/hierarchy6"/>
    <dgm:cxn modelId="{900D6D4B-A7EB-4874-976A-2DC2F469455F}" type="presParOf" srcId="{4A7AA01E-37BF-4A7F-9853-94375D1378E6}" destId="{2B85C191-BA5E-4C2D-9003-7D4380694296}" srcOrd="1" destOrd="0" presId="urn:microsoft.com/office/officeart/2005/8/layout/hierarchy6"/>
    <dgm:cxn modelId="{E9B015AE-9F38-4253-89F3-EB35123D603E}" type="presParOf" srcId="{2B85C191-BA5E-4C2D-9003-7D4380694296}" destId="{E7D4C8FC-AD43-4D23-993C-03FDF68AFEED}" srcOrd="0" destOrd="0" presId="urn:microsoft.com/office/officeart/2005/8/layout/hierarchy6"/>
    <dgm:cxn modelId="{2A62C028-8853-4AF7-B81D-0439047B70DE}" type="presParOf" srcId="{E7D4C8FC-AD43-4D23-993C-03FDF68AFEED}" destId="{DFC8A9A3-B4A9-4989-B590-D4E8F298FAA3}" srcOrd="0" destOrd="0" presId="urn:microsoft.com/office/officeart/2005/8/layout/hierarchy6"/>
    <dgm:cxn modelId="{FE10FFDB-0F05-4B77-BD94-4A25D5ACB4AB}" type="presParOf" srcId="{E7D4C8FC-AD43-4D23-993C-03FDF68AFEED}" destId="{0DB99E0F-41B0-4213-B384-A43EB2548890}" srcOrd="1" destOrd="0" presId="urn:microsoft.com/office/officeart/2005/8/layout/hierarchy6"/>
    <dgm:cxn modelId="{9A103B4D-CE3F-4C35-B29F-C6B1E6F5F260}" type="presParOf" srcId="{0DB99E0F-41B0-4213-B384-A43EB2548890}" destId="{7988FA32-EFFB-4F7A-B751-2CF378713490}" srcOrd="0" destOrd="0" presId="urn:microsoft.com/office/officeart/2005/8/layout/hierarchy6"/>
    <dgm:cxn modelId="{4232118D-AFEF-490A-B1AB-FFDD44E39E48}" type="presParOf" srcId="{0DB99E0F-41B0-4213-B384-A43EB2548890}" destId="{1226C013-2573-4D35-A8CD-112266140B2C}" srcOrd="1" destOrd="0" presId="urn:microsoft.com/office/officeart/2005/8/layout/hierarchy6"/>
    <dgm:cxn modelId="{2AC79412-3233-45AD-803D-9AC962068D19}" type="presParOf" srcId="{1226C013-2573-4D35-A8CD-112266140B2C}" destId="{06648CAC-852F-473E-8CC3-3EA9FBC0BF6D}" srcOrd="0" destOrd="0" presId="urn:microsoft.com/office/officeart/2005/8/layout/hierarchy6"/>
    <dgm:cxn modelId="{33091229-FC9D-4163-AA7B-CCC7BCFDA517}" type="presParOf" srcId="{1226C013-2573-4D35-A8CD-112266140B2C}" destId="{24227925-C38D-4C0D-8E1D-23F37C4B7CD1}" srcOrd="1" destOrd="0" presId="urn:microsoft.com/office/officeart/2005/8/layout/hierarchy6"/>
    <dgm:cxn modelId="{7A492203-0544-4549-AECC-7348AB9E29BB}" type="presParOf" srcId="{24227925-C38D-4C0D-8E1D-23F37C4B7CD1}" destId="{09300807-E728-4738-90E9-E03558247C11}" srcOrd="0" destOrd="0" presId="urn:microsoft.com/office/officeart/2005/8/layout/hierarchy6"/>
    <dgm:cxn modelId="{A0204E19-34F9-47DF-A318-ED815C8ACA12}" type="presParOf" srcId="{24227925-C38D-4C0D-8E1D-23F37C4B7CD1}" destId="{434C9064-EECA-49C1-B11E-E815C1EBE141}" srcOrd="1" destOrd="0" presId="urn:microsoft.com/office/officeart/2005/8/layout/hierarchy6"/>
    <dgm:cxn modelId="{E2909FF9-BA1F-4347-9FAA-ACE8FFDB2E0A}" type="presParOf" srcId="{434C9064-EECA-49C1-B11E-E815C1EBE141}" destId="{135F2329-1F5E-4C2F-91C9-D21636BEA7D4}" srcOrd="0" destOrd="0" presId="urn:microsoft.com/office/officeart/2005/8/layout/hierarchy6"/>
    <dgm:cxn modelId="{9EEDE8D8-C7CD-4CC8-8954-AC1F2283BEE0}" type="presParOf" srcId="{434C9064-EECA-49C1-B11E-E815C1EBE141}" destId="{137786EA-4575-4119-BBBA-46071B1D981F}" srcOrd="1" destOrd="0" presId="urn:microsoft.com/office/officeart/2005/8/layout/hierarchy6"/>
    <dgm:cxn modelId="{1007D331-412A-4936-A7E3-9F1C57EE8AB3}" type="presParOf" srcId="{137786EA-4575-4119-BBBA-46071B1D981F}" destId="{BFDF8195-47A9-4EC8-AED5-8FFE129AA2A5}" srcOrd="0" destOrd="0" presId="urn:microsoft.com/office/officeart/2005/8/layout/hierarchy6"/>
    <dgm:cxn modelId="{05F6E620-39B9-4A5E-8C9F-F73F0AB68E95}" type="presParOf" srcId="{137786EA-4575-4119-BBBA-46071B1D981F}" destId="{10DA349C-5393-45A5-AC6D-2FCC9A7A0811}" srcOrd="1" destOrd="0" presId="urn:microsoft.com/office/officeart/2005/8/layout/hierarchy6"/>
    <dgm:cxn modelId="{FFB12AA6-F78B-48E9-B757-C35A70C00358}" type="presParOf" srcId="{10DA349C-5393-45A5-AC6D-2FCC9A7A0811}" destId="{6C61FB08-68B4-4AA2-9948-506DDF2C446B}" srcOrd="0" destOrd="0" presId="urn:microsoft.com/office/officeart/2005/8/layout/hierarchy6"/>
    <dgm:cxn modelId="{86DF683E-F9D5-420F-BF51-8FC88C068EE9}" type="presParOf" srcId="{10DA349C-5393-45A5-AC6D-2FCC9A7A0811}" destId="{31A36D8E-0C9D-43AA-85CC-5620B5B9DBDC}" srcOrd="1" destOrd="0" presId="urn:microsoft.com/office/officeart/2005/8/layout/hierarchy6"/>
    <dgm:cxn modelId="{AAA572AB-D56E-4A45-A468-C24FC8A32135}" type="presParOf" srcId="{30A89E9C-3884-4204-8393-4D6006AB9AE5}" destId="{E2ECDCBB-1324-4D71-8934-FF83E20405B7}" srcOrd="1" destOrd="0" presId="urn:microsoft.com/office/officeart/2005/8/layout/hierarchy6"/>
    <dgm:cxn modelId="{6DD361C0-7100-4988-A34D-26CB59706F80}" type="presParOf" srcId="{E2ECDCBB-1324-4D71-8934-FF83E20405B7}" destId="{FC3D3003-7142-4565-BAB3-4BB5C9476F75}" srcOrd="0" destOrd="0" presId="urn:microsoft.com/office/officeart/2005/8/layout/hierarchy6"/>
    <dgm:cxn modelId="{2D768279-A6D9-4900-9585-4C62F32E3D36}" type="presParOf" srcId="{FC3D3003-7142-4565-BAB3-4BB5C9476F75}" destId="{CBF89D74-B235-430A-9C44-237E85E60522}" srcOrd="0" destOrd="0" presId="urn:microsoft.com/office/officeart/2005/8/layout/hierarchy6"/>
    <dgm:cxn modelId="{9491A642-0E64-4D72-9DFC-F9C6C168E556}" type="presParOf" srcId="{FC3D3003-7142-4565-BAB3-4BB5C9476F75}" destId="{BE88F7B2-87E8-42AB-AE29-1E0C02CB57D3}" srcOrd="1" destOrd="0" presId="urn:microsoft.com/office/officeart/2005/8/layout/hierarchy6"/>
    <dgm:cxn modelId="{4554C32C-AC73-4FDB-AE19-48D88A8AEC66}" type="presParOf" srcId="{E2ECDCBB-1324-4D71-8934-FF83E20405B7}" destId="{FC4EEEC1-5870-4587-94D5-8B1F04AEB3CE}" srcOrd="1" destOrd="0" presId="urn:microsoft.com/office/officeart/2005/8/layout/hierarchy6"/>
    <dgm:cxn modelId="{53EDB694-1AA1-43A2-8305-5052DC4A3C1F}" type="presParOf" srcId="{FC4EEEC1-5870-4587-94D5-8B1F04AEB3CE}" destId="{617169BB-6B1A-44B5-8B92-294F86F890E8}" srcOrd="0" destOrd="0" presId="urn:microsoft.com/office/officeart/2005/8/layout/hierarchy6"/>
    <dgm:cxn modelId="{A4B4935B-93D5-42F2-B9B8-450F013078D8}" type="presParOf" srcId="{E2ECDCBB-1324-4D71-8934-FF83E20405B7}" destId="{08DE4B6C-218E-43BC-A1EE-A3A01948B97A}" srcOrd="2" destOrd="0" presId="urn:microsoft.com/office/officeart/2005/8/layout/hierarchy6"/>
    <dgm:cxn modelId="{98A81D3A-21BE-454D-AF3D-15EB8FA6EE97}" type="presParOf" srcId="{08DE4B6C-218E-43BC-A1EE-A3A01948B97A}" destId="{87CF5BD5-E0A6-481D-82F5-AE59934BE283}" srcOrd="0" destOrd="0" presId="urn:microsoft.com/office/officeart/2005/8/layout/hierarchy6"/>
    <dgm:cxn modelId="{C2CB534E-B5E8-4EE1-AF0E-F451C73F6209}" type="presParOf" srcId="{08DE4B6C-218E-43BC-A1EE-A3A01948B97A}" destId="{61E3DB4F-3E76-4D00-B7DB-6352A2557D1E}" srcOrd="1" destOrd="0" presId="urn:microsoft.com/office/officeart/2005/8/layout/hierarchy6"/>
    <dgm:cxn modelId="{4FF8E811-4FF5-4EAD-8A51-4512CEABFEF0}" type="presParOf" srcId="{E2ECDCBB-1324-4D71-8934-FF83E20405B7}" destId="{EAC6EF71-5389-4193-883C-93A65BB206B0}" srcOrd="3" destOrd="0" presId="urn:microsoft.com/office/officeart/2005/8/layout/hierarchy6"/>
    <dgm:cxn modelId="{2C2F8A34-FE55-4130-B06E-08B89D97A978}" type="presParOf" srcId="{EAC6EF71-5389-4193-883C-93A65BB206B0}" destId="{1B6E9FF8-256C-42AC-A6F4-12F40B988479}" srcOrd="0" destOrd="0" presId="urn:microsoft.com/office/officeart/2005/8/layout/hierarchy6"/>
    <dgm:cxn modelId="{CE6DDDA6-CB14-46B5-9FBE-A6801942CAA9}" type="presParOf" srcId="{E2ECDCBB-1324-4D71-8934-FF83E20405B7}" destId="{30A9399E-0992-4085-9679-E7844EB1C660}" srcOrd="4" destOrd="0" presId="urn:microsoft.com/office/officeart/2005/8/layout/hierarchy6"/>
    <dgm:cxn modelId="{1A82EBD0-BDFD-4698-99B0-3B9B8CE6C1A9}" type="presParOf" srcId="{30A9399E-0992-4085-9679-E7844EB1C660}" destId="{1FF2A367-AFB8-4184-BA0E-7D8E459A4D2D}" srcOrd="0" destOrd="0" presId="urn:microsoft.com/office/officeart/2005/8/layout/hierarchy6"/>
    <dgm:cxn modelId="{3B065C98-671A-4137-9055-58FFC1351D48}" type="presParOf" srcId="{30A9399E-0992-4085-9679-E7844EB1C660}" destId="{F2E5326F-9BA9-43AA-8FC1-3EC8F6AA5DB9}" srcOrd="1" destOrd="0" presId="urn:microsoft.com/office/officeart/2005/8/layout/hierarchy6"/>
    <dgm:cxn modelId="{0C50DB1E-B5F9-4526-BC5C-E8246E825B48}" type="presParOf" srcId="{E2ECDCBB-1324-4D71-8934-FF83E20405B7}" destId="{EFD7AAC9-7BB5-49B2-82DC-1A234660D0C6}" srcOrd="5" destOrd="0" presId="urn:microsoft.com/office/officeart/2005/8/layout/hierarchy6"/>
    <dgm:cxn modelId="{DF410C81-D292-410B-A664-AC53503EBA8C}" type="presParOf" srcId="{EFD7AAC9-7BB5-49B2-82DC-1A234660D0C6}" destId="{0EB32F00-96A0-4A36-99A7-1BAF64E27A78}" srcOrd="0" destOrd="0" presId="urn:microsoft.com/office/officeart/2005/8/layout/hierarchy6"/>
    <dgm:cxn modelId="{2A2111E3-F92D-45C4-B41A-915B8688DA73}" type="presParOf" srcId="{E2ECDCBB-1324-4D71-8934-FF83E20405B7}" destId="{4ABDEFB9-19BD-4BD4-A2A3-8228417F78F3}" srcOrd="6" destOrd="0" presId="urn:microsoft.com/office/officeart/2005/8/layout/hierarchy6"/>
    <dgm:cxn modelId="{FE982A55-911E-49FD-AED5-91E03A8C6A70}" type="presParOf" srcId="{4ABDEFB9-19BD-4BD4-A2A3-8228417F78F3}" destId="{EC3E4A36-E92F-488C-8831-292D40473411}" srcOrd="0" destOrd="0" presId="urn:microsoft.com/office/officeart/2005/8/layout/hierarchy6"/>
    <dgm:cxn modelId="{03438067-DE88-40FB-BA12-0C749D7A7A4C}" type="presParOf" srcId="{4ABDEFB9-19BD-4BD4-A2A3-8228417F78F3}" destId="{3F15126B-25CF-4A33-91EA-A7636E8368F1}"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E4A36-E92F-488C-8831-292D40473411}">
      <dsp:nvSpPr>
        <dsp:cNvPr id="0" name=""/>
        <dsp:cNvSpPr/>
      </dsp:nvSpPr>
      <dsp:spPr>
        <a:xfrm>
          <a:off x="374733" y="2802596"/>
          <a:ext cx="4650572" cy="796513"/>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EC" sz="1600" kern="1200" dirty="0" smtClean="0"/>
            <a:t>Nivel Ejecutor</a:t>
          </a:r>
          <a:endParaRPr lang="es-EC" sz="1600" kern="1200" dirty="0"/>
        </a:p>
      </dsp:txBody>
      <dsp:txXfrm>
        <a:off x="374733" y="2802596"/>
        <a:ext cx="1395171" cy="796513"/>
      </dsp:txXfrm>
    </dsp:sp>
    <dsp:sp modelId="{1FF2A367-AFB8-4184-BA0E-7D8E459A4D2D}">
      <dsp:nvSpPr>
        <dsp:cNvPr id="0" name=""/>
        <dsp:cNvSpPr/>
      </dsp:nvSpPr>
      <dsp:spPr>
        <a:xfrm>
          <a:off x="374733" y="1868632"/>
          <a:ext cx="4650572" cy="796513"/>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EC" sz="1600" kern="1200" dirty="0" smtClean="0"/>
            <a:t>Nivel Operativo</a:t>
          </a:r>
          <a:endParaRPr lang="es-EC" sz="1600" kern="1200" dirty="0"/>
        </a:p>
      </dsp:txBody>
      <dsp:txXfrm>
        <a:off x="374733" y="1868632"/>
        <a:ext cx="1395171" cy="796513"/>
      </dsp:txXfrm>
    </dsp:sp>
    <dsp:sp modelId="{87CF5BD5-E0A6-481D-82F5-AE59934BE283}">
      <dsp:nvSpPr>
        <dsp:cNvPr id="0" name=""/>
        <dsp:cNvSpPr/>
      </dsp:nvSpPr>
      <dsp:spPr>
        <a:xfrm>
          <a:off x="374733" y="934668"/>
          <a:ext cx="4650572" cy="796513"/>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EC" sz="1600" kern="1200" dirty="0" smtClean="0"/>
            <a:t>Nivel Coordinador</a:t>
          </a:r>
          <a:endParaRPr lang="es-EC" sz="1600" kern="1200" dirty="0"/>
        </a:p>
      </dsp:txBody>
      <dsp:txXfrm>
        <a:off x="374733" y="934668"/>
        <a:ext cx="1395171" cy="796513"/>
      </dsp:txXfrm>
    </dsp:sp>
    <dsp:sp modelId="{CBF89D74-B235-430A-9C44-237E85E60522}">
      <dsp:nvSpPr>
        <dsp:cNvPr id="0" name=""/>
        <dsp:cNvSpPr/>
      </dsp:nvSpPr>
      <dsp:spPr>
        <a:xfrm>
          <a:off x="374733" y="704"/>
          <a:ext cx="4650572" cy="796513"/>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EC" sz="1600" kern="1200" dirty="0" smtClean="0"/>
            <a:t>Nivel Rector</a:t>
          </a:r>
          <a:endParaRPr lang="es-EC" sz="1600" kern="1200" dirty="0"/>
        </a:p>
      </dsp:txBody>
      <dsp:txXfrm>
        <a:off x="374733" y="704"/>
        <a:ext cx="1395171" cy="796513"/>
      </dsp:txXfrm>
    </dsp:sp>
    <dsp:sp modelId="{DFC8A9A3-B4A9-4989-B590-D4E8F298FAA3}">
      <dsp:nvSpPr>
        <dsp:cNvPr id="0" name=""/>
        <dsp:cNvSpPr/>
      </dsp:nvSpPr>
      <dsp:spPr>
        <a:xfrm>
          <a:off x="2029726" y="69429"/>
          <a:ext cx="2642746" cy="49979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dirty="0" smtClean="0"/>
            <a:t>MAE</a:t>
          </a:r>
        </a:p>
        <a:p>
          <a:pPr lvl="0" algn="ctr" defTabSz="533400">
            <a:lnSpc>
              <a:spcPct val="90000"/>
            </a:lnSpc>
            <a:spcBef>
              <a:spcPct val="0"/>
            </a:spcBef>
            <a:spcAft>
              <a:spcPct val="35000"/>
            </a:spcAft>
          </a:pPr>
          <a:r>
            <a:rPr lang="es-EC" sz="1200" kern="1200" dirty="0" smtClean="0"/>
            <a:t>Autoridad Ambiental</a:t>
          </a:r>
          <a:endParaRPr lang="es-EC" sz="1200" kern="1200" dirty="0"/>
        </a:p>
      </dsp:txBody>
      <dsp:txXfrm>
        <a:off x="2044365" y="84068"/>
        <a:ext cx="2613468" cy="470518"/>
      </dsp:txXfrm>
    </dsp:sp>
    <dsp:sp modelId="{7988FA32-EFFB-4F7A-B751-2CF378713490}">
      <dsp:nvSpPr>
        <dsp:cNvPr id="0" name=""/>
        <dsp:cNvSpPr/>
      </dsp:nvSpPr>
      <dsp:spPr>
        <a:xfrm>
          <a:off x="3305380" y="569226"/>
          <a:ext cx="91440" cy="290508"/>
        </a:xfrm>
        <a:custGeom>
          <a:avLst/>
          <a:gdLst/>
          <a:ahLst/>
          <a:cxnLst/>
          <a:rect l="0" t="0" r="0" b="0"/>
          <a:pathLst>
            <a:path>
              <a:moveTo>
                <a:pt x="45720" y="0"/>
              </a:moveTo>
              <a:lnTo>
                <a:pt x="45720" y="145254"/>
              </a:lnTo>
              <a:lnTo>
                <a:pt x="46513" y="145254"/>
              </a:lnTo>
              <a:lnTo>
                <a:pt x="46513" y="29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648CAC-852F-473E-8CC3-3EA9FBC0BF6D}">
      <dsp:nvSpPr>
        <dsp:cNvPr id="0" name=""/>
        <dsp:cNvSpPr/>
      </dsp:nvSpPr>
      <dsp:spPr>
        <a:xfrm>
          <a:off x="2012202" y="859734"/>
          <a:ext cx="2679383" cy="70099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kern="1200" dirty="0" smtClean="0"/>
            <a:t>MEER</a:t>
          </a:r>
        </a:p>
        <a:p>
          <a:pPr lvl="0" algn="ctr" defTabSz="466725">
            <a:lnSpc>
              <a:spcPct val="90000"/>
            </a:lnSpc>
            <a:spcBef>
              <a:spcPct val="0"/>
            </a:spcBef>
            <a:spcAft>
              <a:spcPct val="35000"/>
            </a:spcAft>
          </a:pPr>
          <a:r>
            <a:rPr lang="es-EC" sz="1050" kern="1200" dirty="0" smtClean="0"/>
            <a:t>Autoridad del Sector Eléctrico</a:t>
          </a:r>
        </a:p>
        <a:p>
          <a:pPr lvl="0" algn="ctr" defTabSz="466725">
            <a:lnSpc>
              <a:spcPct val="90000"/>
            </a:lnSpc>
            <a:spcBef>
              <a:spcPct val="0"/>
            </a:spcBef>
            <a:spcAft>
              <a:spcPct val="35000"/>
            </a:spcAft>
          </a:pPr>
          <a:r>
            <a:rPr lang="es-EC" sz="1050" kern="1200" dirty="0" smtClean="0"/>
            <a:t>Coordinador de la aplicación de la política ambiental y social del Estado</a:t>
          </a:r>
          <a:endParaRPr lang="es-EC" sz="1050" kern="1200" dirty="0"/>
        </a:p>
      </dsp:txBody>
      <dsp:txXfrm>
        <a:off x="2032733" y="880265"/>
        <a:ext cx="2638321" cy="659934"/>
      </dsp:txXfrm>
    </dsp:sp>
    <dsp:sp modelId="{09300807-E728-4738-90E9-E03558247C11}">
      <dsp:nvSpPr>
        <dsp:cNvPr id="0" name=""/>
        <dsp:cNvSpPr/>
      </dsp:nvSpPr>
      <dsp:spPr>
        <a:xfrm>
          <a:off x="3306173" y="1560731"/>
          <a:ext cx="91440" cy="299627"/>
        </a:xfrm>
        <a:custGeom>
          <a:avLst/>
          <a:gdLst/>
          <a:ahLst/>
          <a:cxnLst/>
          <a:rect l="0" t="0" r="0" b="0"/>
          <a:pathLst>
            <a:path>
              <a:moveTo>
                <a:pt x="45720" y="0"/>
              </a:moveTo>
              <a:lnTo>
                <a:pt x="45720" y="149813"/>
              </a:lnTo>
              <a:lnTo>
                <a:pt x="45874" y="149813"/>
              </a:lnTo>
              <a:lnTo>
                <a:pt x="45874" y="2996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5F2329-1F5E-4C2F-91C9-D21636BEA7D4}">
      <dsp:nvSpPr>
        <dsp:cNvPr id="0" name=""/>
        <dsp:cNvSpPr/>
      </dsp:nvSpPr>
      <dsp:spPr>
        <a:xfrm>
          <a:off x="2007609" y="1860358"/>
          <a:ext cx="2688878" cy="66703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dirty="0" smtClean="0"/>
            <a:t>CNEL EP</a:t>
          </a:r>
        </a:p>
        <a:p>
          <a:pPr lvl="0" algn="ctr" defTabSz="444500">
            <a:lnSpc>
              <a:spcPct val="90000"/>
            </a:lnSpc>
            <a:spcBef>
              <a:spcPct val="0"/>
            </a:spcBef>
            <a:spcAft>
              <a:spcPct val="35000"/>
            </a:spcAft>
          </a:pPr>
          <a:r>
            <a:rPr lang="es-EC" sz="1000" kern="1200" dirty="0" smtClean="0"/>
            <a:t>Coordinador de la gestión ambiental y social empresarial</a:t>
          </a:r>
        </a:p>
      </dsp:txBody>
      <dsp:txXfrm>
        <a:off x="2027146" y="1879895"/>
        <a:ext cx="2649804" cy="627958"/>
      </dsp:txXfrm>
    </dsp:sp>
    <dsp:sp modelId="{BFDF8195-47A9-4EC8-AED5-8FFE129AA2A5}">
      <dsp:nvSpPr>
        <dsp:cNvPr id="0" name=""/>
        <dsp:cNvSpPr/>
      </dsp:nvSpPr>
      <dsp:spPr>
        <a:xfrm>
          <a:off x="3305380" y="2527391"/>
          <a:ext cx="91440" cy="305971"/>
        </a:xfrm>
        <a:custGeom>
          <a:avLst/>
          <a:gdLst/>
          <a:ahLst/>
          <a:cxnLst/>
          <a:rect l="0" t="0" r="0" b="0"/>
          <a:pathLst>
            <a:path>
              <a:moveTo>
                <a:pt x="46668" y="0"/>
              </a:moveTo>
              <a:lnTo>
                <a:pt x="46668" y="152985"/>
              </a:lnTo>
              <a:lnTo>
                <a:pt x="45720" y="152985"/>
              </a:lnTo>
              <a:lnTo>
                <a:pt x="45720" y="3059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1FB08-68B4-4AA2-9948-506DDF2C446B}">
      <dsp:nvSpPr>
        <dsp:cNvPr id="0" name=""/>
        <dsp:cNvSpPr/>
      </dsp:nvSpPr>
      <dsp:spPr>
        <a:xfrm>
          <a:off x="2416481" y="2833362"/>
          <a:ext cx="1869237" cy="7510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dirty="0" smtClean="0"/>
            <a:t>UNIDADES DE NEGOCIO Y </a:t>
          </a:r>
        </a:p>
        <a:p>
          <a:pPr lvl="0" algn="ctr" defTabSz="355600">
            <a:lnSpc>
              <a:spcPct val="90000"/>
            </a:lnSpc>
            <a:spcBef>
              <a:spcPct val="0"/>
            </a:spcBef>
            <a:spcAft>
              <a:spcPct val="35000"/>
            </a:spcAft>
          </a:pPr>
          <a:r>
            <a:rPr lang="es-EC" sz="800" kern="1200" dirty="0" smtClean="0"/>
            <a:t>EMPRESAS ELÉCTRICAS</a:t>
          </a:r>
        </a:p>
        <a:p>
          <a:pPr lvl="0" algn="ctr" defTabSz="355600">
            <a:lnSpc>
              <a:spcPct val="90000"/>
            </a:lnSpc>
            <a:spcBef>
              <a:spcPct val="0"/>
            </a:spcBef>
            <a:spcAft>
              <a:spcPct val="35000"/>
            </a:spcAft>
          </a:pPr>
          <a:r>
            <a:rPr lang="es-EC" sz="800" kern="1200" dirty="0" smtClean="0"/>
            <a:t>Responsables de Licenciamiento Ambiental y cumplimiento ambiental de sus proyectos</a:t>
          </a:r>
          <a:endParaRPr lang="es-EC" sz="800" kern="1200" dirty="0"/>
        </a:p>
      </dsp:txBody>
      <dsp:txXfrm>
        <a:off x="2438478" y="2855359"/>
        <a:ext cx="1825243" cy="7070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DF352D91A40AAAC7F8546821C9AE0"/>
        <w:category>
          <w:name w:val="General"/>
          <w:gallery w:val="placeholder"/>
        </w:category>
        <w:types>
          <w:type w:val="bbPlcHdr"/>
        </w:types>
        <w:behaviors>
          <w:behavior w:val="content"/>
        </w:behaviors>
        <w:guid w:val="{777CC9E3-2783-45F8-AB3D-7F1495E1C21F}"/>
      </w:docPartPr>
      <w:docPartBody>
        <w:p w:rsidR="009509BC" w:rsidRDefault="009509BC" w:rsidP="009509BC">
          <w:pPr>
            <w:pStyle w:val="50FDF352D91A40AAAC7F8546821C9AE0"/>
          </w:pPr>
          <w:r w:rsidRPr="004E42A8">
            <w:rPr>
              <w:rStyle w:val="PlaceholderText"/>
            </w:rPr>
            <w:t>Choose an item.</w:t>
          </w:r>
        </w:p>
      </w:docPartBody>
    </w:docPart>
    <w:docPart>
      <w:docPartPr>
        <w:name w:val="7F18127E9876440481D8D1DABA651AC2"/>
        <w:category>
          <w:name w:val="General"/>
          <w:gallery w:val="placeholder"/>
        </w:category>
        <w:types>
          <w:type w:val="bbPlcHdr"/>
        </w:types>
        <w:behaviors>
          <w:behavior w:val="content"/>
        </w:behaviors>
        <w:guid w:val="{88860B10-E35F-4696-882D-5E898C949CFF}"/>
      </w:docPartPr>
      <w:docPartBody>
        <w:p w:rsidR="009509BC" w:rsidRDefault="009509BC" w:rsidP="009509BC">
          <w:pPr>
            <w:pStyle w:val="7F18127E9876440481D8D1DABA651AC2"/>
          </w:pPr>
          <w:r w:rsidRPr="009600B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BC"/>
    <w:rsid w:val="00033D15"/>
    <w:rsid w:val="00037608"/>
    <w:rsid w:val="000E7844"/>
    <w:rsid w:val="000F283E"/>
    <w:rsid w:val="00201D84"/>
    <w:rsid w:val="002771A1"/>
    <w:rsid w:val="002C4BC1"/>
    <w:rsid w:val="003A6C55"/>
    <w:rsid w:val="004C04E0"/>
    <w:rsid w:val="0051789D"/>
    <w:rsid w:val="005B0CB3"/>
    <w:rsid w:val="00724EC3"/>
    <w:rsid w:val="0074131A"/>
    <w:rsid w:val="00904AED"/>
    <w:rsid w:val="009509BC"/>
    <w:rsid w:val="00966F8E"/>
    <w:rsid w:val="00AA2315"/>
    <w:rsid w:val="00BC1366"/>
    <w:rsid w:val="00C655DE"/>
    <w:rsid w:val="00D90DBF"/>
    <w:rsid w:val="00E000B9"/>
    <w:rsid w:val="00FE230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9BC"/>
    <w:rPr>
      <w:color w:val="808080"/>
    </w:rPr>
  </w:style>
  <w:style w:type="paragraph" w:customStyle="1" w:styleId="50FDF352D91A40AAAC7F8546821C9AE0">
    <w:name w:val="50FDF352D91A40AAAC7F8546821C9AE0"/>
    <w:rsid w:val="009509BC"/>
  </w:style>
  <w:style w:type="paragraph" w:customStyle="1" w:styleId="7F18127E9876440481D8D1DABA651AC2">
    <w:name w:val="7F18127E9876440481D8D1DABA651AC2"/>
    <w:rsid w:val="009509BC"/>
  </w:style>
  <w:style w:type="paragraph" w:customStyle="1" w:styleId="F76F4031331640A4A71DCE492F6349C1">
    <w:name w:val="F76F4031331640A4A71DCE492F6349C1"/>
    <w:rsid w:val="0074131A"/>
    <w:pPr>
      <w:spacing w:after="200" w:line="276" w:lineRule="auto"/>
    </w:pPr>
    <w:rPr>
      <w:lang w:val="en-US" w:eastAsia="en-US"/>
    </w:rPr>
  </w:style>
  <w:style w:type="paragraph" w:customStyle="1" w:styleId="63226D4BC1C948F5A500BD4B05EA859C">
    <w:name w:val="63226D4BC1C948F5A500BD4B05EA859C"/>
    <w:rsid w:val="0074131A"/>
    <w:pPr>
      <w:spacing w:after="200" w:line="276" w:lineRule="auto"/>
    </w:pPr>
    <w:rPr>
      <w:lang w:val="en-US" w:eastAsia="en-US"/>
    </w:rPr>
  </w:style>
  <w:style w:type="paragraph" w:customStyle="1" w:styleId="B49B06287DF34114A13300F8D0027AAA">
    <w:name w:val="B49B06287DF34114A13300F8D0027AAA"/>
    <w:rsid w:val="0074131A"/>
    <w:pPr>
      <w:spacing w:after="200" w:line="276" w:lineRule="auto"/>
    </w:pPr>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9BC"/>
    <w:rPr>
      <w:color w:val="808080"/>
    </w:rPr>
  </w:style>
  <w:style w:type="paragraph" w:customStyle="1" w:styleId="50FDF352D91A40AAAC7F8546821C9AE0">
    <w:name w:val="50FDF352D91A40AAAC7F8546821C9AE0"/>
    <w:rsid w:val="009509BC"/>
  </w:style>
  <w:style w:type="paragraph" w:customStyle="1" w:styleId="7F18127E9876440481D8D1DABA651AC2">
    <w:name w:val="7F18127E9876440481D8D1DABA651AC2"/>
    <w:rsid w:val="009509BC"/>
  </w:style>
  <w:style w:type="paragraph" w:customStyle="1" w:styleId="F76F4031331640A4A71DCE492F6349C1">
    <w:name w:val="F76F4031331640A4A71DCE492F6349C1"/>
    <w:rsid w:val="0074131A"/>
    <w:pPr>
      <w:spacing w:after="200" w:line="276" w:lineRule="auto"/>
    </w:pPr>
    <w:rPr>
      <w:lang w:val="en-US" w:eastAsia="en-US"/>
    </w:rPr>
  </w:style>
  <w:style w:type="paragraph" w:customStyle="1" w:styleId="63226D4BC1C948F5A500BD4B05EA859C">
    <w:name w:val="63226D4BC1C948F5A500BD4B05EA859C"/>
    <w:rsid w:val="0074131A"/>
    <w:pPr>
      <w:spacing w:after="200" w:line="276" w:lineRule="auto"/>
    </w:pPr>
    <w:rPr>
      <w:lang w:val="en-US" w:eastAsia="en-US"/>
    </w:rPr>
  </w:style>
  <w:style w:type="paragraph" w:customStyle="1" w:styleId="B49B06287DF34114A13300F8D0027AAA">
    <w:name w:val="B49B06287DF34114A13300F8D0027AAA"/>
    <w:rsid w:val="0074131A"/>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Corporate" ma:contentTypeID="0x0101000308A27134084F4AA40781B2DCA498A500721408117DDF814780936000BF61A1C3" ma:contentTypeVersion="18" ma:contentTypeDescription="The corporate content type from which other content types in the corporate content type track inherit their information." ma:contentTypeScope="" ma:versionID="89dcc3b3f757ec315a8ac2a5ac1d544b">
  <xsd:schema xmlns:xsd="http://www.w3.org/2001/XMLSchema" xmlns:xs="http://www.w3.org/2001/XMLSchema" xmlns:p="http://schemas.microsoft.com/office/2006/metadata/properties" xmlns:ns2="cdc7663a-08f0-4737-9e8c-148ce897a09c" targetNamespace="http://schemas.microsoft.com/office/2006/metadata/properties" ma:root="true" ma:fieldsID="166565de65ec4633bedf7238eb69b408" ns2:_="">
    <xsd:import namespace="cdc7663a-08f0-4737-9e8c-148ce897a09c"/>
    <xsd:element name="properties">
      <xsd:complexType>
        <xsd:sequence>
          <xsd:element name="documentManagement">
            <xsd:complexType>
              <xsd:all>
                <xsd:element ref="ns2:Access_x0020_to_x0020_Information_x00a0_Policy"/>
                <xsd:element ref="ns2:Document_x0020_Author" minOccurs="0"/>
                <xsd:element ref="ns2:Other_x0020_Author" minOccurs="0"/>
                <xsd:element ref="ns2:Division_x0020_or_x0020_Unit" minOccurs="0"/>
                <xsd:element ref="ns2:Document_x0020_Language_x0020_IDB" minOccurs="0"/>
                <xsd:element ref="ns2:From_x003a_" minOccurs="0"/>
                <xsd:element ref="ns2:To_x003a_" minOccurs="0"/>
                <xsd:element ref="ns2:Identifier" minOccurs="0"/>
                <xsd:element ref="ns2:IDBDocs_x0020_Number" minOccurs="0"/>
                <xsd:element ref="ns2:Migration_x0020_Info" minOccurs="0"/>
                <xsd:element ref="ns2:ic46d7e087fd4a108fb86518ca413cc6" minOccurs="0"/>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j65ec2e3a7e44c39a1acebfd2a19200a" minOccurs="0"/>
                <xsd:element ref="ns2:SISCOR_x0020_Number" minOccurs="0"/>
                <xsd:element ref="ns2:Fiscal_x0020_Year_x0020_IDB" minOccurs="0"/>
                <xsd:element ref="ns2:Record_x0020_Number" minOccurs="0"/>
                <xsd:element ref="ns2:Related_x0020_SisCor_x0020_Number"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Access_x0020_to_x0020_Information_x00a0_Policy" ma:index="2"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5" nillable="true" ma:displayName="Document Author" ma:internalName="Document_x0020_Author">
      <xsd:simpleType>
        <xsd:restriction base="dms:Text">
          <xsd:maxLength value="255"/>
        </xsd:restriction>
      </xsd:simpleType>
    </xsd:element>
    <xsd:element name="Other_x0020_Author" ma:index="6" nillable="true" ma:displayName="Other Author" ma:internalName="Other_x0020_Author">
      <xsd:simpleType>
        <xsd:restriction base="dms:Text">
          <xsd:maxLength value="255"/>
        </xsd:restriction>
      </xsd:simpleType>
    </xsd:element>
    <xsd:element name="Division_x0020_or_x0020_Unit" ma:index="8" nillable="true" ma:displayName="Division or Unit" ma:internalName="Division_x0020_or_x0020_Unit">
      <xsd:simpleType>
        <xsd:restriction base="dms:Text">
          <xsd:maxLength value="255"/>
        </xsd:restriction>
      </xsd:simpleType>
    </xsd:element>
    <xsd:element name="Document_x0020_Language_x0020_IDB" ma:index="9"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10" nillable="true" ma:displayName="From:" ma:description="Sender name from email message" ma:internalName="From_x003A_">
      <xsd:simpleType>
        <xsd:restriction base="dms:Text">
          <xsd:maxLength value="255"/>
        </xsd:restriction>
      </xsd:simpleType>
    </xsd:element>
    <xsd:element name="To_x003a_" ma:index="11" nillable="true" ma:displayName="To:" ma:description="Addressee names from email message&#10;" ma:internalName="To_x003A_">
      <xsd:simpleType>
        <xsd:restriction base="dms:Text">
          <xsd:maxLength value="255"/>
        </xsd:restriction>
      </xsd:simpleType>
    </xsd:element>
    <xsd:element name="Identifier" ma:index="12" nillable="true" ma:displayName="Identifier" ma:internalName="Identifier">
      <xsd:simpleType>
        <xsd:restriction base="dms:Text">
          <xsd:maxLength value="255"/>
        </xsd:restriction>
      </xsd:simpleType>
    </xsd:element>
    <xsd:element name="IDBDocs_x0020_Number" ma:index="13" nillable="true" ma:displayName="IDBDocs Number" ma:internalName="IDBDocs_x0020_Number" ma:readOnly="false">
      <xsd:simpleType>
        <xsd:restriction base="dms:Text">
          <xsd:maxLength value="255"/>
        </xsd:restriction>
      </xsd:simpleType>
    </xsd:element>
    <xsd:element name="Migration_x0020_Info" ma:index="14" nillable="true" ma:displayName="Migration Info" ma:internalName="Migration_x0020_Info" ma:readOnly="false">
      <xsd:simpleType>
        <xsd:restriction base="dms:Note"/>
      </xsd:simpleType>
    </xsd:element>
    <xsd:element name="ic46d7e087fd4a108fb86518ca413cc6" ma:index="1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cf0f1ca6d90e4583ad80995bcde0e58a" ma:index="23" ma:taxonomy="true" ma:internalName="cf0f1ca6d90e4583ad80995bcde0e58a" ma:taxonomyFieldName="Function_x0020_Corporate_x0020_IDB" ma:displayName="Function Corporate IDB" ma:readOnly="false" ma:default="5;#5 Organization and Functions|4701d7f9-8df6-4219-aeac-8d4b644c65a0"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4273fb29-89c1-4946-86cf-3f1dd6c2040c}" ma:internalName="TaxCatchAll" ma:showField="CatchAllData" ma:web="1b454bb2-e976-4190-97cc-0d84b4469f4b">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4273fb29-89c1-4946-86cf-3f1dd6c2040c}" ma:internalName="TaxCatchAllLabel" ma:readOnly="true" ma:showField="CatchAllDataLabel" ma:web="1b454bb2-e976-4190-97cc-0d84b4469f4b">
      <xsd:complexType>
        <xsd:complexContent>
          <xsd:extension base="dms:MultiChoiceLookup">
            <xsd:sequence>
              <xsd:element name="Value" type="dms:Lookup" maxOccurs="unbounded" minOccurs="0" nillable="true"/>
            </xsd:sequence>
          </xsd:extension>
        </xsd:complexContent>
      </xsd:complexType>
    </xsd:element>
    <xsd:element name="j65ec2e3a7e44c39a1acebfd2a19200a" ma:index="27" ma:taxonomy="true" ma:internalName="j65ec2e3a7e44c39a1acebfd2a19200a" ma:taxonomyFieldName="Series_x0020_Corporate_x0020_IDB" ma:displayName="Series Corporate IDB" ma:readOnly="false" ma:default="16;#ORF-02.1 Auditing, Evaluation and Inspection - Cases|24e319bb-6d29-4f63-88b6-a651bbe1d802"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SISCOR_x0020_Number" ma:index="29" nillable="true" ma:displayName="SISCOR Number" ma:internalName="SISCOR_x0020_Number" ma:readOnly="false">
      <xsd:simpleType>
        <xsd:restriction base="dms:Text">
          <xsd:maxLength value="255"/>
        </xsd:restriction>
      </xsd:simpleType>
    </xsd:element>
    <xsd:element name="Fiscal_x0020_Year_x0020_IDB" ma:index="30" nillable="true" ma:displayName="Fiscal Year IDB" ma:internalName="Fiscal_x0020_Year_x0020_IDB" ma:readOnly="false">
      <xsd:simpleType>
        <xsd:restriction base="dms:Text">
          <xsd:maxLength value="255"/>
        </xsd:restriction>
      </xsd:simpleType>
    </xsd:element>
    <xsd:element name="Record_x0020_Number" ma:index="31" nillable="true" ma:displayName="Record Number" ma:internalName="Record_x0020_Number">
      <xsd:simpleType>
        <xsd:restriction base="dms:Text">
          <xsd:maxLength value="255"/>
        </xsd:restriction>
      </xsd:simpleType>
    </xsd:element>
    <xsd:element name="Related_x0020_SisCor_x0020_Number" ma:index="32" nillable="true" ma:displayName="Related SisCor Number" ma:internalName="Related_x0020_SisCor_x0020_Number">
      <xsd:simpleType>
        <xsd:restriction base="dms:Text">
          <xsd:maxLength value="255"/>
        </xsd:restriction>
      </xsd:simpleType>
    </xsd:element>
    <xsd:element name="TaxKeywordTaxHTField" ma:index="33"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e61f9b1-e23d-4f49-b3d7-56b991556c4b" ContentTypeId="0x0101000308A27134084F4AA40781B2DCA498A5"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Division_x0020_or_x0020_Unit xmlns="cdc7663a-08f0-4737-9e8c-148ce897a09c">INE/ENE</Division_x0020_or_x0020_Unit>
    <Other_x0020_Author xmlns="cdc7663a-08f0-4737-9e8c-148ce897a09c" xsi:nil="true"/>
    <IDBDocs_x0020_Number xmlns="cdc7663a-08f0-4737-9e8c-148ce897a09c">40691550</IDBDocs_x0020_Number>
    <Document_x0020_Author xmlns="cdc7663a-08f0-4737-9e8c-148ce897a09c">Tejeda Ricardez, Jesus Alberto</Document_x0020_Author>
    <TaxCatchAll xmlns="cdc7663a-08f0-4737-9e8c-148ce897a09c">
      <Value>5</Value>
      <Value>17</Value>
    </TaxCatchAll>
    <Fiscal_x0020_Year_x0020_IDB xmlns="cdc7663a-08f0-4737-9e8c-148ce897a09c">2016</Fiscal_x0020_Year_x0020_IDB>
    <Migration_x0020_Info xmlns="cdc7663a-08f0-4737-9e8c-148ce897a09c">&lt;Data&gt;&lt;APPLICATION&gt;MS WORD&lt;/APPLICATION&gt;&lt;USER_STAGE&gt;Environmental Analyses&lt;/USER_STAGE&gt;&lt;PD_OBJ_TYPE&gt;0&lt;/PD_OBJ_TYPE&gt;&lt;MAKERECORD&gt;N&lt;/MAKERECORD&gt;&lt;PD_FILEPT_NO&gt;PO-EC-L1219-ESI&lt;/PD_FILEPT_NO&gt;&lt;/Data&gt;</Migration_x0020_Info>
    <SISCOR_x0020_Number xmlns="cdc7663a-08f0-4737-9e8c-148ce897a09c" xsi:nil="true"/>
    <Identifier xmlns="cdc7663a-08f0-4737-9e8c-148ce897a09c"> REPORT</Identifier>
    <Document_x0020_Language_x0020_IDB xmlns="cdc7663a-08f0-4737-9e8c-148ce897a09c">Spanish</Document_x0020_Language_x0020_IDB>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From_x003a_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ORF-02.2 Auditing, Evaluation and Inspection - Case Working Documents</TermName>
          <TermId xmlns="http://schemas.microsoft.com/office/infopath/2007/PartnerControls">23cadae4-290a-4cca-bf39-2f1e9a6f4de3</TermId>
        </TermInfo>
      </Terms>
    </j65ec2e3a7e44c39a1acebfd2a19200a>
    <Related_x0020_SisCor_x0020_Number xmlns="cdc7663a-08f0-4737-9e8c-148ce897a09c" xsi:nil="true"/>
    <TaxKeywordTaxHTField xmlns="cdc7663a-08f0-4737-9e8c-148ce897a09c">
      <Terms xmlns="http://schemas.microsoft.com/office/infopath/2007/PartnerControls"/>
    </TaxKeywordTaxHTField>
    <To_x003a_ xmlns="cdc7663a-08f0-4737-9e8c-148ce897a09c" xsi:nil="true"/>
    <Record_x0020_Numb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5 Organization and Functions</TermName>
          <TermId xmlns="http://schemas.microsoft.com/office/infopath/2007/PartnerControls">4701d7f9-8df6-4219-aeac-8d4b644c65a0</TermId>
        </TermInfo>
      </Terms>
    </cf0f1ca6d90e4583ad80995bcde0e58a>
    <_dlc_DocId xmlns="cdc7663a-08f0-4737-9e8c-148ce897a09c">EZSHARE-394129275-41</_dlc_DocId>
    <_dlc_DocIdUrl xmlns="cdc7663a-08f0-4737-9e8c-148ce897a09c">
      <Url>https://idbg.sharepoint.com/teams/ez-MICI/cases/_layouts/15/DocIdRedir.aspx?ID=EZSHARE-394129275-41</Url>
      <Description>EZSHARE-394129275-41</Description>
    </_dlc_DocIdUrl>
  </documentManagement>
</p:properties>
</file>

<file path=customXml/item7.xml><?xml version="1.0" encoding="utf-8"?>
<?mso-contentType ?>
<FormUrls xmlns="http://schemas.microsoft.com/sharepoint/v3/contenttype/forms/url">
  <Display>_catalogs/masterpage/ECMForms/CorporateCT/View.aspx</Display>
  <Edit>_catalogs/masterpage/ECMForms/CorporateCT/Edit.aspx</Edit>
</FormUrls>
</file>

<file path=customXml/itemProps1.xml><?xml version="1.0" encoding="utf-8"?>
<ds:datastoreItem xmlns:ds="http://schemas.openxmlformats.org/officeDocument/2006/customXml" ds:itemID="{9F30065E-DD89-4193-845F-D34633B5599C}"/>
</file>

<file path=customXml/itemProps2.xml><?xml version="1.0" encoding="utf-8"?>
<ds:datastoreItem xmlns:ds="http://schemas.openxmlformats.org/officeDocument/2006/customXml" ds:itemID="{8593B96B-654D-4111-9050-FDD88B45D3E6}"/>
</file>

<file path=customXml/itemProps3.xml><?xml version="1.0" encoding="utf-8"?>
<ds:datastoreItem xmlns:ds="http://schemas.openxmlformats.org/officeDocument/2006/customXml" ds:itemID="{0CAD42DD-E28F-41BE-A988-5FE6F64A724A}"/>
</file>

<file path=customXml/itemProps4.xml><?xml version="1.0" encoding="utf-8"?>
<ds:datastoreItem xmlns:ds="http://schemas.openxmlformats.org/officeDocument/2006/customXml" ds:itemID="{D2C47595-131B-48E0-8AEB-996BAC090AE7}"/>
</file>

<file path=customXml/itemProps5.xml><?xml version="1.0" encoding="utf-8"?>
<ds:datastoreItem xmlns:ds="http://schemas.openxmlformats.org/officeDocument/2006/customXml" ds:itemID="{09694D0B-F16A-41F0-BEC0-7C3C1A2E828D}"/>
</file>

<file path=customXml/itemProps6.xml><?xml version="1.0" encoding="utf-8"?>
<ds:datastoreItem xmlns:ds="http://schemas.openxmlformats.org/officeDocument/2006/customXml" ds:itemID="{2D89EFA7-1A5C-45EF-AA61-70C96AD3A96A}"/>
</file>

<file path=customXml/itemProps7.xml><?xml version="1.0" encoding="utf-8"?>
<ds:datastoreItem xmlns:ds="http://schemas.openxmlformats.org/officeDocument/2006/customXml" ds:itemID="{35DDC1D7-ADDE-4814-B2C6-2B4E89074B4D}"/>
</file>

<file path=docProps/app.xml><?xml version="1.0" encoding="utf-8"?>
<Properties xmlns="http://schemas.openxmlformats.org/officeDocument/2006/extended-properties" xmlns:vt="http://schemas.openxmlformats.org/officeDocument/2006/docPropsVTypes">
  <Template>Normal.dotm</Template>
  <TotalTime>0</TotalTime>
  <Pages>36</Pages>
  <Words>10157</Words>
  <Characters>57895</Characters>
  <Application>Microsoft Office Word</Application>
  <DocSecurity>0</DocSecurity>
  <Lines>482</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67917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Ambiental y Social EC-L1219</dc:title>
  <dc:creator>Kléver Chávez</dc:creator>
  <cp:keywords/>
  <cp:lastModifiedBy>IADB</cp:lastModifiedBy>
  <cp:revision>3</cp:revision>
  <cp:lastPrinted>2016-10-31T18:54:00Z</cp:lastPrinted>
  <dcterms:created xsi:type="dcterms:W3CDTF">2016-11-01T15:15:00Z</dcterms:created>
  <dcterms:modified xsi:type="dcterms:W3CDTF">2016-11-01T15:16:00Z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0x0101000308A27134084F4AA40781B2DCA498A500721408117DDF814780936000BF61A1C3</vt:lpwstr>
  </property>
  <property fmtid="{D5CDD505-2E9C-101B-9397-08002B2CF9AE}" pid="5" name="TaxKeywordTaxHTField">
    <vt:lpwstr/>
  </property>
  <property fmtid="{D5CDD505-2E9C-101B-9397-08002B2CF9AE}" pid="6" name="Series Operations IDB">
    <vt:lpwstr>15;#Impact Assessment|2a0e641b-eea1-43b9-a56d-c42df477536e</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15;#Impact Assessment|2a0e641b-eea1-43b9-a56d-c42df477536e</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14;#Environmental and Social Risk Management|24bef61f-13fe-49fb-8944-c01660937ef9</vt:lpwstr>
  </property>
  <property fmtid="{D5CDD505-2E9C-101B-9397-08002B2CF9AE}" pid="15" name="_dlc_DocIdItemGuid">
    <vt:lpwstr>d5060332-ece7-4aba-b587-8f61f73c1e1a</vt:lpwstr>
  </property>
  <property fmtid="{D5CDD505-2E9C-101B-9397-08002B2CF9AE}" pid="16" name="Series Corporate IDB">
    <vt:lpwstr>17;#ORF-02.2 Auditing, Evaluation and Inspection - Case Working Documents|23cadae4-290a-4cca-bf39-2f1e9a6f4de3</vt:lpwstr>
  </property>
  <property fmtid="{D5CDD505-2E9C-101B-9397-08002B2CF9AE}" pid="17" name="Function Corporate IDB">
    <vt:lpwstr>5;#5 Organization and Functions|4701d7f9-8df6-4219-aeac-8d4b644c65a0</vt:lpwstr>
  </property>
  <property fmtid="{D5CDD505-2E9C-101B-9397-08002B2CF9AE}" pid="18" name="Disclosed">
    <vt:bool>true</vt:bool>
  </property>
</Properties>
</file>