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185FC" w14:textId="77777777" w:rsidR="00101EAB" w:rsidRPr="000E3522" w:rsidRDefault="00101EAB" w:rsidP="00CC2AC9">
      <w:pPr>
        <w:pStyle w:val="Title"/>
        <w:tabs>
          <w:tab w:val="clear" w:pos="1440"/>
          <w:tab w:val="clear" w:pos="3060"/>
        </w:tabs>
        <w:outlineLvl w:val="9"/>
        <w:rPr>
          <w:rFonts w:ascii="Arial" w:hAnsi="Arial" w:cs="Arial"/>
          <w:smallCaps/>
          <w:sz w:val="20"/>
          <w:lang w:val="es-ES"/>
        </w:rPr>
      </w:pPr>
      <w:bookmarkStart w:id="0" w:name="_Toc329186121"/>
      <w:r w:rsidRPr="000E3522">
        <w:rPr>
          <w:rFonts w:ascii="Arial" w:hAnsi="Arial" w:cs="Arial"/>
          <w:smallCaps/>
          <w:sz w:val="20"/>
          <w:lang w:val="es-ES"/>
        </w:rPr>
        <w:t>Documento del Banco Interamericano de Desarrollo</w:t>
      </w:r>
      <w:bookmarkEnd w:id="0"/>
    </w:p>
    <w:p w14:paraId="7D7E02EA" w14:textId="77777777" w:rsidR="00101EAB" w:rsidRPr="000E3522" w:rsidRDefault="00101EAB" w:rsidP="00CC2AC9">
      <w:pPr>
        <w:pStyle w:val="ListParagraph"/>
        <w:spacing w:before="120"/>
        <w:ind w:left="0"/>
        <w:jc w:val="center"/>
        <w:rPr>
          <w:rFonts w:ascii="Arial" w:hAnsi="Arial" w:cs="Arial"/>
          <w:b/>
          <w:sz w:val="20"/>
          <w:szCs w:val="20"/>
          <w:lang w:val="es-ES"/>
        </w:rPr>
      </w:pPr>
    </w:p>
    <w:p w14:paraId="6642BA33" w14:textId="77777777" w:rsidR="00101EAB" w:rsidRPr="000E3522" w:rsidRDefault="00101EAB" w:rsidP="00CC2AC9">
      <w:pPr>
        <w:tabs>
          <w:tab w:val="left" w:pos="1440"/>
          <w:tab w:val="left" w:pos="3060"/>
        </w:tabs>
        <w:jc w:val="center"/>
        <w:rPr>
          <w:rFonts w:ascii="Arial" w:hAnsi="Arial" w:cs="Arial"/>
          <w:b/>
          <w:smallCaps/>
          <w:sz w:val="20"/>
          <w:szCs w:val="20"/>
          <w:lang w:val="es-ES"/>
        </w:rPr>
      </w:pPr>
    </w:p>
    <w:p w14:paraId="28EE25A6" w14:textId="77777777" w:rsidR="00101EAB" w:rsidRPr="000E3522" w:rsidRDefault="00101EAB" w:rsidP="00CC2AC9">
      <w:pPr>
        <w:tabs>
          <w:tab w:val="left" w:pos="1440"/>
          <w:tab w:val="left" w:pos="3060"/>
        </w:tabs>
        <w:jc w:val="center"/>
        <w:rPr>
          <w:rFonts w:ascii="Arial" w:hAnsi="Arial" w:cs="Arial"/>
          <w:b/>
          <w:smallCaps/>
          <w:sz w:val="20"/>
          <w:szCs w:val="20"/>
          <w:lang w:val="es-ES"/>
        </w:rPr>
      </w:pPr>
    </w:p>
    <w:p w14:paraId="53271317" w14:textId="77777777" w:rsidR="00101EAB" w:rsidRPr="000E3522" w:rsidRDefault="00101EAB" w:rsidP="00CC2AC9">
      <w:pPr>
        <w:tabs>
          <w:tab w:val="left" w:pos="1440"/>
          <w:tab w:val="left" w:pos="3060"/>
        </w:tabs>
        <w:jc w:val="center"/>
        <w:rPr>
          <w:rFonts w:ascii="Arial" w:hAnsi="Arial" w:cs="Arial"/>
          <w:b/>
          <w:smallCaps/>
          <w:sz w:val="24"/>
          <w:szCs w:val="24"/>
          <w:lang w:val="es-AR"/>
        </w:rPr>
      </w:pPr>
      <w:r w:rsidRPr="000E3522">
        <w:rPr>
          <w:rFonts w:ascii="Arial" w:hAnsi="Arial" w:cs="Arial"/>
          <w:b/>
          <w:smallCaps/>
          <w:sz w:val="24"/>
          <w:szCs w:val="24"/>
          <w:lang w:val="es-AR"/>
        </w:rPr>
        <w:t>Argentina</w:t>
      </w:r>
    </w:p>
    <w:p w14:paraId="1D1445A1" w14:textId="77777777" w:rsidR="00101EAB" w:rsidRPr="000E3522" w:rsidRDefault="00101EAB" w:rsidP="00CC2AC9">
      <w:pPr>
        <w:tabs>
          <w:tab w:val="left" w:pos="1440"/>
          <w:tab w:val="left" w:pos="3060"/>
        </w:tabs>
        <w:jc w:val="center"/>
        <w:rPr>
          <w:rFonts w:ascii="Arial" w:hAnsi="Arial" w:cs="Arial"/>
          <w:b/>
          <w:smallCaps/>
          <w:sz w:val="20"/>
          <w:szCs w:val="20"/>
          <w:highlight w:val="lightGray"/>
          <w:lang w:val="es-ES"/>
        </w:rPr>
      </w:pPr>
    </w:p>
    <w:p w14:paraId="2DBFF706" w14:textId="77777777" w:rsidR="00101EAB" w:rsidRPr="000E3522" w:rsidRDefault="00101EAB" w:rsidP="00CC2AC9">
      <w:pPr>
        <w:tabs>
          <w:tab w:val="left" w:pos="1440"/>
          <w:tab w:val="left" w:pos="3060"/>
        </w:tabs>
        <w:jc w:val="center"/>
        <w:rPr>
          <w:rFonts w:ascii="Arial" w:hAnsi="Arial" w:cs="Arial"/>
          <w:b/>
          <w:smallCaps/>
          <w:sz w:val="20"/>
          <w:szCs w:val="20"/>
          <w:highlight w:val="lightGray"/>
          <w:lang w:val="es-ES"/>
        </w:rPr>
      </w:pPr>
    </w:p>
    <w:p w14:paraId="6284C992" w14:textId="77777777" w:rsidR="000E3522" w:rsidRPr="000E3522" w:rsidRDefault="000E3522" w:rsidP="00CC2AC9">
      <w:pPr>
        <w:tabs>
          <w:tab w:val="left" w:pos="1440"/>
          <w:tab w:val="left" w:pos="3060"/>
        </w:tabs>
        <w:jc w:val="center"/>
        <w:rPr>
          <w:rFonts w:ascii="Arial" w:hAnsi="Arial" w:cs="Arial"/>
          <w:b/>
          <w:smallCaps/>
          <w:sz w:val="20"/>
          <w:szCs w:val="20"/>
          <w:highlight w:val="lightGray"/>
          <w:lang w:val="es-ES"/>
        </w:rPr>
      </w:pPr>
    </w:p>
    <w:p w14:paraId="1B35D443" w14:textId="77777777" w:rsidR="000E3522" w:rsidRPr="000E3522" w:rsidRDefault="000E3522" w:rsidP="00CC2AC9">
      <w:pPr>
        <w:tabs>
          <w:tab w:val="left" w:pos="1440"/>
          <w:tab w:val="left" w:pos="3060"/>
        </w:tabs>
        <w:jc w:val="center"/>
        <w:rPr>
          <w:rFonts w:ascii="Arial" w:hAnsi="Arial" w:cs="Arial"/>
          <w:b/>
          <w:smallCaps/>
          <w:sz w:val="20"/>
          <w:szCs w:val="20"/>
          <w:highlight w:val="lightGray"/>
          <w:lang w:val="es-ES"/>
        </w:rPr>
      </w:pPr>
    </w:p>
    <w:p w14:paraId="7B1CC93B" w14:textId="77777777" w:rsidR="000E3522" w:rsidRPr="000E3522" w:rsidRDefault="000E3522" w:rsidP="00CC2AC9">
      <w:pPr>
        <w:tabs>
          <w:tab w:val="left" w:pos="1440"/>
          <w:tab w:val="left" w:pos="3060"/>
        </w:tabs>
        <w:jc w:val="center"/>
        <w:rPr>
          <w:rFonts w:ascii="Arial" w:hAnsi="Arial" w:cs="Arial"/>
          <w:b/>
          <w:smallCaps/>
          <w:sz w:val="20"/>
          <w:szCs w:val="20"/>
          <w:highlight w:val="lightGray"/>
          <w:lang w:val="es-ES"/>
        </w:rPr>
      </w:pPr>
    </w:p>
    <w:p w14:paraId="38746A3C" w14:textId="77777777" w:rsidR="00101EAB" w:rsidRPr="000E3522" w:rsidRDefault="00101EAB" w:rsidP="000E3522">
      <w:pPr>
        <w:tabs>
          <w:tab w:val="left" w:pos="1440"/>
          <w:tab w:val="left" w:pos="3060"/>
        </w:tabs>
        <w:spacing w:after="0"/>
        <w:jc w:val="center"/>
        <w:rPr>
          <w:rFonts w:ascii="Arial" w:hAnsi="Arial" w:cs="Arial"/>
          <w:b/>
          <w:smallCaps/>
          <w:sz w:val="24"/>
          <w:szCs w:val="24"/>
          <w:lang w:val="es-AR"/>
        </w:rPr>
      </w:pPr>
      <w:r w:rsidRPr="000E3522">
        <w:rPr>
          <w:rFonts w:ascii="Arial" w:hAnsi="Arial" w:cs="Arial"/>
          <w:b/>
          <w:smallCaps/>
          <w:sz w:val="20"/>
          <w:szCs w:val="20"/>
          <w:lang w:val="es-AR"/>
        </w:rPr>
        <w:t>P</w:t>
      </w:r>
      <w:r w:rsidRPr="000E3522">
        <w:rPr>
          <w:rFonts w:ascii="Arial" w:hAnsi="Arial" w:cs="Arial"/>
          <w:b/>
          <w:smallCaps/>
          <w:sz w:val="24"/>
          <w:szCs w:val="24"/>
          <w:lang w:val="es-AR"/>
        </w:rPr>
        <w:t xml:space="preserve">rograma de Desarrollo y </w:t>
      </w:r>
      <w:r w:rsidRPr="000E3522">
        <w:rPr>
          <w:rFonts w:ascii="Arial" w:hAnsi="Arial" w:cs="Arial"/>
          <w:b/>
          <w:bCs/>
          <w:smallCaps/>
          <w:sz w:val="24"/>
          <w:szCs w:val="24"/>
          <w:lang w:val="es-AR"/>
        </w:rPr>
        <w:t>Fortalecimiento de la Gestión Provincial</w:t>
      </w:r>
      <w:r w:rsidRPr="000E3522">
        <w:rPr>
          <w:rFonts w:ascii="Arial" w:hAnsi="Arial" w:cs="Arial"/>
          <w:b/>
          <w:smallCaps/>
          <w:sz w:val="24"/>
          <w:szCs w:val="24"/>
          <w:lang w:val="es-AR"/>
        </w:rPr>
        <w:t xml:space="preserve"> </w:t>
      </w:r>
    </w:p>
    <w:p w14:paraId="651C5D75" w14:textId="77777777" w:rsidR="00101EAB" w:rsidRPr="000E3522" w:rsidRDefault="00101EAB" w:rsidP="000E3522">
      <w:pPr>
        <w:tabs>
          <w:tab w:val="left" w:pos="1440"/>
          <w:tab w:val="left" w:pos="3060"/>
        </w:tabs>
        <w:spacing w:after="0"/>
        <w:jc w:val="center"/>
        <w:rPr>
          <w:rFonts w:ascii="Arial" w:hAnsi="Arial" w:cs="Arial"/>
          <w:b/>
          <w:smallCaps/>
          <w:sz w:val="24"/>
          <w:szCs w:val="24"/>
          <w:lang w:val="es-ES"/>
        </w:rPr>
      </w:pPr>
      <w:r w:rsidRPr="000E3522">
        <w:rPr>
          <w:rFonts w:ascii="Arial" w:hAnsi="Arial" w:cs="Arial"/>
          <w:b/>
          <w:smallCaps/>
          <w:sz w:val="24"/>
          <w:szCs w:val="24"/>
          <w:lang w:val="es-AR"/>
        </w:rPr>
        <w:t>(AR-L1248)</w:t>
      </w:r>
    </w:p>
    <w:p w14:paraId="0C3A2D4B" w14:textId="77777777" w:rsidR="00101EAB" w:rsidRPr="000E3522" w:rsidRDefault="00101EAB" w:rsidP="00CC2AC9">
      <w:pPr>
        <w:pStyle w:val="Newpage"/>
        <w:rPr>
          <w:rFonts w:ascii="Arial" w:hAnsi="Arial"/>
          <w:b w:val="0"/>
          <w:caps/>
          <w:smallCaps w:val="0"/>
          <w:sz w:val="20"/>
          <w:lang w:val="es-ES"/>
        </w:rPr>
      </w:pPr>
    </w:p>
    <w:p w14:paraId="2EE85D48" w14:textId="77777777" w:rsidR="00101EAB" w:rsidRPr="000E3522" w:rsidRDefault="00101EAB" w:rsidP="00CC2AC9">
      <w:pPr>
        <w:tabs>
          <w:tab w:val="left" w:pos="1440"/>
          <w:tab w:val="left" w:pos="3060"/>
        </w:tabs>
        <w:jc w:val="center"/>
        <w:rPr>
          <w:rFonts w:ascii="Arial" w:hAnsi="Arial" w:cs="Arial"/>
          <w:smallCaps/>
          <w:sz w:val="20"/>
          <w:szCs w:val="20"/>
          <w:lang w:val="es-ES"/>
        </w:rPr>
      </w:pPr>
    </w:p>
    <w:p w14:paraId="0EE7CBF4" w14:textId="77777777" w:rsidR="000E3522" w:rsidRPr="000E3522" w:rsidRDefault="000E3522" w:rsidP="00CC2AC9">
      <w:pPr>
        <w:tabs>
          <w:tab w:val="left" w:pos="1440"/>
          <w:tab w:val="left" w:pos="3060"/>
        </w:tabs>
        <w:jc w:val="center"/>
        <w:rPr>
          <w:rFonts w:ascii="Arial" w:hAnsi="Arial" w:cs="Arial"/>
          <w:smallCaps/>
          <w:sz w:val="20"/>
          <w:szCs w:val="20"/>
          <w:lang w:val="es-ES"/>
        </w:rPr>
      </w:pPr>
    </w:p>
    <w:p w14:paraId="6D8815EC" w14:textId="77777777" w:rsidR="000E3522" w:rsidRPr="000E3522" w:rsidRDefault="000E3522" w:rsidP="00CC2AC9">
      <w:pPr>
        <w:tabs>
          <w:tab w:val="left" w:pos="1440"/>
          <w:tab w:val="left" w:pos="3060"/>
        </w:tabs>
        <w:jc w:val="center"/>
        <w:rPr>
          <w:rFonts w:ascii="Arial" w:hAnsi="Arial" w:cs="Arial"/>
          <w:smallCaps/>
          <w:sz w:val="20"/>
          <w:szCs w:val="20"/>
          <w:lang w:val="es-ES"/>
        </w:rPr>
      </w:pPr>
    </w:p>
    <w:p w14:paraId="18BDE71D" w14:textId="77777777" w:rsidR="000E3522" w:rsidRPr="000E3522" w:rsidRDefault="000E3522" w:rsidP="00CC2AC9">
      <w:pPr>
        <w:tabs>
          <w:tab w:val="left" w:pos="1440"/>
          <w:tab w:val="left" w:pos="3060"/>
        </w:tabs>
        <w:jc w:val="center"/>
        <w:rPr>
          <w:rFonts w:ascii="Arial" w:hAnsi="Arial" w:cs="Arial"/>
          <w:smallCaps/>
          <w:sz w:val="20"/>
          <w:szCs w:val="20"/>
          <w:lang w:val="es-ES"/>
        </w:rPr>
      </w:pPr>
    </w:p>
    <w:p w14:paraId="4857F80F" w14:textId="77777777" w:rsidR="000E3522" w:rsidRPr="000E3522" w:rsidRDefault="000E3522" w:rsidP="00CC2AC9">
      <w:pPr>
        <w:tabs>
          <w:tab w:val="left" w:pos="1440"/>
          <w:tab w:val="left" w:pos="3060"/>
        </w:tabs>
        <w:jc w:val="center"/>
        <w:rPr>
          <w:rFonts w:ascii="Arial" w:hAnsi="Arial" w:cs="Arial"/>
          <w:smallCaps/>
          <w:sz w:val="20"/>
          <w:szCs w:val="20"/>
          <w:lang w:val="es-ES"/>
        </w:rPr>
      </w:pPr>
    </w:p>
    <w:p w14:paraId="71D43DF3" w14:textId="77777777" w:rsidR="000E3522" w:rsidRPr="000E3522" w:rsidRDefault="000E3522" w:rsidP="00CC2AC9">
      <w:pPr>
        <w:tabs>
          <w:tab w:val="left" w:pos="1440"/>
          <w:tab w:val="left" w:pos="3060"/>
        </w:tabs>
        <w:jc w:val="center"/>
        <w:rPr>
          <w:rFonts w:ascii="Arial" w:hAnsi="Arial" w:cs="Arial"/>
          <w:smallCaps/>
          <w:sz w:val="20"/>
          <w:szCs w:val="20"/>
          <w:lang w:val="es-ES"/>
        </w:rPr>
      </w:pPr>
    </w:p>
    <w:p w14:paraId="76597FB2" w14:textId="77777777" w:rsidR="000E3522" w:rsidRPr="000E3522" w:rsidRDefault="000E3522" w:rsidP="00CC2AC9">
      <w:pPr>
        <w:tabs>
          <w:tab w:val="left" w:pos="1440"/>
          <w:tab w:val="left" w:pos="3060"/>
        </w:tabs>
        <w:jc w:val="center"/>
        <w:rPr>
          <w:rFonts w:ascii="Arial" w:hAnsi="Arial" w:cs="Arial"/>
          <w:smallCaps/>
          <w:sz w:val="20"/>
          <w:szCs w:val="20"/>
          <w:lang w:val="es-ES"/>
        </w:rPr>
      </w:pPr>
    </w:p>
    <w:p w14:paraId="234F4E20" w14:textId="77777777" w:rsidR="00101EAB" w:rsidRPr="000E3522" w:rsidRDefault="00101EAB" w:rsidP="00CC2AC9">
      <w:pPr>
        <w:tabs>
          <w:tab w:val="left" w:pos="3060"/>
        </w:tabs>
        <w:jc w:val="center"/>
        <w:rPr>
          <w:rFonts w:ascii="Arial" w:hAnsi="Arial" w:cs="Arial"/>
          <w:b/>
          <w:smallCaps/>
          <w:sz w:val="24"/>
          <w:szCs w:val="24"/>
          <w:lang w:val="es-ES_tradnl"/>
        </w:rPr>
      </w:pPr>
      <w:r w:rsidRPr="000E3522">
        <w:rPr>
          <w:rFonts w:ascii="Arial" w:hAnsi="Arial" w:cs="Arial"/>
          <w:b/>
          <w:smallCaps/>
          <w:sz w:val="24"/>
          <w:szCs w:val="24"/>
          <w:lang w:val="es-ES_tradnl"/>
        </w:rPr>
        <w:t xml:space="preserve">Análisis del Cumplimiento de la </w:t>
      </w:r>
      <w:r w:rsidRPr="000E3522">
        <w:rPr>
          <w:rFonts w:ascii="Arial" w:hAnsi="Arial" w:cs="Arial"/>
          <w:b/>
          <w:smallCaps/>
          <w:sz w:val="24"/>
          <w:szCs w:val="24"/>
          <w:lang w:val="es-ES_tradnl"/>
        </w:rPr>
        <w:br/>
        <w:t>Política de Servicios Públicos Domiciliarios (</w:t>
      </w:r>
      <w:r w:rsidRPr="000E3522">
        <w:rPr>
          <w:rFonts w:ascii="Arial" w:hAnsi="Arial" w:cs="Arial"/>
          <w:b/>
          <w:smallCaps/>
          <w:sz w:val="24"/>
          <w:szCs w:val="24"/>
          <w:lang w:val="es-ES"/>
        </w:rPr>
        <w:t>GN-2716-6</w:t>
      </w:r>
      <w:r w:rsidRPr="000E3522">
        <w:rPr>
          <w:rFonts w:ascii="Arial" w:hAnsi="Arial" w:cs="Arial"/>
          <w:b/>
          <w:smallCaps/>
          <w:sz w:val="24"/>
          <w:szCs w:val="24"/>
          <w:lang w:val="es-ES_tradnl"/>
        </w:rPr>
        <w:t xml:space="preserve">) </w:t>
      </w:r>
    </w:p>
    <w:p w14:paraId="0697F924" w14:textId="77777777" w:rsidR="00101EAB" w:rsidRPr="000E3522" w:rsidRDefault="00101EAB" w:rsidP="00CC2AC9">
      <w:pPr>
        <w:tabs>
          <w:tab w:val="left" w:pos="1440"/>
          <w:tab w:val="left" w:pos="3060"/>
        </w:tabs>
        <w:outlineLvl w:val="0"/>
        <w:rPr>
          <w:rFonts w:ascii="Arial" w:hAnsi="Arial" w:cs="Arial"/>
          <w:b/>
          <w:smallCaps/>
          <w:sz w:val="20"/>
          <w:szCs w:val="20"/>
          <w:lang w:val="es-AR"/>
        </w:rPr>
      </w:pPr>
    </w:p>
    <w:p w14:paraId="0F3D810B" w14:textId="77777777" w:rsidR="00101EAB" w:rsidRPr="000E3522" w:rsidRDefault="00101EAB" w:rsidP="00CC2AC9">
      <w:pPr>
        <w:pStyle w:val="ListParagraph"/>
        <w:spacing w:before="120"/>
        <w:ind w:left="1080"/>
        <w:jc w:val="center"/>
        <w:rPr>
          <w:rFonts w:ascii="Arial" w:hAnsi="Arial" w:cs="Arial"/>
          <w:b/>
          <w:sz w:val="20"/>
          <w:szCs w:val="20"/>
          <w:lang w:val="es-AR"/>
        </w:rPr>
      </w:pPr>
    </w:p>
    <w:p w14:paraId="458C47DB" w14:textId="77777777" w:rsidR="00101EAB" w:rsidRPr="000E3522" w:rsidRDefault="00101EAB" w:rsidP="00CC2AC9">
      <w:pPr>
        <w:pStyle w:val="ListParagraph"/>
        <w:spacing w:before="120"/>
        <w:ind w:left="1080"/>
        <w:jc w:val="center"/>
        <w:rPr>
          <w:rFonts w:ascii="Arial" w:hAnsi="Arial" w:cs="Arial"/>
          <w:b/>
          <w:sz w:val="20"/>
          <w:szCs w:val="20"/>
          <w:lang w:val="es-AR"/>
        </w:rPr>
      </w:pPr>
    </w:p>
    <w:p w14:paraId="31AD73A0" w14:textId="77777777" w:rsidR="00101EAB" w:rsidRPr="000E3522" w:rsidRDefault="00101EAB" w:rsidP="00CC2AC9">
      <w:pPr>
        <w:pStyle w:val="ListParagraph"/>
        <w:spacing w:before="120"/>
        <w:ind w:left="1080"/>
        <w:jc w:val="center"/>
        <w:rPr>
          <w:rFonts w:ascii="Arial" w:hAnsi="Arial" w:cs="Arial"/>
          <w:b/>
          <w:sz w:val="20"/>
          <w:szCs w:val="20"/>
          <w:lang w:val="es-AR"/>
        </w:rPr>
      </w:pPr>
    </w:p>
    <w:p w14:paraId="66399D82" w14:textId="77777777" w:rsidR="00101EAB" w:rsidRPr="000E3522" w:rsidRDefault="00101EAB" w:rsidP="00CC2AC9">
      <w:pPr>
        <w:pStyle w:val="ListParagraph"/>
        <w:spacing w:before="120"/>
        <w:ind w:left="1080"/>
        <w:jc w:val="center"/>
        <w:rPr>
          <w:rFonts w:ascii="Arial" w:hAnsi="Arial" w:cs="Arial"/>
          <w:b/>
          <w:sz w:val="20"/>
          <w:szCs w:val="20"/>
          <w:lang w:val="es-AR"/>
        </w:rPr>
      </w:pPr>
    </w:p>
    <w:p w14:paraId="4B5C8301" w14:textId="77777777" w:rsidR="00101EAB" w:rsidRPr="000E3522" w:rsidRDefault="00101EAB" w:rsidP="00CC2AC9">
      <w:pPr>
        <w:pStyle w:val="ListParagraph"/>
        <w:spacing w:before="120"/>
        <w:ind w:left="1080"/>
        <w:jc w:val="center"/>
        <w:rPr>
          <w:rFonts w:ascii="Arial" w:hAnsi="Arial" w:cs="Arial"/>
          <w:b/>
          <w:sz w:val="20"/>
          <w:szCs w:val="20"/>
          <w:lang w:val="es-AR"/>
        </w:rPr>
      </w:pPr>
    </w:p>
    <w:p w14:paraId="371AA417" w14:textId="77777777" w:rsidR="00101EAB" w:rsidRPr="000E3522" w:rsidRDefault="00101EAB" w:rsidP="00CC2AC9">
      <w:pPr>
        <w:pStyle w:val="ListParagraph"/>
        <w:spacing w:before="120"/>
        <w:ind w:left="1080"/>
        <w:jc w:val="center"/>
        <w:rPr>
          <w:rFonts w:ascii="Arial" w:hAnsi="Arial" w:cs="Arial"/>
          <w:b/>
          <w:sz w:val="20"/>
          <w:szCs w:val="20"/>
          <w:lang w:val="es-AR"/>
        </w:rPr>
      </w:pPr>
    </w:p>
    <w:p w14:paraId="24705F9F" w14:textId="77777777" w:rsidR="00101EAB" w:rsidRPr="000E3522" w:rsidRDefault="00101EAB" w:rsidP="000E3522">
      <w:pPr>
        <w:spacing w:before="120"/>
        <w:rPr>
          <w:rFonts w:ascii="Arial" w:hAnsi="Arial" w:cs="Arial"/>
          <w:b/>
          <w:sz w:val="20"/>
          <w:szCs w:val="20"/>
          <w:lang w:val="es-AR"/>
        </w:rPr>
      </w:pPr>
    </w:p>
    <w:p w14:paraId="06111422" w14:textId="77777777" w:rsidR="00101EAB" w:rsidRPr="000E3522" w:rsidRDefault="00101EAB" w:rsidP="00CC2AC9">
      <w:pPr>
        <w:tabs>
          <w:tab w:val="left" w:pos="1440"/>
          <w:tab w:val="left" w:pos="3060"/>
        </w:tabs>
        <w:jc w:val="center"/>
        <w:rPr>
          <w:rFonts w:ascii="Arial" w:hAnsi="Arial" w:cs="Arial"/>
          <w:sz w:val="20"/>
          <w:szCs w:val="20"/>
          <w:lang w:val="es-AR"/>
        </w:rPr>
      </w:pPr>
    </w:p>
    <w:p w14:paraId="583E06C3" w14:textId="77777777" w:rsidR="00101EAB" w:rsidRPr="000E3522" w:rsidRDefault="00101EAB" w:rsidP="00CC2AC9">
      <w:pPr>
        <w:autoSpaceDE w:val="0"/>
        <w:autoSpaceDN w:val="0"/>
        <w:adjustRightInd w:val="0"/>
        <w:jc w:val="both"/>
        <w:rPr>
          <w:rFonts w:ascii="Arial" w:hAnsi="Arial" w:cs="Arial"/>
          <w:b/>
          <w:bCs/>
          <w:i/>
          <w:iCs/>
          <w:sz w:val="20"/>
          <w:szCs w:val="20"/>
          <w:lang w:val="es-ES"/>
        </w:rPr>
        <w:sectPr w:rsidR="00101EAB" w:rsidRPr="000E3522" w:rsidSect="00862C11">
          <w:footerReference w:type="default" r:id="rId9"/>
          <w:pgSz w:w="12240" w:h="15840" w:code="1"/>
          <w:pgMar w:top="1440" w:right="1800" w:bottom="1440" w:left="1800" w:header="720" w:footer="432" w:gutter="0"/>
          <w:cols w:space="720"/>
          <w:vAlign w:val="both"/>
          <w:titlePg/>
          <w:docGrid w:linePitch="360"/>
        </w:sectPr>
      </w:pPr>
    </w:p>
    <w:p w14:paraId="5E963956" w14:textId="77777777" w:rsidR="00101EAB" w:rsidRPr="000E3522" w:rsidRDefault="00101EAB" w:rsidP="00101EAB">
      <w:pPr>
        <w:tabs>
          <w:tab w:val="left" w:pos="1440"/>
          <w:tab w:val="left" w:pos="3060"/>
        </w:tabs>
        <w:jc w:val="center"/>
        <w:rPr>
          <w:rFonts w:ascii="Arial" w:hAnsi="Arial" w:cs="Arial"/>
          <w:b/>
          <w:smallCaps/>
          <w:sz w:val="20"/>
          <w:szCs w:val="20"/>
          <w:lang w:val="es-AR"/>
        </w:rPr>
      </w:pPr>
      <w:r w:rsidRPr="000E3522">
        <w:rPr>
          <w:rFonts w:ascii="Arial" w:hAnsi="Arial" w:cs="Arial"/>
          <w:b/>
          <w:smallCaps/>
          <w:sz w:val="20"/>
          <w:szCs w:val="20"/>
          <w:lang w:val="es-AR"/>
        </w:rPr>
        <w:lastRenderedPageBreak/>
        <w:t xml:space="preserve">Programa de Desarrollo y </w:t>
      </w:r>
      <w:r w:rsidRPr="000E3522">
        <w:rPr>
          <w:rFonts w:ascii="Arial" w:hAnsi="Arial" w:cs="Arial"/>
          <w:b/>
          <w:bCs/>
          <w:smallCaps/>
          <w:sz w:val="20"/>
          <w:szCs w:val="20"/>
          <w:lang w:val="es-AR"/>
        </w:rPr>
        <w:t>Fortalecimiento de la Gestión Provincial</w:t>
      </w:r>
      <w:r w:rsidRPr="000E3522">
        <w:rPr>
          <w:rFonts w:ascii="Arial" w:hAnsi="Arial" w:cs="Arial"/>
          <w:b/>
          <w:smallCaps/>
          <w:sz w:val="20"/>
          <w:szCs w:val="20"/>
          <w:lang w:val="es-AR"/>
        </w:rPr>
        <w:t xml:space="preserve"> </w:t>
      </w:r>
    </w:p>
    <w:p w14:paraId="4422718F" w14:textId="77777777" w:rsidR="00101EAB" w:rsidRPr="000E3522" w:rsidRDefault="00101EAB" w:rsidP="00101EAB">
      <w:pPr>
        <w:tabs>
          <w:tab w:val="left" w:pos="1440"/>
          <w:tab w:val="left" w:pos="3060"/>
        </w:tabs>
        <w:jc w:val="center"/>
        <w:rPr>
          <w:rFonts w:ascii="Arial" w:hAnsi="Arial" w:cs="Arial"/>
          <w:b/>
          <w:smallCaps/>
          <w:sz w:val="20"/>
          <w:szCs w:val="20"/>
          <w:lang w:val="es-ES"/>
        </w:rPr>
      </w:pPr>
      <w:r w:rsidRPr="000E3522">
        <w:rPr>
          <w:rFonts w:ascii="Arial" w:hAnsi="Arial" w:cs="Arial"/>
          <w:b/>
          <w:smallCaps/>
          <w:sz w:val="20"/>
          <w:szCs w:val="20"/>
          <w:lang w:val="es-AR"/>
        </w:rPr>
        <w:t>(AR-L1248)</w:t>
      </w:r>
    </w:p>
    <w:p w14:paraId="786B4234" w14:textId="77777777" w:rsidR="00101EAB" w:rsidRPr="000E3522" w:rsidRDefault="00101EAB" w:rsidP="00101EAB">
      <w:pPr>
        <w:tabs>
          <w:tab w:val="left" w:pos="3060"/>
        </w:tabs>
        <w:jc w:val="center"/>
        <w:rPr>
          <w:rFonts w:ascii="Arial" w:hAnsi="Arial" w:cs="Arial"/>
          <w:b/>
          <w:smallCaps/>
          <w:sz w:val="20"/>
          <w:szCs w:val="20"/>
          <w:lang w:val="es-ES_tradnl"/>
        </w:rPr>
      </w:pPr>
      <w:r w:rsidRPr="000E3522">
        <w:rPr>
          <w:rFonts w:ascii="Arial" w:hAnsi="Arial" w:cs="Arial"/>
          <w:b/>
          <w:smallCaps/>
          <w:sz w:val="20"/>
          <w:szCs w:val="20"/>
          <w:lang w:val="es-ES_tradnl"/>
        </w:rPr>
        <w:t>Análisis del Cumplimiento del Programa de con la Política de Servicios Públicos Domiciliarios (</w:t>
      </w:r>
      <w:r w:rsidRPr="000E3522">
        <w:rPr>
          <w:rFonts w:ascii="Arial" w:hAnsi="Arial" w:cs="Arial"/>
          <w:b/>
          <w:smallCaps/>
          <w:sz w:val="20"/>
          <w:szCs w:val="20"/>
          <w:lang w:val="es-ES"/>
        </w:rPr>
        <w:t>GN-2716-6</w:t>
      </w:r>
      <w:r w:rsidRPr="000E3522">
        <w:rPr>
          <w:rFonts w:ascii="Arial" w:hAnsi="Arial" w:cs="Arial"/>
          <w:b/>
          <w:smallCaps/>
          <w:sz w:val="20"/>
          <w:szCs w:val="20"/>
          <w:lang w:val="es-ES_tradnl"/>
        </w:rPr>
        <w:t xml:space="preserve">) del 4 de Diciembre de 2013 </w:t>
      </w:r>
    </w:p>
    <w:tbl>
      <w:tblPr>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040"/>
        <w:gridCol w:w="5571"/>
      </w:tblGrid>
      <w:tr w:rsidR="00EE54D0" w:rsidRPr="000E3522" w14:paraId="7E0DFDE1" w14:textId="77777777" w:rsidTr="00EE54D0">
        <w:trPr>
          <w:trHeight w:val="251"/>
          <w:jc w:val="center"/>
        </w:trPr>
        <w:tc>
          <w:tcPr>
            <w:tcW w:w="3133" w:type="dxa"/>
            <w:shd w:val="clear" w:color="auto" w:fill="B8CCE4" w:themeFill="accent1" w:themeFillTint="66"/>
            <w:vAlign w:val="center"/>
          </w:tcPr>
          <w:p w14:paraId="45D7BB21" w14:textId="77777777" w:rsidR="00D14DE7" w:rsidRPr="000E3522" w:rsidRDefault="00D14DE7" w:rsidP="00FE3587">
            <w:pPr>
              <w:spacing w:after="0" w:line="240" w:lineRule="auto"/>
              <w:jc w:val="center"/>
              <w:rPr>
                <w:rFonts w:ascii="Arial" w:hAnsi="Arial" w:cs="Arial"/>
                <w:b/>
                <w:smallCaps/>
                <w:lang w:val="es-ES"/>
              </w:rPr>
            </w:pPr>
            <w:r w:rsidRPr="000E3522">
              <w:rPr>
                <w:rFonts w:ascii="Arial" w:hAnsi="Arial" w:cs="Arial"/>
                <w:b/>
                <w:smallCaps/>
                <w:lang w:val="es-ES"/>
              </w:rPr>
              <w:t>Política</w:t>
            </w:r>
          </w:p>
        </w:tc>
        <w:tc>
          <w:tcPr>
            <w:tcW w:w="5040" w:type="dxa"/>
            <w:shd w:val="clear" w:color="auto" w:fill="B8CCE4" w:themeFill="accent1" w:themeFillTint="66"/>
            <w:vAlign w:val="center"/>
          </w:tcPr>
          <w:p w14:paraId="0032ACBF" w14:textId="77777777" w:rsidR="00D14DE7" w:rsidRPr="000E3522" w:rsidRDefault="00D14DE7" w:rsidP="00FE3587">
            <w:pPr>
              <w:spacing w:after="0" w:line="240" w:lineRule="auto"/>
              <w:ind w:left="270" w:hanging="270"/>
              <w:jc w:val="center"/>
              <w:rPr>
                <w:rFonts w:ascii="Arial" w:hAnsi="Arial" w:cs="Arial"/>
                <w:b/>
                <w:smallCaps/>
                <w:lang w:val="es-ES"/>
              </w:rPr>
            </w:pPr>
            <w:r w:rsidRPr="000E3522">
              <w:rPr>
                <w:rFonts w:ascii="Arial" w:hAnsi="Arial" w:cs="Arial"/>
                <w:b/>
                <w:smallCaps/>
                <w:lang w:val="es-ES"/>
              </w:rPr>
              <w:t>Descripción</w:t>
            </w:r>
          </w:p>
        </w:tc>
        <w:tc>
          <w:tcPr>
            <w:tcW w:w="5571" w:type="dxa"/>
            <w:shd w:val="clear" w:color="auto" w:fill="B8CCE4" w:themeFill="accent1" w:themeFillTint="66"/>
            <w:vAlign w:val="center"/>
          </w:tcPr>
          <w:p w14:paraId="3319C100" w14:textId="77777777" w:rsidR="00D14DE7" w:rsidRPr="000E3522" w:rsidRDefault="00D14DE7" w:rsidP="00FE3587">
            <w:pPr>
              <w:spacing w:after="0" w:line="240" w:lineRule="auto"/>
              <w:ind w:left="270" w:hanging="270"/>
              <w:jc w:val="center"/>
              <w:rPr>
                <w:rFonts w:ascii="Arial" w:hAnsi="Arial" w:cs="Arial"/>
                <w:b/>
                <w:smallCaps/>
                <w:lang w:val="es-ES"/>
              </w:rPr>
            </w:pPr>
            <w:r w:rsidRPr="000E3522">
              <w:rPr>
                <w:rFonts w:ascii="Arial" w:hAnsi="Arial" w:cs="Arial"/>
                <w:b/>
                <w:smallCaps/>
                <w:lang w:val="es-ES"/>
              </w:rPr>
              <w:t>Comentarios</w:t>
            </w:r>
          </w:p>
        </w:tc>
      </w:tr>
      <w:tr w:rsidR="0080752A" w:rsidRPr="000E3522" w14:paraId="7B73DF92" w14:textId="77777777" w:rsidTr="00B415D3">
        <w:trPr>
          <w:jc w:val="center"/>
        </w:trPr>
        <w:tc>
          <w:tcPr>
            <w:tcW w:w="13744" w:type="dxa"/>
            <w:gridSpan w:val="3"/>
            <w:shd w:val="clear" w:color="auto" w:fill="B8CCE4" w:themeFill="accent1" w:themeFillTint="66"/>
          </w:tcPr>
          <w:p w14:paraId="79D1AA01" w14:textId="77777777" w:rsidR="0080752A" w:rsidRPr="000E3522" w:rsidRDefault="0080752A" w:rsidP="002B1984">
            <w:pPr>
              <w:pStyle w:val="ListParagraph"/>
              <w:numPr>
                <w:ilvl w:val="0"/>
                <w:numId w:val="4"/>
              </w:numPr>
              <w:spacing w:after="0" w:line="240" w:lineRule="auto"/>
              <w:ind w:left="325"/>
              <w:rPr>
                <w:rFonts w:ascii="Arial" w:hAnsi="Arial" w:cs="Arial"/>
                <w:smallCaps/>
                <w:lang w:val="es-ES"/>
              </w:rPr>
            </w:pPr>
            <w:r w:rsidRPr="000E3522">
              <w:rPr>
                <w:rFonts w:ascii="Arial" w:hAnsi="Arial" w:cs="Arial"/>
                <w:b/>
                <w:bCs/>
                <w:smallCaps/>
                <w:lang w:val="es-ES"/>
              </w:rPr>
              <w:t>Condiciones de la Política</w:t>
            </w:r>
          </w:p>
        </w:tc>
      </w:tr>
      <w:tr w:rsidR="00EE54D0" w:rsidRPr="000E3522" w14:paraId="5B7194FE" w14:textId="77777777" w:rsidTr="00EE54D0">
        <w:trPr>
          <w:jc w:val="center"/>
        </w:trPr>
        <w:tc>
          <w:tcPr>
            <w:tcW w:w="3133" w:type="dxa"/>
            <w:shd w:val="clear" w:color="auto" w:fill="auto"/>
          </w:tcPr>
          <w:p w14:paraId="2754E3F2" w14:textId="77777777" w:rsidR="00D14DE7" w:rsidRPr="000E3522" w:rsidRDefault="003E0D4D" w:rsidP="003E0D4D">
            <w:pPr>
              <w:spacing w:after="0" w:line="240" w:lineRule="auto"/>
              <w:rPr>
                <w:rFonts w:ascii="Arial" w:hAnsi="Arial" w:cs="Arial"/>
                <w:b/>
                <w:bCs/>
                <w:sz w:val="20"/>
                <w:szCs w:val="20"/>
                <w:lang w:val="es-ES"/>
              </w:rPr>
            </w:pPr>
            <w:r w:rsidRPr="000E3522">
              <w:rPr>
                <w:rFonts w:ascii="Arial" w:hAnsi="Arial" w:cs="Arial"/>
                <w:b/>
                <w:bCs/>
                <w:sz w:val="20"/>
                <w:szCs w:val="20"/>
                <w:lang w:val="es-ES"/>
              </w:rPr>
              <w:t>1.1</w:t>
            </w:r>
            <w:r w:rsidR="00D14DE7" w:rsidRPr="000E3522">
              <w:rPr>
                <w:rFonts w:ascii="Arial" w:hAnsi="Arial" w:cs="Arial"/>
                <w:b/>
                <w:bCs/>
                <w:sz w:val="20"/>
                <w:szCs w:val="20"/>
                <w:lang w:val="es-ES"/>
              </w:rPr>
              <w:t xml:space="preserve"> Sostenibilidad Financiera</w:t>
            </w:r>
          </w:p>
        </w:tc>
        <w:tc>
          <w:tcPr>
            <w:tcW w:w="5040" w:type="dxa"/>
            <w:shd w:val="clear" w:color="auto" w:fill="auto"/>
          </w:tcPr>
          <w:p w14:paraId="7EB970C9" w14:textId="77777777" w:rsidR="00D14DE7" w:rsidRPr="000E3522" w:rsidRDefault="00D23439" w:rsidP="00D23439">
            <w:pPr>
              <w:spacing w:after="0" w:line="240" w:lineRule="auto"/>
              <w:rPr>
                <w:rFonts w:ascii="Arial" w:hAnsi="Arial" w:cs="Arial"/>
                <w:sz w:val="20"/>
                <w:szCs w:val="20"/>
                <w:lang w:val="es-ES"/>
              </w:rPr>
            </w:pPr>
            <w:r w:rsidRPr="000E3522">
              <w:rPr>
                <w:rFonts w:ascii="Arial" w:hAnsi="Arial" w:cs="Arial"/>
                <w:sz w:val="20"/>
                <w:szCs w:val="20"/>
                <w:lang w:val="es-ES"/>
              </w:rPr>
              <w:t xml:space="preserve">En cada operación se deberá verificar que el servicio correspondiente generará o recibirá fondos suficientes para atender sus servicios financieros, y sufragar los costos de operación y mantenimiento. </w:t>
            </w:r>
          </w:p>
        </w:tc>
        <w:tc>
          <w:tcPr>
            <w:tcW w:w="5571" w:type="dxa"/>
            <w:shd w:val="clear" w:color="auto" w:fill="auto"/>
          </w:tcPr>
          <w:p w14:paraId="3DC19BE3" w14:textId="6DF8D585" w:rsidR="00212215" w:rsidRPr="000E3522" w:rsidRDefault="00C640B7" w:rsidP="005B6C34">
            <w:pPr>
              <w:pStyle w:val="ListParagraph"/>
              <w:numPr>
                <w:ilvl w:val="0"/>
                <w:numId w:val="2"/>
              </w:numPr>
              <w:spacing w:after="0" w:line="240" w:lineRule="auto"/>
              <w:ind w:left="0" w:hanging="108"/>
              <w:jc w:val="both"/>
              <w:rPr>
                <w:rFonts w:ascii="Arial" w:hAnsi="Arial" w:cs="Arial"/>
                <w:sz w:val="20"/>
                <w:szCs w:val="20"/>
                <w:lang w:val="es-ES"/>
              </w:rPr>
            </w:pPr>
            <w:r w:rsidRPr="000E3522">
              <w:rPr>
                <w:rFonts w:ascii="Arial" w:hAnsi="Arial" w:cs="Arial"/>
                <w:sz w:val="20"/>
                <w:szCs w:val="20"/>
                <w:lang w:val="es-ES"/>
              </w:rPr>
              <w:t xml:space="preserve">El Programa prevé </w:t>
            </w:r>
            <w:r w:rsidR="00241680" w:rsidRPr="000E3522">
              <w:rPr>
                <w:rFonts w:ascii="Arial" w:hAnsi="Arial" w:cs="Arial"/>
                <w:sz w:val="20"/>
                <w:szCs w:val="20"/>
                <w:lang w:val="es-ES"/>
              </w:rPr>
              <w:t xml:space="preserve">el financiamiento </w:t>
            </w:r>
            <w:r w:rsidR="00E3537A" w:rsidRPr="000E3522">
              <w:rPr>
                <w:rFonts w:ascii="Arial" w:hAnsi="Arial" w:cs="Arial"/>
                <w:sz w:val="20"/>
                <w:szCs w:val="20"/>
                <w:lang w:val="es-ES"/>
              </w:rPr>
              <w:t xml:space="preserve">de dos proyectos relacionados con los Servicios Públicos Domiciliarios: </w:t>
            </w:r>
            <w:r w:rsidR="00241680" w:rsidRPr="000E3522">
              <w:rPr>
                <w:rFonts w:ascii="Arial" w:hAnsi="Arial" w:cs="Arial"/>
                <w:sz w:val="20"/>
                <w:szCs w:val="20"/>
                <w:lang w:val="es-ES"/>
              </w:rPr>
              <w:t>un gasoducto</w:t>
            </w:r>
            <w:r w:rsidR="00980DCC" w:rsidRPr="000E3522">
              <w:rPr>
                <w:rFonts w:ascii="Arial" w:hAnsi="Arial" w:cs="Arial"/>
                <w:sz w:val="20"/>
                <w:szCs w:val="20"/>
                <w:lang w:val="es-ES"/>
              </w:rPr>
              <w:t xml:space="preserve"> </w:t>
            </w:r>
            <w:r w:rsidR="00212215" w:rsidRPr="000E3522">
              <w:rPr>
                <w:rFonts w:ascii="Arial" w:hAnsi="Arial" w:cs="Arial"/>
                <w:sz w:val="20"/>
                <w:szCs w:val="20"/>
                <w:lang w:val="es-ES"/>
              </w:rPr>
              <w:t xml:space="preserve">en la Provincia de Corrientes </w:t>
            </w:r>
            <w:r w:rsidR="00241680" w:rsidRPr="000E3522">
              <w:rPr>
                <w:rFonts w:ascii="Arial" w:hAnsi="Arial" w:cs="Arial"/>
                <w:sz w:val="20"/>
                <w:szCs w:val="20"/>
                <w:lang w:val="es-ES"/>
              </w:rPr>
              <w:t xml:space="preserve">y </w:t>
            </w:r>
            <w:r w:rsidR="00212215" w:rsidRPr="000E3522">
              <w:rPr>
                <w:rFonts w:ascii="Arial" w:hAnsi="Arial" w:cs="Arial"/>
                <w:sz w:val="20"/>
                <w:szCs w:val="20"/>
                <w:lang w:val="es-ES"/>
              </w:rPr>
              <w:t xml:space="preserve">una </w:t>
            </w:r>
            <w:r w:rsidR="00241680" w:rsidRPr="000E3522">
              <w:rPr>
                <w:rFonts w:ascii="Arial" w:hAnsi="Arial" w:cs="Arial"/>
                <w:sz w:val="20"/>
                <w:szCs w:val="20"/>
                <w:lang w:val="es-ES"/>
              </w:rPr>
              <w:t>estación transformadora</w:t>
            </w:r>
            <w:r w:rsidR="00980DCC" w:rsidRPr="000E3522">
              <w:rPr>
                <w:rFonts w:ascii="Arial" w:hAnsi="Arial" w:cs="Arial"/>
                <w:sz w:val="20"/>
                <w:szCs w:val="20"/>
                <w:lang w:val="es-ES"/>
              </w:rPr>
              <w:t xml:space="preserve"> </w:t>
            </w:r>
            <w:r w:rsidR="00212215" w:rsidRPr="000E3522">
              <w:rPr>
                <w:rFonts w:ascii="Arial" w:hAnsi="Arial" w:cs="Arial"/>
                <w:sz w:val="20"/>
                <w:szCs w:val="20"/>
                <w:lang w:val="es-ES"/>
              </w:rPr>
              <w:t>en la Provincia de Salta.</w:t>
            </w:r>
          </w:p>
          <w:p w14:paraId="47045A7E" w14:textId="7E0D0601" w:rsidR="00212215" w:rsidRPr="000E3522" w:rsidRDefault="00212215" w:rsidP="005B6C34">
            <w:pPr>
              <w:pStyle w:val="ListParagraph"/>
              <w:numPr>
                <w:ilvl w:val="0"/>
                <w:numId w:val="2"/>
              </w:numPr>
              <w:spacing w:after="0" w:line="240" w:lineRule="auto"/>
              <w:ind w:left="0" w:hanging="108"/>
              <w:jc w:val="both"/>
              <w:rPr>
                <w:rFonts w:ascii="Arial" w:hAnsi="Arial" w:cs="Arial"/>
                <w:sz w:val="20"/>
                <w:szCs w:val="20"/>
                <w:lang w:val="es-ES"/>
              </w:rPr>
            </w:pPr>
            <w:r w:rsidRPr="000E3522">
              <w:rPr>
                <w:rFonts w:ascii="Arial" w:hAnsi="Arial" w:cs="Arial"/>
                <w:sz w:val="20"/>
                <w:szCs w:val="20"/>
                <w:lang w:val="es-ES"/>
              </w:rPr>
              <w:t xml:space="preserve">El repago de la deuda de las inversiones de los proyectos estará a cargo del Gobierno de la Nación, prestataria del préstamo BID. </w:t>
            </w:r>
          </w:p>
          <w:p w14:paraId="2B28BFDD" w14:textId="18C35443" w:rsidR="005B6C34" w:rsidRPr="000E3522" w:rsidRDefault="00212215" w:rsidP="005B6C34">
            <w:pPr>
              <w:pStyle w:val="ListParagraph"/>
              <w:numPr>
                <w:ilvl w:val="0"/>
                <w:numId w:val="2"/>
              </w:numPr>
              <w:spacing w:after="0" w:line="240" w:lineRule="auto"/>
              <w:ind w:left="0" w:hanging="108"/>
              <w:jc w:val="both"/>
              <w:rPr>
                <w:rFonts w:ascii="Arial" w:hAnsi="Arial" w:cs="Arial"/>
                <w:sz w:val="20"/>
                <w:szCs w:val="20"/>
                <w:lang w:val="es-ES"/>
              </w:rPr>
            </w:pPr>
            <w:r w:rsidRPr="000E3522">
              <w:rPr>
                <w:rFonts w:ascii="Arial" w:hAnsi="Arial" w:cs="Arial"/>
                <w:sz w:val="20"/>
                <w:szCs w:val="20"/>
                <w:lang w:val="es-ES"/>
              </w:rPr>
              <w:t xml:space="preserve">Las obras </w:t>
            </w:r>
            <w:r w:rsidR="00241680" w:rsidRPr="000E3522">
              <w:rPr>
                <w:rFonts w:ascii="Arial" w:hAnsi="Arial" w:cs="Arial"/>
                <w:sz w:val="20"/>
                <w:szCs w:val="20"/>
                <w:lang w:val="es-ES"/>
              </w:rPr>
              <w:t xml:space="preserve">una vez concluidas serán operadas </w:t>
            </w:r>
            <w:r w:rsidRPr="000E3522">
              <w:rPr>
                <w:rFonts w:ascii="Arial" w:hAnsi="Arial" w:cs="Arial"/>
                <w:sz w:val="20"/>
                <w:szCs w:val="20"/>
                <w:lang w:val="es-ES"/>
              </w:rPr>
              <w:t xml:space="preserve">y mantenidas </w:t>
            </w:r>
            <w:r w:rsidR="00241680" w:rsidRPr="000E3522">
              <w:rPr>
                <w:rFonts w:ascii="Arial" w:hAnsi="Arial" w:cs="Arial"/>
                <w:sz w:val="20"/>
                <w:szCs w:val="20"/>
                <w:lang w:val="es-ES"/>
              </w:rPr>
              <w:t>por las respectivas empresas privadas de distribución de gas (GASNEA</w:t>
            </w:r>
            <w:r w:rsidR="00E3537A" w:rsidRPr="000E3522">
              <w:rPr>
                <w:rFonts w:ascii="Arial" w:hAnsi="Arial" w:cs="Arial"/>
                <w:sz w:val="20"/>
                <w:szCs w:val="20"/>
                <w:lang w:val="es-ES"/>
              </w:rPr>
              <w:t xml:space="preserve"> S.A.</w:t>
            </w:r>
            <w:r w:rsidR="00241680" w:rsidRPr="000E3522">
              <w:rPr>
                <w:rFonts w:ascii="Arial" w:hAnsi="Arial" w:cs="Arial"/>
                <w:sz w:val="20"/>
                <w:szCs w:val="20"/>
                <w:lang w:val="es-ES"/>
              </w:rPr>
              <w:t>) y de transmisión eléctrica regional (TRANSNEA</w:t>
            </w:r>
            <w:r w:rsidR="00E3537A" w:rsidRPr="000E3522">
              <w:rPr>
                <w:rFonts w:ascii="Arial" w:hAnsi="Arial" w:cs="Arial"/>
                <w:sz w:val="20"/>
                <w:szCs w:val="20"/>
                <w:lang w:val="es-ES"/>
              </w:rPr>
              <w:t xml:space="preserve"> S.A.</w:t>
            </w:r>
            <w:r w:rsidR="00241680" w:rsidRPr="000E3522">
              <w:rPr>
                <w:rFonts w:ascii="Arial" w:hAnsi="Arial" w:cs="Arial"/>
                <w:sz w:val="20"/>
                <w:szCs w:val="20"/>
                <w:lang w:val="es-ES"/>
              </w:rPr>
              <w:t xml:space="preserve">). </w:t>
            </w:r>
          </w:p>
          <w:p w14:paraId="55554A0A" w14:textId="77777777" w:rsidR="003E0D4D" w:rsidRPr="000E3522" w:rsidRDefault="003E0D4D" w:rsidP="00C640B7">
            <w:pPr>
              <w:pStyle w:val="ListParagraph"/>
              <w:numPr>
                <w:ilvl w:val="0"/>
                <w:numId w:val="2"/>
              </w:numPr>
              <w:spacing w:after="0" w:line="240" w:lineRule="auto"/>
              <w:ind w:left="0" w:hanging="108"/>
              <w:jc w:val="both"/>
              <w:rPr>
                <w:rFonts w:ascii="Arial" w:hAnsi="Arial" w:cs="Arial"/>
                <w:sz w:val="20"/>
                <w:szCs w:val="20"/>
                <w:lang w:val="es-ES"/>
              </w:rPr>
            </w:pPr>
            <w:r w:rsidRPr="000E3522">
              <w:rPr>
                <w:rFonts w:ascii="Arial" w:hAnsi="Arial" w:cs="Arial"/>
                <w:sz w:val="20"/>
                <w:szCs w:val="20"/>
                <w:lang w:val="es-ES"/>
              </w:rPr>
              <w:t xml:space="preserve">Los Convenios Marco de Adhesión </w:t>
            </w:r>
            <w:r w:rsidR="00241680" w:rsidRPr="000E3522">
              <w:rPr>
                <w:rFonts w:ascii="Arial" w:hAnsi="Arial" w:cs="Arial"/>
                <w:sz w:val="20"/>
                <w:szCs w:val="20"/>
                <w:lang w:val="es-ES"/>
              </w:rPr>
              <w:t xml:space="preserve">bajo el Programa </w:t>
            </w:r>
            <w:r w:rsidRPr="000E3522">
              <w:rPr>
                <w:rFonts w:ascii="Arial" w:hAnsi="Arial" w:cs="Arial"/>
                <w:sz w:val="20"/>
                <w:szCs w:val="20"/>
                <w:lang w:val="es-ES"/>
              </w:rPr>
              <w:t>establecen: “</w:t>
            </w:r>
            <w:r w:rsidRPr="000E3522">
              <w:rPr>
                <w:rFonts w:ascii="Arial" w:hAnsi="Arial" w:cs="Arial"/>
                <w:i/>
                <w:sz w:val="20"/>
                <w:szCs w:val="20"/>
                <w:lang w:val="es-ES"/>
              </w:rPr>
              <w:t>Al finalizar la ejecución, la Provincia deberá traspasar, donde sea requerido, la obra a la empresa prestadora del servicio, garantizando la calidad</w:t>
            </w:r>
            <w:r w:rsidR="00E3537A" w:rsidRPr="000E3522">
              <w:rPr>
                <w:rFonts w:ascii="Arial" w:hAnsi="Arial" w:cs="Arial"/>
                <w:i/>
                <w:sz w:val="20"/>
                <w:szCs w:val="20"/>
                <w:lang w:val="es-ES"/>
              </w:rPr>
              <w:t>, la sostenibilidad financiera</w:t>
            </w:r>
            <w:r w:rsidRPr="000E3522">
              <w:rPr>
                <w:rFonts w:ascii="Arial" w:hAnsi="Arial" w:cs="Arial"/>
                <w:i/>
                <w:sz w:val="20"/>
                <w:szCs w:val="20"/>
                <w:lang w:val="es-ES"/>
              </w:rPr>
              <w:t xml:space="preserve"> y las normas regulatorias existentes</w:t>
            </w:r>
            <w:r w:rsidRPr="000E3522">
              <w:rPr>
                <w:rFonts w:ascii="Arial" w:hAnsi="Arial" w:cs="Arial"/>
                <w:sz w:val="20"/>
                <w:szCs w:val="20"/>
                <w:lang w:val="es-ES"/>
              </w:rPr>
              <w:t xml:space="preserve">”. </w:t>
            </w:r>
          </w:p>
          <w:p w14:paraId="440649C9" w14:textId="72D2B937" w:rsidR="005B6C34" w:rsidRPr="000E3522" w:rsidRDefault="005B6C34">
            <w:pPr>
              <w:pStyle w:val="ListParagraph"/>
              <w:numPr>
                <w:ilvl w:val="0"/>
                <w:numId w:val="2"/>
              </w:numPr>
              <w:spacing w:after="0" w:line="240" w:lineRule="auto"/>
              <w:ind w:left="0" w:hanging="108"/>
              <w:jc w:val="both"/>
              <w:rPr>
                <w:rFonts w:ascii="Arial" w:hAnsi="Arial" w:cs="Arial"/>
                <w:sz w:val="20"/>
                <w:szCs w:val="20"/>
                <w:lang w:val="es-ES"/>
              </w:rPr>
            </w:pPr>
            <w:r w:rsidRPr="000E3522">
              <w:rPr>
                <w:rFonts w:ascii="Arial" w:hAnsi="Arial" w:cs="Arial"/>
                <w:sz w:val="20"/>
                <w:szCs w:val="20"/>
                <w:lang w:val="es-ES"/>
              </w:rPr>
              <w:t xml:space="preserve">En el proceso de evaluación de los proyectos a ser financiados por el Programa, se analiza el esquema organizativo a fin de garantizar la operación y mantenimiento de cada proyecto, demostrando la viabilidad de la organización en términos técnicos, institucionales y financieros. </w:t>
            </w:r>
          </w:p>
          <w:p w14:paraId="404969EE" w14:textId="68F98B78" w:rsidR="00C24DB2" w:rsidRPr="000E3522" w:rsidRDefault="00241680">
            <w:pPr>
              <w:pStyle w:val="ListParagraph"/>
              <w:numPr>
                <w:ilvl w:val="0"/>
                <w:numId w:val="2"/>
              </w:numPr>
              <w:spacing w:after="0" w:line="240" w:lineRule="auto"/>
              <w:ind w:left="0" w:hanging="108"/>
              <w:jc w:val="both"/>
              <w:rPr>
                <w:rFonts w:ascii="Arial" w:hAnsi="Arial" w:cs="Arial"/>
                <w:sz w:val="20"/>
                <w:szCs w:val="20"/>
                <w:lang w:val="es-ES"/>
              </w:rPr>
            </w:pPr>
            <w:r w:rsidRPr="000E3522">
              <w:rPr>
                <w:rFonts w:ascii="Arial" w:hAnsi="Arial" w:cs="Arial"/>
                <w:sz w:val="20"/>
                <w:szCs w:val="20"/>
                <w:lang w:val="es-ES"/>
              </w:rPr>
              <w:t>Desde el 2002, debido al congelamiento de las tarifas energéticas</w:t>
            </w:r>
            <w:r w:rsidR="00212215" w:rsidRPr="000E3522">
              <w:rPr>
                <w:rFonts w:ascii="Arial" w:hAnsi="Arial" w:cs="Arial"/>
                <w:sz w:val="20"/>
                <w:szCs w:val="20"/>
                <w:lang w:val="es-ES"/>
              </w:rPr>
              <w:t xml:space="preserve"> como consecuencia de la crisis financiera del país</w:t>
            </w:r>
            <w:r w:rsidRPr="000E3522">
              <w:rPr>
                <w:rFonts w:ascii="Arial" w:hAnsi="Arial" w:cs="Arial"/>
                <w:sz w:val="20"/>
                <w:szCs w:val="20"/>
                <w:lang w:val="es-ES"/>
              </w:rPr>
              <w:t xml:space="preserve">, las empresas de distribución de gas natural por redes y las empresas de transmisión eléctrica, han venido </w:t>
            </w:r>
            <w:r w:rsidR="00852A4D" w:rsidRPr="000E3522">
              <w:rPr>
                <w:rFonts w:ascii="Arial" w:hAnsi="Arial" w:cs="Arial"/>
                <w:sz w:val="20"/>
                <w:szCs w:val="20"/>
                <w:lang w:val="es-ES"/>
              </w:rPr>
              <w:t xml:space="preserve">equilibrando sus finanzas con </w:t>
            </w:r>
            <w:r w:rsidRPr="000E3522">
              <w:rPr>
                <w:rFonts w:ascii="Arial" w:hAnsi="Arial" w:cs="Arial"/>
                <w:sz w:val="20"/>
                <w:szCs w:val="20"/>
                <w:lang w:val="es-ES"/>
              </w:rPr>
              <w:t>el aporte de subsidios del estado</w:t>
            </w:r>
            <w:r w:rsidR="00852A4D" w:rsidRPr="000E3522">
              <w:rPr>
                <w:rFonts w:ascii="Arial" w:hAnsi="Arial" w:cs="Arial"/>
                <w:sz w:val="20"/>
                <w:szCs w:val="20"/>
                <w:lang w:val="es-ES"/>
              </w:rPr>
              <w:t xml:space="preserve">; </w:t>
            </w:r>
            <w:r w:rsidRPr="000E3522">
              <w:rPr>
                <w:rFonts w:ascii="Arial" w:hAnsi="Arial" w:cs="Arial"/>
                <w:sz w:val="20"/>
                <w:szCs w:val="20"/>
                <w:lang w:val="es-ES"/>
              </w:rPr>
              <w:t xml:space="preserve">las tarifas </w:t>
            </w:r>
            <w:r w:rsidR="00852A4D" w:rsidRPr="000E3522">
              <w:rPr>
                <w:rFonts w:ascii="Arial" w:hAnsi="Arial" w:cs="Arial"/>
                <w:sz w:val="20"/>
                <w:szCs w:val="20"/>
                <w:lang w:val="es-ES"/>
              </w:rPr>
              <w:t xml:space="preserve">vigentes solo cubren </w:t>
            </w:r>
            <w:r w:rsidRPr="000E3522">
              <w:rPr>
                <w:rFonts w:ascii="Arial" w:hAnsi="Arial" w:cs="Arial"/>
                <w:sz w:val="20"/>
                <w:szCs w:val="20"/>
                <w:lang w:val="es-ES"/>
              </w:rPr>
              <w:t xml:space="preserve">una parte de los costos de los servicios. El Gobierno Nacional ha iniciado un </w:t>
            </w:r>
            <w:r w:rsidRPr="000E3522">
              <w:rPr>
                <w:rFonts w:ascii="Arial" w:hAnsi="Arial" w:cs="Arial"/>
                <w:sz w:val="20"/>
                <w:szCs w:val="20"/>
                <w:lang w:val="es-ES"/>
              </w:rPr>
              <w:lastRenderedPageBreak/>
              <w:t xml:space="preserve">proceso de normalización de las tarifas, con un sendero de ajustes graduales para converger a una tarifa de equilibrio para fines de </w:t>
            </w:r>
            <w:r w:rsidR="00852A4D" w:rsidRPr="000E3522">
              <w:rPr>
                <w:rFonts w:ascii="Arial" w:hAnsi="Arial" w:cs="Arial"/>
                <w:sz w:val="20"/>
                <w:szCs w:val="20"/>
                <w:lang w:val="es-ES"/>
              </w:rPr>
              <w:t xml:space="preserve">su </w:t>
            </w:r>
            <w:r w:rsidRPr="000E3522">
              <w:rPr>
                <w:rFonts w:ascii="Arial" w:hAnsi="Arial" w:cs="Arial"/>
                <w:sz w:val="20"/>
                <w:szCs w:val="20"/>
                <w:lang w:val="es-ES"/>
              </w:rPr>
              <w:t xml:space="preserve">mandato (2019). </w:t>
            </w:r>
          </w:p>
        </w:tc>
      </w:tr>
      <w:tr w:rsidR="00EE54D0" w:rsidRPr="000E3522" w14:paraId="7984B6E7" w14:textId="77777777" w:rsidTr="00EE54D0">
        <w:trPr>
          <w:jc w:val="center"/>
        </w:trPr>
        <w:tc>
          <w:tcPr>
            <w:tcW w:w="3133" w:type="dxa"/>
            <w:shd w:val="clear" w:color="auto" w:fill="auto"/>
          </w:tcPr>
          <w:p w14:paraId="2F6DC3B1" w14:textId="0D10612E" w:rsidR="00D14DE7" w:rsidRPr="000E3522" w:rsidRDefault="003E0D4D" w:rsidP="003E0D4D">
            <w:pPr>
              <w:spacing w:after="0" w:line="240" w:lineRule="auto"/>
              <w:rPr>
                <w:rFonts w:ascii="Arial" w:hAnsi="Arial" w:cs="Arial"/>
                <w:sz w:val="20"/>
                <w:szCs w:val="20"/>
                <w:lang w:val="es-ES"/>
              </w:rPr>
            </w:pPr>
            <w:r w:rsidRPr="000E3522">
              <w:rPr>
                <w:rFonts w:ascii="Arial" w:hAnsi="Arial" w:cs="Arial"/>
                <w:b/>
                <w:bCs/>
                <w:sz w:val="20"/>
                <w:szCs w:val="20"/>
                <w:lang w:val="es-ES"/>
              </w:rPr>
              <w:lastRenderedPageBreak/>
              <w:t>1.2</w:t>
            </w:r>
            <w:r w:rsidR="00D14DE7" w:rsidRPr="000E3522">
              <w:rPr>
                <w:rFonts w:ascii="Arial" w:hAnsi="Arial" w:cs="Arial"/>
                <w:b/>
                <w:bCs/>
                <w:sz w:val="20"/>
                <w:szCs w:val="20"/>
                <w:lang w:val="es-ES"/>
              </w:rPr>
              <w:t xml:space="preserve"> Evaluación Económica</w:t>
            </w:r>
          </w:p>
        </w:tc>
        <w:tc>
          <w:tcPr>
            <w:tcW w:w="5040" w:type="dxa"/>
            <w:shd w:val="clear" w:color="auto" w:fill="auto"/>
          </w:tcPr>
          <w:p w14:paraId="20F93AF7" w14:textId="246C041E" w:rsidR="00D14DE7" w:rsidRPr="000E3522" w:rsidRDefault="00C24DB2" w:rsidP="00FE3587">
            <w:pPr>
              <w:spacing w:after="0" w:line="240" w:lineRule="auto"/>
              <w:rPr>
                <w:rFonts w:ascii="Arial" w:hAnsi="Arial" w:cs="Arial"/>
                <w:sz w:val="20"/>
                <w:szCs w:val="20"/>
                <w:lang w:val="es-ES"/>
              </w:rPr>
            </w:pPr>
            <w:r w:rsidRPr="000E3522">
              <w:rPr>
                <w:rFonts w:ascii="Arial" w:hAnsi="Arial" w:cs="Arial"/>
                <w:sz w:val="20"/>
                <w:szCs w:val="20"/>
                <w:lang w:val="es-ES"/>
              </w:rPr>
              <w:t>Los proyecto deberán ser económicamente rentables de acuerdo con las m</w:t>
            </w:r>
            <w:r w:rsidR="000E3522">
              <w:rPr>
                <w:rFonts w:ascii="Arial" w:hAnsi="Arial" w:cs="Arial"/>
                <w:sz w:val="20"/>
                <w:szCs w:val="20"/>
                <w:lang w:val="es-ES"/>
              </w:rPr>
              <w:t>etodologías de evaluación costo</w:t>
            </w:r>
            <w:r w:rsidRPr="000E3522">
              <w:rPr>
                <w:rFonts w:ascii="Arial" w:hAnsi="Arial" w:cs="Arial"/>
                <w:sz w:val="20"/>
                <w:szCs w:val="20"/>
                <w:lang w:val="es-ES"/>
              </w:rPr>
              <w:t>– beneficio y costo – efectividad utilizadas y aceptadas por el Banco</w:t>
            </w:r>
            <w:r w:rsidR="00D14DE7" w:rsidRPr="000E3522">
              <w:rPr>
                <w:rFonts w:ascii="Arial" w:hAnsi="Arial" w:cs="Arial"/>
                <w:sz w:val="20"/>
                <w:szCs w:val="20"/>
                <w:lang w:val="es-ES"/>
              </w:rPr>
              <w:t>.</w:t>
            </w:r>
          </w:p>
          <w:p w14:paraId="1457CB28" w14:textId="77777777" w:rsidR="00D14DE7" w:rsidRPr="000E3522" w:rsidRDefault="00D14DE7" w:rsidP="00FE3587">
            <w:pPr>
              <w:spacing w:after="0" w:line="240" w:lineRule="auto"/>
              <w:rPr>
                <w:rFonts w:ascii="Arial" w:hAnsi="Arial" w:cs="Arial"/>
                <w:sz w:val="20"/>
                <w:szCs w:val="20"/>
                <w:lang w:val="es-ES"/>
              </w:rPr>
            </w:pPr>
          </w:p>
        </w:tc>
        <w:tc>
          <w:tcPr>
            <w:tcW w:w="5571" w:type="dxa"/>
            <w:shd w:val="clear" w:color="auto" w:fill="auto"/>
          </w:tcPr>
          <w:p w14:paraId="07198491" w14:textId="5E05CEF4" w:rsidR="005721DD" w:rsidRPr="000E3522" w:rsidRDefault="005721DD" w:rsidP="00B415D3">
            <w:pPr>
              <w:pStyle w:val="ListParagraph"/>
              <w:spacing w:after="0" w:line="240" w:lineRule="auto"/>
              <w:ind w:left="0"/>
              <w:jc w:val="both"/>
              <w:rPr>
                <w:rFonts w:ascii="Arial" w:hAnsi="Arial" w:cs="Arial"/>
                <w:sz w:val="20"/>
                <w:szCs w:val="20"/>
                <w:lang w:val="es-ES"/>
              </w:rPr>
            </w:pPr>
            <w:r w:rsidRPr="000E3522">
              <w:rPr>
                <w:rFonts w:ascii="Arial" w:hAnsi="Arial" w:cs="Arial"/>
                <w:sz w:val="20"/>
                <w:szCs w:val="20"/>
                <w:lang w:val="es-AR"/>
              </w:rPr>
              <w:t>Para la evaluación económica del Programa se realizó un análisis costo-beneficio para los proyectos de una muestra representativa</w:t>
            </w:r>
            <w:r w:rsidR="0027004E" w:rsidRPr="000E3522">
              <w:rPr>
                <w:rFonts w:ascii="Arial" w:hAnsi="Arial" w:cs="Arial"/>
                <w:sz w:val="20"/>
                <w:szCs w:val="20"/>
                <w:lang w:val="es-AR"/>
              </w:rPr>
              <w:t xml:space="preserve"> siguiendo metodologías aceptables para el Banco</w:t>
            </w:r>
            <w:r w:rsidRPr="000E3522">
              <w:rPr>
                <w:rFonts w:ascii="Arial" w:hAnsi="Arial" w:cs="Arial"/>
                <w:sz w:val="20"/>
                <w:szCs w:val="20"/>
                <w:lang w:val="es-AR"/>
              </w:rPr>
              <w:t>.</w:t>
            </w:r>
          </w:p>
          <w:p w14:paraId="78FF69A4" w14:textId="233954E7" w:rsidR="00D14DE7" w:rsidRPr="000E3522" w:rsidRDefault="005721DD" w:rsidP="00852A4D">
            <w:pPr>
              <w:pStyle w:val="ListParagraph"/>
              <w:spacing w:after="0" w:line="240" w:lineRule="auto"/>
              <w:ind w:left="0"/>
              <w:jc w:val="both"/>
              <w:rPr>
                <w:rFonts w:ascii="Arial" w:hAnsi="Arial" w:cs="Arial"/>
                <w:sz w:val="20"/>
                <w:szCs w:val="20"/>
                <w:lang w:val="es-ES"/>
              </w:rPr>
            </w:pPr>
            <w:r w:rsidRPr="000E3522">
              <w:rPr>
                <w:rFonts w:ascii="Arial" w:hAnsi="Arial" w:cs="Arial"/>
                <w:sz w:val="20"/>
                <w:szCs w:val="20"/>
                <w:lang w:val="es-AR"/>
              </w:rPr>
              <w:t>Específicamente, s</w:t>
            </w:r>
            <w:r w:rsidR="00852A4D" w:rsidRPr="000E3522">
              <w:rPr>
                <w:rFonts w:ascii="Arial" w:hAnsi="Arial" w:cs="Arial"/>
                <w:sz w:val="20"/>
                <w:szCs w:val="20"/>
                <w:lang w:val="es-AR"/>
              </w:rPr>
              <w:t xml:space="preserve">e realizaron </w:t>
            </w:r>
            <w:r w:rsidR="00C640B7" w:rsidRPr="000E3522">
              <w:rPr>
                <w:rFonts w:ascii="Arial" w:hAnsi="Arial" w:cs="Arial"/>
                <w:sz w:val="20"/>
                <w:szCs w:val="20"/>
                <w:lang w:val="es-AR"/>
              </w:rPr>
              <w:t xml:space="preserve">análisis </w:t>
            </w:r>
            <w:r w:rsidR="00C24DB2" w:rsidRPr="000E3522">
              <w:rPr>
                <w:rFonts w:ascii="Arial" w:hAnsi="Arial" w:cs="Arial"/>
                <w:sz w:val="20"/>
                <w:szCs w:val="20"/>
                <w:lang w:val="es-AR"/>
              </w:rPr>
              <w:t xml:space="preserve">económicos </w:t>
            </w:r>
            <w:r w:rsidR="00C640B7" w:rsidRPr="000E3522">
              <w:rPr>
                <w:rFonts w:ascii="Arial" w:hAnsi="Arial" w:cs="Arial"/>
                <w:sz w:val="20"/>
                <w:szCs w:val="20"/>
                <w:lang w:val="es-AR"/>
              </w:rPr>
              <w:t>para los proyectos</w:t>
            </w:r>
            <w:r w:rsidR="00852A4D" w:rsidRPr="000E3522">
              <w:rPr>
                <w:rFonts w:ascii="Arial" w:hAnsi="Arial" w:cs="Arial"/>
                <w:sz w:val="20"/>
                <w:szCs w:val="20"/>
                <w:lang w:val="es-AR"/>
              </w:rPr>
              <w:t xml:space="preserve"> </w:t>
            </w:r>
            <w:r w:rsidR="00C24DB2" w:rsidRPr="000E3522">
              <w:rPr>
                <w:rFonts w:ascii="Arial" w:hAnsi="Arial" w:cs="Arial"/>
                <w:sz w:val="20"/>
                <w:szCs w:val="20"/>
                <w:lang w:val="es-AR"/>
              </w:rPr>
              <w:t xml:space="preserve">(gasoducto y estación transformadora) </w:t>
            </w:r>
            <w:r w:rsidR="00852A4D" w:rsidRPr="000E3522">
              <w:rPr>
                <w:rFonts w:ascii="Arial" w:hAnsi="Arial" w:cs="Arial"/>
                <w:sz w:val="20"/>
                <w:szCs w:val="20"/>
                <w:lang w:val="es-AR"/>
              </w:rPr>
              <w:t xml:space="preserve">mostrando tasas de retorno </w:t>
            </w:r>
            <w:r w:rsidR="00C24DB2" w:rsidRPr="000E3522">
              <w:rPr>
                <w:rFonts w:ascii="Arial" w:hAnsi="Arial" w:cs="Arial"/>
                <w:sz w:val="20"/>
                <w:szCs w:val="20"/>
                <w:lang w:val="es-AR"/>
              </w:rPr>
              <w:t xml:space="preserve">superiores al </w:t>
            </w:r>
            <w:r w:rsidR="00852A4D" w:rsidRPr="000E3522">
              <w:rPr>
                <w:rFonts w:ascii="Arial" w:hAnsi="Arial" w:cs="Arial"/>
                <w:sz w:val="20"/>
                <w:szCs w:val="20"/>
                <w:lang w:val="es-AR"/>
              </w:rPr>
              <w:t>12%</w:t>
            </w:r>
            <w:r w:rsidR="00C24DB2" w:rsidRPr="000E3522">
              <w:rPr>
                <w:rFonts w:ascii="Arial" w:hAnsi="Arial" w:cs="Arial"/>
                <w:sz w:val="20"/>
                <w:szCs w:val="20"/>
                <w:lang w:val="es-AR"/>
              </w:rPr>
              <w:t xml:space="preserve"> considerando escenarios de sensibilidad, entre otros, de mayores costos y retrasos en las obras</w:t>
            </w:r>
            <w:r w:rsidR="00852A4D" w:rsidRPr="000E3522">
              <w:rPr>
                <w:rFonts w:ascii="Arial" w:hAnsi="Arial" w:cs="Arial"/>
                <w:sz w:val="20"/>
                <w:szCs w:val="20"/>
                <w:lang w:val="es-AR"/>
              </w:rPr>
              <w:t xml:space="preserve">. El gasoducto permitirá sustituir el gas en garrafas </w:t>
            </w:r>
            <w:r w:rsidR="00C24DB2" w:rsidRPr="000E3522">
              <w:rPr>
                <w:rFonts w:ascii="Arial" w:hAnsi="Arial" w:cs="Arial"/>
                <w:sz w:val="20"/>
                <w:szCs w:val="20"/>
                <w:lang w:val="es-AR"/>
              </w:rPr>
              <w:t xml:space="preserve">(de mayor costo) </w:t>
            </w:r>
            <w:r w:rsidR="00852A4D" w:rsidRPr="000E3522">
              <w:rPr>
                <w:rFonts w:ascii="Arial" w:hAnsi="Arial" w:cs="Arial"/>
                <w:sz w:val="20"/>
                <w:szCs w:val="20"/>
                <w:lang w:val="es-AR"/>
              </w:rPr>
              <w:t xml:space="preserve">y combustibles líquidos </w:t>
            </w:r>
            <w:r w:rsidR="00C24DB2" w:rsidRPr="000E3522">
              <w:rPr>
                <w:rFonts w:ascii="Arial" w:hAnsi="Arial" w:cs="Arial"/>
                <w:sz w:val="20"/>
                <w:szCs w:val="20"/>
                <w:lang w:val="es-AR"/>
              </w:rPr>
              <w:t xml:space="preserve">(diésel) y otras fuentes de energía </w:t>
            </w:r>
            <w:r w:rsidR="0027004E" w:rsidRPr="000E3522">
              <w:rPr>
                <w:rFonts w:ascii="Arial" w:hAnsi="Arial" w:cs="Arial"/>
                <w:sz w:val="20"/>
                <w:szCs w:val="20"/>
                <w:lang w:val="es-AR"/>
              </w:rPr>
              <w:t>(</w:t>
            </w:r>
            <w:r w:rsidR="00852A4D" w:rsidRPr="000E3522">
              <w:rPr>
                <w:rFonts w:ascii="Arial" w:hAnsi="Arial" w:cs="Arial"/>
                <w:sz w:val="20"/>
                <w:szCs w:val="20"/>
                <w:lang w:val="es-AR"/>
              </w:rPr>
              <w:t>de mayor costo y de mayor impacto ambiental</w:t>
            </w:r>
            <w:r w:rsidR="0027004E" w:rsidRPr="000E3522">
              <w:rPr>
                <w:rFonts w:ascii="Arial" w:hAnsi="Arial" w:cs="Arial"/>
                <w:sz w:val="20"/>
                <w:szCs w:val="20"/>
                <w:lang w:val="es-AR"/>
              </w:rPr>
              <w:t>)</w:t>
            </w:r>
            <w:r w:rsidR="00852A4D" w:rsidRPr="000E3522">
              <w:rPr>
                <w:rFonts w:ascii="Arial" w:hAnsi="Arial" w:cs="Arial"/>
                <w:sz w:val="20"/>
                <w:szCs w:val="20"/>
                <w:lang w:val="es-AR"/>
              </w:rPr>
              <w:t xml:space="preserve">. La estación transformadora permitirá a los productores de la zona dar valor agregados a sus productos agropecuarios.  </w:t>
            </w:r>
            <w:r w:rsidR="00C640B7" w:rsidRPr="000E3522">
              <w:rPr>
                <w:rFonts w:ascii="Arial" w:hAnsi="Arial" w:cs="Arial"/>
                <w:sz w:val="20"/>
                <w:szCs w:val="20"/>
                <w:lang w:val="es-AR"/>
              </w:rPr>
              <w:t xml:space="preserve"> </w:t>
            </w:r>
          </w:p>
        </w:tc>
      </w:tr>
      <w:tr w:rsidR="0080752A" w:rsidRPr="000E3522" w14:paraId="3BD2B275" w14:textId="77777777" w:rsidTr="00B415D3">
        <w:trPr>
          <w:jc w:val="center"/>
        </w:trPr>
        <w:tc>
          <w:tcPr>
            <w:tcW w:w="13744" w:type="dxa"/>
            <w:gridSpan w:val="3"/>
            <w:shd w:val="clear" w:color="auto" w:fill="B8CCE4" w:themeFill="accent1" w:themeFillTint="66"/>
          </w:tcPr>
          <w:p w14:paraId="7369C5B5" w14:textId="77777777" w:rsidR="0080752A" w:rsidRPr="002B1984" w:rsidRDefault="0080752A" w:rsidP="002B1984">
            <w:pPr>
              <w:pStyle w:val="ListParagraph"/>
              <w:numPr>
                <w:ilvl w:val="0"/>
                <w:numId w:val="4"/>
              </w:numPr>
              <w:spacing w:after="0" w:line="240" w:lineRule="auto"/>
              <w:ind w:left="415"/>
              <w:rPr>
                <w:rFonts w:ascii="Arial" w:hAnsi="Arial" w:cs="Arial"/>
                <w:smallCaps/>
                <w:lang w:val="es-ES"/>
              </w:rPr>
            </w:pPr>
            <w:r w:rsidRPr="002B1984">
              <w:rPr>
                <w:rFonts w:ascii="Arial" w:hAnsi="Arial" w:cs="Arial"/>
                <w:b/>
                <w:bCs/>
                <w:smallCaps/>
                <w:lang w:val="es-ES"/>
              </w:rPr>
              <w:t>Objetivos de la Política</w:t>
            </w:r>
          </w:p>
        </w:tc>
      </w:tr>
      <w:tr w:rsidR="00EE54D0" w:rsidRPr="000E3522" w14:paraId="447BA62B" w14:textId="77777777" w:rsidTr="00EE54D0">
        <w:trPr>
          <w:jc w:val="center"/>
        </w:trPr>
        <w:tc>
          <w:tcPr>
            <w:tcW w:w="3133" w:type="dxa"/>
            <w:shd w:val="clear" w:color="auto" w:fill="auto"/>
          </w:tcPr>
          <w:p w14:paraId="1D14F62B" w14:textId="77777777" w:rsidR="00FE3587" w:rsidRPr="000E3522" w:rsidRDefault="003E0D4D" w:rsidP="0080752A">
            <w:pPr>
              <w:spacing w:after="0" w:line="240" w:lineRule="auto"/>
              <w:ind w:left="180" w:hanging="180"/>
              <w:rPr>
                <w:rFonts w:ascii="Arial" w:hAnsi="Arial" w:cs="Arial"/>
                <w:sz w:val="20"/>
                <w:szCs w:val="20"/>
                <w:lang w:val="es-ES"/>
              </w:rPr>
            </w:pPr>
            <w:r w:rsidRPr="000E3522">
              <w:rPr>
                <w:rFonts w:ascii="Arial" w:hAnsi="Arial" w:cs="Arial"/>
                <w:b/>
                <w:bCs/>
                <w:sz w:val="20"/>
                <w:szCs w:val="20"/>
                <w:lang w:val="es-ES"/>
              </w:rPr>
              <w:t>2.1</w:t>
            </w:r>
            <w:r w:rsidR="00FE3587" w:rsidRPr="000E3522">
              <w:rPr>
                <w:rFonts w:ascii="Arial" w:hAnsi="Arial" w:cs="Arial"/>
                <w:b/>
                <w:bCs/>
                <w:sz w:val="20"/>
                <w:szCs w:val="20"/>
                <w:lang w:val="es-ES"/>
              </w:rPr>
              <w:t xml:space="preserve"> Acceso</w:t>
            </w:r>
          </w:p>
        </w:tc>
        <w:tc>
          <w:tcPr>
            <w:tcW w:w="5040" w:type="dxa"/>
            <w:shd w:val="clear" w:color="auto" w:fill="auto"/>
          </w:tcPr>
          <w:p w14:paraId="483483EC" w14:textId="77777777" w:rsidR="00FE3587" w:rsidRPr="000E3522" w:rsidRDefault="0080752A" w:rsidP="00C24DB2">
            <w:pPr>
              <w:spacing w:after="0" w:line="240" w:lineRule="auto"/>
              <w:rPr>
                <w:rFonts w:ascii="Arial" w:hAnsi="Arial" w:cs="Arial"/>
                <w:sz w:val="20"/>
                <w:szCs w:val="20"/>
                <w:lang w:val="es-ES"/>
              </w:rPr>
            </w:pPr>
            <w:r w:rsidRPr="000E3522">
              <w:rPr>
                <w:rFonts w:ascii="Arial" w:hAnsi="Arial" w:cs="Arial"/>
                <w:sz w:val="20"/>
                <w:szCs w:val="20"/>
                <w:lang w:val="es-ES"/>
              </w:rPr>
              <w:t>Fomentar a</w:t>
            </w:r>
            <w:r w:rsidR="00FE3587" w:rsidRPr="000E3522">
              <w:rPr>
                <w:rFonts w:ascii="Arial" w:hAnsi="Arial" w:cs="Arial"/>
                <w:sz w:val="20"/>
                <w:szCs w:val="20"/>
                <w:lang w:val="es-ES"/>
              </w:rPr>
              <w:t>cceso</w:t>
            </w:r>
            <w:r w:rsidR="00C24DB2" w:rsidRPr="000E3522">
              <w:rPr>
                <w:rFonts w:ascii="Arial" w:hAnsi="Arial" w:cs="Arial"/>
                <w:sz w:val="20"/>
                <w:szCs w:val="20"/>
                <w:lang w:val="es-ES"/>
              </w:rPr>
              <w:t xml:space="preserve"> de los servicios a la población, incluyendo a las comunidades y grupos más desfavorecidos, en el ámbito urbano y rural. </w:t>
            </w:r>
            <w:r w:rsidR="00FE3587" w:rsidRPr="000E3522">
              <w:rPr>
                <w:rFonts w:ascii="Arial" w:hAnsi="Arial" w:cs="Arial"/>
                <w:sz w:val="20"/>
                <w:szCs w:val="20"/>
                <w:lang w:val="es-ES"/>
              </w:rPr>
              <w:t xml:space="preserve"> </w:t>
            </w:r>
          </w:p>
        </w:tc>
        <w:tc>
          <w:tcPr>
            <w:tcW w:w="5571" w:type="dxa"/>
            <w:tcBorders>
              <w:bottom w:val="single" w:sz="4" w:space="0" w:color="auto"/>
            </w:tcBorders>
            <w:shd w:val="clear" w:color="auto" w:fill="auto"/>
          </w:tcPr>
          <w:p w14:paraId="21B5C655" w14:textId="77777777" w:rsidR="00AE19CA" w:rsidRPr="000E3522" w:rsidRDefault="00AE19CA" w:rsidP="00B415D3">
            <w:pPr>
              <w:pStyle w:val="ListParagraph"/>
              <w:spacing w:after="0" w:line="240" w:lineRule="auto"/>
              <w:ind w:left="0"/>
              <w:jc w:val="both"/>
              <w:rPr>
                <w:rFonts w:ascii="Arial" w:hAnsi="Arial" w:cs="Arial"/>
                <w:sz w:val="20"/>
                <w:szCs w:val="20"/>
                <w:lang w:val="es-ES"/>
              </w:rPr>
            </w:pPr>
            <w:r w:rsidRPr="000E3522">
              <w:rPr>
                <w:rFonts w:ascii="Arial" w:hAnsi="Arial" w:cs="Arial"/>
                <w:sz w:val="20"/>
                <w:szCs w:val="20"/>
                <w:lang w:val="es-ES"/>
              </w:rPr>
              <w:t>Los proyectos mencionados prevén mayor acceso de la población a los servicios de gas y electricidad:</w:t>
            </w:r>
          </w:p>
          <w:p w14:paraId="55867D4D" w14:textId="19185DE8" w:rsidR="00FE3587" w:rsidRPr="000E3522" w:rsidRDefault="00852A4D" w:rsidP="00C640B7">
            <w:pPr>
              <w:pStyle w:val="ListParagraph"/>
              <w:numPr>
                <w:ilvl w:val="0"/>
                <w:numId w:val="3"/>
              </w:numPr>
              <w:spacing w:after="0" w:line="240" w:lineRule="auto"/>
              <w:ind w:left="0" w:hanging="108"/>
              <w:jc w:val="both"/>
              <w:rPr>
                <w:rFonts w:ascii="Arial" w:hAnsi="Arial" w:cs="Arial"/>
                <w:sz w:val="20"/>
                <w:szCs w:val="20"/>
                <w:lang w:val="es-ES"/>
              </w:rPr>
            </w:pPr>
            <w:r w:rsidRPr="000E3522">
              <w:rPr>
                <w:rFonts w:ascii="Arial" w:hAnsi="Arial" w:cs="Arial"/>
                <w:sz w:val="20"/>
                <w:szCs w:val="20"/>
                <w:lang w:val="es-ES"/>
              </w:rPr>
              <w:t xml:space="preserve">De las 23 provincias del país hay </w:t>
            </w:r>
            <w:r w:rsidR="00AE19CA" w:rsidRPr="000E3522">
              <w:rPr>
                <w:rFonts w:ascii="Arial" w:hAnsi="Arial" w:cs="Arial"/>
                <w:sz w:val="20"/>
                <w:szCs w:val="20"/>
                <w:lang w:val="es-ES"/>
              </w:rPr>
              <w:t xml:space="preserve">4 </w:t>
            </w:r>
            <w:r w:rsidRPr="000E3522">
              <w:rPr>
                <w:rFonts w:ascii="Arial" w:hAnsi="Arial" w:cs="Arial"/>
                <w:sz w:val="20"/>
                <w:szCs w:val="20"/>
                <w:lang w:val="es-ES"/>
              </w:rPr>
              <w:t>que aún no tienen acceso a gas por redes, siendo Corrientes una de ellas</w:t>
            </w:r>
            <w:r w:rsidR="00C24DB2" w:rsidRPr="000E3522">
              <w:rPr>
                <w:rFonts w:ascii="Arial" w:hAnsi="Arial" w:cs="Arial"/>
                <w:sz w:val="20"/>
                <w:szCs w:val="20"/>
                <w:lang w:val="es-ES"/>
              </w:rPr>
              <w:t xml:space="preserve"> (las provincias sin acceso al servicio forman parte de la denominada Región del Norte Grande, que tiene un retraso significativo en infraestructura vis a vis el resto del país)</w:t>
            </w:r>
            <w:r w:rsidRPr="000E3522">
              <w:rPr>
                <w:rFonts w:ascii="Arial" w:hAnsi="Arial" w:cs="Arial"/>
                <w:sz w:val="20"/>
                <w:szCs w:val="20"/>
                <w:lang w:val="es-ES"/>
              </w:rPr>
              <w:t>. El proyecto permitirá que la Ciudad de Curuzú Cuatiá (y en una siguiente fase la Ciudad de Mercedes)</w:t>
            </w:r>
            <w:r w:rsidR="00C24DB2" w:rsidRPr="000E3522">
              <w:rPr>
                <w:rFonts w:ascii="Arial" w:hAnsi="Arial" w:cs="Arial"/>
                <w:sz w:val="20"/>
                <w:szCs w:val="20"/>
                <w:lang w:val="es-ES"/>
              </w:rPr>
              <w:t xml:space="preserve">, y los productores rurales localizados próximos a </w:t>
            </w:r>
            <w:r w:rsidR="00256110" w:rsidRPr="000E3522">
              <w:rPr>
                <w:rFonts w:ascii="Arial" w:hAnsi="Arial" w:cs="Arial"/>
                <w:sz w:val="20"/>
                <w:szCs w:val="20"/>
                <w:lang w:val="es-ES"/>
              </w:rPr>
              <w:t xml:space="preserve">dichas </w:t>
            </w:r>
            <w:r w:rsidR="00C24DB2" w:rsidRPr="000E3522">
              <w:rPr>
                <w:rFonts w:ascii="Arial" w:hAnsi="Arial" w:cs="Arial"/>
                <w:sz w:val="20"/>
                <w:szCs w:val="20"/>
                <w:lang w:val="es-ES"/>
              </w:rPr>
              <w:t>ciudad</w:t>
            </w:r>
            <w:r w:rsidR="00256110" w:rsidRPr="000E3522">
              <w:rPr>
                <w:rFonts w:ascii="Arial" w:hAnsi="Arial" w:cs="Arial"/>
                <w:sz w:val="20"/>
                <w:szCs w:val="20"/>
                <w:lang w:val="es-ES"/>
              </w:rPr>
              <w:t>es</w:t>
            </w:r>
            <w:r w:rsidR="00C24DB2" w:rsidRPr="000E3522">
              <w:rPr>
                <w:rFonts w:ascii="Arial" w:hAnsi="Arial" w:cs="Arial"/>
                <w:sz w:val="20"/>
                <w:szCs w:val="20"/>
                <w:lang w:val="es-ES"/>
              </w:rPr>
              <w:t>,</w:t>
            </w:r>
            <w:r w:rsidRPr="000E3522">
              <w:rPr>
                <w:rFonts w:ascii="Arial" w:hAnsi="Arial" w:cs="Arial"/>
                <w:sz w:val="20"/>
                <w:szCs w:val="20"/>
                <w:lang w:val="es-ES"/>
              </w:rPr>
              <w:t xml:space="preserve"> puedan contar con gas natural. </w:t>
            </w:r>
          </w:p>
          <w:p w14:paraId="2381C552" w14:textId="77777777" w:rsidR="00C640B7" w:rsidRPr="000E3522" w:rsidRDefault="00852A4D" w:rsidP="00852A4D">
            <w:pPr>
              <w:pStyle w:val="ListParagraph"/>
              <w:numPr>
                <w:ilvl w:val="0"/>
                <w:numId w:val="3"/>
              </w:numPr>
              <w:spacing w:after="0" w:line="240" w:lineRule="auto"/>
              <w:ind w:left="0" w:hanging="108"/>
              <w:jc w:val="both"/>
              <w:rPr>
                <w:rFonts w:ascii="Arial" w:hAnsi="Arial" w:cs="Arial"/>
                <w:sz w:val="20"/>
                <w:szCs w:val="20"/>
                <w:lang w:val="es-ES"/>
              </w:rPr>
            </w:pPr>
            <w:r w:rsidRPr="000E3522">
              <w:rPr>
                <w:rFonts w:ascii="Arial" w:hAnsi="Arial" w:cs="Arial"/>
                <w:sz w:val="20"/>
                <w:szCs w:val="20"/>
                <w:lang w:val="es-ES"/>
              </w:rPr>
              <w:t xml:space="preserve">La estación transformadora permitirá a los productos agropecuarios de la zona contar con energía eléctrica en media tensión al que actualmente no pueden acceder debido a la limitada capacidad de la red en el área. </w:t>
            </w:r>
          </w:p>
        </w:tc>
      </w:tr>
      <w:tr w:rsidR="00EE54D0" w:rsidRPr="000E3522" w14:paraId="4C5D2EEC" w14:textId="77777777" w:rsidTr="00EE54D0">
        <w:trPr>
          <w:trHeight w:val="863"/>
          <w:jc w:val="center"/>
        </w:trPr>
        <w:tc>
          <w:tcPr>
            <w:tcW w:w="3133" w:type="dxa"/>
            <w:shd w:val="clear" w:color="auto" w:fill="auto"/>
          </w:tcPr>
          <w:p w14:paraId="56A28F1E" w14:textId="77777777" w:rsidR="00FE3587" w:rsidRPr="000E3522" w:rsidRDefault="00FE3587" w:rsidP="003E0D4D">
            <w:pPr>
              <w:spacing w:after="0" w:line="240" w:lineRule="auto"/>
              <w:rPr>
                <w:rFonts w:ascii="Arial" w:hAnsi="Arial" w:cs="Arial"/>
                <w:sz w:val="20"/>
                <w:szCs w:val="20"/>
                <w:lang w:val="es-ES"/>
              </w:rPr>
            </w:pPr>
            <w:r w:rsidRPr="000E3522">
              <w:rPr>
                <w:rFonts w:ascii="Arial" w:hAnsi="Arial" w:cs="Arial"/>
                <w:b/>
                <w:bCs/>
                <w:sz w:val="20"/>
                <w:szCs w:val="20"/>
                <w:lang w:val="es-ES"/>
              </w:rPr>
              <w:t>2.</w:t>
            </w:r>
            <w:r w:rsidR="003E0D4D" w:rsidRPr="000E3522">
              <w:rPr>
                <w:rFonts w:ascii="Arial" w:hAnsi="Arial" w:cs="Arial"/>
                <w:b/>
                <w:bCs/>
                <w:sz w:val="20"/>
                <w:szCs w:val="20"/>
                <w:lang w:val="es-ES"/>
              </w:rPr>
              <w:t>2</w:t>
            </w:r>
            <w:r w:rsidRPr="000E3522">
              <w:rPr>
                <w:rFonts w:ascii="Arial" w:hAnsi="Arial" w:cs="Arial"/>
                <w:b/>
                <w:bCs/>
                <w:sz w:val="20"/>
                <w:szCs w:val="20"/>
                <w:lang w:val="es-ES"/>
              </w:rPr>
              <w:t xml:space="preserve"> </w:t>
            </w:r>
            <w:r w:rsidR="0080752A" w:rsidRPr="000E3522">
              <w:rPr>
                <w:rFonts w:ascii="Arial" w:hAnsi="Arial" w:cs="Arial"/>
                <w:b/>
                <w:bCs/>
                <w:sz w:val="20"/>
                <w:szCs w:val="20"/>
                <w:lang w:val="es-ES"/>
              </w:rPr>
              <w:t xml:space="preserve">Suministro </w:t>
            </w:r>
            <w:r w:rsidRPr="000E3522">
              <w:rPr>
                <w:rFonts w:ascii="Arial" w:hAnsi="Arial" w:cs="Arial"/>
                <w:b/>
                <w:bCs/>
                <w:sz w:val="20"/>
                <w:szCs w:val="20"/>
                <w:lang w:val="es-ES"/>
              </w:rPr>
              <w:t>con confiabilidad y calidad adecuadas</w:t>
            </w:r>
          </w:p>
        </w:tc>
        <w:tc>
          <w:tcPr>
            <w:tcW w:w="5040" w:type="dxa"/>
            <w:shd w:val="clear" w:color="auto" w:fill="auto"/>
          </w:tcPr>
          <w:p w14:paraId="35596763" w14:textId="77777777" w:rsidR="00FE3587" w:rsidRPr="000E3522" w:rsidRDefault="00C24DB2" w:rsidP="006E65EB">
            <w:pPr>
              <w:spacing w:after="0" w:line="240" w:lineRule="auto"/>
              <w:rPr>
                <w:rFonts w:ascii="Arial" w:hAnsi="Arial" w:cs="Arial"/>
                <w:sz w:val="20"/>
                <w:szCs w:val="20"/>
                <w:lang w:val="es-ES"/>
              </w:rPr>
            </w:pPr>
            <w:r w:rsidRPr="000E3522">
              <w:rPr>
                <w:rFonts w:ascii="Arial" w:hAnsi="Arial" w:cs="Arial"/>
                <w:sz w:val="20"/>
                <w:szCs w:val="20"/>
                <w:lang w:val="es-ES"/>
              </w:rPr>
              <w:t>Se procurará que el servicio que se provea al usuario cumpla con las normas de calidad y confiabilidad mínimas</w:t>
            </w:r>
            <w:r w:rsidR="006E65EB" w:rsidRPr="000E3522">
              <w:rPr>
                <w:rFonts w:ascii="Arial" w:hAnsi="Arial" w:cs="Arial"/>
                <w:sz w:val="20"/>
                <w:szCs w:val="20"/>
                <w:lang w:val="es-ES"/>
              </w:rPr>
              <w:t xml:space="preserve"> que sean viables y consistentes con un análisis costo – beneficio o costo – eficiencia, acorde a la naturaleza del servicio y condiciones del </w:t>
            </w:r>
            <w:r w:rsidR="006E65EB" w:rsidRPr="000E3522">
              <w:rPr>
                <w:rFonts w:ascii="Arial" w:hAnsi="Arial" w:cs="Arial"/>
                <w:sz w:val="20"/>
                <w:szCs w:val="20"/>
                <w:lang w:val="es-ES"/>
              </w:rPr>
              <w:lastRenderedPageBreak/>
              <w:t>suministro.</w:t>
            </w:r>
            <w:r w:rsidR="00FE3587" w:rsidRPr="000E3522">
              <w:rPr>
                <w:rFonts w:ascii="Arial" w:hAnsi="Arial" w:cs="Arial"/>
                <w:sz w:val="20"/>
                <w:szCs w:val="20"/>
                <w:lang w:val="es-ES"/>
              </w:rPr>
              <w:t xml:space="preserve"> </w:t>
            </w:r>
          </w:p>
        </w:tc>
        <w:tc>
          <w:tcPr>
            <w:tcW w:w="5571" w:type="dxa"/>
            <w:shd w:val="clear" w:color="auto" w:fill="auto"/>
          </w:tcPr>
          <w:p w14:paraId="41E0139C" w14:textId="77777777" w:rsidR="00FE3587" w:rsidRPr="000E3522" w:rsidRDefault="00833DC2" w:rsidP="00B415D3">
            <w:pPr>
              <w:pStyle w:val="ListParagraph"/>
              <w:spacing w:after="0" w:line="240" w:lineRule="auto"/>
              <w:ind w:left="0"/>
              <w:jc w:val="both"/>
              <w:rPr>
                <w:rFonts w:ascii="Arial" w:hAnsi="Arial" w:cs="Arial"/>
                <w:sz w:val="20"/>
                <w:szCs w:val="20"/>
                <w:lang w:val="es-ES"/>
              </w:rPr>
            </w:pPr>
            <w:r w:rsidRPr="000E3522">
              <w:rPr>
                <w:rFonts w:ascii="Arial" w:hAnsi="Arial" w:cs="Arial"/>
                <w:sz w:val="20"/>
                <w:szCs w:val="20"/>
                <w:lang w:val="es-ES"/>
              </w:rPr>
              <w:lastRenderedPageBreak/>
              <w:t>Ambos proyectos contribuirán a que se pueda proveer sus respectivos servicios (gas y electricidad) en forma confiable y con la calidad necesaria.</w:t>
            </w:r>
            <w:r w:rsidR="006E65EB" w:rsidRPr="000E3522">
              <w:rPr>
                <w:rFonts w:ascii="Arial" w:hAnsi="Arial" w:cs="Arial"/>
                <w:sz w:val="20"/>
                <w:szCs w:val="20"/>
                <w:lang w:val="es-ES"/>
              </w:rPr>
              <w:t xml:space="preserve"> Los servicios deberán ser provistos siguiendo los parámetros técnicos y de calidad de servicio que indican los respectivos órganos reguladores </w:t>
            </w:r>
            <w:r w:rsidR="009D673B" w:rsidRPr="000E3522">
              <w:rPr>
                <w:rFonts w:ascii="Arial" w:hAnsi="Arial" w:cs="Arial"/>
                <w:sz w:val="20"/>
                <w:szCs w:val="20"/>
                <w:lang w:val="es-ES"/>
              </w:rPr>
              <w:lastRenderedPageBreak/>
              <w:t xml:space="preserve">nacionales </w:t>
            </w:r>
            <w:r w:rsidR="006E65EB" w:rsidRPr="000E3522">
              <w:rPr>
                <w:rFonts w:ascii="Arial" w:hAnsi="Arial" w:cs="Arial"/>
                <w:sz w:val="20"/>
                <w:szCs w:val="20"/>
                <w:lang w:val="es-ES"/>
              </w:rPr>
              <w:t>(</w:t>
            </w:r>
            <w:r w:rsidR="009D673B" w:rsidRPr="000E3522">
              <w:rPr>
                <w:rFonts w:ascii="Arial" w:hAnsi="Arial" w:cs="Arial"/>
                <w:sz w:val="20"/>
                <w:szCs w:val="20"/>
                <w:lang w:val="es-ES"/>
              </w:rPr>
              <w:t xml:space="preserve">Ente Nacional de Regulador del Gas </w:t>
            </w:r>
            <w:r w:rsidR="005B6C34" w:rsidRPr="000E3522">
              <w:rPr>
                <w:rFonts w:ascii="Arial" w:hAnsi="Arial" w:cs="Arial"/>
                <w:sz w:val="20"/>
                <w:szCs w:val="20"/>
                <w:lang w:val="es-ES"/>
              </w:rPr>
              <w:t>-</w:t>
            </w:r>
            <w:r w:rsidR="006E65EB" w:rsidRPr="000E3522">
              <w:rPr>
                <w:rFonts w:ascii="Arial" w:hAnsi="Arial" w:cs="Arial"/>
                <w:sz w:val="20"/>
                <w:szCs w:val="20"/>
                <w:lang w:val="es-ES"/>
              </w:rPr>
              <w:t>ENARGAS</w:t>
            </w:r>
            <w:r w:rsidR="008F4773" w:rsidRPr="000E3522">
              <w:rPr>
                <w:rStyle w:val="FootnoteReference"/>
                <w:rFonts w:ascii="Arial" w:hAnsi="Arial" w:cs="Arial"/>
                <w:sz w:val="20"/>
                <w:szCs w:val="20"/>
                <w:lang w:val="es-ES"/>
              </w:rPr>
              <w:footnoteReference w:id="1"/>
            </w:r>
            <w:r w:rsidR="009D673B" w:rsidRPr="000E3522">
              <w:rPr>
                <w:rFonts w:ascii="Arial" w:hAnsi="Arial" w:cs="Arial"/>
                <w:sz w:val="20"/>
                <w:szCs w:val="20"/>
                <w:lang w:val="es-ES"/>
              </w:rPr>
              <w:t>-</w:t>
            </w:r>
            <w:r w:rsidR="006E65EB" w:rsidRPr="000E3522">
              <w:rPr>
                <w:rFonts w:ascii="Arial" w:hAnsi="Arial" w:cs="Arial"/>
                <w:sz w:val="20"/>
                <w:szCs w:val="20"/>
                <w:lang w:val="es-ES"/>
              </w:rPr>
              <w:t xml:space="preserve"> y </w:t>
            </w:r>
            <w:r w:rsidR="009D673B" w:rsidRPr="000E3522">
              <w:rPr>
                <w:rFonts w:ascii="Arial" w:hAnsi="Arial" w:cs="Arial"/>
                <w:sz w:val="20"/>
                <w:szCs w:val="20"/>
                <w:lang w:val="es-ES"/>
              </w:rPr>
              <w:t xml:space="preserve">Ente Nacional </w:t>
            </w:r>
            <w:r w:rsidR="005B6C34" w:rsidRPr="000E3522">
              <w:rPr>
                <w:rFonts w:ascii="Arial" w:hAnsi="Arial" w:cs="Arial"/>
                <w:sz w:val="20"/>
                <w:szCs w:val="20"/>
                <w:lang w:val="es-ES"/>
              </w:rPr>
              <w:t>Regulador de la Electricidad -</w:t>
            </w:r>
            <w:r w:rsidR="006E65EB" w:rsidRPr="000E3522">
              <w:rPr>
                <w:rFonts w:ascii="Arial" w:hAnsi="Arial" w:cs="Arial"/>
                <w:sz w:val="20"/>
                <w:szCs w:val="20"/>
                <w:lang w:val="es-ES"/>
              </w:rPr>
              <w:t>ENRE</w:t>
            </w:r>
            <w:r w:rsidR="008F4773" w:rsidRPr="000E3522">
              <w:rPr>
                <w:rStyle w:val="FootnoteReference"/>
                <w:rFonts w:ascii="Arial" w:hAnsi="Arial" w:cs="Arial"/>
                <w:sz w:val="20"/>
                <w:szCs w:val="20"/>
                <w:lang w:val="es-ES"/>
              </w:rPr>
              <w:footnoteReference w:id="2"/>
            </w:r>
            <w:r w:rsidR="005B6C34" w:rsidRPr="000E3522">
              <w:rPr>
                <w:rFonts w:ascii="Arial" w:hAnsi="Arial" w:cs="Arial"/>
                <w:sz w:val="20"/>
                <w:szCs w:val="20"/>
                <w:lang w:val="es-ES"/>
              </w:rPr>
              <w:t>-</w:t>
            </w:r>
            <w:r w:rsidR="006E65EB" w:rsidRPr="000E3522">
              <w:rPr>
                <w:rFonts w:ascii="Arial" w:hAnsi="Arial" w:cs="Arial"/>
                <w:sz w:val="20"/>
                <w:szCs w:val="20"/>
                <w:lang w:val="es-ES"/>
              </w:rPr>
              <w:t xml:space="preserve">). </w:t>
            </w:r>
          </w:p>
        </w:tc>
      </w:tr>
      <w:tr w:rsidR="00EE54D0" w:rsidRPr="000E3522" w14:paraId="1DBAF78A" w14:textId="77777777" w:rsidTr="00EE54D0">
        <w:trPr>
          <w:jc w:val="center"/>
        </w:trPr>
        <w:tc>
          <w:tcPr>
            <w:tcW w:w="3133" w:type="dxa"/>
            <w:shd w:val="clear" w:color="auto" w:fill="auto"/>
          </w:tcPr>
          <w:p w14:paraId="2DDDF91D" w14:textId="77777777" w:rsidR="00FE3587" w:rsidRPr="000E3522" w:rsidRDefault="003E0D4D" w:rsidP="003E0D4D">
            <w:pPr>
              <w:spacing w:after="0" w:line="240" w:lineRule="auto"/>
              <w:rPr>
                <w:rFonts w:ascii="Arial" w:hAnsi="Arial" w:cs="Arial"/>
                <w:b/>
                <w:bCs/>
                <w:sz w:val="20"/>
                <w:szCs w:val="20"/>
                <w:lang w:val="es-ES"/>
              </w:rPr>
            </w:pPr>
            <w:r w:rsidRPr="000E3522">
              <w:rPr>
                <w:rFonts w:ascii="Arial" w:hAnsi="Arial" w:cs="Arial"/>
                <w:b/>
                <w:bCs/>
                <w:sz w:val="20"/>
                <w:szCs w:val="20"/>
                <w:lang w:val="es-ES"/>
              </w:rPr>
              <w:lastRenderedPageBreak/>
              <w:t>2.3</w:t>
            </w:r>
            <w:r w:rsidR="0080752A" w:rsidRPr="000E3522">
              <w:rPr>
                <w:rFonts w:ascii="Arial" w:hAnsi="Arial" w:cs="Arial"/>
                <w:b/>
                <w:bCs/>
                <w:sz w:val="20"/>
                <w:szCs w:val="20"/>
                <w:lang w:val="es-ES"/>
              </w:rPr>
              <w:t xml:space="preserve"> Suministro</w:t>
            </w:r>
            <w:r w:rsidR="00FE3587" w:rsidRPr="000E3522">
              <w:rPr>
                <w:rFonts w:ascii="Arial" w:hAnsi="Arial" w:cs="Arial"/>
                <w:b/>
                <w:bCs/>
                <w:sz w:val="20"/>
                <w:szCs w:val="20"/>
                <w:lang w:val="es-ES"/>
              </w:rPr>
              <w:t xml:space="preserve"> </w:t>
            </w:r>
            <w:r w:rsidR="0080752A" w:rsidRPr="000E3522">
              <w:rPr>
                <w:rFonts w:ascii="Arial" w:hAnsi="Arial" w:cs="Arial"/>
                <w:b/>
                <w:bCs/>
                <w:sz w:val="20"/>
                <w:szCs w:val="20"/>
                <w:lang w:val="es-ES"/>
              </w:rPr>
              <w:t xml:space="preserve">con </w:t>
            </w:r>
            <w:r w:rsidR="00FE3587" w:rsidRPr="000E3522">
              <w:rPr>
                <w:rFonts w:ascii="Arial" w:hAnsi="Arial" w:cs="Arial"/>
                <w:b/>
                <w:bCs/>
                <w:sz w:val="20"/>
                <w:szCs w:val="20"/>
                <w:lang w:val="es-ES"/>
              </w:rPr>
              <w:t>eficiencia</w:t>
            </w:r>
          </w:p>
        </w:tc>
        <w:tc>
          <w:tcPr>
            <w:tcW w:w="5040" w:type="dxa"/>
            <w:shd w:val="clear" w:color="auto" w:fill="auto"/>
          </w:tcPr>
          <w:p w14:paraId="37AA9E29" w14:textId="77777777" w:rsidR="00FE3587" w:rsidRPr="000E3522" w:rsidRDefault="006E65EB" w:rsidP="006E65EB">
            <w:pPr>
              <w:spacing w:after="0" w:line="240" w:lineRule="auto"/>
              <w:rPr>
                <w:rFonts w:ascii="Arial" w:hAnsi="Arial" w:cs="Arial"/>
                <w:sz w:val="20"/>
                <w:szCs w:val="20"/>
                <w:lang w:val="es-ES"/>
              </w:rPr>
            </w:pPr>
            <w:r w:rsidRPr="000E3522">
              <w:rPr>
                <w:rFonts w:ascii="Arial" w:hAnsi="Arial" w:cs="Arial"/>
                <w:sz w:val="20"/>
                <w:szCs w:val="20"/>
                <w:lang w:val="es-ES"/>
              </w:rPr>
              <w:t xml:space="preserve">Desde el punto de vista de la oferta, se deberá buscar que los servicios sean provistos con los menores costos posibles. </w:t>
            </w:r>
          </w:p>
        </w:tc>
        <w:tc>
          <w:tcPr>
            <w:tcW w:w="5571" w:type="dxa"/>
            <w:shd w:val="clear" w:color="auto" w:fill="auto"/>
          </w:tcPr>
          <w:p w14:paraId="4D2EF6B2" w14:textId="1069D54B" w:rsidR="00FE3587" w:rsidRPr="000E3522" w:rsidRDefault="00716ACD">
            <w:pPr>
              <w:spacing w:after="0" w:line="240" w:lineRule="auto"/>
              <w:jc w:val="both"/>
              <w:rPr>
                <w:rFonts w:ascii="Arial" w:hAnsi="Arial" w:cs="Arial"/>
                <w:sz w:val="20"/>
                <w:szCs w:val="20"/>
                <w:highlight w:val="yellow"/>
                <w:lang w:val="es-ES"/>
              </w:rPr>
            </w:pPr>
            <w:r w:rsidRPr="000E3522">
              <w:rPr>
                <w:rFonts w:ascii="Arial" w:hAnsi="Arial" w:cs="Arial"/>
                <w:sz w:val="20"/>
                <w:szCs w:val="20"/>
                <w:lang w:val="es-ES"/>
              </w:rPr>
              <w:t xml:space="preserve">En relación a las </w:t>
            </w:r>
            <w:r w:rsidR="00381BE2" w:rsidRPr="000E3522">
              <w:rPr>
                <w:rFonts w:ascii="Arial" w:hAnsi="Arial" w:cs="Arial"/>
                <w:sz w:val="20"/>
                <w:szCs w:val="20"/>
                <w:lang w:val="es-ES"/>
              </w:rPr>
              <w:t xml:space="preserve">dos </w:t>
            </w:r>
            <w:r w:rsidRPr="000E3522">
              <w:rPr>
                <w:rFonts w:ascii="Arial" w:hAnsi="Arial" w:cs="Arial"/>
                <w:sz w:val="20"/>
                <w:szCs w:val="20"/>
                <w:lang w:val="es-ES"/>
              </w:rPr>
              <w:t xml:space="preserve">obras mencionadas en el marco del Programa, se ha verificado que se ha realizado un análisis de alternativas </w:t>
            </w:r>
            <w:r w:rsidR="00381BE2" w:rsidRPr="000E3522">
              <w:rPr>
                <w:rFonts w:ascii="Arial" w:hAnsi="Arial" w:cs="Arial"/>
                <w:sz w:val="20"/>
                <w:szCs w:val="20"/>
                <w:lang w:val="es-ES"/>
              </w:rPr>
              <w:t xml:space="preserve">confirmándose que las soluciones técnicas propuestas para proveer los servicios son las de menores costos. </w:t>
            </w:r>
          </w:p>
        </w:tc>
      </w:tr>
      <w:tr w:rsidR="00EE54D0" w:rsidRPr="000E3522" w14:paraId="09549EAC" w14:textId="77777777" w:rsidTr="00B415D3">
        <w:trPr>
          <w:trHeight w:val="170"/>
          <w:jc w:val="center"/>
        </w:trPr>
        <w:tc>
          <w:tcPr>
            <w:tcW w:w="3133" w:type="dxa"/>
            <w:tcBorders>
              <w:bottom w:val="single" w:sz="4" w:space="0" w:color="auto"/>
            </w:tcBorders>
            <w:shd w:val="clear" w:color="auto" w:fill="auto"/>
          </w:tcPr>
          <w:p w14:paraId="28B719B0" w14:textId="77777777" w:rsidR="00FE3587" w:rsidRPr="000E3522" w:rsidRDefault="003E0D4D" w:rsidP="003E0D4D">
            <w:pPr>
              <w:spacing w:after="0" w:line="240" w:lineRule="auto"/>
              <w:rPr>
                <w:rFonts w:ascii="Arial" w:hAnsi="Arial" w:cs="Arial"/>
                <w:b/>
                <w:bCs/>
                <w:sz w:val="20"/>
                <w:szCs w:val="20"/>
                <w:lang w:val="es-ES"/>
              </w:rPr>
            </w:pPr>
            <w:r w:rsidRPr="000E3522">
              <w:rPr>
                <w:rFonts w:ascii="Arial" w:hAnsi="Arial" w:cs="Arial"/>
                <w:b/>
                <w:bCs/>
                <w:sz w:val="20"/>
                <w:szCs w:val="20"/>
                <w:lang w:val="es-ES"/>
              </w:rPr>
              <w:t>2.4</w:t>
            </w:r>
            <w:r w:rsidR="00FE3587" w:rsidRPr="000E3522">
              <w:rPr>
                <w:rFonts w:ascii="Arial" w:hAnsi="Arial" w:cs="Arial"/>
                <w:b/>
                <w:bCs/>
                <w:sz w:val="20"/>
                <w:szCs w:val="20"/>
                <w:lang w:val="es-ES"/>
              </w:rPr>
              <w:t xml:space="preserve"> </w:t>
            </w:r>
            <w:r w:rsidR="0080752A" w:rsidRPr="000E3522">
              <w:rPr>
                <w:rFonts w:ascii="Arial" w:hAnsi="Arial" w:cs="Arial"/>
                <w:b/>
                <w:bCs/>
                <w:sz w:val="20"/>
                <w:szCs w:val="20"/>
                <w:lang w:val="es-ES"/>
              </w:rPr>
              <w:t>I</w:t>
            </w:r>
            <w:r w:rsidR="00FE3587" w:rsidRPr="000E3522">
              <w:rPr>
                <w:rFonts w:ascii="Arial" w:hAnsi="Arial" w:cs="Arial"/>
                <w:b/>
                <w:bCs/>
                <w:sz w:val="20"/>
                <w:szCs w:val="20"/>
                <w:lang w:val="es-ES"/>
              </w:rPr>
              <w:t xml:space="preserve">ncentivos </w:t>
            </w:r>
            <w:r w:rsidR="00875A27" w:rsidRPr="000E3522">
              <w:rPr>
                <w:rFonts w:ascii="Arial" w:hAnsi="Arial" w:cs="Arial"/>
                <w:b/>
                <w:bCs/>
                <w:sz w:val="20"/>
                <w:szCs w:val="20"/>
                <w:lang w:val="es-ES"/>
              </w:rPr>
              <w:t>a la demanda de servicios</w:t>
            </w:r>
          </w:p>
        </w:tc>
        <w:tc>
          <w:tcPr>
            <w:tcW w:w="5040" w:type="dxa"/>
            <w:tcBorders>
              <w:bottom w:val="single" w:sz="4" w:space="0" w:color="auto"/>
            </w:tcBorders>
            <w:shd w:val="clear" w:color="auto" w:fill="auto"/>
          </w:tcPr>
          <w:p w14:paraId="13614364" w14:textId="77777777" w:rsidR="00FE3587" w:rsidRPr="000E3522" w:rsidRDefault="006E65EB" w:rsidP="006E65EB">
            <w:pPr>
              <w:spacing w:after="0" w:line="240" w:lineRule="auto"/>
              <w:rPr>
                <w:rFonts w:ascii="Arial" w:hAnsi="Arial" w:cs="Arial"/>
                <w:sz w:val="20"/>
                <w:szCs w:val="20"/>
                <w:lang w:val="es-ES"/>
              </w:rPr>
            </w:pPr>
            <w:r w:rsidRPr="000E3522">
              <w:rPr>
                <w:rFonts w:ascii="Arial" w:hAnsi="Arial" w:cs="Arial"/>
                <w:sz w:val="20"/>
                <w:szCs w:val="20"/>
                <w:lang w:val="es-ES"/>
              </w:rPr>
              <w:t xml:space="preserve">Debe velarse para que existan incentivos adecuados </w:t>
            </w:r>
            <w:r w:rsidR="00FE3587" w:rsidRPr="000E3522">
              <w:rPr>
                <w:rFonts w:ascii="Arial" w:hAnsi="Arial" w:cs="Arial"/>
                <w:sz w:val="20"/>
                <w:szCs w:val="20"/>
                <w:lang w:val="es-ES"/>
              </w:rPr>
              <w:t xml:space="preserve">para </w:t>
            </w:r>
            <w:r w:rsidRPr="000E3522">
              <w:rPr>
                <w:rFonts w:ascii="Arial" w:hAnsi="Arial" w:cs="Arial"/>
                <w:sz w:val="20"/>
                <w:szCs w:val="20"/>
                <w:lang w:val="es-ES"/>
              </w:rPr>
              <w:t xml:space="preserve">que los usuarios hagan uso de estos servicios en forma </w:t>
            </w:r>
            <w:r w:rsidR="00FE3587" w:rsidRPr="000E3522">
              <w:rPr>
                <w:rFonts w:ascii="Arial" w:hAnsi="Arial" w:cs="Arial"/>
                <w:sz w:val="20"/>
                <w:szCs w:val="20"/>
                <w:lang w:val="es-ES"/>
              </w:rPr>
              <w:t>compatible con su sostenibilidad económica, financiera y ambiental</w:t>
            </w:r>
            <w:r w:rsidR="00875A27" w:rsidRPr="000E3522">
              <w:rPr>
                <w:rFonts w:ascii="Arial" w:hAnsi="Arial" w:cs="Arial"/>
                <w:sz w:val="20"/>
                <w:szCs w:val="20"/>
                <w:lang w:val="es-ES"/>
              </w:rPr>
              <w:t>.</w:t>
            </w:r>
          </w:p>
        </w:tc>
        <w:tc>
          <w:tcPr>
            <w:tcW w:w="5571" w:type="dxa"/>
            <w:tcBorders>
              <w:bottom w:val="single" w:sz="4" w:space="0" w:color="auto"/>
            </w:tcBorders>
            <w:shd w:val="clear" w:color="auto" w:fill="auto"/>
          </w:tcPr>
          <w:p w14:paraId="15630DA0" w14:textId="1A0F5F2D" w:rsidR="004A4517" w:rsidRPr="000E3522" w:rsidRDefault="00E2777E" w:rsidP="006E65EB">
            <w:pPr>
              <w:pStyle w:val="Default"/>
              <w:jc w:val="both"/>
              <w:rPr>
                <w:rFonts w:ascii="Arial" w:hAnsi="Arial" w:cs="Arial"/>
                <w:sz w:val="20"/>
                <w:szCs w:val="20"/>
                <w:highlight w:val="yellow"/>
                <w:lang w:val="es-ES"/>
              </w:rPr>
            </w:pPr>
            <w:r w:rsidRPr="000E3522">
              <w:rPr>
                <w:rFonts w:ascii="Arial" w:hAnsi="Arial" w:cs="Arial"/>
                <w:sz w:val="20"/>
                <w:szCs w:val="20"/>
                <w:lang w:val="es-AR"/>
              </w:rPr>
              <w:t xml:space="preserve">Existen esquemas de incentivos adecuados para que los usuarios hagan uso eficiente de los servicios. </w:t>
            </w:r>
            <w:r w:rsidR="006444B4" w:rsidRPr="000E3522">
              <w:rPr>
                <w:rFonts w:ascii="Arial" w:hAnsi="Arial" w:cs="Arial"/>
                <w:sz w:val="20"/>
                <w:szCs w:val="20"/>
                <w:lang w:val="es-AR"/>
              </w:rPr>
              <w:t xml:space="preserve">En </w:t>
            </w:r>
            <w:r w:rsidR="004A4517" w:rsidRPr="000E3522">
              <w:rPr>
                <w:rFonts w:ascii="Arial" w:hAnsi="Arial" w:cs="Arial"/>
                <w:sz w:val="20"/>
                <w:szCs w:val="20"/>
                <w:lang w:val="es-AR"/>
              </w:rPr>
              <w:t xml:space="preserve">el </w:t>
            </w:r>
            <w:r w:rsidRPr="000E3522">
              <w:rPr>
                <w:rFonts w:ascii="Arial" w:hAnsi="Arial" w:cs="Arial"/>
                <w:sz w:val="20"/>
                <w:szCs w:val="20"/>
                <w:lang w:val="es-AR"/>
              </w:rPr>
              <w:t>caso del gasoducto</w:t>
            </w:r>
            <w:r w:rsidR="004A4517" w:rsidRPr="000E3522">
              <w:rPr>
                <w:rFonts w:ascii="Arial" w:hAnsi="Arial" w:cs="Arial"/>
                <w:sz w:val="20"/>
                <w:szCs w:val="20"/>
                <w:lang w:val="es-AR"/>
              </w:rPr>
              <w:t xml:space="preserve">, el costo de la </w:t>
            </w:r>
            <w:r w:rsidR="004A4517" w:rsidRPr="000E3522">
              <w:rPr>
                <w:rFonts w:ascii="Arial" w:hAnsi="Arial" w:cs="Arial"/>
                <w:sz w:val="20"/>
                <w:szCs w:val="20"/>
                <w:lang w:val="es-ES"/>
              </w:rPr>
              <w:t>provisión de gas natural por redes es sustancialmente inferior al del gas en garrafas o los combustibles alternativos utilizados por el sector productivo (especialmente diesel), por lo que la nueva obra permitirá reducir el gasto energético de las familias y contribuir a la competitividad del sector productivo.</w:t>
            </w:r>
            <w:r w:rsidR="006444B4" w:rsidRPr="000E3522">
              <w:rPr>
                <w:rFonts w:ascii="Arial" w:hAnsi="Arial" w:cs="Arial"/>
                <w:sz w:val="20"/>
                <w:szCs w:val="20"/>
                <w:lang w:val="es-ES"/>
              </w:rPr>
              <w:t xml:space="preserve"> </w:t>
            </w:r>
            <w:r w:rsidRPr="000E3522">
              <w:rPr>
                <w:rFonts w:ascii="Arial" w:hAnsi="Arial" w:cs="Arial"/>
                <w:sz w:val="20"/>
                <w:szCs w:val="20"/>
                <w:lang w:val="es-ES"/>
              </w:rPr>
              <w:t xml:space="preserve">En el otro proyecto, </w:t>
            </w:r>
            <w:r w:rsidR="006444B4" w:rsidRPr="000E3522">
              <w:rPr>
                <w:rFonts w:ascii="Arial" w:hAnsi="Arial" w:cs="Arial"/>
                <w:sz w:val="20"/>
                <w:szCs w:val="20"/>
                <w:lang w:val="es-ES"/>
              </w:rPr>
              <w:t xml:space="preserve">la electricidad es la fuente energética más adecuada y competitiva para dar valor agregado a los productos agropecuarios (frigoríficos, procesadores de alimentos, etc). </w:t>
            </w:r>
          </w:p>
          <w:p w14:paraId="140E72BE" w14:textId="0B113542" w:rsidR="003E0D4D" w:rsidRPr="000E3522" w:rsidRDefault="006444B4" w:rsidP="0013680F">
            <w:pPr>
              <w:pStyle w:val="Default"/>
              <w:jc w:val="both"/>
              <w:rPr>
                <w:rFonts w:ascii="Arial" w:hAnsi="Arial" w:cs="Arial"/>
                <w:sz w:val="20"/>
                <w:szCs w:val="20"/>
                <w:lang w:val="es-ES"/>
              </w:rPr>
            </w:pPr>
            <w:r w:rsidRPr="000E3522">
              <w:rPr>
                <w:rFonts w:ascii="Arial" w:hAnsi="Arial" w:cs="Arial"/>
                <w:sz w:val="20"/>
                <w:szCs w:val="20"/>
                <w:lang w:val="es-ES"/>
              </w:rPr>
              <w:t>Se</w:t>
            </w:r>
            <w:r w:rsidR="004A4517" w:rsidRPr="000E3522">
              <w:rPr>
                <w:rFonts w:ascii="Arial" w:hAnsi="Arial" w:cs="Arial"/>
                <w:sz w:val="20"/>
                <w:szCs w:val="20"/>
                <w:lang w:val="es-ES"/>
              </w:rPr>
              <w:t xml:space="preserve"> espera que l</w:t>
            </w:r>
            <w:r w:rsidR="006E65EB" w:rsidRPr="000E3522">
              <w:rPr>
                <w:rFonts w:ascii="Arial" w:hAnsi="Arial" w:cs="Arial"/>
                <w:sz w:val="20"/>
                <w:szCs w:val="20"/>
                <w:lang w:val="es-ES"/>
              </w:rPr>
              <w:t xml:space="preserve">as tarifas, </w:t>
            </w:r>
            <w:r w:rsidRPr="000E3522">
              <w:rPr>
                <w:rFonts w:ascii="Arial" w:hAnsi="Arial" w:cs="Arial"/>
                <w:sz w:val="20"/>
                <w:szCs w:val="20"/>
                <w:lang w:val="es-ES"/>
              </w:rPr>
              <w:t xml:space="preserve">a medida que se acerquen </w:t>
            </w:r>
            <w:r w:rsidR="006E65EB" w:rsidRPr="000E3522">
              <w:rPr>
                <w:rFonts w:ascii="Arial" w:hAnsi="Arial" w:cs="Arial"/>
                <w:sz w:val="20"/>
                <w:szCs w:val="20"/>
                <w:lang w:val="es-ES"/>
              </w:rPr>
              <w:t xml:space="preserve">a los niveles de equilibrio </w:t>
            </w:r>
            <w:r w:rsidR="00833DC2" w:rsidRPr="000E3522">
              <w:rPr>
                <w:rFonts w:ascii="Arial" w:hAnsi="Arial" w:cs="Arial"/>
                <w:sz w:val="20"/>
                <w:szCs w:val="20"/>
                <w:lang w:val="es-ES"/>
              </w:rPr>
              <w:t xml:space="preserve">reflejando los costos reales de la provisión de los servicios </w:t>
            </w:r>
            <w:r w:rsidR="006E65EB" w:rsidRPr="000E3522">
              <w:rPr>
                <w:rFonts w:ascii="Arial" w:hAnsi="Arial" w:cs="Arial"/>
                <w:sz w:val="20"/>
                <w:szCs w:val="20"/>
                <w:lang w:val="es-ES"/>
              </w:rPr>
              <w:t xml:space="preserve">eléctricos </w:t>
            </w:r>
            <w:r w:rsidR="00833DC2" w:rsidRPr="000E3522">
              <w:rPr>
                <w:rFonts w:ascii="Arial" w:hAnsi="Arial" w:cs="Arial"/>
                <w:sz w:val="20"/>
                <w:szCs w:val="20"/>
                <w:lang w:val="es-ES"/>
              </w:rPr>
              <w:t xml:space="preserve">y gas domiciliario, </w:t>
            </w:r>
            <w:r w:rsidRPr="000E3522">
              <w:rPr>
                <w:rFonts w:ascii="Arial" w:hAnsi="Arial" w:cs="Arial"/>
                <w:sz w:val="20"/>
                <w:szCs w:val="20"/>
                <w:lang w:val="es-ES"/>
              </w:rPr>
              <w:t xml:space="preserve">incentiven </w:t>
            </w:r>
            <w:r w:rsidR="006E65EB" w:rsidRPr="000E3522">
              <w:rPr>
                <w:rFonts w:ascii="Arial" w:hAnsi="Arial" w:cs="Arial"/>
                <w:sz w:val="20"/>
                <w:szCs w:val="20"/>
                <w:lang w:val="es-ES"/>
              </w:rPr>
              <w:t xml:space="preserve">acciones e inversiones en eficiencia energética compatibles </w:t>
            </w:r>
            <w:r w:rsidR="00833DC2" w:rsidRPr="000E3522">
              <w:rPr>
                <w:rFonts w:ascii="Arial" w:hAnsi="Arial" w:cs="Arial"/>
                <w:sz w:val="20"/>
                <w:szCs w:val="20"/>
                <w:lang w:val="es-ES"/>
              </w:rPr>
              <w:t>con su sostenibilidad económica, financiera y ambiental.</w:t>
            </w:r>
          </w:p>
        </w:tc>
      </w:tr>
      <w:tr w:rsidR="00EE54D0" w:rsidRPr="000E3522" w14:paraId="6DFEA686" w14:textId="77777777" w:rsidTr="00EE54D0">
        <w:trPr>
          <w:trHeight w:val="800"/>
          <w:jc w:val="center"/>
        </w:trPr>
        <w:tc>
          <w:tcPr>
            <w:tcW w:w="3133" w:type="dxa"/>
            <w:tcBorders>
              <w:bottom w:val="single" w:sz="4" w:space="0" w:color="auto"/>
            </w:tcBorders>
            <w:shd w:val="clear" w:color="auto" w:fill="auto"/>
          </w:tcPr>
          <w:p w14:paraId="0E57D014" w14:textId="77777777" w:rsidR="00FE3587" w:rsidRPr="000E3522" w:rsidRDefault="003E0D4D" w:rsidP="003E0D4D">
            <w:pPr>
              <w:spacing w:after="0" w:line="240" w:lineRule="auto"/>
              <w:rPr>
                <w:rFonts w:ascii="Arial" w:hAnsi="Arial" w:cs="Arial"/>
                <w:b/>
                <w:bCs/>
                <w:sz w:val="20"/>
                <w:szCs w:val="20"/>
                <w:lang w:val="es-ES"/>
              </w:rPr>
            </w:pPr>
            <w:r w:rsidRPr="000E3522">
              <w:rPr>
                <w:rFonts w:ascii="Arial" w:hAnsi="Arial" w:cs="Arial"/>
                <w:b/>
                <w:bCs/>
                <w:sz w:val="20"/>
                <w:szCs w:val="20"/>
                <w:lang w:val="es-ES"/>
              </w:rPr>
              <w:t>2.5</w:t>
            </w:r>
            <w:r w:rsidR="00FE3587" w:rsidRPr="000E3522">
              <w:rPr>
                <w:rFonts w:ascii="Arial" w:hAnsi="Arial" w:cs="Arial"/>
                <w:b/>
                <w:bCs/>
                <w:sz w:val="20"/>
                <w:szCs w:val="20"/>
                <w:lang w:val="es-ES"/>
              </w:rPr>
              <w:t xml:space="preserve"> </w:t>
            </w:r>
            <w:r w:rsidR="004C4802" w:rsidRPr="000E3522">
              <w:rPr>
                <w:rFonts w:ascii="Arial" w:hAnsi="Arial" w:cs="Arial"/>
                <w:b/>
                <w:bCs/>
                <w:sz w:val="20"/>
                <w:szCs w:val="20"/>
                <w:lang w:val="es-ES"/>
              </w:rPr>
              <w:t>S</w:t>
            </w:r>
            <w:r w:rsidR="00FE3587" w:rsidRPr="000E3522">
              <w:rPr>
                <w:rFonts w:ascii="Arial" w:hAnsi="Arial" w:cs="Arial"/>
                <w:b/>
                <w:bCs/>
                <w:sz w:val="20"/>
                <w:szCs w:val="20"/>
                <w:lang w:val="es-ES"/>
              </w:rPr>
              <w:t>ostenibilidad de servicios públicos domiciliarios</w:t>
            </w:r>
          </w:p>
        </w:tc>
        <w:tc>
          <w:tcPr>
            <w:tcW w:w="5040" w:type="dxa"/>
            <w:tcBorders>
              <w:bottom w:val="single" w:sz="4" w:space="0" w:color="auto"/>
            </w:tcBorders>
            <w:shd w:val="clear" w:color="auto" w:fill="auto"/>
          </w:tcPr>
          <w:p w14:paraId="59D64D74" w14:textId="77777777" w:rsidR="00FE3587" w:rsidRPr="000E3522" w:rsidRDefault="006E65EB" w:rsidP="003361E9">
            <w:pPr>
              <w:spacing w:after="0" w:line="240" w:lineRule="auto"/>
              <w:rPr>
                <w:rFonts w:ascii="Arial" w:hAnsi="Arial" w:cs="Arial"/>
                <w:sz w:val="20"/>
                <w:szCs w:val="20"/>
                <w:lang w:val="es-ES"/>
              </w:rPr>
            </w:pPr>
            <w:r w:rsidRPr="000E3522">
              <w:rPr>
                <w:rFonts w:ascii="Arial" w:hAnsi="Arial" w:cs="Arial"/>
                <w:sz w:val="20"/>
                <w:szCs w:val="20"/>
                <w:lang w:val="es-ES"/>
              </w:rPr>
              <w:t xml:space="preserve">Se procurará contar con suficientes ingresos por la prestación del servicio al usuario, con aportes de la comunidad y aportes del gobierno que permitan cubrir los costos en forma eficiente. Asimismo </w:t>
            </w:r>
            <w:r w:rsidR="003361E9" w:rsidRPr="000E3522">
              <w:rPr>
                <w:rFonts w:ascii="Arial" w:hAnsi="Arial" w:cs="Arial"/>
                <w:sz w:val="20"/>
                <w:szCs w:val="20"/>
                <w:lang w:val="es-ES"/>
              </w:rPr>
              <w:t xml:space="preserve">se deberán cumplir con las salvaguardas ambientales y sociales del Banco. </w:t>
            </w:r>
          </w:p>
        </w:tc>
        <w:tc>
          <w:tcPr>
            <w:tcW w:w="5571" w:type="dxa"/>
            <w:tcBorders>
              <w:bottom w:val="single" w:sz="4" w:space="0" w:color="auto"/>
            </w:tcBorders>
            <w:shd w:val="clear" w:color="auto" w:fill="auto"/>
          </w:tcPr>
          <w:p w14:paraId="0D665235" w14:textId="2E34D5D5" w:rsidR="00875A27" w:rsidRPr="000E3522" w:rsidRDefault="00875A27" w:rsidP="00B415D3">
            <w:pPr>
              <w:spacing w:after="0" w:line="240" w:lineRule="auto"/>
              <w:ind w:hanging="108"/>
              <w:jc w:val="both"/>
              <w:rPr>
                <w:rFonts w:ascii="Arial" w:hAnsi="Arial" w:cs="Arial"/>
                <w:sz w:val="20"/>
                <w:szCs w:val="20"/>
                <w:lang w:val="es-ES"/>
              </w:rPr>
            </w:pPr>
            <w:r w:rsidRPr="000E3522">
              <w:rPr>
                <w:rFonts w:ascii="Arial" w:hAnsi="Arial" w:cs="Arial"/>
                <w:sz w:val="20"/>
                <w:szCs w:val="20"/>
                <w:lang w:val="es-ES"/>
              </w:rPr>
              <w:t xml:space="preserve">- </w:t>
            </w:r>
            <w:r w:rsidR="00D20EA0" w:rsidRPr="000E3522">
              <w:rPr>
                <w:rFonts w:ascii="Arial" w:hAnsi="Arial" w:cs="Arial"/>
                <w:sz w:val="20"/>
                <w:szCs w:val="20"/>
                <w:lang w:val="es-ES"/>
              </w:rPr>
              <w:t xml:space="preserve">Sostenibilidad </w:t>
            </w:r>
            <w:r w:rsidRPr="000E3522">
              <w:rPr>
                <w:rFonts w:ascii="Arial" w:hAnsi="Arial" w:cs="Arial"/>
                <w:sz w:val="20"/>
                <w:szCs w:val="20"/>
                <w:lang w:val="es-ES"/>
              </w:rPr>
              <w:t xml:space="preserve">Financiera: </w:t>
            </w:r>
            <w:r w:rsidR="00196AAC" w:rsidRPr="000E3522">
              <w:rPr>
                <w:rFonts w:ascii="Arial" w:hAnsi="Arial" w:cs="Arial"/>
                <w:sz w:val="20"/>
                <w:szCs w:val="20"/>
                <w:lang w:val="es-ES"/>
              </w:rPr>
              <w:t>Ver Punto 1.1</w:t>
            </w:r>
          </w:p>
          <w:p w14:paraId="296C606C" w14:textId="500BA9C7" w:rsidR="005D7060" w:rsidRPr="000E3522" w:rsidRDefault="00875A27" w:rsidP="00B415D3">
            <w:pPr>
              <w:tabs>
                <w:tab w:val="left" w:pos="0"/>
              </w:tabs>
              <w:spacing w:after="0" w:line="240" w:lineRule="auto"/>
              <w:ind w:hanging="108"/>
              <w:jc w:val="both"/>
              <w:rPr>
                <w:rFonts w:ascii="Arial" w:hAnsi="Arial" w:cs="Arial"/>
                <w:sz w:val="20"/>
                <w:szCs w:val="20"/>
                <w:lang w:val="es-ES"/>
              </w:rPr>
            </w:pPr>
            <w:r w:rsidRPr="000E3522">
              <w:rPr>
                <w:rFonts w:ascii="Arial" w:hAnsi="Arial" w:cs="Arial"/>
                <w:sz w:val="20"/>
                <w:szCs w:val="20"/>
                <w:lang w:val="es-ES"/>
              </w:rPr>
              <w:t>-</w:t>
            </w:r>
            <w:r w:rsidR="005D7060" w:rsidRPr="000E3522">
              <w:rPr>
                <w:rFonts w:ascii="Arial" w:hAnsi="Arial" w:cs="Arial"/>
                <w:sz w:val="20"/>
                <w:szCs w:val="20"/>
                <w:lang w:val="es-ES"/>
              </w:rPr>
              <w:t xml:space="preserve"> </w:t>
            </w:r>
            <w:r w:rsidR="00D20EA0" w:rsidRPr="000E3522">
              <w:rPr>
                <w:rFonts w:ascii="Arial" w:hAnsi="Arial" w:cs="Arial"/>
                <w:sz w:val="20"/>
                <w:szCs w:val="20"/>
                <w:lang w:val="es-ES"/>
              </w:rPr>
              <w:t xml:space="preserve">Sostenibilidad </w:t>
            </w:r>
            <w:r w:rsidRPr="000E3522">
              <w:rPr>
                <w:rFonts w:ascii="Arial" w:hAnsi="Arial" w:cs="Arial"/>
                <w:sz w:val="20"/>
                <w:szCs w:val="20"/>
                <w:lang w:val="es-ES"/>
              </w:rPr>
              <w:t>Ambiental</w:t>
            </w:r>
            <w:r w:rsidR="00701A81" w:rsidRPr="000E3522">
              <w:rPr>
                <w:rFonts w:ascii="Arial" w:hAnsi="Arial" w:cs="Arial"/>
                <w:sz w:val="20"/>
                <w:szCs w:val="20"/>
                <w:lang w:val="es-ES"/>
              </w:rPr>
              <w:t xml:space="preserve"> y </w:t>
            </w:r>
            <w:r w:rsidR="00E2777E" w:rsidRPr="000E3522">
              <w:rPr>
                <w:rFonts w:ascii="Arial" w:hAnsi="Arial" w:cs="Arial"/>
                <w:sz w:val="20"/>
                <w:szCs w:val="20"/>
                <w:lang w:val="es-ES"/>
              </w:rPr>
              <w:t>S</w:t>
            </w:r>
            <w:r w:rsidR="00701A81" w:rsidRPr="000E3522">
              <w:rPr>
                <w:rFonts w:ascii="Arial" w:hAnsi="Arial" w:cs="Arial"/>
                <w:sz w:val="20"/>
                <w:szCs w:val="20"/>
                <w:lang w:val="es-ES"/>
              </w:rPr>
              <w:t>ocial</w:t>
            </w:r>
            <w:r w:rsidRPr="000E3522">
              <w:rPr>
                <w:rFonts w:ascii="Arial" w:hAnsi="Arial" w:cs="Arial"/>
                <w:sz w:val="20"/>
                <w:szCs w:val="20"/>
                <w:lang w:val="es-ES"/>
              </w:rPr>
              <w:t xml:space="preserve">: </w:t>
            </w:r>
            <w:r w:rsidR="00D20EA0" w:rsidRPr="000E3522">
              <w:rPr>
                <w:rFonts w:ascii="Arial" w:hAnsi="Arial" w:cs="Arial"/>
                <w:sz w:val="20"/>
                <w:szCs w:val="20"/>
                <w:lang w:val="es-ES"/>
              </w:rPr>
              <w:t xml:space="preserve">el Programa cumple con las políticas de salvaguardias </w:t>
            </w:r>
            <w:r w:rsidR="005D7060" w:rsidRPr="000E3522">
              <w:rPr>
                <w:rFonts w:ascii="Arial" w:hAnsi="Arial" w:cs="Arial"/>
                <w:sz w:val="20"/>
                <w:szCs w:val="20"/>
                <w:lang w:val="es-ES"/>
              </w:rPr>
              <w:t>ambientales</w:t>
            </w:r>
            <w:r w:rsidR="00D20EA0" w:rsidRPr="000E3522">
              <w:rPr>
                <w:rFonts w:ascii="Arial" w:hAnsi="Arial" w:cs="Arial"/>
                <w:sz w:val="20"/>
                <w:szCs w:val="20"/>
                <w:lang w:val="es-ES"/>
              </w:rPr>
              <w:t xml:space="preserve"> y sociales del Banco y fue clasificado </w:t>
            </w:r>
            <w:r w:rsidR="00E2777E" w:rsidRPr="000E3522">
              <w:rPr>
                <w:rFonts w:ascii="Arial" w:hAnsi="Arial" w:cs="Arial"/>
                <w:sz w:val="20"/>
                <w:szCs w:val="20"/>
                <w:lang w:val="es-ES"/>
              </w:rPr>
              <w:t xml:space="preserve">como </w:t>
            </w:r>
            <w:r w:rsidR="00833DC2" w:rsidRPr="000E3522">
              <w:rPr>
                <w:rFonts w:ascii="Arial" w:hAnsi="Arial" w:cs="Arial"/>
                <w:sz w:val="20"/>
                <w:szCs w:val="20"/>
                <w:lang w:val="es-ES"/>
              </w:rPr>
              <w:t>“B”</w:t>
            </w:r>
            <w:r w:rsidR="00E2777E" w:rsidRPr="000E3522">
              <w:rPr>
                <w:rFonts w:ascii="Arial" w:hAnsi="Arial" w:cs="Arial"/>
                <w:sz w:val="20"/>
                <w:szCs w:val="20"/>
                <w:lang w:val="es-ES"/>
              </w:rPr>
              <w:t xml:space="preserve"> por sus impactos limitados</w:t>
            </w:r>
            <w:r w:rsidR="003E0D4D" w:rsidRPr="000E3522">
              <w:rPr>
                <w:rFonts w:ascii="Arial" w:hAnsi="Arial" w:cs="Arial"/>
                <w:sz w:val="20"/>
                <w:szCs w:val="20"/>
                <w:lang w:val="es-ES"/>
              </w:rPr>
              <w:t>.</w:t>
            </w:r>
            <w:r w:rsidR="00701A81" w:rsidRPr="000E3522">
              <w:rPr>
                <w:rFonts w:ascii="Arial" w:hAnsi="Arial" w:cs="Arial"/>
                <w:sz w:val="20"/>
                <w:szCs w:val="20"/>
                <w:lang w:val="es-ES"/>
              </w:rPr>
              <w:t xml:space="preserve"> </w:t>
            </w:r>
          </w:p>
          <w:p w14:paraId="3DBBC64F" w14:textId="2F48262B" w:rsidR="00FE3587" w:rsidRPr="000E3522" w:rsidRDefault="00D20EA0" w:rsidP="00B415D3">
            <w:pPr>
              <w:spacing w:after="0" w:line="240" w:lineRule="auto"/>
              <w:jc w:val="both"/>
              <w:rPr>
                <w:rFonts w:ascii="Arial" w:hAnsi="Arial" w:cs="Arial"/>
                <w:sz w:val="20"/>
                <w:szCs w:val="20"/>
                <w:lang w:val="es-ES"/>
              </w:rPr>
            </w:pPr>
            <w:r w:rsidRPr="000E3522">
              <w:rPr>
                <w:rFonts w:ascii="Arial" w:hAnsi="Arial" w:cs="Arial"/>
                <w:sz w:val="20"/>
                <w:szCs w:val="20"/>
                <w:lang w:val="es-ES"/>
              </w:rPr>
              <w:t xml:space="preserve">Los </w:t>
            </w:r>
            <w:r w:rsidR="00E2777E" w:rsidRPr="000E3522">
              <w:rPr>
                <w:rFonts w:ascii="Arial" w:hAnsi="Arial" w:cs="Arial"/>
                <w:sz w:val="20"/>
                <w:szCs w:val="20"/>
                <w:lang w:val="es-ES"/>
              </w:rPr>
              <w:t xml:space="preserve">dos </w:t>
            </w:r>
            <w:r w:rsidRPr="000E3522">
              <w:rPr>
                <w:rFonts w:ascii="Arial" w:hAnsi="Arial" w:cs="Arial"/>
                <w:sz w:val="20"/>
                <w:szCs w:val="20"/>
                <w:lang w:val="es-ES"/>
              </w:rPr>
              <w:t xml:space="preserve">proyectos no prevén </w:t>
            </w:r>
            <w:r w:rsidR="00701A81" w:rsidRPr="000E3522">
              <w:rPr>
                <w:rFonts w:ascii="Arial" w:hAnsi="Arial" w:cs="Arial"/>
                <w:sz w:val="20"/>
                <w:szCs w:val="20"/>
                <w:lang w:val="es-ES"/>
              </w:rPr>
              <w:t>impactos negativos significativos</w:t>
            </w:r>
            <w:r w:rsidR="00E2777E" w:rsidRPr="000E3522">
              <w:rPr>
                <w:rFonts w:ascii="Arial" w:hAnsi="Arial" w:cs="Arial"/>
                <w:sz w:val="20"/>
                <w:szCs w:val="20"/>
                <w:lang w:val="es-ES"/>
              </w:rPr>
              <w:t xml:space="preserve"> y los impactos que producen pueden ser mitigados adecuadamente. Los proyectos </w:t>
            </w:r>
            <w:r w:rsidR="003361E9" w:rsidRPr="000E3522">
              <w:rPr>
                <w:rFonts w:ascii="Arial" w:hAnsi="Arial" w:cs="Arial"/>
                <w:sz w:val="20"/>
                <w:szCs w:val="20"/>
                <w:lang w:val="es-ES"/>
              </w:rPr>
              <w:t xml:space="preserve">contribuirán a sustituir el consumo de otras fuentes energéticas más contaminantes y con mayores emisiones tales como el </w:t>
            </w:r>
            <w:r w:rsidR="003361E9" w:rsidRPr="000E3522">
              <w:rPr>
                <w:rFonts w:ascii="Arial" w:hAnsi="Arial" w:cs="Arial"/>
                <w:sz w:val="20"/>
                <w:szCs w:val="20"/>
                <w:lang w:val="es-ES"/>
              </w:rPr>
              <w:lastRenderedPageBreak/>
              <w:t xml:space="preserve">diésel, leña y carbón. </w:t>
            </w:r>
          </w:p>
          <w:p w14:paraId="67B38B94" w14:textId="0EA10334" w:rsidR="005D7060" w:rsidRPr="000E3522" w:rsidRDefault="00E2777E" w:rsidP="0013680F">
            <w:pPr>
              <w:spacing w:after="0" w:line="240" w:lineRule="auto"/>
              <w:jc w:val="both"/>
              <w:rPr>
                <w:rFonts w:ascii="Arial" w:hAnsi="Arial" w:cs="Arial"/>
                <w:sz w:val="20"/>
                <w:szCs w:val="20"/>
                <w:lang w:val="es-ES"/>
              </w:rPr>
            </w:pPr>
            <w:r w:rsidRPr="000E3522">
              <w:rPr>
                <w:rFonts w:ascii="Arial" w:hAnsi="Arial" w:cs="Arial"/>
                <w:sz w:val="20"/>
                <w:szCs w:val="20"/>
                <w:lang w:val="es-ES"/>
              </w:rPr>
              <w:t>El</w:t>
            </w:r>
            <w:r w:rsidR="005D7060" w:rsidRPr="000E3522">
              <w:rPr>
                <w:rFonts w:ascii="Arial" w:hAnsi="Arial" w:cs="Arial"/>
                <w:sz w:val="20"/>
                <w:szCs w:val="20"/>
                <w:lang w:val="es-ES"/>
              </w:rPr>
              <w:t xml:space="preserve"> Informe de Gestión Ambiental y Social (IGAS) del Programa </w:t>
            </w:r>
            <w:r w:rsidRPr="000E3522">
              <w:rPr>
                <w:rFonts w:ascii="Arial" w:hAnsi="Arial" w:cs="Arial"/>
                <w:sz w:val="20"/>
                <w:szCs w:val="20"/>
                <w:lang w:val="es-ES"/>
              </w:rPr>
              <w:t xml:space="preserve">identificará </w:t>
            </w:r>
            <w:r w:rsidR="005D7060" w:rsidRPr="000E3522">
              <w:rPr>
                <w:rFonts w:ascii="Arial" w:hAnsi="Arial" w:cs="Arial"/>
                <w:sz w:val="20"/>
                <w:szCs w:val="20"/>
                <w:lang w:val="es-ES"/>
              </w:rPr>
              <w:t xml:space="preserve">los riesgos y mecanismos de mitigación sociales y ambientales específicos durante </w:t>
            </w:r>
            <w:r w:rsidRPr="000E3522">
              <w:rPr>
                <w:rFonts w:ascii="Arial" w:hAnsi="Arial" w:cs="Arial"/>
                <w:sz w:val="20"/>
                <w:szCs w:val="20"/>
                <w:lang w:val="es-ES"/>
              </w:rPr>
              <w:t xml:space="preserve">la construcción y operación </w:t>
            </w:r>
            <w:r w:rsidR="005D7060" w:rsidRPr="000E3522">
              <w:rPr>
                <w:rFonts w:ascii="Arial" w:hAnsi="Arial" w:cs="Arial"/>
                <w:sz w:val="20"/>
                <w:szCs w:val="20"/>
                <w:lang w:val="es-ES"/>
              </w:rPr>
              <w:t xml:space="preserve">de los proyectos. </w:t>
            </w:r>
          </w:p>
        </w:tc>
      </w:tr>
      <w:tr w:rsidR="00FE3587" w:rsidRPr="000E3522" w14:paraId="11DDE100" w14:textId="77777777" w:rsidTr="00B415D3">
        <w:trPr>
          <w:trHeight w:val="107"/>
          <w:jc w:val="center"/>
        </w:trPr>
        <w:tc>
          <w:tcPr>
            <w:tcW w:w="13744" w:type="dxa"/>
            <w:gridSpan w:val="3"/>
            <w:shd w:val="clear" w:color="auto" w:fill="B8CCE4" w:themeFill="accent1" w:themeFillTint="66"/>
          </w:tcPr>
          <w:p w14:paraId="5D4742E3" w14:textId="77777777" w:rsidR="00FE3587" w:rsidRPr="002B1984" w:rsidRDefault="00FE3587" w:rsidP="002B1984">
            <w:pPr>
              <w:pStyle w:val="ListParagraph"/>
              <w:numPr>
                <w:ilvl w:val="0"/>
                <w:numId w:val="4"/>
              </w:numPr>
              <w:spacing w:after="0" w:line="240" w:lineRule="auto"/>
              <w:ind w:left="325"/>
              <w:rPr>
                <w:rFonts w:ascii="Arial" w:hAnsi="Arial" w:cs="Arial"/>
                <w:b/>
                <w:smallCaps/>
                <w:lang w:val="es-ES"/>
              </w:rPr>
            </w:pPr>
            <w:r w:rsidRPr="002B1984">
              <w:rPr>
                <w:rFonts w:ascii="Arial" w:hAnsi="Arial" w:cs="Arial"/>
                <w:b/>
                <w:smallCaps/>
                <w:lang w:val="es-ES"/>
              </w:rPr>
              <w:lastRenderedPageBreak/>
              <w:t>Principios de la Política que orientan el diseño de las operaciones del Banco</w:t>
            </w:r>
          </w:p>
        </w:tc>
      </w:tr>
      <w:tr w:rsidR="00EE54D0" w:rsidRPr="000E3522" w14:paraId="7A1ADF2E" w14:textId="77777777" w:rsidTr="00B415D3">
        <w:trPr>
          <w:trHeight w:val="260"/>
          <w:jc w:val="center"/>
        </w:trPr>
        <w:tc>
          <w:tcPr>
            <w:tcW w:w="3133" w:type="dxa"/>
            <w:shd w:val="clear" w:color="auto" w:fill="auto"/>
          </w:tcPr>
          <w:p w14:paraId="080D6B02" w14:textId="77777777" w:rsidR="00FE3587" w:rsidRPr="000E3522" w:rsidRDefault="003E0D4D" w:rsidP="003E0D4D">
            <w:pPr>
              <w:spacing w:after="0" w:line="240" w:lineRule="auto"/>
              <w:rPr>
                <w:rFonts w:ascii="Arial" w:hAnsi="Arial" w:cs="Arial"/>
                <w:b/>
                <w:bCs/>
                <w:sz w:val="20"/>
                <w:szCs w:val="20"/>
                <w:lang w:val="es-ES"/>
              </w:rPr>
            </w:pPr>
            <w:r w:rsidRPr="000E3522">
              <w:rPr>
                <w:rFonts w:ascii="Arial" w:hAnsi="Arial" w:cs="Arial"/>
                <w:b/>
                <w:bCs/>
                <w:sz w:val="20"/>
                <w:szCs w:val="20"/>
                <w:lang w:val="es-ES"/>
              </w:rPr>
              <w:t>3.</w:t>
            </w:r>
            <w:r w:rsidR="00FE3587" w:rsidRPr="000E3522">
              <w:rPr>
                <w:rFonts w:ascii="Arial" w:hAnsi="Arial" w:cs="Arial"/>
                <w:b/>
                <w:bCs/>
                <w:sz w:val="20"/>
                <w:szCs w:val="20"/>
                <w:lang w:val="es-ES"/>
              </w:rPr>
              <w:t>1 Apoyar a países para atender las necesidades básicas</w:t>
            </w:r>
            <w:bookmarkStart w:id="1" w:name="_GoBack"/>
            <w:bookmarkEnd w:id="1"/>
            <w:r w:rsidR="00FE3587" w:rsidRPr="000E3522">
              <w:rPr>
                <w:rFonts w:ascii="Arial" w:hAnsi="Arial" w:cs="Arial"/>
                <w:b/>
                <w:bCs/>
                <w:sz w:val="20"/>
                <w:szCs w:val="20"/>
                <w:lang w:val="es-ES"/>
              </w:rPr>
              <w:t xml:space="preserve"> </w:t>
            </w:r>
          </w:p>
        </w:tc>
        <w:tc>
          <w:tcPr>
            <w:tcW w:w="5040" w:type="dxa"/>
            <w:shd w:val="clear" w:color="auto" w:fill="auto"/>
          </w:tcPr>
          <w:p w14:paraId="05CEF370" w14:textId="77777777" w:rsidR="00FE3587" w:rsidRPr="000E3522" w:rsidRDefault="003361E9" w:rsidP="003361E9">
            <w:pPr>
              <w:spacing w:after="0" w:line="240" w:lineRule="auto"/>
              <w:jc w:val="both"/>
              <w:rPr>
                <w:rFonts w:ascii="Arial" w:hAnsi="Arial" w:cs="Arial"/>
                <w:sz w:val="20"/>
                <w:szCs w:val="20"/>
                <w:lang w:val="es-ES"/>
              </w:rPr>
            </w:pPr>
            <w:r w:rsidRPr="000E3522">
              <w:rPr>
                <w:rFonts w:ascii="Arial" w:hAnsi="Arial" w:cs="Arial"/>
                <w:sz w:val="20"/>
                <w:szCs w:val="20"/>
                <w:lang w:val="es-ES"/>
              </w:rPr>
              <w:t>El acceso a los servicios es esencial para contribuir al proceso de reducción de la pobreza y promover un desarrollo incluyente. Se deberá apoyar desarrollos de esquemas sostenibles de acceso a la energía, con las soluciones tecnológicas más apropiadas en función a las características de la demanda, tanto rural como urbana.</w:t>
            </w:r>
          </w:p>
        </w:tc>
        <w:tc>
          <w:tcPr>
            <w:tcW w:w="5571" w:type="dxa"/>
            <w:shd w:val="clear" w:color="auto" w:fill="auto"/>
          </w:tcPr>
          <w:p w14:paraId="6F5DBCA4" w14:textId="01D0990E" w:rsidR="004A4517" w:rsidRPr="000E3522" w:rsidRDefault="005D7060" w:rsidP="0013680F">
            <w:pPr>
              <w:spacing w:after="0" w:line="240" w:lineRule="auto"/>
              <w:jc w:val="both"/>
              <w:rPr>
                <w:rFonts w:ascii="Arial" w:hAnsi="Arial" w:cs="Arial"/>
                <w:sz w:val="20"/>
                <w:szCs w:val="20"/>
                <w:lang w:val="es-ES"/>
              </w:rPr>
            </w:pPr>
            <w:r w:rsidRPr="000E3522">
              <w:rPr>
                <w:rFonts w:ascii="Arial" w:hAnsi="Arial" w:cs="Arial"/>
                <w:sz w:val="20"/>
                <w:szCs w:val="20"/>
                <w:lang w:val="es-ES"/>
              </w:rPr>
              <w:t xml:space="preserve">Los </w:t>
            </w:r>
            <w:r w:rsidR="000446B0" w:rsidRPr="000E3522">
              <w:rPr>
                <w:rFonts w:ascii="Arial" w:hAnsi="Arial" w:cs="Arial"/>
                <w:sz w:val="20"/>
                <w:szCs w:val="20"/>
                <w:lang w:val="es-ES"/>
              </w:rPr>
              <w:t xml:space="preserve">dos </w:t>
            </w:r>
            <w:r w:rsidRPr="000E3522">
              <w:rPr>
                <w:rFonts w:ascii="Arial" w:hAnsi="Arial" w:cs="Arial"/>
                <w:sz w:val="20"/>
                <w:szCs w:val="20"/>
                <w:lang w:val="es-ES"/>
              </w:rPr>
              <w:t xml:space="preserve">proyectos </w:t>
            </w:r>
            <w:r w:rsidR="000446B0" w:rsidRPr="000E3522">
              <w:rPr>
                <w:rFonts w:ascii="Arial" w:hAnsi="Arial" w:cs="Arial"/>
                <w:sz w:val="20"/>
                <w:szCs w:val="20"/>
                <w:lang w:val="es-ES"/>
              </w:rPr>
              <w:t xml:space="preserve">plantean </w:t>
            </w:r>
            <w:r w:rsidRPr="000E3522">
              <w:rPr>
                <w:rFonts w:ascii="Arial" w:hAnsi="Arial" w:cs="Arial"/>
                <w:sz w:val="20"/>
                <w:szCs w:val="20"/>
                <w:lang w:val="es-ES"/>
              </w:rPr>
              <w:t>soluciones tecnológicas que aseguran la combinación de costo-eficiencia para la población</w:t>
            </w:r>
            <w:r w:rsidR="000446B0" w:rsidRPr="000E3522">
              <w:rPr>
                <w:rFonts w:ascii="Arial" w:hAnsi="Arial" w:cs="Arial"/>
                <w:sz w:val="20"/>
                <w:szCs w:val="20"/>
                <w:lang w:val="es-ES"/>
              </w:rPr>
              <w:t xml:space="preserve">. La </w:t>
            </w:r>
            <w:r w:rsidRPr="000E3522">
              <w:rPr>
                <w:rFonts w:ascii="Arial" w:hAnsi="Arial" w:cs="Arial"/>
                <w:sz w:val="20"/>
                <w:szCs w:val="20"/>
                <w:lang w:val="es-ES"/>
              </w:rPr>
              <w:t xml:space="preserve">construcción del gasoducto otorga </w:t>
            </w:r>
            <w:r w:rsidR="00E5607D" w:rsidRPr="000E3522">
              <w:rPr>
                <w:rFonts w:ascii="Arial" w:hAnsi="Arial" w:cs="Arial"/>
                <w:sz w:val="20"/>
                <w:szCs w:val="20"/>
                <w:lang w:val="es-ES"/>
              </w:rPr>
              <w:t>a la población la</w:t>
            </w:r>
            <w:r w:rsidR="00701A81" w:rsidRPr="000E3522">
              <w:rPr>
                <w:rFonts w:ascii="Arial" w:hAnsi="Arial" w:cs="Arial"/>
                <w:sz w:val="20"/>
                <w:szCs w:val="20"/>
                <w:lang w:val="es-ES"/>
              </w:rPr>
              <w:t xml:space="preserve"> fuente energética más eficiente dentro de los hidrocarburos</w:t>
            </w:r>
            <w:r w:rsidR="00E5607D" w:rsidRPr="000E3522">
              <w:rPr>
                <w:rFonts w:ascii="Arial" w:hAnsi="Arial" w:cs="Arial"/>
                <w:sz w:val="20"/>
                <w:szCs w:val="20"/>
                <w:lang w:val="es-ES"/>
              </w:rPr>
              <w:t xml:space="preserve"> y permite </w:t>
            </w:r>
            <w:r w:rsidR="003361E9" w:rsidRPr="000E3522">
              <w:rPr>
                <w:rFonts w:ascii="Arial" w:hAnsi="Arial" w:cs="Arial"/>
                <w:sz w:val="20"/>
                <w:szCs w:val="20"/>
                <w:lang w:val="es-ES"/>
              </w:rPr>
              <w:t>reducir el gasto de energía</w:t>
            </w:r>
            <w:r w:rsidR="000446B0" w:rsidRPr="000E3522">
              <w:rPr>
                <w:rFonts w:ascii="Arial" w:hAnsi="Arial" w:cs="Arial"/>
                <w:sz w:val="20"/>
                <w:szCs w:val="20"/>
                <w:lang w:val="es-ES"/>
              </w:rPr>
              <w:t>. L</w:t>
            </w:r>
            <w:r w:rsidR="00E5607D" w:rsidRPr="000E3522">
              <w:rPr>
                <w:rFonts w:ascii="Arial" w:hAnsi="Arial" w:cs="Arial"/>
                <w:sz w:val="20"/>
                <w:szCs w:val="20"/>
                <w:lang w:val="es-ES"/>
              </w:rPr>
              <w:t xml:space="preserve">a estación transformadora prevé la provisión de una fuente de energía </w:t>
            </w:r>
            <w:r w:rsidR="003361E9" w:rsidRPr="000E3522">
              <w:rPr>
                <w:rFonts w:ascii="Arial" w:hAnsi="Arial" w:cs="Arial"/>
                <w:sz w:val="20"/>
                <w:szCs w:val="20"/>
                <w:lang w:val="es-ES"/>
              </w:rPr>
              <w:t>adecuada y eficiente</w:t>
            </w:r>
            <w:r w:rsidR="00701A81" w:rsidRPr="000E3522">
              <w:rPr>
                <w:rFonts w:ascii="Arial" w:hAnsi="Arial" w:cs="Arial"/>
                <w:sz w:val="20"/>
                <w:szCs w:val="20"/>
                <w:lang w:val="es-ES"/>
              </w:rPr>
              <w:t xml:space="preserve">, especialmente para </w:t>
            </w:r>
            <w:r w:rsidR="003361E9" w:rsidRPr="000E3522">
              <w:rPr>
                <w:rFonts w:ascii="Arial" w:hAnsi="Arial" w:cs="Arial"/>
                <w:sz w:val="20"/>
                <w:szCs w:val="20"/>
                <w:lang w:val="es-ES"/>
              </w:rPr>
              <w:t xml:space="preserve">los </w:t>
            </w:r>
            <w:r w:rsidR="00701A81" w:rsidRPr="000E3522">
              <w:rPr>
                <w:rFonts w:ascii="Arial" w:hAnsi="Arial" w:cs="Arial"/>
                <w:sz w:val="20"/>
                <w:szCs w:val="20"/>
                <w:lang w:val="es-ES"/>
              </w:rPr>
              <w:t xml:space="preserve">frigoríficos, </w:t>
            </w:r>
            <w:r w:rsidR="003361E9" w:rsidRPr="000E3522">
              <w:rPr>
                <w:rFonts w:ascii="Arial" w:hAnsi="Arial" w:cs="Arial"/>
                <w:sz w:val="20"/>
                <w:szCs w:val="20"/>
                <w:lang w:val="es-ES"/>
              </w:rPr>
              <w:t xml:space="preserve">procesos de enfriamiento y conservación de alimentos, </w:t>
            </w:r>
            <w:r w:rsidR="00E5607D" w:rsidRPr="000E3522">
              <w:rPr>
                <w:rFonts w:ascii="Arial" w:hAnsi="Arial" w:cs="Arial"/>
                <w:sz w:val="20"/>
                <w:szCs w:val="20"/>
                <w:lang w:val="es-ES"/>
              </w:rPr>
              <w:t xml:space="preserve">entre </w:t>
            </w:r>
            <w:r w:rsidR="00701A81" w:rsidRPr="000E3522">
              <w:rPr>
                <w:rFonts w:ascii="Arial" w:hAnsi="Arial" w:cs="Arial"/>
                <w:sz w:val="20"/>
                <w:szCs w:val="20"/>
                <w:lang w:val="es-ES"/>
              </w:rPr>
              <w:t>otros.</w:t>
            </w:r>
            <w:r w:rsidR="004C4802" w:rsidRPr="000E3522">
              <w:rPr>
                <w:rFonts w:ascii="Arial" w:hAnsi="Arial" w:cs="Arial"/>
                <w:sz w:val="20"/>
                <w:szCs w:val="20"/>
                <w:lang w:val="es-ES"/>
              </w:rPr>
              <w:t xml:space="preserve"> </w:t>
            </w:r>
          </w:p>
        </w:tc>
      </w:tr>
      <w:tr w:rsidR="00EE54D0" w:rsidRPr="000E3522" w14:paraId="0A23C3CE" w14:textId="77777777" w:rsidTr="00EE54D0">
        <w:trPr>
          <w:jc w:val="center"/>
        </w:trPr>
        <w:tc>
          <w:tcPr>
            <w:tcW w:w="3133" w:type="dxa"/>
            <w:shd w:val="clear" w:color="auto" w:fill="auto"/>
          </w:tcPr>
          <w:p w14:paraId="73F0CE6F" w14:textId="77777777" w:rsidR="00FE3587" w:rsidRPr="000E3522" w:rsidRDefault="003E0D4D" w:rsidP="003E0D4D">
            <w:pPr>
              <w:spacing w:after="0" w:line="240" w:lineRule="auto"/>
              <w:rPr>
                <w:rFonts w:ascii="Arial" w:hAnsi="Arial" w:cs="Arial"/>
                <w:b/>
                <w:bCs/>
                <w:sz w:val="20"/>
                <w:szCs w:val="20"/>
                <w:lang w:val="es-ES"/>
              </w:rPr>
            </w:pPr>
            <w:r w:rsidRPr="000E3522">
              <w:rPr>
                <w:rFonts w:ascii="Arial" w:hAnsi="Arial" w:cs="Arial"/>
                <w:b/>
                <w:bCs/>
                <w:sz w:val="20"/>
                <w:szCs w:val="20"/>
                <w:lang w:val="es-ES"/>
              </w:rPr>
              <w:t>3.</w:t>
            </w:r>
            <w:r w:rsidR="00FE3587" w:rsidRPr="000E3522">
              <w:rPr>
                <w:rFonts w:ascii="Arial" w:hAnsi="Arial" w:cs="Arial"/>
                <w:b/>
                <w:bCs/>
                <w:sz w:val="20"/>
                <w:szCs w:val="20"/>
                <w:lang w:val="es-ES"/>
              </w:rPr>
              <w:t xml:space="preserve">2 </w:t>
            </w:r>
            <w:r w:rsidR="004C4802" w:rsidRPr="000E3522">
              <w:rPr>
                <w:rFonts w:ascii="Arial" w:hAnsi="Arial" w:cs="Arial"/>
                <w:b/>
                <w:bCs/>
                <w:sz w:val="20"/>
                <w:szCs w:val="20"/>
                <w:lang w:val="es-ES"/>
              </w:rPr>
              <w:t>M</w:t>
            </w:r>
            <w:r w:rsidR="00FE3587" w:rsidRPr="000E3522">
              <w:rPr>
                <w:rFonts w:ascii="Arial" w:hAnsi="Arial" w:cs="Arial"/>
                <w:b/>
                <w:bCs/>
                <w:sz w:val="20"/>
                <w:szCs w:val="20"/>
                <w:lang w:val="es-ES"/>
              </w:rPr>
              <w:t xml:space="preserve">ejoras en la gobernanza de los servicios </w:t>
            </w:r>
          </w:p>
        </w:tc>
        <w:tc>
          <w:tcPr>
            <w:tcW w:w="5040" w:type="dxa"/>
            <w:shd w:val="clear" w:color="auto" w:fill="auto"/>
          </w:tcPr>
          <w:p w14:paraId="782C79B9" w14:textId="77777777" w:rsidR="00FE3587" w:rsidRPr="000E3522" w:rsidRDefault="00DA2C2A" w:rsidP="004C4802">
            <w:pPr>
              <w:spacing w:after="0" w:line="240" w:lineRule="auto"/>
              <w:rPr>
                <w:rFonts w:ascii="Arial" w:hAnsi="Arial" w:cs="Arial"/>
                <w:sz w:val="20"/>
                <w:szCs w:val="20"/>
                <w:lang w:val="es-ES"/>
              </w:rPr>
            </w:pPr>
            <w:r w:rsidRPr="000E3522">
              <w:rPr>
                <w:rFonts w:ascii="Arial" w:hAnsi="Arial" w:cs="Arial"/>
                <w:sz w:val="20"/>
                <w:szCs w:val="20"/>
                <w:lang w:val="es-ES_tradnl"/>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5571" w:type="dxa"/>
            <w:shd w:val="clear" w:color="auto" w:fill="auto"/>
          </w:tcPr>
          <w:p w14:paraId="5D46A2B8" w14:textId="04E8FDB0" w:rsidR="00701A81" w:rsidRPr="000E3522" w:rsidRDefault="00E5607D" w:rsidP="00FE3587">
            <w:pPr>
              <w:spacing w:after="0" w:line="240" w:lineRule="auto"/>
              <w:jc w:val="both"/>
              <w:rPr>
                <w:rFonts w:ascii="Arial" w:hAnsi="Arial" w:cs="Arial"/>
                <w:sz w:val="20"/>
                <w:szCs w:val="20"/>
                <w:lang w:val="es-ES_tradnl"/>
              </w:rPr>
            </w:pPr>
            <w:r w:rsidRPr="000E3522">
              <w:rPr>
                <w:rFonts w:ascii="Arial" w:hAnsi="Arial" w:cs="Arial"/>
                <w:sz w:val="20"/>
                <w:szCs w:val="20"/>
                <w:lang w:val="es-ES_tradnl"/>
              </w:rPr>
              <w:t xml:space="preserve">Los </w:t>
            </w:r>
            <w:r w:rsidR="009B100C" w:rsidRPr="000E3522">
              <w:rPr>
                <w:rFonts w:ascii="Arial" w:hAnsi="Arial" w:cs="Arial"/>
                <w:sz w:val="20"/>
                <w:szCs w:val="20"/>
                <w:lang w:val="es-ES_tradnl"/>
              </w:rPr>
              <w:t xml:space="preserve">dos </w:t>
            </w:r>
            <w:r w:rsidRPr="000E3522">
              <w:rPr>
                <w:rFonts w:ascii="Arial" w:hAnsi="Arial" w:cs="Arial"/>
                <w:sz w:val="20"/>
                <w:szCs w:val="20"/>
                <w:lang w:val="es-ES_tradnl"/>
              </w:rPr>
              <w:t xml:space="preserve">proyectos </w:t>
            </w:r>
            <w:r w:rsidR="009B100C" w:rsidRPr="000E3522">
              <w:rPr>
                <w:rFonts w:ascii="Arial" w:hAnsi="Arial" w:cs="Arial"/>
                <w:sz w:val="20"/>
                <w:szCs w:val="20"/>
                <w:lang w:val="es-ES_tradnl"/>
              </w:rPr>
              <w:t xml:space="preserve">se encuadran en el </w:t>
            </w:r>
            <w:r w:rsidRPr="000E3522">
              <w:rPr>
                <w:rFonts w:ascii="Arial" w:hAnsi="Arial" w:cs="Arial"/>
                <w:sz w:val="20"/>
                <w:szCs w:val="20"/>
                <w:lang w:val="es-ES_tradnl"/>
              </w:rPr>
              <w:t>marco regulatorio</w:t>
            </w:r>
            <w:r w:rsidR="00253B30" w:rsidRPr="000E3522">
              <w:rPr>
                <w:rFonts w:ascii="Arial" w:hAnsi="Arial" w:cs="Arial"/>
                <w:sz w:val="20"/>
                <w:szCs w:val="20"/>
                <w:lang w:val="es-ES_tradnl"/>
              </w:rPr>
              <w:t xml:space="preserve"> y de gobernanza</w:t>
            </w:r>
            <w:r w:rsidRPr="000E3522">
              <w:rPr>
                <w:rFonts w:ascii="Arial" w:hAnsi="Arial" w:cs="Arial"/>
                <w:sz w:val="20"/>
                <w:szCs w:val="20"/>
                <w:lang w:val="es-ES_tradnl"/>
              </w:rPr>
              <w:t xml:space="preserve"> vigente a nivel nacional </w:t>
            </w:r>
            <w:r w:rsidR="009B100C" w:rsidRPr="000E3522">
              <w:rPr>
                <w:rFonts w:ascii="Arial" w:hAnsi="Arial" w:cs="Arial"/>
                <w:sz w:val="20"/>
                <w:szCs w:val="20"/>
                <w:lang w:val="es-ES_tradnl"/>
              </w:rPr>
              <w:t xml:space="preserve">(sector gas y eléctrico) </w:t>
            </w:r>
            <w:r w:rsidRPr="000E3522">
              <w:rPr>
                <w:rFonts w:ascii="Arial" w:hAnsi="Arial" w:cs="Arial"/>
                <w:sz w:val="20"/>
                <w:szCs w:val="20"/>
                <w:lang w:val="es-ES_tradnl"/>
              </w:rPr>
              <w:t xml:space="preserve">y en la provincia </w:t>
            </w:r>
            <w:r w:rsidR="009B100C" w:rsidRPr="000E3522">
              <w:rPr>
                <w:rFonts w:ascii="Arial" w:hAnsi="Arial" w:cs="Arial"/>
                <w:sz w:val="20"/>
                <w:szCs w:val="20"/>
                <w:lang w:val="es-ES_tradnl"/>
              </w:rPr>
              <w:t xml:space="preserve">(sector eléctrico) </w:t>
            </w:r>
            <w:r w:rsidRPr="000E3522">
              <w:rPr>
                <w:rFonts w:ascii="Arial" w:hAnsi="Arial" w:cs="Arial"/>
                <w:sz w:val="20"/>
                <w:szCs w:val="20"/>
                <w:lang w:val="es-ES_tradnl"/>
              </w:rPr>
              <w:t>en la que se ejecutan las obras.</w:t>
            </w:r>
            <w:r w:rsidR="00253B30" w:rsidRPr="000E3522">
              <w:rPr>
                <w:rFonts w:ascii="Arial" w:hAnsi="Arial" w:cs="Arial"/>
                <w:sz w:val="20"/>
                <w:szCs w:val="20"/>
                <w:lang w:val="es-ES_tradnl"/>
              </w:rPr>
              <w:t xml:space="preserve"> Dicho marco se considera adecuado ya que distingue a los prestatarios de los servicios, los cuales cuentan con contratos de concesión, a los reguladores, entidades nacionales y provinciales, y a las entidades que dictan las políticas del sector. En este sentido, tanto en el sector gasífero (transporte y distribución) como en el sector eléctrico (generación, transporte y distribución) las empresas provienen mayoritariamente del sector privado. </w:t>
            </w:r>
            <w:r w:rsidR="00701A81" w:rsidRPr="000E3522">
              <w:rPr>
                <w:rFonts w:ascii="Arial" w:hAnsi="Arial" w:cs="Arial"/>
                <w:sz w:val="20"/>
                <w:szCs w:val="20"/>
                <w:lang w:val="es-ES_tradnl"/>
              </w:rPr>
              <w:t xml:space="preserve">Asimismo, </w:t>
            </w:r>
            <w:r w:rsidR="009B100C" w:rsidRPr="000E3522">
              <w:rPr>
                <w:rFonts w:ascii="Arial" w:hAnsi="Arial" w:cs="Arial"/>
                <w:sz w:val="20"/>
                <w:szCs w:val="20"/>
                <w:lang w:val="es-ES_tradnl"/>
              </w:rPr>
              <w:t xml:space="preserve">cuentan con </w:t>
            </w:r>
            <w:r w:rsidR="00253B30" w:rsidRPr="000E3522">
              <w:rPr>
                <w:rFonts w:ascii="Arial" w:hAnsi="Arial" w:cs="Arial"/>
                <w:sz w:val="20"/>
                <w:szCs w:val="20"/>
                <w:lang w:val="es-ES_tradnl"/>
              </w:rPr>
              <w:t xml:space="preserve">entes reguladores </w:t>
            </w:r>
            <w:r w:rsidR="00701A81" w:rsidRPr="000E3522">
              <w:rPr>
                <w:rFonts w:ascii="Arial" w:hAnsi="Arial" w:cs="Arial"/>
                <w:sz w:val="20"/>
                <w:szCs w:val="20"/>
                <w:lang w:val="es-ES_tradnl"/>
              </w:rPr>
              <w:t>nacional</w:t>
            </w:r>
            <w:r w:rsidR="00253B30" w:rsidRPr="000E3522">
              <w:rPr>
                <w:rFonts w:ascii="Arial" w:hAnsi="Arial" w:cs="Arial"/>
                <w:sz w:val="20"/>
                <w:szCs w:val="20"/>
                <w:lang w:val="es-ES_tradnl"/>
              </w:rPr>
              <w:t>es</w:t>
            </w:r>
            <w:r w:rsidR="00701A81" w:rsidRPr="000E3522">
              <w:rPr>
                <w:rFonts w:ascii="Arial" w:hAnsi="Arial" w:cs="Arial"/>
                <w:sz w:val="20"/>
                <w:szCs w:val="20"/>
                <w:lang w:val="es-ES_tradnl"/>
              </w:rPr>
              <w:t xml:space="preserve"> (</w:t>
            </w:r>
            <w:r w:rsidR="005D42F8" w:rsidRPr="000E3522">
              <w:rPr>
                <w:rFonts w:ascii="Arial" w:hAnsi="Arial" w:cs="Arial"/>
                <w:sz w:val="20"/>
                <w:szCs w:val="20"/>
                <w:lang w:val="es-ES_tradnl"/>
              </w:rPr>
              <w:t>ENARGAS y ENRE</w:t>
            </w:r>
            <w:r w:rsidR="00701A81" w:rsidRPr="000E3522">
              <w:rPr>
                <w:rFonts w:ascii="Arial" w:hAnsi="Arial" w:cs="Arial"/>
                <w:sz w:val="20"/>
                <w:szCs w:val="20"/>
                <w:lang w:val="es-ES_tradnl"/>
              </w:rPr>
              <w:t>) y provincial</w:t>
            </w:r>
            <w:r w:rsidR="00253B30" w:rsidRPr="000E3522">
              <w:rPr>
                <w:rFonts w:ascii="Arial" w:hAnsi="Arial" w:cs="Arial"/>
                <w:sz w:val="20"/>
                <w:szCs w:val="20"/>
                <w:lang w:val="es-ES_tradnl"/>
              </w:rPr>
              <w:t>es</w:t>
            </w:r>
            <w:r w:rsidR="00701A81" w:rsidRPr="000E3522">
              <w:rPr>
                <w:rFonts w:ascii="Arial" w:hAnsi="Arial" w:cs="Arial"/>
                <w:sz w:val="20"/>
                <w:szCs w:val="20"/>
                <w:lang w:val="es-ES_tradnl"/>
              </w:rPr>
              <w:t xml:space="preserve"> (para </w:t>
            </w:r>
            <w:r w:rsidR="005D42F8" w:rsidRPr="000E3522">
              <w:rPr>
                <w:rFonts w:ascii="Arial" w:hAnsi="Arial" w:cs="Arial"/>
                <w:sz w:val="20"/>
                <w:szCs w:val="20"/>
                <w:lang w:val="es-ES_tradnl"/>
              </w:rPr>
              <w:t>el sector eléctrico</w:t>
            </w:r>
            <w:r w:rsidR="00701A81" w:rsidRPr="000E3522">
              <w:rPr>
                <w:rFonts w:ascii="Arial" w:hAnsi="Arial" w:cs="Arial"/>
                <w:sz w:val="20"/>
                <w:szCs w:val="20"/>
                <w:lang w:val="es-ES_tradnl"/>
              </w:rPr>
              <w:t xml:space="preserve">).  </w:t>
            </w:r>
          </w:p>
          <w:p w14:paraId="79DD5810" w14:textId="19D3BF5A" w:rsidR="00253B30" w:rsidRPr="000E3522" w:rsidRDefault="009B100C" w:rsidP="00FE3587">
            <w:pPr>
              <w:spacing w:after="0" w:line="240" w:lineRule="auto"/>
              <w:jc w:val="both"/>
              <w:rPr>
                <w:rFonts w:ascii="Arial" w:hAnsi="Arial" w:cs="Arial"/>
                <w:sz w:val="20"/>
                <w:szCs w:val="20"/>
                <w:lang w:val="es-ES_tradnl"/>
              </w:rPr>
            </w:pPr>
            <w:r w:rsidRPr="000E3522">
              <w:rPr>
                <w:rFonts w:ascii="Arial" w:hAnsi="Arial" w:cs="Arial"/>
                <w:sz w:val="20"/>
                <w:szCs w:val="20"/>
                <w:lang w:val="es-ES_tradnl"/>
              </w:rPr>
              <w:t xml:space="preserve">Los </w:t>
            </w:r>
            <w:r w:rsidR="00253B30" w:rsidRPr="000E3522">
              <w:rPr>
                <w:rFonts w:ascii="Arial" w:hAnsi="Arial" w:cs="Arial"/>
                <w:sz w:val="20"/>
                <w:szCs w:val="20"/>
                <w:lang w:val="es-ES_tradnl"/>
              </w:rPr>
              <w:t xml:space="preserve">actores están sujetos al cumplimiento de normas </w:t>
            </w:r>
            <w:r w:rsidRPr="000E3522">
              <w:rPr>
                <w:rFonts w:ascii="Arial" w:hAnsi="Arial" w:cs="Arial"/>
                <w:sz w:val="20"/>
                <w:szCs w:val="20"/>
                <w:lang w:val="es-ES_tradnl"/>
              </w:rPr>
              <w:t xml:space="preserve">definen </w:t>
            </w:r>
            <w:r w:rsidR="00253B30" w:rsidRPr="000E3522">
              <w:rPr>
                <w:rFonts w:ascii="Arial" w:hAnsi="Arial" w:cs="Arial"/>
                <w:sz w:val="20"/>
                <w:szCs w:val="20"/>
                <w:lang w:val="es-ES_tradnl"/>
              </w:rPr>
              <w:t xml:space="preserve">la calidad </w:t>
            </w:r>
            <w:r w:rsidRPr="000E3522">
              <w:rPr>
                <w:rFonts w:ascii="Arial" w:hAnsi="Arial" w:cs="Arial"/>
                <w:sz w:val="20"/>
                <w:szCs w:val="20"/>
                <w:lang w:val="es-ES_tradnl"/>
              </w:rPr>
              <w:t>de los servicios sujeto a penalidades en caso de incumplimiento</w:t>
            </w:r>
            <w:r w:rsidR="00253B30" w:rsidRPr="000E3522">
              <w:rPr>
                <w:rFonts w:ascii="Arial" w:hAnsi="Arial" w:cs="Arial"/>
                <w:sz w:val="20"/>
                <w:szCs w:val="20"/>
                <w:lang w:val="es-ES_tradnl"/>
              </w:rPr>
              <w:t>.</w:t>
            </w:r>
          </w:p>
          <w:p w14:paraId="7921360F" w14:textId="77777777" w:rsidR="005D42F8" w:rsidRPr="000E3522" w:rsidRDefault="00253B30" w:rsidP="005B0CF0">
            <w:pPr>
              <w:spacing w:after="0" w:line="240" w:lineRule="auto"/>
              <w:jc w:val="both"/>
              <w:rPr>
                <w:rFonts w:ascii="Arial" w:hAnsi="Arial" w:cs="Arial"/>
                <w:sz w:val="20"/>
                <w:szCs w:val="20"/>
                <w:lang w:val="es-ES"/>
              </w:rPr>
            </w:pPr>
            <w:r w:rsidRPr="000E3522">
              <w:rPr>
                <w:rFonts w:ascii="Arial" w:hAnsi="Arial" w:cs="Arial"/>
                <w:sz w:val="20"/>
                <w:szCs w:val="20"/>
                <w:lang w:val="es-ES"/>
              </w:rPr>
              <w:t xml:space="preserve">Por su parte, el </w:t>
            </w:r>
            <w:r w:rsidR="005D42F8" w:rsidRPr="000E3522">
              <w:rPr>
                <w:rFonts w:ascii="Arial" w:hAnsi="Arial" w:cs="Arial"/>
                <w:sz w:val="20"/>
                <w:szCs w:val="20"/>
                <w:lang w:val="es-ES"/>
              </w:rPr>
              <w:t>Gobierno Nacional</w:t>
            </w:r>
            <w:r w:rsidRPr="000E3522">
              <w:rPr>
                <w:rFonts w:ascii="Arial" w:hAnsi="Arial" w:cs="Arial"/>
                <w:sz w:val="20"/>
                <w:szCs w:val="20"/>
                <w:lang w:val="es-ES"/>
              </w:rPr>
              <w:t>,</w:t>
            </w:r>
            <w:r w:rsidR="005D42F8" w:rsidRPr="000E3522">
              <w:rPr>
                <w:rFonts w:ascii="Arial" w:hAnsi="Arial" w:cs="Arial"/>
                <w:sz w:val="20"/>
                <w:szCs w:val="20"/>
                <w:lang w:val="es-ES"/>
              </w:rPr>
              <w:t xml:space="preserve"> </w:t>
            </w:r>
            <w:r w:rsidR="001E5561" w:rsidRPr="000E3522">
              <w:rPr>
                <w:rFonts w:ascii="Arial" w:hAnsi="Arial" w:cs="Arial"/>
                <w:sz w:val="20"/>
                <w:szCs w:val="20"/>
                <w:lang w:val="es-ES"/>
              </w:rPr>
              <w:t>a través del Ministerio de Energía</w:t>
            </w:r>
            <w:r w:rsidRPr="000E3522">
              <w:rPr>
                <w:rFonts w:ascii="Arial" w:hAnsi="Arial" w:cs="Arial"/>
                <w:sz w:val="20"/>
                <w:szCs w:val="20"/>
                <w:lang w:val="es-ES"/>
              </w:rPr>
              <w:t>,</w:t>
            </w:r>
            <w:r w:rsidR="001E5561" w:rsidRPr="000E3522">
              <w:rPr>
                <w:rFonts w:ascii="Arial" w:hAnsi="Arial" w:cs="Arial"/>
                <w:sz w:val="20"/>
                <w:szCs w:val="20"/>
                <w:lang w:val="es-ES"/>
              </w:rPr>
              <w:t xml:space="preserve"> </w:t>
            </w:r>
            <w:r w:rsidR="005D42F8" w:rsidRPr="000E3522">
              <w:rPr>
                <w:rFonts w:ascii="Arial" w:hAnsi="Arial" w:cs="Arial"/>
                <w:sz w:val="20"/>
                <w:szCs w:val="20"/>
                <w:lang w:val="es-ES"/>
              </w:rPr>
              <w:t>ha trazado los siguientes lineamientos para la normalización del sector</w:t>
            </w:r>
            <w:r w:rsidRPr="000E3522">
              <w:rPr>
                <w:rFonts w:ascii="Arial" w:hAnsi="Arial" w:cs="Arial"/>
                <w:sz w:val="20"/>
                <w:szCs w:val="20"/>
                <w:lang w:val="es-ES"/>
              </w:rPr>
              <w:t xml:space="preserve"> energético</w:t>
            </w:r>
            <w:r w:rsidR="005D42F8" w:rsidRPr="000E3522">
              <w:rPr>
                <w:rFonts w:ascii="Arial" w:hAnsi="Arial" w:cs="Arial"/>
                <w:sz w:val="20"/>
                <w:szCs w:val="20"/>
                <w:lang w:val="es-ES"/>
              </w:rPr>
              <w:t xml:space="preserve">: </w:t>
            </w:r>
            <w:r w:rsidR="005B4D62" w:rsidRPr="000E3522">
              <w:rPr>
                <w:rFonts w:ascii="Arial" w:hAnsi="Arial" w:cs="Arial"/>
                <w:sz w:val="20"/>
                <w:szCs w:val="20"/>
                <w:lang w:val="es-ES"/>
              </w:rPr>
              <w:t xml:space="preserve">a) </w:t>
            </w:r>
            <w:r w:rsidR="00DA2C2A" w:rsidRPr="000E3522">
              <w:rPr>
                <w:rFonts w:ascii="Arial" w:hAnsi="Arial" w:cs="Arial"/>
                <w:sz w:val="20"/>
                <w:szCs w:val="20"/>
                <w:lang w:val="es-ES"/>
              </w:rPr>
              <w:t xml:space="preserve">Declaración de </w:t>
            </w:r>
            <w:r w:rsidR="005B4D62" w:rsidRPr="000E3522">
              <w:rPr>
                <w:rFonts w:ascii="Arial" w:hAnsi="Arial" w:cs="Arial"/>
                <w:sz w:val="20"/>
                <w:szCs w:val="20"/>
                <w:lang w:val="es-ES"/>
              </w:rPr>
              <w:lastRenderedPageBreak/>
              <w:t>emergenci</w:t>
            </w:r>
            <w:r w:rsidR="001E5561" w:rsidRPr="000E3522">
              <w:rPr>
                <w:rFonts w:ascii="Arial" w:hAnsi="Arial" w:cs="Arial"/>
                <w:sz w:val="20"/>
                <w:szCs w:val="20"/>
                <w:lang w:val="es-ES"/>
              </w:rPr>
              <w:t xml:space="preserve">a </w:t>
            </w:r>
            <w:r w:rsidR="00DA2C2A" w:rsidRPr="000E3522">
              <w:rPr>
                <w:rFonts w:ascii="Arial" w:hAnsi="Arial" w:cs="Arial"/>
                <w:sz w:val="20"/>
                <w:szCs w:val="20"/>
                <w:lang w:val="es-ES"/>
              </w:rPr>
              <w:t xml:space="preserve">energética </w:t>
            </w:r>
            <w:r w:rsidR="001E5561" w:rsidRPr="000E3522">
              <w:rPr>
                <w:rFonts w:ascii="Arial" w:hAnsi="Arial" w:cs="Arial"/>
                <w:sz w:val="20"/>
                <w:szCs w:val="20"/>
                <w:lang w:val="es-ES"/>
              </w:rPr>
              <w:t>para poder hacer frente a las urgencias del sector</w:t>
            </w:r>
            <w:r w:rsidR="004A4517" w:rsidRPr="000E3522">
              <w:rPr>
                <w:rStyle w:val="FootnoteReference"/>
                <w:rFonts w:ascii="Arial" w:hAnsi="Arial" w:cs="Arial"/>
                <w:sz w:val="20"/>
                <w:szCs w:val="20"/>
                <w:lang w:val="es-ES"/>
              </w:rPr>
              <w:footnoteReference w:id="3"/>
            </w:r>
            <w:r w:rsidR="001E5561" w:rsidRPr="000E3522">
              <w:rPr>
                <w:rFonts w:ascii="Arial" w:hAnsi="Arial" w:cs="Arial"/>
                <w:sz w:val="20"/>
                <w:szCs w:val="20"/>
                <w:lang w:val="es-ES"/>
              </w:rPr>
              <w:t>; b) Devolver a las agencias reguladoras la funcionalidad que les corresponde en el menor plazo posible, con la designación de nuevas autoridades, normalización operativa y mayor transparencia en sus procesos; c) Realineamiento de los precios y tarifas del sector</w:t>
            </w:r>
            <w:r w:rsidR="00DA2C2A" w:rsidRPr="000E3522">
              <w:rPr>
                <w:rFonts w:ascii="Arial" w:hAnsi="Arial" w:cs="Arial"/>
                <w:sz w:val="20"/>
                <w:szCs w:val="20"/>
                <w:lang w:val="es-ES"/>
              </w:rPr>
              <w:t xml:space="preserve">, con </w:t>
            </w:r>
            <w:r w:rsidR="001E5561" w:rsidRPr="000E3522">
              <w:rPr>
                <w:rFonts w:ascii="Arial" w:hAnsi="Arial" w:cs="Arial"/>
                <w:sz w:val="20"/>
                <w:szCs w:val="20"/>
                <w:lang w:val="es-ES"/>
              </w:rPr>
              <w:t>audiencias públicas</w:t>
            </w:r>
            <w:r w:rsidR="00DA2C2A" w:rsidRPr="000E3522">
              <w:rPr>
                <w:rFonts w:ascii="Arial" w:hAnsi="Arial" w:cs="Arial"/>
                <w:sz w:val="20"/>
                <w:szCs w:val="20"/>
                <w:lang w:val="es-ES"/>
              </w:rPr>
              <w:t>,</w:t>
            </w:r>
            <w:r w:rsidR="001E5561" w:rsidRPr="000E3522">
              <w:rPr>
                <w:rFonts w:ascii="Arial" w:hAnsi="Arial" w:cs="Arial"/>
                <w:sz w:val="20"/>
                <w:szCs w:val="20"/>
                <w:lang w:val="es-ES"/>
              </w:rPr>
              <w:t xml:space="preserve"> revisión</w:t>
            </w:r>
            <w:r w:rsidR="00DA2C2A" w:rsidRPr="000E3522">
              <w:rPr>
                <w:rFonts w:ascii="Arial" w:hAnsi="Arial" w:cs="Arial"/>
                <w:sz w:val="20"/>
                <w:szCs w:val="20"/>
                <w:lang w:val="es-ES"/>
              </w:rPr>
              <w:t xml:space="preserve"> de la</w:t>
            </w:r>
            <w:r w:rsidR="001E5561" w:rsidRPr="000E3522">
              <w:rPr>
                <w:rFonts w:ascii="Arial" w:hAnsi="Arial" w:cs="Arial"/>
                <w:sz w:val="20"/>
                <w:szCs w:val="20"/>
                <w:lang w:val="es-ES"/>
              </w:rPr>
              <w:t xml:space="preserve"> tarifaria integral de acuerdo a la normativa y la integración al mercado global de energía. </w:t>
            </w:r>
          </w:p>
        </w:tc>
      </w:tr>
      <w:tr w:rsidR="0080752A" w:rsidRPr="000E3522" w14:paraId="1E00D724" w14:textId="77777777" w:rsidTr="00B415D3">
        <w:trPr>
          <w:jc w:val="center"/>
        </w:trPr>
        <w:tc>
          <w:tcPr>
            <w:tcW w:w="3133" w:type="dxa"/>
            <w:shd w:val="clear" w:color="auto" w:fill="auto"/>
          </w:tcPr>
          <w:p w14:paraId="191B6E1C" w14:textId="3466390B" w:rsidR="00FE3587" w:rsidRPr="000E3522" w:rsidRDefault="003E0D4D" w:rsidP="00C72AC8">
            <w:pPr>
              <w:spacing w:after="0" w:line="240" w:lineRule="auto"/>
              <w:rPr>
                <w:rFonts w:ascii="Arial" w:hAnsi="Arial" w:cs="Arial"/>
                <w:b/>
                <w:bCs/>
                <w:sz w:val="20"/>
                <w:szCs w:val="20"/>
                <w:lang w:val="es-ES"/>
              </w:rPr>
            </w:pPr>
            <w:r w:rsidRPr="000E3522">
              <w:rPr>
                <w:rFonts w:ascii="Arial" w:hAnsi="Arial" w:cs="Arial"/>
                <w:b/>
                <w:bCs/>
                <w:sz w:val="20"/>
                <w:szCs w:val="20"/>
                <w:lang w:val="es-AR"/>
              </w:rPr>
              <w:lastRenderedPageBreak/>
              <w:t>3.</w:t>
            </w:r>
            <w:r w:rsidR="000E3522" w:rsidRPr="000E3522">
              <w:rPr>
                <w:rFonts w:ascii="Arial" w:hAnsi="Arial" w:cs="Arial"/>
                <w:b/>
                <w:bCs/>
                <w:sz w:val="20"/>
                <w:szCs w:val="20"/>
                <w:lang w:val="es-AR"/>
              </w:rPr>
              <w:t xml:space="preserve">2.a </w:t>
            </w:r>
            <w:r w:rsidR="00FE3587" w:rsidRPr="000E3522">
              <w:rPr>
                <w:rFonts w:ascii="Arial" w:hAnsi="Arial" w:cs="Arial"/>
                <w:b/>
                <w:bCs/>
                <w:sz w:val="20"/>
                <w:szCs w:val="20"/>
                <w:lang w:val="es-ES"/>
              </w:rPr>
              <w:t>Promover la integridad, la transparencia y la rendición de cuentas</w:t>
            </w:r>
          </w:p>
        </w:tc>
        <w:tc>
          <w:tcPr>
            <w:tcW w:w="5040" w:type="dxa"/>
            <w:shd w:val="clear" w:color="auto" w:fill="auto"/>
          </w:tcPr>
          <w:p w14:paraId="4C5BEB75" w14:textId="77777777" w:rsidR="00FE3587" w:rsidRPr="000E3522" w:rsidRDefault="00DA2C2A" w:rsidP="004C4802">
            <w:pPr>
              <w:autoSpaceDE w:val="0"/>
              <w:autoSpaceDN w:val="0"/>
              <w:adjustRightInd w:val="0"/>
              <w:spacing w:after="0" w:line="240" w:lineRule="auto"/>
              <w:rPr>
                <w:rFonts w:ascii="Arial" w:hAnsi="Arial" w:cs="Arial"/>
                <w:sz w:val="20"/>
                <w:szCs w:val="20"/>
                <w:lang w:val="es-ES"/>
              </w:rPr>
            </w:pPr>
            <w:r w:rsidRPr="000E3522">
              <w:rPr>
                <w:rFonts w:ascii="Arial" w:hAnsi="Arial" w:cs="Arial"/>
                <w:sz w:val="20"/>
                <w:szCs w:val="20"/>
                <w:lang w:val="es-ES_tradnl"/>
              </w:rPr>
              <w:t>Se impulsarán los arreglos institucionales básicos para que los países de la región adopten medidas que promuevan la integridad y aumenten la transparencia en la provisión de servicios públicos domiciliarios, con el objetivo de mejorar la rendición de cuentas y fortalecer el cumplimiento de los derechos de los usuarios.</w:t>
            </w:r>
          </w:p>
        </w:tc>
        <w:tc>
          <w:tcPr>
            <w:tcW w:w="5571" w:type="dxa"/>
            <w:shd w:val="clear" w:color="auto" w:fill="auto"/>
          </w:tcPr>
          <w:p w14:paraId="7D64C5AF" w14:textId="77777777" w:rsidR="00FE3587" w:rsidRPr="000E3522" w:rsidRDefault="00EE54D0" w:rsidP="00101EAB">
            <w:pPr>
              <w:spacing w:after="0" w:line="240" w:lineRule="auto"/>
              <w:jc w:val="both"/>
              <w:rPr>
                <w:rFonts w:ascii="Arial" w:hAnsi="Arial" w:cs="Arial"/>
                <w:sz w:val="20"/>
                <w:szCs w:val="20"/>
                <w:lang w:val="es-ES"/>
              </w:rPr>
            </w:pPr>
            <w:r w:rsidRPr="000E3522">
              <w:rPr>
                <w:rFonts w:ascii="Arial" w:hAnsi="Arial" w:cs="Arial"/>
                <w:sz w:val="20"/>
                <w:szCs w:val="20"/>
                <w:lang w:val="es-ES"/>
              </w:rPr>
              <w:t>Í</w:t>
            </w:r>
            <w:r w:rsidR="005B0CF0" w:rsidRPr="000E3522">
              <w:rPr>
                <w:rFonts w:ascii="Arial" w:hAnsi="Arial" w:cs="Arial"/>
                <w:sz w:val="20"/>
                <w:szCs w:val="20"/>
                <w:lang w:val="es-ES"/>
              </w:rPr>
              <w:t xml:space="preserve">dem </w:t>
            </w:r>
            <w:r w:rsidR="00101EAB" w:rsidRPr="000E3522">
              <w:rPr>
                <w:rFonts w:ascii="Arial" w:hAnsi="Arial" w:cs="Arial"/>
                <w:sz w:val="20"/>
                <w:szCs w:val="20"/>
                <w:lang w:val="es-ES"/>
              </w:rPr>
              <w:t>Punto 3.2</w:t>
            </w:r>
            <w:r w:rsidR="005B0CF0" w:rsidRPr="000E3522">
              <w:rPr>
                <w:rFonts w:ascii="Arial" w:hAnsi="Arial" w:cs="Arial"/>
                <w:sz w:val="20"/>
                <w:szCs w:val="20"/>
                <w:lang w:val="es-ES"/>
              </w:rPr>
              <w:t xml:space="preserve">. </w:t>
            </w:r>
          </w:p>
        </w:tc>
      </w:tr>
      <w:tr w:rsidR="00EE54D0" w:rsidRPr="000E3522" w14:paraId="1A9ABC0D" w14:textId="77777777" w:rsidTr="00EE54D0">
        <w:trPr>
          <w:jc w:val="center"/>
        </w:trPr>
        <w:tc>
          <w:tcPr>
            <w:tcW w:w="3133" w:type="dxa"/>
            <w:shd w:val="clear" w:color="auto" w:fill="auto"/>
          </w:tcPr>
          <w:p w14:paraId="214A50A1" w14:textId="77777777" w:rsidR="00FE3587" w:rsidRPr="000E3522" w:rsidRDefault="003E0D4D" w:rsidP="00C72AC8">
            <w:pPr>
              <w:spacing w:after="0" w:line="240" w:lineRule="auto"/>
              <w:rPr>
                <w:rFonts w:ascii="Arial" w:hAnsi="Arial" w:cs="Arial"/>
                <w:b/>
                <w:bCs/>
                <w:sz w:val="20"/>
                <w:szCs w:val="20"/>
                <w:lang w:val="es-ES"/>
              </w:rPr>
            </w:pPr>
            <w:r w:rsidRPr="000E3522">
              <w:rPr>
                <w:rFonts w:ascii="Arial" w:hAnsi="Arial" w:cs="Arial"/>
                <w:b/>
                <w:bCs/>
                <w:sz w:val="20"/>
                <w:szCs w:val="20"/>
                <w:lang w:val="es-ES"/>
              </w:rPr>
              <w:t>3.</w:t>
            </w:r>
            <w:r w:rsidR="004C4802" w:rsidRPr="000E3522">
              <w:rPr>
                <w:rFonts w:ascii="Arial" w:hAnsi="Arial" w:cs="Arial"/>
                <w:b/>
                <w:bCs/>
                <w:sz w:val="20"/>
                <w:szCs w:val="20"/>
                <w:lang w:val="es-ES"/>
              </w:rPr>
              <w:t xml:space="preserve">2.b </w:t>
            </w:r>
            <w:r w:rsidR="00EB1E5B" w:rsidRPr="000E3522">
              <w:rPr>
                <w:rFonts w:ascii="Arial" w:hAnsi="Arial" w:cs="Arial"/>
                <w:b/>
                <w:bCs/>
                <w:sz w:val="20"/>
                <w:szCs w:val="20"/>
                <w:lang w:val="es-ES"/>
              </w:rPr>
              <w:t>C</w:t>
            </w:r>
            <w:r w:rsidR="00FE3587" w:rsidRPr="000E3522">
              <w:rPr>
                <w:rFonts w:ascii="Arial" w:hAnsi="Arial" w:cs="Arial"/>
                <w:b/>
                <w:bCs/>
                <w:sz w:val="20"/>
                <w:szCs w:val="20"/>
                <w:lang w:val="es-ES"/>
              </w:rPr>
              <w:t>aracterísticas e impactos de los subsidios</w:t>
            </w:r>
          </w:p>
        </w:tc>
        <w:tc>
          <w:tcPr>
            <w:tcW w:w="5040" w:type="dxa"/>
            <w:shd w:val="clear" w:color="auto" w:fill="auto"/>
          </w:tcPr>
          <w:p w14:paraId="3B03EE14" w14:textId="77777777" w:rsidR="00FE3587" w:rsidRPr="000E3522" w:rsidRDefault="00DA2C2A" w:rsidP="00EB1E5B">
            <w:pPr>
              <w:spacing w:after="0" w:line="240" w:lineRule="auto"/>
              <w:rPr>
                <w:rFonts w:ascii="Arial" w:hAnsi="Arial" w:cs="Arial"/>
                <w:sz w:val="20"/>
                <w:szCs w:val="20"/>
                <w:lang w:val="es-ES"/>
              </w:rPr>
            </w:pPr>
            <w:r w:rsidRPr="000E3522">
              <w:rPr>
                <w:rFonts w:ascii="Arial" w:hAnsi="Arial" w:cs="Arial"/>
                <w:sz w:val="20"/>
                <w:szCs w:val="20"/>
                <w:lang w:val="es-ES_tradnl"/>
              </w:rPr>
              <w:t>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focalizados en los segmentos de la población con menores ingresos.</w:t>
            </w:r>
          </w:p>
        </w:tc>
        <w:tc>
          <w:tcPr>
            <w:tcW w:w="5571" w:type="dxa"/>
            <w:shd w:val="clear" w:color="auto" w:fill="auto"/>
          </w:tcPr>
          <w:p w14:paraId="20D15AF2" w14:textId="532B3D29" w:rsidR="00FE3587" w:rsidRPr="000E3522" w:rsidRDefault="005B0CF0" w:rsidP="0013680F">
            <w:pPr>
              <w:spacing w:after="0" w:line="240" w:lineRule="auto"/>
              <w:jc w:val="both"/>
              <w:rPr>
                <w:rFonts w:ascii="Arial" w:hAnsi="Arial" w:cs="Arial"/>
                <w:sz w:val="20"/>
                <w:szCs w:val="20"/>
                <w:lang w:val="es-ES"/>
              </w:rPr>
            </w:pPr>
            <w:r w:rsidRPr="000E3522">
              <w:rPr>
                <w:rFonts w:ascii="Arial" w:hAnsi="Arial" w:cs="Arial"/>
                <w:sz w:val="20"/>
                <w:szCs w:val="20"/>
                <w:lang w:val="es-ES"/>
              </w:rPr>
              <w:t>Durante los últimos años se han proporcionado enormes subsidios en el sector energético representando una porción sustancial del déficit fiscal. El Gobierno actual ha comenzado el proceso de ir eliminando los subsidios pero manteniendo los mismos en los segmentos sociales de bajos recursos, en forma transparente</w:t>
            </w:r>
            <w:r w:rsidR="009B100C" w:rsidRPr="000E3522">
              <w:rPr>
                <w:rFonts w:ascii="Arial" w:hAnsi="Arial" w:cs="Arial"/>
                <w:sz w:val="20"/>
                <w:szCs w:val="20"/>
                <w:lang w:val="es-ES"/>
              </w:rPr>
              <w:t xml:space="preserve"> y </w:t>
            </w:r>
            <w:r w:rsidR="0013680F" w:rsidRPr="000E3522">
              <w:rPr>
                <w:rFonts w:ascii="Arial" w:hAnsi="Arial" w:cs="Arial"/>
                <w:sz w:val="20"/>
                <w:szCs w:val="20"/>
                <w:lang w:val="es-ES"/>
              </w:rPr>
              <w:t xml:space="preserve">con mayor </w:t>
            </w:r>
            <w:r w:rsidR="009B100C" w:rsidRPr="000E3522">
              <w:rPr>
                <w:rFonts w:ascii="Arial" w:hAnsi="Arial" w:cs="Arial"/>
                <w:sz w:val="20"/>
                <w:szCs w:val="20"/>
                <w:lang w:val="es-ES"/>
              </w:rPr>
              <w:t>fiscalización</w:t>
            </w:r>
            <w:r w:rsidRPr="000E3522">
              <w:rPr>
                <w:rFonts w:ascii="Arial" w:hAnsi="Arial" w:cs="Arial"/>
                <w:sz w:val="20"/>
                <w:szCs w:val="20"/>
                <w:lang w:val="es-ES"/>
              </w:rPr>
              <w:t xml:space="preserve">. Dada la magnitud de los desfasajes el proceso de reducción de los subsidios en energía será gradual para minimizar los impactos macroeconómicos y sociales. </w:t>
            </w:r>
          </w:p>
        </w:tc>
      </w:tr>
      <w:tr w:rsidR="00EE54D0" w:rsidRPr="000E3522" w14:paraId="43B15038" w14:textId="77777777" w:rsidTr="00EE54D0">
        <w:trPr>
          <w:jc w:val="center"/>
        </w:trPr>
        <w:tc>
          <w:tcPr>
            <w:tcW w:w="3133" w:type="dxa"/>
            <w:shd w:val="clear" w:color="auto" w:fill="auto"/>
          </w:tcPr>
          <w:p w14:paraId="3D2CF2CC" w14:textId="36C008A7" w:rsidR="00FE3587" w:rsidRPr="000E3522" w:rsidRDefault="003E0D4D" w:rsidP="00C72AC8">
            <w:pPr>
              <w:spacing w:after="0" w:line="240" w:lineRule="auto"/>
              <w:rPr>
                <w:rFonts w:ascii="Arial" w:hAnsi="Arial" w:cs="Arial"/>
                <w:sz w:val="20"/>
                <w:szCs w:val="20"/>
                <w:lang w:val="es-ES"/>
              </w:rPr>
            </w:pPr>
            <w:r w:rsidRPr="000E3522">
              <w:rPr>
                <w:rFonts w:ascii="Arial" w:hAnsi="Arial" w:cs="Arial"/>
                <w:b/>
                <w:bCs/>
                <w:sz w:val="20"/>
                <w:szCs w:val="20"/>
                <w:lang w:val="es-ES"/>
              </w:rPr>
              <w:lastRenderedPageBreak/>
              <w:t>3.</w:t>
            </w:r>
            <w:r w:rsidR="000E3522" w:rsidRPr="000E3522">
              <w:rPr>
                <w:rFonts w:ascii="Arial" w:hAnsi="Arial" w:cs="Arial"/>
                <w:b/>
                <w:bCs/>
                <w:sz w:val="20"/>
                <w:szCs w:val="20"/>
                <w:lang w:val="es-ES"/>
              </w:rPr>
              <w:t xml:space="preserve">2.c </w:t>
            </w:r>
            <w:r w:rsidR="00FE3587" w:rsidRPr="000E3522">
              <w:rPr>
                <w:rFonts w:ascii="Arial" w:hAnsi="Arial" w:cs="Arial"/>
                <w:b/>
                <w:bCs/>
                <w:sz w:val="20"/>
                <w:szCs w:val="20"/>
                <w:lang w:val="es-ES"/>
              </w:rPr>
              <w:t>Separación de Funciones para mejorar la gobernanza sectorial</w:t>
            </w:r>
          </w:p>
        </w:tc>
        <w:tc>
          <w:tcPr>
            <w:tcW w:w="5040" w:type="dxa"/>
            <w:shd w:val="clear" w:color="auto" w:fill="auto"/>
          </w:tcPr>
          <w:p w14:paraId="006B5F2B" w14:textId="77777777" w:rsidR="00FE3587" w:rsidRPr="000E3522" w:rsidRDefault="00DA2C2A" w:rsidP="00EB1E5B">
            <w:pPr>
              <w:spacing w:after="0" w:line="240" w:lineRule="auto"/>
              <w:rPr>
                <w:rFonts w:ascii="Arial" w:hAnsi="Arial" w:cs="Arial"/>
                <w:sz w:val="20"/>
                <w:szCs w:val="20"/>
                <w:lang w:val="es-ES"/>
              </w:rPr>
            </w:pPr>
            <w:r w:rsidRPr="000E3522">
              <w:rPr>
                <w:rFonts w:ascii="Arial" w:hAnsi="Arial" w:cs="Arial"/>
                <w:sz w:val="20"/>
                <w:szCs w:val="20"/>
                <w:lang w:val="es-ES_tradnl"/>
              </w:rPr>
              <w:t xml:space="preserve">Deben separarse las funciones de </w:t>
            </w:r>
            <w:r w:rsidRPr="000E3522">
              <w:rPr>
                <w:rFonts w:ascii="Arial" w:hAnsi="Arial" w:cs="Arial"/>
                <w:b/>
                <w:bCs/>
                <w:sz w:val="20"/>
                <w:szCs w:val="20"/>
                <w:lang w:val="es-ES_tradnl"/>
              </w:rPr>
              <w:t>formulador de políticas, regulador</w:t>
            </w:r>
            <w:r w:rsidRPr="000E3522">
              <w:rPr>
                <w:rFonts w:ascii="Arial" w:hAnsi="Arial" w:cs="Arial"/>
                <w:sz w:val="20"/>
                <w:szCs w:val="20"/>
                <w:lang w:val="es-ES_tradnl"/>
              </w:rPr>
              <w:t xml:space="preserve"> y </w:t>
            </w:r>
            <w:r w:rsidRPr="000E3522">
              <w:rPr>
                <w:rFonts w:ascii="Arial" w:hAnsi="Arial" w:cs="Arial"/>
                <w:b/>
                <w:bCs/>
                <w:sz w:val="20"/>
                <w:szCs w:val="20"/>
                <w:lang w:val="es-ES_tradnl"/>
              </w:rPr>
              <w:t>empresario</w:t>
            </w:r>
            <w:r w:rsidRPr="000E3522">
              <w:rPr>
                <w:rFonts w:ascii="Arial" w:hAnsi="Arial" w:cs="Arial"/>
                <w:sz w:val="20"/>
                <w:szCs w:val="20"/>
                <w:lang w:val="es-ES_tradnl"/>
              </w:rPr>
              <w:t xml:space="preserve"> y asignarse a instituciones distintas y apropiadas. De esta manera, las autoridades conservarán la responsabilidad de </w:t>
            </w:r>
            <w:r w:rsidRPr="000E3522">
              <w:rPr>
                <w:rFonts w:ascii="Arial" w:hAnsi="Arial" w:cs="Arial"/>
                <w:b/>
                <w:bCs/>
                <w:sz w:val="20"/>
                <w:szCs w:val="20"/>
                <w:lang w:val="es-ES_tradnl"/>
              </w:rPr>
              <w:t>formular la política</w:t>
            </w:r>
            <w:r w:rsidRPr="000E3522">
              <w:rPr>
                <w:rFonts w:ascii="Arial" w:hAnsi="Arial" w:cs="Arial"/>
                <w:sz w:val="20"/>
                <w:szCs w:val="20"/>
                <w:lang w:val="es-ES_tradnl"/>
              </w:rPr>
              <w:t xml:space="preserve">, un ente público separado dictará el </w:t>
            </w:r>
            <w:r w:rsidRPr="000E3522">
              <w:rPr>
                <w:rFonts w:ascii="Arial" w:hAnsi="Arial" w:cs="Arial"/>
                <w:b/>
                <w:bCs/>
                <w:sz w:val="20"/>
                <w:szCs w:val="20"/>
                <w:lang w:val="es-ES_tradnl"/>
              </w:rPr>
              <w:t>régimen reglamentario</w:t>
            </w:r>
            <w:r w:rsidRPr="000E3522">
              <w:rPr>
                <w:rFonts w:ascii="Arial" w:hAnsi="Arial" w:cs="Arial"/>
                <w:sz w:val="20"/>
                <w:szCs w:val="20"/>
                <w:lang w:val="es-ES_tradnl"/>
              </w:rPr>
              <w:t xml:space="preserve"> y se asignará al proveedor del servicio una función exclusivamente </w:t>
            </w:r>
            <w:r w:rsidRPr="000E3522">
              <w:rPr>
                <w:rFonts w:ascii="Arial" w:hAnsi="Arial" w:cs="Arial"/>
                <w:b/>
                <w:bCs/>
                <w:sz w:val="20"/>
                <w:szCs w:val="20"/>
                <w:lang w:val="es-ES_tradnl"/>
              </w:rPr>
              <w:t>empresarial</w:t>
            </w:r>
            <w:r w:rsidRPr="000E3522">
              <w:rPr>
                <w:rFonts w:ascii="Arial" w:hAnsi="Arial" w:cs="Arial"/>
                <w:sz w:val="20"/>
                <w:szCs w:val="20"/>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0E3522">
              <w:rPr>
                <w:rFonts w:ascii="Arial" w:hAnsi="Arial" w:cs="Arial"/>
                <w:sz w:val="20"/>
                <w:szCs w:val="20"/>
                <w:lang w:val="es-ES"/>
              </w:rPr>
              <w:t xml:space="preserve"> </w:t>
            </w:r>
            <w:r w:rsidRPr="000E3522">
              <w:rPr>
                <w:rFonts w:ascii="Arial" w:hAnsi="Arial" w:cs="Arial"/>
                <w:sz w:val="20"/>
                <w:szCs w:val="20"/>
                <w:lang w:val="es-ES_tradnl"/>
              </w:rPr>
              <w:t>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gestión en el marco de la legislación local.</w:t>
            </w:r>
          </w:p>
        </w:tc>
        <w:tc>
          <w:tcPr>
            <w:tcW w:w="5571" w:type="dxa"/>
            <w:shd w:val="clear" w:color="auto" w:fill="auto"/>
          </w:tcPr>
          <w:p w14:paraId="322EAD0B" w14:textId="7356CC84" w:rsidR="00FE3587" w:rsidRPr="000E3522" w:rsidRDefault="005B0CF0" w:rsidP="0013680F">
            <w:pPr>
              <w:spacing w:after="0" w:line="240" w:lineRule="auto"/>
              <w:jc w:val="both"/>
              <w:rPr>
                <w:rFonts w:ascii="Arial" w:hAnsi="Arial" w:cs="Arial"/>
                <w:sz w:val="20"/>
                <w:szCs w:val="20"/>
                <w:lang w:val="es-ES"/>
              </w:rPr>
            </w:pPr>
            <w:r w:rsidRPr="000E3522">
              <w:rPr>
                <w:rFonts w:ascii="Arial" w:hAnsi="Arial" w:cs="Arial"/>
                <w:sz w:val="20"/>
                <w:szCs w:val="20"/>
                <w:lang w:val="es-ES"/>
              </w:rPr>
              <w:t xml:space="preserve">Las funciones de formulador de políticas, regulador y empresarios prestadores de servicio se mantienen </w:t>
            </w:r>
            <w:r w:rsidR="00DA2C2A" w:rsidRPr="000E3522">
              <w:rPr>
                <w:rFonts w:ascii="Arial" w:hAnsi="Arial" w:cs="Arial"/>
                <w:sz w:val="20"/>
                <w:szCs w:val="20"/>
                <w:lang w:val="es-ES"/>
              </w:rPr>
              <w:t xml:space="preserve">en los </w:t>
            </w:r>
            <w:r w:rsidR="0013680F" w:rsidRPr="000E3522">
              <w:rPr>
                <w:rFonts w:ascii="Arial" w:hAnsi="Arial" w:cs="Arial"/>
                <w:sz w:val="20"/>
                <w:szCs w:val="20"/>
                <w:lang w:val="es-ES"/>
              </w:rPr>
              <w:t xml:space="preserve">sectores de los dos </w:t>
            </w:r>
            <w:r w:rsidR="00DA2C2A" w:rsidRPr="000E3522">
              <w:rPr>
                <w:rFonts w:ascii="Arial" w:hAnsi="Arial" w:cs="Arial"/>
                <w:sz w:val="20"/>
                <w:szCs w:val="20"/>
                <w:lang w:val="es-ES"/>
              </w:rPr>
              <w:t>proyectos</w:t>
            </w:r>
            <w:r w:rsidRPr="000E3522">
              <w:rPr>
                <w:rFonts w:ascii="Arial" w:hAnsi="Arial" w:cs="Arial"/>
                <w:sz w:val="20"/>
                <w:szCs w:val="20"/>
                <w:lang w:val="es-ES"/>
              </w:rPr>
              <w:t>.</w:t>
            </w:r>
            <w:r w:rsidR="00DA2C2A" w:rsidRPr="000E3522">
              <w:rPr>
                <w:rFonts w:ascii="Arial" w:hAnsi="Arial" w:cs="Arial"/>
                <w:sz w:val="20"/>
                <w:szCs w:val="20"/>
                <w:lang w:val="es-ES"/>
              </w:rPr>
              <w:t xml:space="preserve"> Las Empresas prestadoras de servicios son GASNEA S.A. (gas) y TRANSNEA S.A. (electricidad), mientras que los entes reguladores nacionales para estas empresas son ENARSA (gas) y ENRE (electricidad).</w:t>
            </w:r>
            <w:r w:rsidRPr="000E3522">
              <w:rPr>
                <w:rFonts w:ascii="Arial" w:hAnsi="Arial" w:cs="Arial"/>
                <w:sz w:val="20"/>
                <w:szCs w:val="20"/>
                <w:lang w:val="es-ES"/>
              </w:rPr>
              <w:t xml:space="preserve"> </w:t>
            </w:r>
            <w:r w:rsidR="00101EAB" w:rsidRPr="000E3522">
              <w:rPr>
                <w:rFonts w:ascii="Arial" w:hAnsi="Arial" w:cs="Arial"/>
                <w:sz w:val="20"/>
                <w:szCs w:val="20"/>
                <w:lang w:val="es-ES"/>
              </w:rPr>
              <w:t>Finalmente, los formuladores de políticas son los respectivos poderes ejecutivos nacional y provinciales.</w:t>
            </w:r>
            <w:r w:rsidR="0013680F" w:rsidRPr="000E3522">
              <w:rPr>
                <w:rFonts w:ascii="Arial" w:hAnsi="Arial" w:cs="Arial"/>
                <w:sz w:val="20"/>
                <w:szCs w:val="20"/>
                <w:lang w:val="es-ES"/>
              </w:rPr>
              <w:t xml:space="preserve"> Las tarifas de gas son definidas a nivel nacional para todo el país. Las tarifas eléctricas son definidas a nivel provincial. La generación y remuneración del transporte eléctrico en media y alta tensión son definidas a nivel nacional. </w:t>
            </w:r>
            <w:r w:rsidR="00101EAB" w:rsidRPr="000E3522">
              <w:rPr>
                <w:rFonts w:ascii="Arial" w:hAnsi="Arial" w:cs="Arial"/>
                <w:sz w:val="20"/>
                <w:szCs w:val="20"/>
                <w:lang w:val="es-ES"/>
              </w:rPr>
              <w:t xml:space="preserve"> </w:t>
            </w:r>
          </w:p>
        </w:tc>
      </w:tr>
      <w:tr w:rsidR="00EE54D0" w:rsidRPr="000E3522" w14:paraId="4BC07C0B" w14:textId="77777777" w:rsidTr="00EE54D0">
        <w:trPr>
          <w:jc w:val="center"/>
        </w:trPr>
        <w:tc>
          <w:tcPr>
            <w:tcW w:w="3133" w:type="dxa"/>
            <w:shd w:val="clear" w:color="auto" w:fill="auto"/>
          </w:tcPr>
          <w:p w14:paraId="045F55CB" w14:textId="77777777" w:rsidR="00FE3587" w:rsidRPr="000E3522" w:rsidRDefault="003E0D4D" w:rsidP="00C72AC8">
            <w:pPr>
              <w:spacing w:after="0" w:line="240" w:lineRule="auto"/>
              <w:rPr>
                <w:rFonts w:ascii="Arial" w:hAnsi="Arial" w:cs="Arial"/>
                <w:sz w:val="20"/>
                <w:szCs w:val="20"/>
                <w:lang w:val="es-ES"/>
              </w:rPr>
            </w:pPr>
            <w:r w:rsidRPr="000E3522">
              <w:rPr>
                <w:rFonts w:ascii="Arial" w:hAnsi="Arial" w:cs="Arial"/>
                <w:b/>
                <w:bCs/>
                <w:sz w:val="20"/>
                <w:szCs w:val="20"/>
                <w:lang w:val="es-AR"/>
              </w:rPr>
              <w:t>3.</w:t>
            </w:r>
            <w:r w:rsidR="00EB1E5B" w:rsidRPr="000E3522">
              <w:rPr>
                <w:rFonts w:ascii="Arial" w:hAnsi="Arial" w:cs="Arial"/>
                <w:b/>
                <w:bCs/>
                <w:sz w:val="20"/>
                <w:szCs w:val="20"/>
                <w:lang w:val="es-AR"/>
              </w:rPr>
              <w:t>2.d E</w:t>
            </w:r>
            <w:r w:rsidR="00FE3587" w:rsidRPr="000E3522">
              <w:rPr>
                <w:rFonts w:ascii="Arial" w:hAnsi="Arial" w:cs="Arial"/>
                <w:b/>
                <w:bCs/>
                <w:sz w:val="20"/>
                <w:szCs w:val="20"/>
                <w:lang w:val="es-ES"/>
              </w:rPr>
              <w:t xml:space="preserve">structura sectorial más apropiada </w:t>
            </w:r>
          </w:p>
        </w:tc>
        <w:tc>
          <w:tcPr>
            <w:tcW w:w="5040" w:type="dxa"/>
            <w:shd w:val="clear" w:color="auto" w:fill="auto"/>
          </w:tcPr>
          <w:p w14:paraId="586AF5A8" w14:textId="77777777" w:rsidR="00FE3587" w:rsidRPr="000E3522" w:rsidRDefault="00101EAB" w:rsidP="00EB1E5B">
            <w:pPr>
              <w:spacing w:after="0" w:line="240" w:lineRule="auto"/>
              <w:rPr>
                <w:rFonts w:ascii="Arial" w:hAnsi="Arial" w:cs="Arial"/>
                <w:sz w:val="20"/>
                <w:szCs w:val="20"/>
                <w:lang w:val="es-ES"/>
              </w:rPr>
            </w:pPr>
            <w:r w:rsidRPr="000E3522">
              <w:rPr>
                <w:rFonts w:ascii="Arial" w:hAnsi="Arial" w:cs="Arial"/>
                <w:sz w:val="20"/>
                <w:szCs w:val="20"/>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5571" w:type="dxa"/>
            <w:shd w:val="clear" w:color="auto" w:fill="auto"/>
          </w:tcPr>
          <w:p w14:paraId="1A5F0E9E" w14:textId="77777777" w:rsidR="00101EAB" w:rsidRPr="000E3522" w:rsidRDefault="00101EAB" w:rsidP="00EE54D0">
            <w:pPr>
              <w:spacing w:after="0" w:line="240" w:lineRule="auto"/>
              <w:jc w:val="both"/>
              <w:rPr>
                <w:rFonts w:ascii="Arial" w:hAnsi="Arial" w:cs="Arial"/>
                <w:sz w:val="20"/>
                <w:szCs w:val="20"/>
                <w:lang w:val="es-ES"/>
              </w:rPr>
            </w:pPr>
            <w:r w:rsidRPr="000E3522">
              <w:rPr>
                <w:rFonts w:ascii="Arial" w:hAnsi="Arial" w:cs="Arial"/>
                <w:sz w:val="20"/>
                <w:szCs w:val="20"/>
                <w:lang w:val="es-ES"/>
              </w:rPr>
              <w:t>Ídem Punto 3.2</w:t>
            </w:r>
          </w:p>
        </w:tc>
      </w:tr>
      <w:tr w:rsidR="0080752A" w:rsidRPr="000E3522" w14:paraId="7DA38808" w14:textId="77777777" w:rsidTr="00B415D3">
        <w:trPr>
          <w:trHeight w:val="629"/>
          <w:jc w:val="center"/>
        </w:trPr>
        <w:tc>
          <w:tcPr>
            <w:tcW w:w="3133" w:type="dxa"/>
            <w:shd w:val="clear" w:color="auto" w:fill="auto"/>
          </w:tcPr>
          <w:p w14:paraId="32639820" w14:textId="77777777" w:rsidR="00FE3587" w:rsidRPr="000E3522" w:rsidRDefault="003E0D4D" w:rsidP="00C72AC8">
            <w:pPr>
              <w:spacing w:after="0" w:line="240" w:lineRule="auto"/>
              <w:rPr>
                <w:rFonts w:ascii="Arial" w:hAnsi="Arial" w:cs="Arial"/>
                <w:i/>
                <w:sz w:val="20"/>
                <w:szCs w:val="20"/>
                <w:lang w:val="es-ES"/>
              </w:rPr>
            </w:pPr>
            <w:r w:rsidRPr="000E3522">
              <w:rPr>
                <w:rFonts w:ascii="Arial" w:hAnsi="Arial" w:cs="Arial"/>
                <w:b/>
                <w:bCs/>
                <w:i/>
                <w:sz w:val="20"/>
                <w:szCs w:val="20"/>
                <w:lang w:val="es-AR"/>
              </w:rPr>
              <w:t>3.</w:t>
            </w:r>
            <w:r w:rsidR="00EB1E5B" w:rsidRPr="000E3522">
              <w:rPr>
                <w:rFonts w:ascii="Arial" w:hAnsi="Arial" w:cs="Arial"/>
                <w:b/>
                <w:bCs/>
                <w:i/>
                <w:sz w:val="20"/>
                <w:szCs w:val="20"/>
                <w:lang w:val="es-AR"/>
              </w:rPr>
              <w:t xml:space="preserve">2.e </w:t>
            </w:r>
            <w:r w:rsidR="00FE3587" w:rsidRPr="000E3522">
              <w:rPr>
                <w:rFonts w:ascii="Arial" w:hAnsi="Arial" w:cs="Arial"/>
                <w:b/>
                <w:bCs/>
                <w:i/>
                <w:sz w:val="20"/>
                <w:szCs w:val="20"/>
                <w:lang w:val="es-ES"/>
              </w:rPr>
              <w:t xml:space="preserve">El rol de la regulación económica </w:t>
            </w:r>
          </w:p>
        </w:tc>
        <w:tc>
          <w:tcPr>
            <w:tcW w:w="5040" w:type="dxa"/>
            <w:shd w:val="clear" w:color="auto" w:fill="auto"/>
          </w:tcPr>
          <w:p w14:paraId="31CFCD35" w14:textId="77777777" w:rsidR="00FE3587" w:rsidRPr="000E3522" w:rsidRDefault="00101EAB" w:rsidP="00FE3587">
            <w:pPr>
              <w:spacing w:after="0" w:line="240" w:lineRule="auto"/>
              <w:rPr>
                <w:rFonts w:ascii="Arial" w:hAnsi="Arial" w:cs="Arial"/>
                <w:sz w:val="20"/>
                <w:szCs w:val="20"/>
                <w:lang w:val="es-ES"/>
              </w:rPr>
            </w:pPr>
            <w:r w:rsidRPr="000E3522">
              <w:rPr>
                <w:rFonts w:ascii="Arial" w:hAnsi="Arial" w:cs="Arial"/>
                <w:bCs/>
                <w:sz w:val="20"/>
                <w:szCs w:val="20"/>
                <w:lang w:val="es-ES_tradnl"/>
              </w:rPr>
              <w:t xml:space="preserve">La adopción de un régimen regulatorio eficaz y adaptado a las condiciones particulares de cada sector en cada país es un factor clave para el logro de los objetivos de la Política. Un régimen regulatorio debe contribuir a reducir el costo del capital de los </w:t>
            </w:r>
            <w:r w:rsidRPr="000E3522">
              <w:rPr>
                <w:rFonts w:ascii="Arial" w:hAnsi="Arial" w:cs="Arial"/>
                <w:bCs/>
                <w:sz w:val="20"/>
                <w:szCs w:val="20"/>
                <w:lang w:val="es-ES_tradnl"/>
              </w:rPr>
              <w:lastRenderedPageBreak/>
              <w:t>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5571" w:type="dxa"/>
            <w:shd w:val="clear" w:color="auto" w:fill="auto"/>
          </w:tcPr>
          <w:p w14:paraId="0C002BF8" w14:textId="77777777" w:rsidR="00FE3587" w:rsidRPr="000E3522" w:rsidRDefault="00101EAB" w:rsidP="005B0CF0">
            <w:pPr>
              <w:spacing w:after="0" w:line="240" w:lineRule="auto"/>
              <w:jc w:val="both"/>
              <w:rPr>
                <w:rFonts w:ascii="Arial" w:hAnsi="Arial" w:cs="Arial"/>
                <w:sz w:val="20"/>
                <w:szCs w:val="20"/>
                <w:lang w:val="es-ES"/>
              </w:rPr>
            </w:pPr>
            <w:r w:rsidRPr="000E3522">
              <w:rPr>
                <w:rFonts w:ascii="Arial" w:hAnsi="Arial" w:cs="Arial"/>
                <w:sz w:val="20"/>
                <w:szCs w:val="20"/>
                <w:lang w:val="es-ES"/>
              </w:rPr>
              <w:lastRenderedPageBreak/>
              <w:t>Ídem Punto 3.2</w:t>
            </w:r>
          </w:p>
        </w:tc>
      </w:tr>
      <w:tr w:rsidR="00EE54D0" w:rsidRPr="000E3522" w14:paraId="6992E13D" w14:textId="77777777" w:rsidTr="00EE54D0">
        <w:trPr>
          <w:jc w:val="center"/>
        </w:trPr>
        <w:tc>
          <w:tcPr>
            <w:tcW w:w="3133" w:type="dxa"/>
            <w:shd w:val="clear" w:color="auto" w:fill="auto"/>
          </w:tcPr>
          <w:p w14:paraId="05A68AEE" w14:textId="77777777" w:rsidR="00FE3587" w:rsidRPr="000E3522" w:rsidRDefault="003E0D4D" w:rsidP="00C72AC8">
            <w:pPr>
              <w:spacing w:after="0" w:line="240" w:lineRule="auto"/>
              <w:rPr>
                <w:rFonts w:ascii="Arial" w:hAnsi="Arial" w:cs="Arial"/>
                <w:b/>
                <w:i/>
                <w:sz w:val="20"/>
                <w:szCs w:val="20"/>
                <w:lang w:val="es-ES"/>
              </w:rPr>
            </w:pPr>
            <w:r w:rsidRPr="000E3522">
              <w:rPr>
                <w:rFonts w:ascii="Arial" w:hAnsi="Arial" w:cs="Arial"/>
                <w:b/>
                <w:i/>
                <w:sz w:val="20"/>
                <w:szCs w:val="20"/>
                <w:lang w:val="es-AR"/>
              </w:rPr>
              <w:lastRenderedPageBreak/>
              <w:t>3.</w:t>
            </w:r>
            <w:r w:rsidR="00EB1E5B" w:rsidRPr="000E3522">
              <w:rPr>
                <w:rFonts w:ascii="Arial" w:hAnsi="Arial" w:cs="Arial"/>
                <w:b/>
                <w:i/>
                <w:sz w:val="20"/>
                <w:szCs w:val="20"/>
                <w:lang w:val="es-AR"/>
              </w:rPr>
              <w:t xml:space="preserve">2.f </w:t>
            </w:r>
            <w:r w:rsidR="00FE3587" w:rsidRPr="000E3522">
              <w:rPr>
                <w:rFonts w:ascii="Arial" w:hAnsi="Arial" w:cs="Arial"/>
                <w:b/>
                <w:i/>
                <w:sz w:val="20"/>
                <w:szCs w:val="20"/>
                <w:lang w:val="es-ES"/>
              </w:rPr>
              <w:t xml:space="preserve"> </w:t>
            </w:r>
            <w:r w:rsidR="00EB1E5B" w:rsidRPr="000E3522">
              <w:rPr>
                <w:rFonts w:ascii="Arial" w:hAnsi="Arial" w:cs="Arial"/>
                <w:b/>
                <w:i/>
                <w:sz w:val="20"/>
                <w:szCs w:val="20"/>
                <w:lang w:val="es-ES"/>
              </w:rPr>
              <w:t xml:space="preserve">Promover </w:t>
            </w:r>
            <w:r w:rsidR="00FE3587" w:rsidRPr="000E3522">
              <w:rPr>
                <w:rFonts w:ascii="Arial" w:hAnsi="Arial" w:cs="Arial"/>
                <w:b/>
                <w:i/>
                <w:sz w:val="20"/>
                <w:szCs w:val="20"/>
                <w:lang w:val="es-ES"/>
              </w:rPr>
              <w:t xml:space="preserve">participación privada </w:t>
            </w:r>
          </w:p>
        </w:tc>
        <w:tc>
          <w:tcPr>
            <w:tcW w:w="5040" w:type="dxa"/>
            <w:shd w:val="clear" w:color="auto" w:fill="auto"/>
          </w:tcPr>
          <w:p w14:paraId="612C6EDA" w14:textId="77777777" w:rsidR="00FE3587" w:rsidRPr="000E3522" w:rsidRDefault="00101EAB" w:rsidP="00FE3587">
            <w:pPr>
              <w:spacing w:after="0" w:line="240" w:lineRule="auto"/>
              <w:rPr>
                <w:rFonts w:ascii="Arial" w:hAnsi="Arial" w:cs="Arial"/>
                <w:sz w:val="20"/>
                <w:szCs w:val="20"/>
                <w:lang w:val="es-ES"/>
              </w:rPr>
            </w:pPr>
            <w:r w:rsidRPr="000E3522">
              <w:rPr>
                <w:rFonts w:ascii="Arial" w:hAnsi="Arial" w:cs="Arial"/>
                <w:sz w:val="20"/>
                <w:szCs w:val="20"/>
                <w:lang w:val="es-ES_tradnl"/>
              </w:rPr>
              <w:t>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w:t>
            </w:r>
          </w:p>
        </w:tc>
        <w:tc>
          <w:tcPr>
            <w:tcW w:w="5571" w:type="dxa"/>
            <w:shd w:val="clear" w:color="auto" w:fill="auto"/>
          </w:tcPr>
          <w:p w14:paraId="00A5895A" w14:textId="77777777" w:rsidR="00101EAB" w:rsidRPr="000E3522" w:rsidRDefault="00101EAB" w:rsidP="00EE54D0">
            <w:pPr>
              <w:spacing w:after="0" w:line="240" w:lineRule="auto"/>
              <w:jc w:val="both"/>
              <w:rPr>
                <w:rFonts w:ascii="Arial" w:hAnsi="Arial" w:cs="Arial"/>
                <w:sz w:val="20"/>
                <w:szCs w:val="20"/>
                <w:lang w:val="es-ES"/>
              </w:rPr>
            </w:pPr>
            <w:r w:rsidRPr="000E3522">
              <w:rPr>
                <w:rFonts w:ascii="Arial" w:hAnsi="Arial" w:cs="Arial"/>
                <w:sz w:val="20"/>
                <w:szCs w:val="20"/>
                <w:lang w:val="es-ES"/>
              </w:rPr>
              <w:t>Ídem Punto 3.2</w:t>
            </w:r>
          </w:p>
        </w:tc>
      </w:tr>
      <w:tr w:rsidR="00EE54D0" w:rsidRPr="000E3522" w14:paraId="14BA8899" w14:textId="77777777" w:rsidTr="00EE54D0">
        <w:trPr>
          <w:jc w:val="center"/>
        </w:trPr>
        <w:tc>
          <w:tcPr>
            <w:tcW w:w="3133" w:type="dxa"/>
            <w:shd w:val="clear" w:color="auto" w:fill="auto"/>
          </w:tcPr>
          <w:p w14:paraId="42D7CD0F" w14:textId="77777777" w:rsidR="00FE3587" w:rsidRPr="000E3522" w:rsidRDefault="003E0D4D" w:rsidP="00C72AC8">
            <w:pPr>
              <w:spacing w:after="0" w:line="240" w:lineRule="auto"/>
              <w:rPr>
                <w:rFonts w:ascii="Arial" w:hAnsi="Arial" w:cs="Arial"/>
                <w:b/>
                <w:i/>
                <w:sz w:val="20"/>
                <w:szCs w:val="20"/>
                <w:lang w:val="es-ES"/>
              </w:rPr>
            </w:pPr>
            <w:r w:rsidRPr="000E3522">
              <w:rPr>
                <w:rFonts w:ascii="Arial" w:hAnsi="Arial" w:cs="Arial"/>
                <w:b/>
                <w:i/>
                <w:sz w:val="20"/>
                <w:szCs w:val="20"/>
                <w:lang w:val="es-AR"/>
              </w:rPr>
              <w:t>3.</w:t>
            </w:r>
            <w:r w:rsidR="00C72AC8" w:rsidRPr="000E3522">
              <w:rPr>
                <w:rFonts w:ascii="Arial" w:hAnsi="Arial" w:cs="Arial"/>
                <w:b/>
                <w:i/>
                <w:sz w:val="20"/>
                <w:szCs w:val="20"/>
                <w:lang w:val="es-AR"/>
              </w:rPr>
              <w:t xml:space="preserve">2.g </w:t>
            </w:r>
            <w:r w:rsidR="00FE3587" w:rsidRPr="000E3522">
              <w:rPr>
                <w:rFonts w:ascii="Arial" w:hAnsi="Arial" w:cs="Arial"/>
                <w:b/>
                <w:bCs/>
                <w:i/>
                <w:sz w:val="20"/>
                <w:szCs w:val="20"/>
                <w:lang w:val="es-ES"/>
              </w:rPr>
              <w:t>Fortalecer</w:t>
            </w:r>
            <w:r w:rsidR="00FE3587" w:rsidRPr="000E3522">
              <w:rPr>
                <w:rFonts w:ascii="Arial" w:hAnsi="Arial" w:cs="Arial"/>
                <w:b/>
                <w:i/>
                <w:sz w:val="20"/>
                <w:szCs w:val="20"/>
                <w:lang w:val="es-ES"/>
              </w:rPr>
              <w:t xml:space="preserve"> la gestión de la infraestructura </w:t>
            </w:r>
          </w:p>
        </w:tc>
        <w:tc>
          <w:tcPr>
            <w:tcW w:w="5040" w:type="dxa"/>
            <w:shd w:val="clear" w:color="auto" w:fill="auto"/>
          </w:tcPr>
          <w:p w14:paraId="6BE28CF7" w14:textId="77777777" w:rsidR="00FE3587" w:rsidRPr="000E3522" w:rsidRDefault="00101EAB" w:rsidP="00C72AC8">
            <w:pPr>
              <w:spacing w:after="0" w:line="240" w:lineRule="auto"/>
              <w:rPr>
                <w:rFonts w:ascii="Arial" w:hAnsi="Arial" w:cs="Arial"/>
                <w:sz w:val="20"/>
                <w:szCs w:val="20"/>
                <w:lang w:val="es-ES"/>
              </w:rPr>
            </w:pPr>
            <w:r w:rsidRPr="000E3522">
              <w:rPr>
                <w:rFonts w:ascii="Arial" w:hAnsi="Arial" w:cs="Arial"/>
                <w:sz w:val="20"/>
                <w:szCs w:val="20"/>
                <w:lang w:val="es-ES"/>
              </w:rPr>
              <w:t xml:space="preserve">Los ámbitos de acción más relevantes para optimizar la gestión de la infraestructura son: i) incentivar la eficiencia en la gestión de las empresas; ii) desarrollar </w:t>
            </w:r>
            <w:r w:rsidRPr="000E3522">
              <w:rPr>
                <w:rFonts w:ascii="Arial" w:hAnsi="Arial" w:cs="Arial"/>
                <w:sz w:val="20"/>
                <w:szCs w:val="20"/>
                <w:lang w:val="es-ES"/>
              </w:rPr>
              <w:lastRenderedPageBreak/>
              <w:t>e implementar políticas adecuadas y estables de mantenimiento de activos; y iii) optimizar el uso de la infraestructura a través de incentivos a la demanda.</w:t>
            </w:r>
          </w:p>
        </w:tc>
        <w:tc>
          <w:tcPr>
            <w:tcW w:w="5571" w:type="dxa"/>
            <w:shd w:val="clear" w:color="auto" w:fill="auto"/>
          </w:tcPr>
          <w:p w14:paraId="6D46DBBC" w14:textId="77777777" w:rsidR="00D23439" w:rsidRPr="000E3522" w:rsidRDefault="00D23439" w:rsidP="00B415D3">
            <w:pPr>
              <w:pStyle w:val="ListParagraph"/>
              <w:spacing w:after="0" w:line="240" w:lineRule="auto"/>
              <w:ind w:left="0"/>
              <w:jc w:val="both"/>
              <w:rPr>
                <w:rFonts w:ascii="Arial" w:hAnsi="Arial" w:cs="Arial"/>
                <w:sz w:val="20"/>
                <w:szCs w:val="20"/>
                <w:lang w:val="es-ES"/>
              </w:rPr>
            </w:pPr>
            <w:r w:rsidRPr="000E3522">
              <w:rPr>
                <w:rFonts w:ascii="Arial" w:hAnsi="Arial" w:cs="Arial"/>
                <w:sz w:val="20"/>
                <w:szCs w:val="20"/>
                <w:lang w:val="es-ES"/>
              </w:rPr>
              <w:lastRenderedPageBreak/>
              <w:t xml:space="preserve">El Programa contribuirá a mejorar la gestión de los proyectos de infraestructura a nivel provincial, incluyendo la capacidad de formulación, desarrollo y supervisión de los </w:t>
            </w:r>
            <w:r w:rsidRPr="000E3522">
              <w:rPr>
                <w:rFonts w:ascii="Arial" w:hAnsi="Arial" w:cs="Arial"/>
                <w:sz w:val="20"/>
                <w:szCs w:val="20"/>
                <w:lang w:val="es-ES"/>
              </w:rPr>
              <w:lastRenderedPageBreak/>
              <w:t xml:space="preserve">proyectos. </w:t>
            </w:r>
          </w:p>
          <w:p w14:paraId="5268ACD0" w14:textId="77777777" w:rsidR="00FE3587" w:rsidRPr="000E3522" w:rsidRDefault="00FE3587" w:rsidP="00D23439">
            <w:pPr>
              <w:pStyle w:val="ListParagraph"/>
              <w:spacing w:after="0" w:line="240" w:lineRule="auto"/>
              <w:ind w:left="0"/>
              <w:jc w:val="both"/>
              <w:rPr>
                <w:rFonts w:ascii="Arial" w:hAnsi="Arial" w:cs="Arial"/>
                <w:sz w:val="20"/>
                <w:szCs w:val="20"/>
                <w:lang w:val="es-ES"/>
              </w:rPr>
            </w:pPr>
          </w:p>
        </w:tc>
      </w:tr>
      <w:tr w:rsidR="00101EAB" w:rsidRPr="000E3522" w14:paraId="1B592837" w14:textId="77777777" w:rsidTr="00B415D3">
        <w:trPr>
          <w:jc w:val="center"/>
        </w:trPr>
        <w:tc>
          <w:tcPr>
            <w:tcW w:w="3133" w:type="dxa"/>
            <w:shd w:val="clear" w:color="auto" w:fill="auto"/>
          </w:tcPr>
          <w:p w14:paraId="531711AC" w14:textId="77777777" w:rsidR="00101EAB" w:rsidRPr="000E3522" w:rsidRDefault="00101EAB" w:rsidP="00CC2AC9">
            <w:pPr>
              <w:spacing w:after="0" w:line="240" w:lineRule="auto"/>
              <w:rPr>
                <w:rFonts w:ascii="Arial" w:hAnsi="Arial" w:cs="Arial"/>
                <w:sz w:val="20"/>
                <w:szCs w:val="20"/>
                <w:lang w:val="es-ES"/>
              </w:rPr>
            </w:pPr>
            <w:r w:rsidRPr="000E3522">
              <w:rPr>
                <w:rFonts w:ascii="Arial" w:hAnsi="Arial" w:cs="Arial"/>
                <w:b/>
                <w:sz w:val="20"/>
                <w:szCs w:val="20"/>
                <w:lang w:val="es-ES"/>
              </w:rPr>
              <w:lastRenderedPageBreak/>
              <w:t>3.3 Promover la innovación para fomentar la eficiencia, el acceso y la sostenibilidad ambiental</w:t>
            </w:r>
          </w:p>
        </w:tc>
        <w:tc>
          <w:tcPr>
            <w:tcW w:w="5040" w:type="dxa"/>
            <w:shd w:val="clear" w:color="auto" w:fill="auto"/>
          </w:tcPr>
          <w:p w14:paraId="370DE740" w14:textId="77777777" w:rsidR="00101EAB" w:rsidRPr="000E3522" w:rsidRDefault="00101EAB" w:rsidP="00CC2AC9">
            <w:pPr>
              <w:spacing w:after="0" w:line="240" w:lineRule="auto"/>
              <w:rPr>
                <w:rFonts w:ascii="Arial" w:hAnsi="Arial" w:cs="Arial"/>
                <w:sz w:val="20"/>
                <w:szCs w:val="20"/>
                <w:lang w:val="es-ES"/>
              </w:rPr>
            </w:pPr>
            <w:r w:rsidRPr="000E3522">
              <w:rPr>
                <w:rFonts w:ascii="Arial" w:hAnsi="Arial" w:cs="Arial"/>
                <w:sz w:val="20"/>
                <w:szCs w:val="20"/>
                <w:lang w:val="es-ES"/>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5571" w:type="dxa"/>
            <w:shd w:val="clear" w:color="auto" w:fill="auto"/>
          </w:tcPr>
          <w:p w14:paraId="2B6D4E14" w14:textId="77777777" w:rsidR="00101EAB" w:rsidRPr="000E3522" w:rsidRDefault="00101EAB" w:rsidP="00CC2AC9">
            <w:pPr>
              <w:pStyle w:val="ListParagraph"/>
              <w:spacing w:after="0" w:line="240" w:lineRule="auto"/>
              <w:ind w:left="-18"/>
              <w:rPr>
                <w:rFonts w:ascii="Arial" w:hAnsi="Arial" w:cs="Arial"/>
                <w:sz w:val="20"/>
                <w:szCs w:val="20"/>
                <w:lang w:val="es-ES"/>
              </w:rPr>
            </w:pPr>
            <w:r w:rsidRPr="000E3522">
              <w:rPr>
                <w:rFonts w:ascii="Arial" w:hAnsi="Arial" w:cs="Arial"/>
                <w:sz w:val="20"/>
                <w:szCs w:val="20"/>
                <w:lang w:val="es-ES"/>
              </w:rPr>
              <w:t>Ver Punto 2.5</w:t>
            </w:r>
          </w:p>
        </w:tc>
      </w:tr>
    </w:tbl>
    <w:p w14:paraId="46687C61" w14:textId="77777777" w:rsidR="00FE3587" w:rsidRPr="000E3522" w:rsidRDefault="00FE3587">
      <w:pPr>
        <w:rPr>
          <w:rFonts w:ascii="Arial" w:hAnsi="Arial" w:cs="Arial"/>
          <w:lang w:val="es-AR"/>
        </w:rPr>
      </w:pPr>
    </w:p>
    <w:sectPr w:rsidR="00FE3587" w:rsidRPr="000E3522" w:rsidSect="00B415D3">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551E" w14:textId="77777777" w:rsidR="003C26CE" w:rsidRDefault="003C26CE" w:rsidP="008F4773">
      <w:pPr>
        <w:spacing w:after="0" w:line="240" w:lineRule="auto"/>
      </w:pPr>
      <w:r>
        <w:separator/>
      </w:r>
    </w:p>
  </w:endnote>
  <w:endnote w:type="continuationSeparator" w:id="0">
    <w:p w14:paraId="6CDE2B3C" w14:textId="77777777" w:rsidR="003C26CE" w:rsidRDefault="003C26CE" w:rsidP="008F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0A82" w14:textId="77777777" w:rsidR="00101EAB" w:rsidRDefault="00101EAB">
    <w:pPr>
      <w:pStyle w:val="Footer"/>
      <w:jc w:val="right"/>
    </w:pPr>
    <w:r>
      <w:fldChar w:fldCharType="begin"/>
    </w:r>
    <w:r>
      <w:instrText xml:space="preserve"> PAGE   \* MERGEFORMAT </w:instrText>
    </w:r>
    <w:r>
      <w:fldChar w:fldCharType="separate"/>
    </w:r>
    <w:r w:rsidR="002B1984">
      <w:rPr>
        <w:noProof/>
      </w:rPr>
      <w:t>9</w:t>
    </w:r>
    <w:r>
      <w:rPr>
        <w:noProof/>
      </w:rPr>
      <w:fldChar w:fldCharType="end"/>
    </w:r>
  </w:p>
  <w:p w14:paraId="3FBEFB43" w14:textId="77777777" w:rsidR="00101EAB" w:rsidRPr="00862C11" w:rsidRDefault="00101EAB" w:rsidP="00862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40C2A" w14:textId="77777777" w:rsidR="003C26CE" w:rsidRDefault="003C26CE" w:rsidP="008F4773">
      <w:pPr>
        <w:spacing w:after="0" w:line="240" w:lineRule="auto"/>
      </w:pPr>
      <w:r>
        <w:separator/>
      </w:r>
    </w:p>
  </w:footnote>
  <w:footnote w:type="continuationSeparator" w:id="0">
    <w:p w14:paraId="686BAF3C" w14:textId="77777777" w:rsidR="003C26CE" w:rsidRDefault="003C26CE" w:rsidP="008F4773">
      <w:pPr>
        <w:spacing w:after="0" w:line="240" w:lineRule="auto"/>
      </w:pPr>
      <w:r>
        <w:continuationSeparator/>
      </w:r>
    </w:p>
  </w:footnote>
  <w:footnote w:id="1">
    <w:p w14:paraId="6DA1E249" w14:textId="77777777" w:rsidR="008F4773" w:rsidRPr="000E3522" w:rsidRDefault="008F4773" w:rsidP="000E3522">
      <w:pPr>
        <w:pStyle w:val="FootnoteText"/>
        <w:jc w:val="both"/>
        <w:rPr>
          <w:rFonts w:ascii="Arial" w:hAnsi="Arial" w:cs="Arial"/>
          <w:sz w:val="18"/>
          <w:szCs w:val="18"/>
          <w:lang w:val="es-AR"/>
        </w:rPr>
      </w:pPr>
      <w:r w:rsidRPr="000E3522">
        <w:rPr>
          <w:rStyle w:val="FootnoteReference"/>
          <w:rFonts w:ascii="Arial" w:hAnsi="Arial" w:cs="Arial"/>
          <w:sz w:val="18"/>
          <w:szCs w:val="18"/>
        </w:rPr>
        <w:footnoteRef/>
      </w:r>
      <w:r w:rsidRPr="000E3522">
        <w:rPr>
          <w:rFonts w:ascii="Arial" w:hAnsi="Arial" w:cs="Arial"/>
          <w:sz w:val="18"/>
          <w:szCs w:val="18"/>
          <w:lang w:val="es-AR"/>
        </w:rPr>
        <w:t xml:space="preserve"> Ente que regula el transporte y distribución de gas natural que constituyen un servicio público nacional, Ley No. 24.076/92.</w:t>
      </w:r>
    </w:p>
  </w:footnote>
  <w:footnote w:id="2">
    <w:p w14:paraId="7672F73D" w14:textId="77777777" w:rsidR="008F4773" w:rsidRPr="000E3522" w:rsidRDefault="008F4773" w:rsidP="000E3522">
      <w:pPr>
        <w:shd w:val="clear" w:color="auto" w:fill="FFFFFF"/>
        <w:spacing w:after="0" w:line="240" w:lineRule="auto"/>
        <w:jc w:val="both"/>
        <w:rPr>
          <w:rFonts w:ascii="Arial" w:hAnsi="Arial" w:cs="Arial"/>
          <w:sz w:val="18"/>
          <w:szCs w:val="18"/>
          <w:lang w:val="es-AR"/>
        </w:rPr>
      </w:pPr>
      <w:r w:rsidRPr="000E3522">
        <w:rPr>
          <w:rStyle w:val="FootnoteReference"/>
          <w:rFonts w:ascii="Arial" w:hAnsi="Arial" w:cs="Arial"/>
          <w:sz w:val="18"/>
          <w:szCs w:val="18"/>
        </w:rPr>
        <w:footnoteRef/>
      </w:r>
      <w:r w:rsidRPr="000E3522">
        <w:rPr>
          <w:rFonts w:ascii="Arial" w:hAnsi="Arial" w:cs="Arial"/>
          <w:sz w:val="18"/>
          <w:szCs w:val="18"/>
          <w:lang w:val="es-AR"/>
        </w:rPr>
        <w:t xml:space="preserve"> Ente que controla </w:t>
      </w:r>
      <w:r w:rsidRPr="000E3522">
        <w:rPr>
          <w:rFonts w:ascii="Arial" w:eastAsia="Times New Roman" w:hAnsi="Arial" w:cs="Arial"/>
          <w:color w:val="000000"/>
          <w:sz w:val="18"/>
          <w:szCs w:val="18"/>
          <w:lang w:val="es-AR"/>
        </w:rPr>
        <w:t xml:space="preserve">la actividad del sector eléctrico en términos de generación, transporte y distribución, </w:t>
      </w:r>
      <w:r w:rsidRPr="000E3522">
        <w:rPr>
          <w:rFonts w:ascii="Arial" w:hAnsi="Arial" w:cs="Arial"/>
          <w:sz w:val="18"/>
          <w:szCs w:val="18"/>
          <w:lang w:val="es-AR"/>
        </w:rPr>
        <w:t>Ley No. 24.065/92</w:t>
      </w:r>
    </w:p>
  </w:footnote>
  <w:footnote w:id="3">
    <w:p w14:paraId="3383CE94" w14:textId="77777777" w:rsidR="004A4517" w:rsidRPr="000E3522" w:rsidRDefault="004A4517" w:rsidP="000E3522">
      <w:pPr>
        <w:pStyle w:val="FootnoteText"/>
        <w:jc w:val="both"/>
        <w:rPr>
          <w:rFonts w:ascii="Arial" w:hAnsi="Arial" w:cs="Arial"/>
          <w:sz w:val="18"/>
          <w:szCs w:val="18"/>
          <w:lang w:val="es-AR"/>
        </w:rPr>
      </w:pPr>
      <w:r w:rsidRPr="000E3522">
        <w:rPr>
          <w:rStyle w:val="FootnoteReference"/>
          <w:rFonts w:ascii="Arial" w:hAnsi="Arial" w:cs="Arial"/>
          <w:sz w:val="18"/>
          <w:szCs w:val="18"/>
        </w:rPr>
        <w:footnoteRef/>
      </w:r>
      <w:r w:rsidRPr="000E3522">
        <w:rPr>
          <w:rFonts w:ascii="Arial" w:hAnsi="Arial" w:cs="Arial"/>
          <w:sz w:val="18"/>
          <w:szCs w:val="18"/>
        </w:rPr>
        <w:t xml:space="preserve"> </w:t>
      </w:r>
      <w:r w:rsidRPr="000E3522">
        <w:rPr>
          <w:rFonts w:ascii="Arial" w:hAnsi="Arial" w:cs="Arial"/>
          <w:sz w:val="18"/>
          <w:szCs w:val="18"/>
          <w:lang w:val="es-AR"/>
        </w:rPr>
        <w:t>Decreto No. 134/2015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112"/>
    <w:multiLevelType w:val="hybridMultilevel"/>
    <w:tmpl w:val="7D48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F37B6"/>
    <w:multiLevelType w:val="hybridMultilevel"/>
    <w:tmpl w:val="1A7C7EC6"/>
    <w:lvl w:ilvl="0" w:tplc="386CDB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C48A4"/>
    <w:multiLevelType w:val="hybridMultilevel"/>
    <w:tmpl w:val="05C4723A"/>
    <w:lvl w:ilvl="0" w:tplc="386CDB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0702B"/>
    <w:multiLevelType w:val="hybridMultilevel"/>
    <w:tmpl w:val="21A03D02"/>
    <w:lvl w:ilvl="0" w:tplc="925C5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E7"/>
    <w:rsid w:val="000446B0"/>
    <w:rsid w:val="000E3522"/>
    <w:rsid w:val="00101EAB"/>
    <w:rsid w:val="0013680F"/>
    <w:rsid w:val="00196AAC"/>
    <w:rsid w:val="001A3C86"/>
    <w:rsid w:val="001A77F0"/>
    <w:rsid w:val="001B1724"/>
    <w:rsid w:val="001E2256"/>
    <w:rsid w:val="001E5561"/>
    <w:rsid w:val="00212215"/>
    <w:rsid w:val="002166E7"/>
    <w:rsid w:val="00226AB8"/>
    <w:rsid w:val="00241680"/>
    <w:rsid w:val="00253B30"/>
    <w:rsid w:val="00256110"/>
    <w:rsid w:val="0027004E"/>
    <w:rsid w:val="0027252D"/>
    <w:rsid w:val="002B1984"/>
    <w:rsid w:val="003361E9"/>
    <w:rsid w:val="00347BDE"/>
    <w:rsid w:val="00381BE2"/>
    <w:rsid w:val="003C26CE"/>
    <w:rsid w:val="003E0D4D"/>
    <w:rsid w:val="003E23ED"/>
    <w:rsid w:val="004A4517"/>
    <w:rsid w:val="004C4802"/>
    <w:rsid w:val="005721DD"/>
    <w:rsid w:val="005B0CF0"/>
    <w:rsid w:val="005B4D62"/>
    <w:rsid w:val="005B6C34"/>
    <w:rsid w:val="005D42F8"/>
    <w:rsid w:val="005D7060"/>
    <w:rsid w:val="006444B4"/>
    <w:rsid w:val="006E65EB"/>
    <w:rsid w:val="00701A81"/>
    <w:rsid w:val="00716ACD"/>
    <w:rsid w:val="007713FC"/>
    <w:rsid w:val="007B108D"/>
    <w:rsid w:val="0080752A"/>
    <w:rsid w:val="00833DC2"/>
    <w:rsid w:val="00852A4D"/>
    <w:rsid w:val="00875A27"/>
    <w:rsid w:val="008C33A6"/>
    <w:rsid w:val="008E5282"/>
    <w:rsid w:val="008F4773"/>
    <w:rsid w:val="00932724"/>
    <w:rsid w:val="00980DCC"/>
    <w:rsid w:val="009B100C"/>
    <w:rsid w:val="009D673B"/>
    <w:rsid w:val="00AE19CA"/>
    <w:rsid w:val="00B415D3"/>
    <w:rsid w:val="00BC5A77"/>
    <w:rsid w:val="00BC6896"/>
    <w:rsid w:val="00BE63DE"/>
    <w:rsid w:val="00C24DB2"/>
    <w:rsid w:val="00C640B7"/>
    <w:rsid w:val="00C72AC8"/>
    <w:rsid w:val="00C91DDF"/>
    <w:rsid w:val="00D14DE7"/>
    <w:rsid w:val="00D20EA0"/>
    <w:rsid w:val="00D23439"/>
    <w:rsid w:val="00DA2C2A"/>
    <w:rsid w:val="00DF687F"/>
    <w:rsid w:val="00E2777E"/>
    <w:rsid w:val="00E3537A"/>
    <w:rsid w:val="00E5607D"/>
    <w:rsid w:val="00EB1E5B"/>
    <w:rsid w:val="00EE54D0"/>
    <w:rsid w:val="00FE2F1C"/>
    <w:rsid w:val="00FE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4DE7"/>
    <w:pPr>
      <w:ind w:left="720"/>
      <w:contextualSpacing/>
    </w:pPr>
  </w:style>
  <w:style w:type="character" w:styleId="CommentReference">
    <w:name w:val="annotation reference"/>
    <w:basedOn w:val="DefaultParagraphFont"/>
    <w:uiPriority w:val="99"/>
    <w:semiHidden/>
    <w:unhideWhenUsed/>
    <w:rsid w:val="00FE3587"/>
    <w:rPr>
      <w:sz w:val="16"/>
      <w:szCs w:val="16"/>
    </w:rPr>
  </w:style>
  <w:style w:type="paragraph" w:styleId="CommentText">
    <w:name w:val="annotation text"/>
    <w:basedOn w:val="Normal"/>
    <w:link w:val="CommentTextChar"/>
    <w:uiPriority w:val="99"/>
    <w:semiHidden/>
    <w:unhideWhenUsed/>
    <w:rsid w:val="00FE35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E3587"/>
    <w:rPr>
      <w:rFonts w:ascii="Times New Roman" w:eastAsia="Times New Roman" w:hAnsi="Times New Roman" w:cs="Times New Roman"/>
      <w:sz w:val="20"/>
      <w:szCs w:val="20"/>
    </w:rPr>
  </w:style>
  <w:style w:type="paragraph" w:customStyle="1" w:styleId="Default">
    <w:name w:val="Default"/>
    <w:rsid w:val="00FE3587"/>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BalloonText">
    <w:name w:val="Balloon Text"/>
    <w:basedOn w:val="Normal"/>
    <w:link w:val="BalloonTextChar"/>
    <w:uiPriority w:val="99"/>
    <w:semiHidden/>
    <w:unhideWhenUsed/>
    <w:rsid w:val="00FE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8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0DC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0D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F4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773"/>
    <w:rPr>
      <w:sz w:val="20"/>
      <w:szCs w:val="20"/>
    </w:rPr>
  </w:style>
  <w:style w:type="character" w:styleId="FootnoteReference">
    <w:name w:val="footnote reference"/>
    <w:basedOn w:val="DefaultParagraphFont"/>
    <w:uiPriority w:val="99"/>
    <w:semiHidden/>
    <w:unhideWhenUsed/>
    <w:rsid w:val="008F4773"/>
    <w:rPr>
      <w:vertAlign w:val="superscript"/>
    </w:rPr>
  </w:style>
  <w:style w:type="character" w:customStyle="1" w:styleId="apple-converted-space">
    <w:name w:val="apple-converted-space"/>
    <w:basedOn w:val="DefaultParagraphFont"/>
    <w:rsid w:val="008F4773"/>
  </w:style>
  <w:style w:type="paragraph" w:styleId="Revision">
    <w:name w:val="Revision"/>
    <w:hidden/>
    <w:uiPriority w:val="99"/>
    <w:semiHidden/>
    <w:rsid w:val="00DA2C2A"/>
    <w:pPr>
      <w:spacing w:after="0" w:line="240" w:lineRule="auto"/>
    </w:pPr>
  </w:style>
  <w:style w:type="paragraph" w:styleId="Footer">
    <w:name w:val="footer"/>
    <w:basedOn w:val="Normal"/>
    <w:link w:val="FooterChar"/>
    <w:uiPriority w:val="99"/>
    <w:unhideWhenUsed/>
    <w:rsid w:val="00101EAB"/>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01EAB"/>
    <w:rPr>
      <w:rFonts w:ascii="Calibri" w:eastAsia="Calibri" w:hAnsi="Calibri" w:cs="Times New Roman"/>
    </w:rPr>
  </w:style>
  <w:style w:type="paragraph" w:styleId="Title">
    <w:name w:val="Title"/>
    <w:basedOn w:val="Normal"/>
    <w:link w:val="TitleChar"/>
    <w:qFormat/>
    <w:rsid w:val="00101EAB"/>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01EAB"/>
    <w:rPr>
      <w:rFonts w:ascii="Times New Roman" w:eastAsia="Times New Roman" w:hAnsi="Times New Roman" w:cs="Times New Roman"/>
      <w:sz w:val="24"/>
      <w:szCs w:val="20"/>
    </w:rPr>
  </w:style>
  <w:style w:type="paragraph" w:customStyle="1" w:styleId="Newpage">
    <w:name w:val="Newpage"/>
    <w:basedOn w:val="Normal"/>
    <w:rsid w:val="00101EAB"/>
    <w:pPr>
      <w:tabs>
        <w:tab w:val="left" w:pos="1440"/>
        <w:tab w:val="left" w:pos="3060"/>
      </w:tabs>
      <w:spacing w:after="0" w:line="240" w:lineRule="auto"/>
      <w:jc w:val="center"/>
    </w:pPr>
    <w:rPr>
      <w:rFonts w:ascii="Times New Roman" w:eastAsia="Times New Roman" w:hAnsi="Times New Roman" w:cs="Arial"/>
      <w:b/>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4DE7"/>
    <w:pPr>
      <w:ind w:left="720"/>
      <w:contextualSpacing/>
    </w:pPr>
  </w:style>
  <w:style w:type="character" w:styleId="CommentReference">
    <w:name w:val="annotation reference"/>
    <w:basedOn w:val="DefaultParagraphFont"/>
    <w:uiPriority w:val="99"/>
    <w:semiHidden/>
    <w:unhideWhenUsed/>
    <w:rsid w:val="00FE3587"/>
    <w:rPr>
      <w:sz w:val="16"/>
      <w:szCs w:val="16"/>
    </w:rPr>
  </w:style>
  <w:style w:type="paragraph" w:styleId="CommentText">
    <w:name w:val="annotation text"/>
    <w:basedOn w:val="Normal"/>
    <w:link w:val="CommentTextChar"/>
    <w:uiPriority w:val="99"/>
    <w:semiHidden/>
    <w:unhideWhenUsed/>
    <w:rsid w:val="00FE35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E3587"/>
    <w:rPr>
      <w:rFonts w:ascii="Times New Roman" w:eastAsia="Times New Roman" w:hAnsi="Times New Roman" w:cs="Times New Roman"/>
      <w:sz w:val="20"/>
      <w:szCs w:val="20"/>
    </w:rPr>
  </w:style>
  <w:style w:type="paragraph" w:customStyle="1" w:styleId="Default">
    <w:name w:val="Default"/>
    <w:rsid w:val="00FE3587"/>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BalloonText">
    <w:name w:val="Balloon Text"/>
    <w:basedOn w:val="Normal"/>
    <w:link w:val="BalloonTextChar"/>
    <w:uiPriority w:val="99"/>
    <w:semiHidden/>
    <w:unhideWhenUsed/>
    <w:rsid w:val="00FE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8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0DC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0D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F4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773"/>
    <w:rPr>
      <w:sz w:val="20"/>
      <w:szCs w:val="20"/>
    </w:rPr>
  </w:style>
  <w:style w:type="character" w:styleId="FootnoteReference">
    <w:name w:val="footnote reference"/>
    <w:basedOn w:val="DefaultParagraphFont"/>
    <w:uiPriority w:val="99"/>
    <w:semiHidden/>
    <w:unhideWhenUsed/>
    <w:rsid w:val="008F4773"/>
    <w:rPr>
      <w:vertAlign w:val="superscript"/>
    </w:rPr>
  </w:style>
  <w:style w:type="character" w:customStyle="1" w:styleId="apple-converted-space">
    <w:name w:val="apple-converted-space"/>
    <w:basedOn w:val="DefaultParagraphFont"/>
    <w:rsid w:val="008F4773"/>
  </w:style>
  <w:style w:type="paragraph" w:styleId="Revision">
    <w:name w:val="Revision"/>
    <w:hidden/>
    <w:uiPriority w:val="99"/>
    <w:semiHidden/>
    <w:rsid w:val="00DA2C2A"/>
    <w:pPr>
      <w:spacing w:after="0" w:line="240" w:lineRule="auto"/>
    </w:pPr>
  </w:style>
  <w:style w:type="paragraph" w:styleId="Footer">
    <w:name w:val="footer"/>
    <w:basedOn w:val="Normal"/>
    <w:link w:val="FooterChar"/>
    <w:uiPriority w:val="99"/>
    <w:unhideWhenUsed/>
    <w:rsid w:val="00101EAB"/>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01EAB"/>
    <w:rPr>
      <w:rFonts w:ascii="Calibri" w:eastAsia="Calibri" w:hAnsi="Calibri" w:cs="Times New Roman"/>
    </w:rPr>
  </w:style>
  <w:style w:type="paragraph" w:styleId="Title">
    <w:name w:val="Title"/>
    <w:basedOn w:val="Normal"/>
    <w:link w:val="TitleChar"/>
    <w:qFormat/>
    <w:rsid w:val="00101EAB"/>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01EAB"/>
    <w:rPr>
      <w:rFonts w:ascii="Times New Roman" w:eastAsia="Times New Roman" w:hAnsi="Times New Roman" w:cs="Times New Roman"/>
      <w:sz w:val="24"/>
      <w:szCs w:val="20"/>
    </w:rPr>
  </w:style>
  <w:style w:type="paragraph" w:customStyle="1" w:styleId="Newpage">
    <w:name w:val="Newpage"/>
    <w:basedOn w:val="Normal"/>
    <w:rsid w:val="00101EAB"/>
    <w:pPr>
      <w:tabs>
        <w:tab w:val="left" w:pos="1440"/>
        <w:tab w:val="left" w:pos="3060"/>
      </w:tabs>
      <w:spacing w:after="0" w:line="240" w:lineRule="auto"/>
      <w:jc w:val="center"/>
    </w:pPr>
    <w:rPr>
      <w:rFonts w:ascii="Times New Roman" w:eastAsia="Times New Roman" w:hAnsi="Times New Roman" w:cs="Arial"/>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639">
      <w:bodyDiv w:val="1"/>
      <w:marLeft w:val="0"/>
      <w:marRight w:val="0"/>
      <w:marTop w:val="0"/>
      <w:marBottom w:val="0"/>
      <w:divBdr>
        <w:top w:val="none" w:sz="0" w:space="0" w:color="auto"/>
        <w:left w:val="none" w:sz="0" w:space="0" w:color="auto"/>
        <w:bottom w:val="none" w:sz="0" w:space="0" w:color="auto"/>
        <w:right w:val="none" w:sz="0" w:space="0" w:color="auto"/>
      </w:divBdr>
    </w:div>
    <w:div w:id="897476399">
      <w:bodyDiv w:val="1"/>
      <w:marLeft w:val="0"/>
      <w:marRight w:val="0"/>
      <w:marTop w:val="0"/>
      <w:marBottom w:val="0"/>
      <w:divBdr>
        <w:top w:val="none" w:sz="0" w:space="0" w:color="auto"/>
        <w:left w:val="none" w:sz="0" w:space="0" w:color="auto"/>
        <w:bottom w:val="none" w:sz="0" w:space="0" w:color="auto"/>
        <w:right w:val="none" w:sz="0" w:space="0" w:color="auto"/>
      </w:divBdr>
    </w:div>
    <w:div w:id="19763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00F38315096844690D364CD43601F89" ma:contentTypeVersion="0" ma:contentTypeDescription="A content type to manage public (operations) IDB documents" ma:contentTypeScope="" ma:versionID="2e52514f5d31920286a596119a061ec8">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40687227</IDBDocs_x0020_Number>
    <Document_x0020_Author xmlns="9c571b2f-e523-4ab2-ba2e-09e151a03ef4">Pineda Ayerbe, Emilio Inigo</Document_x0020_Author>
    <Publication_x0020_Type xmlns="9c571b2f-e523-4ab2-ba2e-09e151a03ef4" xsi:nil="true"/>
    <Operation_x0020_Type xmlns="9c571b2f-e523-4ab2-ba2e-09e151a03ef4" xsi:nil="true"/>
    <TaxCatchAll xmlns="9c571b2f-e523-4ab2-ba2e-09e151a03ef4">
      <Value>2</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AR-L1248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RM-FIS</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0806EA70-0597-4326-85FE-C680657E4A0B}"/>
</file>

<file path=customXml/itemProps2.xml><?xml version="1.0" encoding="utf-8"?>
<ds:datastoreItem xmlns:ds="http://schemas.openxmlformats.org/officeDocument/2006/customXml" ds:itemID="{C1AD7C57-4DAE-42FE-B853-EAF228880E08}"/>
</file>

<file path=customXml/itemProps3.xml><?xml version="1.0" encoding="utf-8"?>
<ds:datastoreItem xmlns:ds="http://schemas.openxmlformats.org/officeDocument/2006/customXml" ds:itemID="{500E6583-D6AF-4419-970C-6A322DB19E84}"/>
</file>

<file path=customXml/itemProps4.xml><?xml version="1.0" encoding="utf-8"?>
<ds:datastoreItem xmlns:ds="http://schemas.openxmlformats.org/officeDocument/2006/customXml" ds:itemID="{DA51247A-FCE4-4EE5-A9BA-BEA84EA51367}"/>
</file>

<file path=customXml/itemProps5.xml><?xml version="1.0" encoding="utf-8"?>
<ds:datastoreItem xmlns:ds="http://schemas.openxmlformats.org/officeDocument/2006/customXml" ds:itemID="{B521079A-1EFC-4C25-9CC6-B587FE033A94}"/>
</file>

<file path=customXml/itemProps6.xml><?xml version="1.0" encoding="utf-8"?>
<ds:datastoreItem xmlns:ds="http://schemas.openxmlformats.org/officeDocument/2006/customXml" ds:itemID="{CB3F8F61-5E24-4BE0-86A5-6027D1420E64}"/>
</file>

<file path=docProps/app.xml><?xml version="1.0" encoding="utf-8"?>
<Properties xmlns="http://schemas.openxmlformats.org/officeDocument/2006/extended-properties" xmlns:vt="http://schemas.openxmlformats.org/officeDocument/2006/docPropsVTypes">
  <Template>Normal.dotm</Template>
  <TotalTime>5</TotalTime>
  <Pages>9</Pages>
  <Words>2785</Words>
  <Characters>15318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del Cumplimiento de la Política de Servicios Públicos Domiciliarios (GN-2716-6) </dc:title>
  <dc:creator>gf Consulting Group</dc:creator>
  <cp:lastModifiedBy>IADB</cp:lastModifiedBy>
  <cp:revision>4</cp:revision>
  <dcterms:created xsi:type="dcterms:W3CDTF">2016-09-29T14:56:00Z</dcterms:created>
  <dcterms:modified xsi:type="dcterms:W3CDTF">2016-09-29T15:00:00Z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0x01010046CF21643EE8D14686A648AA6DAD089200D00F38315096844690D364CD43601F89</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