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B" w:rsidRDefault="003002B3" w:rsidP="002063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Technical Cooperation Abstract</w:t>
      </w:r>
    </w:p>
    <w:p w:rsidR="00B22A32" w:rsidRDefault="00B22A32" w:rsidP="00206302">
      <w:pPr>
        <w:spacing w:after="0" w:line="240" w:lineRule="auto"/>
        <w:jc w:val="center"/>
        <w:rPr>
          <w:sz w:val="24"/>
          <w:szCs w:val="24"/>
          <w:highlight w:val="red"/>
        </w:rPr>
      </w:pPr>
    </w:p>
    <w:p w:rsidR="0095711B" w:rsidRPr="00B22A32" w:rsidRDefault="0095711B" w:rsidP="0020630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sz w:val="24"/>
          <w:szCs w:val="24"/>
        </w:rPr>
      </w:pPr>
      <w:r w:rsidRPr="00B22A32">
        <w:rPr>
          <w:b/>
          <w:sz w:val="24"/>
          <w:szCs w:val="24"/>
        </w:rPr>
        <w:t>Basic project data</w:t>
      </w:r>
    </w:p>
    <w:p w:rsidR="0095711B" w:rsidRPr="003002B3" w:rsidRDefault="0095711B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3002B3">
        <w:rPr>
          <w:sz w:val="24"/>
          <w:szCs w:val="24"/>
        </w:rPr>
        <w:t>Country</w:t>
      </w:r>
      <w:r w:rsidR="00520F58" w:rsidRPr="003002B3">
        <w:rPr>
          <w:sz w:val="24"/>
          <w:szCs w:val="24"/>
        </w:rPr>
        <w:t>:</w:t>
      </w:r>
      <w:r w:rsidR="003002B3">
        <w:rPr>
          <w:sz w:val="24"/>
          <w:szCs w:val="24"/>
        </w:rPr>
        <w:tab/>
      </w:r>
      <w:r w:rsidR="00BD31CD" w:rsidRPr="003002B3">
        <w:rPr>
          <w:sz w:val="24"/>
          <w:szCs w:val="24"/>
        </w:rPr>
        <w:t>Colombia</w:t>
      </w:r>
    </w:p>
    <w:p w:rsidR="00ED70D1" w:rsidRPr="00C114D7" w:rsidRDefault="00531E51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  <w:lang w:val="es-CO"/>
        </w:rPr>
      </w:pPr>
      <w:r w:rsidRPr="003002B3">
        <w:rPr>
          <w:sz w:val="24"/>
          <w:szCs w:val="24"/>
        </w:rPr>
        <w:t xml:space="preserve">TC </w:t>
      </w:r>
      <w:r w:rsidR="003B316F">
        <w:rPr>
          <w:sz w:val="24"/>
          <w:szCs w:val="24"/>
        </w:rPr>
        <w:t xml:space="preserve">Number and </w:t>
      </w:r>
      <w:r w:rsidR="0095711B" w:rsidRPr="003002B3">
        <w:rPr>
          <w:sz w:val="24"/>
          <w:szCs w:val="24"/>
        </w:rPr>
        <w:t>Name</w:t>
      </w:r>
      <w:r w:rsidR="00CA272D" w:rsidRPr="003002B3">
        <w:rPr>
          <w:sz w:val="24"/>
          <w:szCs w:val="24"/>
        </w:rPr>
        <w:t>:</w:t>
      </w:r>
      <w:r w:rsidR="003002B3">
        <w:rPr>
          <w:sz w:val="24"/>
          <w:szCs w:val="24"/>
        </w:rPr>
        <w:tab/>
      </w:r>
      <w:r w:rsidR="003B316F">
        <w:rPr>
          <w:sz w:val="24"/>
          <w:szCs w:val="24"/>
        </w:rPr>
        <w:t>CO-T12</w:t>
      </w:r>
      <w:r w:rsidR="00451289">
        <w:rPr>
          <w:sz w:val="24"/>
          <w:szCs w:val="24"/>
        </w:rPr>
        <w:t>8</w:t>
      </w:r>
      <w:r w:rsidR="002E5B55">
        <w:rPr>
          <w:sz w:val="24"/>
          <w:szCs w:val="24"/>
        </w:rPr>
        <w:t>4</w:t>
      </w:r>
      <w:r w:rsidR="003B316F">
        <w:rPr>
          <w:sz w:val="24"/>
          <w:szCs w:val="24"/>
        </w:rPr>
        <w:t xml:space="preserve">. </w:t>
      </w:r>
      <w:r w:rsidR="00C114D7" w:rsidRPr="00C114D7">
        <w:rPr>
          <w:sz w:val="24"/>
          <w:szCs w:val="24"/>
          <w:lang w:val="es-CO"/>
        </w:rPr>
        <w:t xml:space="preserve">Sistema de </w:t>
      </w:r>
      <w:r w:rsidR="005F3313" w:rsidRPr="00C114D7">
        <w:rPr>
          <w:sz w:val="24"/>
          <w:szCs w:val="24"/>
          <w:lang w:val="es-CO"/>
        </w:rPr>
        <w:t>Información</w:t>
      </w:r>
      <w:r w:rsidR="00C114D7" w:rsidRPr="00C114D7">
        <w:rPr>
          <w:sz w:val="24"/>
          <w:szCs w:val="24"/>
          <w:lang w:val="es-CO"/>
        </w:rPr>
        <w:t xml:space="preserve"> para la </w:t>
      </w:r>
      <w:r w:rsidR="005F3313">
        <w:rPr>
          <w:sz w:val="24"/>
          <w:szCs w:val="24"/>
          <w:lang w:val="es-CO"/>
        </w:rPr>
        <w:t>Revitalización</w:t>
      </w:r>
      <w:r w:rsidR="00C114D7">
        <w:rPr>
          <w:sz w:val="24"/>
          <w:szCs w:val="24"/>
          <w:lang w:val="es-CO"/>
        </w:rPr>
        <w:t xml:space="preserve"> de centros </w:t>
      </w:r>
      <w:r w:rsidR="005F3313">
        <w:rPr>
          <w:sz w:val="24"/>
          <w:szCs w:val="24"/>
          <w:lang w:val="es-CO"/>
        </w:rPr>
        <w:t>Históricos</w:t>
      </w:r>
    </w:p>
    <w:p w:rsidR="0095711B" w:rsidRPr="00C114D7" w:rsidRDefault="0095711B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  <w:lang w:val="es-CO"/>
        </w:rPr>
      </w:pPr>
      <w:r w:rsidRPr="00C114D7">
        <w:rPr>
          <w:sz w:val="24"/>
          <w:szCs w:val="24"/>
          <w:lang w:val="es-CO"/>
        </w:rPr>
        <w:t>Team:</w:t>
      </w:r>
      <w:r w:rsidR="003002B3" w:rsidRPr="00C114D7">
        <w:rPr>
          <w:sz w:val="24"/>
          <w:szCs w:val="24"/>
          <w:lang w:val="es-CO"/>
        </w:rPr>
        <w:tab/>
      </w:r>
      <w:r w:rsidR="00451289" w:rsidRPr="00C114D7">
        <w:rPr>
          <w:sz w:val="24"/>
          <w:szCs w:val="24"/>
          <w:lang w:val="es-CO"/>
        </w:rPr>
        <w:t xml:space="preserve">Jesús Navarrete </w:t>
      </w:r>
      <w:r w:rsidR="003002B3" w:rsidRPr="00C114D7">
        <w:rPr>
          <w:sz w:val="24"/>
          <w:szCs w:val="24"/>
          <w:lang w:val="es-CO"/>
        </w:rPr>
        <w:t xml:space="preserve"> (</w:t>
      </w:r>
      <w:r w:rsidR="00451289" w:rsidRPr="00C114D7">
        <w:rPr>
          <w:sz w:val="24"/>
          <w:szCs w:val="24"/>
          <w:lang w:val="es-CO"/>
        </w:rPr>
        <w:t>FMM</w:t>
      </w:r>
      <w:r w:rsidR="003002B3" w:rsidRPr="00C114D7">
        <w:rPr>
          <w:sz w:val="24"/>
          <w:szCs w:val="24"/>
          <w:lang w:val="es-CO"/>
        </w:rPr>
        <w:t xml:space="preserve">/CCO), </w:t>
      </w:r>
      <w:r w:rsidR="00C114D7" w:rsidRPr="00C114D7">
        <w:rPr>
          <w:sz w:val="24"/>
          <w:szCs w:val="24"/>
          <w:lang w:val="es-CO"/>
        </w:rPr>
        <w:t>Jefe de Equ</w:t>
      </w:r>
      <w:r w:rsidR="00C114D7">
        <w:rPr>
          <w:sz w:val="24"/>
          <w:szCs w:val="24"/>
          <w:lang w:val="es-CO"/>
        </w:rPr>
        <w:t>ipo</w:t>
      </w:r>
      <w:r w:rsidR="003002B3" w:rsidRPr="00C114D7">
        <w:rPr>
          <w:sz w:val="24"/>
          <w:szCs w:val="24"/>
          <w:lang w:val="es-CO"/>
        </w:rPr>
        <w:t xml:space="preserve">; Rafael Anta (IFD/CTI), </w:t>
      </w:r>
      <w:r w:rsidR="00C114D7" w:rsidRPr="00C114D7">
        <w:rPr>
          <w:sz w:val="24"/>
          <w:szCs w:val="24"/>
          <w:lang w:val="es-CO"/>
        </w:rPr>
        <w:t>Co-</w:t>
      </w:r>
      <w:r w:rsidR="00C114D7">
        <w:rPr>
          <w:sz w:val="24"/>
          <w:szCs w:val="24"/>
          <w:lang w:val="es-CO"/>
        </w:rPr>
        <w:t>Jefe de Equipo</w:t>
      </w:r>
      <w:r w:rsidR="00C114D7" w:rsidRPr="00C114D7">
        <w:rPr>
          <w:sz w:val="24"/>
          <w:szCs w:val="24"/>
          <w:lang w:val="es-CO"/>
        </w:rPr>
        <w:t>,</w:t>
      </w:r>
      <w:r w:rsidR="003002B3" w:rsidRPr="00C114D7">
        <w:rPr>
          <w:sz w:val="24"/>
          <w:szCs w:val="24"/>
          <w:lang w:val="es-CO"/>
        </w:rPr>
        <w:t xml:space="preserve"> </w:t>
      </w:r>
      <w:r w:rsidR="00451289" w:rsidRPr="00C114D7">
        <w:rPr>
          <w:sz w:val="24"/>
          <w:szCs w:val="24"/>
          <w:lang w:val="es-CO"/>
        </w:rPr>
        <w:t xml:space="preserve">Diego Arcia </w:t>
      </w:r>
      <w:r w:rsidR="003002B3" w:rsidRPr="00C114D7">
        <w:rPr>
          <w:sz w:val="24"/>
          <w:szCs w:val="24"/>
          <w:lang w:val="es-CO"/>
        </w:rPr>
        <w:t xml:space="preserve"> (</w:t>
      </w:r>
      <w:r w:rsidR="00451289" w:rsidRPr="00C114D7">
        <w:rPr>
          <w:sz w:val="24"/>
          <w:szCs w:val="24"/>
          <w:lang w:val="es-CO"/>
        </w:rPr>
        <w:t>FMM</w:t>
      </w:r>
      <w:r w:rsidR="003002B3" w:rsidRPr="00C114D7">
        <w:rPr>
          <w:sz w:val="24"/>
          <w:szCs w:val="24"/>
          <w:lang w:val="es-CO"/>
        </w:rPr>
        <w:t>/CCO)</w:t>
      </w:r>
      <w:r w:rsidR="00C114D7" w:rsidRPr="00C114D7">
        <w:rPr>
          <w:sz w:val="24"/>
          <w:szCs w:val="24"/>
          <w:lang w:val="es-CO"/>
        </w:rPr>
        <w:t>; Nora Galindo (IFD/FMM)</w:t>
      </w:r>
    </w:p>
    <w:p w:rsidR="00BD31CD" w:rsidRPr="003002B3" w:rsidRDefault="005751C7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>
        <w:rPr>
          <w:sz w:val="24"/>
          <w:szCs w:val="24"/>
        </w:rPr>
        <w:t>Type:</w:t>
      </w:r>
      <w:r>
        <w:rPr>
          <w:sz w:val="24"/>
          <w:szCs w:val="24"/>
        </w:rPr>
        <w:tab/>
      </w:r>
      <w:r w:rsidR="005126DD">
        <w:t>Operational Support (OS)</w:t>
      </w:r>
    </w:p>
    <w:p w:rsidR="0095711B" w:rsidRPr="008E04DD" w:rsidRDefault="0095711B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3002B3">
        <w:rPr>
          <w:sz w:val="24"/>
          <w:szCs w:val="24"/>
        </w:rPr>
        <w:t>Request:</w:t>
      </w:r>
      <w:r w:rsidR="005751C7">
        <w:rPr>
          <w:sz w:val="24"/>
          <w:szCs w:val="24"/>
        </w:rPr>
        <w:tab/>
      </w:r>
      <w:r w:rsidR="005751C7" w:rsidRPr="00CC42C2">
        <w:rPr>
          <w:sz w:val="24"/>
          <w:szCs w:val="24"/>
        </w:rPr>
        <w:t>IDBDocs 36</w:t>
      </w:r>
      <w:r w:rsidR="00CC42C2">
        <w:rPr>
          <w:sz w:val="24"/>
          <w:szCs w:val="24"/>
        </w:rPr>
        <w:t>180423</w:t>
      </w:r>
    </w:p>
    <w:p w:rsidR="00520F58" w:rsidRPr="008E04DD" w:rsidRDefault="00520F58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8E04DD">
        <w:rPr>
          <w:sz w:val="24"/>
          <w:szCs w:val="24"/>
        </w:rPr>
        <w:t xml:space="preserve">Date of TC </w:t>
      </w:r>
      <w:r w:rsidR="001316E2" w:rsidRPr="008E04DD">
        <w:rPr>
          <w:sz w:val="24"/>
          <w:szCs w:val="24"/>
        </w:rPr>
        <w:t>Abstract</w:t>
      </w:r>
      <w:r w:rsidRPr="008E04DD">
        <w:rPr>
          <w:sz w:val="24"/>
          <w:szCs w:val="24"/>
        </w:rPr>
        <w:t>:</w:t>
      </w:r>
      <w:r w:rsidR="005751C7" w:rsidRPr="008E04DD">
        <w:rPr>
          <w:sz w:val="24"/>
          <w:szCs w:val="24"/>
        </w:rPr>
        <w:tab/>
      </w:r>
      <w:r w:rsidR="00451289">
        <w:rPr>
          <w:sz w:val="24"/>
          <w:szCs w:val="24"/>
        </w:rPr>
        <w:t>6</w:t>
      </w:r>
      <w:r w:rsidR="00E01AE2" w:rsidRPr="008E04DD">
        <w:rPr>
          <w:sz w:val="24"/>
          <w:szCs w:val="24"/>
        </w:rPr>
        <w:t xml:space="preserve"> </w:t>
      </w:r>
      <w:r w:rsidR="005F3313">
        <w:rPr>
          <w:sz w:val="24"/>
          <w:szCs w:val="24"/>
        </w:rPr>
        <w:t>Febrero,</w:t>
      </w:r>
      <w:r w:rsidR="00E01AE2" w:rsidRPr="008E04DD">
        <w:rPr>
          <w:sz w:val="24"/>
          <w:szCs w:val="24"/>
        </w:rPr>
        <w:t xml:space="preserve"> 201</w:t>
      </w:r>
      <w:r w:rsidR="00451289">
        <w:rPr>
          <w:sz w:val="24"/>
          <w:szCs w:val="24"/>
        </w:rPr>
        <w:t>2</w:t>
      </w:r>
    </w:p>
    <w:p w:rsidR="00E01AE2" w:rsidRPr="008E04DD" w:rsidRDefault="0095711B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8E04DD">
        <w:rPr>
          <w:sz w:val="24"/>
          <w:szCs w:val="24"/>
        </w:rPr>
        <w:t>Beneficiary:</w:t>
      </w:r>
      <w:r w:rsidR="005751C7" w:rsidRPr="008E04DD">
        <w:rPr>
          <w:sz w:val="24"/>
          <w:szCs w:val="24"/>
        </w:rPr>
        <w:tab/>
      </w:r>
      <w:r w:rsidR="00451289">
        <w:rPr>
          <w:sz w:val="24"/>
          <w:szCs w:val="24"/>
        </w:rPr>
        <w:t>Ministerio de Cultura</w:t>
      </w:r>
    </w:p>
    <w:p w:rsidR="00E01AE2" w:rsidRPr="008E04DD" w:rsidRDefault="0095711B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8E04DD">
        <w:rPr>
          <w:sz w:val="24"/>
          <w:szCs w:val="24"/>
        </w:rPr>
        <w:t>Executing Agency</w:t>
      </w:r>
      <w:r w:rsidR="005751C7" w:rsidRPr="008E04DD">
        <w:rPr>
          <w:sz w:val="24"/>
          <w:szCs w:val="24"/>
        </w:rPr>
        <w:t>:</w:t>
      </w:r>
      <w:r w:rsidR="005751C7" w:rsidRPr="008E04DD">
        <w:rPr>
          <w:sz w:val="24"/>
          <w:szCs w:val="24"/>
        </w:rPr>
        <w:tab/>
      </w:r>
      <w:r w:rsidR="00451289">
        <w:rPr>
          <w:sz w:val="24"/>
          <w:szCs w:val="24"/>
        </w:rPr>
        <w:t>BID</w:t>
      </w:r>
    </w:p>
    <w:p w:rsidR="0095711B" w:rsidRPr="008E04DD" w:rsidRDefault="00193FBF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>
        <w:rPr>
          <w:sz w:val="24"/>
          <w:szCs w:val="24"/>
        </w:rPr>
        <w:t>IDB f</w:t>
      </w:r>
      <w:r w:rsidR="00C050AA" w:rsidRPr="008E04DD">
        <w:rPr>
          <w:sz w:val="24"/>
          <w:szCs w:val="24"/>
        </w:rPr>
        <w:t>unding r</w:t>
      </w:r>
      <w:r w:rsidR="00AF2F55" w:rsidRPr="008E04DD">
        <w:rPr>
          <w:sz w:val="24"/>
          <w:szCs w:val="24"/>
        </w:rPr>
        <w:t>equested</w:t>
      </w:r>
      <w:r w:rsidR="0095711B" w:rsidRPr="008E04DD">
        <w:rPr>
          <w:sz w:val="24"/>
          <w:szCs w:val="24"/>
        </w:rPr>
        <w:t>:</w:t>
      </w:r>
      <w:r w:rsidR="00C050AA" w:rsidRPr="008E04DD">
        <w:rPr>
          <w:sz w:val="24"/>
          <w:szCs w:val="24"/>
        </w:rPr>
        <w:tab/>
        <w:t>US$2</w:t>
      </w:r>
      <w:r w:rsidR="00451289">
        <w:rPr>
          <w:sz w:val="24"/>
          <w:szCs w:val="24"/>
        </w:rPr>
        <w:t>0</w:t>
      </w:r>
      <w:r w:rsidR="00C050AA" w:rsidRPr="008E04DD">
        <w:rPr>
          <w:sz w:val="24"/>
          <w:szCs w:val="24"/>
        </w:rPr>
        <w:t>0,000</w:t>
      </w:r>
    </w:p>
    <w:p w:rsidR="00C050AA" w:rsidRPr="00C726D7" w:rsidRDefault="00EF41CE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C726D7">
        <w:rPr>
          <w:sz w:val="24"/>
          <w:szCs w:val="24"/>
        </w:rPr>
        <w:t>Local counterpart</w:t>
      </w:r>
      <w:r w:rsidR="00AF2F55" w:rsidRPr="00C726D7">
        <w:rPr>
          <w:sz w:val="24"/>
          <w:szCs w:val="24"/>
        </w:rPr>
        <w:t xml:space="preserve"> funding</w:t>
      </w:r>
      <w:r w:rsidR="00C050AA" w:rsidRPr="00C726D7">
        <w:rPr>
          <w:sz w:val="24"/>
          <w:szCs w:val="24"/>
        </w:rPr>
        <w:t>:</w:t>
      </w:r>
      <w:r w:rsidR="00C050AA" w:rsidRPr="00C726D7">
        <w:rPr>
          <w:sz w:val="24"/>
          <w:szCs w:val="24"/>
        </w:rPr>
        <w:tab/>
        <w:t>US$</w:t>
      </w:r>
      <w:r w:rsidR="00C60680" w:rsidRPr="00C726D7">
        <w:rPr>
          <w:sz w:val="24"/>
          <w:szCs w:val="24"/>
        </w:rPr>
        <w:t>5</w:t>
      </w:r>
      <w:r w:rsidR="00C050AA" w:rsidRPr="00C726D7">
        <w:rPr>
          <w:sz w:val="24"/>
          <w:szCs w:val="24"/>
        </w:rPr>
        <w:t>0,000</w:t>
      </w:r>
      <w:r w:rsidR="003024D9" w:rsidRPr="00C726D7">
        <w:rPr>
          <w:sz w:val="24"/>
          <w:szCs w:val="24"/>
        </w:rPr>
        <w:t xml:space="preserve"> </w:t>
      </w:r>
    </w:p>
    <w:p w:rsidR="00520F58" w:rsidRPr="00C050AA" w:rsidRDefault="00520F58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C050AA">
        <w:rPr>
          <w:sz w:val="24"/>
          <w:szCs w:val="24"/>
        </w:rPr>
        <w:t>Disbursement period:</w:t>
      </w:r>
      <w:r w:rsidR="00C050AA">
        <w:rPr>
          <w:sz w:val="24"/>
          <w:szCs w:val="24"/>
        </w:rPr>
        <w:tab/>
      </w:r>
      <w:r w:rsidR="00E01AE2" w:rsidRPr="00C050AA">
        <w:rPr>
          <w:sz w:val="24"/>
          <w:szCs w:val="24"/>
        </w:rPr>
        <w:t>1</w:t>
      </w:r>
      <w:r w:rsidR="00C050AA">
        <w:rPr>
          <w:sz w:val="24"/>
          <w:szCs w:val="24"/>
        </w:rPr>
        <w:t>8</w:t>
      </w:r>
      <w:r w:rsidR="00E01AE2" w:rsidRPr="00C050AA">
        <w:rPr>
          <w:sz w:val="24"/>
          <w:szCs w:val="24"/>
        </w:rPr>
        <w:t xml:space="preserve"> months</w:t>
      </w:r>
    </w:p>
    <w:p w:rsidR="00520F58" w:rsidRPr="003002B3" w:rsidRDefault="00520F58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3002B3">
        <w:rPr>
          <w:sz w:val="24"/>
          <w:szCs w:val="24"/>
        </w:rPr>
        <w:t>Required start date:</w:t>
      </w:r>
      <w:r w:rsidR="00C050AA">
        <w:rPr>
          <w:sz w:val="24"/>
          <w:szCs w:val="24"/>
        </w:rPr>
        <w:tab/>
      </w:r>
      <w:r w:rsidR="005F3313">
        <w:rPr>
          <w:sz w:val="24"/>
          <w:szCs w:val="24"/>
        </w:rPr>
        <w:t xml:space="preserve">1 </w:t>
      </w:r>
      <w:r w:rsidR="00451289">
        <w:rPr>
          <w:sz w:val="24"/>
          <w:szCs w:val="24"/>
        </w:rPr>
        <w:t>Junio</w:t>
      </w:r>
      <w:r w:rsidR="005F3313">
        <w:rPr>
          <w:sz w:val="24"/>
          <w:szCs w:val="24"/>
        </w:rPr>
        <w:t>,</w:t>
      </w:r>
      <w:r w:rsidR="00451289">
        <w:rPr>
          <w:sz w:val="24"/>
          <w:szCs w:val="24"/>
        </w:rPr>
        <w:t xml:space="preserve"> </w:t>
      </w:r>
      <w:r w:rsidR="00E01AE2" w:rsidRPr="003002B3">
        <w:rPr>
          <w:sz w:val="24"/>
          <w:szCs w:val="24"/>
        </w:rPr>
        <w:t>2012</w:t>
      </w:r>
    </w:p>
    <w:p w:rsidR="00520F58" w:rsidRPr="00FC0502" w:rsidRDefault="00520F58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3002B3">
        <w:rPr>
          <w:sz w:val="24"/>
          <w:szCs w:val="24"/>
        </w:rPr>
        <w:t>Types of consultants</w:t>
      </w:r>
      <w:r w:rsidR="00C050AA">
        <w:rPr>
          <w:sz w:val="24"/>
          <w:szCs w:val="24"/>
        </w:rPr>
        <w:t>:</w:t>
      </w:r>
      <w:r w:rsidR="00C050AA">
        <w:rPr>
          <w:sz w:val="24"/>
          <w:szCs w:val="24"/>
        </w:rPr>
        <w:tab/>
      </w:r>
      <w:r w:rsidR="00B852CB">
        <w:rPr>
          <w:sz w:val="24"/>
          <w:szCs w:val="24"/>
        </w:rPr>
        <w:t xml:space="preserve">Consultores individuales </w:t>
      </w:r>
      <w:r w:rsidR="00B852CB" w:rsidRPr="00FC0502">
        <w:rPr>
          <w:sz w:val="24"/>
          <w:szCs w:val="24"/>
        </w:rPr>
        <w:t xml:space="preserve">y </w:t>
      </w:r>
      <w:r w:rsidR="00C114D7" w:rsidRPr="00FC0502">
        <w:rPr>
          <w:sz w:val="24"/>
          <w:szCs w:val="24"/>
        </w:rPr>
        <w:t>Firmas locales</w:t>
      </w:r>
    </w:p>
    <w:p w:rsidR="00451289" w:rsidRPr="00C114D7" w:rsidRDefault="00340BC1" w:rsidP="00451289">
      <w:pPr>
        <w:spacing w:after="0" w:line="240" w:lineRule="auto"/>
        <w:ind w:right="231"/>
        <w:rPr>
          <w:rFonts w:ascii="Times New Roman" w:eastAsia="Times New Roman" w:hAnsi="Times New Roman" w:cs="Times New Roman"/>
          <w:sz w:val="24"/>
          <w:szCs w:val="24"/>
        </w:rPr>
      </w:pPr>
      <w:r w:rsidRPr="00FC0502">
        <w:rPr>
          <w:sz w:val="24"/>
          <w:szCs w:val="24"/>
        </w:rPr>
        <w:t>Prepared by Unit:</w:t>
      </w:r>
      <w:r w:rsidR="005126DD" w:rsidRPr="00FC0502">
        <w:rPr>
          <w:rFonts w:ascii="Times New Roman" w:eastAsia="Times New Roman" w:hAnsi="Times New Roman" w:cs="Times New Roman"/>
          <w:sz w:val="24"/>
          <w:szCs w:val="24"/>
        </w:rPr>
        <w:tab/>
      </w:r>
      <w:r w:rsidR="005126DD" w:rsidRPr="00FC0502">
        <w:rPr>
          <w:rFonts w:ascii="Times New Roman" w:eastAsia="Times New Roman" w:hAnsi="Times New Roman" w:cs="Times New Roman"/>
          <w:sz w:val="24"/>
          <w:szCs w:val="24"/>
        </w:rPr>
        <w:tab/>
      </w:r>
      <w:r w:rsidR="00C114D7" w:rsidRPr="00FC0502">
        <w:rPr>
          <w:rFonts w:ascii="Times New Roman" w:eastAsia="Times New Roman" w:hAnsi="Times New Roman" w:cs="Times New Roman"/>
          <w:sz w:val="24"/>
          <w:szCs w:val="24"/>
        </w:rPr>
        <w:t>FMM y CTI</w:t>
      </w:r>
      <w:r w:rsidR="00451289" w:rsidRPr="00C11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BC1" w:rsidRPr="003002B3" w:rsidRDefault="00340BC1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3002B3">
        <w:rPr>
          <w:sz w:val="24"/>
          <w:szCs w:val="24"/>
        </w:rPr>
        <w:t xml:space="preserve">Unit of Disbursement </w:t>
      </w:r>
      <w:r w:rsidR="0095711B" w:rsidRPr="003002B3">
        <w:rPr>
          <w:sz w:val="24"/>
          <w:szCs w:val="24"/>
        </w:rPr>
        <w:t>Responsibility</w:t>
      </w:r>
      <w:r w:rsidR="00B13125" w:rsidRPr="003002B3">
        <w:rPr>
          <w:sz w:val="24"/>
          <w:szCs w:val="24"/>
        </w:rPr>
        <w:t>:</w:t>
      </w:r>
      <w:r w:rsidR="00C050AA">
        <w:rPr>
          <w:sz w:val="24"/>
          <w:szCs w:val="24"/>
        </w:rPr>
        <w:t xml:space="preserve"> </w:t>
      </w:r>
      <w:r w:rsidR="00451289">
        <w:rPr>
          <w:sz w:val="24"/>
          <w:szCs w:val="24"/>
        </w:rPr>
        <w:t>CCO</w:t>
      </w:r>
    </w:p>
    <w:p w:rsidR="00DA23EF" w:rsidRDefault="00340BC1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3002B3">
        <w:rPr>
          <w:sz w:val="24"/>
          <w:szCs w:val="24"/>
        </w:rPr>
        <w:t>Included in Country Strategy</w:t>
      </w:r>
      <w:r w:rsidR="00DA23EF">
        <w:rPr>
          <w:sz w:val="24"/>
          <w:szCs w:val="24"/>
        </w:rPr>
        <w:t>:</w:t>
      </w:r>
      <w:r w:rsidR="00DA23EF">
        <w:rPr>
          <w:sz w:val="24"/>
          <w:szCs w:val="24"/>
        </w:rPr>
        <w:tab/>
        <w:t>Yes</w:t>
      </w:r>
    </w:p>
    <w:p w:rsidR="00340BC1" w:rsidRPr="003002B3" w:rsidRDefault="00DA23EF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>
        <w:rPr>
          <w:sz w:val="24"/>
          <w:szCs w:val="24"/>
        </w:rPr>
        <w:t>TC included in CPD</w:t>
      </w:r>
      <w:r w:rsidR="00340BC1" w:rsidRPr="003002B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01AE2" w:rsidRPr="003002B3">
        <w:rPr>
          <w:sz w:val="24"/>
          <w:szCs w:val="24"/>
        </w:rPr>
        <w:t>Yes</w:t>
      </w:r>
      <w:r w:rsidR="00F345B3">
        <w:rPr>
          <w:sz w:val="24"/>
          <w:szCs w:val="24"/>
        </w:rPr>
        <w:t xml:space="preserve">   </w:t>
      </w:r>
    </w:p>
    <w:p w:rsidR="0095711B" w:rsidRPr="003002B3" w:rsidRDefault="00C43E24" w:rsidP="00206302">
      <w:pPr>
        <w:tabs>
          <w:tab w:val="left" w:pos="2700"/>
        </w:tabs>
        <w:spacing w:after="0" w:line="240" w:lineRule="auto"/>
        <w:ind w:left="2700" w:hanging="2700"/>
        <w:rPr>
          <w:sz w:val="24"/>
          <w:szCs w:val="24"/>
        </w:rPr>
      </w:pPr>
      <w:r w:rsidRPr="003002B3">
        <w:rPr>
          <w:sz w:val="24"/>
          <w:szCs w:val="24"/>
        </w:rPr>
        <w:t xml:space="preserve">GCI-9 </w:t>
      </w:r>
      <w:r w:rsidR="00340BC1" w:rsidRPr="003002B3">
        <w:rPr>
          <w:sz w:val="24"/>
          <w:szCs w:val="24"/>
        </w:rPr>
        <w:t>Sector Priority:</w:t>
      </w:r>
      <w:r w:rsidR="00DA23EF">
        <w:rPr>
          <w:sz w:val="24"/>
          <w:szCs w:val="24"/>
        </w:rPr>
        <w:tab/>
      </w:r>
      <w:r w:rsidR="00C726D7" w:rsidRPr="00C726D7">
        <w:rPr>
          <w:sz w:val="24"/>
          <w:szCs w:val="24"/>
        </w:rPr>
        <w:t>Institutions for growth and social welfare</w:t>
      </w:r>
    </w:p>
    <w:p w:rsidR="00B22A32" w:rsidRPr="009678A8" w:rsidRDefault="00B22A32" w:rsidP="00206302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</w:p>
    <w:p w:rsidR="0095711B" w:rsidRPr="009678A8" w:rsidRDefault="00C43E24" w:rsidP="00BB34F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b/>
          <w:sz w:val="24"/>
          <w:szCs w:val="24"/>
        </w:rPr>
      </w:pPr>
      <w:r w:rsidRPr="009678A8">
        <w:rPr>
          <w:b/>
          <w:sz w:val="24"/>
          <w:szCs w:val="24"/>
        </w:rPr>
        <w:t>Justification</w:t>
      </w:r>
      <w:r w:rsidR="00AB0BAD">
        <w:rPr>
          <w:b/>
          <w:sz w:val="24"/>
          <w:szCs w:val="24"/>
        </w:rPr>
        <w:t xml:space="preserve"> and </w:t>
      </w:r>
      <w:r w:rsidR="00AB0BAD" w:rsidRPr="009678A8">
        <w:rPr>
          <w:b/>
          <w:sz w:val="24"/>
          <w:szCs w:val="24"/>
        </w:rPr>
        <w:t>Objective</w:t>
      </w:r>
    </w:p>
    <w:p w:rsidR="00F6591B" w:rsidRPr="00451289" w:rsidRDefault="00F6591B" w:rsidP="00BB34F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E5137E" w:rsidRDefault="00E5137E" w:rsidP="00BB34FE">
      <w:pPr>
        <w:pStyle w:val="Paragraph"/>
        <w:numPr>
          <w:ilvl w:val="0"/>
          <w:numId w:val="0"/>
        </w:numPr>
        <w:spacing w:before="0" w:after="0"/>
        <w:rPr>
          <w:lang w:val="es-ES_tradnl"/>
        </w:rPr>
      </w:pPr>
      <w:r w:rsidRPr="008264DA">
        <w:rPr>
          <w:szCs w:val="24"/>
          <w:lang w:val="es-ES_tradnl"/>
        </w:rPr>
        <w:t xml:space="preserve">Colombia tiene </w:t>
      </w:r>
      <w:r w:rsidRPr="00F53523">
        <w:rPr>
          <w:szCs w:val="24"/>
          <w:lang w:val="es-ES_tradnl"/>
        </w:rPr>
        <w:t>44</w:t>
      </w:r>
      <w:r w:rsidRPr="008264DA">
        <w:rPr>
          <w:szCs w:val="24"/>
          <w:lang w:val="es-ES_tradnl"/>
        </w:rPr>
        <w:t xml:space="preserve"> centros </w:t>
      </w:r>
      <w:r>
        <w:rPr>
          <w:szCs w:val="24"/>
          <w:lang w:val="es-ES_tradnl"/>
        </w:rPr>
        <w:t xml:space="preserve">urbanos declarados de valor histórico por el </w:t>
      </w:r>
      <w:r w:rsidRPr="008264DA">
        <w:rPr>
          <w:szCs w:val="24"/>
          <w:lang w:val="es-ES_tradnl"/>
        </w:rPr>
        <w:t>Ministerio de Cultura</w:t>
      </w:r>
      <w:r>
        <w:rPr>
          <w:szCs w:val="24"/>
          <w:lang w:val="es-ES_tradnl"/>
        </w:rPr>
        <w:t xml:space="preserve"> (MC)</w:t>
      </w:r>
      <w:r w:rsidRPr="008264DA">
        <w:rPr>
          <w:szCs w:val="24"/>
          <w:lang w:val="es-ES_tradnl"/>
        </w:rPr>
        <w:t xml:space="preserve">, entidad </w:t>
      </w:r>
      <w:r>
        <w:rPr>
          <w:szCs w:val="24"/>
          <w:lang w:val="es-ES_tradnl"/>
        </w:rPr>
        <w:t>responsable de la conservación de los bienes culturales del país.  Dichos centros se caracterizan por tener edificios y bienes de importante valor patrimonial e histórico, lo que les confiere dinámicas económicas, sociales y culturales especiales, con alto potencial para el desarrollo turístico y socio-económico de las ciudades donde se encuentran. No obstante esta situación, un diagnóstico nacional reciente</w:t>
      </w:r>
      <w:r>
        <w:rPr>
          <w:rStyle w:val="FootnoteReference"/>
          <w:szCs w:val="24"/>
          <w:lang w:val="es-ES_tradnl"/>
        </w:rPr>
        <w:footnoteReference w:id="1"/>
      </w:r>
      <w:r>
        <w:rPr>
          <w:szCs w:val="24"/>
          <w:lang w:val="es-ES_tradnl"/>
        </w:rPr>
        <w:t xml:space="preserve"> ha identificado un importante </w:t>
      </w:r>
      <w:r w:rsidRPr="008264DA">
        <w:rPr>
          <w:szCs w:val="24"/>
          <w:lang w:val="es-ES_tradnl"/>
        </w:rPr>
        <w:t xml:space="preserve">deterioro </w:t>
      </w:r>
      <w:r>
        <w:rPr>
          <w:szCs w:val="24"/>
          <w:lang w:val="es-ES_tradnl"/>
        </w:rPr>
        <w:t xml:space="preserve">en casi la totalidad de dichos centros, colocando en riesgo no solo sus estructuras históricas sino la sostenibilidad socio-económica de su entorno.  </w:t>
      </w:r>
    </w:p>
    <w:p w:rsidR="007F5075" w:rsidRDefault="00E5137E" w:rsidP="00E5137E">
      <w:pPr>
        <w:pStyle w:val="Paragraph"/>
        <w:numPr>
          <w:ilvl w:val="0"/>
          <w:numId w:val="0"/>
        </w:numPr>
        <w:rPr>
          <w:szCs w:val="24"/>
          <w:lang w:val="es-ES_tradnl"/>
        </w:rPr>
      </w:pPr>
      <w:r w:rsidRPr="00F61ACE">
        <w:rPr>
          <w:szCs w:val="24"/>
          <w:lang w:val="es-ES_tradnl"/>
        </w:rPr>
        <w:t xml:space="preserve">En los últimos años, el MC ha logrado importantes avances sobre todo en lo referente al desarrollo de instrumentos de política para responder al deterioro de los centros.  En 2007 fue </w:t>
      </w:r>
      <w:r w:rsidRPr="00F61ACE">
        <w:rPr>
          <w:lang w:val="es-ES_tradnl"/>
        </w:rPr>
        <w:t>formulado el Plan Nacional de Recuperación de Centros Históricos (PNRCH)</w:t>
      </w:r>
      <w:r w:rsidR="00642079">
        <w:rPr>
          <w:rStyle w:val="FootnoteReference"/>
          <w:lang w:val="es-ES_tradnl"/>
        </w:rPr>
        <w:footnoteReference w:id="2"/>
      </w:r>
      <w:r w:rsidR="00C77D98">
        <w:rPr>
          <w:lang w:val="es-ES_tradnl"/>
        </w:rPr>
        <w:t xml:space="preserve"> y </w:t>
      </w:r>
      <w:r w:rsidRPr="00F61ACE">
        <w:rPr>
          <w:lang w:val="es-ES_tradnl"/>
        </w:rPr>
        <w:t xml:space="preserve">se </w:t>
      </w:r>
      <w:r>
        <w:rPr>
          <w:lang w:val="es-ES_tradnl"/>
        </w:rPr>
        <w:t>diseñó</w:t>
      </w:r>
      <w:r w:rsidRPr="00F61ACE">
        <w:rPr>
          <w:lang w:val="es-ES_tradnl"/>
        </w:rPr>
        <w:t xml:space="preserve"> el Plan Especial</w:t>
      </w:r>
      <w:r w:rsidRPr="00F61ACE">
        <w:rPr>
          <w:szCs w:val="24"/>
          <w:lang w:val="es-ES_tradnl"/>
        </w:rPr>
        <w:t xml:space="preserve"> de Manejo y Protección (PEMP)</w:t>
      </w:r>
      <w:r w:rsidR="00056AEA">
        <w:rPr>
          <w:rStyle w:val="FootnoteReference"/>
          <w:lang w:val="es-ES_tradnl"/>
        </w:rPr>
        <w:footnoteReference w:id="3"/>
      </w:r>
      <w:r w:rsidR="00C77D98">
        <w:rPr>
          <w:szCs w:val="24"/>
          <w:lang w:val="es-ES_tradnl"/>
        </w:rPr>
        <w:t xml:space="preserve">. También se implementaron proyectos urbanos específicos en algunas ciudades (Barranquilla y Santa Marta).  </w:t>
      </w:r>
    </w:p>
    <w:p w:rsidR="005A6A59" w:rsidRDefault="00E5137E" w:rsidP="00E5137E">
      <w:pPr>
        <w:pStyle w:val="Paragraph"/>
        <w:numPr>
          <w:ilvl w:val="0"/>
          <w:numId w:val="0"/>
        </w:numPr>
        <w:rPr>
          <w:szCs w:val="24"/>
          <w:lang w:val="es-ES_tradnl"/>
        </w:rPr>
      </w:pPr>
      <w:r w:rsidRPr="006A501E">
        <w:rPr>
          <w:szCs w:val="24"/>
          <w:lang w:val="es-ES_tradnl"/>
        </w:rPr>
        <w:t>Sin embargo</w:t>
      </w:r>
      <w:r w:rsidR="00C77D98">
        <w:rPr>
          <w:szCs w:val="24"/>
          <w:lang w:val="es-ES_tradnl"/>
        </w:rPr>
        <w:t>,</w:t>
      </w:r>
      <w:r w:rsidRPr="006A501E">
        <w:rPr>
          <w:szCs w:val="24"/>
          <w:lang w:val="es-ES_tradnl"/>
        </w:rPr>
        <w:t xml:space="preserve"> la respuesta del </w:t>
      </w:r>
      <w:r>
        <w:rPr>
          <w:szCs w:val="24"/>
          <w:lang w:val="es-ES_tradnl"/>
        </w:rPr>
        <w:t xml:space="preserve">MC </w:t>
      </w:r>
      <w:r w:rsidRPr="006A501E">
        <w:rPr>
          <w:szCs w:val="24"/>
          <w:lang w:val="es-ES_tradnl"/>
        </w:rPr>
        <w:t xml:space="preserve">a </w:t>
      </w:r>
      <w:r w:rsidR="00C77D98">
        <w:rPr>
          <w:szCs w:val="24"/>
          <w:lang w:val="es-ES_tradnl"/>
        </w:rPr>
        <w:t>otras</w:t>
      </w:r>
      <w:r w:rsidR="00037D6C">
        <w:rPr>
          <w:szCs w:val="24"/>
          <w:lang w:val="es-ES_tradnl"/>
        </w:rPr>
        <w:t xml:space="preserve"> </w:t>
      </w:r>
      <w:r w:rsidR="00C77D98">
        <w:rPr>
          <w:szCs w:val="24"/>
          <w:lang w:val="es-ES_tradnl"/>
        </w:rPr>
        <w:t>ciudades</w:t>
      </w:r>
      <w:r w:rsidR="00F8216B">
        <w:rPr>
          <w:szCs w:val="24"/>
          <w:lang w:val="es-ES_tradnl"/>
        </w:rPr>
        <w:t xml:space="preserve"> </w:t>
      </w:r>
      <w:r w:rsidR="00C77D98">
        <w:rPr>
          <w:szCs w:val="24"/>
          <w:lang w:val="es-ES_tradnl"/>
        </w:rPr>
        <w:t>ha sido lenta y esporádica</w:t>
      </w:r>
      <w:r w:rsidRPr="006A501E">
        <w:rPr>
          <w:szCs w:val="24"/>
          <w:lang w:val="es-ES_tradnl"/>
        </w:rPr>
        <w:t xml:space="preserve">, debido principalmente a la falta de </w:t>
      </w:r>
      <w:r>
        <w:rPr>
          <w:szCs w:val="24"/>
          <w:lang w:val="es-ES_tradnl"/>
        </w:rPr>
        <w:t xml:space="preserve">recursos y de </w:t>
      </w:r>
      <w:r w:rsidRPr="006A501E">
        <w:rPr>
          <w:szCs w:val="24"/>
          <w:lang w:val="es-ES_tradnl"/>
        </w:rPr>
        <w:t xml:space="preserve">capacidad para </w:t>
      </w:r>
      <w:r>
        <w:rPr>
          <w:szCs w:val="24"/>
          <w:lang w:val="es-ES_tradnl"/>
        </w:rPr>
        <w:t xml:space="preserve">gestionar </w:t>
      </w:r>
      <w:r w:rsidRPr="006A501E">
        <w:rPr>
          <w:szCs w:val="24"/>
          <w:lang w:val="es-ES_tradnl"/>
        </w:rPr>
        <w:t xml:space="preserve">los procesos de recuperación </w:t>
      </w:r>
      <w:r>
        <w:rPr>
          <w:szCs w:val="24"/>
          <w:lang w:val="es-ES_tradnl"/>
        </w:rPr>
        <w:t>simultáneamente en varias ciudades</w:t>
      </w:r>
      <w:r w:rsidRPr="006A501E">
        <w:rPr>
          <w:szCs w:val="24"/>
          <w:lang w:val="es-ES_tradnl"/>
        </w:rPr>
        <w:t>.</w:t>
      </w:r>
      <w:r>
        <w:rPr>
          <w:szCs w:val="24"/>
          <w:lang w:val="es-ES_tradnl"/>
        </w:rPr>
        <w:t xml:space="preserve">  </w:t>
      </w:r>
    </w:p>
    <w:p w:rsidR="0006540F" w:rsidRDefault="006B5FAC" w:rsidP="00B13283">
      <w:pPr>
        <w:pStyle w:val="Paragraph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t>Dada</w:t>
      </w:r>
      <w:r w:rsidRPr="00DF0CB6">
        <w:rPr>
          <w:lang w:val="es-ES_tradnl"/>
        </w:rPr>
        <w:t xml:space="preserve"> la alta prioridad </w:t>
      </w:r>
      <w:r>
        <w:rPr>
          <w:lang w:val="es-ES_tradnl"/>
        </w:rPr>
        <w:t xml:space="preserve">conferida a la revitalización </w:t>
      </w:r>
      <w:r w:rsidRPr="00DF0CB6">
        <w:rPr>
          <w:lang w:val="es-ES_tradnl"/>
        </w:rPr>
        <w:t>de los centros históricos</w:t>
      </w:r>
      <w:r>
        <w:rPr>
          <w:lang w:val="es-ES_tradnl"/>
        </w:rPr>
        <w:t xml:space="preserve"> –</w:t>
      </w:r>
      <w:r w:rsidRPr="00C041AC">
        <w:rPr>
          <w:lang w:val="es-ES_tradnl"/>
        </w:rPr>
        <w:t xml:space="preserve"> en función de la importancia de la preservación de los bienes patrimoniales e históricos y los impactos económicos que estos procesos generan </w:t>
      </w:r>
      <w:r>
        <w:rPr>
          <w:lang w:val="es-ES_tradnl"/>
        </w:rPr>
        <w:t>–</w:t>
      </w:r>
      <w:r w:rsidRPr="00C041AC">
        <w:rPr>
          <w:lang w:val="es-ES_tradnl"/>
        </w:rPr>
        <w:t xml:space="preserve"> el gobierno </w:t>
      </w:r>
      <w:r w:rsidR="0020091E">
        <w:rPr>
          <w:lang w:val="es-ES_tradnl"/>
        </w:rPr>
        <w:t xml:space="preserve">nacional,  </w:t>
      </w:r>
      <w:r>
        <w:rPr>
          <w:lang w:val="es-ES_tradnl"/>
        </w:rPr>
        <w:t>a través del MC,</w:t>
      </w:r>
      <w:r w:rsidRPr="00C041AC">
        <w:rPr>
          <w:lang w:val="es-ES_tradnl"/>
        </w:rPr>
        <w:t xml:space="preserve"> ha solicitado el apoyo </w:t>
      </w:r>
      <w:r>
        <w:rPr>
          <w:lang w:val="es-ES_tradnl"/>
        </w:rPr>
        <w:t>del Banco</w:t>
      </w:r>
      <w:r w:rsidRPr="00875D89">
        <w:rPr>
          <w:lang w:val="es-ES_tradnl"/>
        </w:rPr>
        <w:t xml:space="preserve">. </w:t>
      </w:r>
      <w:r w:rsidRPr="00875D89">
        <w:rPr>
          <w:szCs w:val="24"/>
          <w:lang w:val="es-ES_tradnl"/>
        </w:rPr>
        <w:t>La materialización de este apoyo es la</w:t>
      </w:r>
      <w:r w:rsidR="007E2B18" w:rsidRPr="00875D89">
        <w:rPr>
          <w:szCs w:val="24"/>
          <w:lang w:val="es-ES_tradnl"/>
        </w:rPr>
        <w:t xml:space="preserve"> operación de crédito</w:t>
      </w:r>
      <w:r w:rsidR="005C1670" w:rsidRPr="00875D89">
        <w:rPr>
          <w:szCs w:val="24"/>
          <w:lang w:val="es-ES_tradnl"/>
        </w:rPr>
        <w:t xml:space="preserve"> </w:t>
      </w:r>
      <w:r w:rsidRPr="00875D89">
        <w:rPr>
          <w:szCs w:val="24"/>
          <w:lang w:val="es-ES_tradnl"/>
        </w:rPr>
        <w:t>CO-L1108</w:t>
      </w:r>
      <w:r w:rsidR="005C1670" w:rsidRPr="00875D89">
        <w:rPr>
          <w:szCs w:val="24"/>
          <w:lang w:val="es-ES_tradnl"/>
        </w:rPr>
        <w:t xml:space="preserve"> “</w:t>
      </w:r>
      <w:r w:rsidR="00C114D7" w:rsidRPr="00875D89">
        <w:rPr>
          <w:szCs w:val="24"/>
          <w:lang w:val="es-ES_tradnl"/>
        </w:rPr>
        <w:t>Programa Multifase para la Revitalización de</w:t>
      </w:r>
      <w:r w:rsidR="005C1670" w:rsidRPr="00875D89">
        <w:rPr>
          <w:szCs w:val="24"/>
          <w:lang w:val="es-ES_tradnl"/>
        </w:rPr>
        <w:t xml:space="preserve"> Centros Históricos</w:t>
      </w:r>
      <w:r w:rsidRPr="00875D89">
        <w:rPr>
          <w:szCs w:val="24"/>
          <w:lang w:val="es-ES_tradnl"/>
        </w:rPr>
        <w:t>”, actualmente en trámite.</w:t>
      </w:r>
      <w:r w:rsidR="00875D89" w:rsidRPr="00875D89">
        <w:rPr>
          <w:szCs w:val="24"/>
          <w:lang w:val="es-ES_tradnl"/>
        </w:rPr>
        <w:t xml:space="preserve"> </w:t>
      </w:r>
      <w:r w:rsidR="005A6A59" w:rsidRPr="00875D89">
        <w:rPr>
          <w:lang w:val="es-ES_tradnl"/>
        </w:rPr>
        <w:t xml:space="preserve"> </w:t>
      </w:r>
      <w:r w:rsidR="00C114D7" w:rsidRPr="00875D89">
        <w:rPr>
          <w:lang w:val="es-ES_tradnl"/>
        </w:rPr>
        <w:t>La</w:t>
      </w:r>
      <w:r w:rsidR="005A6A59" w:rsidRPr="00875D89">
        <w:rPr>
          <w:lang w:val="es-ES_tradnl"/>
        </w:rPr>
        <w:t xml:space="preserve"> primera fase del programa financiará acciones para el fortalecimiento de la estructura de gestión del PNRCH a cargo del MC y las instancias municipales involucradas, y la implementación de proyectos estratégicos, con carácter piloto, que desencadenen procesos de recuperación urbana.</w:t>
      </w:r>
      <w:r w:rsidR="00924CA8">
        <w:rPr>
          <w:lang w:val="es-ES_tradnl"/>
        </w:rPr>
        <w:t xml:space="preserve"> </w:t>
      </w:r>
    </w:p>
    <w:p w:rsidR="00FA740C" w:rsidRPr="000E10D3" w:rsidRDefault="007774B2" w:rsidP="00B13283">
      <w:pPr>
        <w:pStyle w:val="Paragraph"/>
        <w:numPr>
          <w:ilvl w:val="0"/>
          <w:numId w:val="0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Si bien</w:t>
      </w:r>
      <w:r w:rsidR="0006540F" w:rsidRPr="000E10D3">
        <w:rPr>
          <w:color w:val="000000" w:themeColor="text1"/>
          <w:lang w:val="es-ES_tradnl"/>
        </w:rPr>
        <w:t xml:space="preserve"> el MC ha desarrollado </w:t>
      </w:r>
      <w:r w:rsidR="007F5075">
        <w:rPr>
          <w:color w:val="000000" w:themeColor="text1"/>
          <w:lang w:val="es-ES_tradnl"/>
        </w:rPr>
        <w:t xml:space="preserve">sistemas </w:t>
      </w:r>
      <w:r w:rsidR="00B852CB">
        <w:rPr>
          <w:color w:val="000000" w:themeColor="text1"/>
          <w:lang w:val="es-ES_tradnl"/>
        </w:rPr>
        <w:t>de información</w:t>
      </w:r>
      <w:r w:rsidR="0006540F" w:rsidRPr="000E10D3">
        <w:rPr>
          <w:color w:val="000000" w:themeColor="text1"/>
          <w:lang w:val="es-ES_tradnl"/>
        </w:rPr>
        <w:t xml:space="preserve"> para atender las diversas necesidades operat</w:t>
      </w:r>
      <w:r w:rsidR="00DC6E23" w:rsidRPr="000E10D3">
        <w:rPr>
          <w:color w:val="000000" w:themeColor="text1"/>
          <w:lang w:val="es-ES_tradnl"/>
        </w:rPr>
        <w:t xml:space="preserve">ivas de </w:t>
      </w:r>
      <w:r w:rsidR="007F5075">
        <w:rPr>
          <w:color w:val="000000" w:themeColor="text1"/>
          <w:lang w:val="es-ES_tradnl"/>
        </w:rPr>
        <w:t>sus</w:t>
      </w:r>
      <w:r w:rsidR="00DC6E23" w:rsidRPr="000E10D3">
        <w:rPr>
          <w:color w:val="000000" w:themeColor="text1"/>
          <w:lang w:val="es-ES_tradnl"/>
        </w:rPr>
        <w:t xml:space="preserve"> </w:t>
      </w:r>
      <w:r w:rsidR="007F5075">
        <w:rPr>
          <w:color w:val="000000" w:themeColor="text1"/>
          <w:lang w:val="es-ES_tradnl"/>
        </w:rPr>
        <w:t>dependencias</w:t>
      </w:r>
      <w:r w:rsidR="000B62BB">
        <w:rPr>
          <w:color w:val="000000" w:themeColor="text1"/>
          <w:lang w:val="es-ES_tradnl"/>
        </w:rPr>
        <w:t>, tales como el SIG y el SIPA</w:t>
      </w:r>
      <w:r w:rsidR="007F5075">
        <w:rPr>
          <w:rStyle w:val="FootnoteReference"/>
          <w:color w:val="000000" w:themeColor="text1"/>
          <w:lang w:val="es-ES_tradnl"/>
        </w:rPr>
        <w:footnoteReference w:id="4"/>
      </w:r>
      <w:r w:rsidR="007F5075">
        <w:rPr>
          <w:color w:val="000000" w:themeColor="text1"/>
          <w:lang w:val="es-ES_tradnl"/>
        </w:rPr>
        <w:t>, e</w:t>
      </w:r>
      <w:r w:rsidR="000B62BB">
        <w:rPr>
          <w:color w:val="000000" w:themeColor="text1"/>
          <w:lang w:val="es-ES_tradnl"/>
        </w:rPr>
        <w:t>l</w:t>
      </w:r>
      <w:r w:rsidR="0054075F" w:rsidRPr="000E10D3">
        <w:rPr>
          <w:color w:val="000000" w:themeColor="text1"/>
          <w:lang w:val="es-ES_tradnl"/>
        </w:rPr>
        <w:t xml:space="preserve"> MC </w:t>
      </w:r>
      <w:r w:rsidR="00112EB0" w:rsidRPr="000E10D3">
        <w:rPr>
          <w:color w:val="000000" w:themeColor="text1"/>
          <w:lang w:val="es-ES_tradnl"/>
        </w:rPr>
        <w:t xml:space="preserve">aún </w:t>
      </w:r>
      <w:r w:rsidR="00FA740C" w:rsidRPr="000E10D3">
        <w:rPr>
          <w:color w:val="000000" w:themeColor="text1"/>
          <w:lang w:val="es-ES_tradnl"/>
        </w:rPr>
        <w:t>no</w:t>
      </w:r>
      <w:r w:rsidR="001417DC" w:rsidRPr="000E10D3">
        <w:rPr>
          <w:color w:val="000000" w:themeColor="text1"/>
          <w:lang w:val="es-ES_tradnl"/>
        </w:rPr>
        <w:t xml:space="preserve"> </w:t>
      </w:r>
      <w:r w:rsidR="00AD571A" w:rsidRPr="000E10D3">
        <w:rPr>
          <w:color w:val="000000" w:themeColor="text1"/>
          <w:lang w:val="es-ES_tradnl"/>
        </w:rPr>
        <w:t>dispone</w:t>
      </w:r>
      <w:r w:rsidR="00FA740C" w:rsidRPr="000E10D3">
        <w:rPr>
          <w:color w:val="000000" w:themeColor="text1"/>
          <w:lang w:val="es-ES_tradnl"/>
        </w:rPr>
        <w:t xml:space="preserve"> </w:t>
      </w:r>
      <w:r w:rsidR="00AD571A" w:rsidRPr="000E10D3">
        <w:rPr>
          <w:color w:val="000000" w:themeColor="text1"/>
          <w:lang w:val="es-ES_tradnl"/>
        </w:rPr>
        <w:t>de</w:t>
      </w:r>
      <w:r w:rsidR="00FA740C" w:rsidRPr="000E10D3">
        <w:rPr>
          <w:color w:val="000000" w:themeColor="text1"/>
          <w:lang w:val="es-ES_tradnl"/>
        </w:rPr>
        <w:t xml:space="preserve"> un </w:t>
      </w:r>
      <w:r w:rsidR="00B852CB">
        <w:rPr>
          <w:color w:val="000000" w:themeColor="text1"/>
          <w:lang w:val="es-ES_tradnl"/>
        </w:rPr>
        <w:t>sistema</w:t>
      </w:r>
      <w:r w:rsidR="00B852CB" w:rsidRPr="000E10D3">
        <w:rPr>
          <w:color w:val="000000" w:themeColor="text1"/>
          <w:lang w:val="es-ES_tradnl"/>
        </w:rPr>
        <w:t xml:space="preserve"> </w:t>
      </w:r>
      <w:r w:rsidR="00FA740C" w:rsidRPr="000E10D3">
        <w:rPr>
          <w:color w:val="000000" w:themeColor="text1"/>
          <w:lang w:val="es-ES_tradnl"/>
        </w:rPr>
        <w:t>que</w:t>
      </w:r>
      <w:r w:rsidR="0054075F" w:rsidRPr="000E10D3">
        <w:rPr>
          <w:color w:val="000000" w:themeColor="text1"/>
          <w:lang w:val="es-ES_tradnl"/>
        </w:rPr>
        <w:t xml:space="preserve"> le permita realizar la gestión</w:t>
      </w:r>
      <w:r w:rsidR="00C80AFC" w:rsidRPr="000E10D3">
        <w:rPr>
          <w:color w:val="000000" w:themeColor="text1"/>
          <w:lang w:val="es-ES_tradnl"/>
        </w:rPr>
        <w:t xml:space="preserve"> técnica, </w:t>
      </w:r>
      <w:r w:rsidR="00FA740C" w:rsidRPr="000E10D3">
        <w:rPr>
          <w:color w:val="000000" w:themeColor="text1"/>
          <w:lang w:val="es-ES_tradnl"/>
        </w:rPr>
        <w:t>administra</w:t>
      </w:r>
      <w:r w:rsidR="00C80AFC" w:rsidRPr="000E10D3">
        <w:rPr>
          <w:color w:val="000000" w:themeColor="text1"/>
          <w:lang w:val="es-ES_tradnl"/>
        </w:rPr>
        <w:t xml:space="preserve">tiva </w:t>
      </w:r>
      <w:r w:rsidR="0054075F" w:rsidRPr="000E10D3">
        <w:rPr>
          <w:color w:val="000000" w:themeColor="text1"/>
          <w:lang w:val="es-ES_tradnl"/>
        </w:rPr>
        <w:t>y</w:t>
      </w:r>
      <w:r w:rsidR="00C80AFC" w:rsidRPr="000E10D3">
        <w:rPr>
          <w:color w:val="000000" w:themeColor="text1"/>
          <w:lang w:val="es-ES_tradnl"/>
        </w:rPr>
        <w:t xml:space="preserve"> financiera </w:t>
      </w:r>
      <w:r w:rsidR="0054075F" w:rsidRPr="000E10D3">
        <w:rPr>
          <w:color w:val="000000" w:themeColor="text1"/>
          <w:lang w:val="es-ES_tradnl"/>
        </w:rPr>
        <w:t xml:space="preserve">de </w:t>
      </w:r>
      <w:r w:rsidR="00FA740C" w:rsidRPr="000E10D3">
        <w:rPr>
          <w:color w:val="000000" w:themeColor="text1"/>
          <w:lang w:val="es-ES_tradnl"/>
        </w:rPr>
        <w:t>los proyectos</w:t>
      </w:r>
      <w:r w:rsidR="00AD571A" w:rsidRPr="000E10D3">
        <w:rPr>
          <w:color w:val="000000" w:themeColor="text1"/>
          <w:lang w:val="es-ES_tradnl"/>
        </w:rPr>
        <w:t xml:space="preserve"> </w:t>
      </w:r>
      <w:r w:rsidR="00255ACA" w:rsidRPr="000E10D3">
        <w:rPr>
          <w:color w:val="000000" w:themeColor="text1"/>
          <w:lang w:val="es-ES_tradnl"/>
        </w:rPr>
        <w:t xml:space="preserve">que ejecuta </w:t>
      </w:r>
      <w:r w:rsidR="007F5075">
        <w:rPr>
          <w:color w:val="000000" w:themeColor="text1"/>
          <w:lang w:val="es-ES_tradnl"/>
        </w:rPr>
        <w:t xml:space="preserve">en el marco del </w:t>
      </w:r>
      <w:r w:rsidR="006B5FAC" w:rsidRPr="000E10D3">
        <w:rPr>
          <w:color w:val="000000" w:themeColor="text1"/>
          <w:lang w:val="es-ES_tradnl"/>
        </w:rPr>
        <w:t>PNRCH</w:t>
      </w:r>
      <w:r w:rsidR="00603E79" w:rsidRPr="000E10D3">
        <w:rPr>
          <w:color w:val="000000" w:themeColor="text1"/>
          <w:lang w:val="es-ES_tradnl"/>
        </w:rPr>
        <w:t>.</w:t>
      </w:r>
    </w:p>
    <w:p w:rsidR="007D7A70" w:rsidRPr="000E10D3" w:rsidRDefault="007D7A70" w:rsidP="007D7A70">
      <w:pPr>
        <w:pStyle w:val="Paragraph"/>
        <w:numPr>
          <w:ilvl w:val="0"/>
          <w:numId w:val="0"/>
        </w:numPr>
        <w:rPr>
          <w:color w:val="000000" w:themeColor="text1"/>
          <w:lang w:val="es-ES_tradnl"/>
        </w:rPr>
      </w:pPr>
      <w:r w:rsidRPr="000E10D3">
        <w:rPr>
          <w:color w:val="000000" w:themeColor="text1"/>
          <w:lang w:val="es-ES_tradnl"/>
        </w:rPr>
        <w:t xml:space="preserve">El objetivo de esta cooperación técnica </w:t>
      </w:r>
      <w:r w:rsidR="007F5075">
        <w:rPr>
          <w:color w:val="000000" w:themeColor="text1"/>
          <w:lang w:val="es-ES_tradnl"/>
        </w:rPr>
        <w:t>es</w:t>
      </w:r>
      <w:r w:rsidRPr="000E10D3">
        <w:rPr>
          <w:color w:val="000000" w:themeColor="text1"/>
          <w:lang w:val="es-ES_tradnl"/>
        </w:rPr>
        <w:t xml:space="preserve"> apoyar al MC en el diseño e implementación de </w:t>
      </w:r>
      <w:r w:rsidR="009F0841" w:rsidRPr="000E10D3">
        <w:rPr>
          <w:color w:val="000000" w:themeColor="text1"/>
          <w:lang w:val="es-ES_tradnl"/>
        </w:rPr>
        <w:t xml:space="preserve">un </w:t>
      </w:r>
      <w:r w:rsidR="00DB49B8">
        <w:rPr>
          <w:color w:val="000000" w:themeColor="text1"/>
          <w:lang w:val="es-ES_tradnl"/>
        </w:rPr>
        <w:t xml:space="preserve">sistema informático para la gestión de proyectos </w:t>
      </w:r>
      <w:r w:rsidR="009F0841" w:rsidRPr="000E10D3">
        <w:rPr>
          <w:color w:val="000000" w:themeColor="text1"/>
          <w:lang w:val="es-ES_tradnl"/>
        </w:rPr>
        <w:t xml:space="preserve">que permita realizar el seguimiento </w:t>
      </w:r>
      <w:r w:rsidR="009B4A41" w:rsidRPr="000E10D3">
        <w:rPr>
          <w:color w:val="000000" w:themeColor="text1"/>
          <w:lang w:val="es-ES_tradnl"/>
        </w:rPr>
        <w:t xml:space="preserve">integral a los diferentes proyectos </w:t>
      </w:r>
      <w:r w:rsidR="00FD0690" w:rsidRPr="000E10D3">
        <w:rPr>
          <w:color w:val="000000" w:themeColor="text1"/>
          <w:lang w:val="es-ES_tradnl"/>
        </w:rPr>
        <w:t xml:space="preserve">que adelanta el </w:t>
      </w:r>
      <w:r w:rsidR="00112EB0" w:rsidRPr="000E10D3">
        <w:rPr>
          <w:color w:val="000000" w:themeColor="text1"/>
          <w:lang w:val="es-ES_tradnl"/>
        </w:rPr>
        <w:t>Ministerio</w:t>
      </w:r>
      <w:r w:rsidR="00FD0690" w:rsidRPr="000E10D3">
        <w:rPr>
          <w:color w:val="000000" w:themeColor="text1"/>
          <w:lang w:val="es-ES_tradnl"/>
        </w:rPr>
        <w:t xml:space="preserve">, especialmente </w:t>
      </w:r>
      <w:r w:rsidR="007774B2">
        <w:rPr>
          <w:color w:val="000000" w:themeColor="text1"/>
          <w:lang w:val="es-ES_tradnl"/>
        </w:rPr>
        <w:t xml:space="preserve">los </w:t>
      </w:r>
      <w:r w:rsidR="006B5FAC" w:rsidRPr="000E10D3">
        <w:rPr>
          <w:color w:val="000000" w:themeColor="text1"/>
          <w:lang w:val="es-ES_tradnl"/>
        </w:rPr>
        <w:t>del PNRCH</w:t>
      </w:r>
      <w:r w:rsidR="009F0841" w:rsidRPr="000E10D3">
        <w:rPr>
          <w:color w:val="000000" w:themeColor="text1"/>
          <w:lang w:val="es-ES_tradnl"/>
        </w:rPr>
        <w:t>.</w:t>
      </w:r>
      <w:r w:rsidRPr="000E10D3">
        <w:rPr>
          <w:color w:val="000000" w:themeColor="text1"/>
          <w:lang w:val="es-ES_tradnl"/>
        </w:rPr>
        <w:t xml:space="preserve"> El </w:t>
      </w:r>
      <w:r w:rsidR="00B852CB">
        <w:rPr>
          <w:color w:val="000000" w:themeColor="text1"/>
          <w:lang w:val="es-ES_tradnl"/>
        </w:rPr>
        <w:t>sistema</w:t>
      </w:r>
      <w:r w:rsidR="00DB49B8">
        <w:rPr>
          <w:color w:val="000000" w:themeColor="text1"/>
          <w:lang w:val="es-ES_tradnl"/>
        </w:rPr>
        <w:t xml:space="preserve"> </w:t>
      </w:r>
      <w:r w:rsidRPr="000E10D3">
        <w:rPr>
          <w:color w:val="000000" w:themeColor="text1"/>
          <w:lang w:val="es-ES_tradnl"/>
        </w:rPr>
        <w:t xml:space="preserve">deberá </w:t>
      </w:r>
      <w:r w:rsidR="007774B2">
        <w:rPr>
          <w:color w:val="000000" w:themeColor="text1"/>
          <w:lang w:val="es-ES_tradnl"/>
        </w:rPr>
        <w:t>estar integrado con</w:t>
      </w:r>
      <w:r w:rsidR="0006540F" w:rsidRPr="000E10D3">
        <w:rPr>
          <w:color w:val="000000" w:themeColor="text1"/>
          <w:lang w:val="es-ES_tradnl"/>
        </w:rPr>
        <w:t xml:space="preserve"> el </w:t>
      </w:r>
      <w:r w:rsidR="00C80AFC" w:rsidRPr="000E10D3">
        <w:rPr>
          <w:color w:val="000000" w:themeColor="text1"/>
          <w:lang w:val="es-ES_tradnl"/>
        </w:rPr>
        <w:t>SIG</w:t>
      </w:r>
      <w:r w:rsidR="000B62BB">
        <w:rPr>
          <w:color w:val="000000" w:themeColor="text1"/>
          <w:lang w:val="es-ES_tradnl"/>
        </w:rPr>
        <w:t xml:space="preserve"> y el SIPA</w:t>
      </w:r>
      <w:r w:rsidR="007774B2">
        <w:rPr>
          <w:color w:val="000000" w:themeColor="text1"/>
          <w:lang w:val="es-ES_tradnl"/>
        </w:rPr>
        <w:t xml:space="preserve">, para el intercambio </w:t>
      </w:r>
      <w:r w:rsidR="003024D9">
        <w:rPr>
          <w:color w:val="000000" w:themeColor="text1"/>
          <w:lang w:val="es-ES_tradnl"/>
        </w:rPr>
        <w:t xml:space="preserve">electrónico </w:t>
      </w:r>
      <w:r w:rsidR="007774B2">
        <w:rPr>
          <w:color w:val="000000" w:themeColor="text1"/>
          <w:lang w:val="es-ES_tradnl"/>
        </w:rPr>
        <w:t>de datos</w:t>
      </w:r>
      <w:r w:rsidR="00FD0690" w:rsidRPr="000E10D3">
        <w:rPr>
          <w:color w:val="000000" w:themeColor="text1"/>
          <w:lang w:val="es-ES_tradnl"/>
        </w:rPr>
        <w:t>.</w:t>
      </w:r>
      <w:r w:rsidR="000B62BB">
        <w:rPr>
          <w:color w:val="000000" w:themeColor="text1"/>
          <w:lang w:val="es-ES_tradnl"/>
        </w:rPr>
        <w:t xml:space="preserve"> Dicho </w:t>
      </w:r>
      <w:r w:rsidR="003024D9">
        <w:rPr>
          <w:color w:val="000000" w:themeColor="text1"/>
          <w:lang w:val="es-ES_tradnl"/>
        </w:rPr>
        <w:t>sistema</w:t>
      </w:r>
      <w:r w:rsidR="003024D9" w:rsidRPr="000E10D3">
        <w:rPr>
          <w:color w:val="000000" w:themeColor="text1"/>
          <w:lang w:val="es-ES_tradnl"/>
        </w:rPr>
        <w:t xml:space="preserve"> </w:t>
      </w:r>
      <w:r w:rsidR="006F119B" w:rsidRPr="000E10D3">
        <w:rPr>
          <w:color w:val="000000" w:themeColor="text1"/>
          <w:lang w:val="es-ES_tradnl"/>
        </w:rPr>
        <w:t>deberá estar diseñado e i</w:t>
      </w:r>
      <w:r w:rsidR="000B62BB">
        <w:rPr>
          <w:color w:val="000000" w:themeColor="text1"/>
          <w:lang w:val="es-ES_tradnl"/>
        </w:rPr>
        <w:t>mplementado previo a la ejecución de</w:t>
      </w:r>
      <w:r w:rsidR="00C80AFC" w:rsidRPr="000E10D3">
        <w:rPr>
          <w:color w:val="000000" w:themeColor="text1"/>
          <w:lang w:val="es-ES_tradnl"/>
        </w:rPr>
        <w:t xml:space="preserve"> la </w:t>
      </w:r>
      <w:r w:rsidRPr="000E10D3">
        <w:rPr>
          <w:color w:val="000000" w:themeColor="text1"/>
          <w:lang w:val="es-ES_tradnl"/>
        </w:rPr>
        <w:t>operación</w:t>
      </w:r>
      <w:r w:rsidR="00C80AFC" w:rsidRPr="000E10D3">
        <w:rPr>
          <w:color w:val="000000" w:themeColor="text1"/>
          <w:lang w:val="es-ES_tradnl"/>
        </w:rPr>
        <w:t xml:space="preserve"> CO-L1108</w:t>
      </w:r>
      <w:r w:rsidRPr="000E10D3">
        <w:rPr>
          <w:color w:val="000000" w:themeColor="text1"/>
          <w:lang w:val="es-ES_tradnl"/>
        </w:rPr>
        <w:t xml:space="preserve">, de tal forma que permita </w:t>
      </w:r>
      <w:r w:rsidR="00150ADA" w:rsidRPr="000E10D3">
        <w:rPr>
          <w:color w:val="000000" w:themeColor="text1"/>
          <w:lang w:val="es-ES_tradnl"/>
        </w:rPr>
        <w:t>ejecutar de</w:t>
      </w:r>
      <w:r w:rsidR="008E4D3F" w:rsidRPr="000E10D3">
        <w:rPr>
          <w:color w:val="000000" w:themeColor="text1"/>
          <w:lang w:val="es-ES_tradnl"/>
        </w:rPr>
        <w:t xml:space="preserve"> </w:t>
      </w:r>
      <w:r w:rsidR="00150ADA" w:rsidRPr="000E10D3">
        <w:rPr>
          <w:color w:val="000000" w:themeColor="text1"/>
          <w:lang w:val="es-ES_tradnl"/>
        </w:rPr>
        <w:t>forma efectiva</w:t>
      </w:r>
      <w:r w:rsidR="008E4D3F" w:rsidRPr="000E10D3">
        <w:rPr>
          <w:color w:val="000000" w:themeColor="text1"/>
          <w:lang w:val="es-ES_tradnl"/>
        </w:rPr>
        <w:t xml:space="preserve"> </w:t>
      </w:r>
      <w:r w:rsidRPr="000E10D3">
        <w:rPr>
          <w:color w:val="000000" w:themeColor="text1"/>
          <w:lang w:val="es-ES_tradnl"/>
        </w:rPr>
        <w:t>las acciones relacionadas con la</w:t>
      </w:r>
      <w:r w:rsidR="000B62BB">
        <w:rPr>
          <w:color w:val="000000" w:themeColor="text1"/>
          <w:lang w:val="es-ES_tradnl"/>
        </w:rPr>
        <w:t xml:space="preserve"> implementación de</w:t>
      </w:r>
      <w:r w:rsidRPr="000E10D3">
        <w:rPr>
          <w:color w:val="000000" w:themeColor="text1"/>
          <w:lang w:val="es-ES_tradnl"/>
        </w:rPr>
        <w:t xml:space="preserve"> los  proyectos estratégicos. </w:t>
      </w:r>
    </w:p>
    <w:p w:rsidR="00E01AE2" w:rsidRPr="000E10D3" w:rsidRDefault="00E01AE2" w:rsidP="002063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0E10D3">
        <w:rPr>
          <w:color w:val="000000" w:themeColor="text1"/>
          <w:sz w:val="24"/>
          <w:szCs w:val="24"/>
          <w:lang w:val="es-ES_tradnl"/>
        </w:rPr>
        <w:t xml:space="preserve">   </w:t>
      </w:r>
    </w:p>
    <w:p w:rsidR="0095711B" w:rsidRPr="00642079" w:rsidRDefault="00D95606" w:rsidP="0020630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2079">
        <w:rPr>
          <w:rFonts w:ascii="Times New Roman" w:hAnsi="Times New Roman" w:cs="Times New Roman"/>
          <w:b/>
          <w:sz w:val="24"/>
          <w:szCs w:val="24"/>
        </w:rPr>
        <w:t>D</w:t>
      </w:r>
      <w:r w:rsidR="001601D6" w:rsidRPr="00642079">
        <w:rPr>
          <w:rFonts w:ascii="Times New Roman" w:hAnsi="Times New Roman" w:cs="Times New Roman"/>
          <w:b/>
          <w:sz w:val="24"/>
          <w:szCs w:val="24"/>
        </w:rPr>
        <w:t>escription of components</w:t>
      </w:r>
    </w:p>
    <w:p w:rsidR="00B22A32" w:rsidRPr="00642079" w:rsidRDefault="00B22A32" w:rsidP="0020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1289" w:rsidRPr="00B852CB" w:rsidRDefault="00451289" w:rsidP="00451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852CB">
        <w:rPr>
          <w:rFonts w:ascii="Times New Roman" w:hAnsi="Times New Roman" w:cs="Times New Roman"/>
          <w:b/>
          <w:sz w:val="24"/>
          <w:szCs w:val="24"/>
          <w:lang w:val="es-ES_tradnl"/>
        </w:rPr>
        <w:t>Componente 1. Definición de requerimientos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. El objetivo es identificar y definir los requerimientos de uso de sistemas de información para la gestión integral (técnica y financiera), de proyectos </w:t>
      </w:r>
      <w:r w:rsidR="003024D9">
        <w:rPr>
          <w:rFonts w:ascii="Times New Roman" w:hAnsi="Times New Roman" w:cs="Times New Roman"/>
          <w:sz w:val="24"/>
          <w:szCs w:val="24"/>
          <w:lang w:val="es-ES_tradnl"/>
        </w:rPr>
        <w:t xml:space="preserve">en el ámbito del </w:t>
      </w:r>
      <w:r w:rsidR="003024D9" w:rsidRPr="005161E6">
        <w:rPr>
          <w:rFonts w:ascii="Times New Roman" w:hAnsi="Times New Roman" w:cs="Times New Roman"/>
          <w:sz w:val="24"/>
          <w:szCs w:val="24"/>
          <w:lang w:val="es-ES_tradnl"/>
        </w:rPr>
        <w:t>MC</w:t>
      </w:r>
      <w:r w:rsidRPr="005161E6">
        <w:rPr>
          <w:rFonts w:ascii="Times New Roman" w:hAnsi="Times New Roman" w:cs="Times New Roman"/>
          <w:sz w:val="24"/>
          <w:szCs w:val="24"/>
          <w:lang w:val="es-ES_tradnl"/>
        </w:rPr>
        <w:t>. El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 componente proveerá recursos para financiar las siguientes actividades: 1) Definición de requerimientos de usuario de un sistema para la gestión de proyectos de rehabilitación de Centros Históricos</w:t>
      </w:r>
      <w:r w:rsidR="003024D9">
        <w:rPr>
          <w:rFonts w:ascii="Times New Roman" w:hAnsi="Times New Roman" w:cs="Times New Roman"/>
          <w:sz w:val="24"/>
          <w:szCs w:val="24"/>
          <w:lang w:val="es-ES_tradnl"/>
        </w:rPr>
        <w:t xml:space="preserve"> y de otros proyectos del Ministerio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; 2) Definición de requerimientos de integración del nuevo sistema para la gestión de proyectos con otros sistemas de información del </w:t>
      </w:r>
      <w:r w:rsidR="003024D9">
        <w:rPr>
          <w:rFonts w:ascii="Times New Roman" w:hAnsi="Times New Roman" w:cs="Times New Roman"/>
          <w:sz w:val="24"/>
          <w:szCs w:val="24"/>
          <w:lang w:val="es-ES_tradnl"/>
        </w:rPr>
        <w:t>MC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 (contabilidad y finanzas, activos, patrimonio, comunicación, otros); y 3) Diseño del plan de modernización de los sistemas </w:t>
      </w:r>
      <w:r w:rsidRPr="00B852CB">
        <w:rPr>
          <w:rFonts w:ascii="Times New Roman" w:hAnsi="Times New Roman" w:cs="Times New Roman"/>
          <w:i/>
          <w:sz w:val="24"/>
          <w:szCs w:val="24"/>
          <w:lang w:val="es-ES_tradnl"/>
        </w:rPr>
        <w:t>legacy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 del Ministerio, que deban ser compatibles o tener interfaces con el nuevo sistema de información.</w:t>
      </w:r>
    </w:p>
    <w:p w:rsidR="00451289" w:rsidRPr="00B852CB" w:rsidRDefault="00451289" w:rsidP="00451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852CB">
        <w:rPr>
          <w:rFonts w:ascii="Times New Roman" w:hAnsi="Times New Roman" w:cs="Times New Roman"/>
          <w:b/>
          <w:sz w:val="24"/>
          <w:szCs w:val="24"/>
          <w:lang w:val="es-ES_tradnl"/>
        </w:rPr>
        <w:t>Componente 2. Diseño técnico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>. El objetivo es realizar el diseño conceptual y técnico del sistema de información que soportará la gestión integral de los proyectos de rehabilitación de Centros Históricos.  El componente proveerá recursos para financiar las siguientes actividades: 1) Diseño conceptual del sistema de información; 2) Diseño técnico detallado del sistema: arquitectura tecnológica (plataforma, desarrollo, producción, seguridad y red), modelo de datos, aplicaciones, reportes, interfaces con otros sistemas, migraciones de datos, entre otros.</w:t>
      </w:r>
    </w:p>
    <w:p w:rsidR="00451289" w:rsidRPr="00B852CB" w:rsidRDefault="00451289" w:rsidP="00451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852CB">
        <w:rPr>
          <w:rFonts w:ascii="Times New Roman" w:hAnsi="Times New Roman" w:cs="Times New Roman"/>
          <w:b/>
          <w:sz w:val="24"/>
          <w:szCs w:val="24"/>
          <w:lang w:val="es-ES_tradnl"/>
        </w:rPr>
        <w:t>Componente 3. Desarrollo de sistemas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. El objetivo es desarrollar el sistema de información de apoyo a la gestión de proyectos de rehabilitación de Centros Históricos y modernizar aquellos sistemas </w:t>
      </w:r>
      <w:r w:rsidRPr="00B852CB">
        <w:rPr>
          <w:rFonts w:ascii="Times New Roman" w:hAnsi="Times New Roman" w:cs="Times New Roman"/>
          <w:i/>
          <w:sz w:val="24"/>
          <w:szCs w:val="24"/>
          <w:lang w:val="es-ES_tradnl"/>
        </w:rPr>
        <w:t>legacy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 que requieren interoperabilidad con dicho sistema. El componente proveerá recursos para financiar las siguientes actividades: 1) desarrollo del sistema de información para la gestión de la rehabilitación de Centros Históricos, incluyendo las interfaces con otros sistemas</w:t>
      </w:r>
      <w:r w:rsidR="003024D9">
        <w:rPr>
          <w:rFonts w:ascii="Times New Roman" w:hAnsi="Times New Roman" w:cs="Times New Roman"/>
          <w:sz w:val="24"/>
          <w:szCs w:val="24"/>
          <w:lang w:val="es-ES_tradnl"/>
        </w:rPr>
        <w:t xml:space="preserve"> del MC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; 2) mejoras a los sistemas </w:t>
      </w:r>
      <w:r w:rsidRPr="003024D9">
        <w:rPr>
          <w:rFonts w:ascii="Times New Roman" w:hAnsi="Times New Roman" w:cs="Times New Roman"/>
          <w:i/>
          <w:sz w:val="24"/>
          <w:szCs w:val="24"/>
          <w:lang w:val="es-ES_tradnl"/>
        </w:rPr>
        <w:t>legacy</w:t>
      </w:r>
      <w:r w:rsidRPr="00B852CB">
        <w:rPr>
          <w:rFonts w:ascii="Times New Roman" w:hAnsi="Times New Roman" w:cs="Times New Roman"/>
          <w:sz w:val="24"/>
          <w:szCs w:val="24"/>
          <w:lang w:val="es-ES_tradnl"/>
        </w:rPr>
        <w:t xml:space="preserve"> del Ministerio; 3) capacitación a los usuarios del sistema.</w:t>
      </w:r>
    </w:p>
    <w:p w:rsidR="00B22A32" w:rsidRPr="00B852CB" w:rsidRDefault="00B22A32" w:rsidP="0020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C1E68" w:rsidRPr="00642079" w:rsidRDefault="00590356" w:rsidP="0020630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2079">
        <w:rPr>
          <w:rFonts w:ascii="Times New Roman" w:hAnsi="Times New Roman" w:cs="Times New Roman"/>
          <w:b/>
          <w:sz w:val="24"/>
          <w:szCs w:val="24"/>
        </w:rPr>
        <w:t>Budget</w:t>
      </w:r>
      <w:r w:rsidR="009248FA" w:rsidRPr="00642079">
        <w:rPr>
          <w:rFonts w:ascii="Times New Roman" w:hAnsi="Times New Roman" w:cs="Times New Roman"/>
          <w:b/>
          <w:sz w:val="24"/>
          <w:szCs w:val="24"/>
        </w:rPr>
        <w:t xml:space="preserve"> (amounts in US$)</w:t>
      </w:r>
    </w:p>
    <w:p w:rsidR="00500147" w:rsidRPr="00642079" w:rsidRDefault="00FD0690" w:rsidP="0051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  <w:r w:rsidRPr="00642079">
        <w:rPr>
          <w:rFonts w:ascii="Times New Roman" w:hAnsi="Times New Roman" w:cs="Times New Roman"/>
          <w:sz w:val="24"/>
          <w:szCs w:val="24"/>
          <w:lang w:val="es-ES_tradnl"/>
        </w:rPr>
        <w:t xml:space="preserve">El costo total del proyecto será de </w:t>
      </w:r>
      <w:r w:rsidR="00500147" w:rsidRPr="00642079">
        <w:rPr>
          <w:rFonts w:ascii="Times New Roman" w:hAnsi="Times New Roman" w:cs="Times New Roman"/>
          <w:sz w:val="24"/>
          <w:szCs w:val="24"/>
          <w:lang w:val="es-ES_tradnl"/>
        </w:rPr>
        <w:t>US$2</w:t>
      </w:r>
      <w:r w:rsidR="00C24A53" w:rsidRPr="00642079"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642079">
        <w:rPr>
          <w:rFonts w:ascii="Times New Roman" w:hAnsi="Times New Roman" w:cs="Times New Roman"/>
          <w:sz w:val="24"/>
          <w:szCs w:val="24"/>
          <w:lang w:val="es-ES_tradnl"/>
        </w:rPr>
        <w:t>0</w:t>
      </w:r>
      <w:r w:rsidR="00500147" w:rsidRPr="00642079">
        <w:rPr>
          <w:rFonts w:ascii="Times New Roman" w:hAnsi="Times New Roman" w:cs="Times New Roman"/>
          <w:sz w:val="24"/>
          <w:szCs w:val="24"/>
          <w:lang w:val="es-ES_tradnl"/>
        </w:rPr>
        <w:t>,000</w:t>
      </w:r>
      <w:r w:rsidR="00C24A53" w:rsidRPr="00642079">
        <w:rPr>
          <w:rFonts w:ascii="Times New Roman" w:hAnsi="Times New Roman" w:cs="Times New Roman"/>
          <w:sz w:val="24"/>
          <w:szCs w:val="24"/>
          <w:lang w:val="es-ES_tradnl"/>
        </w:rPr>
        <w:t xml:space="preserve"> de los cuales el fondo </w:t>
      </w:r>
      <w:r w:rsidR="003024D9">
        <w:rPr>
          <w:rFonts w:ascii="Times New Roman" w:hAnsi="Times New Roman" w:cs="Times New Roman"/>
          <w:sz w:val="24"/>
          <w:szCs w:val="24"/>
          <w:lang w:val="es-ES_tradnl"/>
        </w:rPr>
        <w:t>de fort</w:t>
      </w:r>
      <w:r w:rsidR="005161E6">
        <w:rPr>
          <w:rFonts w:ascii="Times New Roman" w:hAnsi="Times New Roman" w:cs="Times New Roman"/>
          <w:sz w:val="24"/>
          <w:szCs w:val="24"/>
          <w:lang w:val="es-ES_tradnl"/>
        </w:rPr>
        <w:t xml:space="preserve">alecimiento </w:t>
      </w:r>
      <w:r w:rsidR="003024D9">
        <w:rPr>
          <w:rFonts w:ascii="Times New Roman" w:hAnsi="Times New Roman" w:cs="Times New Roman"/>
          <w:sz w:val="24"/>
          <w:szCs w:val="24"/>
          <w:lang w:val="es-ES_tradnl"/>
        </w:rPr>
        <w:t xml:space="preserve"> Institucional Chino</w:t>
      </w:r>
      <w:r w:rsidR="003024D9" w:rsidRPr="0064207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24A53" w:rsidRPr="00642079">
        <w:rPr>
          <w:rFonts w:ascii="Times New Roman" w:hAnsi="Times New Roman" w:cs="Times New Roman"/>
          <w:sz w:val="24"/>
          <w:szCs w:val="24"/>
          <w:lang w:val="es-ES_tradnl"/>
        </w:rPr>
        <w:t xml:space="preserve">financia </w:t>
      </w:r>
      <w:r w:rsidR="00500147" w:rsidRPr="00642079">
        <w:rPr>
          <w:rFonts w:ascii="Times New Roman" w:hAnsi="Times New Roman" w:cs="Times New Roman"/>
          <w:sz w:val="24"/>
          <w:szCs w:val="24"/>
          <w:lang w:val="es-ES_tradnl"/>
        </w:rPr>
        <w:t>US$2</w:t>
      </w:r>
      <w:r w:rsidR="00C24A53" w:rsidRPr="00642079">
        <w:rPr>
          <w:rFonts w:ascii="Times New Roman" w:hAnsi="Times New Roman" w:cs="Times New Roman"/>
          <w:sz w:val="24"/>
          <w:szCs w:val="24"/>
          <w:lang w:val="es-ES_tradnl"/>
        </w:rPr>
        <w:t>00,000 (80</w:t>
      </w:r>
      <w:r w:rsidR="00500147" w:rsidRPr="00642079">
        <w:rPr>
          <w:rFonts w:ascii="Times New Roman" w:hAnsi="Times New Roman" w:cs="Times New Roman"/>
          <w:sz w:val="24"/>
          <w:szCs w:val="24"/>
          <w:lang w:val="es-ES_tradnl"/>
        </w:rPr>
        <w:t xml:space="preserve">%) </w:t>
      </w:r>
      <w:r w:rsidR="00C24A53" w:rsidRPr="00642079">
        <w:rPr>
          <w:rFonts w:ascii="Times New Roman" w:hAnsi="Times New Roman" w:cs="Times New Roman"/>
          <w:sz w:val="24"/>
          <w:szCs w:val="24"/>
          <w:lang w:val="es-ES_tradnl"/>
        </w:rPr>
        <w:t xml:space="preserve">y el MC financiará </w:t>
      </w:r>
      <w:r w:rsidR="00500147" w:rsidRPr="00642079">
        <w:rPr>
          <w:rFonts w:ascii="Times New Roman" w:hAnsi="Times New Roman" w:cs="Times New Roman"/>
          <w:sz w:val="24"/>
          <w:szCs w:val="24"/>
          <w:lang w:val="es-ES_tradnl"/>
        </w:rPr>
        <w:t>US$</w:t>
      </w:r>
      <w:r w:rsidR="00C24A53" w:rsidRPr="00642079">
        <w:rPr>
          <w:rFonts w:ascii="Times New Roman" w:hAnsi="Times New Roman" w:cs="Times New Roman"/>
          <w:sz w:val="24"/>
          <w:szCs w:val="24"/>
          <w:lang w:val="es-ES_tradnl"/>
        </w:rPr>
        <w:t>50</w:t>
      </w:r>
      <w:r w:rsidR="00500147" w:rsidRPr="00642079">
        <w:rPr>
          <w:rFonts w:ascii="Times New Roman" w:hAnsi="Times New Roman" w:cs="Times New Roman"/>
          <w:sz w:val="24"/>
          <w:szCs w:val="24"/>
          <w:lang w:val="es-ES_tradnl"/>
        </w:rPr>
        <w:t>,000 (</w:t>
      </w:r>
      <w:r w:rsidR="00C24A53" w:rsidRPr="00642079">
        <w:rPr>
          <w:rFonts w:ascii="Times New Roman" w:hAnsi="Times New Roman" w:cs="Times New Roman"/>
          <w:sz w:val="24"/>
          <w:szCs w:val="24"/>
          <w:lang w:val="es-ES_tradnl"/>
        </w:rPr>
        <w:t>20</w:t>
      </w:r>
      <w:r w:rsidR="00500147" w:rsidRPr="00642079">
        <w:rPr>
          <w:rFonts w:ascii="Times New Roman" w:hAnsi="Times New Roman" w:cs="Times New Roman"/>
          <w:sz w:val="24"/>
          <w:szCs w:val="24"/>
          <w:lang w:val="es-ES_tradnl"/>
        </w:rPr>
        <w:t>%).</w:t>
      </w:r>
    </w:p>
    <w:p w:rsidR="00500147" w:rsidRPr="00642079" w:rsidRDefault="00500147" w:rsidP="0020630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2160"/>
        <w:gridCol w:w="1710"/>
        <w:gridCol w:w="1350"/>
      </w:tblGrid>
      <w:tr w:rsidR="003625DE" w:rsidRPr="003024D9" w:rsidTr="003024D9">
        <w:tc>
          <w:tcPr>
            <w:tcW w:w="4230" w:type="dxa"/>
          </w:tcPr>
          <w:p w:rsidR="003625DE" w:rsidRPr="003024D9" w:rsidRDefault="003625DE" w:rsidP="0020630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024D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Component</w:t>
            </w:r>
          </w:p>
        </w:tc>
        <w:tc>
          <w:tcPr>
            <w:tcW w:w="2160" w:type="dxa"/>
          </w:tcPr>
          <w:p w:rsidR="003625DE" w:rsidRPr="003024D9" w:rsidRDefault="003625DE" w:rsidP="0020630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024D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IDB Funding</w:t>
            </w:r>
          </w:p>
        </w:tc>
        <w:tc>
          <w:tcPr>
            <w:tcW w:w="1710" w:type="dxa"/>
          </w:tcPr>
          <w:p w:rsidR="003625DE" w:rsidRPr="003024D9" w:rsidRDefault="003625DE" w:rsidP="0020630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024D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Counterpart</w:t>
            </w:r>
          </w:p>
        </w:tc>
        <w:tc>
          <w:tcPr>
            <w:tcW w:w="1350" w:type="dxa"/>
          </w:tcPr>
          <w:p w:rsidR="003625DE" w:rsidRPr="003024D9" w:rsidRDefault="003625DE" w:rsidP="00206302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024D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3625DE" w:rsidRPr="003024D9" w:rsidTr="003024D9">
        <w:tc>
          <w:tcPr>
            <w:tcW w:w="4230" w:type="dxa"/>
          </w:tcPr>
          <w:p w:rsidR="003625DE" w:rsidRPr="003024D9" w:rsidRDefault="003625DE" w:rsidP="002063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="009248FA"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875D89" w:rsidRPr="00642079">
              <w:rPr>
                <w:rFonts w:ascii="Times New Roman" w:hAnsi="Times New Roman" w:cs="Times New Roman"/>
                <w:lang w:val="es-ES_tradnl"/>
              </w:rPr>
              <w:t>Definición de requerimientos</w:t>
            </w:r>
          </w:p>
        </w:tc>
        <w:tc>
          <w:tcPr>
            <w:tcW w:w="2160" w:type="dxa"/>
          </w:tcPr>
          <w:p w:rsidR="003625DE" w:rsidRPr="003024D9" w:rsidRDefault="00875D89" w:rsidP="0020630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="00A41817"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  <w:r w:rsidR="003625DE"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.000</w:t>
            </w:r>
          </w:p>
        </w:tc>
        <w:tc>
          <w:tcPr>
            <w:tcW w:w="1710" w:type="dxa"/>
          </w:tcPr>
          <w:p w:rsidR="003625DE" w:rsidRPr="003024D9" w:rsidRDefault="00875D89" w:rsidP="0020630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10.00</w:t>
            </w:r>
            <w:r w:rsidR="00590D6E"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1350" w:type="dxa"/>
          </w:tcPr>
          <w:p w:rsidR="003625DE" w:rsidRPr="003024D9" w:rsidRDefault="00875D89" w:rsidP="00875D89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  <w:r w:rsidR="003625DE"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.000</w:t>
            </w:r>
          </w:p>
        </w:tc>
      </w:tr>
      <w:tr w:rsidR="003625DE" w:rsidRPr="00642079" w:rsidTr="003024D9">
        <w:tc>
          <w:tcPr>
            <w:tcW w:w="4230" w:type="dxa"/>
          </w:tcPr>
          <w:p w:rsidR="003625DE" w:rsidRPr="00642079" w:rsidRDefault="003625DE" w:rsidP="00875D89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9248FA" w:rsidRPr="003024D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875D89" w:rsidRPr="00642079">
              <w:rPr>
                <w:rFonts w:ascii="Times New Roman" w:hAnsi="Times New Roman" w:cs="Times New Roman"/>
                <w:lang w:val="es-ES_tradnl"/>
              </w:rPr>
              <w:t xml:space="preserve">Diseño técnico del sistema </w:t>
            </w:r>
          </w:p>
        </w:tc>
        <w:tc>
          <w:tcPr>
            <w:tcW w:w="2160" w:type="dxa"/>
          </w:tcPr>
          <w:p w:rsidR="003625DE" w:rsidRPr="00642079" w:rsidRDefault="00875D89" w:rsidP="0020630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5DE" w:rsidRPr="0064207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10" w:type="dxa"/>
          </w:tcPr>
          <w:p w:rsidR="003625DE" w:rsidRPr="00642079" w:rsidRDefault="00590D6E" w:rsidP="0020630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3625DE" w:rsidRPr="00642079" w:rsidRDefault="00875D89" w:rsidP="0020630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5DE" w:rsidRPr="00642079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3625DE" w:rsidRPr="00642079" w:rsidTr="003024D9">
        <w:tc>
          <w:tcPr>
            <w:tcW w:w="4230" w:type="dxa"/>
          </w:tcPr>
          <w:p w:rsidR="003625DE" w:rsidRPr="00642079" w:rsidRDefault="009248FA" w:rsidP="00206302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25DE" w:rsidRPr="0064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D89" w:rsidRPr="00642079">
              <w:rPr>
                <w:rFonts w:ascii="Times New Roman" w:hAnsi="Times New Roman" w:cs="Times New Roman"/>
                <w:lang w:val="es-ES_tradnl"/>
              </w:rPr>
              <w:t>Desarrollo de sistemas</w:t>
            </w:r>
          </w:p>
        </w:tc>
        <w:tc>
          <w:tcPr>
            <w:tcW w:w="2160" w:type="dxa"/>
          </w:tcPr>
          <w:p w:rsidR="003625DE" w:rsidRPr="00642079" w:rsidRDefault="003024D9" w:rsidP="003024D9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5DE" w:rsidRPr="0064207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710" w:type="dxa"/>
          </w:tcPr>
          <w:p w:rsidR="003625DE" w:rsidRPr="00642079" w:rsidRDefault="00875D89" w:rsidP="0020630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350" w:type="dxa"/>
          </w:tcPr>
          <w:p w:rsidR="003625DE" w:rsidRPr="00642079" w:rsidRDefault="003024D9" w:rsidP="003024D9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2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5DE" w:rsidRPr="00642079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3625DE" w:rsidRPr="00642079" w:rsidTr="003024D9">
        <w:tc>
          <w:tcPr>
            <w:tcW w:w="4230" w:type="dxa"/>
          </w:tcPr>
          <w:p w:rsidR="003625DE" w:rsidRPr="00642079" w:rsidRDefault="003625DE" w:rsidP="0020630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3625DE" w:rsidRPr="00642079" w:rsidRDefault="0094768D" w:rsidP="00875D89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5D89"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48FA"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</w:p>
        </w:tc>
        <w:tc>
          <w:tcPr>
            <w:tcW w:w="1710" w:type="dxa"/>
          </w:tcPr>
          <w:p w:rsidR="003625DE" w:rsidRPr="00642079" w:rsidRDefault="00875D89" w:rsidP="00875D89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147"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</w:p>
        </w:tc>
        <w:tc>
          <w:tcPr>
            <w:tcW w:w="1350" w:type="dxa"/>
          </w:tcPr>
          <w:p w:rsidR="003625DE" w:rsidRPr="00642079" w:rsidRDefault="00500147" w:rsidP="00206302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5D89"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48FA" w:rsidRPr="00642079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</w:p>
        </w:tc>
      </w:tr>
    </w:tbl>
    <w:p w:rsidR="001C18FD" w:rsidRPr="00642079" w:rsidRDefault="001C18FD" w:rsidP="0020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11B" w:rsidRPr="00642079" w:rsidRDefault="0095711B" w:rsidP="0020630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2079">
        <w:rPr>
          <w:rFonts w:ascii="Times New Roman" w:hAnsi="Times New Roman" w:cs="Times New Roman"/>
          <w:b/>
          <w:sz w:val="24"/>
          <w:szCs w:val="24"/>
        </w:rPr>
        <w:t>Executing agency and execut</w:t>
      </w:r>
      <w:r w:rsidR="009248FA" w:rsidRPr="00642079">
        <w:rPr>
          <w:rFonts w:ascii="Times New Roman" w:hAnsi="Times New Roman" w:cs="Times New Roman"/>
          <w:b/>
          <w:sz w:val="24"/>
          <w:szCs w:val="24"/>
        </w:rPr>
        <w:t>ion structure</w:t>
      </w:r>
    </w:p>
    <w:p w:rsidR="00B22A32" w:rsidRPr="003024D9" w:rsidRDefault="00B22A32" w:rsidP="0020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4A53" w:rsidRPr="003024D9" w:rsidRDefault="00C24A53" w:rsidP="0020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  <w:r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La ejecución y administración de este proyecto será responsabilidad del Banco,  a través de la </w:t>
      </w:r>
      <w:r w:rsidR="006B5FAC"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oficina de la Representacion en Colombia (CCO)</w:t>
      </w:r>
      <w:r w:rsidR="0006540F"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, con la</w:t>
      </w:r>
      <w:r w:rsidR="00257484"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 epoyo técnico de FMM y CTI</w:t>
      </w:r>
      <w:r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. El Ministerio de Cultura </w:t>
      </w:r>
      <w:r w:rsidR="006B5FAC"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participará </w:t>
      </w:r>
      <w:r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en la ejecución del proyecto</w:t>
      </w:r>
      <w:r w:rsidR="006B5FAC"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 en su calidad de usuario principal del sistema.</w:t>
      </w:r>
    </w:p>
    <w:p w:rsidR="00C24A53" w:rsidRPr="003024D9" w:rsidRDefault="00C24A53" w:rsidP="0020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:rsidR="000F7906" w:rsidRPr="00642079" w:rsidRDefault="000F7906" w:rsidP="0020630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42079">
        <w:rPr>
          <w:rFonts w:ascii="Times New Roman" w:hAnsi="Times New Roman" w:cs="Times New Roman"/>
          <w:b/>
          <w:sz w:val="24"/>
          <w:szCs w:val="24"/>
        </w:rPr>
        <w:t xml:space="preserve">Project Risks and </w:t>
      </w:r>
      <w:r w:rsidR="009248FA" w:rsidRPr="00642079">
        <w:rPr>
          <w:rFonts w:ascii="Times New Roman" w:hAnsi="Times New Roman" w:cs="Times New Roman"/>
          <w:b/>
          <w:sz w:val="24"/>
          <w:szCs w:val="24"/>
        </w:rPr>
        <w:t>Issues</w:t>
      </w:r>
    </w:p>
    <w:p w:rsidR="00B22A32" w:rsidRPr="003024D9" w:rsidRDefault="00B22A32" w:rsidP="0020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105" w:rsidRPr="00550588" w:rsidRDefault="005161E6" w:rsidP="0020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No se identifican riesgos en el </w:t>
      </w:r>
      <w:r w:rsidR="00550588">
        <w:rPr>
          <w:rFonts w:ascii="Times New Roman" w:hAnsi="Times New Roman" w:cs="Times New Roman"/>
          <w:sz w:val="24"/>
          <w:szCs w:val="24"/>
          <w:lang w:val="es-ES"/>
        </w:rPr>
        <w:t xml:space="preserve"> proyecto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dado que </w:t>
      </w:r>
      <w:r w:rsidR="00550588">
        <w:rPr>
          <w:rFonts w:ascii="Times New Roman" w:hAnsi="Times New Roman" w:cs="Times New Roman"/>
          <w:sz w:val="24"/>
          <w:szCs w:val="24"/>
          <w:lang w:val="es-ES"/>
        </w:rPr>
        <w:t>el MC tiene capacidad de diseño y desarrollo de sistema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50588">
        <w:rPr>
          <w:rFonts w:ascii="Times New Roman" w:hAnsi="Times New Roman" w:cs="Times New Roman"/>
          <w:sz w:val="24"/>
          <w:szCs w:val="24"/>
          <w:lang w:val="es-ES"/>
        </w:rPr>
        <w:t xml:space="preserve">, así como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los procesos </w:t>
      </w:r>
      <w:r w:rsidR="00550588">
        <w:rPr>
          <w:rFonts w:ascii="Times New Roman" w:hAnsi="Times New Roman" w:cs="Times New Roman"/>
          <w:sz w:val="24"/>
          <w:szCs w:val="24"/>
          <w:lang w:val="es-ES"/>
        </w:rPr>
        <w:t>de contratación del desarrollo de sistemas.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MC cuenta con </w:t>
      </w:r>
      <w:r w:rsidR="00550588">
        <w:rPr>
          <w:rFonts w:ascii="Times New Roman" w:hAnsi="Times New Roman" w:cs="Times New Roman"/>
          <w:sz w:val="24"/>
          <w:szCs w:val="24"/>
          <w:lang w:val="es-ES"/>
        </w:rPr>
        <w:t>la capacidad técnica suficiente para realizar estas actividades con éxito.</w:t>
      </w:r>
    </w:p>
    <w:p w:rsidR="00F24105" w:rsidRPr="00550588" w:rsidRDefault="00F24105" w:rsidP="00206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A272D" w:rsidRPr="00550588" w:rsidRDefault="0095711B" w:rsidP="00206302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50588">
        <w:rPr>
          <w:rFonts w:ascii="Times New Roman" w:hAnsi="Times New Roman" w:cs="Times New Roman"/>
          <w:b/>
          <w:sz w:val="24"/>
          <w:szCs w:val="24"/>
          <w:lang w:val="es-ES"/>
        </w:rPr>
        <w:t xml:space="preserve">Environmental and Social </w:t>
      </w:r>
      <w:r w:rsidR="00CA272D" w:rsidRPr="00550588">
        <w:rPr>
          <w:rFonts w:ascii="Times New Roman" w:hAnsi="Times New Roman" w:cs="Times New Roman"/>
          <w:b/>
          <w:sz w:val="24"/>
          <w:szCs w:val="24"/>
          <w:lang w:val="es-ES"/>
        </w:rPr>
        <w:t>Classification</w:t>
      </w:r>
    </w:p>
    <w:p w:rsidR="00B22A32" w:rsidRPr="00550588" w:rsidRDefault="00B22A32" w:rsidP="0020630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A212E" w:rsidRPr="003024D9" w:rsidRDefault="008A212E" w:rsidP="0020630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El proyecto no generará impactos significativos sociales y ambientales negativos. De acuerdo con el programa conjunto de herramientas, este proyecto fue clasificado con "C", lo que significa que no existen estudios de evaluación ambiental o las consultas son </w:t>
      </w:r>
      <w:r w:rsidR="008C71AB"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 xml:space="preserve">requeridas </w:t>
      </w:r>
      <w:r w:rsidRPr="003024D9">
        <w:rPr>
          <w:rFonts w:ascii="Times New Roman" w:eastAsia="Times New Roman" w:hAnsi="Times New Roman" w:cs="Times New Roman"/>
          <w:color w:val="333333"/>
          <w:sz w:val="24"/>
          <w:szCs w:val="24"/>
          <w:lang w:val="es-ES"/>
        </w:rPr>
        <w:t>para esta categoría.</w:t>
      </w:r>
    </w:p>
    <w:p w:rsidR="008A212E" w:rsidRPr="003024D9" w:rsidRDefault="008A212E" w:rsidP="0020630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A212E" w:rsidRPr="003024D9" w:rsidSect="00CD10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96" w:rsidRDefault="00372296" w:rsidP="0095711B">
      <w:pPr>
        <w:spacing w:after="0" w:line="240" w:lineRule="auto"/>
      </w:pPr>
      <w:r>
        <w:separator/>
      </w:r>
    </w:p>
  </w:endnote>
  <w:endnote w:type="continuationSeparator" w:id="0">
    <w:p w:rsidR="00372296" w:rsidRDefault="00372296" w:rsidP="0095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75126"/>
      <w:docPartObj>
        <w:docPartGallery w:val="Page Numbers (Bottom of Page)"/>
        <w:docPartUnique/>
      </w:docPartObj>
    </w:sdtPr>
    <w:sdtEndPr/>
    <w:sdtContent>
      <w:p w:rsidR="00FD0690" w:rsidRDefault="00DF17BF">
        <w:pPr>
          <w:pStyle w:val="Footer"/>
          <w:jc w:val="center"/>
        </w:pPr>
        <w:r>
          <w:fldChar w:fldCharType="begin"/>
        </w:r>
        <w:r w:rsidR="00550588">
          <w:instrText xml:space="preserve"> PAGE   \* MERGEFORMAT </w:instrText>
        </w:r>
        <w:r>
          <w:fldChar w:fldCharType="separate"/>
        </w:r>
        <w:r w:rsidR="001B5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690" w:rsidRDefault="00FD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96" w:rsidRDefault="00372296" w:rsidP="0095711B">
      <w:pPr>
        <w:spacing w:after="0" w:line="240" w:lineRule="auto"/>
      </w:pPr>
      <w:r>
        <w:separator/>
      </w:r>
    </w:p>
  </w:footnote>
  <w:footnote w:type="continuationSeparator" w:id="0">
    <w:p w:rsidR="00372296" w:rsidRDefault="00372296" w:rsidP="0095711B">
      <w:pPr>
        <w:spacing w:after="0" w:line="240" w:lineRule="auto"/>
      </w:pPr>
      <w:r>
        <w:continuationSeparator/>
      </w:r>
    </w:p>
  </w:footnote>
  <w:footnote w:id="1">
    <w:p w:rsidR="00FD0690" w:rsidRPr="006F202E" w:rsidRDefault="00FD0690" w:rsidP="00E5137E">
      <w:pPr>
        <w:pStyle w:val="FootnoteText"/>
        <w:rPr>
          <w:rFonts w:ascii="Times New Roman" w:hAnsi="Times New Roman"/>
          <w:sz w:val="18"/>
          <w:szCs w:val="18"/>
          <w:lang w:val="es-ES_tradnl"/>
        </w:rPr>
      </w:pPr>
      <w:r w:rsidRPr="006F202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E5137E">
        <w:rPr>
          <w:rFonts w:ascii="Times New Roman" w:hAnsi="Times New Roman"/>
          <w:sz w:val="18"/>
          <w:szCs w:val="18"/>
          <w:lang w:val="es-ES_tradnl"/>
        </w:rPr>
        <w:t xml:space="preserve"> Consejo Nacional de Política Económica y Social, “Lineamientos de Política para la Recuperación de los Centros Históricos de Colombia”, Documento </w:t>
      </w:r>
      <w:r w:rsidRPr="006F202E">
        <w:rPr>
          <w:rFonts w:ascii="Times New Roman" w:hAnsi="Times New Roman"/>
          <w:sz w:val="18"/>
          <w:szCs w:val="18"/>
          <w:lang w:val="es-ES_tradnl"/>
        </w:rPr>
        <w:t>CONPES 3658</w:t>
      </w:r>
      <w:r>
        <w:rPr>
          <w:rFonts w:ascii="Times New Roman" w:hAnsi="Times New Roman"/>
          <w:sz w:val="18"/>
          <w:szCs w:val="18"/>
          <w:lang w:val="es-ES_tradnl"/>
        </w:rPr>
        <w:t>, Abril</w:t>
      </w:r>
      <w:r w:rsidRPr="006F202E">
        <w:rPr>
          <w:rFonts w:ascii="Times New Roman" w:hAnsi="Times New Roman"/>
          <w:sz w:val="18"/>
          <w:szCs w:val="18"/>
          <w:lang w:val="es-ES_tradnl"/>
        </w:rPr>
        <w:t xml:space="preserve"> 2010.</w:t>
      </w:r>
    </w:p>
  </w:footnote>
  <w:footnote w:id="2">
    <w:p w:rsidR="00642079" w:rsidRPr="005F3313" w:rsidRDefault="00642079">
      <w:pPr>
        <w:pStyle w:val="FootnoteText"/>
        <w:rPr>
          <w:sz w:val="18"/>
          <w:szCs w:val="18"/>
          <w:lang w:val="es-ES_tradnl"/>
        </w:rPr>
      </w:pPr>
      <w:r>
        <w:rPr>
          <w:rStyle w:val="FootnoteReference"/>
        </w:rPr>
        <w:footnoteRef/>
      </w:r>
      <w:r w:rsidRPr="00642079">
        <w:rPr>
          <w:lang w:val="es-ES_tradnl"/>
        </w:rPr>
        <w:t xml:space="preserve"> </w:t>
      </w:r>
      <w:r w:rsidR="00056AEA" w:rsidRPr="005F3313">
        <w:rPr>
          <w:rFonts w:ascii="Times New Roman" w:hAnsi="Times New Roman" w:cs="Times New Roman"/>
          <w:sz w:val="18"/>
          <w:szCs w:val="18"/>
          <w:lang w:val="es-ES_tradnl"/>
        </w:rPr>
        <w:t>E</w:t>
      </w:r>
      <w:r w:rsidR="005F3313" w:rsidRPr="005F3313">
        <w:rPr>
          <w:rFonts w:ascii="Times New Roman" w:hAnsi="Times New Roman" w:cs="Times New Roman"/>
          <w:sz w:val="18"/>
          <w:szCs w:val="18"/>
          <w:lang w:val="es-ES_tradnl"/>
        </w:rPr>
        <w:t xml:space="preserve">l PNRCH es el </w:t>
      </w:r>
      <w:r w:rsidR="00056AEA" w:rsidRPr="005F3313">
        <w:rPr>
          <w:rFonts w:ascii="Times New Roman" w:hAnsi="Times New Roman" w:cs="Times New Roman"/>
          <w:sz w:val="18"/>
          <w:szCs w:val="18"/>
          <w:lang w:val="es-ES_tradnl"/>
        </w:rPr>
        <w:t>i</w:t>
      </w:r>
      <w:r w:rsidRPr="005F3313">
        <w:rPr>
          <w:rFonts w:ascii="Times New Roman" w:hAnsi="Times New Roman" w:cs="Times New Roman"/>
          <w:sz w:val="18"/>
          <w:szCs w:val="18"/>
          <w:lang w:val="es-ES_tradnl"/>
        </w:rPr>
        <w:t xml:space="preserve">nstrumento diseñado </w:t>
      </w:r>
      <w:r w:rsidR="005F3313" w:rsidRPr="005F3313">
        <w:rPr>
          <w:rFonts w:ascii="Times New Roman" w:hAnsi="Times New Roman" w:cs="Times New Roman"/>
          <w:sz w:val="18"/>
          <w:szCs w:val="18"/>
          <w:lang w:val="es-ES_tradnl"/>
        </w:rPr>
        <w:t>por el gobierno para</w:t>
      </w:r>
      <w:r w:rsidRPr="005F3313">
        <w:rPr>
          <w:rFonts w:ascii="Times New Roman" w:hAnsi="Times New Roman" w:cs="Times New Roman"/>
          <w:sz w:val="18"/>
          <w:szCs w:val="18"/>
          <w:lang w:val="es-ES_tradnl"/>
        </w:rPr>
        <w:t xml:space="preserve"> guiar las acciones de recuperación, conservación y fomento del dinamismo de los centros históricos del país</w:t>
      </w:r>
      <w:r w:rsidR="00056AEA" w:rsidRPr="005F3313">
        <w:rPr>
          <w:rFonts w:ascii="Times New Roman" w:hAnsi="Times New Roman" w:cs="Times New Roman"/>
          <w:sz w:val="18"/>
          <w:szCs w:val="18"/>
          <w:lang w:val="es-ES_tradnl"/>
        </w:rPr>
        <w:t>.</w:t>
      </w:r>
    </w:p>
  </w:footnote>
  <w:footnote w:id="3">
    <w:p w:rsidR="00056AEA" w:rsidRPr="00056AEA" w:rsidRDefault="00056AE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56AEA">
        <w:rPr>
          <w:lang w:val="es-ES_tradnl"/>
        </w:rPr>
        <w:t xml:space="preserve"> </w:t>
      </w:r>
      <w:r>
        <w:rPr>
          <w:lang w:val="es-ES_tradnl"/>
        </w:rPr>
        <w:t xml:space="preserve">El PEMP es </w:t>
      </w:r>
      <w:r w:rsidRPr="00F61ACE">
        <w:rPr>
          <w:szCs w:val="24"/>
          <w:lang w:val="es-ES_tradnl"/>
        </w:rPr>
        <w:t>el principal instrumento de</w:t>
      </w:r>
      <w:r w:rsidRPr="00F61ACE">
        <w:rPr>
          <w:lang w:val="es-ES_tradnl"/>
        </w:rPr>
        <w:t xml:space="preserve"> planeación y gestión del gobierno colombiano para promover la protección y conservación de dichos centros.  A la fecha, y con el apoyo del MC, 23 ciudades cuentan con su PEMP aprobado</w:t>
      </w:r>
      <w:r>
        <w:rPr>
          <w:lang w:val="es-ES_tradnl"/>
        </w:rPr>
        <w:t>.</w:t>
      </w:r>
    </w:p>
  </w:footnote>
  <w:footnote w:id="4">
    <w:p w:rsidR="007F5075" w:rsidRPr="007F5075" w:rsidRDefault="007F5075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 w:rsidRPr="007F5075">
        <w:rPr>
          <w:lang w:val="es-CO"/>
        </w:rPr>
        <w:t xml:space="preserve"> </w:t>
      </w:r>
      <w:r w:rsidR="000B62BB">
        <w:rPr>
          <w:color w:val="000000" w:themeColor="text1"/>
          <w:lang w:val="es-CO"/>
        </w:rPr>
        <w:t>E</w:t>
      </w:r>
      <w:r w:rsidR="000B62BB" w:rsidRPr="000E10D3">
        <w:rPr>
          <w:color w:val="000000" w:themeColor="text1"/>
          <w:lang w:val="es-ES_tradnl"/>
        </w:rPr>
        <w:t>l Si</w:t>
      </w:r>
      <w:r w:rsidR="000B62BB">
        <w:rPr>
          <w:color w:val="000000" w:themeColor="text1"/>
          <w:lang w:val="es-ES_tradnl"/>
        </w:rPr>
        <w:t xml:space="preserve">stema de Información Gerencial (SIG) </w:t>
      </w:r>
      <w:r w:rsidR="00DB49B8">
        <w:rPr>
          <w:color w:val="000000" w:themeColor="text1"/>
          <w:lang w:val="es-ES_tradnl"/>
        </w:rPr>
        <w:t>soporta</w:t>
      </w:r>
      <w:r w:rsidR="00DB49B8" w:rsidRPr="000E10D3">
        <w:rPr>
          <w:color w:val="000000" w:themeColor="text1"/>
          <w:lang w:val="es-ES_tradnl"/>
        </w:rPr>
        <w:t xml:space="preserve"> </w:t>
      </w:r>
      <w:r w:rsidR="000B62BB" w:rsidRPr="000E10D3">
        <w:rPr>
          <w:color w:val="000000" w:themeColor="text1"/>
          <w:lang w:val="es-ES_tradnl"/>
        </w:rPr>
        <w:t>la ejecución presupuestal</w:t>
      </w:r>
      <w:r w:rsidR="00BB34FE">
        <w:rPr>
          <w:color w:val="000000" w:themeColor="text1"/>
          <w:lang w:val="es-ES_tradnl"/>
        </w:rPr>
        <w:t>,</w:t>
      </w:r>
      <w:r w:rsidR="000B62BB" w:rsidRPr="000E10D3">
        <w:rPr>
          <w:color w:val="000000" w:themeColor="text1"/>
          <w:lang w:val="es-ES_tradnl"/>
        </w:rPr>
        <w:t xml:space="preserve"> financiera</w:t>
      </w:r>
      <w:r w:rsidR="00BB34FE">
        <w:rPr>
          <w:color w:val="000000" w:themeColor="text1"/>
          <w:lang w:val="es-ES_tradnl"/>
        </w:rPr>
        <w:t xml:space="preserve"> y contractual </w:t>
      </w:r>
      <w:r w:rsidR="000B62BB">
        <w:rPr>
          <w:color w:val="000000" w:themeColor="text1"/>
          <w:lang w:val="es-ES_tradnl"/>
        </w:rPr>
        <w:t xml:space="preserve">del MC. El </w:t>
      </w:r>
      <w:r w:rsidR="000B62BB" w:rsidRPr="000E10D3">
        <w:rPr>
          <w:color w:val="000000" w:themeColor="text1"/>
          <w:lang w:val="es-ES_tradnl"/>
        </w:rPr>
        <w:t>Subsistema de Información de Patrimonio y Artes (SIPA)</w:t>
      </w:r>
      <w:r w:rsidR="000B62BB">
        <w:rPr>
          <w:color w:val="000000" w:themeColor="text1"/>
          <w:lang w:val="es-ES_tradnl"/>
        </w:rPr>
        <w:t xml:space="preserve"> administra</w:t>
      </w:r>
      <w:r w:rsidR="000B62BB" w:rsidRPr="000E10D3">
        <w:rPr>
          <w:color w:val="000000" w:themeColor="text1"/>
          <w:lang w:val="es-ES_tradnl"/>
        </w:rPr>
        <w:t xml:space="preserve"> </w:t>
      </w:r>
      <w:r w:rsidR="000B62BB">
        <w:rPr>
          <w:color w:val="000000" w:themeColor="text1"/>
          <w:lang w:val="es-ES_tradnl"/>
        </w:rPr>
        <w:t xml:space="preserve">el </w:t>
      </w:r>
      <w:r w:rsidR="000B62BB" w:rsidRPr="000E10D3">
        <w:rPr>
          <w:color w:val="000000" w:themeColor="text1"/>
          <w:lang w:val="es-ES_tradnl"/>
        </w:rPr>
        <w:t>inventario de los Bienes de Interés Cultural de la Nación</w:t>
      </w:r>
      <w:r w:rsidR="00DB49B8">
        <w:rPr>
          <w:color w:val="000000" w:themeColor="text1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A1E"/>
    <w:multiLevelType w:val="hybridMultilevel"/>
    <w:tmpl w:val="345ACDA4"/>
    <w:lvl w:ilvl="0" w:tplc="BD645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F2A2E"/>
    <w:multiLevelType w:val="hybridMultilevel"/>
    <w:tmpl w:val="18E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C4B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4963"/>
    <w:multiLevelType w:val="hybridMultilevel"/>
    <w:tmpl w:val="95EAD726"/>
    <w:lvl w:ilvl="0" w:tplc="AC6C38CE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92E025C"/>
    <w:multiLevelType w:val="hybridMultilevel"/>
    <w:tmpl w:val="B2248766"/>
    <w:lvl w:ilvl="0" w:tplc="C700CC4A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CBD0B9B"/>
    <w:multiLevelType w:val="hybridMultilevel"/>
    <w:tmpl w:val="D518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2FD8"/>
    <w:multiLevelType w:val="hybridMultilevel"/>
    <w:tmpl w:val="64AED7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CB180A"/>
    <w:multiLevelType w:val="hybridMultilevel"/>
    <w:tmpl w:val="CAD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EB3"/>
    <w:multiLevelType w:val="hybridMultilevel"/>
    <w:tmpl w:val="59BC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05A8"/>
    <w:multiLevelType w:val="multilevel"/>
    <w:tmpl w:val="0C4C110A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  <w:rPr>
        <w:i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none"/>
      <w:lvlText w:val=""/>
      <w:lvlJc w:val="left"/>
      <w:pPr>
        <w:tabs>
          <w:tab w:val="num" w:pos="4392"/>
        </w:tabs>
        <w:ind w:left="4032" w:firstLine="0"/>
      </w:pPr>
    </w:lvl>
    <w:lvl w:ilvl="5">
      <w:start w:val="1"/>
      <w:numFmt w:val="none"/>
      <w:lvlText w:val=""/>
      <w:lvlJc w:val="left"/>
      <w:pPr>
        <w:tabs>
          <w:tab w:val="num" w:pos="5112"/>
        </w:tabs>
        <w:ind w:left="4752" w:firstLine="0"/>
      </w:pPr>
    </w:lvl>
    <w:lvl w:ilvl="6">
      <w:start w:val="1"/>
      <w:numFmt w:val="none"/>
      <w:lvlText w:val=""/>
      <w:lvlJc w:val="left"/>
      <w:pPr>
        <w:tabs>
          <w:tab w:val="num" w:pos="5832"/>
        </w:tabs>
        <w:ind w:left="5472" w:firstLine="0"/>
      </w:pPr>
    </w:lvl>
    <w:lvl w:ilvl="7">
      <w:start w:val="1"/>
      <w:numFmt w:val="none"/>
      <w:lvlText w:val=""/>
      <w:lvlJc w:val="left"/>
      <w:pPr>
        <w:tabs>
          <w:tab w:val="num" w:pos="6552"/>
        </w:tabs>
        <w:ind w:left="6192" w:firstLine="0"/>
      </w:pPr>
    </w:lvl>
    <w:lvl w:ilvl="8">
      <w:start w:val="1"/>
      <w:numFmt w:val="none"/>
      <w:lvlText w:val=""/>
      <w:lvlJc w:val="left"/>
      <w:pPr>
        <w:tabs>
          <w:tab w:val="num" w:pos="7272"/>
        </w:tabs>
        <w:ind w:left="6912" w:firstLine="0"/>
      </w:pPr>
    </w:lvl>
  </w:abstractNum>
  <w:abstractNum w:abstractNumId="10">
    <w:nsid w:val="73DA472B"/>
    <w:multiLevelType w:val="hybridMultilevel"/>
    <w:tmpl w:val="A596F61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5C51C3"/>
    <w:multiLevelType w:val="hybridMultilevel"/>
    <w:tmpl w:val="7C0C5914"/>
    <w:lvl w:ilvl="0" w:tplc="E2FC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11B"/>
    <w:rsid w:val="00000711"/>
    <w:rsid w:val="000042C3"/>
    <w:rsid w:val="00005DF8"/>
    <w:rsid w:val="00006EE8"/>
    <w:rsid w:val="0001409B"/>
    <w:rsid w:val="000206DA"/>
    <w:rsid w:val="0002260A"/>
    <w:rsid w:val="000269F9"/>
    <w:rsid w:val="000318D8"/>
    <w:rsid w:val="00037D6C"/>
    <w:rsid w:val="00056AEA"/>
    <w:rsid w:val="000604DE"/>
    <w:rsid w:val="0006540F"/>
    <w:rsid w:val="000725A9"/>
    <w:rsid w:val="0008508D"/>
    <w:rsid w:val="00086CFF"/>
    <w:rsid w:val="000B62BB"/>
    <w:rsid w:val="000C3AA9"/>
    <w:rsid w:val="000E10D3"/>
    <w:rsid w:val="000F39D2"/>
    <w:rsid w:val="000F6A18"/>
    <w:rsid w:val="000F7906"/>
    <w:rsid w:val="00102DAE"/>
    <w:rsid w:val="00112EB0"/>
    <w:rsid w:val="00114DB5"/>
    <w:rsid w:val="00124040"/>
    <w:rsid w:val="00130061"/>
    <w:rsid w:val="001316E2"/>
    <w:rsid w:val="001369B5"/>
    <w:rsid w:val="001417DC"/>
    <w:rsid w:val="00150ADA"/>
    <w:rsid w:val="001601D6"/>
    <w:rsid w:val="00162F6B"/>
    <w:rsid w:val="00171ABC"/>
    <w:rsid w:val="0017216B"/>
    <w:rsid w:val="00193FBF"/>
    <w:rsid w:val="001B5896"/>
    <w:rsid w:val="001B6F37"/>
    <w:rsid w:val="001C18FD"/>
    <w:rsid w:val="001E2137"/>
    <w:rsid w:val="001F7044"/>
    <w:rsid w:val="001F7559"/>
    <w:rsid w:val="0020091E"/>
    <w:rsid w:val="00206302"/>
    <w:rsid w:val="00210317"/>
    <w:rsid w:val="002178FE"/>
    <w:rsid w:val="00225B5A"/>
    <w:rsid w:val="00236249"/>
    <w:rsid w:val="00244A9D"/>
    <w:rsid w:val="00255ACA"/>
    <w:rsid w:val="00257484"/>
    <w:rsid w:val="00266CB2"/>
    <w:rsid w:val="0028127C"/>
    <w:rsid w:val="00283B03"/>
    <w:rsid w:val="002A5416"/>
    <w:rsid w:val="002D2E03"/>
    <w:rsid w:val="002E5B55"/>
    <w:rsid w:val="002E7D64"/>
    <w:rsid w:val="002F6B7A"/>
    <w:rsid w:val="003002B3"/>
    <w:rsid w:val="003024D9"/>
    <w:rsid w:val="00306A58"/>
    <w:rsid w:val="00322CD4"/>
    <w:rsid w:val="00335B4C"/>
    <w:rsid w:val="00340BC1"/>
    <w:rsid w:val="00346E79"/>
    <w:rsid w:val="003556C3"/>
    <w:rsid w:val="003622D9"/>
    <w:rsid w:val="003625DE"/>
    <w:rsid w:val="0037186A"/>
    <w:rsid w:val="00372296"/>
    <w:rsid w:val="003A4A63"/>
    <w:rsid w:val="003B316F"/>
    <w:rsid w:val="003B31AC"/>
    <w:rsid w:val="003D2892"/>
    <w:rsid w:val="003D609D"/>
    <w:rsid w:val="003E0BDC"/>
    <w:rsid w:val="003E275D"/>
    <w:rsid w:val="003E62BC"/>
    <w:rsid w:val="003E7F8B"/>
    <w:rsid w:val="003F72FF"/>
    <w:rsid w:val="003F7E80"/>
    <w:rsid w:val="00401743"/>
    <w:rsid w:val="00416432"/>
    <w:rsid w:val="00423C68"/>
    <w:rsid w:val="004311D4"/>
    <w:rsid w:val="00432972"/>
    <w:rsid w:val="00451289"/>
    <w:rsid w:val="00470F11"/>
    <w:rsid w:val="00476E1E"/>
    <w:rsid w:val="00482240"/>
    <w:rsid w:val="004878AE"/>
    <w:rsid w:val="004A655D"/>
    <w:rsid w:val="004B5E09"/>
    <w:rsid w:val="004B60BA"/>
    <w:rsid w:val="004D5584"/>
    <w:rsid w:val="004F386F"/>
    <w:rsid w:val="004F7F36"/>
    <w:rsid w:val="00500147"/>
    <w:rsid w:val="0050104A"/>
    <w:rsid w:val="0050243E"/>
    <w:rsid w:val="0050715F"/>
    <w:rsid w:val="005126DD"/>
    <w:rsid w:val="005161E6"/>
    <w:rsid w:val="00520F58"/>
    <w:rsid w:val="00531E51"/>
    <w:rsid w:val="005336DC"/>
    <w:rsid w:val="005364CE"/>
    <w:rsid w:val="0054075F"/>
    <w:rsid w:val="00544521"/>
    <w:rsid w:val="005447C2"/>
    <w:rsid w:val="00544EBA"/>
    <w:rsid w:val="00550588"/>
    <w:rsid w:val="00551B34"/>
    <w:rsid w:val="00551C58"/>
    <w:rsid w:val="005631CA"/>
    <w:rsid w:val="00564126"/>
    <w:rsid w:val="0057491B"/>
    <w:rsid w:val="005751C7"/>
    <w:rsid w:val="0058137A"/>
    <w:rsid w:val="00590356"/>
    <w:rsid w:val="00590D6E"/>
    <w:rsid w:val="00595FD4"/>
    <w:rsid w:val="005A1056"/>
    <w:rsid w:val="005A3A6C"/>
    <w:rsid w:val="005A6A59"/>
    <w:rsid w:val="005C14FA"/>
    <w:rsid w:val="005C1670"/>
    <w:rsid w:val="005E3BF9"/>
    <w:rsid w:val="005E5CA1"/>
    <w:rsid w:val="005F3313"/>
    <w:rsid w:val="00603E79"/>
    <w:rsid w:val="00604284"/>
    <w:rsid w:val="0060533A"/>
    <w:rsid w:val="006412BB"/>
    <w:rsid w:val="00641ED4"/>
    <w:rsid w:val="00642079"/>
    <w:rsid w:val="00643F34"/>
    <w:rsid w:val="00674040"/>
    <w:rsid w:val="00675E7A"/>
    <w:rsid w:val="00682716"/>
    <w:rsid w:val="006841C1"/>
    <w:rsid w:val="00694786"/>
    <w:rsid w:val="006A014D"/>
    <w:rsid w:val="006A79F8"/>
    <w:rsid w:val="006B5FAC"/>
    <w:rsid w:val="006D4D93"/>
    <w:rsid w:val="006D6DCF"/>
    <w:rsid w:val="006F119B"/>
    <w:rsid w:val="006F1432"/>
    <w:rsid w:val="00702A56"/>
    <w:rsid w:val="00720BA9"/>
    <w:rsid w:val="00725037"/>
    <w:rsid w:val="00746260"/>
    <w:rsid w:val="00767436"/>
    <w:rsid w:val="007774B2"/>
    <w:rsid w:val="00790221"/>
    <w:rsid w:val="007B6B61"/>
    <w:rsid w:val="007D7A70"/>
    <w:rsid w:val="007E2B18"/>
    <w:rsid w:val="007E4A42"/>
    <w:rsid w:val="007F5075"/>
    <w:rsid w:val="00801D9C"/>
    <w:rsid w:val="0080272C"/>
    <w:rsid w:val="008052A0"/>
    <w:rsid w:val="00807C07"/>
    <w:rsid w:val="00830957"/>
    <w:rsid w:val="00831B3D"/>
    <w:rsid w:val="00861C2F"/>
    <w:rsid w:val="0086376F"/>
    <w:rsid w:val="00865A6F"/>
    <w:rsid w:val="00875D89"/>
    <w:rsid w:val="008813B9"/>
    <w:rsid w:val="008902BA"/>
    <w:rsid w:val="00893E09"/>
    <w:rsid w:val="008A212E"/>
    <w:rsid w:val="008A36B9"/>
    <w:rsid w:val="008A7021"/>
    <w:rsid w:val="008C006F"/>
    <w:rsid w:val="008C71AB"/>
    <w:rsid w:val="008E04DD"/>
    <w:rsid w:val="008E4D3F"/>
    <w:rsid w:val="008E5551"/>
    <w:rsid w:val="009109E3"/>
    <w:rsid w:val="009242CD"/>
    <w:rsid w:val="009248FA"/>
    <w:rsid w:val="00924CA8"/>
    <w:rsid w:val="009251C1"/>
    <w:rsid w:val="00933A84"/>
    <w:rsid w:val="00936637"/>
    <w:rsid w:val="00940C07"/>
    <w:rsid w:val="0094768D"/>
    <w:rsid w:val="0095122E"/>
    <w:rsid w:val="0095711B"/>
    <w:rsid w:val="009678A8"/>
    <w:rsid w:val="00967F24"/>
    <w:rsid w:val="009837D6"/>
    <w:rsid w:val="00985365"/>
    <w:rsid w:val="009967D5"/>
    <w:rsid w:val="009A3C76"/>
    <w:rsid w:val="009A4833"/>
    <w:rsid w:val="009B4A41"/>
    <w:rsid w:val="009B6C96"/>
    <w:rsid w:val="009D721B"/>
    <w:rsid w:val="009F0841"/>
    <w:rsid w:val="009F3492"/>
    <w:rsid w:val="00A05807"/>
    <w:rsid w:val="00A07C96"/>
    <w:rsid w:val="00A10CD5"/>
    <w:rsid w:val="00A12C27"/>
    <w:rsid w:val="00A13EE1"/>
    <w:rsid w:val="00A20379"/>
    <w:rsid w:val="00A2474F"/>
    <w:rsid w:val="00A368DF"/>
    <w:rsid w:val="00A37C9C"/>
    <w:rsid w:val="00A41817"/>
    <w:rsid w:val="00A50F17"/>
    <w:rsid w:val="00A523FB"/>
    <w:rsid w:val="00A55346"/>
    <w:rsid w:val="00A55E0C"/>
    <w:rsid w:val="00A55F22"/>
    <w:rsid w:val="00A57185"/>
    <w:rsid w:val="00A876E7"/>
    <w:rsid w:val="00AA0B3C"/>
    <w:rsid w:val="00AB0642"/>
    <w:rsid w:val="00AB0BAD"/>
    <w:rsid w:val="00AB77F8"/>
    <w:rsid w:val="00AC199A"/>
    <w:rsid w:val="00AC7D07"/>
    <w:rsid w:val="00AD3653"/>
    <w:rsid w:val="00AD571A"/>
    <w:rsid w:val="00AE74D0"/>
    <w:rsid w:val="00AF2F50"/>
    <w:rsid w:val="00AF2F55"/>
    <w:rsid w:val="00B02864"/>
    <w:rsid w:val="00B13125"/>
    <w:rsid w:val="00B13283"/>
    <w:rsid w:val="00B208E9"/>
    <w:rsid w:val="00B22A32"/>
    <w:rsid w:val="00B307EC"/>
    <w:rsid w:val="00B3316C"/>
    <w:rsid w:val="00B347ED"/>
    <w:rsid w:val="00B7053F"/>
    <w:rsid w:val="00B73CE3"/>
    <w:rsid w:val="00B852CB"/>
    <w:rsid w:val="00B90078"/>
    <w:rsid w:val="00BA2942"/>
    <w:rsid w:val="00BB2778"/>
    <w:rsid w:val="00BB34FE"/>
    <w:rsid w:val="00BB5B26"/>
    <w:rsid w:val="00BB612A"/>
    <w:rsid w:val="00BC3FC0"/>
    <w:rsid w:val="00BD2390"/>
    <w:rsid w:val="00BD31CD"/>
    <w:rsid w:val="00BE4083"/>
    <w:rsid w:val="00C050AA"/>
    <w:rsid w:val="00C114D7"/>
    <w:rsid w:val="00C24A53"/>
    <w:rsid w:val="00C34961"/>
    <w:rsid w:val="00C4139F"/>
    <w:rsid w:val="00C438FC"/>
    <w:rsid w:val="00C43E24"/>
    <w:rsid w:val="00C457AE"/>
    <w:rsid w:val="00C50494"/>
    <w:rsid w:val="00C548F8"/>
    <w:rsid w:val="00C55B39"/>
    <w:rsid w:val="00C5730B"/>
    <w:rsid w:val="00C60680"/>
    <w:rsid w:val="00C6116F"/>
    <w:rsid w:val="00C632B9"/>
    <w:rsid w:val="00C6458D"/>
    <w:rsid w:val="00C6770E"/>
    <w:rsid w:val="00C726D7"/>
    <w:rsid w:val="00C77D98"/>
    <w:rsid w:val="00C80025"/>
    <w:rsid w:val="00C80AFC"/>
    <w:rsid w:val="00C854FE"/>
    <w:rsid w:val="00CA272D"/>
    <w:rsid w:val="00CB1786"/>
    <w:rsid w:val="00CC42C2"/>
    <w:rsid w:val="00CD109E"/>
    <w:rsid w:val="00CE6DBC"/>
    <w:rsid w:val="00CF5B31"/>
    <w:rsid w:val="00D05B26"/>
    <w:rsid w:val="00D2491C"/>
    <w:rsid w:val="00D256C4"/>
    <w:rsid w:val="00D327DC"/>
    <w:rsid w:val="00D800CE"/>
    <w:rsid w:val="00D95606"/>
    <w:rsid w:val="00DA23EF"/>
    <w:rsid w:val="00DA2838"/>
    <w:rsid w:val="00DB49B8"/>
    <w:rsid w:val="00DC1E68"/>
    <w:rsid w:val="00DC6E23"/>
    <w:rsid w:val="00DF17BF"/>
    <w:rsid w:val="00DF475D"/>
    <w:rsid w:val="00E01AE2"/>
    <w:rsid w:val="00E02751"/>
    <w:rsid w:val="00E44DC0"/>
    <w:rsid w:val="00E503B2"/>
    <w:rsid w:val="00E504AC"/>
    <w:rsid w:val="00E5137E"/>
    <w:rsid w:val="00E5259A"/>
    <w:rsid w:val="00E64B20"/>
    <w:rsid w:val="00E65098"/>
    <w:rsid w:val="00E65278"/>
    <w:rsid w:val="00E6675A"/>
    <w:rsid w:val="00E67042"/>
    <w:rsid w:val="00E72D32"/>
    <w:rsid w:val="00E8700F"/>
    <w:rsid w:val="00E87FD0"/>
    <w:rsid w:val="00EA3919"/>
    <w:rsid w:val="00EA719A"/>
    <w:rsid w:val="00EB0942"/>
    <w:rsid w:val="00EB22D1"/>
    <w:rsid w:val="00EB435F"/>
    <w:rsid w:val="00EB6E39"/>
    <w:rsid w:val="00ED70D1"/>
    <w:rsid w:val="00EF41CE"/>
    <w:rsid w:val="00F2177A"/>
    <w:rsid w:val="00F24105"/>
    <w:rsid w:val="00F32865"/>
    <w:rsid w:val="00F345B3"/>
    <w:rsid w:val="00F35BE3"/>
    <w:rsid w:val="00F41DD5"/>
    <w:rsid w:val="00F455F8"/>
    <w:rsid w:val="00F45F94"/>
    <w:rsid w:val="00F61E38"/>
    <w:rsid w:val="00F6591B"/>
    <w:rsid w:val="00F6679D"/>
    <w:rsid w:val="00F66AC9"/>
    <w:rsid w:val="00F8019F"/>
    <w:rsid w:val="00F8216B"/>
    <w:rsid w:val="00FA740C"/>
    <w:rsid w:val="00FC0502"/>
    <w:rsid w:val="00FC3443"/>
    <w:rsid w:val="00FC3D71"/>
    <w:rsid w:val="00FC4330"/>
    <w:rsid w:val="00FD0690"/>
    <w:rsid w:val="00FD750D"/>
    <w:rsid w:val="00FE1499"/>
    <w:rsid w:val="00FE4089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11B"/>
  </w:style>
  <w:style w:type="paragraph" w:styleId="Footer">
    <w:name w:val="footer"/>
    <w:basedOn w:val="Normal"/>
    <w:link w:val="FooterChar"/>
    <w:uiPriority w:val="99"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1B"/>
  </w:style>
  <w:style w:type="paragraph" w:styleId="BalloonText">
    <w:name w:val="Balloon Text"/>
    <w:basedOn w:val="Normal"/>
    <w:link w:val="BalloonTextChar"/>
    <w:uiPriority w:val="99"/>
    <w:semiHidden/>
    <w:unhideWhenUsed/>
    <w:rsid w:val="00A1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EE1"/>
    <w:pPr>
      <w:spacing w:after="0" w:line="240" w:lineRule="auto"/>
    </w:pPr>
  </w:style>
  <w:style w:type="table" w:styleId="TableGrid">
    <w:name w:val="Table Grid"/>
    <w:basedOn w:val="TableNormal"/>
    <w:uiPriority w:val="59"/>
    <w:rsid w:val="0068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41D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D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D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854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4F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854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50AA"/>
    <w:rPr>
      <w:color w:val="0000FF" w:themeColor="hyperlink"/>
      <w:u w:val="single"/>
    </w:rPr>
  </w:style>
  <w:style w:type="paragraph" w:customStyle="1" w:styleId="Chapter">
    <w:name w:val="Chapter"/>
    <w:basedOn w:val="Normal"/>
    <w:next w:val="Normal"/>
    <w:rsid w:val="00E5137E"/>
    <w:pPr>
      <w:numPr>
        <w:numId w:val="12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Paragraph">
    <w:name w:val="Paragraph"/>
    <w:basedOn w:val="BodyTextIndent"/>
    <w:link w:val="ParagraphChar"/>
    <w:rsid w:val="00E5137E"/>
    <w:pPr>
      <w:numPr>
        <w:ilvl w:val="1"/>
        <w:numId w:val="12"/>
      </w:numPr>
      <w:tabs>
        <w:tab w:val="clear" w:pos="2448"/>
        <w:tab w:val="num" w:pos="720"/>
      </w:tabs>
      <w:spacing w:before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par">
    <w:name w:val="subpar"/>
    <w:basedOn w:val="BodyTextIndent3"/>
    <w:rsid w:val="00E5137E"/>
    <w:pPr>
      <w:numPr>
        <w:ilvl w:val="2"/>
        <w:numId w:val="12"/>
      </w:numPr>
      <w:tabs>
        <w:tab w:val="clear" w:pos="2304"/>
      </w:tabs>
      <w:ind w:left="360" w:firstLine="0"/>
    </w:pPr>
  </w:style>
  <w:style w:type="paragraph" w:customStyle="1" w:styleId="SubSubPar">
    <w:name w:val="SubSubPar"/>
    <w:basedOn w:val="subpar"/>
    <w:rsid w:val="00E5137E"/>
    <w:pPr>
      <w:numPr>
        <w:ilvl w:val="3"/>
      </w:numPr>
      <w:tabs>
        <w:tab w:val="clear" w:pos="2736"/>
      </w:tabs>
      <w:ind w:left="360" w:firstLine="0"/>
    </w:pPr>
  </w:style>
  <w:style w:type="character" w:customStyle="1" w:styleId="ParagraphChar">
    <w:name w:val="Paragraph Char"/>
    <w:basedOn w:val="DefaultParagraphFont"/>
    <w:link w:val="Paragraph"/>
    <w:rsid w:val="00E5137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3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37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3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37E"/>
    <w:rPr>
      <w:sz w:val="16"/>
      <w:szCs w:val="16"/>
    </w:rPr>
  </w:style>
  <w:style w:type="character" w:customStyle="1" w:styleId="hps">
    <w:name w:val="hps"/>
    <w:basedOn w:val="DefaultParagraphFont"/>
    <w:rsid w:val="00C2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11B"/>
  </w:style>
  <w:style w:type="paragraph" w:styleId="Footer">
    <w:name w:val="footer"/>
    <w:basedOn w:val="Normal"/>
    <w:link w:val="FooterChar"/>
    <w:uiPriority w:val="99"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1B"/>
  </w:style>
  <w:style w:type="paragraph" w:styleId="BalloonText">
    <w:name w:val="Balloon Text"/>
    <w:basedOn w:val="Normal"/>
    <w:link w:val="BalloonTextChar"/>
    <w:uiPriority w:val="99"/>
    <w:semiHidden/>
    <w:unhideWhenUsed/>
    <w:rsid w:val="00A1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EE1"/>
    <w:pPr>
      <w:spacing w:after="0" w:line="240" w:lineRule="auto"/>
    </w:pPr>
  </w:style>
  <w:style w:type="table" w:styleId="TableGrid">
    <w:name w:val="Table Grid"/>
    <w:basedOn w:val="TableNormal"/>
    <w:uiPriority w:val="59"/>
    <w:rsid w:val="0068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41D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D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D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854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4F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854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50AA"/>
    <w:rPr>
      <w:color w:val="0000FF" w:themeColor="hyperlink"/>
      <w:u w:val="single"/>
    </w:rPr>
  </w:style>
  <w:style w:type="paragraph" w:customStyle="1" w:styleId="Chapter">
    <w:name w:val="Chapter"/>
    <w:basedOn w:val="Normal"/>
    <w:next w:val="Normal"/>
    <w:rsid w:val="00E5137E"/>
    <w:pPr>
      <w:numPr>
        <w:numId w:val="12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Paragraph">
    <w:name w:val="Paragraph"/>
    <w:basedOn w:val="BodyTextIndent"/>
    <w:link w:val="ParagraphChar"/>
    <w:rsid w:val="00E5137E"/>
    <w:pPr>
      <w:numPr>
        <w:ilvl w:val="1"/>
        <w:numId w:val="12"/>
      </w:numPr>
      <w:tabs>
        <w:tab w:val="clear" w:pos="2448"/>
        <w:tab w:val="num" w:pos="720"/>
      </w:tabs>
      <w:spacing w:before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par">
    <w:name w:val="subpar"/>
    <w:basedOn w:val="BodyTextIndent3"/>
    <w:rsid w:val="00E5137E"/>
    <w:pPr>
      <w:numPr>
        <w:ilvl w:val="2"/>
        <w:numId w:val="12"/>
      </w:numPr>
      <w:tabs>
        <w:tab w:val="clear" w:pos="2304"/>
      </w:tabs>
      <w:ind w:left="360" w:firstLine="0"/>
    </w:pPr>
  </w:style>
  <w:style w:type="paragraph" w:customStyle="1" w:styleId="SubSubPar">
    <w:name w:val="SubSubPar"/>
    <w:basedOn w:val="subpar"/>
    <w:rsid w:val="00E5137E"/>
    <w:pPr>
      <w:numPr>
        <w:ilvl w:val="3"/>
      </w:numPr>
      <w:tabs>
        <w:tab w:val="clear" w:pos="2736"/>
      </w:tabs>
      <w:ind w:left="360" w:firstLine="0"/>
    </w:pPr>
  </w:style>
  <w:style w:type="character" w:customStyle="1" w:styleId="ParagraphChar">
    <w:name w:val="Paragraph Char"/>
    <w:basedOn w:val="DefaultParagraphFont"/>
    <w:link w:val="Paragraph"/>
    <w:rsid w:val="00E5137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3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37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3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37E"/>
    <w:rPr>
      <w:sz w:val="16"/>
      <w:szCs w:val="16"/>
    </w:rPr>
  </w:style>
  <w:style w:type="character" w:customStyle="1" w:styleId="hps">
    <w:name w:val="hps"/>
    <w:basedOn w:val="DefaultParagraphFont"/>
    <w:rsid w:val="00C2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46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5146">
      <w:bodyDiv w:val="1"/>
      <w:marLeft w:val="0"/>
      <w:marRight w:val="23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005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69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18" Type="http://schemas.openxmlformats.org/officeDocument/2006/relationships/customXml" Target="../customXml/item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40672819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IFD/FMM</Division_x0020_or_x0020_Unit>
    <Approval_x0020_Number xmlns="cdc7663a-08f0-4737-9e8c-148ce897a09c">ATN/FG-13392-CO</Approval_x0020_Number>
    <Document_x0020_Author xmlns="cdc7663a-08f0-4737-9e8c-148ce897a09c">Navarrete, Jesus</Document_x0020_Author>
    <Fiscal_x0020_Year_x0020_IDB xmlns="cdc7663a-08f0-4737-9e8c-148ce897a09c">2016</Fiscal_x0020_Year_x0020_IDB>
    <Other_x0020_Author xmlns="cdc7663a-08f0-4737-9e8c-148ce897a09c" xsi:nil="true"/>
    <Project_x0020_Number xmlns="cdc7663a-08f0-4737-9e8c-148ce897a09c">CO-T1284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WORDTC-ABSTRACT TC Abstract0N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English</Document_x0020_Language_x0020_IDB>
    <Identifier xmlns="cdc7663a-08f0-4737-9e8c-148ce897a09c"> MAIN DOC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EZSHARE-1052140418-111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https://idbg.sharepoint.com/teams/EZ-CO-TCP/CO-T1284/_layouts/15/DocIdRedir.aspx?ID=EZSHARE-1052140418-111</Url>
      <Description>EZSHARE-1052140418-111</Description>
    </_dlc_DocIdUrl>
    <Related_x0020_SisCor_x0020_Number xmlns="cdc7663a-08f0-4737-9e8c-148ce897a0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C1BCC4CC59FB0246B17157635F467246" ma:contentTypeVersion="10" ma:contentTypeDescription="The base project type from which other project content types inherit their information." ma:contentTypeScope="" ma:versionID="aa88e618d194ab1da66d8131c72a0f4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29213739f919661422df68e4f287f077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C1BCC4CC59FB0246B17157635F467246" ma:contentTypeVersion="2989" ma:contentTypeDescription="The base project type from which other project content types inherit their information." ma:contentTypeScope="" ma:versionID="3e417e954f95dd5d15d60bf877c0e87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947c707f1a6e5768f4682cb3d5e402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CO-T1284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3863901F-482B-4EF0-9A03-31C92C232856}"/>
</file>

<file path=customXml/itemProps2.xml><?xml version="1.0" encoding="utf-8"?>
<ds:datastoreItem xmlns:ds="http://schemas.openxmlformats.org/officeDocument/2006/customXml" ds:itemID="{BEB85733-9A10-43DD-BF46-1F8254069BA0}"/>
</file>

<file path=customXml/itemProps3.xml><?xml version="1.0" encoding="utf-8"?>
<ds:datastoreItem xmlns:ds="http://schemas.openxmlformats.org/officeDocument/2006/customXml" ds:itemID="{F69F11BD-A86B-442D-9833-7097B70FFAF4}"/>
</file>

<file path=customXml/itemProps4.xml><?xml version="1.0" encoding="utf-8"?>
<ds:datastoreItem xmlns:ds="http://schemas.openxmlformats.org/officeDocument/2006/customXml" ds:itemID="{B6E2AA4C-A511-4392-8E10-6AC2480AD1D5}"/>
</file>

<file path=customXml/itemProps5.xml><?xml version="1.0" encoding="utf-8"?>
<ds:datastoreItem xmlns:ds="http://schemas.openxmlformats.org/officeDocument/2006/customXml" ds:itemID="{8E537205-AA53-4994-80F7-28D7BD2132B9}"/>
</file>

<file path=customXml/itemProps6.xml><?xml version="1.0" encoding="utf-8"?>
<ds:datastoreItem xmlns:ds="http://schemas.openxmlformats.org/officeDocument/2006/customXml" ds:itemID="{08E57CBF-5DB4-43CB-9D69-F171B81D8F74}"/>
</file>

<file path=customXml/itemProps7.xml><?xml version="1.0" encoding="utf-8"?>
<ds:datastoreItem xmlns:ds="http://schemas.openxmlformats.org/officeDocument/2006/customXml" ds:itemID="{5436FF9B-7889-4C79-A8E4-474B35203C83}"/>
</file>

<file path=customXml/itemProps8.xml><?xml version="1.0" encoding="utf-8"?>
<ds:datastoreItem xmlns:ds="http://schemas.openxmlformats.org/officeDocument/2006/customXml" ds:itemID="{5524C914-E0D2-40A5-9598-5D44BF8B1B79}"/>
</file>

<file path=customXml/itemProps9.xml><?xml version="1.0" encoding="utf-8"?>
<ds:datastoreItem xmlns:ds="http://schemas.openxmlformats.org/officeDocument/2006/customXml" ds:itemID="{A6618782-289A-42A1-8074-54F9F89D3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ABSTRACT_ Sistema de Información para la Revitalización de centros Históricos</dc:title>
  <dc:creator>Yolanda Strachan</dc:creator>
  <cp:lastModifiedBy>IADB</cp:lastModifiedBy>
  <cp:revision>5</cp:revision>
  <cp:lastPrinted>2011-03-28T14:34:00Z</cp:lastPrinted>
  <dcterms:created xsi:type="dcterms:W3CDTF">2012-02-15T22:48:00Z</dcterms:created>
  <dcterms:modified xsi:type="dcterms:W3CDTF">2012-02-16T15:32:00Z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0x010100ACF722E9F6B0B149B0CD8BE2560A667200C1BCC4CC59FB0246B17157635F467246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11;#TC Abstract|7d12d2c9-3b07-4a95-a4b4-99c2881b0472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11;#TC Abstract|7d12d2c9-3b07-4a95-a4b4-99c2881b0472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11100</vt:r8>
  </property>
  <property fmtid="{D5CDD505-2E9C-101B-9397-08002B2CF9AE}" pid="17" name="ATI Undisclose Document Workflow">
    <vt:lpwstr/>
  </property>
  <property fmtid="{D5CDD505-2E9C-101B-9397-08002B2CF9AE}" pid="18" name="ATI Disclose Document Workflow v5">
    <vt:lpwstr/>
  </property>
  <property fmtid="{D5CDD505-2E9C-101B-9397-08002B2CF9AE}" pid="20" name="Disclosure Activity">
    <vt:lpwstr> TC Abstract</vt:lpwstr>
  </property>
  <property fmtid="{D5CDD505-2E9C-101B-9397-08002B2CF9AE}" pid="24" name="Webtopic">
    <vt:lpwstr>Urban Development</vt:lpwstr>
  </property>
  <property fmtid="{D5CDD505-2E9C-101B-9397-08002B2CF9AE}" pid="26" name="Disclosed">
    <vt:bool>true</vt:bool>
  </property>
  <property fmtid="{D5CDD505-2E9C-101B-9397-08002B2CF9AE}" pid="27" name="_dlc_DocIdItemGuid">
    <vt:lpwstr>489d4e37-957b-4234-9104-47961541897b</vt:lpwstr>
  </property>
</Properties>
</file>