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B1" w:rsidRPr="007D0F6A" w:rsidRDefault="003A44B1" w:rsidP="003A44B1">
      <w:pPr>
        <w:pStyle w:val="SubSubPar"/>
        <w:numPr>
          <w:ilvl w:val="0"/>
          <w:numId w:val="0"/>
        </w:numPr>
        <w:spacing w:after="0"/>
        <w:jc w:val="center"/>
        <w:rPr>
          <w:rFonts w:ascii="Arial" w:hAnsi="Arial" w:cs="Arial"/>
          <w:smallCaps/>
        </w:rPr>
      </w:pPr>
      <w:r w:rsidRPr="007D0F6A">
        <w:rPr>
          <w:rFonts w:ascii="Arial" w:hAnsi="Arial" w:cs="Arial"/>
          <w:smallCaps/>
        </w:rPr>
        <w:t xml:space="preserve">Document </w:t>
      </w:r>
      <w:r w:rsidR="004D33B4" w:rsidRPr="007D0F6A">
        <w:rPr>
          <w:rFonts w:ascii="Arial" w:hAnsi="Arial" w:cs="Arial"/>
          <w:smallCaps/>
        </w:rPr>
        <w:t>of the</w:t>
      </w:r>
      <w:r w:rsidRPr="007D0F6A">
        <w:rPr>
          <w:rFonts w:ascii="Arial" w:hAnsi="Arial" w:cs="Arial"/>
          <w:smallCaps/>
        </w:rPr>
        <w:t xml:space="preserve"> </w:t>
      </w:r>
      <w:r w:rsidR="0035174E" w:rsidRPr="007D0F6A">
        <w:rPr>
          <w:rFonts w:ascii="Arial" w:hAnsi="Arial" w:cs="Arial"/>
          <w:smallCaps/>
        </w:rPr>
        <w:t>Inter-American</w:t>
      </w:r>
      <w:r w:rsidRPr="007D0F6A">
        <w:rPr>
          <w:rFonts w:ascii="Arial" w:hAnsi="Arial" w:cs="Arial"/>
          <w:smallCaps/>
        </w:rPr>
        <w:t xml:space="preserve"> De</w:t>
      </w:r>
      <w:r w:rsidR="004D33B4" w:rsidRPr="007D0F6A">
        <w:rPr>
          <w:rFonts w:ascii="Arial" w:hAnsi="Arial" w:cs="Arial"/>
          <w:smallCaps/>
        </w:rPr>
        <w:t>velopment Bank</w:t>
      </w:r>
    </w:p>
    <w:p w:rsidR="003A44B1" w:rsidRPr="007D0F6A" w:rsidRDefault="003A44B1" w:rsidP="003A44B1">
      <w:pPr>
        <w:tabs>
          <w:tab w:val="left" w:pos="1440"/>
          <w:tab w:val="left" w:pos="3060"/>
        </w:tabs>
        <w:jc w:val="center"/>
        <w:rPr>
          <w:rFonts w:ascii="Arial" w:hAnsi="Arial" w:cs="Arial"/>
        </w:rPr>
      </w:pPr>
    </w:p>
    <w:p w:rsidR="00D823BE" w:rsidRPr="007D0F6A" w:rsidRDefault="00D823BE" w:rsidP="003A44B1">
      <w:pPr>
        <w:tabs>
          <w:tab w:val="left" w:pos="1440"/>
          <w:tab w:val="left" w:pos="3060"/>
        </w:tabs>
        <w:jc w:val="center"/>
        <w:rPr>
          <w:rFonts w:ascii="Arial" w:hAnsi="Arial" w:cs="Arial"/>
        </w:rPr>
      </w:pPr>
    </w:p>
    <w:p w:rsidR="00D823BE" w:rsidRPr="007D0F6A" w:rsidRDefault="00D823BE" w:rsidP="003A44B1">
      <w:pPr>
        <w:tabs>
          <w:tab w:val="left" w:pos="1440"/>
          <w:tab w:val="left" w:pos="3060"/>
        </w:tabs>
        <w:jc w:val="center"/>
        <w:rPr>
          <w:rFonts w:ascii="Arial" w:hAnsi="Arial" w:cs="Arial"/>
        </w:rPr>
      </w:pPr>
    </w:p>
    <w:p w:rsidR="00265D69" w:rsidRPr="007D0F6A" w:rsidRDefault="00265D69" w:rsidP="00265D69">
      <w:pPr>
        <w:ind w:left="540" w:hanging="540"/>
        <w:jc w:val="center"/>
        <w:rPr>
          <w:rFonts w:ascii="Arial" w:hAnsi="Arial" w:cs="Arial"/>
          <w:b/>
          <w:sz w:val="24"/>
          <w:szCs w:val="24"/>
        </w:rPr>
      </w:pPr>
    </w:p>
    <w:p w:rsidR="00265D69" w:rsidRPr="007D0F6A" w:rsidRDefault="004D33B4" w:rsidP="00265D69">
      <w:pPr>
        <w:jc w:val="center"/>
        <w:rPr>
          <w:rStyle w:val="BookTitle"/>
          <w:rFonts w:ascii="Arial" w:hAnsi="Arial" w:cs="Arial"/>
          <w:sz w:val="28"/>
        </w:rPr>
      </w:pPr>
      <w:r w:rsidRPr="007D0F6A">
        <w:rPr>
          <w:rStyle w:val="BookTitle"/>
          <w:rFonts w:ascii="Arial" w:hAnsi="Arial" w:cs="Arial"/>
          <w:sz w:val="28"/>
        </w:rPr>
        <w:t>BRAZIL</w:t>
      </w:r>
    </w:p>
    <w:p w:rsidR="00265D69" w:rsidRPr="007D0F6A" w:rsidRDefault="00265D69" w:rsidP="00265D69">
      <w:pPr>
        <w:jc w:val="center"/>
        <w:rPr>
          <w:rStyle w:val="BookTitle"/>
          <w:rFonts w:ascii="Arial" w:hAnsi="Arial" w:cs="Arial"/>
          <w:sz w:val="28"/>
        </w:rPr>
      </w:pPr>
    </w:p>
    <w:p w:rsidR="004D33B4" w:rsidRPr="007D0F6A" w:rsidRDefault="004D33B4" w:rsidP="004D33B4">
      <w:pPr>
        <w:tabs>
          <w:tab w:val="left" w:pos="1440"/>
          <w:tab w:val="left" w:pos="3060"/>
        </w:tabs>
        <w:jc w:val="center"/>
        <w:rPr>
          <w:rFonts w:ascii="Arial" w:hAnsi="Arial" w:cs="Arial"/>
          <w:b/>
          <w:smallCaps/>
          <w:sz w:val="28"/>
          <w:szCs w:val="28"/>
        </w:rPr>
      </w:pPr>
      <w:r w:rsidRPr="007D0F6A">
        <w:rPr>
          <w:rFonts w:ascii="Arial" w:hAnsi="Arial" w:cs="Arial"/>
          <w:b/>
          <w:smallCaps/>
          <w:sz w:val="28"/>
          <w:szCs w:val="28"/>
        </w:rPr>
        <w:t xml:space="preserve">Conditional Credit Line for Investment Projects (CCLIP) for </w:t>
      </w:r>
      <w:r w:rsidR="00B7274C">
        <w:rPr>
          <w:rFonts w:ascii="Arial" w:hAnsi="Arial" w:cs="Arial"/>
          <w:b/>
          <w:smallCaps/>
          <w:sz w:val="28"/>
          <w:szCs w:val="28"/>
        </w:rPr>
        <w:t xml:space="preserve">Financing </w:t>
      </w:r>
      <w:bookmarkStart w:id="0" w:name="_GoBack"/>
      <w:bookmarkEnd w:id="0"/>
      <w:r w:rsidRPr="007D0F6A">
        <w:rPr>
          <w:rFonts w:ascii="Arial" w:hAnsi="Arial" w:cs="Arial"/>
          <w:b/>
          <w:smallCaps/>
          <w:sz w:val="28"/>
          <w:szCs w:val="28"/>
        </w:rPr>
        <w:t>Productive and Sustainable Investments</w:t>
      </w:r>
    </w:p>
    <w:p w:rsidR="004D33B4" w:rsidRPr="007D0F6A" w:rsidRDefault="004D33B4" w:rsidP="004D33B4">
      <w:pPr>
        <w:tabs>
          <w:tab w:val="left" w:pos="1440"/>
          <w:tab w:val="left" w:pos="3060"/>
        </w:tabs>
        <w:jc w:val="center"/>
        <w:rPr>
          <w:rFonts w:ascii="Arial" w:hAnsi="Arial" w:cs="Arial"/>
          <w:b/>
          <w:smallCaps/>
          <w:sz w:val="28"/>
          <w:szCs w:val="28"/>
        </w:rPr>
      </w:pPr>
    </w:p>
    <w:p w:rsidR="004D33B4" w:rsidRPr="007D0F6A" w:rsidRDefault="004D33B4" w:rsidP="004D33B4">
      <w:pPr>
        <w:tabs>
          <w:tab w:val="left" w:pos="1440"/>
          <w:tab w:val="left" w:pos="3060"/>
        </w:tabs>
        <w:jc w:val="center"/>
        <w:rPr>
          <w:rFonts w:ascii="Arial" w:hAnsi="Arial" w:cs="Arial"/>
          <w:b/>
          <w:smallCaps/>
        </w:rPr>
      </w:pPr>
      <w:r w:rsidRPr="007D0F6A">
        <w:rPr>
          <w:rFonts w:ascii="Arial" w:hAnsi="Arial" w:cs="Arial"/>
          <w:b/>
          <w:smallCaps/>
        </w:rPr>
        <w:t>(BR-O0001)</w:t>
      </w:r>
    </w:p>
    <w:p w:rsidR="004D33B4" w:rsidRPr="007D0F6A" w:rsidRDefault="004D33B4" w:rsidP="004D33B4">
      <w:pPr>
        <w:tabs>
          <w:tab w:val="left" w:pos="1440"/>
          <w:tab w:val="left" w:pos="3060"/>
        </w:tabs>
        <w:jc w:val="center"/>
        <w:rPr>
          <w:rFonts w:ascii="Arial" w:hAnsi="Arial" w:cs="Arial"/>
          <w:b/>
          <w:smallCaps/>
          <w:sz w:val="28"/>
          <w:szCs w:val="28"/>
        </w:rPr>
      </w:pPr>
    </w:p>
    <w:p w:rsidR="004D33B4" w:rsidRPr="007D0F6A" w:rsidRDefault="004D33B4" w:rsidP="004D33B4">
      <w:pPr>
        <w:tabs>
          <w:tab w:val="left" w:pos="1440"/>
          <w:tab w:val="left" w:pos="3060"/>
        </w:tabs>
        <w:jc w:val="center"/>
        <w:rPr>
          <w:rFonts w:ascii="Arial" w:hAnsi="Arial" w:cs="Arial"/>
          <w:b/>
          <w:smallCaps/>
          <w:sz w:val="28"/>
          <w:szCs w:val="28"/>
        </w:rPr>
      </w:pPr>
    </w:p>
    <w:p w:rsidR="004D33B4" w:rsidRPr="007D0F6A" w:rsidRDefault="004D33B4" w:rsidP="004D33B4">
      <w:pPr>
        <w:tabs>
          <w:tab w:val="left" w:pos="1440"/>
          <w:tab w:val="left" w:pos="3060"/>
        </w:tabs>
        <w:jc w:val="center"/>
        <w:rPr>
          <w:rFonts w:ascii="Arial" w:hAnsi="Arial" w:cs="Arial"/>
          <w:b/>
          <w:smallCaps/>
          <w:sz w:val="28"/>
          <w:szCs w:val="28"/>
        </w:rPr>
      </w:pPr>
      <w:r w:rsidRPr="007D0F6A">
        <w:rPr>
          <w:rFonts w:ascii="Arial" w:hAnsi="Arial" w:cs="Arial"/>
          <w:b/>
          <w:smallCaps/>
          <w:sz w:val="28"/>
          <w:szCs w:val="28"/>
        </w:rPr>
        <w:t>First Program under the CCLIP: Financing Program for Sustainable Energy</w:t>
      </w:r>
    </w:p>
    <w:p w:rsidR="004D33B4" w:rsidRPr="007D0F6A" w:rsidRDefault="004D33B4" w:rsidP="004D33B4">
      <w:pPr>
        <w:pStyle w:val="Newpage"/>
        <w:rPr>
          <w:rFonts w:ascii="Arial" w:hAnsi="Arial" w:cs="Arial"/>
          <w:b w:val="0"/>
          <w:caps/>
          <w:smallCaps w:val="0"/>
          <w:sz w:val="22"/>
          <w:szCs w:val="22"/>
          <w:lang w:val="en-US"/>
        </w:rPr>
      </w:pPr>
    </w:p>
    <w:p w:rsidR="004D33B4" w:rsidRPr="007D0F6A" w:rsidRDefault="004D33B4" w:rsidP="004D33B4">
      <w:pPr>
        <w:tabs>
          <w:tab w:val="left" w:pos="1440"/>
          <w:tab w:val="left" w:pos="3060"/>
        </w:tabs>
        <w:jc w:val="center"/>
        <w:rPr>
          <w:rFonts w:ascii="Arial" w:hAnsi="Arial" w:cs="Arial"/>
          <w:b/>
          <w:smallCaps/>
        </w:rPr>
      </w:pPr>
      <w:r w:rsidRPr="007D0F6A">
        <w:rPr>
          <w:rFonts w:ascii="Arial" w:hAnsi="Arial" w:cs="Arial"/>
          <w:b/>
          <w:smallCaps/>
        </w:rPr>
        <w:t>(BR-L1442)</w:t>
      </w:r>
    </w:p>
    <w:p w:rsidR="00265D69" w:rsidRPr="007D0F6A" w:rsidRDefault="00265D69" w:rsidP="00265D69">
      <w:pPr>
        <w:ind w:left="540" w:hanging="540"/>
        <w:jc w:val="center"/>
        <w:rPr>
          <w:rFonts w:ascii="Arial" w:hAnsi="Arial" w:cs="Arial"/>
          <w:b/>
          <w:sz w:val="24"/>
          <w:szCs w:val="24"/>
        </w:rPr>
      </w:pPr>
    </w:p>
    <w:p w:rsidR="00265D69" w:rsidRPr="007D0F6A" w:rsidRDefault="00265D69" w:rsidP="00265D69">
      <w:pPr>
        <w:ind w:left="540" w:hanging="540"/>
        <w:jc w:val="center"/>
        <w:rPr>
          <w:rFonts w:ascii="Arial" w:hAnsi="Arial" w:cs="Arial"/>
          <w:b/>
          <w:sz w:val="24"/>
          <w:szCs w:val="24"/>
        </w:rPr>
      </w:pPr>
    </w:p>
    <w:p w:rsidR="00265D69" w:rsidRPr="007D0F6A" w:rsidRDefault="00265D69" w:rsidP="00265D69">
      <w:pPr>
        <w:ind w:left="540" w:hanging="540"/>
        <w:jc w:val="center"/>
        <w:rPr>
          <w:rFonts w:ascii="Arial" w:hAnsi="Arial" w:cs="Arial"/>
          <w:b/>
          <w:sz w:val="24"/>
          <w:szCs w:val="24"/>
        </w:rPr>
      </w:pPr>
    </w:p>
    <w:p w:rsidR="00265D69" w:rsidRPr="007D0F6A" w:rsidRDefault="00265D69" w:rsidP="00265D69">
      <w:pPr>
        <w:tabs>
          <w:tab w:val="left" w:pos="1440"/>
          <w:tab w:val="left" w:pos="3060"/>
        </w:tabs>
        <w:jc w:val="center"/>
        <w:outlineLvl w:val="0"/>
        <w:rPr>
          <w:rFonts w:ascii="Arial" w:hAnsi="Arial" w:cs="Arial"/>
          <w:b/>
          <w:smallCaps/>
          <w:sz w:val="28"/>
          <w:szCs w:val="28"/>
        </w:rPr>
      </w:pPr>
      <w:r w:rsidRPr="007D0F6A">
        <w:rPr>
          <w:rFonts w:ascii="Arial" w:hAnsi="Arial" w:cs="Arial"/>
          <w:b/>
          <w:smallCaps/>
          <w:sz w:val="28"/>
          <w:szCs w:val="28"/>
        </w:rPr>
        <w:t>Econ</w:t>
      </w:r>
      <w:r w:rsidR="004D33B4" w:rsidRPr="007D0F6A">
        <w:rPr>
          <w:rFonts w:ascii="Arial" w:hAnsi="Arial" w:cs="Arial"/>
          <w:b/>
          <w:smallCaps/>
          <w:sz w:val="28"/>
          <w:szCs w:val="28"/>
        </w:rPr>
        <w:t>o</w:t>
      </w:r>
      <w:r w:rsidRPr="007D0F6A">
        <w:rPr>
          <w:rFonts w:ascii="Arial" w:hAnsi="Arial" w:cs="Arial"/>
          <w:b/>
          <w:smallCaps/>
          <w:sz w:val="28"/>
          <w:szCs w:val="28"/>
        </w:rPr>
        <w:t>mic</w:t>
      </w:r>
      <w:r w:rsidR="004D33B4" w:rsidRPr="007D0F6A">
        <w:rPr>
          <w:rFonts w:ascii="Arial" w:hAnsi="Arial" w:cs="Arial"/>
          <w:b/>
          <w:smallCaps/>
          <w:sz w:val="28"/>
          <w:szCs w:val="28"/>
        </w:rPr>
        <w:t xml:space="preserve"> Analysis</w:t>
      </w:r>
    </w:p>
    <w:p w:rsidR="00265D69" w:rsidRPr="007D0F6A" w:rsidRDefault="00265D69" w:rsidP="00265D69">
      <w:pPr>
        <w:ind w:left="540" w:hanging="540"/>
        <w:jc w:val="center"/>
        <w:rPr>
          <w:rFonts w:ascii="Arial" w:hAnsi="Arial" w:cs="Arial"/>
          <w:b/>
          <w:sz w:val="24"/>
          <w:szCs w:val="24"/>
        </w:rPr>
      </w:pPr>
    </w:p>
    <w:p w:rsidR="00265D69" w:rsidRPr="007D0F6A" w:rsidRDefault="00265D69" w:rsidP="00265D69">
      <w:pPr>
        <w:ind w:left="540" w:hanging="540"/>
        <w:jc w:val="center"/>
        <w:rPr>
          <w:rFonts w:ascii="Arial" w:hAnsi="Arial" w:cs="Arial"/>
          <w:b/>
          <w:sz w:val="24"/>
          <w:szCs w:val="24"/>
        </w:rPr>
      </w:pPr>
    </w:p>
    <w:p w:rsidR="00265D69" w:rsidRPr="007D0F6A" w:rsidRDefault="004D33B4" w:rsidP="00265D69">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4"/>
          <w:szCs w:val="24"/>
          <w:lang w:val="en-US"/>
        </w:rPr>
      </w:pPr>
      <w:r w:rsidRPr="007D0F6A">
        <w:rPr>
          <w:rFonts w:ascii="Arial" w:hAnsi="Arial" w:cs="Arial"/>
          <w:sz w:val="20"/>
          <w:lang w:val="en-US"/>
        </w:rPr>
        <w:t>This document was prepared by</w:t>
      </w:r>
      <w:r w:rsidR="0035174E" w:rsidRPr="007D0F6A">
        <w:rPr>
          <w:rFonts w:ascii="Arial" w:hAnsi="Arial" w:cs="Arial"/>
          <w:sz w:val="20"/>
          <w:lang w:val="en-US"/>
        </w:rPr>
        <w:t xml:space="preserve"> the project team composed by</w:t>
      </w:r>
      <w:r w:rsidR="0035174E" w:rsidRPr="007D0F6A">
        <w:rPr>
          <w:rFonts w:ascii="Arial" w:hAnsi="Arial" w:cs="Arial"/>
          <w:sz w:val="20"/>
          <w:szCs w:val="24"/>
          <w:lang w:val="en-US"/>
        </w:rPr>
        <w:t>: Maria Netto (IFD/CMF), Team Leader, Isabel Haro (IFD/CMF)</w:t>
      </w:r>
      <w:r w:rsidR="00177CB8" w:rsidRPr="007D0F6A">
        <w:rPr>
          <w:rFonts w:ascii="Arial" w:hAnsi="Arial" w:cs="Arial"/>
          <w:sz w:val="20"/>
          <w:szCs w:val="24"/>
          <w:lang w:val="en-US"/>
        </w:rPr>
        <w:t xml:space="preserve">, </w:t>
      </w:r>
      <w:r w:rsidR="0035174E" w:rsidRPr="007D0F6A">
        <w:rPr>
          <w:rFonts w:ascii="Arial" w:hAnsi="Arial" w:cs="Arial"/>
          <w:sz w:val="20"/>
          <w:szCs w:val="24"/>
          <w:lang w:val="en-US"/>
        </w:rPr>
        <w:t>Arturo Alarcon (ENE/CBR)</w:t>
      </w:r>
      <w:r w:rsidR="00177CB8" w:rsidRPr="007D0F6A">
        <w:rPr>
          <w:rFonts w:ascii="Arial" w:hAnsi="Arial" w:cs="Arial"/>
          <w:sz w:val="20"/>
          <w:szCs w:val="24"/>
          <w:lang w:val="en-US"/>
        </w:rPr>
        <w:t xml:space="preserve"> and Jacqueline Bueso-Merriam (SPD/SDV)</w:t>
      </w:r>
      <w:r w:rsidR="0035174E" w:rsidRPr="007D0F6A">
        <w:rPr>
          <w:rFonts w:ascii="Arial" w:hAnsi="Arial" w:cs="Arial"/>
          <w:sz w:val="20"/>
          <w:szCs w:val="24"/>
          <w:lang w:val="en-US"/>
        </w:rPr>
        <w:t>.</w:t>
      </w:r>
      <w:r w:rsidR="00265D69" w:rsidRPr="007D0F6A">
        <w:rPr>
          <w:rFonts w:ascii="Arial" w:hAnsi="Arial" w:cs="Arial"/>
          <w:sz w:val="20"/>
          <w:szCs w:val="24"/>
          <w:lang w:val="en-US"/>
        </w:rPr>
        <w:t xml:space="preserve"> </w:t>
      </w:r>
    </w:p>
    <w:p w:rsidR="00C51CF0" w:rsidRPr="007D0F6A" w:rsidRDefault="00C51CF0" w:rsidP="00E5795B">
      <w:pPr>
        <w:tabs>
          <w:tab w:val="left" w:pos="1440"/>
          <w:tab w:val="left" w:pos="3060"/>
        </w:tabs>
        <w:jc w:val="center"/>
        <w:outlineLvl w:val="0"/>
        <w:rPr>
          <w:rFonts w:ascii="Arial" w:hAnsi="Arial" w:cs="Arial"/>
          <w:b/>
          <w:smallCaps/>
          <w:sz w:val="24"/>
          <w:szCs w:val="24"/>
        </w:rPr>
      </w:pPr>
    </w:p>
    <w:p w:rsidR="00E5795B" w:rsidRPr="007D0F6A" w:rsidRDefault="00E5795B" w:rsidP="00E5795B">
      <w:pPr>
        <w:tabs>
          <w:tab w:val="left" w:pos="1440"/>
          <w:tab w:val="left" w:pos="3060"/>
        </w:tabs>
        <w:jc w:val="center"/>
        <w:outlineLvl w:val="0"/>
        <w:rPr>
          <w:rFonts w:ascii="Arial" w:hAnsi="Arial" w:cs="Arial"/>
          <w:b/>
          <w:smallCaps/>
          <w:sz w:val="24"/>
          <w:szCs w:val="24"/>
        </w:rPr>
      </w:pPr>
      <w:r w:rsidRPr="007D0F6A">
        <w:rPr>
          <w:rFonts w:ascii="Arial" w:hAnsi="Arial" w:cs="Arial"/>
          <w:b/>
          <w:smallCaps/>
          <w:sz w:val="24"/>
          <w:szCs w:val="24"/>
        </w:rPr>
        <w:lastRenderedPageBreak/>
        <w:t>Conten</w:t>
      </w:r>
      <w:r w:rsidR="004E4F25" w:rsidRPr="007D0F6A">
        <w:rPr>
          <w:rFonts w:ascii="Arial" w:hAnsi="Arial" w:cs="Arial"/>
          <w:b/>
          <w:smallCaps/>
          <w:sz w:val="24"/>
          <w:szCs w:val="24"/>
        </w:rPr>
        <w:t>ts</w:t>
      </w:r>
    </w:p>
    <w:p w:rsidR="00173BAE" w:rsidRPr="007D0F6A" w:rsidRDefault="00E5795B">
      <w:pPr>
        <w:pStyle w:val="TOC1"/>
        <w:rPr>
          <w:rFonts w:ascii="Arial" w:hAnsi="Arial" w:cs="Arial"/>
          <w:smallCaps w:val="0"/>
          <w:noProof w:val="0"/>
          <w:sz w:val="22"/>
          <w:lang w:val="en-US"/>
        </w:rPr>
      </w:pPr>
      <w:r w:rsidRPr="007D0F6A">
        <w:rPr>
          <w:rFonts w:ascii="Arial" w:eastAsiaTheme="minorHAnsi" w:hAnsi="Arial" w:cs="Arial"/>
          <w:noProof w:val="0"/>
          <w:sz w:val="22"/>
          <w:lang w:val="en-US"/>
        </w:rPr>
        <w:fldChar w:fldCharType="begin"/>
      </w:r>
      <w:r w:rsidRPr="007D0F6A">
        <w:rPr>
          <w:rFonts w:ascii="Arial" w:hAnsi="Arial" w:cs="Arial"/>
          <w:noProof w:val="0"/>
          <w:sz w:val="22"/>
          <w:lang w:val="en-US"/>
        </w:rPr>
        <w:instrText xml:space="preserve"> TOC \f \t "Chapter,1,FirstHeading,2,SecHeading,3" </w:instrText>
      </w:r>
      <w:r w:rsidRPr="007D0F6A">
        <w:rPr>
          <w:rFonts w:ascii="Arial" w:eastAsiaTheme="minorHAnsi" w:hAnsi="Arial" w:cs="Arial"/>
          <w:noProof w:val="0"/>
          <w:sz w:val="22"/>
          <w:lang w:val="en-US"/>
        </w:rPr>
        <w:fldChar w:fldCharType="separate"/>
      </w:r>
      <w:r w:rsidR="00173BAE" w:rsidRPr="007D0F6A">
        <w:rPr>
          <w:rFonts w:ascii="Arial" w:hAnsi="Arial" w:cs="Arial"/>
          <w:noProof w:val="0"/>
          <w:sz w:val="22"/>
          <w:lang w:val="en-US"/>
        </w:rPr>
        <w:t>I.</w:t>
      </w:r>
      <w:r w:rsidR="00173BAE" w:rsidRPr="007D0F6A">
        <w:rPr>
          <w:rFonts w:ascii="Arial" w:hAnsi="Arial" w:cs="Arial"/>
          <w:smallCaps w:val="0"/>
          <w:noProof w:val="0"/>
          <w:sz w:val="22"/>
          <w:lang w:val="en-US"/>
        </w:rPr>
        <w:tab/>
      </w:r>
      <w:r w:rsidR="00173BAE" w:rsidRPr="007D0F6A">
        <w:rPr>
          <w:rFonts w:ascii="Arial" w:hAnsi="Arial" w:cs="Arial"/>
          <w:noProof w:val="0"/>
          <w:sz w:val="22"/>
          <w:lang w:val="en-US"/>
        </w:rPr>
        <w:t>Introduction</w:t>
      </w:r>
      <w:r w:rsidR="00173BAE" w:rsidRPr="007D0F6A">
        <w:rPr>
          <w:rFonts w:ascii="Arial" w:hAnsi="Arial" w:cs="Arial"/>
          <w:noProof w:val="0"/>
          <w:sz w:val="22"/>
          <w:lang w:val="en-US"/>
        </w:rPr>
        <w:tab/>
      </w:r>
      <w:r w:rsidR="00173BAE" w:rsidRPr="007D0F6A">
        <w:rPr>
          <w:rFonts w:ascii="Arial" w:hAnsi="Arial" w:cs="Arial"/>
          <w:noProof w:val="0"/>
          <w:sz w:val="22"/>
          <w:lang w:val="en-US"/>
        </w:rPr>
        <w:fldChar w:fldCharType="begin"/>
      </w:r>
      <w:r w:rsidR="00173BAE" w:rsidRPr="007D0F6A">
        <w:rPr>
          <w:rFonts w:ascii="Arial" w:hAnsi="Arial" w:cs="Arial"/>
          <w:noProof w:val="0"/>
          <w:sz w:val="22"/>
          <w:lang w:val="en-US"/>
        </w:rPr>
        <w:instrText xml:space="preserve"> PAGEREF _Toc461128187 \h </w:instrText>
      </w:r>
      <w:r w:rsidR="00173BAE" w:rsidRPr="007D0F6A">
        <w:rPr>
          <w:rFonts w:ascii="Arial" w:hAnsi="Arial" w:cs="Arial"/>
          <w:noProof w:val="0"/>
          <w:sz w:val="22"/>
          <w:lang w:val="en-US"/>
        </w:rPr>
      </w:r>
      <w:r w:rsidR="00173BAE" w:rsidRPr="007D0F6A">
        <w:rPr>
          <w:rFonts w:ascii="Arial" w:hAnsi="Arial" w:cs="Arial"/>
          <w:noProof w:val="0"/>
          <w:sz w:val="22"/>
          <w:lang w:val="en-US"/>
        </w:rPr>
        <w:fldChar w:fldCharType="separate"/>
      </w:r>
      <w:r w:rsidR="00173BAE" w:rsidRPr="007D0F6A">
        <w:rPr>
          <w:rFonts w:ascii="Arial" w:hAnsi="Arial" w:cs="Arial"/>
          <w:noProof w:val="0"/>
          <w:sz w:val="22"/>
          <w:lang w:val="en-US"/>
        </w:rPr>
        <w:t>3</w:t>
      </w:r>
      <w:r w:rsidR="00173BAE" w:rsidRPr="007D0F6A">
        <w:rPr>
          <w:rFonts w:ascii="Arial" w:hAnsi="Arial" w:cs="Arial"/>
          <w:noProof w:val="0"/>
          <w:sz w:val="22"/>
          <w:lang w:val="en-US"/>
        </w:rPr>
        <w:fldChar w:fldCharType="end"/>
      </w:r>
    </w:p>
    <w:p w:rsidR="00173BAE" w:rsidRPr="007D0F6A" w:rsidRDefault="00173BAE">
      <w:pPr>
        <w:pStyle w:val="TOC1"/>
        <w:rPr>
          <w:rFonts w:ascii="Arial" w:hAnsi="Arial" w:cs="Arial"/>
          <w:smallCaps w:val="0"/>
          <w:noProof w:val="0"/>
          <w:sz w:val="22"/>
          <w:lang w:val="en-US"/>
        </w:rPr>
      </w:pPr>
      <w:r w:rsidRPr="007D0F6A">
        <w:rPr>
          <w:rFonts w:ascii="Arial" w:hAnsi="Arial" w:cs="Arial"/>
          <w:noProof w:val="0"/>
          <w:sz w:val="22"/>
          <w:lang w:val="en-US"/>
        </w:rPr>
        <w:t>II.</w:t>
      </w:r>
      <w:r w:rsidRPr="007D0F6A">
        <w:rPr>
          <w:rFonts w:ascii="Arial" w:hAnsi="Arial" w:cs="Arial"/>
          <w:smallCaps w:val="0"/>
          <w:noProof w:val="0"/>
          <w:sz w:val="22"/>
          <w:lang w:val="en-US"/>
        </w:rPr>
        <w:tab/>
      </w:r>
      <w:r w:rsidRPr="007D0F6A">
        <w:rPr>
          <w:rFonts w:ascii="Arial" w:hAnsi="Arial" w:cs="Arial"/>
          <w:noProof w:val="0"/>
          <w:sz w:val="22"/>
          <w:lang w:val="en-US"/>
        </w:rPr>
        <w:t>Methodology and Assumptions</w:t>
      </w:r>
      <w:r w:rsidRPr="007D0F6A">
        <w:rPr>
          <w:rFonts w:ascii="Arial" w:hAnsi="Arial" w:cs="Arial"/>
          <w:noProof w:val="0"/>
          <w:sz w:val="22"/>
          <w:lang w:val="en-US"/>
        </w:rPr>
        <w:tab/>
      </w:r>
      <w:r w:rsidRPr="007D0F6A">
        <w:rPr>
          <w:rFonts w:ascii="Arial" w:hAnsi="Arial" w:cs="Arial"/>
          <w:noProof w:val="0"/>
          <w:sz w:val="22"/>
          <w:lang w:val="en-US"/>
        </w:rPr>
        <w:fldChar w:fldCharType="begin"/>
      </w:r>
      <w:r w:rsidRPr="007D0F6A">
        <w:rPr>
          <w:rFonts w:ascii="Arial" w:hAnsi="Arial" w:cs="Arial"/>
          <w:noProof w:val="0"/>
          <w:sz w:val="22"/>
          <w:lang w:val="en-US"/>
        </w:rPr>
        <w:instrText xml:space="preserve"> PAGEREF _Toc461128188 \h </w:instrText>
      </w:r>
      <w:r w:rsidRPr="007D0F6A">
        <w:rPr>
          <w:rFonts w:ascii="Arial" w:hAnsi="Arial" w:cs="Arial"/>
          <w:noProof w:val="0"/>
          <w:sz w:val="22"/>
          <w:lang w:val="en-US"/>
        </w:rPr>
      </w:r>
      <w:r w:rsidRPr="007D0F6A">
        <w:rPr>
          <w:rFonts w:ascii="Arial" w:hAnsi="Arial" w:cs="Arial"/>
          <w:noProof w:val="0"/>
          <w:sz w:val="22"/>
          <w:lang w:val="en-US"/>
        </w:rPr>
        <w:fldChar w:fldCharType="separate"/>
      </w:r>
      <w:r w:rsidRPr="007D0F6A">
        <w:rPr>
          <w:rFonts w:ascii="Arial" w:hAnsi="Arial" w:cs="Arial"/>
          <w:noProof w:val="0"/>
          <w:sz w:val="22"/>
          <w:lang w:val="en-US"/>
        </w:rPr>
        <w:t>4</w:t>
      </w:r>
      <w:r w:rsidRPr="007D0F6A">
        <w:rPr>
          <w:rFonts w:ascii="Arial" w:hAnsi="Arial" w:cs="Arial"/>
          <w:noProof w:val="0"/>
          <w:sz w:val="22"/>
          <w:lang w:val="en-US"/>
        </w:rPr>
        <w:fldChar w:fldCharType="end"/>
      </w:r>
    </w:p>
    <w:p w:rsidR="00173BAE" w:rsidRPr="007D0F6A" w:rsidRDefault="00173BAE">
      <w:pPr>
        <w:pStyle w:val="TOC2"/>
        <w:rPr>
          <w:rFonts w:ascii="Arial" w:hAnsi="Arial" w:cs="Arial"/>
          <w:sz w:val="22"/>
        </w:rPr>
      </w:pPr>
      <w:r w:rsidRPr="007D0F6A">
        <w:rPr>
          <w:rFonts w:ascii="Arial" w:hAnsi="Arial" w:cs="Arial"/>
          <w:sz w:val="22"/>
        </w:rPr>
        <w:t>A.</w:t>
      </w:r>
      <w:r w:rsidRPr="007D0F6A">
        <w:rPr>
          <w:rFonts w:ascii="Arial" w:hAnsi="Arial" w:cs="Arial"/>
          <w:sz w:val="22"/>
        </w:rPr>
        <w:tab/>
        <w:t>Proposed methodology</w:t>
      </w:r>
      <w:r w:rsidRPr="007D0F6A">
        <w:rPr>
          <w:rFonts w:ascii="Arial" w:hAnsi="Arial" w:cs="Arial"/>
          <w:sz w:val="22"/>
        </w:rPr>
        <w:tab/>
      </w:r>
      <w:r w:rsidRPr="007D0F6A">
        <w:rPr>
          <w:rFonts w:ascii="Arial" w:hAnsi="Arial" w:cs="Arial"/>
          <w:sz w:val="22"/>
        </w:rPr>
        <w:fldChar w:fldCharType="begin"/>
      </w:r>
      <w:r w:rsidRPr="007D0F6A">
        <w:rPr>
          <w:rFonts w:ascii="Arial" w:hAnsi="Arial" w:cs="Arial"/>
          <w:sz w:val="22"/>
        </w:rPr>
        <w:instrText xml:space="preserve"> PAGEREF _Toc461128189 \h </w:instrText>
      </w:r>
      <w:r w:rsidRPr="007D0F6A">
        <w:rPr>
          <w:rFonts w:ascii="Arial" w:hAnsi="Arial" w:cs="Arial"/>
          <w:sz w:val="22"/>
        </w:rPr>
      </w:r>
      <w:r w:rsidRPr="007D0F6A">
        <w:rPr>
          <w:rFonts w:ascii="Arial" w:hAnsi="Arial" w:cs="Arial"/>
          <w:sz w:val="22"/>
        </w:rPr>
        <w:fldChar w:fldCharType="separate"/>
      </w:r>
      <w:r w:rsidRPr="007D0F6A">
        <w:rPr>
          <w:rFonts w:ascii="Arial" w:hAnsi="Arial" w:cs="Arial"/>
          <w:sz w:val="22"/>
        </w:rPr>
        <w:t>4</w:t>
      </w:r>
      <w:r w:rsidRPr="007D0F6A">
        <w:rPr>
          <w:rFonts w:ascii="Arial" w:hAnsi="Arial" w:cs="Arial"/>
          <w:sz w:val="22"/>
        </w:rPr>
        <w:fldChar w:fldCharType="end"/>
      </w:r>
    </w:p>
    <w:p w:rsidR="00173BAE" w:rsidRPr="007D0F6A" w:rsidRDefault="00173BAE">
      <w:pPr>
        <w:pStyle w:val="TOC2"/>
        <w:rPr>
          <w:rFonts w:ascii="Arial" w:hAnsi="Arial" w:cs="Arial"/>
          <w:sz w:val="22"/>
        </w:rPr>
      </w:pPr>
      <w:r w:rsidRPr="007D0F6A">
        <w:rPr>
          <w:rFonts w:ascii="Arial" w:hAnsi="Arial" w:cs="Arial"/>
          <w:sz w:val="22"/>
        </w:rPr>
        <w:t>B.</w:t>
      </w:r>
      <w:r w:rsidRPr="007D0F6A">
        <w:rPr>
          <w:rFonts w:ascii="Arial" w:hAnsi="Arial" w:cs="Arial"/>
          <w:sz w:val="22"/>
        </w:rPr>
        <w:tab/>
        <w:t>Identification and quantification of economic costs and benefits</w:t>
      </w:r>
      <w:r w:rsidRPr="007D0F6A">
        <w:rPr>
          <w:rFonts w:ascii="Arial" w:hAnsi="Arial" w:cs="Arial"/>
          <w:sz w:val="22"/>
        </w:rPr>
        <w:tab/>
      </w:r>
      <w:r w:rsidRPr="007D0F6A">
        <w:rPr>
          <w:rFonts w:ascii="Arial" w:hAnsi="Arial" w:cs="Arial"/>
          <w:sz w:val="22"/>
        </w:rPr>
        <w:fldChar w:fldCharType="begin"/>
      </w:r>
      <w:r w:rsidRPr="007D0F6A">
        <w:rPr>
          <w:rFonts w:ascii="Arial" w:hAnsi="Arial" w:cs="Arial"/>
          <w:sz w:val="22"/>
        </w:rPr>
        <w:instrText xml:space="preserve"> PAGEREF _Toc461128190 \h </w:instrText>
      </w:r>
      <w:r w:rsidRPr="007D0F6A">
        <w:rPr>
          <w:rFonts w:ascii="Arial" w:hAnsi="Arial" w:cs="Arial"/>
          <w:sz w:val="22"/>
        </w:rPr>
      </w:r>
      <w:r w:rsidRPr="007D0F6A">
        <w:rPr>
          <w:rFonts w:ascii="Arial" w:hAnsi="Arial" w:cs="Arial"/>
          <w:sz w:val="22"/>
        </w:rPr>
        <w:fldChar w:fldCharType="separate"/>
      </w:r>
      <w:r w:rsidRPr="007D0F6A">
        <w:rPr>
          <w:rFonts w:ascii="Arial" w:hAnsi="Arial" w:cs="Arial"/>
          <w:sz w:val="22"/>
        </w:rPr>
        <w:t>7</w:t>
      </w:r>
      <w:r w:rsidRPr="007D0F6A">
        <w:rPr>
          <w:rFonts w:ascii="Arial" w:hAnsi="Arial" w:cs="Arial"/>
          <w:sz w:val="22"/>
        </w:rPr>
        <w:fldChar w:fldCharType="end"/>
      </w:r>
    </w:p>
    <w:p w:rsidR="00173BAE" w:rsidRPr="007D0F6A" w:rsidRDefault="00173BAE">
      <w:pPr>
        <w:pStyle w:val="TOC1"/>
        <w:rPr>
          <w:rFonts w:ascii="Arial" w:hAnsi="Arial" w:cs="Arial"/>
          <w:smallCaps w:val="0"/>
          <w:noProof w:val="0"/>
          <w:sz w:val="22"/>
          <w:lang w:val="en-US"/>
        </w:rPr>
      </w:pPr>
      <w:r w:rsidRPr="007D0F6A">
        <w:rPr>
          <w:rFonts w:ascii="Arial" w:hAnsi="Arial" w:cs="Arial"/>
          <w:noProof w:val="0"/>
          <w:sz w:val="22"/>
          <w:lang w:val="en-US"/>
        </w:rPr>
        <w:t>III.</w:t>
      </w:r>
      <w:r w:rsidRPr="007D0F6A">
        <w:rPr>
          <w:rFonts w:ascii="Arial" w:hAnsi="Arial" w:cs="Arial"/>
          <w:smallCaps w:val="0"/>
          <w:noProof w:val="0"/>
          <w:sz w:val="22"/>
          <w:lang w:val="en-US"/>
        </w:rPr>
        <w:tab/>
      </w:r>
      <w:r w:rsidRPr="007D0F6A">
        <w:rPr>
          <w:rFonts w:ascii="Arial" w:hAnsi="Arial" w:cs="Arial"/>
          <w:noProof w:val="0"/>
          <w:sz w:val="22"/>
          <w:lang w:val="en-US"/>
        </w:rPr>
        <w:t>Other Considerations</w:t>
      </w:r>
      <w:r w:rsidRPr="007D0F6A">
        <w:rPr>
          <w:rFonts w:ascii="Arial" w:hAnsi="Arial" w:cs="Arial"/>
          <w:noProof w:val="0"/>
          <w:sz w:val="22"/>
          <w:lang w:val="en-US"/>
        </w:rPr>
        <w:tab/>
      </w:r>
      <w:r w:rsidRPr="007D0F6A">
        <w:rPr>
          <w:rFonts w:ascii="Arial" w:hAnsi="Arial" w:cs="Arial"/>
          <w:noProof w:val="0"/>
          <w:sz w:val="22"/>
          <w:lang w:val="en-US"/>
        </w:rPr>
        <w:fldChar w:fldCharType="begin"/>
      </w:r>
      <w:r w:rsidRPr="007D0F6A">
        <w:rPr>
          <w:rFonts w:ascii="Arial" w:hAnsi="Arial" w:cs="Arial"/>
          <w:noProof w:val="0"/>
          <w:sz w:val="22"/>
          <w:lang w:val="en-US"/>
        </w:rPr>
        <w:instrText xml:space="preserve"> PAGEREF _Toc461128191 \h </w:instrText>
      </w:r>
      <w:r w:rsidRPr="007D0F6A">
        <w:rPr>
          <w:rFonts w:ascii="Arial" w:hAnsi="Arial" w:cs="Arial"/>
          <w:noProof w:val="0"/>
          <w:sz w:val="22"/>
          <w:lang w:val="en-US"/>
        </w:rPr>
      </w:r>
      <w:r w:rsidRPr="007D0F6A">
        <w:rPr>
          <w:rFonts w:ascii="Arial" w:hAnsi="Arial" w:cs="Arial"/>
          <w:noProof w:val="0"/>
          <w:sz w:val="22"/>
          <w:lang w:val="en-US"/>
        </w:rPr>
        <w:fldChar w:fldCharType="separate"/>
      </w:r>
      <w:r w:rsidRPr="007D0F6A">
        <w:rPr>
          <w:rFonts w:ascii="Arial" w:hAnsi="Arial" w:cs="Arial"/>
          <w:noProof w:val="0"/>
          <w:sz w:val="22"/>
          <w:lang w:val="en-US"/>
        </w:rPr>
        <w:t>11</w:t>
      </w:r>
      <w:r w:rsidRPr="007D0F6A">
        <w:rPr>
          <w:rFonts w:ascii="Arial" w:hAnsi="Arial" w:cs="Arial"/>
          <w:noProof w:val="0"/>
          <w:sz w:val="22"/>
          <w:lang w:val="en-US"/>
        </w:rPr>
        <w:fldChar w:fldCharType="end"/>
      </w:r>
    </w:p>
    <w:p w:rsidR="00173BAE" w:rsidRPr="007D0F6A" w:rsidRDefault="00173BAE">
      <w:pPr>
        <w:pStyle w:val="TOC1"/>
        <w:rPr>
          <w:rFonts w:ascii="Arial" w:hAnsi="Arial" w:cs="Arial"/>
          <w:smallCaps w:val="0"/>
          <w:noProof w:val="0"/>
          <w:sz w:val="22"/>
          <w:lang w:val="en-US"/>
        </w:rPr>
      </w:pPr>
      <w:r w:rsidRPr="007D0F6A">
        <w:rPr>
          <w:rFonts w:ascii="Arial" w:hAnsi="Arial" w:cs="Arial"/>
          <w:noProof w:val="0"/>
          <w:sz w:val="22"/>
          <w:lang w:val="en-US"/>
        </w:rPr>
        <w:t>IV.</w:t>
      </w:r>
      <w:r w:rsidRPr="007D0F6A">
        <w:rPr>
          <w:rFonts w:ascii="Arial" w:hAnsi="Arial" w:cs="Arial"/>
          <w:smallCaps w:val="0"/>
          <w:noProof w:val="0"/>
          <w:sz w:val="22"/>
          <w:lang w:val="en-US"/>
        </w:rPr>
        <w:tab/>
      </w:r>
      <w:r w:rsidRPr="007D0F6A">
        <w:rPr>
          <w:rFonts w:ascii="Arial" w:hAnsi="Arial" w:cs="Arial"/>
          <w:noProof w:val="0"/>
          <w:sz w:val="22"/>
          <w:lang w:val="en-US"/>
        </w:rPr>
        <w:t>Results of the Analysis</w:t>
      </w:r>
      <w:r w:rsidRPr="007D0F6A">
        <w:rPr>
          <w:rFonts w:ascii="Arial" w:hAnsi="Arial" w:cs="Arial"/>
          <w:noProof w:val="0"/>
          <w:sz w:val="22"/>
          <w:lang w:val="en-US"/>
        </w:rPr>
        <w:tab/>
      </w:r>
      <w:r w:rsidRPr="007D0F6A">
        <w:rPr>
          <w:rFonts w:ascii="Arial" w:hAnsi="Arial" w:cs="Arial"/>
          <w:noProof w:val="0"/>
          <w:sz w:val="22"/>
          <w:lang w:val="en-US"/>
        </w:rPr>
        <w:fldChar w:fldCharType="begin"/>
      </w:r>
      <w:r w:rsidRPr="007D0F6A">
        <w:rPr>
          <w:rFonts w:ascii="Arial" w:hAnsi="Arial" w:cs="Arial"/>
          <w:noProof w:val="0"/>
          <w:sz w:val="22"/>
          <w:lang w:val="en-US"/>
        </w:rPr>
        <w:instrText xml:space="preserve"> PAGEREF _Toc461128192 \h </w:instrText>
      </w:r>
      <w:r w:rsidRPr="007D0F6A">
        <w:rPr>
          <w:rFonts w:ascii="Arial" w:hAnsi="Arial" w:cs="Arial"/>
          <w:noProof w:val="0"/>
          <w:sz w:val="22"/>
          <w:lang w:val="en-US"/>
        </w:rPr>
      </w:r>
      <w:r w:rsidRPr="007D0F6A">
        <w:rPr>
          <w:rFonts w:ascii="Arial" w:hAnsi="Arial" w:cs="Arial"/>
          <w:noProof w:val="0"/>
          <w:sz w:val="22"/>
          <w:lang w:val="en-US"/>
        </w:rPr>
        <w:fldChar w:fldCharType="separate"/>
      </w:r>
      <w:r w:rsidRPr="007D0F6A">
        <w:rPr>
          <w:rFonts w:ascii="Arial" w:hAnsi="Arial" w:cs="Arial"/>
          <w:noProof w:val="0"/>
          <w:sz w:val="22"/>
          <w:lang w:val="en-US"/>
        </w:rPr>
        <w:t>12</w:t>
      </w:r>
      <w:r w:rsidRPr="007D0F6A">
        <w:rPr>
          <w:rFonts w:ascii="Arial" w:hAnsi="Arial" w:cs="Arial"/>
          <w:noProof w:val="0"/>
          <w:sz w:val="22"/>
          <w:lang w:val="en-US"/>
        </w:rPr>
        <w:fldChar w:fldCharType="end"/>
      </w:r>
    </w:p>
    <w:p w:rsidR="00173BAE" w:rsidRPr="007D0F6A" w:rsidRDefault="00173BAE">
      <w:pPr>
        <w:pStyle w:val="TOC1"/>
        <w:rPr>
          <w:rFonts w:ascii="Arial" w:hAnsi="Arial" w:cs="Arial"/>
          <w:smallCaps w:val="0"/>
          <w:noProof w:val="0"/>
          <w:sz w:val="22"/>
          <w:lang w:val="en-US"/>
        </w:rPr>
      </w:pPr>
      <w:r w:rsidRPr="007D0F6A">
        <w:rPr>
          <w:rFonts w:ascii="Arial" w:hAnsi="Arial" w:cs="Arial"/>
          <w:noProof w:val="0"/>
          <w:sz w:val="22"/>
          <w:lang w:val="en-US"/>
        </w:rPr>
        <w:t>V.</w:t>
      </w:r>
      <w:r w:rsidRPr="007D0F6A">
        <w:rPr>
          <w:rFonts w:ascii="Arial" w:hAnsi="Arial" w:cs="Arial"/>
          <w:smallCaps w:val="0"/>
          <w:noProof w:val="0"/>
          <w:sz w:val="22"/>
          <w:lang w:val="en-US"/>
        </w:rPr>
        <w:tab/>
      </w:r>
      <w:r w:rsidRPr="007D0F6A">
        <w:rPr>
          <w:rFonts w:ascii="Arial" w:hAnsi="Arial" w:cs="Arial"/>
          <w:noProof w:val="0"/>
          <w:sz w:val="22"/>
          <w:lang w:val="en-US"/>
        </w:rPr>
        <w:t>Sensitivity Analysis</w:t>
      </w:r>
      <w:r w:rsidRPr="007D0F6A">
        <w:rPr>
          <w:rFonts w:ascii="Arial" w:hAnsi="Arial" w:cs="Arial"/>
          <w:noProof w:val="0"/>
          <w:sz w:val="22"/>
          <w:lang w:val="en-US"/>
        </w:rPr>
        <w:tab/>
      </w:r>
      <w:r w:rsidRPr="007D0F6A">
        <w:rPr>
          <w:rFonts w:ascii="Arial" w:hAnsi="Arial" w:cs="Arial"/>
          <w:noProof w:val="0"/>
          <w:sz w:val="22"/>
          <w:lang w:val="en-US"/>
        </w:rPr>
        <w:fldChar w:fldCharType="begin"/>
      </w:r>
      <w:r w:rsidRPr="007D0F6A">
        <w:rPr>
          <w:rFonts w:ascii="Arial" w:hAnsi="Arial" w:cs="Arial"/>
          <w:noProof w:val="0"/>
          <w:sz w:val="22"/>
          <w:lang w:val="en-US"/>
        </w:rPr>
        <w:instrText xml:space="preserve"> PAGEREF _Toc461128193 \h </w:instrText>
      </w:r>
      <w:r w:rsidRPr="007D0F6A">
        <w:rPr>
          <w:rFonts w:ascii="Arial" w:hAnsi="Arial" w:cs="Arial"/>
          <w:noProof w:val="0"/>
          <w:sz w:val="22"/>
          <w:lang w:val="en-US"/>
        </w:rPr>
      </w:r>
      <w:r w:rsidRPr="007D0F6A">
        <w:rPr>
          <w:rFonts w:ascii="Arial" w:hAnsi="Arial" w:cs="Arial"/>
          <w:noProof w:val="0"/>
          <w:sz w:val="22"/>
          <w:lang w:val="en-US"/>
        </w:rPr>
        <w:fldChar w:fldCharType="separate"/>
      </w:r>
      <w:r w:rsidRPr="007D0F6A">
        <w:rPr>
          <w:rFonts w:ascii="Arial" w:hAnsi="Arial" w:cs="Arial"/>
          <w:noProof w:val="0"/>
          <w:sz w:val="22"/>
          <w:lang w:val="en-US"/>
        </w:rPr>
        <w:t>12</w:t>
      </w:r>
      <w:r w:rsidRPr="007D0F6A">
        <w:rPr>
          <w:rFonts w:ascii="Arial" w:hAnsi="Arial" w:cs="Arial"/>
          <w:noProof w:val="0"/>
          <w:sz w:val="22"/>
          <w:lang w:val="en-US"/>
        </w:rPr>
        <w:fldChar w:fldCharType="end"/>
      </w:r>
    </w:p>
    <w:p w:rsidR="00173BAE" w:rsidRPr="007D0F6A" w:rsidRDefault="00173BAE">
      <w:pPr>
        <w:pStyle w:val="TOC1"/>
        <w:rPr>
          <w:rFonts w:ascii="Arial" w:hAnsi="Arial" w:cs="Arial"/>
          <w:smallCaps w:val="0"/>
          <w:noProof w:val="0"/>
          <w:sz w:val="22"/>
          <w:lang w:val="en-US"/>
        </w:rPr>
      </w:pPr>
      <w:r w:rsidRPr="007D0F6A">
        <w:rPr>
          <w:rFonts w:ascii="Arial" w:hAnsi="Arial" w:cs="Arial"/>
          <w:noProof w:val="0"/>
          <w:sz w:val="22"/>
          <w:lang w:val="en-US"/>
        </w:rPr>
        <w:t>VI.</w:t>
      </w:r>
      <w:r w:rsidRPr="007D0F6A">
        <w:rPr>
          <w:rFonts w:ascii="Arial" w:hAnsi="Arial" w:cs="Arial"/>
          <w:smallCaps w:val="0"/>
          <w:noProof w:val="0"/>
          <w:sz w:val="22"/>
          <w:lang w:val="en-US"/>
        </w:rPr>
        <w:tab/>
      </w:r>
      <w:r w:rsidRPr="007D0F6A">
        <w:rPr>
          <w:rFonts w:ascii="Arial" w:hAnsi="Arial" w:cs="Arial"/>
          <w:noProof w:val="0"/>
          <w:sz w:val="22"/>
          <w:lang w:val="en-US"/>
        </w:rPr>
        <w:t>Conclusions</w:t>
      </w:r>
      <w:r w:rsidRPr="007D0F6A">
        <w:rPr>
          <w:rFonts w:ascii="Arial" w:hAnsi="Arial" w:cs="Arial"/>
          <w:noProof w:val="0"/>
          <w:sz w:val="22"/>
          <w:lang w:val="en-US"/>
        </w:rPr>
        <w:tab/>
      </w:r>
      <w:r w:rsidRPr="007D0F6A">
        <w:rPr>
          <w:rFonts w:ascii="Arial" w:hAnsi="Arial" w:cs="Arial"/>
          <w:noProof w:val="0"/>
          <w:sz w:val="22"/>
          <w:lang w:val="en-US"/>
        </w:rPr>
        <w:fldChar w:fldCharType="begin"/>
      </w:r>
      <w:r w:rsidRPr="007D0F6A">
        <w:rPr>
          <w:rFonts w:ascii="Arial" w:hAnsi="Arial" w:cs="Arial"/>
          <w:noProof w:val="0"/>
          <w:sz w:val="22"/>
          <w:lang w:val="en-US"/>
        </w:rPr>
        <w:instrText xml:space="preserve"> PAGEREF _Toc461128194 \h </w:instrText>
      </w:r>
      <w:r w:rsidRPr="007D0F6A">
        <w:rPr>
          <w:rFonts w:ascii="Arial" w:hAnsi="Arial" w:cs="Arial"/>
          <w:noProof w:val="0"/>
          <w:sz w:val="22"/>
          <w:lang w:val="en-US"/>
        </w:rPr>
      </w:r>
      <w:r w:rsidRPr="007D0F6A">
        <w:rPr>
          <w:rFonts w:ascii="Arial" w:hAnsi="Arial" w:cs="Arial"/>
          <w:noProof w:val="0"/>
          <w:sz w:val="22"/>
          <w:lang w:val="en-US"/>
        </w:rPr>
        <w:fldChar w:fldCharType="separate"/>
      </w:r>
      <w:r w:rsidRPr="007D0F6A">
        <w:rPr>
          <w:rFonts w:ascii="Arial" w:hAnsi="Arial" w:cs="Arial"/>
          <w:noProof w:val="0"/>
          <w:sz w:val="22"/>
          <w:lang w:val="en-US"/>
        </w:rPr>
        <w:t>13</w:t>
      </w:r>
      <w:r w:rsidRPr="007D0F6A">
        <w:rPr>
          <w:rFonts w:ascii="Arial" w:hAnsi="Arial" w:cs="Arial"/>
          <w:noProof w:val="0"/>
          <w:sz w:val="22"/>
          <w:lang w:val="en-US"/>
        </w:rPr>
        <w:fldChar w:fldCharType="end"/>
      </w:r>
    </w:p>
    <w:p w:rsidR="00E5795B" w:rsidRPr="007D0F6A" w:rsidRDefault="00E5795B" w:rsidP="00E5795B">
      <w:pPr>
        <w:pStyle w:val="TOC3"/>
        <w:rPr>
          <w:rFonts w:ascii="Arial" w:hAnsi="Arial" w:cs="Arial"/>
        </w:rPr>
      </w:pPr>
      <w:r w:rsidRPr="007D0F6A">
        <w:rPr>
          <w:rFonts w:ascii="Arial" w:hAnsi="Arial" w:cs="Arial"/>
          <w:sz w:val="22"/>
        </w:rPr>
        <w:fldChar w:fldCharType="end"/>
      </w:r>
    </w:p>
    <w:p w:rsidR="001F5395" w:rsidRPr="007D0F6A" w:rsidRDefault="001F5395">
      <w:pPr>
        <w:rPr>
          <w:rFonts w:ascii="Arial" w:hAnsi="Arial" w:cs="Arial"/>
        </w:rPr>
      </w:pPr>
      <w:r w:rsidRPr="007D0F6A">
        <w:rPr>
          <w:rFonts w:ascii="Arial" w:hAnsi="Arial" w:cs="Arial"/>
        </w:rPr>
        <w:br w:type="page"/>
      </w:r>
    </w:p>
    <w:p w:rsidR="00E5795B" w:rsidRPr="007D0F6A" w:rsidRDefault="00281172" w:rsidP="00A510D0">
      <w:pPr>
        <w:pStyle w:val="Chapter"/>
        <w:numPr>
          <w:ilvl w:val="0"/>
          <w:numId w:val="15"/>
        </w:numPr>
        <w:tabs>
          <w:tab w:val="clear" w:pos="1440"/>
          <w:tab w:val="clear" w:pos="1800"/>
          <w:tab w:val="left" w:pos="360"/>
        </w:tabs>
        <w:spacing w:before="360"/>
        <w:ind w:left="0" w:firstLine="0"/>
        <w:rPr>
          <w:rFonts w:ascii="Arial" w:hAnsi="Arial" w:cs="Arial"/>
        </w:rPr>
      </w:pPr>
      <w:bookmarkStart w:id="1" w:name="_Toc461128187"/>
      <w:r w:rsidRPr="007D0F6A">
        <w:rPr>
          <w:rFonts w:ascii="Arial" w:hAnsi="Arial" w:cs="Arial"/>
        </w:rPr>
        <w:lastRenderedPageBreak/>
        <w:t>Introductio</w:t>
      </w:r>
      <w:r w:rsidR="00E5795B" w:rsidRPr="007D0F6A">
        <w:rPr>
          <w:rFonts w:ascii="Arial" w:hAnsi="Arial" w:cs="Arial"/>
        </w:rPr>
        <w:t>n</w:t>
      </w:r>
      <w:bookmarkStart w:id="2" w:name="_Ref320198321"/>
      <w:bookmarkEnd w:id="1"/>
    </w:p>
    <w:bookmarkEnd w:id="2"/>
    <w:p w:rsidR="00F570B3" w:rsidRPr="007D0F6A" w:rsidRDefault="00E86966" w:rsidP="00E86966">
      <w:pPr>
        <w:pStyle w:val="Paragraph"/>
        <w:numPr>
          <w:ilvl w:val="1"/>
          <w:numId w:val="10"/>
        </w:numPr>
        <w:tabs>
          <w:tab w:val="clear" w:pos="1746"/>
          <w:tab w:val="num" w:pos="720"/>
        </w:tabs>
        <w:ind w:left="720" w:hanging="720"/>
        <w:rPr>
          <w:rFonts w:ascii="Arial" w:hAnsi="Arial" w:cs="Arial"/>
          <w:sz w:val="22"/>
        </w:rPr>
      </w:pPr>
      <w:r w:rsidRPr="007D0F6A">
        <w:rPr>
          <w:rFonts w:ascii="Arial" w:hAnsi="Arial" w:cs="Arial"/>
          <w:sz w:val="22"/>
        </w:rPr>
        <w:t xml:space="preserve">The Financing Program for Sustainable Energy (BR-L1442), the first program under the Conditional Credit Line for Investment Projects (CCLIP) for Productive and Sustainable Investments (BR-O0001), has the objective of promoting investments in sustainable energy projects so as to contribute to meet Brazil’s goal of diversifying its energy matrix and efficient use of energy, minimizing GHG emissions in Brazil. </w:t>
      </w:r>
    </w:p>
    <w:p w:rsidR="00E86966" w:rsidRPr="007D0F6A" w:rsidRDefault="00281172" w:rsidP="000B0692">
      <w:pPr>
        <w:pStyle w:val="Paragraph"/>
        <w:numPr>
          <w:ilvl w:val="1"/>
          <w:numId w:val="10"/>
        </w:numPr>
        <w:tabs>
          <w:tab w:val="clear" w:pos="1746"/>
          <w:tab w:val="num" w:pos="720"/>
        </w:tabs>
        <w:ind w:left="720" w:hanging="720"/>
        <w:rPr>
          <w:rFonts w:ascii="Arial" w:hAnsi="Arial" w:cs="Arial"/>
          <w:sz w:val="22"/>
        </w:rPr>
      </w:pPr>
      <w:r w:rsidRPr="007D0F6A">
        <w:rPr>
          <w:rFonts w:ascii="Arial" w:hAnsi="Arial" w:cs="Arial"/>
          <w:sz w:val="22"/>
        </w:rPr>
        <w:t>As described in the Proposal for Operation Development (POD), t</w:t>
      </w:r>
      <w:r w:rsidR="00E86966" w:rsidRPr="007D0F6A">
        <w:rPr>
          <w:rFonts w:ascii="Arial" w:hAnsi="Arial" w:cs="Arial"/>
          <w:sz w:val="22"/>
        </w:rPr>
        <w:t>he problem that the CCLIP aims to address is the lack of adequate financing for those private investments more likely to stimulate productivity and sustainability in Brazil. By increasing access to medium and long-term financing, the CCLIP would enable firms to increase their investment,</w:t>
      </w:r>
      <w:r w:rsidR="00E86966" w:rsidRPr="007D0F6A">
        <w:rPr>
          <w:rFonts w:ascii="Arial" w:hAnsi="Arial" w:cs="Arial"/>
          <w:sz w:val="22"/>
          <w:vertAlign w:val="superscript"/>
        </w:rPr>
        <w:footnoteReference w:id="1"/>
      </w:r>
      <w:r w:rsidR="00E86966" w:rsidRPr="007D0F6A">
        <w:rPr>
          <w:rFonts w:ascii="Arial" w:hAnsi="Arial" w:cs="Arial"/>
          <w:sz w:val="22"/>
        </w:rPr>
        <w:t xml:space="preserve"> with focus on three strategic areas (infrastructure investments, clean energy investments and productive investment of SMEs) where a potential for contributions to long-term growth has been identified and a counter-cyclical intervention is considered more valuable.</w:t>
      </w:r>
    </w:p>
    <w:p w:rsidR="00281172" w:rsidRPr="007D0F6A" w:rsidRDefault="00281172" w:rsidP="000B0692">
      <w:pPr>
        <w:pStyle w:val="Paragraph"/>
        <w:numPr>
          <w:ilvl w:val="1"/>
          <w:numId w:val="10"/>
        </w:numPr>
        <w:tabs>
          <w:tab w:val="clear" w:pos="1746"/>
          <w:tab w:val="num" w:pos="720"/>
        </w:tabs>
        <w:ind w:left="720" w:hanging="720"/>
        <w:rPr>
          <w:rFonts w:ascii="Arial" w:hAnsi="Arial" w:cs="Arial"/>
          <w:sz w:val="22"/>
        </w:rPr>
      </w:pPr>
      <w:r w:rsidRPr="007D0F6A">
        <w:rPr>
          <w:rFonts w:ascii="Arial" w:hAnsi="Arial" w:cs="Arial"/>
          <w:sz w:val="22"/>
        </w:rPr>
        <w:t xml:space="preserve">The CCLIP is conceived as a flexible instrument with the general goal of promoting productive and sustainable investment in Brazil by channeling long˗term financing for private projects in different sectors. The first program will consist of a single component under which the </w:t>
      </w:r>
      <w:r w:rsidRPr="007D0F6A">
        <w:rPr>
          <w:rFonts w:ascii="Arial" w:hAnsi="Arial" w:cs="Arial"/>
          <w:i/>
          <w:sz w:val="22"/>
        </w:rPr>
        <w:t>Banco Nacional de Desenvolvimento Econômico e Social</w:t>
      </w:r>
      <w:r w:rsidRPr="007D0F6A">
        <w:rPr>
          <w:rFonts w:ascii="Arial" w:hAnsi="Arial" w:cs="Arial"/>
          <w:sz w:val="22"/>
        </w:rPr>
        <w:t xml:space="preserve"> (BNDES) –the largest state-owned development bank and the main source of long-term financing in the country– will use IDB funding along with its own resources to provide financial support to private developers of sustainable energy projects through direct/indirect sub loans. More specifically, projects to be financed include: (i) electricity generation from </w:t>
      </w:r>
      <w:r w:rsidR="005628F5">
        <w:rPr>
          <w:rFonts w:ascii="Arial" w:hAnsi="Arial" w:cs="Arial"/>
          <w:sz w:val="22"/>
        </w:rPr>
        <w:t>A</w:t>
      </w:r>
      <w:r w:rsidR="000E4DFE" w:rsidRPr="007D0F6A">
        <w:rPr>
          <w:rFonts w:ascii="Arial" w:hAnsi="Arial" w:cs="Arial"/>
          <w:sz w:val="22"/>
        </w:rPr>
        <w:t xml:space="preserve">lternative </w:t>
      </w:r>
      <w:r w:rsidR="005628F5">
        <w:rPr>
          <w:rFonts w:ascii="Arial" w:hAnsi="Arial" w:cs="Arial"/>
          <w:sz w:val="22"/>
        </w:rPr>
        <w:t>R</w:t>
      </w:r>
      <w:r w:rsidR="000E4DFE" w:rsidRPr="007D0F6A">
        <w:rPr>
          <w:rFonts w:ascii="Arial" w:hAnsi="Arial" w:cs="Arial"/>
          <w:sz w:val="22"/>
        </w:rPr>
        <w:t xml:space="preserve">enewable </w:t>
      </w:r>
      <w:r w:rsidR="005628F5">
        <w:rPr>
          <w:rFonts w:ascii="Arial" w:hAnsi="Arial" w:cs="Arial"/>
          <w:sz w:val="22"/>
        </w:rPr>
        <w:t>E</w:t>
      </w:r>
      <w:r w:rsidR="000E4DFE" w:rsidRPr="007D0F6A">
        <w:rPr>
          <w:rFonts w:ascii="Arial" w:hAnsi="Arial" w:cs="Arial"/>
          <w:sz w:val="22"/>
        </w:rPr>
        <w:t>nergy (</w:t>
      </w:r>
      <w:r w:rsidR="00297D54" w:rsidRPr="007D0F6A">
        <w:rPr>
          <w:rFonts w:ascii="Arial" w:hAnsi="Arial" w:cs="Arial"/>
          <w:sz w:val="22"/>
        </w:rPr>
        <w:t>A</w:t>
      </w:r>
      <w:r w:rsidRPr="007D0F6A">
        <w:rPr>
          <w:rFonts w:ascii="Arial" w:hAnsi="Arial" w:cs="Arial"/>
          <w:sz w:val="22"/>
        </w:rPr>
        <w:t>RE</w:t>
      </w:r>
      <w:r w:rsidR="000E4DFE" w:rsidRPr="007D0F6A">
        <w:rPr>
          <w:rFonts w:ascii="Arial" w:hAnsi="Arial" w:cs="Arial"/>
          <w:sz w:val="22"/>
        </w:rPr>
        <w:t>)</w:t>
      </w:r>
      <w:r w:rsidRPr="007D0F6A">
        <w:rPr>
          <w:rFonts w:ascii="Arial" w:hAnsi="Arial" w:cs="Arial"/>
          <w:sz w:val="22"/>
        </w:rPr>
        <w:t xml:space="preserve"> sources</w:t>
      </w:r>
      <w:r w:rsidRPr="007D0F6A">
        <w:rPr>
          <w:rFonts w:ascii="Arial" w:hAnsi="Arial" w:cs="Arial"/>
          <w:sz w:val="22"/>
          <w:vertAlign w:val="superscript"/>
        </w:rPr>
        <w:footnoteReference w:id="2"/>
      </w:r>
      <w:r w:rsidRPr="007D0F6A">
        <w:rPr>
          <w:rFonts w:ascii="Arial" w:hAnsi="Arial" w:cs="Arial"/>
          <w:sz w:val="22"/>
        </w:rPr>
        <w:t xml:space="preserve">; and (ii) medium to large </w:t>
      </w:r>
      <w:r w:rsidR="005628F5">
        <w:rPr>
          <w:rFonts w:ascii="Arial" w:hAnsi="Arial" w:cs="Arial"/>
          <w:sz w:val="22"/>
        </w:rPr>
        <w:t>E</w:t>
      </w:r>
      <w:r w:rsidR="000E4DFE" w:rsidRPr="007D0F6A">
        <w:rPr>
          <w:rFonts w:ascii="Arial" w:hAnsi="Arial" w:cs="Arial"/>
          <w:sz w:val="22"/>
        </w:rPr>
        <w:t xml:space="preserve">nergy </w:t>
      </w:r>
      <w:r w:rsidR="005628F5">
        <w:rPr>
          <w:rFonts w:ascii="Arial" w:hAnsi="Arial" w:cs="Arial"/>
          <w:sz w:val="22"/>
        </w:rPr>
        <w:t>E</w:t>
      </w:r>
      <w:r w:rsidR="000E4DFE" w:rsidRPr="007D0F6A">
        <w:rPr>
          <w:rFonts w:ascii="Arial" w:hAnsi="Arial" w:cs="Arial"/>
          <w:sz w:val="22"/>
        </w:rPr>
        <w:t>fficiency (</w:t>
      </w:r>
      <w:r w:rsidRPr="007D0F6A">
        <w:rPr>
          <w:rFonts w:ascii="Arial" w:hAnsi="Arial" w:cs="Arial"/>
          <w:sz w:val="22"/>
        </w:rPr>
        <w:t>EE</w:t>
      </w:r>
      <w:r w:rsidR="000E4DFE" w:rsidRPr="007D0F6A">
        <w:rPr>
          <w:rFonts w:ascii="Arial" w:hAnsi="Arial" w:cs="Arial"/>
          <w:sz w:val="22"/>
        </w:rPr>
        <w:t>)</w:t>
      </w:r>
      <w:r w:rsidRPr="007D0F6A">
        <w:rPr>
          <w:rFonts w:ascii="Arial" w:hAnsi="Arial" w:cs="Arial"/>
          <w:sz w:val="22"/>
        </w:rPr>
        <w:t xml:space="preserve"> investment projects, including cogeneration, in industry.</w:t>
      </w:r>
    </w:p>
    <w:p w:rsidR="000B0692" w:rsidRPr="007D0F6A" w:rsidRDefault="00E86966" w:rsidP="000B0692">
      <w:pPr>
        <w:pStyle w:val="Paragraph"/>
        <w:numPr>
          <w:ilvl w:val="1"/>
          <w:numId w:val="10"/>
        </w:numPr>
        <w:tabs>
          <w:tab w:val="clear" w:pos="1746"/>
          <w:tab w:val="num" w:pos="720"/>
        </w:tabs>
        <w:ind w:left="720" w:hanging="720"/>
        <w:rPr>
          <w:rFonts w:ascii="Arial" w:hAnsi="Arial" w:cs="Arial"/>
          <w:sz w:val="22"/>
        </w:rPr>
      </w:pPr>
      <w:r w:rsidRPr="007D0F6A">
        <w:rPr>
          <w:rFonts w:ascii="Arial" w:hAnsi="Arial" w:cs="Arial"/>
          <w:sz w:val="22"/>
        </w:rPr>
        <w:t>The program shall be able to provide a financial instrument that is adequate to the needs of these types of projects. By channeling IDB resources, BNDES increases its capacity to provide the longer terms these projects require due to the high levels of costs and risks involved, the need to match their cash flow profiles and return rates that can guarantee proper implementation of these ventures.</w:t>
      </w:r>
    </w:p>
    <w:p w:rsidR="00B318CD" w:rsidRPr="007D0F6A" w:rsidRDefault="00281172" w:rsidP="00B318CD">
      <w:pPr>
        <w:pStyle w:val="Paragraph"/>
        <w:numPr>
          <w:ilvl w:val="1"/>
          <w:numId w:val="10"/>
        </w:numPr>
        <w:tabs>
          <w:tab w:val="clear" w:pos="1746"/>
          <w:tab w:val="num" w:pos="720"/>
        </w:tabs>
        <w:ind w:left="720" w:hanging="720"/>
        <w:rPr>
          <w:rFonts w:ascii="Arial" w:hAnsi="Arial" w:cs="Arial"/>
          <w:sz w:val="22"/>
        </w:rPr>
      </w:pPr>
      <w:r w:rsidRPr="007D0F6A">
        <w:rPr>
          <w:rFonts w:ascii="Arial" w:hAnsi="Arial" w:cs="Arial"/>
          <w:sz w:val="22"/>
        </w:rPr>
        <w:t xml:space="preserve">The proposed CCLIP will use US$2,400 million from IDB’s ordinary capital. The first program under the CCLIP consists of a global credit loan operation for US$750 million and co-financed with an additional US$150 million from BNDES. BNDES will use long term resources from the IDB to diversify its sources of funding in order to better respond to the financing needs of private investors in sustainable energy infrastructure in Brazil. The total amount of resources from the IDB will be channeled to end users by BNDES directly, or indirectly, through the intermediation of other financial institutions (second tier transactions). Resources will ultimately be used to provide direct loans to finance new </w:t>
      </w:r>
      <w:r w:rsidR="005657A6" w:rsidRPr="007D0F6A">
        <w:rPr>
          <w:rFonts w:ascii="Arial" w:hAnsi="Arial" w:cs="Arial"/>
          <w:sz w:val="22"/>
        </w:rPr>
        <w:t>A</w:t>
      </w:r>
      <w:r w:rsidRPr="007D0F6A">
        <w:rPr>
          <w:rFonts w:ascii="Arial" w:hAnsi="Arial" w:cs="Arial"/>
          <w:sz w:val="22"/>
        </w:rPr>
        <w:t>RE or EE projects that are deemed eligible based on the conditions established in the Operating Regulations</w:t>
      </w:r>
      <w:r w:rsidR="00B318CD" w:rsidRPr="007D0F6A">
        <w:rPr>
          <w:rFonts w:ascii="Arial" w:hAnsi="Arial" w:cs="Arial"/>
          <w:sz w:val="22"/>
        </w:rPr>
        <w:t xml:space="preserve"> (</w:t>
      </w:r>
      <w:r w:rsidRPr="007D0F6A">
        <w:rPr>
          <w:rFonts w:ascii="Arial" w:hAnsi="Arial" w:cs="Arial"/>
          <w:sz w:val="22"/>
        </w:rPr>
        <w:t>OR</w:t>
      </w:r>
      <w:r w:rsidR="00B318CD" w:rsidRPr="007D0F6A">
        <w:rPr>
          <w:rFonts w:ascii="Arial" w:hAnsi="Arial" w:cs="Arial"/>
          <w:sz w:val="22"/>
        </w:rPr>
        <w:t>)</w:t>
      </w:r>
      <w:r w:rsidRPr="007D0F6A">
        <w:rPr>
          <w:rFonts w:ascii="Arial" w:hAnsi="Arial" w:cs="Arial"/>
          <w:sz w:val="22"/>
        </w:rPr>
        <w:t xml:space="preserve"> of the program</w:t>
      </w:r>
      <w:r w:rsidR="001A09CA" w:rsidRPr="007D0F6A">
        <w:rPr>
          <w:rFonts w:ascii="Arial" w:hAnsi="Arial" w:cs="Arial"/>
          <w:sz w:val="22"/>
        </w:rPr>
        <w:t xml:space="preserve">. The program is designed to allow for </w:t>
      </w:r>
      <w:r w:rsidR="001A09CA" w:rsidRPr="007D0F6A">
        <w:rPr>
          <w:rFonts w:ascii="Arial" w:hAnsi="Arial" w:cs="Arial"/>
          <w:sz w:val="22"/>
        </w:rPr>
        <w:lastRenderedPageBreak/>
        <w:t xml:space="preserve">the use of funds based on actual demand for credit; no quotas are established for </w:t>
      </w:r>
      <w:r w:rsidR="005657A6" w:rsidRPr="007D0F6A">
        <w:rPr>
          <w:rFonts w:ascii="Arial" w:hAnsi="Arial" w:cs="Arial"/>
          <w:sz w:val="22"/>
        </w:rPr>
        <w:t>A</w:t>
      </w:r>
      <w:r w:rsidR="001A09CA" w:rsidRPr="007D0F6A">
        <w:rPr>
          <w:rFonts w:ascii="Arial" w:hAnsi="Arial" w:cs="Arial"/>
          <w:sz w:val="22"/>
        </w:rPr>
        <w:t>RE or EE projects, or for particular technologies in each group</w:t>
      </w:r>
      <w:r w:rsidR="00B318CD" w:rsidRPr="007D0F6A">
        <w:rPr>
          <w:rFonts w:ascii="Arial" w:hAnsi="Arial" w:cs="Arial"/>
          <w:sz w:val="22"/>
        </w:rPr>
        <w:t>.</w:t>
      </w:r>
    </w:p>
    <w:p w:rsidR="00281172" w:rsidRPr="007D0F6A" w:rsidRDefault="00281172" w:rsidP="00281172">
      <w:pPr>
        <w:pStyle w:val="Paragraph"/>
        <w:numPr>
          <w:ilvl w:val="1"/>
          <w:numId w:val="10"/>
        </w:numPr>
        <w:tabs>
          <w:tab w:val="clear" w:pos="1746"/>
          <w:tab w:val="num" w:pos="720"/>
        </w:tabs>
        <w:ind w:left="720" w:hanging="720"/>
        <w:rPr>
          <w:rFonts w:ascii="Arial" w:hAnsi="Arial" w:cs="Arial"/>
          <w:sz w:val="22"/>
        </w:rPr>
      </w:pPr>
      <w:r w:rsidRPr="007D0F6A">
        <w:rPr>
          <w:rFonts w:ascii="Arial" w:hAnsi="Arial" w:cs="Arial"/>
          <w:sz w:val="22"/>
        </w:rPr>
        <w:t>The beneficiary and the executing agency of the CCLIP and the first program will be BNDES, with the Federal Republic of Brazil serving as guarantor. BNDES will ensure the necessary administrative and control mechanisms to provide and maintain a transparent and effective administration of the program are in place. Previous experiences of BNDES working with the IDB, along with their leading position in the sector of clean energy over the past decade, makes them a suitable partner with strong will to continue developing the sector.</w:t>
      </w:r>
    </w:p>
    <w:p w:rsidR="000B0692" w:rsidRPr="007D0F6A" w:rsidRDefault="00281172" w:rsidP="000B0692">
      <w:pPr>
        <w:pStyle w:val="Paragraph"/>
        <w:numPr>
          <w:ilvl w:val="1"/>
          <w:numId w:val="10"/>
        </w:numPr>
        <w:tabs>
          <w:tab w:val="clear" w:pos="1746"/>
          <w:tab w:val="num" w:pos="720"/>
        </w:tabs>
        <w:ind w:left="720" w:hanging="720"/>
        <w:rPr>
          <w:rFonts w:ascii="Arial" w:hAnsi="Arial" w:cs="Arial"/>
          <w:sz w:val="22"/>
        </w:rPr>
      </w:pPr>
      <w:r w:rsidRPr="007D0F6A">
        <w:rPr>
          <w:rFonts w:ascii="Arial" w:hAnsi="Arial" w:cs="Arial"/>
          <w:sz w:val="22"/>
        </w:rPr>
        <w:t xml:space="preserve">The intended beneficiaries of the program will be private developers of </w:t>
      </w:r>
      <w:r w:rsidR="005657A6" w:rsidRPr="007D0F6A">
        <w:rPr>
          <w:rFonts w:ascii="Arial" w:hAnsi="Arial" w:cs="Arial"/>
          <w:sz w:val="22"/>
        </w:rPr>
        <w:t>A</w:t>
      </w:r>
      <w:r w:rsidRPr="007D0F6A">
        <w:rPr>
          <w:rFonts w:ascii="Arial" w:hAnsi="Arial" w:cs="Arial"/>
          <w:sz w:val="22"/>
        </w:rPr>
        <w:t xml:space="preserve">RE and EE projects. End users of electricity infrastructure added to the system, be them firms or households, will also </w:t>
      </w:r>
      <w:r w:rsidR="009A28A7" w:rsidRPr="007D0F6A">
        <w:rPr>
          <w:rFonts w:ascii="Arial" w:hAnsi="Arial" w:cs="Arial"/>
          <w:sz w:val="22"/>
        </w:rPr>
        <w:t xml:space="preserve">indirectly </w:t>
      </w:r>
      <w:r w:rsidRPr="007D0F6A">
        <w:rPr>
          <w:rFonts w:ascii="Arial" w:hAnsi="Arial" w:cs="Arial"/>
          <w:sz w:val="22"/>
        </w:rPr>
        <w:t>benefit from an enhanced provision of the service. In addition, Brazilian population will indirectly benefit from positive externalities associated with the environmental and economic impacts of the program</w:t>
      </w:r>
      <w:r w:rsidR="00FC49C1" w:rsidRPr="007D0F6A">
        <w:rPr>
          <w:rFonts w:ascii="Arial" w:hAnsi="Arial" w:cs="Arial"/>
          <w:sz w:val="22"/>
        </w:rPr>
        <w:t>.</w:t>
      </w:r>
    </w:p>
    <w:p w:rsidR="001A09CA" w:rsidRPr="00FA3973" w:rsidRDefault="00281172" w:rsidP="000B0692">
      <w:pPr>
        <w:pStyle w:val="Paragraph"/>
        <w:numPr>
          <w:ilvl w:val="1"/>
          <w:numId w:val="10"/>
        </w:numPr>
        <w:tabs>
          <w:tab w:val="clear" w:pos="1746"/>
          <w:tab w:val="num" w:pos="720"/>
        </w:tabs>
        <w:ind w:left="720" w:hanging="720"/>
        <w:rPr>
          <w:rFonts w:ascii="Arial" w:hAnsi="Arial" w:cs="Arial"/>
          <w:sz w:val="22"/>
        </w:rPr>
      </w:pPr>
      <w:r w:rsidRPr="007D0F6A">
        <w:rPr>
          <w:rFonts w:ascii="Arial" w:hAnsi="Arial" w:cs="Arial"/>
          <w:sz w:val="22"/>
        </w:rPr>
        <w:t xml:space="preserve">In order to present evidence of the economic viability of the program, the proposal is supported by a cost benefit analysis which quantifies ex ante a monetary value for the net </w:t>
      </w:r>
      <w:r w:rsidR="00E97872" w:rsidRPr="007D0F6A">
        <w:rPr>
          <w:rFonts w:ascii="Arial" w:hAnsi="Arial" w:cs="Arial"/>
          <w:sz w:val="22"/>
        </w:rPr>
        <w:t xml:space="preserve">economic </w:t>
      </w:r>
      <w:r w:rsidRPr="00FA3973">
        <w:rPr>
          <w:rFonts w:ascii="Arial" w:hAnsi="Arial" w:cs="Arial"/>
          <w:sz w:val="22"/>
        </w:rPr>
        <w:t>benefits of the program. The following sections present the methodology, assumptions, results and conclusions of this analysis. Benefits are measured on an assumed portfolio of projects incorporated to the system via support from BNDES</w:t>
      </w:r>
      <w:r w:rsidR="001A09CA" w:rsidRPr="00FA3973">
        <w:rPr>
          <w:rStyle w:val="FootnoteReference"/>
          <w:rFonts w:ascii="Arial" w:hAnsi="Arial" w:cs="Arial"/>
          <w:sz w:val="22"/>
        </w:rPr>
        <w:footnoteReference w:id="3"/>
      </w:r>
      <w:r w:rsidRPr="00FA3973">
        <w:rPr>
          <w:rFonts w:ascii="Arial" w:hAnsi="Arial" w:cs="Arial"/>
          <w:sz w:val="22"/>
        </w:rPr>
        <w:t>. Environmental externalities are also accounted for based on a valuation of GHG emission</w:t>
      </w:r>
      <w:r w:rsidR="005657A6" w:rsidRPr="00FA3973">
        <w:rPr>
          <w:rFonts w:ascii="Arial" w:hAnsi="Arial" w:cs="Arial"/>
          <w:sz w:val="22"/>
        </w:rPr>
        <w:t xml:space="preserve"> reductions</w:t>
      </w:r>
      <w:r w:rsidRPr="00FA3973">
        <w:rPr>
          <w:rFonts w:ascii="Arial" w:hAnsi="Arial" w:cs="Arial"/>
          <w:sz w:val="22"/>
        </w:rPr>
        <w:t>.</w:t>
      </w:r>
    </w:p>
    <w:p w:rsidR="00196579" w:rsidRPr="00FA3973" w:rsidRDefault="00281172" w:rsidP="000B0692">
      <w:pPr>
        <w:pStyle w:val="Paragraph"/>
        <w:numPr>
          <w:ilvl w:val="1"/>
          <w:numId w:val="10"/>
        </w:numPr>
        <w:tabs>
          <w:tab w:val="clear" w:pos="1746"/>
          <w:tab w:val="num" w:pos="720"/>
        </w:tabs>
        <w:ind w:left="720" w:hanging="720"/>
        <w:rPr>
          <w:rFonts w:ascii="Arial" w:hAnsi="Arial" w:cs="Arial"/>
          <w:sz w:val="22"/>
        </w:rPr>
      </w:pPr>
      <w:r w:rsidRPr="00FA3973">
        <w:rPr>
          <w:rFonts w:ascii="Arial" w:hAnsi="Arial" w:cs="Arial"/>
          <w:sz w:val="22"/>
        </w:rPr>
        <w:t xml:space="preserve">Using the standard IDB discount rate of 12%, </w:t>
      </w:r>
      <w:r w:rsidR="005657A6" w:rsidRPr="00FA3973">
        <w:rPr>
          <w:rFonts w:ascii="Arial" w:hAnsi="Arial" w:cs="Arial"/>
          <w:sz w:val="22"/>
        </w:rPr>
        <w:t>t</w:t>
      </w:r>
      <w:r w:rsidRPr="00FA3973">
        <w:rPr>
          <w:rFonts w:ascii="Arial" w:hAnsi="Arial" w:cs="Arial"/>
          <w:sz w:val="22"/>
        </w:rPr>
        <w:t>he program shows a positive net present value of US$</w:t>
      </w:r>
      <w:r w:rsidR="00E765A3">
        <w:rPr>
          <w:rFonts w:ascii="Arial" w:hAnsi="Arial" w:cs="Arial"/>
          <w:sz w:val="22"/>
        </w:rPr>
        <w:t>496.26</w:t>
      </w:r>
      <w:r w:rsidR="005657A6" w:rsidRPr="00FA3973">
        <w:rPr>
          <w:rFonts w:ascii="Arial" w:hAnsi="Arial" w:cs="Arial"/>
          <w:sz w:val="22"/>
        </w:rPr>
        <w:t xml:space="preserve"> million</w:t>
      </w:r>
      <w:r w:rsidRPr="00FA3973">
        <w:rPr>
          <w:rFonts w:ascii="Arial" w:hAnsi="Arial" w:cs="Arial"/>
          <w:sz w:val="22"/>
        </w:rPr>
        <w:t xml:space="preserve"> and remains robust even when stressing some important variables in the sensitivity tests</w:t>
      </w:r>
      <w:r w:rsidR="00196579" w:rsidRPr="00FA3973">
        <w:rPr>
          <w:rFonts w:ascii="Arial" w:hAnsi="Arial" w:cs="Arial"/>
          <w:sz w:val="22"/>
        </w:rPr>
        <w:t>.</w:t>
      </w:r>
    </w:p>
    <w:p w:rsidR="00F64D3A" w:rsidRPr="00FA3973" w:rsidRDefault="004F5DCB" w:rsidP="00664F7D">
      <w:pPr>
        <w:pStyle w:val="Chapter"/>
        <w:numPr>
          <w:ilvl w:val="0"/>
          <w:numId w:val="15"/>
        </w:numPr>
        <w:tabs>
          <w:tab w:val="clear" w:pos="1440"/>
          <w:tab w:val="clear" w:pos="1800"/>
          <w:tab w:val="left" w:pos="360"/>
        </w:tabs>
        <w:spacing w:before="360"/>
        <w:ind w:left="0" w:firstLine="0"/>
        <w:rPr>
          <w:rFonts w:ascii="Arial" w:hAnsi="Arial" w:cs="Arial"/>
        </w:rPr>
      </w:pPr>
      <w:bookmarkStart w:id="3" w:name="_Toc394394915"/>
      <w:bookmarkStart w:id="4" w:name="_Toc461128188"/>
      <w:bookmarkStart w:id="5" w:name="_Toc298764670"/>
      <w:bookmarkEnd w:id="3"/>
      <w:r w:rsidRPr="00FA3973">
        <w:rPr>
          <w:rFonts w:ascii="Arial" w:hAnsi="Arial" w:cs="Arial"/>
        </w:rPr>
        <w:t>Methodology and Assumptions</w:t>
      </w:r>
      <w:bookmarkEnd w:id="4"/>
    </w:p>
    <w:p w:rsidR="0041755E" w:rsidRPr="00FA3973" w:rsidRDefault="00913286" w:rsidP="00913286">
      <w:pPr>
        <w:pStyle w:val="FirstHeading"/>
        <w:rPr>
          <w:rFonts w:ascii="Arial" w:hAnsi="Arial" w:cs="Arial"/>
          <w:sz w:val="22"/>
        </w:rPr>
      </w:pPr>
      <w:r w:rsidRPr="00FA3973">
        <w:rPr>
          <w:rFonts w:ascii="Arial" w:hAnsi="Arial" w:cs="Arial"/>
        </w:rPr>
        <w:fldChar w:fldCharType="begin"/>
      </w:r>
      <w:r w:rsidRPr="00FA3973">
        <w:rPr>
          <w:rFonts w:ascii="Arial" w:hAnsi="Arial" w:cs="Arial"/>
        </w:rPr>
        <w:instrText xml:space="preserve"> SEQ "</w:instrText>
      </w:r>
      <w:r w:rsidRPr="00FA3973">
        <w:rPr>
          <w:rFonts w:ascii="Arial" w:hAnsi="Arial" w:cs="Arial"/>
        </w:rPr>
        <w:fldChar w:fldCharType="begin"/>
      </w:r>
      <w:r w:rsidRPr="00FA3973">
        <w:rPr>
          <w:rFonts w:ascii="Arial" w:hAnsi="Arial" w:cs="Arial"/>
        </w:rPr>
        <w:instrText xml:space="preserve"> SECTION  \* MERGEFORMAT </w:instrText>
      </w:r>
      <w:r w:rsidRPr="00FA3973">
        <w:rPr>
          <w:rFonts w:ascii="Arial" w:hAnsi="Arial" w:cs="Arial"/>
        </w:rPr>
        <w:fldChar w:fldCharType="separate"/>
      </w:r>
      <w:r w:rsidRPr="00FA3973">
        <w:rPr>
          <w:rFonts w:ascii="Arial" w:hAnsi="Arial" w:cs="Arial"/>
        </w:rPr>
        <w:instrText>3</w:instrText>
      </w:r>
      <w:r w:rsidRPr="00FA3973">
        <w:rPr>
          <w:rFonts w:ascii="Arial" w:hAnsi="Arial" w:cs="Arial"/>
        </w:rPr>
        <w:fldChar w:fldCharType="end"/>
      </w:r>
      <w:r w:rsidRPr="00FA3973">
        <w:rPr>
          <w:rFonts w:ascii="Arial" w:hAnsi="Arial" w:cs="Arial"/>
        </w:rPr>
        <w:instrText xml:space="preserve">#"\* ALPHABETIC \* MERGEFORMAT </w:instrText>
      </w:r>
      <w:r w:rsidRPr="00FA3973">
        <w:rPr>
          <w:rFonts w:ascii="Arial" w:hAnsi="Arial" w:cs="Arial"/>
        </w:rPr>
        <w:fldChar w:fldCharType="separate"/>
      </w:r>
      <w:bookmarkStart w:id="6" w:name="_Toc461128189"/>
      <w:r w:rsidRPr="00FA3973">
        <w:rPr>
          <w:rFonts w:ascii="Arial" w:hAnsi="Arial" w:cs="Arial"/>
        </w:rPr>
        <w:t>A</w:t>
      </w:r>
      <w:r w:rsidRPr="00FA3973">
        <w:rPr>
          <w:rFonts w:ascii="Arial" w:hAnsi="Arial" w:cs="Arial"/>
        </w:rPr>
        <w:fldChar w:fldCharType="end"/>
      </w:r>
      <w:r w:rsidR="004F5DCB" w:rsidRPr="00FA3973">
        <w:rPr>
          <w:rFonts w:ascii="Arial" w:hAnsi="Arial" w:cs="Arial"/>
        </w:rPr>
        <w:t>.</w:t>
      </w:r>
      <w:r w:rsidR="004F5DCB" w:rsidRPr="00FA3973">
        <w:rPr>
          <w:rFonts w:ascii="Arial" w:hAnsi="Arial" w:cs="Arial"/>
        </w:rPr>
        <w:tab/>
      </w:r>
      <w:r w:rsidR="004F5DCB" w:rsidRPr="00FA3973">
        <w:rPr>
          <w:rFonts w:ascii="Arial" w:hAnsi="Arial" w:cs="Arial"/>
          <w:sz w:val="22"/>
        </w:rPr>
        <w:t>Proposed m</w:t>
      </w:r>
      <w:r w:rsidRPr="00FA3973">
        <w:rPr>
          <w:rFonts w:ascii="Arial" w:hAnsi="Arial" w:cs="Arial"/>
          <w:sz w:val="22"/>
        </w:rPr>
        <w:t>et</w:t>
      </w:r>
      <w:r w:rsidR="00412E37" w:rsidRPr="00FA3973">
        <w:rPr>
          <w:rFonts w:ascii="Arial" w:hAnsi="Arial" w:cs="Arial"/>
          <w:sz w:val="22"/>
        </w:rPr>
        <w:t>h</w:t>
      </w:r>
      <w:r w:rsidRPr="00FA3973">
        <w:rPr>
          <w:rFonts w:ascii="Arial" w:hAnsi="Arial" w:cs="Arial"/>
          <w:sz w:val="22"/>
        </w:rPr>
        <w:t>odolog</w:t>
      </w:r>
      <w:r w:rsidR="00412E37" w:rsidRPr="00FA3973">
        <w:rPr>
          <w:rFonts w:ascii="Arial" w:hAnsi="Arial" w:cs="Arial"/>
          <w:sz w:val="22"/>
        </w:rPr>
        <w:t>y</w:t>
      </w:r>
      <w:bookmarkEnd w:id="6"/>
    </w:p>
    <w:p w:rsidR="003913D7" w:rsidRPr="00FA3973" w:rsidRDefault="00C626E8" w:rsidP="003913D7">
      <w:pPr>
        <w:pStyle w:val="Paragraph"/>
        <w:numPr>
          <w:ilvl w:val="1"/>
          <w:numId w:val="15"/>
        </w:numPr>
        <w:tabs>
          <w:tab w:val="num" w:pos="720"/>
        </w:tabs>
        <w:ind w:left="720" w:hanging="720"/>
        <w:rPr>
          <w:rFonts w:ascii="Arial" w:hAnsi="Arial" w:cs="Arial"/>
          <w:sz w:val="22"/>
        </w:rPr>
      </w:pPr>
      <w:r w:rsidRPr="00FA3973">
        <w:rPr>
          <w:rFonts w:ascii="Arial" w:hAnsi="Arial" w:cs="Arial"/>
          <w:sz w:val="22"/>
        </w:rPr>
        <w:t>The program consists of a global credit loan operation for US$750 million and co</w:t>
      </w:r>
      <w:r w:rsidR="001016A1" w:rsidRPr="00FA3973">
        <w:rPr>
          <w:rFonts w:ascii="Arial" w:hAnsi="Arial" w:cs="Arial"/>
          <w:sz w:val="22"/>
        </w:rPr>
        <w:t>˗</w:t>
      </w:r>
      <w:r w:rsidRPr="00FA3973">
        <w:rPr>
          <w:rFonts w:ascii="Arial" w:hAnsi="Arial" w:cs="Arial"/>
          <w:sz w:val="22"/>
        </w:rPr>
        <w:t xml:space="preserve">financed with an additional US$150 million from BNDES. The total amount of US$900 million will be used entirely for the provision of medium and long term loans to private firms developing </w:t>
      </w:r>
      <w:r w:rsidR="008F4DC4" w:rsidRPr="00FA3973">
        <w:rPr>
          <w:rFonts w:ascii="Arial" w:hAnsi="Arial" w:cs="Arial"/>
          <w:sz w:val="22"/>
        </w:rPr>
        <w:t>A</w:t>
      </w:r>
      <w:r w:rsidRPr="00FA3973">
        <w:rPr>
          <w:rFonts w:ascii="Arial" w:hAnsi="Arial" w:cs="Arial"/>
          <w:sz w:val="22"/>
        </w:rPr>
        <w:t>RE and EE projects</w:t>
      </w:r>
      <w:r w:rsidR="003913D7" w:rsidRPr="00FA3973">
        <w:rPr>
          <w:rFonts w:ascii="Arial" w:hAnsi="Arial" w:cs="Arial"/>
          <w:sz w:val="22"/>
        </w:rPr>
        <w:t>.</w:t>
      </w:r>
    </w:p>
    <w:p w:rsidR="00071970" w:rsidRPr="00FA3973" w:rsidRDefault="00D54111" w:rsidP="00071970">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T</w:t>
      </w:r>
      <w:r w:rsidR="00071970" w:rsidRPr="00FA3973">
        <w:rPr>
          <w:rFonts w:ascii="Arial" w:hAnsi="Arial" w:cs="Arial"/>
          <w:sz w:val="22"/>
        </w:rPr>
        <w:t xml:space="preserve">he </w:t>
      </w:r>
      <w:r w:rsidRPr="00FA3973">
        <w:rPr>
          <w:rFonts w:ascii="Arial" w:hAnsi="Arial" w:cs="Arial"/>
          <w:sz w:val="22"/>
        </w:rPr>
        <w:t xml:space="preserve">economic evaluation of the program </w:t>
      </w:r>
      <w:r w:rsidR="00175FA9" w:rsidRPr="00FA3973">
        <w:rPr>
          <w:rFonts w:ascii="Arial" w:hAnsi="Arial" w:cs="Arial"/>
          <w:sz w:val="22"/>
        </w:rPr>
        <w:t xml:space="preserve">compares estimated costs and benefits for the scenarios “with” and “without” the </w:t>
      </w:r>
      <w:r w:rsidRPr="00FA3973">
        <w:rPr>
          <w:rFonts w:ascii="Arial" w:hAnsi="Arial" w:cs="Arial"/>
          <w:sz w:val="22"/>
        </w:rPr>
        <w:t>program</w:t>
      </w:r>
      <w:r w:rsidR="00175FA9" w:rsidRPr="00FA3973">
        <w:rPr>
          <w:rFonts w:ascii="Arial" w:hAnsi="Arial" w:cs="Arial"/>
          <w:sz w:val="22"/>
        </w:rPr>
        <w:t xml:space="preserve">, assuming a portfolio </w:t>
      </w:r>
      <w:r w:rsidR="00071970" w:rsidRPr="00FA3973">
        <w:rPr>
          <w:rFonts w:ascii="Arial" w:hAnsi="Arial" w:cs="Arial"/>
          <w:sz w:val="22"/>
        </w:rPr>
        <w:t xml:space="preserve">of the projects financed by the program. To the extent possible, a valuation of the externalities associated with the development of such projects is included. This model serves as a practical tool to quantify ex ante the </w:t>
      </w:r>
      <w:r w:rsidR="00175FA9" w:rsidRPr="00FA3973">
        <w:rPr>
          <w:rFonts w:ascii="Arial" w:hAnsi="Arial" w:cs="Arial"/>
          <w:sz w:val="22"/>
        </w:rPr>
        <w:t xml:space="preserve">economic </w:t>
      </w:r>
      <w:r w:rsidR="00071970" w:rsidRPr="00FA3973">
        <w:rPr>
          <w:rFonts w:ascii="Arial" w:hAnsi="Arial" w:cs="Arial"/>
          <w:sz w:val="22"/>
        </w:rPr>
        <w:t xml:space="preserve">value of the aggregated incremental benefit of the program. The details </w:t>
      </w:r>
      <w:r w:rsidRPr="00FA3973">
        <w:rPr>
          <w:rFonts w:ascii="Arial" w:hAnsi="Arial" w:cs="Arial"/>
          <w:sz w:val="22"/>
        </w:rPr>
        <w:t xml:space="preserve">and assumptions </w:t>
      </w:r>
      <w:r w:rsidR="00071970" w:rsidRPr="00FA3973">
        <w:rPr>
          <w:rFonts w:ascii="Arial" w:hAnsi="Arial" w:cs="Arial"/>
          <w:sz w:val="22"/>
        </w:rPr>
        <w:t>of the methodology for this exercise are presented in the following sections.</w:t>
      </w:r>
    </w:p>
    <w:p w:rsidR="00EA20BF" w:rsidRPr="00FA3973" w:rsidRDefault="00EA20BF" w:rsidP="00EA20BF">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From an economic perspective, project analysis requires assessing changes in costs and benefits that would result from carrying out a particular investment. In the case of energy projects, such costs and benefits have to further consider the </w:t>
      </w:r>
      <w:r w:rsidRPr="00FA3973">
        <w:rPr>
          <w:rFonts w:ascii="Arial" w:hAnsi="Arial" w:cs="Arial"/>
          <w:sz w:val="22"/>
        </w:rPr>
        <w:lastRenderedPageBreak/>
        <w:t>existence of externalities, the most significant being an overall reduction of CO</w:t>
      </w:r>
      <w:r w:rsidRPr="00FA3973">
        <w:rPr>
          <w:rFonts w:ascii="Arial" w:hAnsi="Arial" w:cs="Arial"/>
          <w:sz w:val="22"/>
          <w:vertAlign w:val="subscript"/>
        </w:rPr>
        <w:t>2</w:t>
      </w:r>
      <w:r w:rsidR="00DC2B96">
        <w:rPr>
          <w:rFonts w:ascii="Arial" w:hAnsi="Arial" w:cs="Arial"/>
          <w:sz w:val="22"/>
        </w:rPr>
        <w:t> </w:t>
      </w:r>
      <w:r w:rsidRPr="00FA3973">
        <w:rPr>
          <w:rFonts w:ascii="Arial" w:hAnsi="Arial" w:cs="Arial"/>
          <w:sz w:val="22"/>
        </w:rPr>
        <w:t xml:space="preserve">emissions. The negative effects of greenhouse gas emissions on the environment from the use of fossil fuels is also one of the reasons why the government and the Bank promote the diversification of the energy matrix towards the use of </w:t>
      </w:r>
      <w:r w:rsidR="008F4DC4" w:rsidRPr="00FA3973">
        <w:rPr>
          <w:rFonts w:ascii="Arial" w:hAnsi="Arial" w:cs="Arial"/>
          <w:sz w:val="22"/>
        </w:rPr>
        <w:t>A</w:t>
      </w:r>
      <w:r w:rsidRPr="00FA3973">
        <w:rPr>
          <w:rFonts w:ascii="Arial" w:hAnsi="Arial" w:cs="Arial"/>
          <w:sz w:val="22"/>
        </w:rPr>
        <w:t>RE</w:t>
      </w:r>
      <w:r w:rsidR="00E22230" w:rsidRPr="00FA3973">
        <w:rPr>
          <w:rFonts w:ascii="Arial" w:hAnsi="Arial" w:cs="Arial"/>
          <w:sz w:val="22"/>
        </w:rPr>
        <w:t xml:space="preserve"> and the implementation of EE measures in firms and households</w:t>
      </w:r>
      <w:r w:rsidRPr="00FA3973">
        <w:rPr>
          <w:rFonts w:ascii="Arial" w:hAnsi="Arial" w:cs="Arial"/>
          <w:sz w:val="22"/>
        </w:rPr>
        <w:t xml:space="preserve">. Additionally, in the case of Brazil, the current profile of the </w:t>
      </w:r>
      <w:r w:rsidR="00FC13B6" w:rsidRPr="00FA3973">
        <w:rPr>
          <w:rFonts w:ascii="Arial" w:hAnsi="Arial" w:cs="Arial"/>
          <w:sz w:val="22"/>
        </w:rPr>
        <w:t>electricity generation</w:t>
      </w:r>
      <w:r w:rsidRPr="00FA3973">
        <w:rPr>
          <w:rFonts w:ascii="Arial" w:hAnsi="Arial" w:cs="Arial"/>
          <w:sz w:val="22"/>
        </w:rPr>
        <w:t xml:space="preserve"> matrix (</w:t>
      </w:r>
      <w:r w:rsidR="00FC13B6" w:rsidRPr="00FA3973">
        <w:rPr>
          <w:rFonts w:ascii="Arial" w:hAnsi="Arial" w:cs="Arial"/>
          <w:sz w:val="22"/>
        </w:rPr>
        <w:t>over 6</w:t>
      </w:r>
      <w:r w:rsidR="00E22230" w:rsidRPr="00FA3973">
        <w:rPr>
          <w:rFonts w:ascii="Arial" w:hAnsi="Arial" w:cs="Arial"/>
          <w:sz w:val="22"/>
        </w:rPr>
        <w:t>0</w:t>
      </w:r>
      <w:r w:rsidRPr="00FA3973">
        <w:rPr>
          <w:rFonts w:ascii="Arial" w:hAnsi="Arial" w:cs="Arial"/>
          <w:sz w:val="22"/>
        </w:rPr>
        <w:t xml:space="preserve">% hydro) implies vulnerability and potential instability </w:t>
      </w:r>
      <w:r w:rsidR="00E97872" w:rsidRPr="00FA3973">
        <w:rPr>
          <w:rFonts w:ascii="Arial" w:hAnsi="Arial" w:cs="Arial"/>
          <w:sz w:val="22"/>
        </w:rPr>
        <w:t xml:space="preserve">of the electricity supply, which in turn could affect </w:t>
      </w:r>
      <w:r w:rsidRPr="00FA3973">
        <w:rPr>
          <w:rFonts w:ascii="Arial" w:hAnsi="Arial" w:cs="Arial"/>
          <w:sz w:val="22"/>
        </w:rPr>
        <w:t xml:space="preserve">the economy, as dependence on fossil fuel imports to maintain energy supply in dry years can impose high costs on the economy, particularly in situations of </w:t>
      </w:r>
      <w:r w:rsidR="00FC13B6" w:rsidRPr="00FA3973">
        <w:rPr>
          <w:rFonts w:ascii="Arial" w:hAnsi="Arial" w:cs="Arial"/>
          <w:sz w:val="22"/>
        </w:rPr>
        <w:t xml:space="preserve">increased </w:t>
      </w:r>
      <w:r w:rsidRPr="00FA3973">
        <w:rPr>
          <w:rFonts w:ascii="Arial" w:hAnsi="Arial" w:cs="Arial"/>
          <w:sz w:val="22"/>
        </w:rPr>
        <w:t>price</w:t>
      </w:r>
      <w:r w:rsidR="00FC13B6" w:rsidRPr="00FA3973">
        <w:rPr>
          <w:rFonts w:ascii="Arial" w:hAnsi="Arial" w:cs="Arial"/>
          <w:sz w:val="22"/>
        </w:rPr>
        <w:t>s</w:t>
      </w:r>
      <w:r w:rsidRPr="00FA3973">
        <w:rPr>
          <w:rFonts w:ascii="Arial" w:hAnsi="Arial" w:cs="Arial"/>
          <w:sz w:val="22"/>
        </w:rPr>
        <w:t xml:space="preserve"> </w:t>
      </w:r>
      <w:r w:rsidR="00FC13B6" w:rsidRPr="00FA3973">
        <w:rPr>
          <w:rFonts w:ascii="Arial" w:hAnsi="Arial" w:cs="Arial"/>
          <w:sz w:val="22"/>
        </w:rPr>
        <w:t>of</w:t>
      </w:r>
      <w:r w:rsidRPr="00FA3973">
        <w:rPr>
          <w:rFonts w:ascii="Arial" w:hAnsi="Arial" w:cs="Arial"/>
          <w:sz w:val="22"/>
        </w:rPr>
        <w:t xml:space="preserve"> oil and gas in international markets</w:t>
      </w:r>
      <w:r w:rsidR="00FC13B6" w:rsidRPr="00FA3973">
        <w:rPr>
          <w:rFonts w:ascii="Arial" w:hAnsi="Arial" w:cs="Arial"/>
          <w:sz w:val="22"/>
        </w:rPr>
        <w:t>.</w:t>
      </w:r>
    </w:p>
    <w:p w:rsidR="00730275" w:rsidRPr="00FA3973" w:rsidRDefault="00175FA9" w:rsidP="00543FAB">
      <w:pPr>
        <w:pStyle w:val="Paragraph"/>
        <w:numPr>
          <w:ilvl w:val="1"/>
          <w:numId w:val="15"/>
        </w:numPr>
        <w:tabs>
          <w:tab w:val="num" w:pos="720"/>
        </w:tabs>
        <w:spacing w:afterLines="80" w:after="192"/>
        <w:ind w:left="720" w:hanging="720"/>
        <w:rPr>
          <w:rFonts w:ascii="Arial" w:hAnsi="Arial" w:cs="Arial"/>
          <w:sz w:val="22"/>
        </w:rPr>
      </w:pPr>
      <w:bookmarkStart w:id="7" w:name="_Ref459974999"/>
      <w:r w:rsidRPr="00FA3973">
        <w:rPr>
          <w:rFonts w:ascii="Arial" w:hAnsi="Arial" w:cs="Arial"/>
          <w:sz w:val="22"/>
        </w:rPr>
        <w:t>The economic evaluation is based on the comparison of two scenarios</w:t>
      </w:r>
      <w:r w:rsidR="00043320" w:rsidRPr="00FA3973">
        <w:rPr>
          <w:rFonts w:ascii="Arial" w:hAnsi="Arial" w:cs="Arial"/>
          <w:sz w:val="22"/>
        </w:rPr>
        <w:t>:</w:t>
      </w:r>
      <w:r w:rsidRPr="00FA3973">
        <w:rPr>
          <w:rFonts w:ascii="Arial" w:hAnsi="Arial" w:cs="Arial"/>
          <w:sz w:val="22"/>
        </w:rPr>
        <w:t xml:space="preserve"> </w:t>
      </w:r>
    </w:p>
    <w:p w:rsidR="00730275" w:rsidRPr="00FA3973" w:rsidRDefault="00175FA9" w:rsidP="001016A1">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 xml:space="preserve">In the scenario “with” the program, the funding of BNDES allows the investment of a portfolio of clean energy projects (wind, solar and energy efficiency). </w:t>
      </w:r>
      <w:r w:rsidR="00E97872" w:rsidRPr="00FA3973">
        <w:rPr>
          <w:rFonts w:ascii="Arial" w:hAnsi="Arial" w:cs="Arial"/>
          <w:sz w:val="22"/>
        </w:rPr>
        <w:t xml:space="preserve">The cost for energy supply </w:t>
      </w:r>
      <w:r w:rsidRPr="00FA3973">
        <w:rPr>
          <w:rFonts w:ascii="Arial" w:hAnsi="Arial" w:cs="Arial"/>
          <w:sz w:val="22"/>
        </w:rPr>
        <w:t xml:space="preserve">incurred in this </w:t>
      </w:r>
      <w:r w:rsidR="00DB240A" w:rsidRPr="00FA3973">
        <w:rPr>
          <w:rFonts w:ascii="Arial" w:hAnsi="Arial" w:cs="Arial"/>
          <w:sz w:val="22"/>
        </w:rPr>
        <w:t>scenario</w:t>
      </w:r>
      <w:r w:rsidRPr="00FA3973">
        <w:rPr>
          <w:rFonts w:ascii="Arial" w:hAnsi="Arial" w:cs="Arial"/>
          <w:sz w:val="22"/>
        </w:rPr>
        <w:t xml:space="preserve"> </w:t>
      </w:r>
      <w:r w:rsidR="00E97872" w:rsidRPr="00FA3973">
        <w:rPr>
          <w:rFonts w:ascii="Arial" w:hAnsi="Arial" w:cs="Arial"/>
          <w:sz w:val="22"/>
        </w:rPr>
        <w:t xml:space="preserve">is expressed as: (i) </w:t>
      </w:r>
      <w:r w:rsidRPr="00FA3973">
        <w:rPr>
          <w:rFonts w:ascii="Arial" w:hAnsi="Arial" w:cs="Arial"/>
          <w:sz w:val="22"/>
        </w:rPr>
        <w:t xml:space="preserve">investments </w:t>
      </w:r>
      <w:r w:rsidR="00E97872" w:rsidRPr="00FA3973">
        <w:rPr>
          <w:rFonts w:ascii="Arial" w:hAnsi="Arial" w:cs="Arial"/>
          <w:sz w:val="22"/>
        </w:rPr>
        <w:t xml:space="preserve">costs; </w:t>
      </w:r>
      <w:r w:rsidRPr="00FA3973">
        <w:rPr>
          <w:rFonts w:ascii="Arial" w:hAnsi="Arial" w:cs="Arial"/>
          <w:sz w:val="22"/>
        </w:rPr>
        <w:t xml:space="preserve">and </w:t>
      </w:r>
      <w:r w:rsidR="00E97872" w:rsidRPr="00FA3973">
        <w:rPr>
          <w:rFonts w:ascii="Arial" w:hAnsi="Arial" w:cs="Arial"/>
          <w:sz w:val="22"/>
        </w:rPr>
        <w:t xml:space="preserve">(ii) </w:t>
      </w:r>
      <w:r w:rsidRPr="00FA3973">
        <w:rPr>
          <w:rFonts w:ascii="Arial" w:hAnsi="Arial" w:cs="Arial"/>
          <w:sz w:val="22"/>
        </w:rPr>
        <w:t xml:space="preserve">operation and maintenance costs (O&amp;M) disaggregated for each type of technology. </w:t>
      </w:r>
      <w:r w:rsidR="00730275" w:rsidRPr="00FA3973">
        <w:rPr>
          <w:rFonts w:ascii="Arial" w:hAnsi="Arial" w:cs="Arial"/>
          <w:sz w:val="22"/>
        </w:rPr>
        <w:t>Investment costs occur during the investment phase, while maintenance costs occur during the life of the projects.</w:t>
      </w:r>
      <w:r w:rsidRPr="00FA3973">
        <w:rPr>
          <w:rFonts w:ascii="Arial" w:hAnsi="Arial" w:cs="Arial"/>
          <w:sz w:val="22"/>
        </w:rPr>
        <w:t xml:space="preserve"> </w:t>
      </w:r>
      <w:r w:rsidR="00DB240A" w:rsidRPr="00FA3973">
        <w:rPr>
          <w:rFonts w:ascii="Arial" w:hAnsi="Arial" w:cs="Arial"/>
          <w:sz w:val="22"/>
        </w:rPr>
        <w:t xml:space="preserve">These costs reflect the economic cost of supplying clean energy. </w:t>
      </w:r>
      <w:r w:rsidR="00730275" w:rsidRPr="00FA3973">
        <w:rPr>
          <w:rFonts w:ascii="Arial" w:hAnsi="Arial" w:cs="Arial"/>
          <w:sz w:val="22"/>
        </w:rPr>
        <w:t>Energy efficiency projects are exemplified as cogeneration projects, and allow the reduction of energy consumption</w:t>
      </w:r>
      <w:r w:rsidR="00E97872" w:rsidRPr="00FA3973">
        <w:rPr>
          <w:rFonts w:ascii="Arial" w:hAnsi="Arial" w:cs="Arial"/>
          <w:sz w:val="22"/>
        </w:rPr>
        <w:t>, and have also investment and O&amp;M costs</w:t>
      </w:r>
      <w:r w:rsidR="00730275" w:rsidRPr="00FA3973">
        <w:rPr>
          <w:rFonts w:ascii="Arial" w:hAnsi="Arial" w:cs="Arial"/>
          <w:sz w:val="22"/>
        </w:rPr>
        <w:t xml:space="preserve">. </w:t>
      </w:r>
      <w:r w:rsidR="00E97872" w:rsidRPr="00FA3973">
        <w:rPr>
          <w:rFonts w:ascii="Arial" w:hAnsi="Arial" w:cs="Arial"/>
          <w:sz w:val="22"/>
        </w:rPr>
        <w:t xml:space="preserve">In this scenario, emissions </w:t>
      </w:r>
      <w:r w:rsidR="00730275" w:rsidRPr="00FA3973">
        <w:rPr>
          <w:rFonts w:ascii="Arial" w:hAnsi="Arial" w:cs="Arial"/>
          <w:sz w:val="22"/>
        </w:rPr>
        <w:t>are reduced, both from clean generation, and from energy efficiency.</w:t>
      </w:r>
      <w:r w:rsidR="003907F8" w:rsidRPr="00FA3973">
        <w:rPr>
          <w:rFonts w:ascii="Arial" w:hAnsi="Arial" w:cs="Arial"/>
          <w:sz w:val="22"/>
        </w:rPr>
        <w:t xml:space="preserve"> Total costs are </w:t>
      </w:r>
      <w:r w:rsidR="00E97872" w:rsidRPr="00FA3973">
        <w:rPr>
          <w:rFonts w:ascii="Arial" w:hAnsi="Arial" w:cs="Arial"/>
          <w:sz w:val="22"/>
        </w:rPr>
        <w:t xml:space="preserve">costs for all investments are considered, </w:t>
      </w:r>
      <w:r w:rsidR="003907F8" w:rsidRPr="00FA3973">
        <w:rPr>
          <w:rFonts w:ascii="Arial" w:hAnsi="Arial" w:cs="Arial"/>
          <w:sz w:val="22"/>
        </w:rPr>
        <w:t>incorporating all sources of financing.</w:t>
      </w:r>
    </w:p>
    <w:p w:rsidR="00175FA9" w:rsidRPr="00FA3973" w:rsidRDefault="00175FA9" w:rsidP="001016A1">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 xml:space="preserve">In the alternative scenario (“without program”), it is assumed </w:t>
      </w:r>
      <w:r w:rsidR="00ED75D5" w:rsidRPr="00FA3973">
        <w:rPr>
          <w:rFonts w:ascii="Arial" w:hAnsi="Arial" w:cs="Arial"/>
          <w:sz w:val="22"/>
        </w:rPr>
        <w:t xml:space="preserve">that </w:t>
      </w:r>
      <w:r w:rsidR="00730275" w:rsidRPr="00FA3973">
        <w:rPr>
          <w:rFonts w:ascii="Arial" w:hAnsi="Arial" w:cs="Arial"/>
          <w:sz w:val="22"/>
        </w:rPr>
        <w:t xml:space="preserve">the clean energy portfolio </w:t>
      </w:r>
      <w:r w:rsidR="007E422E" w:rsidRPr="00FA3973">
        <w:rPr>
          <w:rFonts w:ascii="Arial" w:hAnsi="Arial" w:cs="Arial"/>
          <w:sz w:val="22"/>
        </w:rPr>
        <w:t xml:space="preserve">of the program </w:t>
      </w:r>
      <w:r w:rsidR="00730275" w:rsidRPr="00FA3973">
        <w:rPr>
          <w:rFonts w:ascii="Arial" w:hAnsi="Arial" w:cs="Arial"/>
          <w:sz w:val="22"/>
        </w:rPr>
        <w:t>is not implemented</w:t>
      </w:r>
      <w:r w:rsidR="00ED75D5" w:rsidRPr="00FA3973">
        <w:rPr>
          <w:rFonts w:ascii="Arial" w:hAnsi="Arial" w:cs="Arial"/>
          <w:sz w:val="22"/>
        </w:rPr>
        <w:t xml:space="preserve"> – without financing from the BNDES, no wind or solar </w:t>
      </w:r>
      <w:r w:rsidR="00174E61" w:rsidRPr="00FA3973">
        <w:rPr>
          <w:rFonts w:ascii="Arial" w:hAnsi="Arial" w:cs="Arial"/>
          <w:sz w:val="22"/>
        </w:rPr>
        <w:t>developer</w:t>
      </w:r>
      <w:r w:rsidR="00ED75D5" w:rsidRPr="00FA3973">
        <w:rPr>
          <w:rFonts w:ascii="Arial" w:hAnsi="Arial" w:cs="Arial"/>
          <w:sz w:val="22"/>
        </w:rPr>
        <w:t xml:space="preserve"> has the capacity to finance 100% of these investments by themselves and other sources </w:t>
      </w:r>
      <w:r w:rsidR="00174E61" w:rsidRPr="00FA3973">
        <w:rPr>
          <w:rFonts w:ascii="Arial" w:hAnsi="Arial" w:cs="Arial"/>
          <w:sz w:val="22"/>
        </w:rPr>
        <w:t xml:space="preserve">of financing </w:t>
      </w:r>
      <w:r w:rsidR="00ED75D5" w:rsidRPr="00FA3973">
        <w:rPr>
          <w:rFonts w:ascii="Arial" w:hAnsi="Arial" w:cs="Arial"/>
          <w:sz w:val="22"/>
        </w:rPr>
        <w:t>are not currently available</w:t>
      </w:r>
      <w:r w:rsidR="007E422E" w:rsidRPr="00FA3973">
        <w:rPr>
          <w:rFonts w:ascii="Arial" w:hAnsi="Arial" w:cs="Arial"/>
          <w:sz w:val="22"/>
        </w:rPr>
        <w:t>.</w:t>
      </w:r>
      <w:r w:rsidR="00730275" w:rsidRPr="00FA3973">
        <w:rPr>
          <w:rFonts w:ascii="Arial" w:hAnsi="Arial" w:cs="Arial"/>
          <w:sz w:val="22"/>
        </w:rPr>
        <w:t xml:space="preserve"> </w:t>
      </w:r>
      <w:r w:rsidR="007E422E" w:rsidRPr="00FA3973">
        <w:rPr>
          <w:rFonts w:ascii="Arial" w:hAnsi="Arial" w:cs="Arial"/>
          <w:sz w:val="22"/>
        </w:rPr>
        <w:t>A</w:t>
      </w:r>
      <w:r w:rsidR="00730275" w:rsidRPr="00FA3973">
        <w:rPr>
          <w:rFonts w:ascii="Arial" w:hAnsi="Arial" w:cs="Arial"/>
          <w:sz w:val="22"/>
        </w:rPr>
        <w:t>s a result</w:t>
      </w:r>
      <w:r w:rsidR="007E422E" w:rsidRPr="00FA3973">
        <w:rPr>
          <w:rFonts w:ascii="Arial" w:hAnsi="Arial" w:cs="Arial"/>
          <w:sz w:val="22"/>
        </w:rPr>
        <w:t>, the equivalent amount of energy that would</w:t>
      </w:r>
      <w:r w:rsidR="00ED75D5" w:rsidRPr="00FA3973">
        <w:rPr>
          <w:rFonts w:ascii="Arial" w:hAnsi="Arial" w:cs="Arial"/>
          <w:sz w:val="22"/>
        </w:rPr>
        <w:t xml:space="preserve"> have</w:t>
      </w:r>
      <w:r w:rsidR="007E422E" w:rsidRPr="00FA3973">
        <w:rPr>
          <w:rFonts w:ascii="Arial" w:hAnsi="Arial" w:cs="Arial"/>
          <w:sz w:val="22"/>
        </w:rPr>
        <w:t xml:space="preserve"> be</w:t>
      </w:r>
      <w:r w:rsidR="00ED75D5" w:rsidRPr="00FA3973">
        <w:rPr>
          <w:rFonts w:ascii="Arial" w:hAnsi="Arial" w:cs="Arial"/>
          <w:sz w:val="22"/>
        </w:rPr>
        <w:t>en</w:t>
      </w:r>
      <w:r w:rsidR="007E422E" w:rsidRPr="00FA3973">
        <w:rPr>
          <w:rFonts w:ascii="Arial" w:hAnsi="Arial" w:cs="Arial"/>
          <w:sz w:val="22"/>
        </w:rPr>
        <w:t xml:space="preserve"> produced by these projects</w:t>
      </w:r>
      <w:r w:rsidRPr="00FA3973">
        <w:rPr>
          <w:rFonts w:ascii="Arial" w:hAnsi="Arial" w:cs="Arial"/>
          <w:sz w:val="22"/>
        </w:rPr>
        <w:t xml:space="preserve"> </w:t>
      </w:r>
      <w:r w:rsidR="001300FC">
        <w:rPr>
          <w:rFonts w:ascii="Arial" w:hAnsi="Arial" w:cs="Arial"/>
          <w:sz w:val="22"/>
        </w:rPr>
        <w:t>must be</w:t>
      </w:r>
      <w:r w:rsidR="001300FC" w:rsidRPr="00FA3973">
        <w:rPr>
          <w:rFonts w:ascii="Arial" w:hAnsi="Arial" w:cs="Arial"/>
          <w:sz w:val="22"/>
        </w:rPr>
        <w:t xml:space="preserve"> </w:t>
      </w:r>
      <w:r w:rsidRPr="00FA3973">
        <w:rPr>
          <w:rFonts w:ascii="Arial" w:hAnsi="Arial" w:cs="Arial"/>
          <w:sz w:val="22"/>
        </w:rPr>
        <w:t xml:space="preserve">provided </w:t>
      </w:r>
      <w:r w:rsidR="001300FC">
        <w:rPr>
          <w:rFonts w:ascii="Arial" w:hAnsi="Arial" w:cs="Arial"/>
          <w:sz w:val="22"/>
        </w:rPr>
        <w:t xml:space="preserve">to the system </w:t>
      </w:r>
      <w:r w:rsidR="00AC374C">
        <w:rPr>
          <w:rFonts w:ascii="Arial" w:hAnsi="Arial" w:cs="Arial"/>
          <w:sz w:val="22"/>
        </w:rPr>
        <w:t>by</w:t>
      </w:r>
      <w:r w:rsidR="00AC374C" w:rsidRPr="00FA3973">
        <w:rPr>
          <w:rFonts w:ascii="Arial" w:hAnsi="Arial" w:cs="Arial"/>
          <w:sz w:val="22"/>
        </w:rPr>
        <w:t xml:space="preserve"> </w:t>
      </w:r>
      <w:r w:rsidR="00E97872" w:rsidRPr="00FA3973">
        <w:rPr>
          <w:rFonts w:ascii="Arial" w:hAnsi="Arial" w:cs="Arial"/>
          <w:sz w:val="22"/>
        </w:rPr>
        <w:t>a mix of traditional sources (</w:t>
      </w:r>
      <w:r w:rsidR="0036408E">
        <w:rPr>
          <w:rFonts w:ascii="Arial" w:hAnsi="Arial" w:cs="Arial"/>
          <w:sz w:val="22"/>
        </w:rPr>
        <w:t xml:space="preserve">small </w:t>
      </w:r>
      <w:r w:rsidR="00E97872" w:rsidRPr="00FA3973">
        <w:rPr>
          <w:rFonts w:ascii="Arial" w:hAnsi="Arial" w:cs="Arial"/>
          <w:sz w:val="22"/>
        </w:rPr>
        <w:t>hydro, thermal),</w:t>
      </w:r>
      <w:r w:rsidR="007E422E" w:rsidRPr="00FA3973">
        <w:rPr>
          <w:rFonts w:ascii="Arial" w:hAnsi="Arial" w:cs="Arial"/>
          <w:sz w:val="22"/>
        </w:rPr>
        <w:t xml:space="preserve"> and t</w:t>
      </w:r>
      <w:r w:rsidR="00DB240A" w:rsidRPr="00FA3973">
        <w:rPr>
          <w:rFonts w:ascii="Arial" w:hAnsi="Arial" w:cs="Arial"/>
          <w:sz w:val="22"/>
        </w:rPr>
        <w:t>he cost of providing this energy is assumed to be</w:t>
      </w:r>
      <w:r w:rsidRPr="00FA3973">
        <w:rPr>
          <w:rFonts w:ascii="Arial" w:hAnsi="Arial" w:cs="Arial"/>
          <w:sz w:val="22"/>
        </w:rPr>
        <w:t xml:space="preserve"> </w:t>
      </w:r>
      <w:r w:rsidR="00DB240A" w:rsidRPr="00FA3973">
        <w:rPr>
          <w:rFonts w:ascii="Arial" w:hAnsi="Arial" w:cs="Arial"/>
          <w:sz w:val="22"/>
        </w:rPr>
        <w:t xml:space="preserve">the average </w:t>
      </w:r>
      <w:r w:rsidR="00807924">
        <w:rPr>
          <w:rFonts w:ascii="Arial" w:hAnsi="Arial" w:cs="Arial"/>
          <w:sz w:val="22"/>
        </w:rPr>
        <w:t xml:space="preserve">marginal cost of the </w:t>
      </w:r>
      <w:r w:rsidR="001F7FE3">
        <w:rPr>
          <w:rFonts w:ascii="Arial" w:hAnsi="Arial" w:cs="Arial"/>
          <w:sz w:val="22"/>
        </w:rPr>
        <w:t>system</w:t>
      </w:r>
      <w:r w:rsidR="00DC2B96">
        <w:rPr>
          <w:rFonts w:ascii="Arial" w:hAnsi="Arial" w:cs="Arial"/>
          <w:sz w:val="22"/>
        </w:rPr>
        <w:t>.</w:t>
      </w:r>
      <w:r w:rsidR="00807924">
        <w:rPr>
          <w:rStyle w:val="FootnoteReference"/>
          <w:rFonts w:ascii="Arial" w:hAnsi="Arial" w:cs="Arial"/>
          <w:sz w:val="22"/>
        </w:rPr>
        <w:footnoteReference w:id="4"/>
      </w:r>
      <w:r w:rsidR="00807924" w:rsidRPr="003E0E63">
        <w:rPr>
          <w:rFonts w:ascii="Arial" w:hAnsi="Arial" w:cs="Arial"/>
          <w:sz w:val="22"/>
          <w:vertAlign w:val="superscript"/>
        </w:rPr>
        <w:t>,</w:t>
      </w:r>
      <w:r w:rsidR="00174E61" w:rsidRPr="00FA3973">
        <w:rPr>
          <w:rStyle w:val="FootnoteReference"/>
          <w:rFonts w:ascii="Arial" w:hAnsi="Arial" w:cs="Arial"/>
          <w:sz w:val="22"/>
        </w:rPr>
        <w:footnoteReference w:id="5"/>
      </w:r>
      <w:r w:rsidR="00730275" w:rsidRPr="00FA3973">
        <w:rPr>
          <w:rFonts w:ascii="Arial" w:hAnsi="Arial" w:cs="Arial"/>
          <w:sz w:val="22"/>
        </w:rPr>
        <w:t xml:space="preserve"> </w:t>
      </w:r>
      <w:r w:rsidR="00DB240A" w:rsidRPr="00FA3973">
        <w:rPr>
          <w:rFonts w:ascii="Arial" w:hAnsi="Arial" w:cs="Arial"/>
          <w:sz w:val="22"/>
        </w:rPr>
        <w:t xml:space="preserve">It is assumed that in this scenario, energy has the </w:t>
      </w:r>
      <w:r w:rsidR="00AC374C">
        <w:rPr>
          <w:rFonts w:ascii="Arial" w:hAnsi="Arial" w:cs="Arial"/>
          <w:sz w:val="22"/>
        </w:rPr>
        <w:t xml:space="preserve">average </w:t>
      </w:r>
      <w:r w:rsidR="00DB240A" w:rsidRPr="00FA3973">
        <w:rPr>
          <w:rFonts w:ascii="Arial" w:hAnsi="Arial" w:cs="Arial"/>
          <w:sz w:val="22"/>
        </w:rPr>
        <w:t xml:space="preserve">emissions rate </w:t>
      </w:r>
      <w:r w:rsidR="00730275" w:rsidRPr="00FA3973">
        <w:rPr>
          <w:rFonts w:ascii="Arial" w:hAnsi="Arial" w:cs="Arial"/>
          <w:sz w:val="22"/>
        </w:rPr>
        <w:t>of the current electricity matrix</w:t>
      </w:r>
      <w:r w:rsidR="00610135" w:rsidRPr="00FA3973">
        <w:rPr>
          <w:rFonts w:ascii="Arial" w:hAnsi="Arial" w:cs="Arial"/>
          <w:sz w:val="22"/>
        </w:rPr>
        <w:t>. This is a conservative as</w:t>
      </w:r>
      <w:r w:rsidR="007E422E" w:rsidRPr="00FA3973">
        <w:rPr>
          <w:rFonts w:ascii="Arial" w:hAnsi="Arial" w:cs="Arial"/>
          <w:sz w:val="22"/>
        </w:rPr>
        <w:t>sumption</w:t>
      </w:r>
      <w:r w:rsidR="00807924">
        <w:rPr>
          <w:rStyle w:val="FootnoteReference"/>
          <w:rFonts w:ascii="Arial" w:hAnsi="Arial" w:cs="Arial"/>
          <w:sz w:val="22"/>
        </w:rPr>
        <w:footnoteReference w:id="6"/>
      </w:r>
      <w:r w:rsidR="007E422E" w:rsidRPr="00FA3973">
        <w:rPr>
          <w:rFonts w:ascii="Arial" w:hAnsi="Arial" w:cs="Arial"/>
          <w:sz w:val="22"/>
        </w:rPr>
        <w:t xml:space="preserve">, given that </w:t>
      </w:r>
      <w:r w:rsidR="00E97872" w:rsidRPr="00FA3973">
        <w:rPr>
          <w:rFonts w:ascii="Arial" w:hAnsi="Arial" w:cs="Arial"/>
          <w:sz w:val="22"/>
        </w:rPr>
        <w:t xml:space="preserve">in the absence of ARE projects, and with the difficulty of large hydro developments, </w:t>
      </w:r>
      <w:r w:rsidR="007E422E" w:rsidRPr="00FA3973">
        <w:rPr>
          <w:rFonts w:ascii="Arial" w:hAnsi="Arial" w:cs="Arial"/>
          <w:sz w:val="22"/>
        </w:rPr>
        <w:lastRenderedPageBreak/>
        <w:t xml:space="preserve">the energy </w:t>
      </w:r>
      <w:r w:rsidR="00610135" w:rsidRPr="00FA3973">
        <w:rPr>
          <w:rFonts w:ascii="Arial" w:hAnsi="Arial" w:cs="Arial"/>
          <w:sz w:val="22"/>
        </w:rPr>
        <w:t xml:space="preserve">might </w:t>
      </w:r>
      <w:r w:rsidR="006E708A" w:rsidRPr="00FA3973">
        <w:rPr>
          <w:rFonts w:ascii="Arial" w:hAnsi="Arial" w:cs="Arial"/>
          <w:sz w:val="22"/>
        </w:rPr>
        <w:t xml:space="preserve">actually </w:t>
      </w:r>
      <w:r w:rsidR="00610135" w:rsidRPr="00FA3973">
        <w:rPr>
          <w:rFonts w:ascii="Arial" w:hAnsi="Arial" w:cs="Arial"/>
          <w:sz w:val="22"/>
        </w:rPr>
        <w:t xml:space="preserve">be provided </w:t>
      </w:r>
      <w:r w:rsidR="00AC374C">
        <w:rPr>
          <w:rFonts w:ascii="Arial" w:hAnsi="Arial" w:cs="Arial"/>
          <w:sz w:val="22"/>
        </w:rPr>
        <w:t xml:space="preserve">only </w:t>
      </w:r>
      <w:r w:rsidR="00610135" w:rsidRPr="00FA3973">
        <w:rPr>
          <w:rFonts w:ascii="Arial" w:hAnsi="Arial" w:cs="Arial"/>
          <w:sz w:val="22"/>
        </w:rPr>
        <w:t xml:space="preserve">by </w:t>
      </w:r>
      <w:r w:rsidR="007E422E" w:rsidRPr="00FA3973">
        <w:rPr>
          <w:rFonts w:ascii="Arial" w:hAnsi="Arial" w:cs="Arial"/>
          <w:sz w:val="22"/>
        </w:rPr>
        <w:t xml:space="preserve">additional </w:t>
      </w:r>
      <w:r w:rsidR="00610135" w:rsidRPr="00FA3973">
        <w:rPr>
          <w:rFonts w:ascii="Arial" w:hAnsi="Arial" w:cs="Arial"/>
          <w:sz w:val="22"/>
        </w:rPr>
        <w:t>fossil fuels</w:t>
      </w:r>
      <w:r w:rsidR="007E422E" w:rsidRPr="00FA3973">
        <w:rPr>
          <w:rFonts w:ascii="Arial" w:hAnsi="Arial" w:cs="Arial"/>
          <w:sz w:val="22"/>
        </w:rPr>
        <w:t xml:space="preserve"> that may be implemented</w:t>
      </w:r>
      <w:r w:rsidR="00610135" w:rsidRPr="00FA3973">
        <w:rPr>
          <w:rFonts w:ascii="Arial" w:hAnsi="Arial" w:cs="Arial"/>
          <w:sz w:val="22"/>
        </w:rPr>
        <w:t xml:space="preserve"> </w:t>
      </w:r>
      <w:r w:rsidR="00E97872" w:rsidRPr="00FA3973">
        <w:rPr>
          <w:rFonts w:ascii="Arial" w:hAnsi="Arial" w:cs="Arial"/>
          <w:sz w:val="22"/>
        </w:rPr>
        <w:t xml:space="preserve">in the short-term, with higher emissions </w:t>
      </w:r>
      <w:r w:rsidR="00610135" w:rsidRPr="00FA3973">
        <w:rPr>
          <w:rFonts w:ascii="Arial" w:hAnsi="Arial" w:cs="Arial"/>
          <w:sz w:val="22"/>
        </w:rPr>
        <w:t>instead of at the rate of emissions of the current energy matrix</w:t>
      </w:r>
      <w:r w:rsidR="00E97872" w:rsidRPr="00FA3973">
        <w:rPr>
          <w:rStyle w:val="FootnoteReference"/>
          <w:rFonts w:ascii="Arial" w:hAnsi="Arial" w:cs="Arial"/>
          <w:sz w:val="22"/>
        </w:rPr>
        <w:footnoteReference w:id="7"/>
      </w:r>
      <w:r w:rsidR="00610135" w:rsidRPr="00FA3973">
        <w:rPr>
          <w:rFonts w:ascii="Arial" w:hAnsi="Arial" w:cs="Arial"/>
          <w:sz w:val="22"/>
        </w:rPr>
        <w:t xml:space="preserve">. Furthermore, in the without project scenario </w:t>
      </w:r>
      <w:r w:rsidR="00174E61" w:rsidRPr="00FA3973">
        <w:rPr>
          <w:rFonts w:ascii="Arial" w:hAnsi="Arial" w:cs="Arial"/>
          <w:sz w:val="22"/>
        </w:rPr>
        <w:t>t</w:t>
      </w:r>
      <w:r w:rsidR="00730275" w:rsidRPr="00FA3973">
        <w:rPr>
          <w:rFonts w:ascii="Arial" w:hAnsi="Arial" w:cs="Arial"/>
          <w:sz w:val="22"/>
        </w:rPr>
        <w:t>here are no energy savings from energy efficiency projects.</w:t>
      </w:r>
    </w:p>
    <w:p w:rsidR="00A2065B" w:rsidRPr="00FA3973" w:rsidRDefault="006F7922" w:rsidP="00543FA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Benefits </w:t>
      </w:r>
      <w:r w:rsidR="00A2065B" w:rsidRPr="00FA3973">
        <w:rPr>
          <w:rFonts w:ascii="Arial" w:hAnsi="Arial" w:cs="Arial"/>
          <w:sz w:val="22"/>
        </w:rPr>
        <w:t>and costs</w:t>
      </w:r>
      <w:r w:rsidRPr="00FA3973">
        <w:rPr>
          <w:rFonts w:ascii="Arial" w:hAnsi="Arial" w:cs="Arial"/>
          <w:sz w:val="22"/>
        </w:rPr>
        <w:t xml:space="preserve"> for each scenario are calculated</w:t>
      </w:r>
      <w:r w:rsidR="00043320" w:rsidRPr="00FA3973">
        <w:rPr>
          <w:rFonts w:ascii="Arial" w:hAnsi="Arial" w:cs="Arial"/>
          <w:sz w:val="22"/>
        </w:rPr>
        <w:t xml:space="preserve"> </w:t>
      </w:r>
      <w:r w:rsidR="00A2065B" w:rsidRPr="00FA3973">
        <w:rPr>
          <w:rFonts w:ascii="Arial" w:hAnsi="Arial" w:cs="Arial"/>
          <w:sz w:val="22"/>
        </w:rPr>
        <w:t>following the principles below:</w:t>
      </w:r>
      <w:bookmarkEnd w:id="7"/>
    </w:p>
    <w:p w:rsidR="006E708A" w:rsidRPr="00FA3973" w:rsidRDefault="00F23766" w:rsidP="001016A1">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 xml:space="preserve">Economic benefits </w:t>
      </w:r>
      <w:r w:rsidR="006E708A" w:rsidRPr="00FA3973">
        <w:rPr>
          <w:rFonts w:ascii="Arial" w:hAnsi="Arial" w:cs="Arial"/>
          <w:sz w:val="22"/>
        </w:rPr>
        <w:t xml:space="preserve">for the Program </w:t>
      </w:r>
      <w:r w:rsidRPr="00FA3973">
        <w:rPr>
          <w:rFonts w:ascii="Arial" w:hAnsi="Arial" w:cs="Arial"/>
          <w:sz w:val="22"/>
        </w:rPr>
        <w:t xml:space="preserve">derive from the difference between the expected </w:t>
      </w:r>
      <w:r w:rsidR="006E708A" w:rsidRPr="00FA3973">
        <w:rPr>
          <w:rFonts w:ascii="Arial" w:hAnsi="Arial" w:cs="Arial"/>
          <w:sz w:val="22"/>
        </w:rPr>
        <w:t xml:space="preserve">energy supply </w:t>
      </w:r>
      <w:r w:rsidRPr="00FA3973">
        <w:rPr>
          <w:rFonts w:ascii="Arial" w:hAnsi="Arial" w:cs="Arial"/>
          <w:sz w:val="22"/>
        </w:rPr>
        <w:t xml:space="preserve">costs of </w:t>
      </w:r>
      <w:r w:rsidR="00A54F04" w:rsidRPr="00FA3973">
        <w:rPr>
          <w:rFonts w:ascii="Arial" w:hAnsi="Arial" w:cs="Arial"/>
          <w:sz w:val="22"/>
        </w:rPr>
        <w:t xml:space="preserve">the </w:t>
      </w:r>
      <w:r w:rsidRPr="00FA3973">
        <w:rPr>
          <w:rFonts w:ascii="Arial" w:hAnsi="Arial" w:cs="Arial"/>
          <w:sz w:val="22"/>
        </w:rPr>
        <w:t>scenario with program</w:t>
      </w:r>
      <w:r w:rsidR="006E708A" w:rsidRPr="00FA3973">
        <w:rPr>
          <w:rFonts w:ascii="Arial" w:hAnsi="Arial" w:cs="Arial"/>
          <w:sz w:val="22"/>
        </w:rPr>
        <w:t>,</w:t>
      </w:r>
      <w:r w:rsidRPr="00FA3973">
        <w:rPr>
          <w:rFonts w:ascii="Arial" w:hAnsi="Arial" w:cs="Arial"/>
          <w:sz w:val="22"/>
        </w:rPr>
        <w:t xml:space="preserve"> and </w:t>
      </w:r>
      <w:r w:rsidR="006E708A" w:rsidRPr="00FA3973">
        <w:rPr>
          <w:rFonts w:ascii="Arial" w:hAnsi="Arial" w:cs="Arial"/>
          <w:sz w:val="22"/>
        </w:rPr>
        <w:t xml:space="preserve">the </w:t>
      </w:r>
      <w:r w:rsidRPr="00FA3973">
        <w:rPr>
          <w:rFonts w:ascii="Arial" w:hAnsi="Arial" w:cs="Arial"/>
          <w:sz w:val="22"/>
        </w:rPr>
        <w:t xml:space="preserve">expected </w:t>
      </w:r>
      <w:r w:rsidR="006E708A" w:rsidRPr="00FA3973">
        <w:rPr>
          <w:rFonts w:ascii="Arial" w:hAnsi="Arial" w:cs="Arial"/>
          <w:sz w:val="22"/>
        </w:rPr>
        <w:t xml:space="preserve">energy supply </w:t>
      </w:r>
      <w:r w:rsidRPr="00FA3973">
        <w:rPr>
          <w:rFonts w:ascii="Arial" w:hAnsi="Arial" w:cs="Arial"/>
          <w:sz w:val="22"/>
        </w:rPr>
        <w:t xml:space="preserve">costs of </w:t>
      </w:r>
      <w:r w:rsidR="006E708A" w:rsidRPr="00FA3973">
        <w:rPr>
          <w:rFonts w:ascii="Arial" w:hAnsi="Arial" w:cs="Arial"/>
          <w:sz w:val="22"/>
        </w:rPr>
        <w:t xml:space="preserve">the </w:t>
      </w:r>
      <w:r w:rsidRPr="00FA3973">
        <w:rPr>
          <w:rFonts w:ascii="Arial" w:hAnsi="Arial" w:cs="Arial"/>
          <w:sz w:val="22"/>
        </w:rPr>
        <w:t>scenario without program</w:t>
      </w:r>
      <w:r w:rsidR="007B4F3C" w:rsidRPr="00FA3973">
        <w:rPr>
          <w:rFonts w:ascii="Arial" w:hAnsi="Arial" w:cs="Arial"/>
          <w:sz w:val="22"/>
        </w:rPr>
        <w:t>.</w:t>
      </w:r>
      <w:r w:rsidR="006E708A" w:rsidRPr="00FA3973">
        <w:rPr>
          <w:rFonts w:ascii="Arial" w:hAnsi="Arial" w:cs="Arial"/>
          <w:sz w:val="22"/>
        </w:rPr>
        <w:t xml:space="preserve"> </w:t>
      </w:r>
    </w:p>
    <w:p w:rsidR="006E708A" w:rsidRPr="00FA3973" w:rsidRDefault="006E708A" w:rsidP="006E708A">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The cost of energy supply from ARE projects, in the scenario with program are calculated considering the investment and O&amp;M costs, determined based on the total additional capacity (in MW) that is expected to be installed and become operative as a result of the program, and the energy generated and injected to the system by these projects (GWh) during their life time, assuming an average capacity factor for each type of technology</w:t>
      </w:r>
      <w:r w:rsidRPr="00FA3973">
        <w:rPr>
          <w:rStyle w:val="FootnoteReference"/>
          <w:rFonts w:ascii="Arial" w:hAnsi="Arial" w:cs="Arial"/>
          <w:sz w:val="22"/>
        </w:rPr>
        <w:footnoteReference w:id="8"/>
      </w:r>
      <w:r w:rsidRPr="00FA3973">
        <w:rPr>
          <w:rFonts w:ascii="Arial" w:hAnsi="Arial" w:cs="Arial"/>
          <w:sz w:val="22"/>
        </w:rPr>
        <w:t xml:space="preserve">. </w:t>
      </w:r>
    </w:p>
    <w:p w:rsidR="00A2065B" w:rsidRPr="00FA3973" w:rsidRDefault="006E708A" w:rsidP="004529E6">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 xml:space="preserve">The energy supply costs in the scenario without the program are determined based on the energy that would need to be provided (GWh) to the </w:t>
      </w:r>
      <w:r w:rsidR="00225938">
        <w:rPr>
          <w:rFonts w:ascii="Arial" w:hAnsi="Arial" w:cs="Arial"/>
          <w:sz w:val="22"/>
        </w:rPr>
        <w:t>system</w:t>
      </w:r>
      <w:r w:rsidR="00AA5300" w:rsidRPr="00FA3973">
        <w:rPr>
          <w:rFonts w:ascii="Arial" w:hAnsi="Arial" w:cs="Arial"/>
          <w:sz w:val="22"/>
        </w:rPr>
        <w:t xml:space="preserve">, at the average </w:t>
      </w:r>
      <w:r w:rsidR="00807924">
        <w:rPr>
          <w:rFonts w:ascii="Arial" w:hAnsi="Arial" w:cs="Arial"/>
          <w:sz w:val="22"/>
        </w:rPr>
        <w:t xml:space="preserve">marginal cost of the </w:t>
      </w:r>
      <w:r w:rsidR="00225938">
        <w:rPr>
          <w:rFonts w:ascii="Arial" w:hAnsi="Arial" w:cs="Arial"/>
          <w:sz w:val="22"/>
        </w:rPr>
        <w:t>system</w:t>
      </w:r>
      <w:r w:rsidRPr="00FA3973">
        <w:rPr>
          <w:rFonts w:ascii="Arial" w:hAnsi="Arial" w:cs="Arial"/>
          <w:sz w:val="22"/>
        </w:rPr>
        <w:t>, in the absence of the ARE projects</w:t>
      </w:r>
      <w:r w:rsidR="00807924">
        <w:rPr>
          <w:rStyle w:val="FootnoteReference"/>
          <w:rFonts w:ascii="Arial" w:hAnsi="Arial" w:cs="Arial"/>
          <w:sz w:val="22"/>
        </w:rPr>
        <w:footnoteReference w:id="9"/>
      </w:r>
      <w:r w:rsidRPr="00FA3973">
        <w:rPr>
          <w:rFonts w:ascii="Arial" w:hAnsi="Arial" w:cs="Arial"/>
          <w:sz w:val="22"/>
        </w:rPr>
        <w:t>.</w:t>
      </w:r>
      <w:r w:rsidR="007B4F3C" w:rsidRPr="00FA3973">
        <w:rPr>
          <w:rFonts w:ascii="Arial" w:hAnsi="Arial" w:cs="Arial"/>
          <w:sz w:val="22"/>
        </w:rPr>
        <w:t xml:space="preserve"> </w:t>
      </w:r>
      <w:r w:rsidR="00A2065B" w:rsidRPr="00FA3973">
        <w:rPr>
          <w:rFonts w:ascii="Arial" w:hAnsi="Arial" w:cs="Arial"/>
          <w:sz w:val="22"/>
        </w:rPr>
        <w:t xml:space="preserve">Projections </w:t>
      </w:r>
      <w:r w:rsidR="00ED75D5" w:rsidRPr="00FA3973">
        <w:rPr>
          <w:rFonts w:ascii="Arial" w:hAnsi="Arial" w:cs="Arial"/>
          <w:sz w:val="22"/>
        </w:rPr>
        <w:t xml:space="preserve">of the comparison of these two scenarios </w:t>
      </w:r>
      <w:r w:rsidRPr="00FA3973">
        <w:rPr>
          <w:rFonts w:ascii="Arial" w:hAnsi="Arial" w:cs="Arial"/>
          <w:sz w:val="22"/>
        </w:rPr>
        <w:t>are</w:t>
      </w:r>
      <w:r w:rsidR="00F23766" w:rsidRPr="00FA3973">
        <w:rPr>
          <w:rFonts w:ascii="Arial" w:hAnsi="Arial" w:cs="Arial"/>
          <w:sz w:val="22"/>
        </w:rPr>
        <w:t xml:space="preserve"> made for a period of 2</w:t>
      </w:r>
      <w:r w:rsidR="005657A6" w:rsidRPr="00FA3973">
        <w:rPr>
          <w:rFonts w:ascii="Arial" w:hAnsi="Arial" w:cs="Arial"/>
          <w:sz w:val="22"/>
        </w:rPr>
        <w:t>0</w:t>
      </w:r>
      <w:r w:rsidR="00F23766" w:rsidRPr="00FA3973">
        <w:rPr>
          <w:rFonts w:ascii="Arial" w:hAnsi="Arial" w:cs="Arial"/>
          <w:sz w:val="22"/>
        </w:rPr>
        <w:t xml:space="preserve"> years</w:t>
      </w:r>
      <w:r w:rsidR="00A2065B" w:rsidRPr="00FA3973">
        <w:rPr>
          <w:rFonts w:ascii="Arial" w:hAnsi="Arial" w:cs="Arial"/>
          <w:sz w:val="22"/>
        </w:rPr>
        <w:t>.</w:t>
      </w:r>
      <w:r w:rsidR="005E0BDF" w:rsidRPr="00FA3973">
        <w:rPr>
          <w:rFonts w:ascii="Arial" w:hAnsi="Arial" w:cs="Arial"/>
          <w:sz w:val="22"/>
        </w:rPr>
        <w:t xml:space="preserve"> </w:t>
      </w:r>
      <w:r w:rsidR="00A54F04" w:rsidRPr="00FA3973">
        <w:rPr>
          <w:rFonts w:ascii="Arial" w:hAnsi="Arial" w:cs="Arial"/>
          <w:sz w:val="22"/>
        </w:rPr>
        <w:t xml:space="preserve">Additionally, the </w:t>
      </w:r>
      <w:r w:rsidR="005E0BDF" w:rsidRPr="00FA3973">
        <w:rPr>
          <w:rFonts w:ascii="Arial" w:hAnsi="Arial" w:cs="Arial"/>
          <w:sz w:val="22"/>
        </w:rPr>
        <w:t>externalities associated with the reduction of GHG emissions</w:t>
      </w:r>
      <w:r w:rsidR="00A54F04" w:rsidRPr="00FA3973">
        <w:rPr>
          <w:rFonts w:ascii="Arial" w:hAnsi="Arial" w:cs="Arial"/>
          <w:sz w:val="22"/>
        </w:rPr>
        <w:t xml:space="preserve"> are also included</w:t>
      </w:r>
      <w:r w:rsidR="00043320" w:rsidRPr="00FA3973">
        <w:rPr>
          <w:rFonts w:ascii="Arial" w:hAnsi="Arial" w:cs="Arial"/>
          <w:sz w:val="22"/>
        </w:rPr>
        <w:t xml:space="preserve"> as an economic benefit of the p</w:t>
      </w:r>
      <w:r w:rsidR="00A54F04" w:rsidRPr="00FA3973">
        <w:rPr>
          <w:rFonts w:ascii="Arial" w:hAnsi="Arial" w:cs="Arial"/>
          <w:sz w:val="22"/>
        </w:rPr>
        <w:t>rogram</w:t>
      </w:r>
      <w:r w:rsidR="0036408E" w:rsidRPr="00FA3973">
        <w:rPr>
          <w:rFonts w:ascii="Arial" w:hAnsi="Arial" w:cs="Arial"/>
          <w:sz w:val="22"/>
          <w:vertAlign w:val="superscript"/>
        </w:rPr>
        <w:footnoteReference w:id="10"/>
      </w:r>
      <w:r w:rsidR="00A54F04" w:rsidRPr="00FA3973">
        <w:rPr>
          <w:rFonts w:ascii="Arial" w:hAnsi="Arial" w:cs="Arial"/>
          <w:sz w:val="22"/>
        </w:rPr>
        <w:t>.</w:t>
      </w:r>
      <w:r w:rsidR="0036408E">
        <w:rPr>
          <w:rFonts w:ascii="Arial" w:hAnsi="Arial" w:cs="Arial"/>
          <w:sz w:val="22"/>
        </w:rPr>
        <w:t xml:space="preserve"> As the marginal cost of the system is subject to different stochastic variables (rain patters, fuel prices, demand growth, etc</w:t>
      </w:r>
      <w:r w:rsidR="00E765A3">
        <w:rPr>
          <w:rFonts w:ascii="Arial" w:hAnsi="Arial" w:cs="Arial"/>
          <w:sz w:val="22"/>
        </w:rPr>
        <w:t>.</w:t>
      </w:r>
      <w:r w:rsidR="0036408E">
        <w:rPr>
          <w:rFonts w:ascii="Arial" w:hAnsi="Arial" w:cs="Arial"/>
          <w:sz w:val="22"/>
        </w:rPr>
        <w:t>), different assumptions are explored in the sensitivity analysis (see Annex I for detail).</w:t>
      </w:r>
      <w:r w:rsidR="005E0BDF" w:rsidRPr="00FA3973">
        <w:rPr>
          <w:rFonts w:ascii="Arial" w:hAnsi="Arial" w:cs="Arial"/>
          <w:sz w:val="22"/>
          <w:vertAlign w:val="superscript"/>
        </w:rPr>
        <w:t xml:space="preserve"> </w:t>
      </w:r>
    </w:p>
    <w:p w:rsidR="00E64B9A" w:rsidRPr="00FA3973" w:rsidRDefault="00A2065B" w:rsidP="001016A1">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 xml:space="preserve">EE investments will </w:t>
      </w:r>
      <w:r w:rsidR="008F4DC4" w:rsidRPr="00FA3973">
        <w:rPr>
          <w:rFonts w:ascii="Arial" w:hAnsi="Arial" w:cs="Arial"/>
          <w:sz w:val="22"/>
        </w:rPr>
        <w:t>be evaluated over the base of the amount of energy saved in the projects financed by the program. B</w:t>
      </w:r>
      <w:r w:rsidRPr="00FA3973">
        <w:rPr>
          <w:rFonts w:ascii="Arial" w:hAnsi="Arial" w:cs="Arial"/>
          <w:sz w:val="22"/>
        </w:rPr>
        <w:t xml:space="preserve">enefits </w:t>
      </w:r>
      <w:r w:rsidR="00817C66" w:rsidRPr="00FA3973">
        <w:rPr>
          <w:rFonts w:ascii="Arial" w:hAnsi="Arial" w:cs="Arial"/>
          <w:sz w:val="22"/>
        </w:rPr>
        <w:t>are represented by</w:t>
      </w:r>
      <w:r w:rsidR="008F4DC4" w:rsidRPr="00FA3973">
        <w:rPr>
          <w:rFonts w:ascii="Arial" w:hAnsi="Arial" w:cs="Arial"/>
          <w:sz w:val="22"/>
        </w:rPr>
        <w:t xml:space="preserve"> the </w:t>
      </w:r>
      <w:r w:rsidR="006F1B8E" w:rsidRPr="00FA3973">
        <w:rPr>
          <w:rFonts w:ascii="Arial" w:hAnsi="Arial" w:cs="Arial"/>
          <w:sz w:val="22"/>
        </w:rPr>
        <w:t xml:space="preserve">foregone </w:t>
      </w:r>
      <w:r w:rsidR="008F4DC4" w:rsidRPr="00FA3973">
        <w:rPr>
          <w:rFonts w:ascii="Arial" w:hAnsi="Arial" w:cs="Arial"/>
          <w:sz w:val="22"/>
        </w:rPr>
        <w:t>costs</w:t>
      </w:r>
      <w:r w:rsidR="00817C66" w:rsidRPr="00FA3973">
        <w:rPr>
          <w:rFonts w:ascii="Arial" w:hAnsi="Arial" w:cs="Arial"/>
          <w:sz w:val="22"/>
        </w:rPr>
        <w:t xml:space="preserve"> that </w:t>
      </w:r>
      <w:r w:rsidR="006F1B8E" w:rsidRPr="00FA3973">
        <w:rPr>
          <w:rFonts w:ascii="Arial" w:hAnsi="Arial" w:cs="Arial"/>
          <w:sz w:val="22"/>
        </w:rPr>
        <w:t xml:space="preserve">are implied by </w:t>
      </w:r>
      <w:r w:rsidR="004D416C" w:rsidRPr="00FA3973">
        <w:rPr>
          <w:rFonts w:ascii="Arial" w:hAnsi="Arial" w:cs="Arial"/>
          <w:sz w:val="22"/>
        </w:rPr>
        <w:t>saving</w:t>
      </w:r>
      <w:r w:rsidR="006F1B8E" w:rsidRPr="00FA3973">
        <w:rPr>
          <w:rFonts w:ascii="Arial" w:hAnsi="Arial" w:cs="Arial"/>
          <w:sz w:val="22"/>
        </w:rPr>
        <w:t xml:space="preserve"> such </w:t>
      </w:r>
      <w:r w:rsidR="008F4DC4" w:rsidRPr="00FA3973">
        <w:rPr>
          <w:rFonts w:ascii="Arial" w:hAnsi="Arial" w:cs="Arial"/>
          <w:sz w:val="22"/>
        </w:rPr>
        <w:t>amounts of energy</w:t>
      </w:r>
      <w:r w:rsidR="006F1B8E" w:rsidRPr="00FA3973">
        <w:rPr>
          <w:rFonts w:ascii="Arial" w:hAnsi="Arial" w:cs="Arial"/>
          <w:sz w:val="22"/>
        </w:rPr>
        <w:t xml:space="preserve"> instead of consuming them from the electricity grid</w:t>
      </w:r>
      <w:r w:rsidR="00817C66" w:rsidRPr="00FA3973">
        <w:rPr>
          <w:rFonts w:ascii="Arial" w:hAnsi="Arial" w:cs="Arial"/>
          <w:sz w:val="22"/>
        </w:rPr>
        <w:t xml:space="preserve"> </w:t>
      </w:r>
      <w:r w:rsidR="009672E0" w:rsidRPr="00FA3973">
        <w:rPr>
          <w:rFonts w:ascii="Arial" w:hAnsi="Arial" w:cs="Arial"/>
          <w:sz w:val="22"/>
        </w:rPr>
        <w:t xml:space="preserve">plus the abated costs associated to the reduction of GHG emissions </w:t>
      </w:r>
      <w:r w:rsidR="006F1B8E" w:rsidRPr="00FA3973">
        <w:rPr>
          <w:rFonts w:ascii="Arial" w:hAnsi="Arial" w:cs="Arial"/>
          <w:sz w:val="22"/>
        </w:rPr>
        <w:t xml:space="preserve">also </w:t>
      </w:r>
      <w:r w:rsidR="009672E0" w:rsidRPr="00FA3973">
        <w:rPr>
          <w:rFonts w:ascii="Arial" w:hAnsi="Arial" w:cs="Arial"/>
          <w:sz w:val="22"/>
        </w:rPr>
        <w:t>resulting from savings of electricity that would have been provided by the grid</w:t>
      </w:r>
      <w:r w:rsidR="00817C66" w:rsidRPr="00FA3973">
        <w:rPr>
          <w:rFonts w:ascii="Arial" w:hAnsi="Arial" w:cs="Arial"/>
          <w:sz w:val="22"/>
        </w:rPr>
        <w:t xml:space="preserve">. The value of these </w:t>
      </w:r>
      <w:r w:rsidR="006F1B8E" w:rsidRPr="00FA3973">
        <w:rPr>
          <w:rFonts w:ascii="Arial" w:hAnsi="Arial" w:cs="Arial"/>
          <w:sz w:val="22"/>
        </w:rPr>
        <w:t>foregone-</w:t>
      </w:r>
      <w:r w:rsidR="00817C66" w:rsidRPr="00FA3973">
        <w:rPr>
          <w:rFonts w:ascii="Arial" w:hAnsi="Arial" w:cs="Arial"/>
          <w:sz w:val="22"/>
        </w:rPr>
        <w:t>costs in the scenario without program shall be zero, as no savings in energy are expected in the absence of an</w:t>
      </w:r>
      <w:r w:rsidR="008F4DC4" w:rsidRPr="00FA3973">
        <w:rPr>
          <w:rFonts w:ascii="Arial" w:hAnsi="Arial" w:cs="Arial"/>
          <w:sz w:val="22"/>
        </w:rPr>
        <w:t xml:space="preserve"> EE </w:t>
      </w:r>
      <w:r w:rsidR="00817C66" w:rsidRPr="00FA3973">
        <w:rPr>
          <w:rFonts w:ascii="Arial" w:hAnsi="Arial" w:cs="Arial"/>
          <w:sz w:val="22"/>
        </w:rPr>
        <w:t>technology in place</w:t>
      </w:r>
      <w:r w:rsidRPr="00FA3973">
        <w:rPr>
          <w:rFonts w:ascii="Arial" w:hAnsi="Arial" w:cs="Arial"/>
          <w:sz w:val="22"/>
        </w:rPr>
        <w:t xml:space="preserve">. </w:t>
      </w:r>
      <w:r w:rsidR="00043320" w:rsidRPr="00FA3973">
        <w:rPr>
          <w:rFonts w:ascii="Arial" w:hAnsi="Arial" w:cs="Arial"/>
          <w:sz w:val="22"/>
        </w:rPr>
        <w:t>P</w:t>
      </w:r>
      <w:r w:rsidRPr="00FA3973">
        <w:rPr>
          <w:rFonts w:ascii="Arial" w:hAnsi="Arial" w:cs="Arial"/>
          <w:sz w:val="22"/>
        </w:rPr>
        <w:t>rojections will be made for a period of 20 years</w:t>
      </w:r>
      <w:r w:rsidR="00A54F04" w:rsidRPr="00FA3973">
        <w:rPr>
          <w:rStyle w:val="FootnoteReference"/>
          <w:rFonts w:ascii="Arial" w:hAnsi="Arial" w:cs="Arial"/>
          <w:sz w:val="22"/>
        </w:rPr>
        <w:footnoteReference w:id="11"/>
      </w:r>
      <w:r w:rsidR="00A54F04" w:rsidRPr="00FA3973">
        <w:rPr>
          <w:rFonts w:ascii="Arial" w:hAnsi="Arial" w:cs="Arial"/>
          <w:sz w:val="22"/>
        </w:rPr>
        <w:t xml:space="preserve">. </w:t>
      </w:r>
    </w:p>
    <w:p w:rsidR="00A2065B" w:rsidRPr="00FA3973" w:rsidRDefault="00E64B9A" w:rsidP="001016A1">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 xml:space="preserve">Total new ARE capacity and energy saved by EE projects is determined based on a tentative pipeline of projects provided by BNDES, including the </w:t>
      </w:r>
      <w:r w:rsidRPr="00FA3973">
        <w:rPr>
          <w:rFonts w:ascii="Arial" w:hAnsi="Arial" w:cs="Arial"/>
          <w:sz w:val="22"/>
        </w:rPr>
        <w:lastRenderedPageBreak/>
        <w:t>programming in which those projects are expected to be approved for financing and start operations</w:t>
      </w:r>
      <w:r w:rsidR="00A2065B" w:rsidRPr="00FA3973">
        <w:rPr>
          <w:rFonts w:ascii="Arial" w:hAnsi="Arial" w:cs="Arial"/>
          <w:sz w:val="22"/>
        </w:rPr>
        <w:t>.</w:t>
      </w:r>
    </w:p>
    <w:p w:rsidR="00E64B9A" w:rsidRPr="00FA3973" w:rsidRDefault="00043320" w:rsidP="002215C1">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The p</w:t>
      </w:r>
      <w:r w:rsidR="00A54F04" w:rsidRPr="00FA3973">
        <w:rPr>
          <w:rFonts w:ascii="Arial" w:hAnsi="Arial" w:cs="Arial"/>
          <w:sz w:val="22"/>
        </w:rPr>
        <w:t xml:space="preserve">rogram will also have the benefit of </w:t>
      </w:r>
      <w:r w:rsidR="00E64B9A" w:rsidRPr="00FA3973">
        <w:rPr>
          <w:rFonts w:ascii="Arial" w:hAnsi="Arial" w:cs="Arial"/>
          <w:sz w:val="22"/>
        </w:rPr>
        <w:t>reducing exposure to climate and/or fuel price shocks</w:t>
      </w:r>
      <w:r w:rsidR="00A54F04" w:rsidRPr="00FA3973">
        <w:rPr>
          <w:rFonts w:ascii="Arial" w:hAnsi="Arial" w:cs="Arial"/>
          <w:sz w:val="22"/>
        </w:rPr>
        <w:t>. Nonetheless,</w:t>
      </w:r>
      <w:r w:rsidR="00E64B9A" w:rsidRPr="00FA3973">
        <w:rPr>
          <w:rFonts w:ascii="Arial" w:hAnsi="Arial" w:cs="Arial"/>
          <w:sz w:val="22"/>
        </w:rPr>
        <w:t xml:space="preserve"> quantifying potential benefits in the form of lower volatility of energy prices</w:t>
      </w:r>
      <w:r w:rsidR="009061D4" w:rsidRPr="00FA3973">
        <w:rPr>
          <w:rFonts w:ascii="Arial" w:hAnsi="Arial" w:cs="Arial"/>
          <w:sz w:val="22"/>
        </w:rPr>
        <w:t xml:space="preserve"> and</w:t>
      </w:r>
      <w:r w:rsidR="00D2249C" w:rsidRPr="00FA3973">
        <w:rPr>
          <w:rFonts w:ascii="Arial" w:hAnsi="Arial" w:cs="Arial"/>
          <w:sz w:val="22"/>
        </w:rPr>
        <w:t xml:space="preserve"> increased energy security</w:t>
      </w:r>
      <w:r w:rsidR="009061D4" w:rsidRPr="00FA3973">
        <w:rPr>
          <w:rFonts w:ascii="Arial" w:hAnsi="Arial" w:cs="Arial"/>
          <w:sz w:val="22"/>
        </w:rPr>
        <w:t xml:space="preserve"> and resilience of the electricity grid to droughts</w:t>
      </w:r>
      <w:r w:rsidR="00E64B9A" w:rsidRPr="00FA3973">
        <w:rPr>
          <w:rFonts w:ascii="Arial" w:hAnsi="Arial" w:cs="Arial"/>
          <w:sz w:val="22"/>
        </w:rPr>
        <w:t xml:space="preserve"> would need to consider </w:t>
      </w:r>
      <w:r w:rsidR="009061D4" w:rsidRPr="00FA3973">
        <w:rPr>
          <w:rFonts w:ascii="Arial" w:hAnsi="Arial" w:cs="Arial"/>
          <w:sz w:val="22"/>
        </w:rPr>
        <w:t xml:space="preserve">a </w:t>
      </w:r>
      <w:r w:rsidR="00EF4DD7" w:rsidRPr="00FA3973">
        <w:rPr>
          <w:rFonts w:ascii="Arial" w:hAnsi="Arial" w:cs="Arial"/>
          <w:sz w:val="22"/>
        </w:rPr>
        <w:t xml:space="preserve">general equilibrium </w:t>
      </w:r>
      <w:r w:rsidR="009061D4" w:rsidRPr="00FA3973">
        <w:rPr>
          <w:rFonts w:ascii="Arial" w:hAnsi="Arial" w:cs="Arial"/>
          <w:sz w:val="22"/>
        </w:rPr>
        <w:t xml:space="preserve">model of </w:t>
      </w:r>
      <w:r w:rsidR="00E64B9A" w:rsidRPr="00FA3973">
        <w:rPr>
          <w:rFonts w:ascii="Arial" w:hAnsi="Arial" w:cs="Arial"/>
          <w:sz w:val="22"/>
        </w:rPr>
        <w:t xml:space="preserve">the country’s energy policy </w:t>
      </w:r>
      <w:r w:rsidR="009061D4" w:rsidRPr="00FA3973">
        <w:rPr>
          <w:rFonts w:ascii="Arial" w:hAnsi="Arial" w:cs="Arial"/>
          <w:sz w:val="22"/>
        </w:rPr>
        <w:t xml:space="preserve">and </w:t>
      </w:r>
      <w:r w:rsidR="006E708A" w:rsidRPr="00FA3973">
        <w:rPr>
          <w:rFonts w:ascii="Arial" w:hAnsi="Arial" w:cs="Arial"/>
          <w:sz w:val="22"/>
        </w:rPr>
        <w:t xml:space="preserve">a model of the </w:t>
      </w:r>
      <w:r w:rsidR="009061D4" w:rsidRPr="00FA3973">
        <w:rPr>
          <w:rFonts w:ascii="Arial" w:hAnsi="Arial" w:cs="Arial"/>
          <w:sz w:val="22"/>
        </w:rPr>
        <w:t>electricity system</w:t>
      </w:r>
      <w:r w:rsidR="00EF4DD7" w:rsidRPr="00FA3973">
        <w:rPr>
          <w:rFonts w:ascii="Arial" w:hAnsi="Arial" w:cs="Arial"/>
          <w:sz w:val="22"/>
        </w:rPr>
        <w:t xml:space="preserve"> as a whole</w:t>
      </w:r>
      <w:r w:rsidR="009061D4" w:rsidRPr="00FA3973">
        <w:rPr>
          <w:rFonts w:ascii="Arial" w:hAnsi="Arial" w:cs="Arial"/>
          <w:sz w:val="22"/>
        </w:rPr>
        <w:t xml:space="preserve">, </w:t>
      </w:r>
      <w:r w:rsidR="00E64B9A" w:rsidRPr="00FA3973">
        <w:rPr>
          <w:rFonts w:ascii="Arial" w:hAnsi="Arial" w:cs="Arial"/>
          <w:sz w:val="22"/>
        </w:rPr>
        <w:t xml:space="preserve">over a much more extensive period of time. </w:t>
      </w:r>
      <w:r w:rsidR="009061D4" w:rsidRPr="00FA3973">
        <w:rPr>
          <w:rFonts w:ascii="Arial" w:hAnsi="Arial" w:cs="Arial"/>
          <w:sz w:val="22"/>
        </w:rPr>
        <w:t xml:space="preserve">Considering that the program affects only a part of the energy policy, mainly promotion of ARE, </w:t>
      </w:r>
      <w:r w:rsidR="00E64B9A" w:rsidRPr="00FA3973">
        <w:rPr>
          <w:rFonts w:ascii="Arial" w:hAnsi="Arial" w:cs="Arial"/>
          <w:sz w:val="22"/>
        </w:rPr>
        <w:t>the expected benefit of reduced economic vulnerabilities of the current energy matrix is not accounted for in this analysis.</w:t>
      </w:r>
      <w:r w:rsidR="00D2249C" w:rsidRPr="00FA3973">
        <w:rPr>
          <w:rFonts w:ascii="Arial" w:hAnsi="Arial" w:cs="Arial"/>
          <w:sz w:val="22"/>
        </w:rPr>
        <w:t xml:space="preserve"> Therefore, results </w:t>
      </w:r>
      <w:r w:rsidR="00A54F04" w:rsidRPr="00FA3973">
        <w:rPr>
          <w:rFonts w:ascii="Arial" w:hAnsi="Arial" w:cs="Arial"/>
          <w:sz w:val="22"/>
        </w:rPr>
        <w:t xml:space="preserve">of this economic evaluation </w:t>
      </w:r>
      <w:r w:rsidR="00D2249C" w:rsidRPr="00FA3973">
        <w:rPr>
          <w:rFonts w:ascii="Arial" w:hAnsi="Arial" w:cs="Arial"/>
          <w:sz w:val="22"/>
        </w:rPr>
        <w:t>represent a lower bound of the exp</w:t>
      </w:r>
      <w:r w:rsidR="00ED309F" w:rsidRPr="00FA3973">
        <w:rPr>
          <w:rFonts w:ascii="Arial" w:hAnsi="Arial" w:cs="Arial"/>
          <w:sz w:val="22"/>
        </w:rPr>
        <w:t>ected economic benefits of the p</w:t>
      </w:r>
      <w:r w:rsidR="00D2249C" w:rsidRPr="00FA3973">
        <w:rPr>
          <w:rFonts w:ascii="Arial" w:hAnsi="Arial" w:cs="Arial"/>
          <w:sz w:val="22"/>
        </w:rPr>
        <w:t>rogram.</w:t>
      </w:r>
    </w:p>
    <w:p w:rsidR="00E64B9A" w:rsidRPr="00FA3973" w:rsidRDefault="00E64B9A" w:rsidP="00E64B9A">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A </w:t>
      </w:r>
      <w:r w:rsidR="008236A7" w:rsidRPr="00FA3973">
        <w:rPr>
          <w:rFonts w:ascii="Arial" w:hAnsi="Arial" w:cs="Arial"/>
          <w:sz w:val="22"/>
        </w:rPr>
        <w:t>N</w:t>
      </w:r>
      <w:r w:rsidRPr="00FA3973">
        <w:rPr>
          <w:rFonts w:ascii="Arial" w:hAnsi="Arial" w:cs="Arial"/>
          <w:sz w:val="22"/>
        </w:rPr>
        <w:t xml:space="preserve">et </w:t>
      </w:r>
      <w:r w:rsidR="008236A7" w:rsidRPr="00FA3973">
        <w:rPr>
          <w:rFonts w:ascii="Arial" w:hAnsi="Arial" w:cs="Arial"/>
          <w:sz w:val="22"/>
        </w:rPr>
        <w:t>P</w:t>
      </w:r>
      <w:r w:rsidRPr="00FA3973">
        <w:rPr>
          <w:rFonts w:ascii="Arial" w:hAnsi="Arial" w:cs="Arial"/>
          <w:sz w:val="22"/>
        </w:rPr>
        <w:t xml:space="preserve">resent </w:t>
      </w:r>
      <w:r w:rsidR="008236A7" w:rsidRPr="00FA3973">
        <w:rPr>
          <w:rFonts w:ascii="Arial" w:hAnsi="Arial" w:cs="Arial"/>
          <w:sz w:val="22"/>
        </w:rPr>
        <w:t>V</w:t>
      </w:r>
      <w:r w:rsidRPr="00FA3973">
        <w:rPr>
          <w:rFonts w:ascii="Arial" w:hAnsi="Arial" w:cs="Arial"/>
          <w:sz w:val="22"/>
        </w:rPr>
        <w:t xml:space="preserve">alue (NPV) is calculated by projecting the </w:t>
      </w:r>
      <w:r w:rsidR="009061D4" w:rsidRPr="00FA3973">
        <w:rPr>
          <w:rFonts w:ascii="Arial" w:hAnsi="Arial" w:cs="Arial"/>
          <w:sz w:val="22"/>
        </w:rPr>
        <w:t>net economic</w:t>
      </w:r>
      <w:r w:rsidRPr="00FA3973">
        <w:rPr>
          <w:rFonts w:ascii="Arial" w:hAnsi="Arial" w:cs="Arial"/>
          <w:sz w:val="22"/>
        </w:rPr>
        <w:t xml:space="preserve"> flows over the estimated useful life of each type of projects (see ¶</w:t>
      </w:r>
      <w:r w:rsidRPr="00FA3973">
        <w:rPr>
          <w:rFonts w:ascii="Arial" w:hAnsi="Arial" w:cs="Arial"/>
          <w:sz w:val="22"/>
        </w:rPr>
        <w:fldChar w:fldCharType="begin"/>
      </w:r>
      <w:r w:rsidRPr="00FA3973">
        <w:rPr>
          <w:rFonts w:ascii="Arial" w:hAnsi="Arial" w:cs="Arial"/>
          <w:sz w:val="22"/>
        </w:rPr>
        <w:instrText xml:space="preserve"> REF _Ref459974999 \r \h </w:instrText>
      </w:r>
      <w:r w:rsidR="001016A1" w:rsidRPr="00FA3973">
        <w:rPr>
          <w:rFonts w:ascii="Arial" w:hAnsi="Arial" w:cs="Arial"/>
          <w:sz w:val="22"/>
        </w:rPr>
        <w:instrText xml:space="preserve"> \* MERGEFORMAT </w:instrText>
      </w:r>
      <w:r w:rsidRPr="00FA3973">
        <w:rPr>
          <w:rFonts w:ascii="Arial" w:hAnsi="Arial" w:cs="Arial"/>
          <w:sz w:val="22"/>
        </w:rPr>
      </w:r>
      <w:r w:rsidRPr="00FA3973">
        <w:rPr>
          <w:rFonts w:ascii="Arial" w:hAnsi="Arial" w:cs="Arial"/>
          <w:sz w:val="22"/>
        </w:rPr>
        <w:fldChar w:fldCharType="separate"/>
      </w:r>
      <w:r w:rsidR="00043320" w:rsidRPr="00FA3973">
        <w:rPr>
          <w:rFonts w:ascii="Arial" w:hAnsi="Arial" w:cs="Arial"/>
          <w:sz w:val="22"/>
        </w:rPr>
        <w:t>2.4</w:t>
      </w:r>
      <w:r w:rsidRPr="00FA3973">
        <w:rPr>
          <w:rFonts w:ascii="Arial" w:hAnsi="Arial" w:cs="Arial"/>
          <w:sz w:val="22"/>
        </w:rPr>
        <w:fldChar w:fldCharType="end"/>
      </w:r>
      <w:r w:rsidRPr="00FA3973">
        <w:rPr>
          <w:rFonts w:ascii="Arial" w:hAnsi="Arial" w:cs="Arial"/>
          <w:sz w:val="22"/>
        </w:rPr>
        <w:t>), and discounting them at a rate of 12%</w:t>
      </w:r>
      <w:r w:rsidR="007D0F6A">
        <w:rPr>
          <w:rFonts w:ascii="Arial" w:hAnsi="Arial" w:cs="Arial"/>
          <w:sz w:val="22"/>
        </w:rPr>
        <w:t>.</w:t>
      </w:r>
      <w:r w:rsidRPr="00FA3973">
        <w:rPr>
          <w:rFonts w:ascii="Arial" w:hAnsi="Arial" w:cs="Arial"/>
          <w:sz w:val="22"/>
          <w:vertAlign w:val="superscript"/>
        </w:rPr>
        <w:footnoteReference w:id="12"/>
      </w:r>
      <w:r w:rsidRPr="00FA3973">
        <w:rPr>
          <w:rFonts w:ascii="Arial" w:hAnsi="Arial" w:cs="Arial"/>
          <w:sz w:val="22"/>
        </w:rPr>
        <w:t xml:space="preserve"> The NPV of the program is obtained as a key indicator to determine its economic viability.</w:t>
      </w:r>
    </w:p>
    <w:p w:rsidR="00A2065B" w:rsidRPr="00FA3973" w:rsidRDefault="00543FAB" w:rsidP="00543FA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A sensitivity analysis is then carried out on the main calculation parameters used in the core analysis, estimating the impact of these variations on the NPV under each different </w:t>
      </w:r>
      <w:r w:rsidR="00E57F80" w:rsidRPr="00FA3973">
        <w:rPr>
          <w:rFonts w:ascii="Arial" w:hAnsi="Arial" w:cs="Arial"/>
          <w:sz w:val="22"/>
        </w:rPr>
        <w:t xml:space="preserve">sensitivity </w:t>
      </w:r>
      <w:r w:rsidRPr="00FA3973">
        <w:rPr>
          <w:rFonts w:ascii="Arial" w:hAnsi="Arial" w:cs="Arial"/>
          <w:sz w:val="22"/>
        </w:rPr>
        <w:t>scenario</w:t>
      </w:r>
      <w:r w:rsidR="00A2065B" w:rsidRPr="00FA3973">
        <w:rPr>
          <w:rFonts w:ascii="Arial" w:hAnsi="Arial" w:cs="Arial"/>
          <w:sz w:val="22"/>
        </w:rPr>
        <w:t>.</w:t>
      </w:r>
    </w:p>
    <w:p w:rsidR="0041755E" w:rsidRPr="00FA3973" w:rsidRDefault="0041755E" w:rsidP="0041755E">
      <w:pPr>
        <w:pStyle w:val="FirstHeading"/>
        <w:rPr>
          <w:rFonts w:ascii="Arial" w:hAnsi="Arial" w:cs="Arial"/>
          <w:sz w:val="22"/>
        </w:rPr>
      </w:pPr>
      <w:bookmarkStart w:id="8" w:name="_Toc461128190"/>
      <w:r w:rsidRPr="00FA3973">
        <w:rPr>
          <w:rFonts w:ascii="Arial" w:hAnsi="Arial" w:cs="Arial"/>
          <w:sz w:val="22"/>
        </w:rPr>
        <w:t>B.</w:t>
      </w:r>
      <w:r w:rsidRPr="00FA3973">
        <w:rPr>
          <w:rFonts w:ascii="Arial" w:hAnsi="Arial" w:cs="Arial"/>
          <w:sz w:val="22"/>
        </w:rPr>
        <w:tab/>
      </w:r>
      <w:r w:rsidR="003356A2" w:rsidRPr="00FA3973">
        <w:rPr>
          <w:rFonts w:ascii="Arial" w:hAnsi="Arial" w:cs="Arial"/>
          <w:sz w:val="22"/>
        </w:rPr>
        <w:t xml:space="preserve">Identification and quantification of economic </w:t>
      </w:r>
      <w:r w:rsidR="00625C4B" w:rsidRPr="00FA3973">
        <w:rPr>
          <w:rFonts w:ascii="Arial" w:hAnsi="Arial" w:cs="Arial"/>
          <w:sz w:val="22"/>
        </w:rPr>
        <w:t xml:space="preserve">costs and </w:t>
      </w:r>
      <w:r w:rsidR="003356A2" w:rsidRPr="00FA3973">
        <w:rPr>
          <w:rFonts w:ascii="Arial" w:hAnsi="Arial" w:cs="Arial"/>
          <w:sz w:val="22"/>
        </w:rPr>
        <w:t>benefits</w:t>
      </w:r>
      <w:bookmarkEnd w:id="8"/>
    </w:p>
    <w:p w:rsidR="00664F7D" w:rsidRPr="00FA3973" w:rsidRDefault="00664F7D" w:rsidP="00E57583">
      <w:pPr>
        <w:pStyle w:val="Paragraph"/>
        <w:numPr>
          <w:ilvl w:val="1"/>
          <w:numId w:val="15"/>
        </w:numPr>
        <w:tabs>
          <w:tab w:val="num" w:pos="720"/>
        </w:tabs>
        <w:spacing w:afterLines="80" w:after="192"/>
        <w:ind w:left="720" w:hanging="720"/>
        <w:rPr>
          <w:rFonts w:ascii="Arial" w:hAnsi="Arial" w:cs="Arial"/>
          <w:spacing w:val="-3"/>
          <w:sz w:val="22"/>
        </w:rPr>
      </w:pPr>
      <w:r w:rsidRPr="00FA3973">
        <w:rPr>
          <w:rFonts w:ascii="Arial" w:hAnsi="Arial" w:cs="Arial"/>
          <w:spacing w:val="-3"/>
          <w:sz w:val="22"/>
        </w:rPr>
        <w:t xml:space="preserve">Resources from the proposed program will be allocated entirely in the financing of individual projects. Sub loans are expected to be </w:t>
      </w:r>
      <w:r w:rsidR="008764A0" w:rsidRPr="00FA3973">
        <w:rPr>
          <w:rFonts w:ascii="Arial" w:hAnsi="Arial" w:cs="Arial"/>
          <w:spacing w:val="-3"/>
          <w:sz w:val="22"/>
        </w:rPr>
        <w:t>distributed by type of projects with approximately</w:t>
      </w:r>
      <w:r w:rsidRPr="00FA3973">
        <w:rPr>
          <w:rFonts w:ascii="Arial" w:hAnsi="Arial" w:cs="Arial"/>
          <w:spacing w:val="-3"/>
          <w:sz w:val="22"/>
        </w:rPr>
        <w:t xml:space="preserve"> </w:t>
      </w:r>
      <w:r w:rsidR="00E765A3">
        <w:rPr>
          <w:rFonts w:ascii="Arial" w:hAnsi="Arial" w:cs="Arial"/>
          <w:spacing w:val="-3"/>
          <w:sz w:val="22"/>
        </w:rPr>
        <w:t>9</w:t>
      </w:r>
      <w:r w:rsidRPr="00FA3973">
        <w:rPr>
          <w:rFonts w:ascii="Arial" w:hAnsi="Arial" w:cs="Arial"/>
          <w:spacing w:val="-3"/>
          <w:sz w:val="22"/>
        </w:rPr>
        <w:t xml:space="preserve">0% </w:t>
      </w:r>
      <w:r w:rsidR="008764A0" w:rsidRPr="00FA3973">
        <w:rPr>
          <w:rFonts w:ascii="Arial" w:hAnsi="Arial" w:cs="Arial"/>
          <w:spacing w:val="-3"/>
          <w:sz w:val="22"/>
        </w:rPr>
        <w:t>of resources going to</w:t>
      </w:r>
      <w:r w:rsidRPr="00FA3973">
        <w:rPr>
          <w:rFonts w:ascii="Arial" w:hAnsi="Arial" w:cs="Arial"/>
          <w:spacing w:val="-3"/>
          <w:sz w:val="22"/>
        </w:rPr>
        <w:t xml:space="preserve"> ARE projects and </w:t>
      </w:r>
      <w:r w:rsidR="00E765A3">
        <w:rPr>
          <w:rFonts w:ascii="Arial" w:hAnsi="Arial" w:cs="Arial"/>
          <w:spacing w:val="-3"/>
          <w:sz w:val="22"/>
        </w:rPr>
        <w:t>1</w:t>
      </w:r>
      <w:r w:rsidRPr="00FA3973">
        <w:rPr>
          <w:rFonts w:ascii="Arial" w:hAnsi="Arial" w:cs="Arial"/>
          <w:spacing w:val="-3"/>
          <w:sz w:val="22"/>
        </w:rPr>
        <w:t xml:space="preserve">0% </w:t>
      </w:r>
      <w:r w:rsidR="008764A0" w:rsidRPr="00FA3973">
        <w:rPr>
          <w:rFonts w:ascii="Arial" w:hAnsi="Arial" w:cs="Arial"/>
          <w:spacing w:val="-3"/>
          <w:sz w:val="22"/>
        </w:rPr>
        <w:t>to</w:t>
      </w:r>
      <w:r w:rsidRPr="00FA3973">
        <w:rPr>
          <w:rFonts w:ascii="Arial" w:hAnsi="Arial" w:cs="Arial"/>
          <w:spacing w:val="-3"/>
          <w:sz w:val="22"/>
        </w:rPr>
        <w:t xml:space="preserve"> EE projects. Due to the different nature of these two groups, including the different ways in which </w:t>
      </w:r>
      <w:r w:rsidR="0005184C" w:rsidRPr="00FA3973">
        <w:rPr>
          <w:rFonts w:ascii="Arial" w:hAnsi="Arial" w:cs="Arial"/>
          <w:spacing w:val="-3"/>
          <w:sz w:val="22"/>
        </w:rPr>
        <w:t>benefits are estimated</w:t>
      </w:r>
      <w:r w:rsidRPr="00FA3973">
        <w:rPr>
          <w:rFonts w:ascii="Arial" w:hAnsi="Arial" w:cs="Arial"/>
          <w:spacing w:val="-3"/>
          <w:sz w:val="22"/>
        </w:rPr>
        <w:t xml:space="preserve">, </w:t>
      </w:r>
      <w:r w:rsidR="0005184C" w:rsidRPr="00FA3973">
        <w:rPr>
          <w:rFonts w:ascii="Arial" w:hAnsi="Arial" w:cs="Arial"/>
          <w:spacing w:val="-3"/>
          <w:sz w:val="22"/>
        </w:rPr>
        <w:t xml:space="preserve">some </w:t>
      </w:r>
      <w:r w:rsidRPr="00FA3973">
        <w:rPr>
          <w:rFonts w:ascii="Arial" w:hAnsi="Arial" w:cs="Arial"/>
          <w:spacing w:val="-3"/>
          <w:sz w:val="22"/>
        </w:rPr>
        <w:t>considerations on assumptions, identification and quantification of benefits for each group will be described separately.</w:t>
      </w:r>
    </w:p>
    <w:p w:rsidR="00FC49C1" w:rsidRPr="00FA3973" w:rsidRDefault="00EB467C" w:rsidP="00E57583">
      <w:pPr>
        <w:pStyle w:val="Paragraph"/>
        <w:numPr>
          <w:ilvl w:val="1"/>
          <w:numId w:val="15"/>
        </w:numPr>
        <w:tabs>
          <w:tab w:val="num" w:pos="720"/>
        </w:tabs>
        <w:spacing w:afterLines="80" w:after="192"/>
        <w:ind w:left="720" w:hanging="720"/>
        <w:rPr>
          <w:rFonts w:ascii="Arial" w:hAnsi="Arial" w:cs="Arial"/>
          <w:spacing w:val="-4"/>
          <w:sz w:val="22"/>
        </w:rPr>
      </w:pPr>
      <w:r w:rsidRPr="00FA3973">
        <w:rPr>
          <w:rFonts w:ascii="Arial" w:hAnsi="Arial" w:cs="Arial"/>
          <w:spacing w:val="-4"/>
          <w:sz w:val="22"/>
        </w:rPr>
        <w:t xml:space="preserve">It is assumed that the </w:t>
      </w:r>
      <w:r w:rsidR="00043320" w:rsidRPr="00FA3973">
        <w:rPr>
          <w:rFonts w:ascii="Arial" w:hAnsi="Arial" w:cs="Arial"/>
          <w:spacing w:val="-4"/>
          <w:sz w:val="22"/>
        </w:rPr>
        <w:t>sum of funds (US$84</w:t>
      </w:r>
      <w:r w:rsidR="00C13912" w:rsidRPr="00FA3973">
        <w:rPr>
          <w:rFonts w:ascii="Arial" w:hAnsi="Arial" w:cs="Arial"/>
          <w:spacing w:val="-4"/>
          <w:sz w:val="22"/>
        </w:rPr>
        <w:t xml:space="preserve">0 million) to be used in </w:t>
      </w:r>
      <w:r w:rsidR="00664F7D" w:rsidRPr="00FA3973">
        <w:rPr>
          <w:rFonts w:ascii="Arial" w:hAnsi="Arial" w:cs="Arial"/>
          <w:spacing w:val="-4"/>
          <w:sz w:val="22"/>
        </w:rPr>
        <w:t xml:space="preserve">ARE </w:t>
      </w:r>
      <w:r w:rsidR="00C13912" w:rsidRPr="00FA3973">
        <w:rPr>
          <w:rFonts w:ascii="Arial" w:hAnsi="Arial" w:cs="Arial"/>
          <w:spacing w:val="-4"/>
          <w:sz w:val="22"/>
        </w:rPr>
        <w:t>investments</w:t>
      </w:r>
      <w:r w:rsidR="00664F7D" w:rsidRPr="00FA3973">
        <w:rPr>
          <w:rFonts w:ascii="Arial" w:hAnsi="Arial" w:cs="Arial"/>
          <w:spacing w:val="-4"/>
          <w:sz w:val="22"/>
        </w:rPr>
        <w:t xml:space="preserve"> </w:t>
      </w:r>
      <w:r w:rsidR="00EF3DA5" w:rsidRPr="00FA3973">
        <w:rPr>
          <w:rFonts w:ascii="Arial" w:hAnsi="Arial" w:cs="Arial"/>
          <w:spacing w:val="-4"/>
          <w:sz w:val="22"/>
        </w:rPr>
        <w:t xml:space="preserve">will finance </w:t>
      </w:r>
      <w:r w:rsidR="008764A0" w:rsidRPr="00FA3973">
        <w:rPr>
          <w:rFonts w:ascii="Arial" w:hAnsi="Arial" w:cs="Arial"/>
          <w:spacing w:val="-4"/>
          <w:sz w:val="22"/>
        </w:rPr>
        <w:t>24</w:t>
      </w:r>
      <w:r w:rsidR="00C13912" w:rsidRPr="00FA3973">
        <w:rPr>
          <w:rFonts w:ascii="Arial" w:hAnsi="Arial" w:cs="Arial"/>
          <w:spacing w:val="-4"/>
          <w:sz w:val="22"/>
        </w:rPr>
        <w:t xml:space="preserve"> projects </w:t>
      </w:r>
      <w:r w:rsidR="00EF3DA5" w:rsidRPr="00FA3973">
        <w:rPr>
          <w:rFonts w:ascii="Arial" w:hAnsi="Arial" w:cs="Arial"/>
          <w:spacing w:val="-4"/>
          <w:sz w:val="22"/>
        </w:rPr>
        <w:t xml:space="preserve">a total of </w:t>
      </w:r>
      <w:r w:rsidR="003E6610" w:rsidRPr="00FA3973">
        <w:rPr>
          <w:rFonts w:ascii="Arial" w:hAnsi="Arial" w:cs="Arial"/>
          <w:spacing w:val="-4"/>
          <w:sz w:val="22"/>
        </w:rPr>
        <w:t>600</w:t>
      </w:r>
      <w:r w:rsidR="00FC49C1" w:rsidRPr="00FA3973">
        <w:rPr>
          <w:rFonts w:ascii="Arial" w:hAnsi="Arial" w:cs="Arial"/>
          <w:spacing w:val="-4"/>
          <w:sz w:val="22"/>
        </w:rPr>
        <w:t>MW</w:t>
      </w:r>
      <w:r w:rsidR="00EF3DA5" w:rsidRPr="00FA3973">
        <w:rPr>
          <w:rFonts w:ascii="Arial" w:hAnsi="Arial" w:cs="Arial"/>
          <w:spacing w:val="-4"/>
          <w:sz w:val="22"/>
        </w:rPr>
        <w:t xml:space="preserve"> of wind capacity and</w:t>
      </w:r>
      <w:r w:rsidR="00FC49C1" w:rsidRPr="00FA3973">
        <w:rPr>
          <w:rFonts w:ascii="Arial" w:hAnsi="Arial" w:cs="Arial"/>
          <w:spacing w:val="-4"/>
          <w:sz w:val="22"/>
        </w:rPr>
        <w:t xml:space="preserve"> </w:t>
      </w:r>
      <w:r w:rsidR="008E0860" w:rsidRPr="00FA3973">
        <w:rPr>
          <w:rFonts w:ascii="Arial" w:hAnsi="Arial" w:cs="Arial"/>
          <w:spacing w:val="-4"/>
          <w:sz w:val="22"/>
        </w:rPr>
        <w:t>12</w:t>
      </w:r>
      <w:r w:rsidR="003E6610" w:rsidRPr="00FA3973">
        <w:rPr>
          <w:rFonts w:ascii="Arial" w:hAnsi="Arial" w:cs="Arial"/>
          <w:spacing w:val="-4"/>
          <w:sz w:val="22"/>
        </w:rPr>
        <w:t>0</w:t>
      </w:r>
      <w:r w:rsidR="00FC49C1" w:rsidRPr="00FA3973">
        <w:rPr>
          <w:rFonts w:ascii="Arial" w:hAnsi="Arial" w:cs="Arial"/>
          <w:spacing w:val="-4"/>
          <w:sz w:val="22"/>
        </w:rPr>
        <w:t xml:space="preserve">MW </w:t>
      </w:r>
      <w:r w:rsidR="00EF3DA5" w:rsidRPr="00FA3973">
        <w:rPr>
          <w:rFonts w:ascii="Arial" w:hAnsi="Arial" w:cs="Arial"/>
          <w:spacing w:val="-4"/>
          <w:sz w:val="22"/>
        </w:rPr>
        <w:t>of solar capacity</w:t>
      </w:r>
      <w:r w:rsidR="00FC49C1" w:rsidRPr="00FA3973">
        <w:rPr>
          <w:rFonts w:ascii="Arial" w:hAnsi="Arial" w:cs="Arial"/>
          <w:spacing w:val="-4"/>
          <w:sz w:val="22"/>
        </w:rPr>
        <w:t xml:space="preserve">. </w:t>
      </w:r>
      <w:r w:rsidR="00C7796F" w:rsidRPr="00FA3973">
        <w:rPr>
          <w:rFonts w:ascii="Arial" w:hAnsi="Arial" w:cs="Arial"/>
          <w:spacing w:val="-4"/>
          <w:sz w:val="22"/>
        </w:rPr>
        <w:t xml:space="preserve">The </w:t>
      </w:r>
      <w:r w:rsidR="00043320" w:rsidRPr="00FA3973">
        <w:rPr>
          <w:rFonts w:ascii="Arial" w:hAnsi="Arial" w:cs="Arial"/>
          <w:spacing w:val="-4"/>
          <w:sz w:val="22"/>
        </w:rPr>
        <w:t>remaining 10% of funds (US$6</w:t>
      </w:r>
      <w:r w:rsidR="00C7796F" w:rsidRPr="00FA3973">
        <w:rPr>
          <w:rFonts w:ascii="Arial" w:hAnsi="Arial" w:cs="Arial"/>
          <w:spacing w:val="-4"/>
          <w:sz w:val="22"/>
        </w:rPr>
        <w:t>0</w:t>
      </w:r>
      <w:r w:rsidR="00C75B58" w:rsidRPr="00FA3973">
        <w:rPr>
          <w:rFonts w:ascii="Arial" w:hAnsi="Arial" w:cs="Arial"/>
          <w:spacing w:val="-4"/>
          <w:sz w:val="22"/>
        </w:rPr>
        <w:t xml:space="preserve"> million) will finance </w:t>
      </w:r>
      <w:r w:rsidR="001016A1" w:rsidRPr="00FA3973">
        <w:rPr>
          <w:rFonts w:ascii="Arial" w:hAnsi="Arial" w:cs="Arial"/>
          <w:spacing w:val="-4"/>
          <w:sz w:val="22"/>
        </w:rPr>
        <w:t>four</w:t>
      </w:r>
      <w:r w:rsidR="00C75B58" w:rsidRPr="00FA3973">
        <w:rPr>
          <w:rFonts w:ascii="Arial" w:hAnsi="Arial" w:cs="Arial"/>
          <w:spacing w:val="-4"/>
          <w:sz w:val="22"/>
        </w:rPr>
        <w:t xml:space="preserve"> mid-sized EE </w:t>
      </w:r>
      <w:r w:rsidR="003E6610" w:rsidRPr="00FA3973">
        <w:rPr>
          <w:rFonts w:ascii="Arial" w:hAnsi="Arial" w:cs="Arial"/>
          <w:spacing w:val="-4"/>
          <w:sz w:val="22"/>
        </w:rPr>
        <w:t>investments</w:t>
      </w:r>
      <w:r w:rsidR="008236A7" w:rsidRPr="00FA3973">
        <w:rPr>
          <w:rFonts w:ascii="Arial" w:hAnsi="Arial" w:cs="Arial"/>
          <w:spacing w:val="-4"/>
          <w:sz w:val="22"/>
        </w:rPr>
        <w:t>.</w:t>
      </w:r>
      <w:r w:rsidR="003E6610" w:rsidRPr="00FA3973">
        <w:rPr>
          <w:rStyle w:val="FootnoteReference"/>
          <w:rFonts w:ascii="Arial" w:hAnsi="Arial" w:cs="Arial"/>
          <w:spacing w:val="-4"/>
          <w:sz w:val="22"/>
        </w:rPr>
        <w:footnoteReference w:id="13"/>
      </w:r>
      <w:r w:rsidR="00C75B58" w:rsidRPr="00FA3973">
        <w:rPr>
          <w:rFonts w:ascii="Arial" w:hAnsi="Arial" w:cs="Arial"/>
          <w:spacing w:val="-4"/>
          <w:sz w:val="22"/>
        </w:rPr>
        <w:t xml:space="preserve"> </w:t>
      </w:r>
      <w:r w:rsidR="00EF3DA5" w:rsidRPr="00FA3973">
        <w:rPr>
          <w:rFonts w:ascii="Arial" w:hAnsi="Arial" w:cs="Arial"/>
          <w:spacing w:val="-4"/>
          <w:sz w:val="22"/>
        </w:rPr>
        <w:t>Such new additions to</w:t>
      </w:r>
      <w:r w:rsidR="00C7796F" w:rsidRPr="00FA3973">
        <w:rPr>
          <w:rFonts w:ascii="Arial" w:hAnsi="Arial" w:cs="Arial"/>
          <w:spacing w:val="-4"/>
          <w:sz w:val="22"/>
        </w:rPr>
        <w:t xml:space="preserve"> the system will be developed gr</w:t>
      </w:r>
      <w:r w:rsidR="00EF3DA5" w:rsidRPr="00FA3973">
        <w:rPr>
          <w:rFonts w:ascii="Arial" w:hAnsi="Arial" w:cs="Arial"/>
          <w:spacing w:val="-4"/>
          <w:sz w:val="22"/>
        </w:rPr>
        <w:t>adually, based on an assumed programming for project readiness and closing of deals by BNDES</w:t>
      </w:r>
      <w:r w:rsidR="00FE6E0D" w:rsidRPr="00FA3973">
        <w:rPr>
          <w:rFonts w:ascii="Arial" w:hAnsi="Arial" w:cs="Arial"/>
          <w:spacing w:val="-4"/>
          <w:sz w:val="22"/>
        </w:rPr>
        <w:t>.</w:t>
      </w:r>
    </w:p>
    <w:p w:rsidR="0007049E" w:rsidRPr="00FA3973" w:rsidRDefault="0095433C" w:rsidP="003356A2">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Based on the </w:t>
      </w:r>
      <w:r w:rsidR="00C7796F" w:rsidRPr="00FA3973">
        <w:rPr>
          <w:rFonts w:ascii="Arial" w:hAnsi="Arial" w:cs="Arial"/>
          <w:sz w:val="22"/>
        </w:rPr>
        <w:t xml:space="preserve">program’s conditions as per the OR, the </w:t>
      </w:r>
      <w:r w:rsidRPr="00FA3973">
        <w:rPr>
          <w:rFonts w:ascii="Arial" w:hAnsi="Arial" w:cs="Arial"/>
          <w:sz w:val="22"/>
        </w:rPr>
        <w:t xml:space="preserve">main characteristics of the eligible </w:t>
      </w:r>
      <w:r w:rsidR="00C7796F" w:rsidRPr="00FA3973">
        <w:rPr>
          <w:rFonts w:ascii="Arial" w:hAnsi="Arial" w:cs="Arial"/>
          <w:sz w:val="22"/>
        </w:rPr>
        <w:t>projects and information on loan portfolio from BNDES,</w:t>
      </w:r>
      <w:r w:rsidRPr="00FA3973">
        <w:rPr>
          <w:rFonts w:ascii="Arial" w:hAnsi="Arial" w:cs="Arial"/>
          <w:sz w:val="22"/>
        </w:rPr>
        <w:t xml:space="preserve"> standard parameters have been established for the typical sub project</w:t>
      </w:r>
      <w:r w:rsidR="00C7796F" w:rsidRPr="00FA3973">
        <w:rPr>
          <w:rFonts w:ascii="Arial" w:hAnsi="Arial" w:cs="Arial"/>
          <w:sz w:val="22"/>
        </w:rPr>
        <w:t>s</w:t>
      </w:r>
      <w:r w:rsidRPr="00FA3973">
        <w:rPr>
          <w:rFonts w:ascii="Arial" w:hAnsi="Arial" w:cs="Arial"/>
          <w:sz w:val="22"/>
        </w:rPr>
        <w:t xml:space="preserve"> expected to be financed under the program. This has been produced for each technology and is presented in </w:t>
      </w:r>
      <w:r w:rsidR="0007049E" w:rsidRPr="00FA3973">
        <w:rPr>
          <w:rFonts w:ascii="Arial" w:hAnsi="Arial" w:cs="Arial"/>
          <w:sz w:val="22"/>
        </w:rPr>
        <w:t>Tabl</w:t>
      </w:r>
      <w:r w:rsidRPr="00FA3973">
        <w:rPr>
          <w:rFonts w:ascii="Arial" w:hAnsi="Arial" w:cs="Arial"/>
          <w:sz w:val="22"/>
        </w:rPr>
        <w:t>e</w:t>
      </w:r>
      <w:r w:rsidR="0007049E" w:rsidRPr="00FA3973">
        <w:rPr>
          <w:rFonts w:ascii="Arial" w:hAnsi="Arial" w:cs="Arial"/>
          <w:sz w:val="22"/>
        </w:rPr>
        <w:t xml:space="preserve"> 2.2.</w:t>
      </w:r>
    </w:p>
    <w:tbl>
      <w:tblPr>
        <w:tblStyle w:val="LightShading-Accent1"/>
        <w:tblW w:w="7961" w:type="dxa"/>
        <w:tblInd w:w="828" w:type="dxa"/>
        <w:tblLook w:val="04A0" w:firstRow="1" w:lastRow="0" w:firstColumn="1" w:lastColumn="0" w:noHBand="0" w:noVBand="1"/>
      </w:tblPr>
      <w:tblGrid>
        <w:gridCol w:w="7961"/>
      </w:tblGrid>
      <w:tr w:rsidR="008236A7" w:rsidRPr="00FA3973" w:rsidTr="0080792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61" w:type="dxa"/>
            <w:tcBorders>
              <w:top w:val="nil"/>
            </w:tcBorders>
            <w:noWrap/>
            <w:hideMark/>
          </w:tcPr>
          <w:p w:rsidR="008236A7" w:rsidRPr="00FA3973" w:rsidRDefault="008236A7" w:rsidP="00FA3973">
            <w:pPr>
              <w:jc w:val="center"/>
              <w:rPr>
                <w:rFonts w:ascii="Arial" w:hAnsi="Arial" w:cs="Arial"/>
                <w:sz w:val="20"/>
                <w:szCs w:val="20"/>
              </w:rPr>
            </w:pPr>
            <w:r w:rsidRPr="00FA3973">
              <w:rPr>
                <w:rFonts w:ascii="Arial" w:hAnsi="Arial" w:cs="Arial"/>
                <w:sz w:val="20"/>
                <w:szCs w:val="20"/>
              </w:rPr>
              <w:lastRenderedPageBreak/>
              <w:t xml:space="preserve">Table 2.2. </w:t>
            </w:r>
            <w:r w:rsidRPr="00FA3973">
              <w:rPr>
                <w:rFonts w:ascii="Arial" w:eastAsia="Times New Roman" w:hAnsi="Arial" w:cs="Arial"/>
                <w:sz w:val="20"/>
                <w:szCs w:val="20"/>
              </w:rPr>
              <w:t>Parameters for a typical project by technology</w:t>
            </w:r>
          </w:p>
        </w:tc>
      </w:tr>
    </w:tbl>
    <w:p w:rsidR="008236A7" w:rsidRPr="00FA3973" w:rsidRDefault="008236A7" w:rsidP="00FA3973">
      <w:pPr>
        <w:spacing w:after="0" w:line="240" w:lineRule="auto"/>
        <w:rPr>
          <w:sz w:val="4"/>
          <w:szCs w:val="4"/>
        </w:rPr>
      </w:pPr>
    </w:p>
    <w:tbl>
      <w:tblPr>
        <w:tblStyle w:val="LightShading-Accent1"/>
        <w:tblW w:w="7961" w:type="dxa"/>
        <w:tblInd w:w="828" w:type="dxa"/>
        <w:tblLook w:val="04A0" w:firstRow="1" w:lastRow="0" w:firstColumn="1" w:lastColumn="0" w:noHBand="0" w:noVBand="1"/>
      </w:tblPr>
      <w:tblGrid>
        <w:gridCol w:w="3330"/>
        <w:gridCol w:w="1440"/>
        <w:gridCol w:w="1440"/>
        <w:gridCol w:w="1751"/>
      </w:tblGrid>
      <w:tr w:rsidR="00C04E62" w:rsidRPr="00FA3973" w:rsidTr="00FA3973">
        <w:trPr>
          <w:cnfStyle w:val="100000000000" w:firstRow="1" w:lastRow="0" w:firstColumn="0" w:lastColumn="0" w:oddVBand="0" w:evenVBand="0" w:oddHBand="0" w:evenHBand="0" w:firstRowFirstColumn="0" w:firstRowLastColumn="0" w:lastRowFirstColumn="0" w:lastRowLastColumn="0"/>
          <w:trHeight w:val="160"/>
          <w:tblHeader/>
        </w:trPr>
        <w:tc>
          <w:tcPr>
            <w:cnfStyle w:val="001000000000" w:firstRow="0" w:lastRow="0" w:firstColumn="1" w:lastColumn="0" w:oddVBand="0" w:evenVBand="0" w:oddHBand="0" w:evenHBand="0" w:firstRowFirstColumn="0" w:firstRowLastColumn="0" w:lastRowFirstColumn="0" w:lastRowLastColumn="0"/>
            <w:tcW w:w="3330" w:type="dxa"/>
            <w:tcBorders>
              <w:right w:val="single" w:sz="8" w:space="0" w:color="4F81BD" w:themeColor="accent1"/>
            </w:tcBorders>
            <w:noWrap/>
          </w:tcPr>
          <w:p w:rsidR="00C04E62" w:rsidRPr="00FA3973" w:rsidRDefault="00C04E62" w:rsidP="0022286B">
            <w:pPr>
              <w:rPr>
                <w:rFonts w:ascii="Arial" w:hAnsi="Arial" w:cs="Arial"/>
                <w:bCs w:val="0"/>
                <w:sz w:val="20"/>
                <w:szCs w:val="20"/>
              </w:rPr>
            </w:pPr>
          </w:p>
        </w:tc>
        <w:tc>
          <w:tcPr>
            <w:tcW w:w="1440" w:type="dxa"/>
            <w:tcBorders>
              <w:left w:val="single" w:sz="8" w:space="0" w:color="4F81BD" w:themeColor="accent1"/>
              <w:right w:val="single" w:sz="8" w:space="0" w:color="4F81BD" w:themeColor="accent1"/>
            </w:tcBorders>
            <w:noWrap/>
          </w:tcPr>
          <w:p w:rsidR="00C04E62" w:rsidRPr="00FA3973" w:rsidRDefault="00C04E62" w:rsidP="002228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A3973">
              <w:rPr>
                <w:rFonts w:ascii="Arial" w:hAnsi="Arial" w:cs="Arial"/>
                <w:sz w:val="20"/>
                <w:szCs w:val="20"/>
              </w:rPr>
              <w:t>Wind</w:t>
            </w:r>
          </w:p>
        </w:tc>
        <w:tc>
          <w:tcPr>
            <w:tcW w:w="1440" w:type="dxa"/>
            <w:tcBorders>
              <w:left w:val="single" w:sz="8" w:space="0" w:color="4F81BD" w:themeColor="accent1"/>
            </w:tcBorders>
          </w:tcPr>
          <w:p w:rsidR="00C04E62" w:rsidRPr="00FA3973" w:rsidRDefault="00C04E62" w:rsidP="002228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A3973">
              <w:rPr>
                <w:rFonts w:ascii="Arial" w:hAnsi="Arial" w:cs="Arial"/>
                <w:sz w:val="20"/>
                <w:szCs w:val="20"/>
              </w:rPr>
              <w:t>Solar</w:t>
            </w:r>
          </w:p>
        </w:tc>
        <w:tc>
          <w:tcPr>
            <w:tcW w:w="1751" w:type="dxa"/>
            <w:tcBorders>
              <w:left w:val="single" w:sz="8" w:space="0" w:color="4F81BD" w:themeColor="accent1"/>
            </w:tcBorders>
          </w:tcPr>
          <w:p w:rsidR="00C04E62" w:rsidRPr="00FA3973" w:rsidRDefault="00C04E62" w:rsidP="002228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A3973">
              <w:rPr>
                <w:rFonts w:ascii="Arial" w:hAnsi="Arial" w:cs="Arial"/>
                <w:sz w:val="20"/>
                <w:szCs w:val="20"/>
              </w:rPr>
              <w:t>Cogeneration</w:t>
            </w:r>
          </w:p>
        </w:tc>
      </w:tr>
      <w:tr w:rsidR="00C04E62" w:rsidRPr="00FA3973" w:rsidTr="006327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Borders>
              <w:top w:val="single" w:sz="8" w:space="0" w:color="4F81BD" w:themeColor="accent1"/>
              <w:bottom w:val="nil"/>
              <w:right w:val="single" w:sz="8" w:space="0" w:color="4F81BD" w:themeColor="accent1"/>
            </w:tcBorders>
            <w:noWrap/>
          </w:tcPr>
          <w:p w:rsidR="00C04E62" w:rsidRPr="00FA3973" w:rsidRDefault="00C04E62" w:rsidP="0022286B">
            <w:pPr>
              <w:rPr>
                <w:rFonts w:ascii="Arial" w:hAnsi="Arial" w:cs="Arial"/>
                <w:b w:val="0"/>
                <w:bCs w:val="0"/>
                <w:sz w:val="20"/>
                <w:szCs w:val="20"/>
                <w:vertAlign w:val="superscript"/>
              </w:rPr>
            </w:pPr>
            <w:r w:rsidRPr="00FA3973">
              <w:rPr>
                <w:rFonts w:ascii="Arial" w:hAnsi="Arial" w:cs="Arial"/>
                <w:b w:val="0"/>
                <w:bCs w:val="0"/>
                <w:sz w:val="20"/>
                <w:szCs w:val="20"/>
              </w:rPr>
              <w:t>Average capacity (MW)</w:t>
            </w:r>
            <w:r w:rsidR="00C33FFD" w:rsidRPr="00FA3973">
              <w:rPr>
                <w:rFonts w:ascii="Arial" w:hAnsi="Arial" w:cs="Arial"/>
                <w:b w:val="0"/>
                <w:bCs w:val="0"/>
                <w:sz w:val="20"/>
                <w:szCs w:val="20"/>
                <w:vertAlign w:val="superscript"/>
              </w:rPr>
              <w:t>[a]</w:t>
            </w:r>
          </w:p>
        </w:tc>
        <w:tc>
          <w:tcPr>
            <w:tcW w:w="1440" w:type="dxa"/>
            <w:tcBorders>
              <w:top w:val="single" w:sz="8" w:space="0" w:color="4F81BD" w:themeColor="accent1"/>
              <w:left w:val="single" w:sz="8" w:space="0" w:color="4F81BD" w:themeColor="accent1"/>
              <w:bottom w:val="nil"/>
              <w:right w:val="single" w:sz="8" w:space="0" w:color="4F81BD" w:themeColor="accent1"/>
            </w:tcBorders>
            <w:noWrap/>
          </w:tcPr>
          <w:p w:rsidR="00C04E62" w:rsidRPr="00FA3973" w:rsidRDefault="0035174E"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30</w:t>
            </w:r>
          </w:p>
        </w:tc>
        <w:tc>
          <w:tcPr>
            <w:tcW w:w="1440" w:type="dxa"/>
            <w:tcBorders>
              <w:top w:val="single" w:sz="8" w:space="0" w:color="4F81BD" w:themeColor="accent1"/>
              <w:left w:val="single" w:sz="8" w:space="0" w:color="4F81BD" w:themeColor="accent1"/>
              <w:bottom w:val="nil"/>
            </w:tcBorders>
          </w:tcPr>
          <w:p w:rsidR="00C04E62" w:rsidRPr="00FA3973" w:rsidRDefault="0035174E"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30</w:t>
            </w:r>
          </w:p>
        </w:tc>
        <w:tc>
          <w:tcPr>
            <w:tcW w:w="1751" w:type="dxa"/>
            <w:tcBorders>
              <w:top w:val="single" w:sz="8" w:space="0" w:color="4F81BD" w:themeColor="accent1"/>
              <w:left w:val="single" w:sz="8" w:space="0" w:color="4F81BD" w:themeColor="accent1"/>
              <w:bottom w:val="nil"/>
            </w:tcBorders>
          </w:tcPr>
          <w:p w:rsidR="00C04E62" w:rsidRPr="00FA3973" w:rsidRDefault="00043320"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3</w:t>
            </w:r>
            <w:r w:rsidR="00C04E62" w:rsidRPr="00FA3973">
              <w:rPr>
                <w:rFonts w:ascii="Arial" w:hAnsi="Arial" w:cs="Arial"/>
                <w:sz w:val="20"/>
                <w:szCs w:val="20"/>
              </w:rPr>
              <w:t>0</w:t>
            </w:r>
          </w:p>
        </w:tc>
      </w:tr>
      <w:tr w:rsidR="00C04E62" w:rsidRPr="00FA3973" w:rsidTr="00632708">
        <w:trPr>
          <w:trHeight w:val="300"/>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single" w:sz="8" w:space="0" w:color="4F81BD" w:themeColor="accent1"/>
            </w:tcBorders>
            <w:noWrap/>
            <w:hideMark/>
          </w:tcPr>
          <w:p w:rsidR="00C04E62" w:rsidRPr="00FA3973" w:rsidRDefault="00C04E62" w:rsidP="0022286B">
            <w:pPr>
              <w:rPr>
                <w:rFonts w:ascii="Arial" w:hAnsi="Arial" w:cs="Arial"/>
                <w:b w:val="0"/>
                <w:bCs w:val="0"/>
                <w:sz w:val="20"/>
                <w:szCs w:val="20"/>
                <w:vertAlign w:val="superscript"/>
              </w:rPr>
            </w:pPr>
            <w:r w:rsidRPr="00FA3973">
              <w:rPr>
                <w:rFonts w:ascii="Arial" w:hAnsi="Arial" w:cs="Arial"/>
                <w:b w:val="0"/>
                <w:sz w:val="20"/>
                <w:szCs w:val="20"/>
              </w:rPr>
              <w:t>Production factor</w:t>
            </w:r>
            <w:r w:rsidR="00C33FFD" w:rsidRPr="00FA3973">
              <w:rPr>
                <w:rFonts w:ascii="Arial" w:hAnsi="Arial" w:cs="Arial"/>
                <w:b w:val="0"/>
                <w:sz w:val="20"/>
                <w:szCs w:val="20"/>
                <w:vertAlign w:val="superscript"/>
              </w:rPr>
              <w:t>[b]</w:t>
            </w:r>
          </w:p>
        </w:tc>
        <w:tc>
          <w:tcPr>
            <w:tcW w:w="1440" w:type="dxa"/>
            <w:tcBorders>
              <w:top w:val="nil"/>
              <w:left w:val="single" w:sz="8" w:space="0" w:color="4F81BD" w:themeColor="accent1"/>
              <w:bottom w:val="nil"/>
              <w:right w:val="single" w:sz="8" w:space="0" w:color="4F81BD" w:themeColor="accent1"/>
            </w:tcBorders>
            <w:noWrap/>
            <w:hideMark/>
          </w:tcPr>
          <w:p w:rsidR="00C04E62" w:rsidRPr="00FA3973" w:rsidRDefault="004D38D2" w:rsidP="00222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0.38</w:t>
            </w:r>
          </w:p>
        </w:tc>
        <w:tc>
          <w:tcPr>
            <w:tcW w:w="1440" w:type="dxa"/>
            <w:tcBorders>
              <w:top w:val="nil"/>
              <w:left w:val="single" w:sz="8" w:space="0" w:color="4F81BD" w:themeColor="accent1"/>
              <w:bottom w:val="nil"/>
            </w:tcBorders>
          </w:tcPr>
          <w:p w:rsidR="00C04E62" w:rsidRPr="00FA3973" w:rsidRDefault="004D38D2" w:rsidP="00222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0.20</w:t>
            </w:r>
          </w:p>
        </w:tc>
        <w:tc>
          <w:tcPr>
            <w:tcW w:w="1751" w:type="dxa"/>
            <w:tcBorders>
              <w:top w:val="nil"/>
              <w:left w:val="single" w:sz="8" w:space="0" w:color="4F81BD" w:themeColor="accent1"/>
              <w:bottom w:val="nil"/>
            </w:tcBorders>
          </w:tcPr>
          <w:p w:rsidR="00C04E62" w:rsidRPr="00FA3973" w:rsidRDefault="004D38D2" w:rsidP="00222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w:t>
            </w:r>
          </w:p>
        </w:tc>
      </w:tr>
      <w:tr w:rsidR="00043320" w:rsidRPr="00FA3973" w:rsidTr="000433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single" w:sz="8" w:space="0" w:color="4F81BD" w:themeColor="accent1"/>
            </w:tcBorders>
            <w:noWrap/>
          </w:tcPr>
          <w:p w:rsidR="00043320" w:rsidRPr="00FA3973" w:rsidRDefault="00043320" w:rsidP="0022286B">
            <w:pPr>
              <w:rPr>
                <w:rFonts w:ascii="Arial" w:hAnsi="Arial" w:cs="Arial"/>
                <w:b w:val="0"/>
                <w:sz w:val="20"/>
                <w:szCs w:val="20"/>
                <w:vertAlign w:val="superscript"/>
              </w:rPr>
            </w:pPr>
            <w:r w:rsidRPr="00FA3973">
              <w:rPr>
                <w:rFonts w:ascii="Arial" w:hAnsi="Arial" w:cs="Arial"/>
                <w:b w:val="0"/>
                <w:sz w:val="20"/>
                <w:szCs w:val="20"/>
              </w:rPr>
              <w:t xml:space="preserve">Investment costs </w:t>
            </w:r>
            <w:r w:rsidRPr="00FA3973">
              <w:rPr>
                <w:rFonts w:ascii="Arial" w:hAnsi="Arial" w:cs="Arial"/>
                <w:b w:val="0"/>
                <w:bCs w:val="0"/>
                <w:sz w:val="20"/>
                <w:szCs w:val="20"/>
              </w:rPr>
              <w:t>(MUSD/MW)</w:t>
            </w:r>
            <w:r w:rsidRPr="00FA3973">
              <w:rPr>
                <w:rFonts w:ascii="Arial" w:hAnsi="Arial" w:cs="Arial"/>
                <w:b w:val="0"/>
                <w:bCs w:val="0"/>
                <w:sz w:val="20"/>
                <w:szCs w:val="20"/>
                <w:vertAlign w:val="superscript"/>
              </w:rPr>
              <w:t>[b]</w:t>
            </w:r>
          </w:p>
        </w:tc>
        <w:tc>
          <w:tcPr>
            <w:tcW w:w="1440" w:type="dxa"/>
            <w:tcBorders>
              <w:top w:val="nil"/>
              <w:left w:val="single" w:sz="8" w:space="0" w:color="4F81BD" w:themeColor="accent1"/>
              <w:bottom w:val="nil"/>
              <w:right w:val="single" w:sz="8" w:space="0" w:color="4F81BD" w:themeColor="accent1"/>
            </w:tcBorders>
            <w:noWrap/>
          </w:tcPr>
          <w:p w:rsidR="00043320" w:rsidRPr="00FA3973" w:rsidRDefault="00043320"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1.8</w:t>
            </w:r>
          </w:p>
        </w:tc>
        <w:tc>
          <w:tcPr>
            <w:tcW w:w="1440" w:type="dxa"/>
            <w:tcBorders>
              <w:top w:val="nil"/>
              <w:left w:val="single" w:sz="8" w:space="0" w:color="4F81BD" w:themeColor="accent1"/>
              <w:bottom w:val="nil"/>
            </w:tcBorders>
          </w:tcPr>
          <w:p w:rsidR="00043320" w:rsidRPr="00FA3973" w:rsidRDefault="00043320"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1.5</w:t>
            </w:r>
          </w:p>
        </w:tc>
        <w:tc>
          <w:tcPr>
            <w:tcW w:w="1751" w:type="dxa"/>
            <w:tcBorders>
              <w:top w:val="nil"/>
              <w:left w:val="single" w:sz="8" w:space="0" w:color="4F81BD" w:themeColor="accent1"/>
              <w:bottom w:val="nil"/>
            </w:tcBorders>
          </w:tcPr>
          <w:p w:rsidR="00043320" w:rsidRPr="00FA3973" w:rsidRDefault="00043320"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1.0</w:t>
            </w:r>
          </w:p>
        </w:tc>
      </w:tr>
      <w:tr w:rsidR="00043320" w:rsidRPr="00FA3973" w:rsidTr="00043320">
        <w:trPr>
          <w:trHeight w:val="300"/>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single" w:sz="8" w:space="0" w:color="4F81BD" w:themeColor="accent1"/>
            </w:tcBorders>
            <w:noWrap/>
          </w:tcPr>
          <w:p w:rsidR="00043320" w:rsidRPr="00FA3973" w:rsidRDefault="00043320" w:rsidP="0022286B">
            <w:pPr>
              <w:rPr>
                <w:rFonts w:ascii="Arial" w:hAnsi="Arial" w:cs="Arial"/>
                <w:b w:val="0"/>
                <w:sz w:val="20"/>
                <w:szCs w:val="20"/>
                <w:vertAlign w:val="superscript"/>
              </w:rPr>
            </w:pPr>
            <w:r w:rsidRPr="00FA3973">
              <w:rPr>
                <w:rFonts w:ascii="Arial" w:hAnsi="Arial" w:cs="Arial"/>
                <w:b w:val="0"/>
                <w:bCs w:val="0"/>
                <w:sz w:val="20"/>
                <w:szCs w:val="20"/>
              </w:rPr>
              <w:t>O&amp;M costs (USD/kW)</w:t>
            </w:r>
            <w:r w:rsidRPr="00FA3973">
              <w:rPr>
                <w:rFonts w:ascii="Arial" w:hAnsi="Arial" w:cs="Arial"/>
                <w:b w:val="0"/>
                <w:bCs w:val="0"/>
                <w:sz w:val="20"/>
                <w:szCs w:val="20"/>
                <w:vertAlign w:val="superscript"/>
              </w:rPr>
              <w:t>[b]</w:t>
            </w:r>
          </w:p>
        </w:tc>
        <w:tc>
          <w:tcPr>
            <w:tcW w:w="1440" w:type="dxa"/>
            <w:tcBorders>
              <w:top w:val="nil"/>
              <w:left w:val="single" w:sz="8" w:space="0" w:color="4F81BD" w:themeColor="accent1"/>
              <w:bottom w:val="nil"/>
              <w:right w:val="single" w:sz="8" w:space="0" w:color="4F81BD" w:themeColor="accent1"/>
            </w:tcBorders>
            <w:noWrap/>
          </w:tcPr>
          <w:p w:rsidR="00043320" w:rsidRPr="00FA3973" w:rsidRDefault="00043320" w:rsidP="00222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20</w:t>
            </w:r>
          </w:p>
        </w:tc>
        <w:tc>
          <w:tcPr>
            <w:tcW w:w="1440" w:type="dxa"/>
            <w:tcBorders>
              <w:top w:val="nil"/>
              <w:left w:val="single" w:sz="8" w:space="0" w:color="4F81BD" w:themeColor="accent1"/>
              <w:bottom w:val="nil"/>
            </w:tcBorders>
          </w:tcPr>
          <w:p w:rsidR="00043320" w:rsidRPr="00FA3973" w:rsidRDefault="00043320" w:rsidP="00222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6.2</w:t>
            </w:r>
          </w:p>
        </w:tc>
        <w:tc>
          <w:tcPr>
            <w:tcW w:w="1751" w:type="dxa"/>
            <w:tcBorders>
              <w:top w:val="nil"/>
              <w:left w:val="single" w:sz="8" w:space="0" w:color="4F81BD" w:themeColor="accent1"/>
              <w:bottom w:val="nil"/>
            </w:tcBorders>
          </w:tcPr>
          <w:p w:rsidR="00043320" w:rsidRPr="00FA3973" w:rsidRDefault="00043320" w:rsidP="00222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0.01 (USD/kWh)</w:t>
            </w:r>
          </w:p>
        </w:tc>
      </w:tr>
      <w:tr w:rsidR="00C04E62" w:rsidRPr="00FA3973" w:rsidTr="000433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single" w:sz="8" w:space="0" w:color="4F81BD" w:themeColor="accent1"/>
            </w:tcBorders>
            <w:noWrap/>
          </w:tcPr>
          <w:p w:rsidR="00C04E62" w:rsidRPr="00FA3973" w:rsidRDefault="00C33FFD" w:rsidP="0022286B">
            <w:pPr>
              <w:rPr>
                <w:rFonts w:ascii="Arial" w:hAnsi="Arial" w:cs="Arial"/>
                <w:b w:val="0"/>
                <w:sz w:val="20"/>
                <w:szCs w:val="20"/>
                <w:vertAlign w:val="superscript"/>
              </w:rPr>
            </w:pPr>
            <w:r w:rsidRPr="00FA3973">
              <w:rPr>
                <w:rFonts w:ascii="Arial" w:hAnsi="Arial" w:cs="Arial"/>
                <w:b w:val="0"/>
                <w:sz w:val="20"/>
                <w:szCs w:val="20"/>
              </w:rPr>
              <w:t xml:space="preserve">Efficiency factor versus </w:t>
            </w:r>
            <w:r w:rsidR="003E6610" w:rsidRPr="00FA3973">
              <w:rPr>
                <w:rFonts w:ascii="Arial" w:hAnsi="Arial" w:cs="Arial"/>
                <w:b w:val="0"/>
                <w:sz w:val="20"/>
                <w:szCs w:val="20"/>
              </w:rPr>
              <w:t>conventional plant</w:t>
            </w:r>
            <w:r w:rsidRPr="00FA3973">
              <w:rPr>
                <w:rFonts w:ascii="Arial" w:hAnsi="Arial" w:cs="Arial"/>
                <w:b w:val="0"/>
                <w:sz w:val="20"/>
                <w:szCs w:val="20"/>
                <w:vertAlign w:val="superscript"/>
              </w:rPr>
              <w:t>[c]</w:t>
            </w:r>
          </w:p>
        </w:tc>
        <w:tc>
          <w:tcPr>
            <w:tcW w:w="1440" w:type="dxa"/>
            <w:tcBorders>
              <w:top w:val="nil"/>
              <w:left w:val="single" w:sz="8" w:space="0" w:color="4F81BD" w:themeColor="accent1"/>
              <w:bottom w:val="nil"/>
              <w:right w:val="single" w:sz="8" w:space="0" w:color="4F81BD" w:themeColor="accent1"/>
            </w:tcBorders>
            <w:noWrap/>
          </w:tcPr>
          <w:p w:rsidR="00C04E62" w:rsidRPr="00FA3973" w:rsidRDefault="004D38D2"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w:t>
            </w:r>
          </w:p>
        </w:tc>
        <w:tc>
          <w:tcPr>
            <w:tcW w:w="1440" w:type="dxa"/>
            <w:tcBorders>
              <w:top w:val="nil"/>
              <w:left w:val="single" w:sz="8" w:space="0" w:color="4F81BD" w:themeColor="accent1"/>
              <w:bottom w:val="nil"/>
            </w:tcBorders>
          </w:tcPr>
          <w:p w:rsidR="00C04E62" w:rsidRPr="00FA3973" w:rsidRDefault="004D38D2"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w:t>
            </w:r>
          </w:p>
        </w:tc>
        <w:tc>
          <w:tcPr>
            <w:tcW w:w="1751" w:type="dxa"/>
            <w:tcBorders>
              <w:top w:val="nil"/>
              <w:left w:val="single" w:sz="8" w:space="0" w:color="4F81BD" w:themeColor="accent1"/>
              <w:bottom w:val="nil"/>
            </w:tcBorders>
          </w:tcPr>
          <w:p w:rsidR="00C04E62" w:rsidRPr="00FA3973" w:rsidRDefault="003E6610" w:rsidP="0022286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0.8</w:t>
            </w:r>
            <w:r w:rsidR="003D4ABF" w:rsidRPr="00FA3973">
              <w:rPr>
                <w:rFonts w:ascii="Arial" w:hAnsi="Arial" w:cs="Arial"/>
                <w:sz w:val="20"/>
                <w:szCs w:val="20"/>
              </w:rPr>
              <w:t>0</w:t>
            </w:r>
            <w:r w:rsidRPr="00FA3973">
              <w:rPr>
                <w:rFonts w:ascii="Arial" w:hAnsi="Arial" w:cs="Arial"/>
                <w:sz w:val="20"/>
                <w:szCs w:val="20"/>
              </w:rPr>
              <w:t xml:space="preserve"> versus 0.45</w:t>
            </w:r>
          </w:p>
        </w:tc>
      </w:tr>
      <w:tr w:rsidR="00EA0094" w:rsidRPr="00FA3973" w:rsidTr="00E85F23">
        <w:trPr>
          <w:trHeight w:val="300"/>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single" w:sz="8" w:space="0" w:color="4F81BD" w:themeColor="accent1"/>
            </w:tcBorders>
            <w:noWrap/>
          </w:tcPr>
          <w:p w:rsidR="00EA0094" w:rsidRPr="00FA3973" w:rsidRDefault="00EA0094" w:rsidP="0022286B">
            <w:pPr>
              <w:rPr>
                <w:rFonts w:ascii="Arial" w:hAnsi="Arial" w:cs="Arial"/>
                <w:b w:val="0"/>
                <w:bCs w:val="0"/>
                <w:sz w:val="20"/>
                <w:szCs w:val="20"/>
              </w:rPr>
            </w:pPr>
            <w:r w:rsidRPr="00FA3973">
              <w:rPr>
                <w:rFonts w:ascii="Arial" w:hAnsi="Arial" w:cs="Arial"/>
                <w:b w:val="0"/>
                <w:sz w:val="20"/>
                <w:szCs w:val="20"/>
              </w:rPr>
              <w:t>Average electricity rate for industry</w:t>
            </w:r>
            <w:r w:rsidRPr="00FA3973">
              <w:rPr>
                <w:rFonts w:ascii="Arial" w:hAnsi="Arial" w:cs="Arial"/>
                <w:sz w:val="20"/>
                <w:szCs w:val="20"/>
              </w:rPr>
              <w:t xml:space="preserve"> </w:t>
            </w:r>
            <w:r w:rsidRPr="00FA3973">
              <w:rPr>
                <w:rFonts w:ascii="Arial" w:hAnsi="Arial" w:cs="Arial"/>
                <w:b w:val="0"/>
                <w:sz w:val="20"/>
                <w:szCs w:val="20"/>
              </w:rPr>
              <w:t>(</w:t>
            </w:r>
            <w:r w:rsidRPr="00FA3973">
              <w:rPr>
                <w:rFonts w:ascii="Arial" w:hAnsi="Arial" w:cs="Arial"/>
                <w:b w:val="0"/>
                <w:bCs w:val="0"/>
                <w:sz w:val="20"/>
                <w:szCs w:val="20"/>
              </w:rPr>
              <w:t>USD/MWh)</w:t>
            </w:r>
            <w:r w:rsidR="007E422E" w:rsidRPr="00FA3973">
              <w:rPr>
                <w:rFonts w:ascii="Arial" w:hAnsi="Arial" w:cs="Arial"/>
                <w:b w:val="0"/>
                <w:bCs w:val="0"/>
                <w:sz w:val="20"/>
                <w:szCs w:val="20"/>
                <w:vertAlign w:val="superscript"/>
              </w:rPr>
              <w:t>[d]</w:t>
            </w:r>
          </w:p>
        </w:tc>
        <w:tc>
          <w:tcPr>
            <w:tcW w:w="4631" w:type="dxa"/>
            <w:gridSpan w:val="3"/>
            <w:tcBorders>
              <w:top w:val="nil"/>
              <w:left w:val="single" w:sz="8" w:space="0" w:color="4F81BD" w:themeColor="accent1"/>
              <w:bottom w:val="nil"/>
            </w:tcBorders>
            <w:noWrap/>
          </w:tcPr>
          <w:p w:rsidR="00EA0094" w:rsidRPr="00FA3973" w:rsidRDefault="00EA0094" w:rsidP="00222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101.77</w:t>
            </w:r>
          </w:p>
        </w:tc>
      </w:tr>
      <w:tr w:rsidR="00EA0094" w:rsidRPr="00FA3973" w:rsidTr="00E85F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0" w:type="dxa"/>
            <w:tcBorders>
              <w:top w:val="nil"/>
              <w:bottom w:val="nil"/>
              <w:right w:val="single" w:sz="8" w:space="0" w:color="4F81BD" w:themeColor="accent1"/>
            </w:tcBorders>
            <w:noWrap/>
          </w:tcPr>
          <w:p w:rsidR="00EA0094" w:rsidRPr="00FA3973" w:rsidRDefault="00EA0094" w:rsidP="00807924">
            <w:pPr>
              <w:rPr>
                <w:rFonts w:ascii="Arial" w:hAnsi="Arial" w:cs="Arial"/>
                <w:b w:val="0"/>
                <w:sz w:val="20"/>
                <w:szCs w:val="20"/>
              </w:rPr>
            </w:pPr>
            <w:r w:rsidRPr="00FA3973">
              <w:rPr>
                <w:rFonts w:ascii="Arial" w:hAnsi="Arial" w:cs="Arial"/>
                <w:b w:val="0"/>
                <w:sz w:val="20"/>
                <w:szCs w:val="20"/>
              </w:rPr>
              <w:t xml:space="preserve">Average </w:t>
            </w:r>
            <w:r w:rsidR="00807924">
              <w:rPr>
                <w:rFonts w:ascii="Arial" w:hAnsi="Arial" w:cs="Arial"/>
                <w:b w:val="0"/>
                <w:sz w:val="20"/>
                <w:szCs w:val="20"/>
              </w:rPr>
              <w:t>marginal generation cost</w:t>
            </w:r>
            <w:r w:rsidRPr="00FA3973">
              <w:rPr>
                <w:rFonts w:ascii="Arial" w:hAnsi="Arial" w:cs="Arial"/>
                <w:b w:val="0"/>
                <w:sz w:val="20"/>
                <w:szCs w:val="20"/>
              </w:rPr>
              <w:t xml:space="preserve"> (USD/MWh)</w:t>
            </w:r>
            <w:r w:rsidR="007E422E" w:rsidRPr="00FA3973">
              <w:rPr>
                <w:rFonts w:ascii="Arial" w:hAnsi="Arial" w:cs="Arial"/>
                <w:b w:val="0"/>
                <w:sz w:val="20"/>
                <w:szCs w:val="20"/>
                <w:vertAlign w:val="superscript"/>
              </w:rPr>
              <w:t>[e</w:t>
            </w:r>
            <w:r w:rsidRPr="00FA3973">
              <w:rPr>
                <w:rFonts w:ascii="Arial" w:hAnsi="Arial" w:cs="Arial"/>
                <w:b w:val="0"/>
                <w:sz w:val="20"/>
                <w:szCs w:val="20"/>
                <w:vertAlign w:val="superscript"/>
              </w:rPr>
              <w:t>]</w:t>
            </w:r>
          </w:p>
        </w:tc>
        <w:tc>
          <w:tcPr>
            <w:tcW w:w="4631" w:type="dxa"/>
            <w:gridSpan w:val="3"/>
            <w:tcBorders>
              <w:top w:val="nil"/>
              <w:left w:val="single" w:sz="8" w:space="0" w:color="4F81BD" w:themeColor="accent1"/>
              <w:bottom w:val="nil"/>
            </w:tcBorders>
            <w:noWrap/>
          </w:tcPr>
          <w:p w:rsidR="00EA0094" w:rsidRPr="00FA3973" w:rsidRDefault="007D1695" w:rsidP="00430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104.4</w:t>
            </w:r>
          </w:p>
        </w:tc>
      </w:tr>
      <w:tr w:rsidR="00EA0094" w:rsidRPr="00FA3973" w:rsidTr="00E85F23">
        <w:trPr>
          <w:trHeight w:val="300"/>
        </w:trPr>
        <w:tc>
          <w:tcPr>
            <w:cnfStyle w:val="001000000000" w:firstRow="0" w:lastRow="0" w:firstColumn="1" w:lastColumn="0" w:oddVBand="0" w:evenVBand="0" w:oddHBand="0" w:evenHBand="0" w:firstRowFirstColumn="0" w:firstRowLastColumn="0" w:lastRowFirstColumn="0" w:lastRowLastColumn="0"/>
            <w:tcW w:w="3330" w:type="dxa"/>
            <w:tcBorders>
              <w:top w:val="nil"/>
              <w:bottom w:val="single" w:sz="8" w:space="0" w:color="4F81BD" w:themeColor="accent1"/>
              <w:right w:val="single" w:sz="8" w:space="0" w:color="4F81BD" w:themeColor="accent1"/>
            </w:tcBorders>
            <w:noWrap/>
          </w:tcPr>
          <w:p w:rsidR="00EA0094" w:rsidRPr="00FA3973" w:rsidRDefault="00EA0094" w:rsidP="0022286B">
            <w:pPr>
              <w:rPr>
                <w:rFonts w:ascii="Arial" w:hAnsi="Arial" w:cs="Arial"/>
                <w:b w:val="0"/>
                <w:sz w:val="20"/>
                <w:szCs w:val="20"/>
                <w:vertAlign w:val="superscript"/>
              </w:rPr>
            </w:pPr>
            <w:r w:rsidRPr="00FA3973">
              <w:rPr>
                <w:rFonts w:ascii="Arial" w:hAnsi="Arial" w:cs="Arial"/>
                <w:b w:val="0"/>
                <w:bCs w:val="0"/>
                <w:sz w:val="20"/>
                <w:szCs w:val="20"/>
              </w:rPr>
              <w:t>Exchange rate (USD/R$)</w:t>
            </w:r>
          </w:p>
        </w:tc>
        <w:tc>
          <w:tcPr>
            <w:tcW w:w="4631" w:type="dxa"/>
            <w:gridSpan w:val="3"/>
            <w:tcBorders>
              <w:top w:val="nil"/>
              <w:left w:val="single" w:sz="8" w:space="0" w:color="4F81BD" w:themeColor="accent1"/>
              <w:bottom w:val="single" w:sz="8" w:space="0" w:color="4F81BD" w:themeColor="accent1"/>
            </w:tcBorders>
            <w:noWrap/>
          </w:tcPr>
          <w:p w:rsidR="00EA0094" w:rsidRPr="00FA3973" w:rsidRDefault="00EA0094" w:rsidP="002228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0.31</w:t>
            </w:r>
          </w:p>
        </w:tc>
      </w:tr>
    </w:tbl>
    <w:p w:rsidR="00C33FFD" w:rsidRPr="00FA3973" w:rsidRDefault="00C33FFD" w:rsidP="003D4ABF">
      <w:pPr>
        <w:pStyle w:val="Paragraph"/>
        <w:tabs>
          <w:tab w:val="clear" w:pos="720"/>
          <w:tab w:val="left" w:pos="990"/>
        </w:tabs>
        <w:spacing w:before="0" w:after="0"/>
        <w:ind w:left="990" w:hanging="270"/>
        <w:rPr>
          <w:rFonts w:ascii="Arial" w:hAnsi="Arial" w:cs="Arial"/>
          <w:sz w:val="18"/>
          <w:szCs w:val="24"/>
        </w:rPr>
      </w:pPr>
      <w:r w:rsidRPr="00FA3973">
        <w:rPr>
          <w:rFonts w:ascii="Arial" w:hAnsi="Arial" w:cs="Arial"/>
          <w:sz w:val="18"/>
          <w:szCs w:val="24"/>
          <w:vertAlign w:val="superscript"/>
        </w:rPr>
        <w:t>[a]</w:t>
      </w:r>
      <w:r w:rsidRPr="00FA3973">
        <w:rPr>
          <w:rFonts w:ascii="Arial" w:hAnsi="Arial" w:cs="Arial"/>
          <w:sz w:val="18"/>
          <w:szCs w:val="24"/>
        </w:rPr>
        <w:t xml:space="preserve"> </w:t>
      </w:r>
      <w:r w:rsidR="003D4ABF" w:rsidRPr="00FA3973">
        <w:rPr>
          <w:rFonts w:ascii="Arial" w:hAnsi="Arial" w:cs="Arial"/>
          <w:sz w:val="18"/>
          <w:szCs w:val="24"/>
        </w:rPr>
        <w:tab/>
      </w:r>
      <w:r w:rsidRPr="00FA3973">
        <w:rPr>
          <w:rFonts w:ascii="Arial" w:hAnsi="Arial" w:cs="Arial"/>
          <w:sz w:val="18"/>
          <w:szCs w:val="24"/>
        </w:rPr>
        <w:t>Data for project</w:t>
      </w:r>
      <w:r w:rsidR="003D4ABF" w:rsidRPr="00FA3973">
        <w:rPr>
          <w:rFonts w:ascii="Arial" w:hAnsi="Arial" w:cs="Arial"/>
          <w:sz w:val="18"/>
          <w:szCs w:val="24"/>
        </w:rPr>
        <w:t xml:space="preserve"> size</w:t>
      </w:r>
      <w:r w:rsidRPr="00FA3973">
        <w:rPr>
          <w:rFonts w:ascii="Arial" w:hAnsi="Arial" w:cs="Arial"/>
          <w:sz w:val="18"/>
          <w:szCs w:val="24"/>
        </w:rPr>
        <w:t xml:space="preserve"> is based on BNDES portfolio since 2012 and tentative pipeline</w:t>
      </w:r>
    </w:p>
    <w:p w:rsidR="00C33FFD" w:rsidRPr="00FA3973" w:rsidRDefault="00C33FFD" w:rsidP="003D4ABF">
      <w:pPr>
        <w:pStyle w:val="Paragraph"/>
        <w:tabs>
          <w:tab w:val="clear" w:pos="720"/>
          <w:tab w:val="left" w:pos="990"/>
        </w:tabs>
        <w:spacing w:before="0" w:after="0"/>
        <w:ind w:left="990" w:hanging="270"/>
        <w:rPr>
          <w:rFonts w:ascii="Arial" w:hAnsi="Arial" w:cs="Arial"/>
          <w:sz w:val="18"/>
          <w:szCs w:val="24"/>
        </w:rPr>
      </w:pPr>
      <w:r w:rsidRPr="00FA3973">
        <w:rPr>
          <w:rFonts w:ascii="Arial" w:hAnsi="Arial" w:cs="Arial"/>
          <w:sz w:val="18"/>
          <w:szCs w:val="24"/>
          <w:vertAlign w:val="superscript"/>
        </w:rPr>
        <w:t>[b]</w:t>
      </w:r>
      <w:r w:rsidRPr="00FA3973">
        <w:rPr>
          <w:rFonts w:ascii="Arial" w:hAnsi="Arial" w:cs="Arial"/>
          <w:sz w:val="18"/>
          <w:szCs w:val="24"/>
        </w:rPr>
        <w:t xml:space="preserve"> </w:t>
      </w:r>
      <w:hyperlink r:id="rId9" w:history="1">
        <w:r w:rsidR="00677258" w:rsidRPr="00FA3973">
          <w:rPr>
            <w:rStyle w:val="Hyperlink"/>
            <w:rFonts w:ascii="Arial" w:hAnsi="Arial" w:cs="Arial"/>
            <w:sz w:val="18"/>
            <w:szCs w:val="24"/>
          </w:rPr>
          <w:t>Financiamento de energias renováveis alternativas no Brasil</w:t>
        </w:r>
      </w:hyperlink>
      <w:r w:rsidR="00EA0AF5" w:rsidRPr="00FA3973">
        <w:rPr>
          <w:rFonts w:ascii="Arial" w:hAnsi="Arial" w:cs="Arial"/>
          <w:sz w:val="18"/>
          <w:szCs w:val="24"/>
        </w:rPr>
        <w:t xml:space="preserve"> </w:t>
      </w:r>
      <w:r w:rsidR="00677258" w:rsidRPr="00FA3973">
        <w:rPr>
          <w:rFonts w:ascii="Arial" w:hAnsi="Arial" w:cs="Arial"/>
          <w:sz w:val="18"/>
          <w:szCs w:val="24"/>
        </w:rPr>
        <w:t xml:space="preserve">(2016) </w:t>
      </w:r>
      <w:r w:rsidR="00EA0AF5" w:rsidRPr="00FA3973">
        <w:rPr>
          <w:rFonts w:ascii="Arial" w:hAnsi="Arial" w:cs="Arial"/>
          <w:sz w:val="18"/>
          <w:szCs w:val="24"/>
        </w:rPr>
        <w:t xml:space="preserve">and </w:t>
      </w:r>
      <w:hyperlink r:id="rId10" w:history="1">
        <w:r w:rsidR="00EA0AF5" w:rsidRPr="00FA3973">
          <w:rPr>
            <w:rStyle w:val="Hyperlink"/>
            <w:rFonts w:ascii="Arial" w:hAnsi="Arial" w:cs="Arial"/>
            <w:sz w:val="18"/>
            <w:szCs w:val="24"/>
          </w:rPr>
          <w:t>Review of CHP Technologies</w:t>
        </w:r>
      </w:hyperlink>
      <w:r w:rsidR="00EA0AF5" w:rsidRPr="00FA3973">
        <w:rPr>
          <w:rFonts w:ascii="Arial" w:hAnsi="Arial" w:cs="Arial"/>
          <w:sz w:val="18"/>
          <w:szCs w:val="24"/>
        </w:rPr>
        <w:t xml:space="preserve"> (Office of Industrial Technologies, Office of Energy Efficiency and Renewable Energy, U.S. Department of Energy, 1999). </w:t>
      </w:r>
      <w:r w:rsidRPr="00FA3973">
        <w:rPr>
          <w:rFonts w:ascii="Arial" w:hAnsi="Arial" w:cs="Arial"/>
          <w:sz w:val="18"/>
          <w:szCs w:val="24"/>
        </w:rPr>
        <w:t>Investment and operating costs may vary widely (depending on the plant size, location, local electric system, etc.). Using averages is only aimed for practical purposes of this analysis.</w:t>
      </w:r>
    </w:p>
    <w:p w:rsidR="00EA0094" w:rsidRPr="00FA3973" w:rsidRDefault="00C33FFD" w:rsidP="00EA0094">
      <w:pPr>
        <w:pStyle w:val="Paragraph"/>
        <w:tabs>
          <w:tab w:val="clear" w:pos="720"/>
          <w:tab w:val="left" w:pos="990"/>
        </w:tabs>
        <w:spacing w:before="0" w:after="0"/>
        <w:ind w:left="994" w:hanging="274"/>
        <w:rPr>
          <w:rFonts w:ascii="Arial" w:hAnsi="Arial" w:cs="Arial"/>
          <w:sz w:val="18"/>
          <w:szCs w:val="24"/>
        </w:rPr>
      </w:pPr>
      <w:r w:rsidRPr="00FA3973">
        <w:rPr>
          <w:rFonts w:ascii="Arial" w:hAnsi="Arial" w:cs="Arial"/>
          <w:sz w:val="18"/>
          <w:szCs w:val="24"/>
          <w:vertAlign w:val="superscript"/>
        </w:rPr>
        <w:t>[c]</w:t>
      </w:r>
      <w:r w:rsidRPr="00FA3973">
        <w:rPr>
          <w:rFonts w:ascii="Arial" w:hAnsi="Arial" w:cs="Arial"/>
          <w:sz w:val="18"/>
          <w:szCs w:val="24"/>
        </w:rPr>
        <w:t xml:space="preserve"> </w:t>
      </w:r>
      <w:r w:rsidR="003D4ABF" w:rsidRPr="00FA3973">
        <w:rPr>
          <w:rFonts w:ascii="Arial" w:hAnsi="Arial" w:cs="Arial"/>
          <w:sz w:val="18"/>
          <w:szCs w:val="24"/>
        </w:rPr>
        <w:tab/>
      </w:r>
      <w:r w:rsidRPr="00FA3973">
        <w:rPr>
          <w:rFonts w:ascii="Arial" w:hAnsi="Arial" w:cs="Arial"/>
          <w:sz w:val="18"/>
          <w:szCs w:val="24"/>
        </w:rPr>
        <w:t>Center for Climate and Energy Solutions (C2ES). The typical method of separate centralized electricity generation and on-site heat generation has a combined efficiency of about 45% whereas cogeneration systems can reach efficiency levels of 80%</w:t>
      </w:r>
      <w:r w:rsidR="00EA0094" w:rsidRPr="00FA3973">
        <w:rPr>
          <w:rFonts w:ascii="Arial" w:hAnsi="Arial" w:cs="Arial"/>
          <w:sz w:val="18"/>
          <w:szCs w:val="24"/>
        </w:rPr>
        <w:t>.</w:t>
      </w:r>
    </w:p>
    <w:p w:rsidR="007E422E" w:rsidRPr="00807924" w:rsidRDefault="007E422E" w:rsidP="007E422E">
      <w:pPr>
        <w:pStyle w:val="Paragraph"/>
        <w:tabs>
          <w:tab w:val="clear" w:pos="720"/>
          <w:tab w:val="left" w:pos="990"/>
        </w:tabs>
        <w:spacing w:before="0" w:after="0"/>
        <w:ind w:left="994" w:hanging="274"/>
        <w:rPr>
          <w:rFonts w:ascii="Arial" w:hAnsi="Arial" w:cs="Arial"/>
          <w:sz w:val="18"/>
          <w:szCs w:val="24"/>
          <w:lang w:val="pt-BR"/>
        </w:rPr>
      </w:pPr>
      <w:r w:rsidRPr="00807924">
        <w:rPr>
          <w:rFonts w:ascii="Arial" w:hAnsi="Arial" w:cs="Arial"/>
          <w:sz w:val="18"/>
          <w:szCs w:val="24"/>
          <w:vertAlign w:val="superscript"/>
          <w:lang w:val="pt-BR"/>
        </w:rPr>
        <w:t>[d]</w:t>
      </w:r>
      <w:r w:rsidRPr="00807924">
        <w:rPr>
          <w:rFonts w:ascii="Arial" w:hAnsi="Arial" w:cs="Arial"/>
          <w:sz w:val="18"/>
          <w:szCs w:val="24"/>
          <w:lang w:val="pt-BR"/>
        </w:rPr>
        <w:t xml:space="preserve"> </w:t>
      </w:r>
      <w:r w:rsidRPr="00807924">
        <w:rPr>
          <w:rFonts w:ascii="Arial" w:hAnsi="Arial" w:cs="Arial"/>
          <w:sz w:val="18"/>
          <w:szCs w:val="24"/>
          <w:lang w:val="pt-BR"/>
        </w:rPr>
        <w:tab/>
      </w:r>
      <w:r w:rsidRPr="00807924">
        <w:rPr>
          <w:rFonts w:ascii="Arial" w:hAnsi="Arial" w:cs="Arial"/>
          <w:i/>
          <w:sz w:val="18"/>
          <w:szCs w:val="24"/>
          <w:lang w:val="pt-BR"/>
        </w:rPr>
        <w:t>Média das tarifas da classe Industrial</w:t>
      </w:r>
      <w:r w:rsidRPr="00807924">
        <w:rPr>
          <w:rFonts w:ascii="Arial" w:hAnsi="Arial" w:cs="Arial"/>
          <w:sz w:val="18"/>
          <w:szCs w:val="24"/>
          <w:lang w:val="pt-BR"/>
        </w:rPr>
        <w:t xml:space="preserve"> as of October 2015, </w:t>
      </w:r>
      <w:r w:rsidRPr="00807924">
        <w:rPr>
          <w:rFonts w:ascii="Arial" w:hAnsi="Arial" w:cs="Arial"/>
          <w:i/>
          <w:sz w:val="18"/>
          <w:szCs w:val="24"/>
          <w:lang w:val="pt-BR"/>
        </w:rPr>
        <w:t>Associação Brasileira de Distribuidores de Energia Elétrica</w:t>
      </w:r>
      <w:r w:rsidRPr="00807924">
        <w:rPr>
          <w:rFonts w:ascii="Arial" w:hAnsi="Arial" w:cs="Arial"/>
          <w:sz w:val="18"/>
          <w:szCs w:val="24"/>
          <w:lang w:val="pt-BR"/>
        </w:rPr>
        <w:t xml:space="preserve"> (ABRADEE)</w:t>
      </w:r>
      <w:r w:rsidR="00F10FC8" w:rsidRPr="00807924">
        <w:rPr>
          <w:rFonts w:ascii="Arial" w:hAnsi="Arial" w:cs="Arial"/>
          <w:sz w:val="18"/>
          <w:szCs w:val="24"/>
          <w:lang w:val="pt-BR"/>
        </w:rPr>
        <w:t>.</w:t>
      </w:r>
    </w:p>
    <w:p w:rsidR="00F10FC8" w:rsidRPr="00807924" w:rsidRDefault="00EA0094" w:rsidP="00F10FC8">
      <w:pPr>
        <w:pStyle w:val="Paragraph"/>
        <w:tabs>
          <w:tab w:val="left" w:pos="990"/>
        </w:tabs>
        <w:spacing w:before="0" w:afterLines="80" w:after="192"/>
        <w:ind w:left="990" w:hanging="270"/>
        <w:rPr>
          <w:rFonts w:ascii="Arial" w:hAnsi="Arial" w:cs="Arial"/>
          <w:sz w:val="18"/>
          <w:szCs w:val="24"/>
          <w:lang w:val="pt-BR"/>
        </w:rPr>
      </w:pPr>
      <w:r w:rsidRPr="00FA3973">
        <w:rPr>
          <w:rFonts w:ascii="Arial" w:hAnsi="Arial" w:cs="Arial"/>
          <w:sz w:val="18"/>
          <w:szCs w:val="24"/>
          <w:vertAlign w:val="superscript"/>
        </w:rPr>
        <w:t>[</w:t>
      </w:r>
      <w:r w:rsidR="007E422E" w:rsidRPr="00FA3973">
        <w:rPr>
          <w:rFonts w:ascii="Arial" w:hAnsi="Arial" w:cs="Arial"/>
          <w:sz w:val="18"/>
          <w:szCs w:val="24"/>
          <w:vertAlign w:val="superscript"/>
        </w:rPr>
        <w:t>e</w:t>
      </w:r>
      <w:r w:rsidRPr="00FA3973">
        <w:rPr>
          <w:rFonts w:ascii="Arial" w:hAnsi="Arial" w:cs="Arial"/>
          <w:sz w:val="18"/>
          <w:szCs w:val="24"/>
          <w:vertAlign w:val="superscript"/>
        </w:rPr>
        <w:t>]</w:t>
      </w:r>
      <w:r w:rsidRPr="00FA3973">
        <w:rPr>
          <w:rFonts w:ascii="Arial" w:hAnsi="Arial" w:cs="Arial"/>
          <w:sz w:val="18"/>
          <w:szCs w:val="24"/>
        </w:rPr>
        <w:t xml:space="preserve"> </w:t>
      </w:r>
      <w:r w:rsidRPr="00FA3973">
        <w:rPr>
          <w:rFonts w:ascii="Arial" w:hAnsi="Arial" w:cs="Arial"/>
          <w:sz w:val="18"/>
          <w:szCs w:val="24"/>
        </w:rPr>
        <w:tab/>
      </w:r>
      <w:r w:rsidR="00807924">
        <w:rPr>
          <w:rFonts w:ascii="Arial" w:hAnsi="Arial" w:cs="Arial"/>
          <w:sz w:val="18"/>
          <w:szCs w:val="24"/>
        </w:rPr>
        <w:t>The system</w:t>
      </w:r>
      <w:r w:rsidR="00D35E95">
        <w:rPr>
          <w:rFonts w:ascii="Arial" w:hAnsi="Arial" w:cs="Arial"/>
          <w:sz w:val="18"/>
          <w:szCs w:val="24"/>
        </w:rPr>
        <w:t>’</w:t>
      </w:r>
      <w:r w:rsidR="00807924">
        <w:rPr>
          <w:rFonts w:ascii="Arial" w:hAnsi="Arial" w:cs="Arial"/>
          <w:sz w:val="18"/>
          <w:szCs w:val="24"/>
        </w:rPr>
        <w:t xml:space="preserve">s marginal </w:t>
      </w:r>
      <w:r w:rsidR="00D35E95">
        <w:rPr>
          <w:rFonts w:ascii="Arial" w:hAnsi="Arial" w:cs="Arial"/>
          <w:sz w:val="18"/>
          <w:szCs w:val="24"/>
        </w:rPr>
        <w:t xml:space="preserve">generation </w:t>
      </w:r>
      <w:r w:rsidR="00807924">
        <w:rPr>
          <w:rFonts w:ascii="Arial" w:hAnsi="Arial" w:cs="Arial"/>
          <w:sz w:val="18"/>
          <w:szCs w:val="24"/>
        </w:rPr>
        <w:t xml:space="preserve">cost is calculated from the </w:t>
      </w:r>
      <w:r w:rsidR="00DC2B96">
        <w:rPr>
          <w:rFonts w:ascii="Arial" w:hAnsi="Arial" w:cs="Arial"/>
          <w:sz w:val="18"/>
          <w:szCs w:val="24"/>
        </w:rPr>
        <w:t>A</w:t>
      </w:r>
      <w:r w:rsidR="00807924" w:rsidRPr="00FA3973">
        <w:rPr>
          <w:rFonts w:ascii="Arial" w:hAnsi="Arial" w:cs="Arial"/>
          <w:sz w:val="18"/>
          <w:szCs w:val="24"/>
        </w:rPr>
        <w:t xml:space="preserve">verage </w:t>
      </w:r>
      <w:r w:rsidR="00DC2B96">
        <w:rPr>
          <w:rFonts w:ascii="Arial" w:hAnsi="Arial" w:cs="Arial"/>
          <w:sz w:val="18"/>
          <w:szCs w:val="24"/>
        </w:rPr>
        <w:t>S</w:t>
      </w:r>
      <w:r w:rsidRPr="00FA3973">
        <w:rPr>
          <w:rFonts w:ascii="Arial" w:hAnsi="Arial" w:cs="Arial"/>
          <w:sz w:val="18"/>
          <w:szCs w:val="24"/>
        </w:rPr>
        <w:t xml:space="preserve">pot </w:t>
      </w:r>
      <w:r w:rsidR="00DC2B96">
        <w:rPr>
          <w:rFonts w:ascii="Arial" w:hAnsi="Arial" w:cs="Arial"/>
          <w:sz w:val="18"/>
          <w:szCs w:val="24"/>
        </w:rPr>
        <w:t>P</w:t>
      </w:r>
      <w:r w:rsidRPr="00FA3973">
        <w:rPr>
          <w:rFonts w:ascii="Arial" w:hAnsi="Arial" w:cs="Arial"/>
          <w:sz w:val="18"/>
          <w:szCs w:val="24"/>
        </w:rPr>
        <w:t xml:space="preserve">rice (PLD) from September </w:t>
      </w:r>
      <w:r w:rsidR="0036408E" w:rsidRPr="00FA3973">
        <w:rPr>
          <w:rFonts w:ascii="Arial" w:hAnsi="Arial" w:cs="Arial"/>
          <w:sz w:val="18"/>
          <w:szCs w:val="24"/>
        </w:rPr>
        <w:t>201</w:t>
      </w:r>
      <w:r w:rsidR="0036408E">
        <w:rPr>
          <w:rFonts w:ascii="Arial" w:hAnsi="Arial" w:cs="Arial"/>
          <w:sz w:val="18"/>
          <w:szCs w:val="24"/>
        </w:rPr>
        <w:t>1</w:t>
      </w:r>
      <w:r w:rsidR="0036408E" w:rsidRPr="00FA3973">
        <w:rPr>
          <w:rFonts w:ascii="Arial" w:hAnsi="Arial" w:cs="Arial"/>
          <w:sz w:val="18"/>
          <w:szCs w:val="24"/>
        </w:rPr>
        <w:t xml:space="preserve"> </w:t>
      </w:r>
      <w:r w:rsidRPr="00FA3973">
        <w:rPr>
          <w:rFonts w:ascii="Arial" w:hAnsi="Arial" w:cs="Arial"/>
          <w:sz w:val="18"/>
          <w:szCs w:val="24"/>
        </w:rPr>
        <w:t>to August 2016</w:t>
      </w:r>
      <w:r w:rsidR="0036408E">
        <w:rPr>
          <w:rFonts w:ascii="Arial" w:hAnsi="Arial" w:cs="Arial"/>
          <w:sz w:val="18"/>
          <w:szCs w:val="24"/>
        </w:rPr>
        <w:t>, using constant 2016 prices</w:t>
      </w:r>
      <w:r w:rsidR="00C33FFD" w:rsidRPr="00FA3973">
        <w:rPr>
          <w:rFonts w:ascii="Arial" w:hAnsi="Arial" w:cs="Arial"/>
          <w:sz w:val="18"/>
          <w:szCs w:val="24"/>
        </w:rPr>
        <w:t>.</w:t>
      </w:r>
      <w:r w:rsidR="007E422E" w:rsidRPr="00FA3973">
        <w:rPr>
          <w:rFonts w:ascii="Arial" w:hAnsi="Arial" w:cs="Arial"/>
          <w:sz w:val="18"/>
          <w:szCs w:val="24"/>
        </w:rPr>
        <w:t xml:space="preserve"> </w:t>
      </w:r>
      <w:r w:rsidR="00F10FC8" w:rsidRPr="00807924">
        <w:rPr>
          <w:rFonts w:ascii="Arial" w:hAnsi="Arial" w:cs="Arial"/>
          <w:i/>
          <w:sz w:val="18"/>
          <w:szCs w:val="24"/>
          <w:lang w:val="pt-BR"/>
        </w:rPr>
        <w:t>Preço Médio</w:t>
      </w:r>
      <w:r w:rsidR="00F10FC8" w:rsidRPr="00807924">
        <w:rPr>
          <w:rFonts w:ascii="Arial" w:hAnsi="Arial" w:cs="Arial"/>
          <w:sz w:val="18"/>
          <w:szCs w:val="24"/>
          <w:lang w:val="pt-BR"/>
        </w:rPr>
        <w:t xml:space="preserve"> from the </w:t>
      </w:r>
      <w:r w:rsidR="00F10FC8" w:rsidRPr="00807924">
        <w:rPr>
          <w:rFonts w:ascii="Arial" w:hAnsi="Arial" w:cs="Arial"/>
          <w:i/>
          <w:sz w:val="18"/>
          <w:szCs w:val="24"/>
          <w:lang w:val="pt-BR"/>
        </w:rPr>
        <w:t>Câmara de Comercialização de Energia Elétrica</w:t>
      </w:r>
      <w:r w:rsidR="00F10FC8" w:rsidRPr="00807924">
        <w:rPr>
          <w:rFonts w:ascii="Arial" w:hAnsi="Arial" w:cs="Arial"/>
          <w:sz w:val="18"/>
          <w:szCs w:val="24"/>
          <w:lang w:val="pt-BR"/>
        </w:rPr>
        <w:t xml:space="preserve"> (CCEE)</w:t>
      </w:r>
      <w:r w:rsidR="00430159">
        <w:rPr>
          <w:rFonts w:ascii="Arial" w:hAnsi="Arial" w:cs="Arial"/>
          <w:sz w:val="18"/>
          <w:szCs w:val="24"/>
          <w:lang w:val="pt-BR"/>
        </w:rPr>
        <w:t>. See Annex I</w:t>
      </w:r>
      <w:r w:rsidR="00F10FC8" w:rsidRPr="00807924">
        <w:rPr>
          <w:rFonts w:ascii="Arial" w:hAnsi="Arial" w:cs="Arial"/>
          <w:sz w:val="18"/>
          <w:szCs w:val="24"/>
          <w:lang w:val="pt-BR"/>
        </w:rPr>
        <w:t>.</w:t>
      </w:r>
    </w:p>
    <w:p w:rsidR="007C6E7F" w:rsidRPr="00FA3973" w:rsidRDefault="00C7796F" w:rsidP="0022286B">
      <w:pPr>
        <w:pStyle w:val="Paragraph"/>
        <w:numPr>
          <w:ilvl w:val="1"/>
          <w:numId w:val="15"/>
        </w:numPr>
        <w:tabs>
          <w:tab w:val="num" w:pos="720"/>
        </w:tabs>
        <w:spacing w:before="0" w:afterLines="80" w:after="192"/>
        <w:ind w:left="720" w:hanging="720"/>
        <w:rPr>
          <w:rFonts w:ascii="Arial" w:hAnsi="Arial" w:cs="Arial"/>
          <w:spacing w:val="-5"/>
          <w:sz w:val="22"/>
        </w:rPr>
      </w:pPr>
      <w:bookmarkStart w:id="9" w:name="_Ref460256736"/>
      <w:r w:rsidRPr="00FA3973">
        <w:rPr>
          <w:rFonts w:ascii="Arial" w:hAnsi="Arial" w:cs="Arial"/>
          <w:spacing w:val="-5"/>
          <w:sz w:val="22"/>
        </w:rPr>
        <w:t>For each of these categories, t</w:t>
      </w:r>
      <w:r w:rsidR="007C6E7F" w:rsidRPr="00FA3973">
        <w:rPr>
          <w:rFonts w:ascii="Arial" w:hAnsi="Arial" w:cs="Arial"/>
          <w:spacing w:val="-5"/>
          <w:sz w:val="22"/>
        </w:rPr>
        <w:t xml:space="preserve">he time required for fully implementing the construction of a </w:t>
      </w:r>
      <w:r w:rsidRPr="00FA3973">
        <w:rPr>
          <w:rFonts w:ascii="Arial" w:hAnsi="Arial" w:cs="Arial"/>
          <w:spacing w:val="-5"/>
          <w:sz w:val="22"/>
        </w:rPr>
        <w:t>project t</w:t>
      </w:r>
      <w:r w:rsidR="007C6E7F" w:rsidRPr="00FA3973">
        <w:rPr>
          <w:rFonts w:ascii="Arial" w:hAnsi="Arial" w:cs="Arial"/>
          <w:spacing w:val="-5"/>
          <w:sz w:val="22"/>
        </w:rPr>
        <w:t xml:space="preserve">his size is estimated to be one year from the date of approval of the financing. Projects are expected to start operations and produce benefits (associated to the </w:t>
      </w:r>
      <w:r w:rsidRPr="00FA3973">
        <w:rPr>
          <w:rFonts w:ascii="Arial" w:hAnsi="Arial" w:cs="Arial"/>
          <w:spacing w:val="-5"/>
          <w:sz w:val="22"/>
        </w:rPr>
        <w:t xml:space="preserve">production and/or </w:t>
      </w:r>
      <w:r w:rsidR="007C6E7F" w:rsidRPr="00FA3973">
        <w:rPr>
          <w:rFonts w:ascii="Arial" w:hAnsi="Arial" w:cs="Arial"/>
          <w:spacing w:val="-5"/>
          <w:sz w:val="22"/>
        </w:rPr>
        <w:t>savings of energy) the year after the end of the installation of the system is completed</w:t>
      </w:r>
      <w:r w:rsidR="0022286B" w:rsidRPr="00FA3973">
        <w:rPr>
          <w:rFonts w:ascii="Arial" w:hAnsi="Arial" w:cs="Arial"/>
          <w:spacing w:val="-5"/>
          <w:sz w:val="22"/>
        </w:rPr>
        <w:t>.</w:t>
      </w:r>
      <w:r w:rsidRPr="00FA3973">
        <w:rPr>
          <w:rFonts w:ascii="Arial" w:hAnsi="Arial" w:cs="Arial"/>
          <w:spacing w:val="-5"/>
          <w:sz w:val="22"/>
          <w:vertAlign w:val="superscript"/>
        </w:rPr>
        <w:footnoteReference w:id="14"/>
      </w:r>
      <w:r w:rsidR="007C6E7F" w:rsidRPr="00FA3973">
        <w:rPr>
          <w:rFonts w:ascii="Arial" w:hAnsi="Arial" w:cs="Arial"/>
          <w:spacing w:val="-5"/>
          <w:sz w:val="22"/>
        </w:rPr>
        <w:t xml:space="preserve"> </w:t>
      </w:r>
      <w:r w:rsidR="00994AF4" w:rsidRPr="00FA3973">
        <w:rPr>
          <w:rFonts w:ascii="Arial" w:hAnsi="Arial" w:cs="Arial"/>
          <w:spacing w:val="-5"/>
          <w:sz w:val="22"/>
        </w:rPr>
        <w:t xml:space="preserve">Likewise, operation and maintenance costs are considered to start from the beginning of operation of the projects. </w:t>
      </w:r>
      <w:r w:rsidR="007C6E7F" w:rsidRPr="00FA3973">
        <w:rPr>
          <w:rFonts w:ascii="Arial" w:hAnsi="Arial" w:cs="Arial"/>
          <w:spacing w:val="-5"/>
          <w:sz w:val="22"/>
        </w:rPr>
        <w:t>From then on, lifetime of projects is assumed to be standard and equal to</w:t>
      </w:r>
      <w:r w:rsidRPr="00FA3973">
        <w:rPr>
          <w:rFonts w:ascii="Arial" w:hAnsi="Arial" w:cs="Arial"/>
          <w:spacing w:val="-5"/>
          <w:sz w:val="22"/>
        </w:rPr>
        <w:t xml:space="preserve"> </w:t>
      </w:r>
      <w:r w:rsidR="007C6E7F" w:rsidRPr="00FA3973">
        <w:rPr>
          <w:rFonts w:ascii="Arial" w:hAnsi="Arial" w:cs="Arial"/>
          <w:spacing w:val="-5"/>
          <w:sz w:val="22"/>
        </w:rPr>
        <w:t>20</w:t>
      </w:r>
      <w:r w:rsidR="00F844CD" w:rsidRPr="00FA3973">
        <w:rPr>
          <w:rFonts w:ascii="Arial" w:hAnsi="Arial" w:cs="Arial"/>
          <w:spacing w:val="-5"/>
          <w:sz w:val="22"/>
        </w:rPr>
        <w:t xml:space="preserve"> years</w:t>
      </w:r>
      <w:r w:rsidR="007C6E7F" w:rsidRPr="00FA3973">
        <w:rPr>
          <w:rFonts w:ascii="Arial" w:hAnsi="Arial" w:cs="Arial"/>
          <w:spacing w:val="-5"/>
          <w:sz w:val="22"/>
        </w:rPr>
        <w:t>.</w:t>
      </w:r>
      <w:bookmarkEnd w:id="9"/>
    </w:p>
    <w:p w:rsidR="00510A79" w:rsidRPr="00FA3973" w:rsidRDefault="00510A79" w:rsidP="00510A79">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Costs of the program are composed by the initial investment costs plus the operating and maintenance (O&amp;M) costs of the sub projects. Investment costs are accounted for entirely at the time of start of implementation of each project; the assumption is that these will cover the initial costs of starting up and deployment of the ARE plants/EE technologies. O&amp;M costs will be included yearly starting from the year in which each project begins operations (see ¶</w:t>
      </w:r>
      <w:r w:rsidRPr="00FA3973">
        <w:rPr>
          <w:rFonts w:ascii="Arial" w:hAnsi="Arial" w:cs="Arial"/>
          <w:sz w:val="22"/>
        </w:rPr>
        <w:fldChar w:fldCharType="begin"/>
      </w:r>
      <w:r w:rsidRPr="00FA3973">
        <w:rPr>
          <w:rFonts w:ascii="Arial" w:hAnsi="Arial" w:cs="Arial"/>
          <w:sz w:val="22"/>
        </w:rPr>
        <w:instrText xml:space="preserve"> REF _Ref460256736 \r \h </w:instrText>
      </w:r>
      <w:r w:rsidR="001016A1" w:rsidRPr="00FA3973">
        <w:rPr>
          <w:rFonts w:ascii="Arial" w:hAnsi="Arial" w:cs="Arial"/>
          <w:sz w:val="22"/>
        </w:rPr>
        <w:instrText xml:space="preserve"> \* MERGEFORMAT </w:instrText>
      </w:r>
      <w:r w:rsidRPr="00FA3973">
        <w:rPr>
          <w:rFonts w:ascii="Arial" w:hAnsi="Arial" w:cs="Arial"/>
          <w:sz w:val="22"/>
        </w:rPr>
      </w:r>
      <w:r w:rsidRPr="00FA3973">
        <w:rPr>
          <w:rFonts w:ascii="Arial" w:hAnsi="Arial" w:cs="Arial"/>
          <w:sz w:val="22"/>
        </w:rPr>
        <w:fldChar w:fldCharType="separate"/>
      </w:r>
      <w:r w:rsidR="001067BE" w:rsidRPr="00FA3973">
        <w:rPr>
          <w:rFonts w:ascii="Arial" w:hAnsi="Arial" w:cs="Arial"/>
          <w:sz w:val="22"/>
        </w:rPr>
        <w:t>2.12</w:t>
      </w:r>
      <w:r w:rsidRPr="00FA3973">
        <w:rPr>
          <w:rFonts w:ascii="Arial" w:hAnsi="Arial" w:cs="Arial"/>
          <w:sz w:val="22"/>
        </w:rPr>
        <w:fldChar w:fldCharType="end"/>
      </w:r>
      <w:r w:rsidRPr="00FA3973">
        <w:rPr>
          <w:rFonts w:ascii="Arial" w:hAnsi="Arial" w:cs="Arial"/>
          <w:sz w:val="22"/>
        </w:rPr>
        <w:t>).</w:t>
      </w:r>
    </w:p>
    <w:p w:rsidR="00510A79" w:rsidRPr="00FA3973" w:rsidRDefault="00510A79" w:rsidP="00ED309F">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The abovementioned investment costs are assumed to be fully covered by financing from the program (including BNDES counterpart) plus the private funding complementing this financing (equity and/or additional financing from sources other than BNDES). </w:t>
      </w:r>
    </w:p>
    <w:p w:rsidR="00DB2C68" w:rsidRPr="00FA3973" w:rsidRDefault="00510A79" w:rsidP="003356A2">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lastRenderedPageBreak/>
        <w:t>E</w:t>
      </w:r>
      <w:r w:rsidR="00994AF4" w:rsidRPr="00FA3973">
        <w:rPr>
          <w:rFonts w:ascii="Arial" w:hAnsi="Arial" w:cs="Arial"/>
          <w:sz w:val="22"/>
        </w:rPr>
        <w:t xml:space="preserve">conomic </w:t>
      </w:r>
      <w:r w:rsidR="00DB2C68" w:rsidRPr="00FA3973">
        <w:rPr>
          <w:rFonts w:ascii="Arial" w:hAnsi="Arial" w:cs="Arial"/>
          <w:sz w:val="22"/>
        </w:rPr>
        <w:t>benefits</w:t>
      </w:r>
      <w:r w:rsidR="00EB467C" w:rsidRPr="00FA3973">
        <w:rPr>
          <w:rFonts w:ascii="Arial" w:hAnsi="Arial" w:cs="Arial"/>
          <w:sz w:val="22"/>
        </w:rPr>
        <w:t>, as aforementioned,</w:t>
      </w:r>
      <w:r w:rsidR="00DB2C68" w:rsidRPr="00FA3973">
        <w:rPr>
          <w:rFonts w:ascii="Arial" w:hAnsi="Arial" w:cs="Arial"/>
          <w:sz w:val="22"/>
        </w:rPr>
        <w:t xml:space="preserve"> include </w:t>
      </w:r>
      <w:r w:rsidR="00C13912" w:rsidRPr="00FA3973">
        <w:rPr>
          <w:rFonts w:ascii="Arial" w:hAnsi="Arial" w:cs="Arial"/>
          <w:sz w:val="22"/>
        </w:rPr>
        <w:t>three</w:t>
      </w:r>
      <w:r w:rsidR="00DB2C68" w:rsidRPr="00FA3973">
        <w:rPr>
          <w:rFonts w:ascii="Arial" w:hAnsi="Arial" w:cs="Arial"/>
          <w:sz w:val="22"/>
        </w:rPr>
        <w:t xml:space="preserve"> main elements: </w:t>
      </w:r>
      <w:r w:rsidR="008B116F" w:rsidRPr="00FA3973">
        <w:rPr>
          <w:rFonts w:ascii="Arial" w:hAnsi="Arial" w:cs="Arial"/>
          <w:sz w:val="22"/>
        </w:rPr>
        <w:t xml:space="preserve">(i) </w:t>
      </w:r>
      <w:r w:rsidR="00994AF4" w:rsidRPr="00FA3973">
        <w:rPr>
          <w:rFonts w:ascii="Arial" w:hAnsi="Arial" w:cs="Arial"/>
          <w:sz w:val="22"/>
        </w:rPr>
        <w:t xml:space="preserve">reduced energy </w:t>
      </w:r>
      <w:r w:rsidR="00EB467C" w:rsidRPr="00FA3973">
        <w:rPr>
          <w:rFonts w:ascii="Arial" w:hAnsi="Arial" w:cs="Arial"/>
          <w:sz w:val="22"/>
        </w:rPr>
        <w:t xml:space="preserve">supply </w:t>
      </w:r>
      <w:r w:rsidR="00994AF4" w:rsidRPr="00FA3973">
        <w:rPr>
          <w:rFonts w:ascii="Arial" w:hAnsi="Arial" w:cs="Arial"/>
          <w:sz w:val="22"/>
        </w:rPr>
        <w:t>costs</w:t>
      </w:r>
      <w:r w:rsidR="00DB2C68" w:rsidRPr="00FA3973">
        <w:rPr>
          <w:rFonts w:ascii="Arial" w:hAnsi="Arial" w:cs="Arial"/>
          <w:sz w:val="22"/>
        </w:rPr>
        <w:t xml:space="preserve"> by new </w:t>
      </w:r>
      <w:r w:rsidR="00C13912" w:rsidRPr="00FA3973">
        <w:rPr>
          <w:rFonts w:ascii="Arial" w:hAnsi="Arial" w:cs="Arial"/>
          <w:sz w:val="22"/>
        </w:rPr>
        <w:t>ARE</w:t>
      </w:r>
      <w:r w:rsidR="00DB2C68" w:rsidRPr="00FA3973">
        <w:rPr>
          <w:rFonts w:ascii="Arial" w:hAnsi="Arial" w:cs="Arial"/>
          <w:sz w:val="22"/>
        </w:rPr>
        <w:t xml:space="preserve"> </w:t>
      </w:r>
      <w:r w:rsidR="00EB467C" w:rsidRPr="00FA3973">
        <w:rPr>
          <w:rFonts w:ascii="Arial" w:hAnsi="Arial" w:cs="Arial"/>
          <w:sz w:val="22"/>
        </w:rPr>
        <w:t>projects</w:t>
      </w:r>
      <w:r w:rsidR="001016A1" w:rsidRPr="00FA3973">
        <w:rPr>
          <w:rFonts w:ascii="Arial" w:hAnsi="Arial" w:cs="Arial"/>
          <w:sz w:val="22"/>
        </w:rPr>
        <w:t>;</w:t>
      </w:r>
      <w:r w:rsidR="00C13912" w:rsidRPr="00FA3973">
        <w:rPr>
          <w:rFonts w:ascii="Arial" w:hAnsi="Arial" w:cs="Arial"/>
          <w:sz w:val="22"/>
        </w:rPr>
        <w:t xml:space="preserve"> </w:t>
      </w:r>
      <w:r w:rsidR="008B116F" w:rsidRPr="00FA3973">
        <w:rPr>
          <w:rFonts w:ascii="Arial" w:hAnsi="Arial" w:cs="Arial"/>
          <w:sz w:val="22"/>
        </w:rPr>
        <w:t xml:space="preserve">(ii) </w:t>
      </w:r>
      <w:r w:rsidR="00CF55C5" w:rsidRPr="00FA3973">
        <w:rPr>
          <w:rFonts w:ascii="Arial" w:hAnsi="Arial" w:cs="Arial"/>
          <w:sz w:val="22"/>
        </w:rPr>
        <w:t xml:space="preserve">foregone </w:t>
      </w:r>
      <w:r w:rsidR="001C7206" w:rsidRPr="00FA3973">
        <w:rPr>
          <w:rFonts w:ascii="Arial" w:hAnsi="Arial" w:cs="Arial"/>
          <w:sz w:val="22"/>
        </w:rPr>
        <w:t>energy costs (energy savings) by EE</w:t>
      </w:r>
      <w:r w:rsidR="001016A1" w:rsidRPr="00FA3973">
        <w:rPr>
          <w:rFonts w:ascii="Arial" w:hAnsi="Arial" w:cs="Arial"/>
          <w:sz w:val="22"/>
        </w:rPr>
        <w:t>;</w:t>
      </w:r>
      <w:r w:rsidR="001C7206" w:rsidRPr="00FA3973">
        <w:rPr>
          <w:rFonts w:ascii="Arial" w:hAnsi="Arial" w:cs="Arial"/>
          <w:sz w:val="22"/>
        </w:rPr>
        <w:t xml:space="preserve"> and </w:t>
      </w:r>
      <w:r w:rsidR="008B116F" w:rsidRPr="00FA3973">
        <w:rPr>
          <w:rFonts w:ascii="Arial" w:hAnsi="Arial" w:cs="Arial"/>
          <w:sz w:val="22"/>
        </w:rPr>
        <w:t xml:space="preserve">(iii) </w:t>
      </w:r>
      <w:r w:rsidR="00DB2C68" w:rsidRPr="00FA3973">
        <w:rPr>
          <w:rFonts w:ascii="Arial" w:hAnsi="Arial" w:cs="Arial"/>
          <w:sz w:val="22"/>
        </w:rPr>
        <w:t xml:space="preserve">abated costs </w:t>
      </w:r>
      <w:r w:rsidR="00CF55C5" w:rsidRPr="00FA3973">
        <w:rPr>
          <w:rFonts w:ascii="Arial" w:hAnsi="Arial" w:cs="Arial"/>
          <w:sz w:val="22"/>
        </w:rPr>
        <w:t>derived</w:t>
      </w:r>
      <w:r w:rsidR="00DB2C68" w:rsidRPr="00FA3973">
        <w:rPr>
          <w:rFonts w:ascii="Arial" w:hAnsi="Arial" w:cs="Arial"/>
          <w:sz w:val="22"/>
        </w:rPr>
        <w:t xml:space="preserve"> from the difference between future</w:t>
      </w:r>
      <w:r w:rsidR="00C13912" w:rsidRPr="00FA3973">
        <w:rPr>
          <w:rFonts w:ascii="Arial" w:hAnsi="Arial" w:cs="Arial"/>
          <w:sz w:val="22"/>
        </w:rPr>
        <w:t xml:space="preserve"> GHG</w:t>
      </w:r>
      <w:r w:rsidR="00DB2C68" w:rsidRPr="00FA3973">
        <w:rPr>
          <w:rFonts w:ascii="Arial" w:hAnsi="Arial" w:cs="Arial"/>
          <w:sz w:val="22"/>
        </w:rPr>
        <w:t xml:space="preserve"> </w:t>
      </w:r>
      <w:r w:rsidR="00C13912" w:rsidRPr="00FA3973">
        <w:rPr>
          <w:rFonts w:ascii="Arial" w:hAnsi="Arial" w:cs="Arial"/>
          <w:sz w:val="22"/>
        </w:rPr>
        <w:t>emissions</w:t>
      </w:r>
      <w:r w:rsidR="00DB2C68" w:rsidRPr="00FA3973">
        <w:rPr>
          <w:rFonts w:ascii="Arial" w:hAnsi="Arial" w:cs="Arial"/>
          <w:sz w:val="22"/>
        </w:rPr>
        <w:t xml:space="preserve"> of a "no change" energy system and the future </w:t>
      </w:r>
      <w:r w:rsidR="008B116F" w:rsidRPr="00FA3973">
        <w:rPr>
          <w:rFonts w:ascii="Arial" w:hAnsi="Arial" w:cs="Arial"/>
          <w:sz w:val="22"/>
        </w:rPr>
        <w:t xml:space="preserve">emissions </w:t>
      </w:r>
      <w:r w:rsidR="00DB2C68" w:rsidRPr="00FA3973">
        <w:rPr>
          <w:rFonts w:ascii="Arial" w:hAnsi="Arial" w:cs="Arial"/>
          <w:sz w:val="22"/>
        </w:rPr>
        <w:t>of an energy system characterized by a</w:t>
      </w:r>
      <w:r w:rsidR="00C13912" w:rsidRPr="00FA3973">
        <w:rPr>
          <w:rFonts w:ascii="Arial" w:hAnsi="Arial" w:cs="Arial"/>
          <w:sz w:val="22"/>
        </w:rPr>
        <w:t>n</w:t>
      </w:r>
      <w:r w:rsidR="00DB2C68" w:rsidRPr="00FA3973">
        <w:rPr>
          <w:rFonts w:ascii="Arial" w:hAnsi="Arial" w:cs="Arial"/>
          <w:sz w:val="22"/>
        </w:rPr>
        <w:t xml:space="preserve"> expansion of ARE</w:t>
      </w:r>
      <w:r w:rsidR="00C13912" w:rsidRPr="00FA3973">
        <w:rPr>
          <w:rFonts w:ascii="Arial" w:hAnsi="Arial" w:cs="Arial"/>
          <w:sz w:val="22"/>
        </w:rPr>
        <w:t xml:space="preserve"> </w:t>
      </w:r>
      <w:r w:rsidR="001C7206" w:rsidRPr="00FA3973">
        <w:rPr>
          <w:rFonts w:ascii="Arial" w:hAnsi="Arial" w:cs="Arial"/>
          <w:sz w:val="22"/>
        </w:rPr>
        <w:t xml:space="preserve">and EE </w:t>
      </w:r>
      <w:r w:rsidR="00C13912" w:rsidRPr="00FA3973">
        <w:rPr>
          <w:rFonts w:ascii="Arial" w:hAnsi="Arial" w:cs="Arial"/>
          <w:sz w:val="22"/>
        </w:rPr>
        <w:t>systems</w:t>
      </w:r>
      <w:r w:rsidR="001C7206" w:rsidRPr="00FA3973">
        <w:rPr>
          <w:rFonts w:ascii="Arial" w:hAnsi="Arial" w:cs="Arial"/>
          <w:sz w:val="22"/>
        </w:rPr>
        <w:t xml:space="preserve"> financed by the program</w:t>
      </w:r>
      <w:r w:rsidR="00D65516" w:rsidRPr="00FA3973">
        <w:rPr>
          <w:rFonts w:ascii="Arial" w:hAnsi="Arial" w:cs="Arial"/>
          <w:sz w:val="22"/>
          <w:vertAlign w:val="superscript"/>
        </w:rPr>
        <w:footnoteReference w:id="15"/>
      </w:r>
      <w:r w:rsidR="00341033" w:rsidRPr="00FA3973">
        <w:rPr>
          <w:rFonts w:ascii="Arial" w:hAnsi="Arial" w:cs="Arial"/>
          <w:sz w:val="22"/>
        </w:rPr>
        <w:t xml:space="preserve"> </w:t>
      </w:r>
      <w:r w:rsidR="00DB2C68" w:rsidRPr="00FA3973">
        <w:rPr>
          <w:rFonts w:ascii="Arial" w:hAnsi="Arial" w:cs="Arial"/>
          <w:sz w:val="22"/>
        </w:rPr>
        <w:t>(see ¶</w:t>
      </w:r>
      <w:r w:rsidR="00DB2C68" w:rsidRPr="00FA3973">
        <w:rPr>
          <w:rFonts w:ascii="Arial" w:hAnsi="Arial" w:cs="Arial"/>
          <w:sz w:val="22"/>
        </w:rPr>
        <w:fldChar w:fldCharType="begin"/>
      </w:r>
      <w:r w:rsidR="00DB2C68" w:rsidRPr="00FA3973">
        <w:rPr>
          <w:rFonts w:ascii="Arial" w:hAnsi="Arial" w:cs="Arial"/>
          <w:sz w:val="22"/>
        </w:rPr>
        <w:instrText xml:space="preserve"> REF _Ref459974999 \r \h </w:instrText>
      </w:r>
      <w:r w:rsidR="001016A1" w:rsidRPr="00FA3973">
        <w:rPr>
          <w:rFonts w:ascii="Arial" w:hAnsi="Arial" w:cs="Arial"/>
          <w:sz w:val="22"/>
        </w:rPr>
        <w:instrText xml:space="preserve"> \* MERGEFORMAT </w:instrText>
      </w:r>
      <w:r w:rsidR="00DB2C68" w:rsidRPr="00FA3973">
        <w:rPr>
          <w:rFonts w:ascii="Arial" w:hAnsi="Arial" w:cs="Arial"/>
          <w:sz w:val="22"/>
        </w:rPr>
      </w:r>
      <w:r w:rsidR="00DB2C68" w:rsidRPr="00FA3973">
        <w:rPr>
          <w:rFonts w:ascii="Arial" w:hAnsi="Arial" w:cs="Arial"/>
          <w:sz w:val="22"/>
        </w:rPr>
        <w:fldChar w:fldCharType="separate"/>
      </w:r>
      <w:r w:rsidR="001067BE" w:rsidRPr="00FA3973">
        <w:rPr>
          <w:rFonts w:ascii="Arial" w:hAnsi="Arial" w:cs="Arial"/>
          <w:sz w:val="22"/>
        </w:rPr>
        <w:t>2.4</w:t>
      </w:r>
      <w:r w:rsidR="00DB2C68" w:rsidRPr="00FA3973">
        <w:rPr>
          <w:rFonts w:ascii="Arial" w:hAnsi="Arial" w:cs="Arial"/>
          <w:sz w:val="22"/>
        </w:rPr>
        <w:fldChar w:fldCharType="end"/>
      </w:r>
      <w:r w:rsidR="00DB2C68" w:rsidRPr="00FA3973">
        <w:rPr>
          <w:rFonts w:ascii="Arial" w:hAnsi="Arial" w:cs="Arial"/>
          <w:sz w:val="22"/>
        </w:rPr>
        <w:t>).</w:t>
      </w:r>
    </w:p>
    <w:p w:rsidR="00DB2C68" w:rsidRPr="00FA3973" w:rsidRDefault="00DB2C68" w:rsidP="002215C1">
      <w:pPr>
        <w:pStyle w:val="Paragraph"/>
        <w:tabs>
          <w:tab w:val="clear" w:pos="720"/>
          <w:tab w:val="num" w:pos="1800"/>
        </w:tabs>
        <w:spacing w:afterLines="80" w:after="192"/>
        <w:ind w:firstLine="0"/>
        <w:rPr>
          <w:rFonts w:ascii="Arial" w:hAnsi="Arial" w:cs="Arial"/>
          <w:b/>
          <w:sz w:val="20"/>
          <w:szCs w:val="24"/>
        </w:rPr>
      </w:pPr>
      <w:r w:rsidRPr="00FA3973">
        <w:rPr>
          <w:rFonts w:ascii="Arial" w:hAnsi="Arial" w:cs="Arial"/>
          <w:b/>
          <w:sz w:val="20"/>
          <w:szCs w:val="24"/>
        </w:rPr>
        <w:t>Economic benefits</w:t>
      </w:r>
      <w:r w:rsidR="00DE5F95" w:rsidRPr="00FA3973">
        <w:rPr>
          <w:rFonts w:ascii="Arial" w:hAnsi="Arial" w:cs="Arial"/>
          <w:b/>
          <w:sz w:val="20"/>
          <w:szCs w:val="24"/>
        </w:rPr>
        <w:t xml:space="preserve"> (USD)</w:t>
      </w:r>
      <w:r w:rsidRPr="00FA3973">
        <w:rPr>
          <w:rFonts w:ascii="Arial" w:hAnsi="Arial" w:cs="Arial"/>
          <w:b/>
          <w:sz w:val="20"/>
          <w:szCs w:val="24"/>
        </w:rPr>
        <w:t xml:space="preserve"> = </w:t>
      </w:r>
      <w:r w:rsidR="00CF55C5" w:rsidRPr="00FA3973">
        <w:rPr>
          <w:rFonts w:ascii="Arial" w:hAnsi="Arial" w:cs="Arial"/>
          <w:b/>
          <w:sz w:val="20"/>
          <w:szCs w:val="24"/>
        </w:rPr>
        <w:t>Foregone e</w:t>
      </w:r>
      <w:r w:rsidR="00BB7D5F" w:rsidRPr="00FA3973">
        <w:rPr>
          <w:rFonts w:ascii="Arial" w:hAnsi="Arial" w:cs="Arial"/>
          <w:b/>
          <w:sz w:val="20"/>
          <w:szCs w:val="24"/>
        </w:rPr>
        <w:t xml:space="preserve">nergy </w:t>
      </w:r>
      <w:r w:rsidR="00EB467C" w:rsidRPr="00FA3973">
        <w:rPr>
          <w:rFonts w:ascii="Arial" w:hAnsi="Arial" w:cs="Arial"/>
          <w:b/>
          <w:sz w:val="20"/>
          <w:szCs w:val="24"/>
        </w:rPr>
        <w:t xml:space="preserve">supply </w:t>
      </w:r>
      <w:r w:rsidR="00BB7D5F" w:rsidRPr="00FA3973">
        <w:rPr>
          <w:rFonts w:ascii="Arial" w:hAnsi="Arial" w:cs="Arial"/>
          <w:b/>
          <w:sz w:val="20"/>
          <w:szCs w:val="24"/>
        </w:rPr>
        <w:t>costs from</w:t>
      </w:r>
      <w:r w:rsidRPr="00FA3973">
        <w:rPr>
          <w:rFonts w:ascii="Arial" w:hAnsi="Arial" w:cs="Arial"/>
          <w:b/>
          <w:sz w:val="20"/>
          <w:szCs w:val="24"/>
        </w:rPr>
        <w:t xml:space="preserve"> </w:t>
      </w:r>
      <w:r w:rsidR="00DE5F95" w:rsidRPr="00FA3973">
        <w:rPr>
          <w:rFonts w:ascii="Arial" w:hAnsi="Arial" w:cs="Arial"/>
          <w:b/>
          <w:sz w:val="20"/>
          <w:szCs w:val="24"/>
        </w:rPr>
        <w:t>ARE</w:t>
      </w:r>
      <w:r w:rsidRPr="00FA3973">
        <w:rPr>
          <w:rFonts w:ascii="Arial" w:hAnsi="Arial" w:cs="Arial"/>
          <w:b/>
          <w:sz w:val="20"/>
          <w:szCs w:val="24"/>
        </w:rPr>
        <w:t xml:space="preserve"> </w:t>
      </w:r>
      <w:r w:rsidR="00DE5F95" w:rsidRPr="00FA3973">
        <w:rPr>
          <w:rFonts w:ascii="Arial" w:hAnsi="Arial" w:cs="Arial"/>
          <w:b/>
          <w:sz w:val="20"/>
          <w:szCs w:val="24"/>
        </w:rPr>
        <w:t xml:space="preserve">+ </w:t>
      </w:r>
      <w:r w:rsidR="00D65516" w:rsidRPr="00FA3973">
        <w:rPr>
          <w:rFonts w:ascii="Arial" w:hAnsi="Arial" w:cs="Arial"/>
          <w:b/>
          <w:sz w:val="20"/>
          <w:szCs w:val="24"/>
        </w:rPr>
        <w:t>Savings from EE</w:t>
      </w:r>
      <w:r w:rsidR="001C7206" w:rsidRPr="00FA3973">
        <w:rPr>
          <w:rFonts w:ascii="Arial" w:hAnsi="Arial" w:cs="Arial"/>
          <w:b/>
          <w:sz w:val="20"/>
          <w:szCs w:val="24"/>
        </w:rPr>
        <w:t xml:space="preserve"> + Abated </w:t>
      </w:r>
      <w:r w:rsidR="008B116F" w:rsidRPr="00FA3973">
        <w:rPr>
          <w:rFonts w:ascii="Arial" w:hAnsi="Arial" w:cs="Arial"/>
          <w:b/>
          <w:sz w:val="20"/>
          <w:szCs w:val="24"/>
        </w:rPr>
        <w:t xml:space="preserve">emissions </w:t>
      </w:r>
    </w:p>
    <w:p w:rsidR="0029748A" w:rsidRPr="00FA3973" w:rsidRDefault="00CA0F4E" w:rsidP="003356A2">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The</w:t>
      </w:r>
      <w:r w:rsidR="0025635D" w:rsidRPr="00FA3973">
        <w:rPr>
          <w:rFonts w:ascii="Arial" w:hAnsi="Arial" w:cs="Arial"/>
          <w:sz w:val="22"/>
        </w:rPr>
        <w:t xml:space="preserve"> first measure of benefits is obtained </w:t>
      </w:r>
      <w:r w:rsidR="008B116F" w:rsidRPr="00FA3973">
        <w:rPr>
          <w:rFonts w:ascii="Arial" w:hAnsi="Arial" w:cs="Arial"/>
          <w:sz w:val="22"/>
        </w:rPr>
        <w:t xml:space="preserve">considering the difference between the </w:t>
      </w:r>
      <w:r w:rsidR="00EB467C" w:rsidRPr="00FA3973">
        <w:rPr>
          <w:rFonts w:ascii="Arial" w:hAnsi="Arial" w:cs="Arial"/>
          <w:sz w:val="22"/>
        </w:rPr>
        <w:t xml:space="preserve">energy supply </w:t>
      </w:r>
      <w:r w:rsidR="008B116F" w:rsidRPr="00FA3973">
        <w:rPr>
          <w:rFonts w:ascii="Arial" w:hAnsi="Arial" w:cs="Arial"/>
          <w:sz w:val="22"/>
        </w:rPr>
        <w:t xml:space="preserve">costs for providing ARE projects (investment and O&amp;M costs), versus the cost of providing this </w:t>
      </w:r>
      <w:r w:rsidR="00CF55C5" w:rsidRPr="00FA3973">
        <w:rPr>
          <w:rFonts w:ascii="Arial" w:hAnsi="Arial" w:cs="Arial"/>
          <w:sz w:val="22"/>
        </w:rPr>
        <w:t xml:space="preserve">same </w:t>
      </w:r>
      <w:r w:rsidR="008B116F" w:rsidRPr="00FA3973">
        <w:rPr>
          <w:rFonts w:ascii="Arial" w:hAnsi="Arial" w:cs="Arial"/>
          <w:sz w:val="22"/>
        </w:rPr>
        <w:t xml:space="preserve">amount of energy </w:t>
      </w:r>
      <w:r w:rsidR="00807924">
        <w:rPr>
          <w:rFonts w:ascii="Arial" w:hAnsi="Arial" w:cs="Arial"/>
          <w:sz w:val="22"/>
        </w:rPr>
        <w:t>at the</w:t>
      </w:r>
      <w:r w:rsidR="008B116F" w:rsidRPr="00FA3973">
        <w:rPr>
          <w:rFonts w:ascii="Arial" w:hAnsi="Arial" w:cs="Arial"/>
          <w:sz w:val="22"/>
        </w:rPr>
        <w:t xml:space="preserve"> electricity systems’ marginal cost). </w:t>
      </w:r>
      <w:r w:rsidR="00355E9F" w:rsidRPr="00FA3973">
        <w:rPr>
          <w:rFonts w:ascii="Arial" w:hAnsi="Arial" w:cs="Arial"/>
          <w:sz w:val="22"/>
        </w:rPr>
        <w:t>T</w:t>
      </w:r>
      <w:r w:rsidR="008B116F" w:rsidRPr="00FA3973">
        <w:rPr>
          <w:rFonts w:ascii="Arial" w:hAnsi="Arial" w:cs="Arial"/>
          <w:sz w:val="22"/>
        </w:rPr>
        <w:t>he analysis is performed for</w:t>
      </w:r>
      <w:r w:rsidR="00220B2F" w:rsidRPr="00FA3973">
        <w:rPr>
          <w:rFonts w:ascii="Arial" w:hAnsi="Arial" w:cs="Arial"/>
          <w:sz w:val="22"/>
        </w:rPr>
        <w:t xml:space="preserve"> each technology </w:t>
      </w:r>
      <w:r w:rsidR="0025635D" w:rsidRPr="00FA3973">
        <w:rPr>
          <w:rFonts w:ascii="Arial" w:hAnsi="Arial" w:cs="Arial"/>
          <w:sz w:val="22"/>
        </w:rPr>
        <w:t>over a period of 2</w:t>
      </w:r>
      <w:r w:rsidR="00D65516" w:rsidRPr="00FA3973">
        <w:rPr>
          <w:rFonts w:ascii="Arial" w:hAnsi="Arial" w:cs="Arial"/>
          <w:sz w:val="22"/>
        </w:rPr>
        <w:t>0</w:t>
      </w:r>
      <w:r w:rsidR="001016A1" w:rsidRPr="00FA3973">
        <w:rPr>
          <w:rFonts w:ascii="Arial" w:hAnsi="Arial" w:cs="Arial"/>
          <w:sz w:val="22"/>
        </w:rPr>
        <w:t> </w:t>
      </w:r>
      <w:r w:rsidR="0025635D" w:rsidRPr="00FA3973">
        <w:rPr>
          <w:rFonts w:ascii="Arial" w:hAnsi="Arial" w:cs="Arial"/>
          <w:sz w:val="22"/>
        </w:rPr>
        <w:t>years, minimum expected lifetime of the projects</w:t>
      </w:r>
      <w:r w:rsidR="008D23FA" w:rsidRPr="00FA3973">
        <w:rPr>
          <w:rFonts w:ascii="Arial" w:hAnsi="Arial" w:cs="Arial"/>
          <w:sz w:val="22"/>
        </w:rPr>
        <w:t xml:space="preserve"> financed</w:t>
      </w:r>
      <w:r w:rsidR="0029748A" w:rsidRPr="00FA3973">
        <w:rPr>
          <w:rFonts w:ascii="Arial" w:hAnsi="Arial" w:cs="Arial"/>
          <w:sz w:val="22"/>
        </w:rPr>
        <w:t>.</w:t>
      </w:r>
    </w:p>
    <w:p w:rsidR="001067BE" w:rsidRPr="00FA3973" w:rsidRDefault="001067BE" w:rsidP="0022286B">
      <w:pPr>
        <w:pStyle w:val="Paragraph"/>
        <w:tabs>
          <w:tab w:val="clear" w:pos="720"/>
          <w:tab w:val="num" w:pos="1800"/>
        </w:tabs>
        <w:spacing w:before="60" w:after="40"/>
        <w:ind w:firstLine="0"/>
        <w:rPr>
          <w:rFonts w:ascii="Arial" w:hAnsi="Arial" w:cs="Arial"/>
          <w:sz w:val="20"/>
          <w:szCs w:val="24"/>
        </w:rPr>
      </w:pPr>
      <w:r w:rsidRPr="00FA3973">
        <w:rPr>
          <w:rFonts w:ascii="Arial" w:hAnsi="Arial" w:cs="Arial"/>
          <w:sz w:val="20"/>
          <w:szCs w:val="24"/>
        </w:rPr>
        <w:t xml:space="preserve">Foregone energy </w:t>
      </w:r>
      <w:r w:rsidR="00EB467C" w:rsidRPr="00FA3973">
        <w:rPr>
          <w:rFonts w:ascii="Arial" w:hAnsi="Arial" w:cs="Arial"/>
          <w:sz w:val="20"/>
          <w:szCs w:val="24"/>
        </w:rPr>
        <w:t xml:space="preserve">supply </w:t>
      </w:r>
      <w:r w:rsidRPr="00FA3973">
        <w:rPr>
          <w:rFonts w:ascii="Arial" w:hAnsi="Arial" w:cs="Arial"/>
          <w:sz w:val="20"/>
          <w:szCs w:val="24"/>
        </w:rPr>
        <w:t>costs fro</w:t>
      </w:r>
      <w:r w:rsidR="00EB467C" w:rsidRPr="00FA3973">
        <w:rPr>
          <w:rFonts w:ascii="Arial" w:hAnsi="Arial" w:cs="Arial"/>
          <w:sz w:val="20"/>
          <w:szCs w:val="24"/>
        </w:rPr>
        <w:t>m</w:t>
      </w:r>
      <w:r w:rsidRPr="00FA3973">
        <w:rPr>
          <w:rFonts w:ascii="Arial" w:hAnsi="Arial" w:cs="Arial"/>
          <w:sz w:val="20"/>
          <w:szCs w:val="24"/>
        </w:rPr>
        <w:t xml:space="preserve"> ARE = Cost of elect prod from ARE – Cost of elect prod at </w:t>
      </w:r>
      <w:r w:rsidR="00807924">
        <w:rPr>
          <w:rFonts w:ascii="Arial" w:hAnsi="Arial" w:cs="Arial"/>
          <w:sz w:val="20"/>
          <w:szCs w:val="24"/>
        </w:rPr>
        <w:t>average marginal cost</w:t>
      </w:r>
    </w:p>
    <w:p w:rsidR="001067BE" w:rsidRPr="00FA3973" w:rsidRDefault="001067BE" w:rsidP="0022286B">
      <w:pPr>
        <w:pStyle w:val="Paragraph"/>
        <w:tabs>
          <w:tab w:val="clear" w:pos="720"/>
          <w:tab w:val="num" w:pos="1800"/>
        </w:tabs>
        <w:spacing w:before="60" w:after="40"/>
        <w:ind w:firstLine="0"/>
        <w:rPr>
          <w:rFonts w:ascii="Arial" w:hAnsi="Arial" w:cs="Arial"/>
          <w:sz w:val="20"/>
          <w:szCs w:val="24"/>
        </w:rPr>
      </w:pPr>
      <w:r w:rsidRPr="00FA3973">
        <w:rPr>
          <w:rFonts w:ascii="Arial" w:hAnsi="Arial" w:cs="Arial"/>
          <w:sz w:val="20"/>
          <w:szCs w:val="24"/>
        </w:rPr>
        <w:t xml:space="preserve">Cost of electricity </w:t>
      </w:r>
      <w:r w:rsidR="00EB467C" w:rsidRPr="00FA3973">
        <w:rPr>
          <w:rFonts w:ascii="Arial" w:hAnsi="Arial" w:cs="Arial"/>
          <w:sz w:val="20"/>
          <w:szCs w:val="24"/>
        </w:rPr>
        <w:t xml:space="preserve">supply </w:t>
      </w:r>
      <w:r w:rsidRPr="00FA3973">
        <w:rPr>
          <w:rFonts w:ascii="Arial" w:hAnsi="Arial" w:cs="Arial"/>
          <w:sz w:val="20"/>
          <w:szCs w:val="24"/>
        </w:rPr>
        <w:t>from ARE = Investment costs ARE + O&amp;M costs ARE</w:t>
      </w:r>
    </w:p>
    <w:p w:rsidR="003325C4" w:rsidRPr="00FA3973" w:rsidRDefault="008B116F" w:rsidP="0022286B">
      <w:pPr>
        <w:pStyle w:val="Paragraph"/>
        <w:tabs>
          <w:tab w:val="clear" w:pos="720"/>
          <w:tab w:val="num" w:pos="1800"/>
        </w:tabs>
        <w:spacing w:before="60" w:after="40"/>
        <w:ind w:firstLine="0"/>
        <w:rPr>
          <w:rFonts w:ascii="Arial" w:hAnsi="Arial" w:cs="Arial"/>
          <w:sz w:val="20"/>
          <w:szCs w:val="20"/>
        </w:rPr>
      </w:pPr>
      <w:r w:rsidRPr="00FA3973">
        <w:rPr>
          <w:rFonts w:ascii="Arial" w:hAnsi="Arial" w:cs="Arial"/>
          <w:sz w:val="20"/>
          <w:szCs w:val="24"/>
        </w:rPr>
        <w:t xml:space="preserve">Cost of </w:t>
      </w:r>
      <w:r w:rsidR="00CF55C5" w:rsidRPr="00FA3973">
        <w:rPr>
          <w:rFonts w:ascii="Arial" w:hAnsi="Arial" w:cs="Arial"/>
          <w:sz w:val="20"/>
          <w:szCs w:val="24"/>
        </w:rPr>
        <w:t>e</w:t>
      </w:r>
      <w:r w:rsidRPr="00FA3973">
        <w:rPr>
          <w:rFonts w:ascii="Arial" w:hAnsi="Arial" w:cs="Arial"/>
          <w:sz w:val="20"/>
          <w:szCs w:val="24"/>
        </w:rPr>
        <w:t xml:space="preserve">lectricity </w:t>
      </w:r>
      <w:r w:rsidR="00EB467C" w:rsidRPr="00FA3973">
        <w:rPr>
          <w:rFonts w:ascii="Arial" w:hAnsi="Arial" w:cs="Arial"/>
          <w:sz w:val="20"/>
          <w:szCs w:val="24"/>
        </w:rPr>
        <w:t xml:space="preserve">supply </w:t>
      </w:r>
      <w:r w:rsidRPr="00FA3973">
        <w:rPr>
          <w:rFonts w:ascii="Arial" w:hAnsi="Arial" w:cs="Arial"/>
          <w:sz w:val="20"/>
          <w:szCs w:val="24"/>
        </w:rPr>
        <w:t xml:space="preserve">at </w:t>
      </w:r>
      <w:r w:rsidR="00807924">
        <w:rPr>
          <w:rFonts w:ascii="Arial" w:hAnsi="Arial" w:cs="Arial"/>
          <w:sz w:val="20"/>
          <w:szCs w:val="24"/>
        </w:rPr>
        <w:t>average marginal cost</w:t>
      </w:r>
      <w:r w:rsidR="003325C4" w:rsidRPr="00FA3973">
        <w:rPr>
          <w:rFonts w:ascii="Arial" w:hAnsi="Arial" w:cs="Arial"/>
          <w:sz w:val="20"/>
          <w:szCs w:val="24"/>
        </w:rPr>
        <w:t xml:space="preserve"> =</w:t>
      </w:r>
      <w:r w:rsidR="003325C4" w:rsidRPr="00FA3973">
        <w:rPr>
          <w:rFonts w:ascii="Arial" w:hAnsi="Arial" w:cs="Arial"/>
          <w:b/>
          <w:sz w:val="20"/>
          <w:szCs w:val="24"/>
        </w:rPr>
        <w:t xml:space="preserve"> </w:t>
      </w:r>
      <w:r w:rsidR="00220B2F" w:rsidRPr="00FA3973">
        <w:rPr>
          <w:rFonts w:ascii="Arial" w:hAnsi="Arial" w:cs="Arial"/>
          <w:sz w:val="20"/>
          <w:szCs w:val="24"/>
        </w:rPr>
        <w:t>Electricity prod</w:t>
      </w:r>
      <w:r w:rsidR="003325C4" w:rsidRPr="00FA3973">
        <w:rPr>
          <w:rFonts w:ascii="Arial" w:hAnsi="Arial" w:cs="Arial"/>
          <w:sz w:val="20"/>
          <w:szCs w:val="24"/>
        </w:rPr>
        <w:t xml:space="preserve"> (</w:t>
      </w:r>
      <w:r w:rsidR="00D47495" w:rsidRPr="00FA3973">
        <w:rPr>
          <w:rFonts w:ascii="Arial" w:hAnsi="Arial" w:cs="Arial"/>
          <w:sz w:val="20"/>
          <w:szCs w:val="24"/>
        </w:rPr>
        <w:t>MWh</w:t>
      </w:r>
      <w:r w:rsidR="003325C4" w:rsidRPr="00FA3973">
        <w:rPr>
          <w:rFonts w:ascii="Arial" w:hAnsi="Arial" w:cs="Arial"/>
          <w:sz w:val="20"/>
          <w:szCs w:val="24"/>
        </w:rPr>
        <w:t xml:space="preserve">) x </w:t>
      </w:r>
      <w:r w:rsidR="0036408E">
        <w:rPr>
          <w:rFonts w:ascii="Arial" w:hAnsi="Arial" w:cs="Arial"/>
          <w:sz w:val="20"/>
          <w:szCs w:val="24"/>
        </w:rPr>
        <w:t xml:space="preserve">average </w:t>
      </w:r>
      <w:r w:rsidR="00807924">
        <w:rPr>
          <w:rFonts w:ascii="Arial" w:hAnsi="Arial" w:cs="Arial"/>
          <w:sz w:val="20"/>
          <w:szCs w:val="24"/>
        </w:rPr>
        <w:t>marginal cost</w:t>
      </w:r>
      <w:r w:rsidR="003325C4" w:rsidRPr="00FA3973">
        <w:rPr>
          <w:rFonts w:ascii="Arial" w:hAnsi="Arial" w:cs="Arial"/>
          <w:sz w:val="20"/>
          <w:szCs w:val="24"/>
        </w:rPr>
        <w:t xml:space="preserve"> (USD</w:t>
      </w:r>
      <w:r w:rsidR="003325C4" w:rsidRPr="00FA3973">
        <w:rPr>
          <w:rFonts w:ascii="Arial" w:hAnsi="Arial" w:cs="Arial"/>
          <w:sz w:val="20"/>
          <w:szCs w:val="20"/>
        </w:rPr>
        <w:t>/</w:t>
      </w:r>
      <w:r w:rsidR="00D47495" w:rsidRPr="00FA3973">
        <w:rPr>
          <w:rFonts w:ascii="Arial" w:hAnsi="Arial" w:cs="Arial"/>
          <w:sz w:val="20"/>
          <w:szCs w:val="20"/>
        </w:rPr>
        <w:t>MWh</w:t>
      </w:r>
      <w:r w:rsidR="003325C4" w:rsidRPr="00FA3973">
        <w:rPr>
          <w:rFonts w:ascii="Arial" w:hAnsi="Arial" w:cs="Arial"/>
          <w:sz w:val="20"/>
          <w:szCs w:val="20"/>
        </w:rPr>
        <w:t>)</w:t>
      </w:r>
    </w:p>
    <w:p w:rsidR="001067BE" w:rsidRPr="00FA3973" w:rsidRDefault="001067BE" w:rsidP="0022286B">
      <w:pPr>
        <w:pStyle w:val="Paragraph"/>
        <w:tabs>
          <w:tab w:val="clear" w:pos="720"/>
          <w:tab w:val="num" w:pos="1800"/>
        </w:tabs>
        <w:spacing w:before="60" w:after="40"/>
        <w:ind w:firstLine="0"/>
        <w:rPr>
          <w:rFonts w:ascii="Arial" w:hAnsi="Arial" w:cs="Arial"/>
          <w:sz w:val="20"/>
          <w:szCs w:val="20"/>
        </w:rPr>
      </w:pPr>
      <w:r w:rsidRPr="00FA3973">
        <w:rPr>
          <w:rFonts w:ascii="Arial" w:hAnsi="Arial" w:cs="Arial"/>
          <w:sz w:val="20"/>
          <w:szCs w:val="20"/>
        </w:rPr>
        <w:t>Electricity prod (MWh) = Installed capacity (MW) x 24 x 365 x production factor</w:t>
      </w:r>
    </w:p>
    <w:p w:rsidR="00DE5F95" w:rsidRPr="00FA3973" w:rsidRDefault="00DE5F95" w:rsidP="00147D43">
      <w:pPr>
        <w:pStyle w:val="Paragraph"/>
        <w:numPr>
          <w:ilvl w:val="1"/>
          <w:numId w:val="15"/>
        </w:numPr>
        <w:tabs>
          <w:tab w:val="num" w:pos="720"/>
        </w:tabs>
        <w:spacing w:afterLines="80" w:after="192"/>
        <w:ind w:left="720" w:hanging="720"/>
        <w:rPr>
          <w:rFonts w:ascii="Arial" w:hAnsi="Arial" w:cs="Arial"/>
          <w:spacing w:val="-4"/>
          <w:sz w:val="22"/>
        </w:rPr>
      </w:pPr>
      <w:r w:rsidRPr="00FA3973">
        <w:rPr>
          <w:rFonts w:ascii="Arial" w:hAnsi="Arial" w:cs="Arial"/>
          <w:spacing w:val="-4"/>
          <w:sz w:val="22"/>
        </w:rPr>
        <w:t xml:space="preserve">Benefits from </w:t>
      </w:r>
      <w:r w:rsidR="008B116F" w:rsidRPr="00FA3973">
        <w:rPr>
          <w:rFonts w:ascii="Arial" w:hAnsi="Arial" w:cs="Arial"/>
          <w:spacing w:val="-4"/>
          <w:sz w:val="22"/>
        </w:rPr>
        <w:t>energy efficiency (</w:t>
      </w:r>
      <w:r w:rsidRPr="00FA3973">
        <w:rPr>
          <w:rFonts w:ascii="Arial" w:hAnsi="Arial" w:cs="Arial"/>
          <w:spacing w:val="-4"/>
          <w:sz w:val="22"/>
        </w:rPr>
        <w:t>cogeneration</w:t>
      </w:r>
      <w:r w:rsidR="008B116F" w:rsidRPr="00FA3973">
        <w:rPr>
          <w:rFonts w:ascii="Arial" w:hAnsi="Arial" w:cs="Arial"/>
          <w:spacing w:val="-4"/>
          <w:sz w:val="22"/>
        </w:rPr>
        <w:t>)</w:t>
      </w:r>
      <w:r w:rsidRPr="00FA3973">
        <w:rPr>
          <w:rFonts w:ascii="Arial" w:hAnsi="Arial" w:cs="Arial"/>
          <w:spacing w:val="-4"/>
          <w:sz w:val="22"/>
        </w:rPr>
        <w:t xml:space="preserve"> are calculated by estimating the </w:t>
      </w:r>
      <w:r w:rsidR="00C75B58" w:rsidRPr="00FA3973">
        <w:rPr>
          <w:rFonts w:ascii="Arial" w:hAnsi="Arial" w:cs="Arial"/>
          <w:spacing w:val="-4"/>
          <w:sz w:val="22"/>
        </w:rPr>
        <w:t xml:space="preserve">average </w:t>
      </w:r>
      <w:r w:rsidRPr="00FA3973">
        <w:rPr>
          <w:rFonts w:ascii="Arial" w:hAnsi="Arial" w:cs="Arial"/>
          <w:spacing w:val="-4"/>
          <w:sz w:val="22"/>
        </w:rPr>
        <w:t xml:space="preserve">energy </w:t>
      </w:r>
      <w:r w:rsidR="00C75B58" w:rsidRPr="00FA3973">
        <w:rPr>
          <w:rFonts w:ascii="Arial" w:hAnsi="Arial" w:cs="Arial"/>
          <w:spacing w:val="-4"/>
          <w:sz w:val="22"/>
        </w:rPr>
        <w:t>savings</w:t>
      </w:r>
      <w:r w:rsidRPr="00FA3973">
        <w:rPr>
          <w:rFonts w:ascii="Arial" w:hAnsi="Arial" w:cs="Arial"/>
          <w:spacing w:val="-4"/>
          <w:sz w:val="22"/>
        </w:rPr>
        <w:t xml:space="preserve"> </w:t>
      </w:r>
      <w:r w:rsidR="00C75B58" w:rsidRPr="00FA3973">
        <w:rPr>
          <w:rFonts w:ascii="Arial" w:hAnsi="Arial" w:cs="Arial"/>
          <w:spacing w:val="-4"/>
          <w:sz w:val="22"/>
        </w:rPr>
        <w:t xml:space="preserve">of beneficiaries </w:t>
      </w:r>
      <w:r w:rsidRPr="00FA3973">
        <w:rPr>
          <w:rFonts w:ascii="Arial" w:hAnsi="Arial" w:cs="Arial"/>
          <w:spacing w:val="-4"/>
          <w:sz w:val="22"/>
        </w:rPr>
        <w:t xml:space="preserve">and assessing the costs that will be avoided by covering these </w:t>
      </w:r>
      <w:r w:rsidR="00C75B58" w:rsidRPr="00FA3973">
        <w:rPr>
          <w:rFonts w:ascii="Arial" w:hAnsi="Arial" w:cs="Arial"/>
          <w:spacing w:val="-4"/>
          <w:sz w:val="22"/>
        </w:rPr>
        <w:t xml:space="preserve">energy </w:t>
      </w:r>
      <w:r w:rsidRPr="00FA3973">
        <w:rPr>
          <w:rFonts w:ascii="Arial" w:hAnsi="Arial" w:cs="Arial"/>
          <w:spacing w:val="-4"/>
          <w:sz w:val="22"/>
        </w:rPr>
        <w:t>needs with the new efficient systems</w:t>
      </w:r>
      <w:r w:rsidR="008B116F" w:rsidRPr="00FA3973">
        <w:rPr>
          <w:rFonts w:ascii="Arial" w:hAnsi="Arial" w:cs="Arial"/>
          <w:spacing w:val="-4"/>
          <w:sz w:val="22"/>
        </w:rPr>
        <w:t>, instead of using the grid electricity</w:t>
      </w:r>
      <w:r w:rsidRPr="00FA3973">
        <w:rPr>
          <w:rFonts w:ascii="Arial" w:hAnsi="Arial" w:cs="Arial"/>
          <w:spacing w:val="-4"/>
          <w:sz w:val="22"/>
        </w:rPr>
        <w:t>.</w:t>
      </w:r>
      <w:r w:rsidR="00A55D52" w:rsidRPr="00FA3973">
        <w:rPr>
          <w:rFonts w:ascii="Arial" w:hAnsi="Arial" w:cs="Arial"/>
          <w:spacing w:val="-4"/>
          <w:sz w:val="22"/>
        </w:rPr>
        <w:t xml:space="preserve"> Energy savings are determined by </w:t>
      </w:r>
      <w:r w:rsidR="00C956C1" w:rsidRPr="00FA3973">
        <w:rPr>
          <w:rFonts w:ascii="Arial" w:hAnsi="Arial" w:cs="Arial"/>
          <w:spacing w:val="-4"/>
          <w:sz w:val="22"/>
        </w:rPr>
        <w:t xml:space="preserve">the </w:t>
      </w:r>
      <w:r w:rsidR="00A55D52" w:rsidRPr="00FA3973">
        <w:rPr>
          <w:rFonts w:ascii="Arial" w:hAnsi="Arial" w:cs="Arial"/>
          <w:spacing w:val="-4"/>
          <w:sz w:val="22"/>
        </w:rPr>
        <w:t>higher efficiency</w:t>
      </w:r>
      <w:r w:rsidR="00D65516" w:rsidRPr="00FA3973">
        <w:rPr>
          <w:rFonts w:ascii="Arial" w:hAnsi="Arial" w:cs="Arial"/>
          <w:spacing w:val="-4"/>
          <w:sz w:val="22"/>
        </w:rPr>
        <w:t xml:space="preserve"> in </w:t>
      </w:r>
      <w:r w:rsidR="008B116F" w:rsidRPr="00FA3973">
        <w:rPr>
          <w:rFonts w:ascii="Arial" w:hAnsi="Arial" w:cs="Arial"/>
          <w:spacing w:val="-4"/>
          <w:sz w:val="22"/>
        </w:rPr>
        <w:t xml:space="preserve">energy </w:t>
      </w:r>
      <w:r w:rsidR="00C956C1" w:rsidRPr="00FA3973">
        <w:rPr>
          <w:rFonts w:ascii="Arial" w:hAnsi="Arial" w:cs="Arial"/>
          <w:spacing w:val="-4"/>
          <w:sz w:val="22"/>
        </w:rPr>
        <w:t xml:space="preserve">power </w:t>
      </w:r>
      <w:r w:rsidR="008B116F" w:rsidRPr="00FA3973">
        <w:rPr>
          <w:rFonts w:ascii="Arial" w:hAnsi="Arial" w:cs="Arial"/>
          <w:spacing w:val="-4"/>
          <w:sz w:val="22"/>
        </w:rPr>
        <w:t xml:space="preserve">generation </w:t>
      </w:r>
      <w:r w:rsidR="00A55D52" w:rsidRPr="00FA3973">
        <w:rPr>
          <w:rFonts w:ascii="Arial" w:hAnsi="Arial" w:cs="Arial"/>
          <w:spacing w:val="-4"/>
          <w:sz w:val="22"/>
        </w:rPr>
        <w:t>provided by the cogeneration</w:t>
      </w:r>
      <w:r w:rsidR="00D65516" w:rsidRPr="00FA3973">
        <w:rPr>
          <w:rFonts w:ascii="Arial" w:hAnsi="Arial" w:cs="Arial"/>
          <w:spacing w:val="-4"/>
          <w:sz w:val="22"/>
        </w:rPr>
        <w:t xml:space="preserve"> systems installed</w:t>
      </w:r>
      <w:r w:rsidR="00A55D52" w:rsidRPr="00FA3973">
        <w:rPr>
          <w:rFonts w:ascii="Arial" w:hAnsi="Arial" w:cs="Arial"/>
          <w:spacing w:val="-4"/>
          <w:sz w:val="22"/>
        </w:rPr>
        <w:t>.</w:t>
      </w:r>
      <w:r w:rsidRPr="00FA3973">
        <w:rPr>
          <w:rFonts w:ascii="Arial" w:hAnsi="Arial" w:cs="Arial"/>
          <w:spacing w:val="-4"/>
          <w:sz w:val="22"/>
        </w:rPr>
        <w:t xml:space="preserve"> Industry utility rates are used to obtain these </w:t>
      </w:r>
      <w:r w:rsidR="008B116F" w:rsidRPr="00FA3973">
        <w:rPr>
          <w:rFonts w:ascii="Arial" w:hAnsi="Arial" w:cs="Arial"/>
          <w:spacing w:val="-4"/>
          <w:sz w:val="22"/>
        </w:rPr>
        <w:t>savings</w:t>
      </w:r>
      <w:r w:rsidR="0022286B" w:rsidRPr="00FA3973">
        <w:rPr>
          <w:rFonts w:ascii="Arial" w:hAnsi="Arial" w:cs="Arial"/>
          <w:spacing w:val="-4"/>
          <w:sz w:val="22"/>
        </w:rPr>
        <w:t xml:space="preserve"> for a period of 20 </w:t>
      </w:r>
      <w:r w:rsidRPr="00FA3973">
        <w:rPr>
          <w:rFonts w:ascii="Arial" w:hAnsi="Arial" w:cs="Arial"/>
          <w:spacing w:val="-4"/>
          <w:sz w:val="22"/>
        </w:rPr>
        <w:t>years</w:t>
      </w:r>
      <w:r w:rsidR="00945FB7" w:rsidRPr="00FA3973">
        <w:rPr>
          <w:rFonts w:ascii="Arial" w:hAnsi="Arial" w:cs="Arial"/>
          <w:spacing w:val="-4"/>
          <w:sz w:val="22"/>
        </w:rPr>
        <w:t>.</w:t>
      </w:r>
    </w:p>
    <w:p w:rsidR="00C04E62" w:rsidRPr="00FA3973" w:rsidRDefault="00C75B58" w:rsidP="00C75B58">
      <w:pPr>
        <w:pStyle w:val="Paragraph"/>
        <w:tabs>
          <w:tab w:val="clear" w:pos="720"/>
          <w:tab w:val="num" w:pos="1800"/>
        </w:tabs>
        <w:spacing w:afterLines="80" w:after="192"/>
        <w:ind w:firstLine="0"/>
        <w:rPr>
          <w:rFonts w:ascii="Arial" w:hAnsi="Arial" w:cs="Arial"/>
          <w:sz w:val="20"/>
          <w:szCs w:val="24"/>
        </w:rPr>
      </w:pPr>
      <w:r w:rsidRPr="00FA3973">
        <w:rPr>
          <w:rFonts w:ascii="Arial" w:hAnsi="Arial" w:cs="Arial"/>
          <w:sz w:val="20"/>
          <w:szCs w:val="24"/>
        </w:rPr>
        <w:t xml:space="preserve">Energy </w:t>
      </w:r>
      <w:r w:rsidR="009672E0" w:rsidRPr="00FA3973">
        <w:rPr>
          <w:rFonts w:ascii="Arial" w:hAnsi="Arial" w:cs="Arial"/>
          <w:sz w:val="20"/>
          <w:szCs w:val="24"/>
        </w:rPr>
        <w:t>saved</w:t>
      </w:r>
      <w:r w:rsidR="00C04E62" w:rsidRPr="00FA3973">
        <w:rPr>
          <w:rFonts w:ascii="Arial" w:hAnsi="Arial" w:cs="Arial"/>
          <w:sz w:val="20"/>
          <w:szCs w:val="24"/>
        </w:rPr>
        <w:t xml:space="preserve"> (Mwh)</w:t>
      </w:r>
      <w:r w:rsidRPr="00FA3973">
        <w:rPr>
          <w:rFonts w:ascii="Arial" w:hAnsi="Arial" w:cs="Arial"/>
          <w:sz w:val="20"/>
          <w:szCs w:val="24"/>
        </w:rPr>
        <w:t xml:space="preserve"> </w:t>
      </w:r>
      <w:r w:rsidR="00C04E62" w:rsidRPr="00FA3973">
        <w:rPr>
          <w:rFonts w:ascii="Arial" w:hAnsi="Arial" w:cs="Arial"/>
          <w:sz w:val="20"/>
          <w:szCs w:val="24"/>
        </w:rPr>
        <w:t>=</w:t>
      </w:r>
      <w:r w:rsidRPr="00FA3973">
        <w:rPr>
          <w:rFonts w:ascii="Arial" w:hAnsi="Arial" w:cs="Arial"/>
          <w:sz w:val="20"/>
          <w:szCs w:val="24"/>
        </w:rPr>
        <w:t xml:space="preserve"> Installed capacity x 24 x 365 x (efficiency factor of cogeneration </w:t>
      </w:r>
      <w:r w:rsidR="00C04E62" w:rsidRPr="00FA3973">
        <w:rPr>
          <w:rFonts w:ascii="Arial" w:hAnsi="Arial" w:cs="Arial"/>
          <w:sz w:val="20"/>
          <w:szCs w:val="24"/>
        </w:rPr>
        <w:t xml:space="preserve">- </w:t>
      </w:r>
      <w:r w:rsidRPr="00FA3973">
        <w:rPr>
          <w:rFonts w:ascii="Arial" w:hAnsi="Arial" w:cs="Arial"/>
          <w:sz w:val="20"/>
          <w:szCs w:val="24"/>
        </w:rPr>
        <w:t>efficiency factor of conventional plant)</w:t>
      </w:r>
    </w:p>
    <w:p w:rsidR="00A55D52" w:rsidRPr="00FA3973" w:rsidRDefault="00A55D52" w:rsidP="00A55D52">
      <w:pPr>
        <w:pStyle w:val="Paragraph"/>
        <w:tabs>
          <w:tab w:val="clear" w:pos="720"/>
          <w:tab w:val="num" w:pos="1800"/>
        </w:tabs>
        <w:spacing w:afterLines="80" w:after="192"/>
        <w:ind w:firstLine="0"/>
        <w:rPr>
          <w:rFonts w:ascii="Arial" w:hAnsi="Arial" w:cs="Arial"/>
          <w:b/>
          <w:sz w:val="20"/>
          <w:szCs w:val="24"/>
        </w:rPr>
      </w:pPr>
      <w:r w:rsidRPr="00FA3973">
        <w:rPr>
          <w:rFonts w:ascii="Arial" w:hAnsi="Arial" w:cs="Arial"/>
          <w:sz w:val="20"/>
          <w:szCs w:val="24"/>
        </w:rPr>
        <w:t>Savings from EE</w:t>
      </w:r>
      <w:r w:rsidRPr="00FA3973">
        <w:rPr>
          <w:rFonts w:ascii="Arial" w:hAnsi="Arial" w:cs="Arial"/>
          <w:b/>
          <w:sz w:val="20"/>
          <w:szCs w:val="24"/>
        </w:rPr>
        <w:t xml:space="preserve"> = </w:t>
      </w:r>
      <w:r w:rsidR="00EA2C7E" w:rsidRPr="00FA3973">
        <w:rPr>
          <w:rFonts w:ascii="Arial" w:hAnsi="Arial" w:cs="Arial"/>
          <w:sz w:val="20"/>
          <w:szCs w:val="24"/>
        </w:rPr>
        <w:t>Energy</w:t>
      </w:r>
      <w:r w:rsidRPr="00FA3973">
        <w:rPr>
          <w:rFonts w:ascii="Arial" w:hAnsi="Arial" w:cs="Arial"/>
          <w:sz w:val="20"/>
          <w:szCs w:val="24"/>
        </w:rPr>
        <w:t xml:space="preserve"> </w:t>
      </w:r>
      <w:r w:rsidR="009672E0" w:rsidRPr="00FA3973">
        <w:rPr>
          <w:rFonts w:ascii="Arial" w:hAnsi="Arial" w:cs="Arial"/>
          <w:sz w:val="20"/>
          <w:szCs w:val="24"/>
        </w:rPr>
        <w:t>saved</w:t>
      </w:r>
      <w:r w:rsidRPr="00FA3973">
        <w:rPr>
          <w:rFonts w:ascii="Arial" w:hAnsi="Arial" w:cs="Arial"/>
          <w:sz w:val="20"/>
          <w:szCs w:val="24"/>
        </w:rPr>
        <w:t xml:space="preserve"> (MWh) x Electricity rate (USD/MWh)</w:t>
      </w:r>
    </w:p>
    <w:p w:rsidR="00147D43" w:rsidRPr="00FA3973" w:rsidRDefault="00C04E62" w:rsidP="00147D43">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A</w:t>
      </w:r>
      <w:r w:rsidR="00220B2F" w:rsidRPr="00FA3973">
        <w:rPr>
          <w:rFonts w:ascii="Arial" w:hAnsi="Arial" w:cs="Arial"/>
          <w:sz w:val="22"/>
        </w:rPr>
        <w:t xml:space="preserve"> </w:t>
      </w:r>
      <w:r w:rsidR="00DE5F95" w:rsidRPr="00FA3973">
        <w:rPr>
          <w:rFonts w:ascii="Arial" w:hAnsi="Arial" w:cs="Arial"/>
          <w:sz w:val="22"/>
        </w:rPr>
        <w:t>third</w:t>
      </w:r>
      <w:r w:rsidR="00220B2F" w:rsidRPr="00FA3973">
        <w:rPr>
          <w:rFonts w:ascii="Arial" w:hAnsi="Arial" w:cs="Arial"/>
          <w:sz w:val="22"/>
        </w:rPr>
        <w:t xml:space="preserve"> </w:t>
      </w:r>
      <w:r w:rsidR="00CA0F4E" w:rsidRPr="00FA3973">
        <w:rPr>
          <w:rFonts w:ascii="Arial" w:hAnsi="Arial" w:cs="Arial"/>
          <w:sz w:val="22"/>
        </w:rPr>
        <w:t>portion</w:t>
      </w:r>
      <w:r w:rsidR="00220B2F" w:rsidRPr="00FA3973">
        <w:rPr>
          <w:rFonts w:ascii="Arial" w:hAnsi="Arial" w:cs="Arial"/>
          <w:sz w:val="22"/>
        </w:rPr>
        <w:t xml:space="preserve"> of benefits </w:t>
      </w:r>
      <w:r w:rsidR="00CA0F4E" w:rsidRPr="00FA3973">
        <w:rPr>
          <w:rFonts w:ascii="Arial" w:hAnsi="Arial" w:cs="Arial"/>
          <w:sz w:val="22"/>
        </w:rPr>
        <w:t xml:space="preserve">(abated costs) </w:t>
      </w:r>
      <w:r w:rsidR="00147D43" w:rsidRPr="00FA3973">
        <w:rPr>
          <w:rFonts w:ascii="Arial" w:hAnsi="Arial" w:cs="Arial"/>
          <w:sz w:val="22"/>
        </w:rPr>
        <w:t>uses</w:t>
      </w:r>
      <w:r w:rsidR="00CA0F4E" w:rsidRPr="00FA3973">
        <w:rPr>
          <w:rFonts w:ascii="Arial" w:hAnsi="Arial" w:cs="Arial"/>
          <w:sz w:val="22"/>
        </w:rPr>
        <w:t xml:space="preserve"> </w:t>
      </w:r>
      <w:r w:rsidR="00147D43" w:rsidRPr="00FA3973">
        <w:rPr>
          <w:rFonts w:ascii="Arial" w:hAnsi="Arial" w:cs="Arial"/>
          <w:sz w:val="22"/>
        </w:rPr>
        <w:t>a</w:t>
      </w:r>
      <w:r w:rsidR="00CA0F4E" w:rsidRPr="00FA3973">
        <w:rPr>
          <w:rFonts w:ascii="Arial" w:hAnsi="Arial" w:cs="Arial"/>
          <w:sz w:val="22"/>
        </w:rPr>
        <w:t xml:space="preserve"> monetary value of GHG emissions</w:t>
      </w:r>
      <w:r w:rsidR="00147D43" w:rsidRPr="00FA3973">
        <w:rPr>
          <w:rFonts w:ascii="Arial" w:hAnsi="Arial" w:cs="Arial"/>
          <w:sz w:val="22"/>
        </w:rPr>
        <w:t xml:space="preserve"> reduced by the projects financed,</w:t>
      </w:r>
      <w:r w:rsidR="00CA0F4E" w:rsidRPr="00FA3973">
        <w:rPr>
          <w:rFonts w:ascii="Arial" w:hAnsi="Arial" w:cs="Arial"/>
          <w:sz w:val="22"/>
        </w:rPr>
        <w:t xml:space="preserve"> determined </w:t>
      </w:r>
      <w:r w:rsidR="00147D43" w:rsidRPr="00FA3973">
        <w:rPr>
          <w:rFonts w:ascii="Arial" w:hAnsi="Arial" w:cs="Arial"/>
          <w:sz w:val="22"/>
        </w:rPr>
        <w:t>by</w:t>
      </w:r>
      <w:r w:rsidR="00CA0F4E" w:rsidRPr="00FA3973">
        <w:rPr>
          <w:rFonts w:ascii="Arial" w:hAnsi="Arial" w:cs="Arial"/>
          <w:sz w:val="22"/>
        </w:rPr>
        <w:t xml:space="preserve"> the unit price of a metric ton of C0</w:t>
      </w:r>
      <w:r w:rsidR="00CA0F4E" w:rsidRPr="00FA3973">
        <w:rPr>
          <w:rFonts w:ascii="Arial" w:hAnsi="Arial" w:cs="Arial"/>
          <w:sz w:val="22"/>
          <w:vertAlign w:val="subscript"/>
        </w:rPr>
        <w:t>2</w:t>
      </w:r>
      <w:r w:rsidR="004D38D2" w:rsidRPr="00FA3973">
        <w:rPr>
          <w:rFonts w:ascii="Arial" w:hAnsi="Arial" w:cs="Arial"/>
          <w:sz w:val="22"/>
        </w:rPr>
        <w:t xml:space="preserve"> in the international market. </w:t>
      </w:r>
      <w:r w:rsidR="00CA0F4E" w:rsidRPr="00FA3973">
        <w:rPr>
          <w:rFonts w:ascii="Arial" w:hAnsi="Arial" w:cs="Arial"/>
          <w:sz w:val="22"/>
        </w:rPr>
        <w:t xml:space="preserve">This value is based on </w:t>
      </w:r>
      <w:r w:rsidR="00CD7C69" w:rsidRPr="00FA3973">
        <w:rPr>
          <w:rFonts w:ascii="Arial" w:hAnsi="Arial" w:cs="Arial"/>
          <w:sz w:val="22"/>
        </w:rPr>
        <w:t>information about carbon pricing around the world</w:t>
      </w:r>
      <w:r w:rsidR="008441C3" w:rsidRPr="00FA3973">
        <w:rPr>
          <w:rFonts w:ascii="Arial" w:hAnsi="Arial" w:cs="Arial"/>
          <w:sz w:val="22"/>
        </w:rPr>
        <w:t xml:space="preserve"> (emissions trading systems, ETS, and carbon taxes)</w:t>
      </w:r>
      <w:r w:rsidR="00CD7C69" w:rsidRPr="00FA3973">
        <w:rPr>
          <w:rFonts w:ascii="Arial" w:hAnsi="Arial" w:cs="Arial"/>
          <w:sz w:val="22"/>
        </w:rPr>
        <w:t xml:space="preserve">, which has been substantially increasing since 2012. </w:t>
      </w:r>
      <w:r w:rsidR="00BF702A" w:rsidRPr="00FA3973">
        <w:rPr>
          <w:rFonts w:ascii="Arial" w:hAnsi="Arial" w:cs="Arial"/>
          <w:sz w:val="22"/>
        </w:rPr>
        <w:t>The existing carbon prices vary significantly—from less than US$1 per tCO</w:t>
      </w:r>
      <w:r w:rsidR="00BF702A" w:rsidRPr="00FA3973">
        <w:rPr>
          <w:rFonts w:ascii="Arial" w:hAnsi="Arial" w:cs="Arial"/>
          <w:sz w:val="22"/>
          <w:vertAlign w:val="subscript"/>
        </w:rPr>
        <w:t>2</w:t>
      </w:r>
      <w:r w:rsidR="00BF702A" w:rsidRPr="00FA3973">
        <w:rPr>
          <w:rFonts w:ascii="Arial" w:hAnsi="Arial" w:cs="Arial"/>
          <w:sz w:val="22"/>
        </w:rPr>
        <w:t>e to US$130 per tCO</w:t>
      </w:r>
      <w:r w:rsidR="00BF702A" w:rsidRPr="00FA3973">
        <w:rPr>
          <w:rFonts w:ascii="Arial" w:hAnsi="Arial" w:cs="Arial"/>
          <w:sz w:val="22"/>
          <w:vertAlign w:val="subscript"/>
        </w:rPr>
        <w:t>2</w:t>
      </w:r>
      <w:r w:rsidR="00BF702A" w:rsidRPr="00FA3973">
        <w:rPr>
          <w:rFonts w:ascii="Arial" w:hAnsi="Arial" w:cs="Arial"/>
          <w:sz w:val="22"/>
        </w:rPr>
        <w:t>e, with the majority of emissions (85%) priced at less than US$10 per tCO</w:t>
      </w:r>
      <w:r w:rsidR="00BF702A" w:rsidRPr="00FA3973">
        <w:rPr>
          <w:rFonts w:ascii="Arial" w:hAnsi="Arial" w:cs="Arial"/>
          <w:sz w:val="22"/>
          <w:vertAlign w:val="subscript"/>
        </w:rPr>
        <w:t>2</w:t>
      </w:r>
      <w:r w:rsidR="00BF702A" w:rsidRPr="00FA3973">
        <w:rPr>
          <w:rFonts w:ascii="Arial" w:hAnsi="Arial" w:cs="Arial"/>
          <w:sz w:val="22"/>
        </w:rPr>
        <w:t xml:space="preserve">e. </w:t>
      </w:r>
      <w:r w:rsidR="00CD7C69" w:rsidRPr="00FA3973">
        <w:rPr>
          <w:rFonts w:ascii="Arial" w:hAnsi="Arial" w:cs="Arial"/>
          <w:sz w:val="22"/>
        </w:rPr>
        <w:t>T</w:t>
      </w:r>
      <w:r w:rsidR="00CA0F4E" w:rsidRPr="00FA3973">
        <w:rPr>
          <w:rFonts w:ascii="Arial" w:hAnsi="Arial" w:cs="Arial"/>
          <w:sz w:val="22"/>
        </w:rPr>
        <w:t>he</w:t>
      </w:r>
      <w:r w:rsidR="008441C3" w:rsidRPr="00FA3973">
        <w:rPr>
          <w:rFonts w:ascii="Arial" w:hAnsi="Arial" w:cs="Arial"/>
          <w:sz w:val="22"/>
        </w:rPr>
        <w:t xml:space="preserve"> analysis will use a</w:t>
      </w:r>
      <w:r w:rsidR="00CA0F4E" w:rsidRPr="00FA3973">
        <w:rPr>
          <w:rFonts w:ascii="Arial" w:hAnsi="Arial" w:cs="Arial"/>
          <w:sz w:val="22"/>
        </w:rPr>
        <w:t xml:space="preserve"> unit price</w:t>
      </w:r>
      <w:r w:rsidR="008441C3" w:rsidRPr="00FA3973">
        <w:rPr>
          <w:rFonts w:ascii="Arial" w:hAnsi="Arial" w:cs="Arial"/>
          <w:sz w:val="22"/>
        </w:rPr>
        <w:t xml:space="preserve"> of US$5</w:t>
      </w:r>
      <w:r w:rsidR="00CA0F4E" w:rsidRPr="00FA3973">
        <w:rPr>
          <w:rFonts w:ascii="Arial" w:hAnsi="Arial" w:cs="Arial"/>
          <w:sz w:val="22"/>
        </w:rPr>
        <w:t xml:space="preserve"> </w:t>
      </w:r>
      <w:r w:rsidR="00BF702A" w:rsidRPr="00FA3973">
        <w:rPr>
          <w:rFonts w:ascii="Arial" w:hAnsi="Arial" w:cs="Arial"/>
          <w:sz w:val="22"/>
        </w:rPr>
        <w:t>per t</w:t>
      </w:r>
      <w:r w:rsidR="008441C3" w:rsidRPr="00FA3973">
        <w:rPr>
          <w:rFonts w:ascii="Arial" w:hAnsi="Arial" w:cs="Arial"/>
          <w:sz w:val="22"/>
        </w:rPr>
        <w:t>CO</w:t>
      </w:r>
      <w:r w:rsidR="008441C3" w:rsidRPr="00FA3973">
        <w:rPr>
          <w:rFonts w:ascii="Arial" w:hAnsi="Arial" w:cs="Arial"/>
          <w:sz w:val="22"/>
          <w:vertAlign w:val="subscript"/>
        </w:rPr>
        <w:t>2</w:t>
      </w:r>
      <w:r w:rsidR="00BF702A" w:rsidRPr="00FA3973">
        <w:rPr>
          <w:rFonts w:ascii="Arial" w:hAnsi="Arial" w:cs="Arial"/>
          <w:sz w:val="22"/>
        </w:rPr>
        <w:t>e</w:t>
      </w:r>
      <w:r w:rsidR="00CA0F4E" w:rsidRPr="00FA3973">
        <w:rPr>
          <w:rFonts w:ascii="Arial" w:hAnsi="Arial" w:cs="Arial"/>
          <w:sz w:val="22"/>
        </w:rPr>
        <w:t xml:space="preserve">, </w:t>
      </w:r>
      <w:r w:rsidR="00BF702A" w:rsidRPr="00FA3973">
        <w:rPr>
          <w:rFonts w:ascii="Arial" w:hAnsi="Arial" w:cs="Arial"/>
          <w:sz w:val="22"/>
        </w:rPr>
        <w:t xml:space="preserve">conservatively and </w:t>
      </w:r>
      <w:r w:rsidR="00CA0F4E" w:rsidRPr="00FA3973">
        <w:rPr>
          <w:rFonts w:ascii="Arial" w:hAnsi="Arial" w:cs="Arial"/>
          <w:sz w:val="22"/>
        </w:rPr>
        <w:t xml:space="preserve">along the lines of </w:t>
      </w:r>
      <w:r w:rsidR="00BF702A" w:rsidRPr="00FA3973">
        <w:rPr>
          <w:rFonts w:ascii="Arial" w:hAnsi="Arial" w:cs="Arial"/>
          <w:sz w:val="22"/>
        </w:rPr>
        <w:t>existing or potential instruments</w:t>
      </w:r>
      <w:r w:rsidR="008441C3" w:rsidRPr="00FA3973">
        <w:rPr>
          <w:rFonts w:ascii="Arial" w:hAnsi="Arial" w:cs="Arial"/>
          <w:sz w:val="22"/>
        </w:rPr>
        <w:t xml:space="preserve"> in other emerging </w:t>
      </w:r>
      <w:r w:rsidR="00BF702A" w:rsidRPr="00FA3973">
        <w:rPr>
          <w:rFonts w:ascii="Arial" w:hAnsi="Arial" w:cs="Arial"/>
          <w:sz w:val="22"/>
        </w:rPr>
        <w:t>economies</w:t>
      </w:r>
      <w:r w:rsidR="008441C3" w:rsidRPr="00FA3973">
        <w:rPr>
          <w:rFonts w:ascii="Arial" w:hAnsi="Arial" w:cs="Arial"/>
          <w:sz w:val="22"/>
        </w:rPr>
        <w:t xml:space="preserve"> (</w:t>
      </w:r>
      <w:r w:rsidR="00BF702A" w:rsidRPr="00FA3973">
        <w:rPr>
          <w:rFonts w:ascii="Arial" w:hAnsi="Arial" w:cs="Arial"/>
          <w:sz w:val="22"/>
        </w:rPr>
        <w:t>including Korea, China, Mexico and Chile)</w:t>
      </w:r>
      <w:r w:rsidR="00CD7C69" w:rsidRPr="00FA3973">
        <w:rPr>
          <w:rStyle w:val="FootnoteReference"/>
          <w:rFonts w:ascii="Arial" w:hAnsi="Arial" w:cs="Arial"/>
          <w:sz w:val="22"/>
        </w:rPr>
        <w:footnoteReference w:id="16"/>
      </w:r>
      <w:r w:rsidR="00CA0F4E" w:rsidRPr="00FA3973">
        <w:rPr>
          <w:rFonts w:ascii="Arial" w:hAnsi="Arial" w:cs="Arial"/>
          <w:sz w:val="22"/>
        </w:rPr>
        <w:t xml:space="preserve">. The use of this reference price is an interpretation of the evaluation exercise of the various economic, local and </w:t>
      </w:r>
      <w:r w:rsidR="00CA0F4E" w:rsidRPr="00FA3973">
        <w:rPr>
          <w:rFonts w:ascii="Arial" w:hAnsi="Arial" w:cs="Arial"/>
          <w:sz w:val="22"/>
        </w:rPr>
        <w:lastRenderedPageBreak/>
        <w:t xml:space="preserve">global, current and future costs of negative externalities associated to less clean technologies displaced. </w:t>
      </w:r>
      <w:r w:rsidR="004D54E2" w:rsidRPr="00FA3973">
        <w:rPr>
          <w:rFonts w:ascii="Arial" w:hAnsi="Arial" w:cs="Arial"/>
          <w:sz w:val="22"/>
        </w:rPr>
        <w:t>International carbon pricing</w:t>
      </w:r>
      <w:r w:rsidR="00CA0F4E" w:rsidRPr="00FA3973">
        <w:rPr>
          <w:rFonts w:ascii="Arial" w:hAnsi="Arial" w:cs="Arial"/>
          <w:sz w:val="22"/>
        </w:rPr>
        <w:t xml:space="preserve"> provide</w:t>
      </w:r>
      <w:r w:rsidR="004D54E2" w:rsidRPr="00FA3973">
        <w:rPr>
          <w:rFonts w:ascii="Arial" w:hAnsi="Arial" w:cs="Arial"/>
          <w:sz w:val="22"/>
        </w:rPr>
        <w:t>s</w:t>
      </w:r>
      <w:r w:rsidR="00CA0F4E" w:rsidRPr="00FA3973">
        <w:rPr>
          <w:rFonts w:ascii="Arial" w:hAnsi="Arial" w:cs="Arial"/>
          <w:sz w:val="22"/>
        </w:rPr>
        <w:t xml:space="preserve"> us with a publicly available resource for monetization of this aspect of the </w:t>
      </w:r>
      <w:r w:rsidR="00147D43" w:rsidRPr="00FA3973">
        <w:rPr>
          <w:rFonts w:ascii="Arial" w:hAnsi="Arial" w:cs="Arial"/>
          <w:sz w:val="22"/>
        </w:rPr>
        <w:t>analysis.</w:t>
      </w:r>
    </w:p>
    <w:p w:rsidR="00CA0F4E" w:rsidRPr="00FA3973" w:rsidRDefault="00147D43" w:rsidP="002215C1">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The conversion factor </w:t>
      </w:r>
      <w:r w:rsidR="0022067B" w:rsidRPr="00FA3973">
        <w:rPr>
          <w:rFonts w:ascii="Arial" w:hAnsi="Arial" w:cs="Arial"/>
          <w:sz w:val="22"/>
        </w:rPr>
        <w:t xml:space="preserve">which is </w:t>
      </w:r>
      <w:r w:rsidRPr="00FA3973">
        <w:rPr>
          <w:rFonts w:ascii="Arial" w:hAnsi="Arial" w:cs="Arial"/>
          <w:sz w:val="22"/>
        </w:rPr>
        <w:t>specific to Brazil</w:t>
      </w:r>
      <w:r w:rsidR="0022067B" w:rsidRPr="00FA3973">
        <w:rPr>
          <w:rFonts w:ascii="Arial" w:hAnsi="Arial" w:cs="Arial"/>
          <w:sz w:val="22"/>
        </w:rPr>
        <w:t>’s</w:t>
      </w:r>
      <w:r w:rsidRPr="00FA3973">
        <w:rPr>
          <w:rFonts w:ascii="Arial" w:hAnsi="Arial" w:cs="Arial"/>
          <w:sz w:val="22"/>
        </w:rPr>
        <w:t xml:space="preserve"> electricity grid – used to determine displaced (reduced) emissions from the plants commissioned – is 115kgCO</w:t>
      </w:r>
      <w:r w:rsidRPr="00FA3973">
        <w:rPr>
          <w:rFonts w:ascii="Arial" w:hAnsi="Arial" w:cs="Arial"/>
          <w:sz w:val="22"/>
          <w:vertAlign w:val="subscript"/>
        </w:rPr>
        <w:t>2</w:t>
      </w:r>
      <w:r w:rsidRPr="00FA3973">
        <w:rPr>
          <w:rFonts w:ascii="Arial" w:hAnsi="Arial" w:cs="Arial"/>
          <w:sz w:val="22"/>
        </w:rPr>
        <w:t>/MWh (</w:t>
      </w:r>
      <w:r w:rsidRPr="00FA3973">
        <w:rPr>
          <w:rFonts w:ascii="Arial" w:hAnsi="Arial" w:cs="Arial"/>
          <w:i/>
          <w:sz w:val="22"/>
        </w:rPr>
        <w:t>Empresa de Pesquisas Energeticas</w:t>
      </w:r>
      <w:r w:rsidR="00DB36D8" w:rsidRPr="00FA3973">
        <w:rPr>
          <w:rFonts w:ascii="Arial" w:hAnsi="Arial" w:cs="Arial"/>
          <w:i/>
          <w:sz w:val="22"/>
        </w:rPr>
        <w:t>, EPE</w:t>
      </w:r>
      <w:r w:rsidRPr="00FA3973">
        <w:rPr>
          <w:rFonts w:ascii="Arial" w:hAnsi="Arial" w:cs="Arial"/>
          <w:sz w:val="22"/>
        </w:rPr>
        <w:t>, 2014)</w:t>
      </w:r>
      <w:r w:rsidR="00CA0F4E" w:rsidRPr="00FA3973">
        <w:rPr>
          <w:rFonts w:ascii="Arial" w:hAnsi="Arial" w:cs="Arial"/>
          <w:sz w:val="22"/>
        </w:rPr>
        <w:t>.</w:t>
      </w:r>
      <w:r w:rsidR="00DB36D8" w:rsidRPr="00FA3973">
        <w:rPr>
          <w:rFonts w:ascii="Arial" w:hAnsi="Arial" w:cs="Arial"/>
          <w:sz w:val="22"/>
        </w:rPr>
        <w:t xml:space="preserve"> This value – generally calculated by the corresponding energy-related agencies of the countries based on CDM practices – corresponds to a default CO</w:t>
      </w:r>
      <w:r w:rsidR="00DB36D8" w:rsidRPr="00FA3973">
        <w:rPr>
          <w:rFonts w:ascii="Arial" w:hAnsi="Arial" w:cs="Arial"/>
          <w:sz w:val="22"/>
          <w:vertAlign w:val="subscript"/>
        </w:rPr>
        <w:t>2</w:t>
      </w:r>
      <w:r w:rsidR="00DB36D8" w:rsidRPr="00FA3973">
        <w:rPr>
          <w:rFonts w:ascii="Arial" w:hAnsi="Arial" w:cs="Arial"/>
          <w:sz w:val="22"/>
        </w:rPr>
        <w:t xml:space="preserve"> emission factor for the displacement of electricity generated by power plants in an electricity system.</w:t>
      </w:r>
      <w:r w:rsidR="00DB36D8" w:rsidRPr="00FA3973">
        <w:rPr>
          <w:rStyle w:val="FootnoteReference"/>
          <w:rFonts w:ascii="Arial" w:hAnsi="Arial" w:cs="Arial"/>
          <w:sz w:val="22"/>
        </w:rPr>
        <w:footnoteReference w:id="17"/>
      </w:r>
      <w:r w:rsidR="00DB36D8" w:rsidRPr="00FA3973">
        <w:rPr>
          <w:rFonts w:ascii="Arial" w:hAnsi="Arial" w:cs="Arial"/>
          <w:sz w:val="22"/>
        </w:rPr>
        <w:t>.</w:t>
      </w:r>
      <w:r w:rsidR="00355E9F" w:rsidRPr="00FA3973">
        <w:rPr>
          <w:rFonts w:ascii="Arial" w:hAnsi="Arial" w:cs="Arial"/>
          <w:sz w:val="22"/>
        </w:rPr>
        <w:t xml:space="preserve"> Considering that the emissions factor represents an average emissions factor for the </w:t>
      </w:r>
      <w:r w:rsidR="0022067B" w:rsidRPr="00FA3973">
        <w:rPr>
          <w:rFonts w:ascii="Arial" w:hAnsi="Arial" w:cs="Arial"/>
          <w:sz w:val="22"/>
        </w:rPr>
        <w:t xml:space="preserve">existing </w:t>
      </w:r>
      <w:r w:rsidR="00355E9F" w:rsidRPr="00FA3973">
        <w:rPr>
          <w:rFonts w:ascii="Arial" w:hAnsi="Arial" w:cs="Arial"/>
          <w:sz w:val="22"/>
        </w:rPr>
        <w:t xml:space="preserve">electricity system in Brazil (which </w:t>
      </w:r>
      <w:r w:rsidR="0022067B" w:rsidRPr="00FA3973">
        <w:rPr>
          <w:rFonts w:ascii="Arial" w:hAnsi="Arial" w:cs="Arial"/>
          <w:sz w:val="22"/>
        </w:rPr>
        <w:t xml:space="preserve">is 60% hydro and </w:t>
      </w:r>
      <w:r w:rsidR="00355E9F" w:rsidRPr="00FA3973">
        <w:rPr>
          <w:rFonts w:ascii="Arial" w:hAnsi="Arial" w:cs="Arial"/>
          <w:sz w:val="22"/>
        </w:rPr>
        <w:t>already has a high share of renewable energy), this benefit’s estimation is</w:t>
      </w:r>
      <w:r w:rsidR="0022067B" w:rsidRPr="00FA3973">
        <w:rPr>
          <w:rFonts w:ascii="Arial" w:hAnsi="Arial" w:cs="Arial"/>
          <w:sz w:val="22"/>
        </w:rPr>
        <w:t xml:space="preserve"> very</w:t>
      </w:r>
      <w:r w:rsidR="00355E9F" w:rsidRPr="00FA3973">
        <w:rPr>
          <w:rFonts w:ascii="Arial" w:hAnsi="Arial" w:cs="Arial"/>
          <w:sz w:val="22"/>
        </w:rPr>
        <w:t xml:space="preserve"> conservative. A more realistic estimation </w:t>
      </w:r>
      <w:r w:rsidR="0022067B" w:rsidRPr="00FA3973">
        <w:rPr>
          <w:rFonts w:ascii="Arial" w:hAnsi="Arial" w:cs="Arial"/>
          <w:sz w:val="22"/>
        </w:rPr>
        <w:t>would</w:t>
      </w:r>
      <w:r w:rsidR="00355E9F" w:rsidRPr="00FA3973">
        <w:rPr>
          <w:rFonts w:ascii="Arial" w:hAnsi="Arial" w:cs="Arial"/>
          <w:sz w:val="22"/>
        </w:rPr>
        <w:t xml:space="preserve"> be obtained by </w:t>
      </w:r>
      <w:r w:rsidR="0022067B" w:rsidRPr="00FA3973">
        <w:rPr>
          <w:rFonts w:ascii="Arial" w:hAnsi="Arial" w:cs="Arial"/>
          <w:sz w:val="22"/>
        </w:rPr>
        <w:t>assuming that in the absence of the program the energy would be supplied by t</w:t>
      </w:r>
      <w:r w:rsidR="00ED309F" w:rsidRPr="00FA3973">
        <w:rPr>
          <w:rFonts w:ascii="Arial" w:hAnsi="Arial" w:cs="Arial"/>
          <w:sz w:val="22"/>
        </w:rPr>
        <w:t>h</w:t>
      </w:r>
      <w:r w:rsidR="0022067B" w:rsidRPr="00FA3973">
        <w:rPr>
          <w:rFonts w:ascii="Arial" w:hAnsi="Arial" w:cs="Arial"/>
          <w:sz w:val="22"/>
        </w:rPr>
        <w:t>ermal power plant</w:t>
      </w:r>
      <w:r w:rsidR="00ED309F" w:rsidRPr="00FA3973">
        <w:rPr>
          <w:rFonts w:ascii="Arial" w:hAnsi="Arial" w:cs="Arial"/>
          <w:sz w:val="22"/>
        </w:rPr>
        <w:t>s</w:t>
      </w:r>
      <w:r w:rsidR="0022067B" w:rsidRPr="00FA3973">
        <w:rPr>
          <w:rFonts w:ascii="Arial" w:hAnsi="Arial" w:cs="Arial"/>
          <w:sz w:val="22"/>
        </w:rPr>
        <w:t xml:space="preserve"> with much higher </w:t>
      </w:r>
      <w:r w:rsidR="00ED309F" w:rsidRPr="00FA3973">
        <w:rPr>
          <w:rFonts w:ascii="Arial" w:hAnsi="Arial" w:cs="Arial"/>
          <w:sz w:val="22"/>
        </w:rPr>
        <w:t xml:space="preserve">potential for </w:t>
      </w:r>
      <w:r w:rsidR="0022067B" w:rsidRPr="00FA3973">
        <w:rPr>
          <w:rFonts w:ascii="Arial" w:hAnsi="Arial" w:cs="Arial"/>
          <w:sz w:val="22"/>
        </w:rPr>
        <w:t>reduction in emissions</w:t>
      </w:r>
      <w:r w:rsidR="00355E9F" w:rsidRPr="00FA3973">
        <w:rPr>
          <w:rFonts w:ascii="Arial" w:hAnsi="Arial" w:cs="Arial"/>
          <w:sz w:val="22"/>
        </w:rPr>
        <w:t xml:space="preserve"> (</w:t>
      </w:r>
      <w:r w:rsidR="0022067B" w:rsidRPr="00FA3973">
        <w:rPr>
          <w:rFonts w:ascii="Arial" w:hAnsi="Arial" w:cs="Arial"/>
          <w:sz w:val="22"/>
        </w:rPr>
        <w:t>they have</w:t>
      </w:r>
      <w:r w:rsidR="00355E9F" w:rsidRPr="00FA3973">
        <w:rPr>
          <w:rFonts w:ascii="Arial" w:hAnsi="Arial" w:cs="Arial"/>
          <w:sz w:val="22"/>
        </w:rPr>
        <w:t xml:space="preserve"> an emission factor of 300-400 kgCO</w:t>
      </w:r>
      <w:r w:rsidR="00355E9F" w:rsidRPr="00FA3973">
        <w:rPr>
          <w:rFonts w:ascii="Arial" w:hAnsi="Arial" w:cs="Arial"/>
          <w:sz w:val="22"/>
          <w:vertAlign w:val="subscript"/>
        </w:rPr>
        <w:t>2</w:t>
      </w:r>
      <w:r w:rsidR="00355E9F" w:rsidRPr="00FA3973">
        <w:rPr>
          <w:rFonts w:ascii="Arial" w:hAnsi="Arial" w:cs="Arial"/>
          <w:sz w:val="22"/>
        </w:rPr>
        <w:t xml:space="preserve">/MWh). </w:t>
      </w:r>
    </w:p>
    <w:p w:rsidR="00D47495" w:rsidRPr="00FA3973" w:rsidRDefault="00D47495" w:rsidP="00147D43">
      <w:pPr>
        <w:pStyle w:val="Paragraph"/>
        <w:tabs>
          <w:tab w:val="clear" w:pos="720"/>
          <w:tab w:val="num" w:pos="1800"/>
        </w:tabs>
        <w:spacing w:afterLines="80" w:after="192"/>
        <w:ind w:firstLine="0"/>
        <w:rPr>
          <w:rFonts w:ascii="Arial" w:hAnsi="Arial" w:cs="Arial"/>
          <w:sz w:val="20"/>
          <w:szCs w:val="24"/>
        </w:rPr>
      </w:pPr>
      <w:r w:rsidRPr="00FA3973">
        <w:rPr>
          <w:rFonts w:ascii="Arial" w:hAnsi="Arial" w:cs="Arial"/>
          <w:sz w:val="20"/>
          <w:szCs w:val="24"/>
        </w:rPr>
        <w:t>TM CO</w:t>
      </w:r>
      <w:r w:rsidRPr="00FA3973">
        <w:rPr>
          <w:rFonts w:ascii="Arial" w:hAnsi="Arial" w:cs="Arial"/>
          <w:sz w:val="20"/>
          <w:szCs w:val="24"/>
          <w:vertAlign w:val="subscript"/>
        </w:rPr>
        <w:t>2</w:t>
      </w:r>
      <w:r w:rsidRPr="00FA3973">
        <w:rPr>
          <w:rFonts w:ascii="Arial" w:hAnsi="Arial" w:cs="Arial"/>
          <w:sz w:val="20"/>
          <w:szCs w:val="24"/>
        </w:rPr>
        <w:t xml:space="preserve"> </w:t>
      </w:r>
      <w:r w:rsidR="00220B2F" w:rsidRPr="00FA3973">
        <w:rPr>
          <w:rFonts w:ascii="Arial" w:hAnsi="Arial" w:cs="Arial"/>
          <w:sz w:val="20"/>
          <w:szCs w:val="24"/>
        </w:rPr>
        <w:t>displaced</w:t>
      </w:r>
      <w:r w:rsidRPr="00FA3973">
        <w:rPr>
          <w:rFonts w:ascii="Arial" w:hAnsi="Arial" w:cs="Arial"/>
          <w:sz w:val="20"/>
          <w:szCs w:val="24"/>
        </w:rPr>
        <w:t xml:space="preserve"> = </w:t>
      </w:r>
      <w:r w:rsidR="00220B2F" w:rsidRPr="00FA3973">
        <w:rPr>
          <w:rFonts w:ascii="Arial" w:hAnsi="Arial" w:cs="Arial"/>
          <w:sz w:val="20"/>
          <w:szCs w:val="24"/>
        </w:rPr>
        <w:t>Conversion factor</w:t>
      </w:r>
      <w:r w:rsidRPr="00FA3973">
        <w:rPr>
          <w:rFonts w:ascii="Arial" w:hAnsi="Arial" w:cs="Arial"/>
          <w:sz w:val="20"/>
          <w:szCs w:val="24"/>
        </w:rPr>
        <w:t xml:space="preserve"> (kgCO</w:t>
      </w:r>
      <w:r w:rsidRPr="00FA3973">
        <w:rPr>
          <w:rFonts w:ascii="Arial" w:hAnsi="Arial" w:cs="Arial"/>
          <w:sz w:val="20"/>
          <w:szCs w:val="24"/>
          <w:vertAlign w:val="subscript"/>
        </w:rPr>
        <w:t>2</w:t>
      </w:r>
      <w:r w:rsidRPr="00FA3973">
        <w:rPr>
          <w:rFonts w:ascii="Arial" w:hAnsi="Arial" w:cs="Arial"/>
          <w:sz w:val="20"/>
          <w:szCs w:val="24"/>
        </w:rPr>
        <w:t xml:space="preserve">/kWh) x </w:t>
      </w:r>
      <w:r w:rsidR="003E5A35" w:rsidRPr="00FA3973">
        <w:rPr>
          <w:rFonts w:ascii="Arial" w:hAnsi="Arial" w:cs="Arial"/>
          <w:sz w:val="20"/>
          <w:szCs w:val="24"/>
        </w:rPr>
        <w:t>[</w:t>
      </w:r>
      <w:r w:rsidR="009672E0" w:rsidRPr="00FA3973">
        <w:rPr>
          <w:rFonts w:ascii="Arial" w:hAnsi="Arial" w:cs="Arial"/>
          <w:sz w:val="20"/>
          <w:szCs w:val="24"/>
        </w:rPr>
        <w:t>Electricity p</w:t>
      </w:r>
      <w:r w:rsidRPr="00FA3973">
        <w:rPr>
          <w:rFonts w:ascii="Arial" w:hAnsi="Arial" w:cs="Arial"/>
          <w:sz w:val="20"/>
          <w:szCs w:val="24"/>
        </w:rPr>
        <w:t>rod</w:t>
      </w:r>
      <w:r w:rsidR="003E5A35" w:rsidRPr="00FA3973">
        <w:rPr>
          <w:rFonts w:ascii="Arial" w:hAnsi="Arial" w:cs="Arial"/>
          <w:sz w:val="20"/>
          <w:szCs w:val="24"/>
        </w:rPr>
        <w:t xml:space="preserve"> from ARE</w:t>
      </w:r>
      <w:r w:rsidRPr="00FA3973">
        <w:rPr>
          <w:rFonts w:ascii="Arial" w:hAnsi="Arial" w:cs="Arial"/>
          <w:sz w:val="20"/>
          <w:szCs w:val="24"/>
        </w:rPr>
        <w:t xml:space="preserve"> (kWh)</w:t>
      </w:r>
      <w:r w:rsidR="009672E0" w:rsidRPr="00FA3973">
        <w:rPr>
          <w:rFonts w:ascii="Arial" w:hAnsi="Arial" w:cs="Arial"/>
          <w:sz w:val="20"/>
          <w:szCs w:val="24"/>
        </w:rPr>
        <w:t xml:space="preserve"> + Energy saved</w:t>
      </w:r>
      <w:r w:rsidR="003E5A35" w:rsidRPr="00FA3973">
        <w:rPr>
          <w:rFonts w:ascii="Arial" w:hAnsi="Arial" w:cs="Arial"/>
          <w:sz w:val="20"/>
          <w:szCs w:val="24"/>
        </w:rPr>
        <w:t xml:space="preserve"> from EE (kWh)]</w:t>
      </w:r>
      <w:r w:rsidRPr="00FA3973">
        <w:rPr>
          <w:rFonts w:ascii="Arial" w:hAnsi="Arial" w:cs="Arial"/>
          <w:sz w:val="20"/>
          <w:szCs w:val="24"/>
        </w:rPr>
        <w:t xml:space="preserve"> / 1000</w:t>
      </w:r>
    </w:p>
    <w:p w:rsidR="003325C4" w:rsidRPr="00FA3973" w:rsidRDefault="00147D43" w:rsidP="00147D43">
      <w:pPr>
        <w:pStyle w:val="Paragraph"/>
        <w:tabs>
          <w:tab w:val="clear" w:pos="720"/>
          <w:tab w:val="num" w:pos="1800"/>
        </w:tabs>
        <w:spacing w:afterLines="80" w:after="192"/>
        <w:ind w:firstLine="0"/>
        <w:rPr>
          <w:rFonts w:ascii="Arial" w:hAnsi="Arial" w:cs="Arial"/>
          <w:sz w:val="20"/>
          <w:szCs w:val="24"/>
        </w:rPr>
      </w:pPr>
      <w:r w:rsidRPr="00FA3973">
        <w:rPr>
          <w:rFonts w:ascii="Arial" w:hAnsi="Arial" w:cs="Arial"/>
          <w:b/>
          <w:sz w:val="20"/>
          <w:szCs w:val="24"/>
        </w:rPr>
        <w:t>Abated costs</w:t>
      </w:r>
      <w:r w:rsidR="003325C4" w:rsidRPr="00FA3973">
        <w:rPr>
          <w:rFonts w:ascii="Arial" w:hAnsi="Arial" w:cs="Arial"/>
          <w:sz w:val="20"/>
          <w:szCs w:val="24"/>
        </w:rPr>
        <w:t xml:space="preserve"> = TM CO</w:t>
      </w:r>
      <w:r w:rsidR="003325C4" w:rsidRPr="00FA3973">
        <w:rPr>
          <w:rFonts w:ascii="Arial" w:hAnsi="Arial" w:cs="Arial"/>
          <w:sz w:val="20"/>
          <w:szCs w:val="24"/>
          <w:vertAlign w:val="subscript"/>
        </w:rPr>
        <w:t>2</w:t>
      </w:r>
      <w:r w:rsidR="003325C4" w:rsidRPr="00FA3973">
        <w:rPr>
          <w:rFonts w:ascii="Arial" w:hAnsi="Arial" w:cs="Arial"/>
          <w:sz w:val="20"/>
          <w:szCs w:val="24"/>
        </w:rPr>
        <w:t xml:space="preserve"> </w:t>
      </w:r>
      <w:r w:rsidR="00220B2F" w:rsidRPr="00FA3973">
        <w:rPr>
          <w:rFonts w:ascii="Arial" w:hAnsi="Arial" w:cs="Arial"/>
          <w:sz w:val="20"/>
          <w:szCs w:val="24"/>
        </w:rPr>
        <w:t>displaced</w:t>
      </w:r>
      <w:r w:rsidR="003325C4" w:rsidRPr="00FA3973">
        <w:rPr>
          <w:rFonts w:ascii="Arial" w:hAnsi="Arial" w:cs="Arial"/>
          <w:sz w:val="20"/>
          <w:szCs w:val="24"/>
        </w:rPr>
        <w:t xml:space="preserve"> x Pr</w:t>
      </w:r>
      <w:r w:rsidR="00220B2F" w:rsidRPr="00FA3973">
        <w:rPr>
          <w:rFonts w:ascii="Arial" w:hAnsi="Arial" w:cs="Arial"/>
          <w:sz w:val="20"/>
          <w:szCs w:val="24"/>
        </w:rPr>
        <w:t>ice pe</w:t>
      </w:r>
      <w:r w:rsidR="003325C4" w:rsidRPr="00FA3973">
        <w:rPr>
          <w:rFonts w:ascii="Arial" w:hAnsi="Arial" w:cs="Arial"/>
          <w:sz w:val="20"/>
          <w:szCs w:val="24"/>
        </w:rPr>
        <w:t>r TM CO</w:t>
      </w:r>
      <w:r w:rsidR="003325C4" w:rsidRPr="00FA3973">
        <w:rPr>
          <w:rFonts w:ascii="Arial" w:hAnsi="Arial" w:cs="Arial"/>
          <w:sz w:val="20"/>
          <w:szCs w:val="24"/>
          <w:vertAlign w:val="subscript"/>
        </w:rPr>
        <w:t>2</w:t>
      </w:r>
      <w:r w:rsidR="003325C4" w:rsidRPr="00FA3973">
        <w:rPr>
          <w:rFonts w:ascii="Arial" w:hAnsi="Arial" w:cs="Arial"/>
          <w:sz w:val="20"/>
          <w:szCs w:val="24"/>
        </w:rPr>
        <w:t xml:space="preserve"> (USD)</w:t>
      </w:r>
      <w:r w:rsidR="003325C4" w:rsidRPr="00FA3973">
        <w:rPr>
          <w:rFonts w:ascii="Arial" w:hAnsi="Arial" w:cs="Arial"/>
          <w:sz w:val="20"/>
          <w:szCs w:val="24"/>
        </w:rPr>
        <w:tab/>
      </w:r>
    </w:p>
    <w:p w:rsidR="00DD078D" w:rsidRPr="00FA3973" w:rsidRDefault="004F5DCB" w:rsidP="00664F7D">
      <w:pPr>
        <w:pStyle w:val="Chapter"/>
        <w:numPr>
          <w:ilvl w:val="0"/>
          <w:numId w:val="15"/>
        </w:numPr>
        <w:tabs>
          <w:tab w:val="clear" w:pos="1440"/>
          <w:tab w:val="clear" w:pos="1800"/>
          <w:tab w:val="left" w:pos="360"/>
        </w:tabs>
        <w:spacing w:before="360"/>
        <w:ind w:left="0" w:firstLine="0"/>
        <w:rPr>
          <w:rFonts w:ascii="Arial" w:hAnsi="Arial" w:cs="Arial"/>
        </w:rPr>
      </w:pPr>
      <w:bookmarkStart w:id="10" w:name="_Toc461128191"/>
      <w:bookmarkEnd w:id="5"/>
      <w:r w:rsidRPr="00FA3973">
        <w:rPr>
          <w:rFonts w:ascii="Arial" w:hAnsi="Arial" w:cs="Arial"/>
        </w:rPr>
        <w:t>Other Considerations</w:t>
      </w:r>
      <w:bookmarkEnd w:id="10"/>
    </w:p>
    <w:p w:rsidR="006960BA" w:rsidRPr="00FA3973" w:rsidRDefault="006960BA" w:rsidP="002215C1">
      <w:pPr>
        <w:pStyle w:val="Paragraph"/>
        <w:numPr>
          <w:ilvl w:val="1"/>
          <w:numId w:val="15"/>
        </w:numPr>
        <w:tabs>
          <w:tab w:val="num" w:pos="720"/>
        </w:tabs>
        <w:spacing w:afterLines="80" w:after="192"/>
        <w:ind w:left="720" w:hanging="720"/>
        <w:rPr>
          <w:rFonts w:ascii="Arial" w:hAnsi="Arial" w:cs="Arial"/>
          <w:sz w:val="22"/>
        </w:rPr>
      </w:pPr>
      <w:bookmarkStart w:id="11" w:name="_Ref387160323"/>
      <w:r w:rsidRPr="00FA3973">
        <w:rPr>
          <w:rFonts w:ascii="Arial" w:hAnsi="Arial" w:cs="Arial"/>
          <w:sz w:val="22"/>
        </w:rPr>
        <w:t xml:space="preserve">It is assumed that </w:t>
      </w:r>
      <w:r w:rsidR="00ED797D" w:rsidRPr="00FA3973">
        <w:rPr>
          <w:rFonts w:ascii="Arial" w:hAnsi="Arial" w:cs="Arial"/>
          <w:sz w:val="22"/>
        </w:rPr>
        <w:t xml:space="preserve">despite the current recession context, </w:t>
      </w:r>
      <w:r w:rsidRPr="00FA3973">
        <w:rPr>
          <w:rFonts w:ascii="Arial" w:hAnsi="Arial" w:cs="Arial"/>
          <w:sz w:val="22"/>
        </w:rPr>
        <w:t xml:space="preserve">the country will maintain a fairly stable framework and conditions conducive to </w:t>
      </w:r>
      <w:r w:rsidR="00ED797D" w:rsidRPr="00FA3973">
        <w:rPr>
          <w:rFonts w:ascii="Arial" w:hAnsi="Arial" w:cs="Arial"/>
          <w:sz w:val="22"/>
        </w:rPr>
        <w:t xml:space="preserve">sustaining </w:t>
      </w:r>
      <w:r w:rsidRPr="00FA3973">
        <w:rPr>
          <w:rFonts w:ascii="Arial" w:hAnsi="Arial" w:cs="Arial"/>
          <w:sz w:val="22"/>
        </w:rPr>
        <w:t xml:space="preserve">investment and </w:t>
      </w:r>
      <w:r w:rsidR="00ED797D" w:rsidRPr="00FA3973">
        <w:rPr>
          <w:rFonts w:ascii="Arial" w:hAnsi="Arial" w:cs="Arial"/>
          <w:sz w:val="22"/>
        </w:rPr>
        <w:t>promoting financial instruments to support it</w:t>
      </w:r>
      <w:r w:rsidRPr="00FA3973">
        <w:rPr>
          <w:rFonts w:ascii="Arial" w:hAnsi="Arial" w:cs="Arial"/>
          <w:sz w:val="22"/>
        </w:rPr>
        <w:t xml:space="preserve">. </w:t>
      </w:r>
      <w:r w:rsidR="00ED797D" w:rsidRPr="00FA3973">
        <w:rPr>
          <w:rFonts w:ascii="Arial" w:hAnsi="Arial" w:cs="Arial"/>
          <w:sz w:val="22"/>
        </w:rPr>
        <w:t>Due to the current economic environment, the program is</w:t>
      </w:r>
      <w:r w:rsidRPr="00FA3973">
        <w:rPr>
          <w:rFonts w:ascii="Arial" w:hAnsi="Arial" w:cs="Arial"/>
          <w:sz w:val="22"/>
        </w:rPr>
        <w:t xml:space="preserve"> not expected </w:t>
      </w:r>
      <w:r w:rsidR="00ED797D" w:rsidRPr="00FA3973">
        <w:rPr>
          <w:rFonts w:ascii="Arial" w:hAnsi="Arial" w:cs="Arial"/>
          <w:sz w:val="22"/>
        </w:rPr>
        <w:t>to</w:t>
      </w:r>
      <w:r w:rsidRPr="00FA3973">
        <w:rPr>
          <w:rFonts w:ascii="Arial" w:hAnsi="Arial" w:cs="Arial"/>
          <w:sz w:val="22"/>
        </w:rPr>
        <w:t xml:space="preserve"> generate a crowding out </w:t>
      </w:r>
      <w:r w:rsidR="00ED797D" w:rsidRPr="00FA3973">
        <w:rPr>
          <w:rFonts w:ascii="Arial" w:hAnsi="Arial" w:cs="Arial"/>
          <w:sz w:val="22"/>
        </w:rPr>
        <w:t xml:space="preserve">effect – </w:t>
      </w:r>
      <w:r w:rsidRPr="00FA3973">
        <w:rPr>
          <w:rFonts w:ascii="Arial" w:hAnsi="Arial" w:cs="Arial"/>
          <w:sz w:val="22"/>
        </w:rPr>
        <w:t>ei</w:t>
      </w:r>
      <w:r w:rsidR="00ED797D" w:rsidRPr="00FA3973">
        <w:rPr>
          <w:rFonts w:ascii="Arial" w:hAnsi="Arial" w:cs="Arial"/>
          <w:sz w:val="22"/>
        </w:rPr>
        <w:t>ther in terms of value added or</w:t>
      </w:r>
      <w:r w:rsidRPr="00FA3973">
        <w:rPr>
          <w:rFonts w:ascii="Arial" w:hAnsi="Arial" w:cs="Arial"/>
          <w:sz w:val="22"/>
        </w:rPr>
        <w:t xml:space="preserve"> in terms of employment </w:t>
      </w:r>
      <w:r w:rsidR="00ED797D" w:rsidRPr="00FA3973">
        <w:rPr>
          <w:rFonts w:ascii="Arial" w:hAnsi="Arial" w:cs="Arial"/>
          <w:sz w:val="22"/>
        </w:rPr>
        <w:t>–</w:t>
      </w:r>
      <w:r w:rsidRPr="00FA3973">
        <w:rPr>
          <w:rFonts w:ascii="Arial" w:hAnsi="Arial" w:cs="Arial"/>
          <w:sz w:val="22"/>
        </w:rPr>
        <w:t xml:space="preserve"> since it is assumed that the current demand exceeds supply</w:t>
      </w:r>
      <w:r w:rsidR="00ED797D" w:rsidRPr="00FA3973">
        <w:rPr>
          <w:rFonts w:ascii="Arial" w:hAnsi="Arial" w:cs="Arial"/>
          <w:sz w:val="22"/>
        </w:rPr>
        <w:t xml:space="preserve"> and</w:t>
      </w:r>
      <w:r w:rsidRPr="00FA3973">
        <w:rPr>
          <w:rFonts w:ascii="Arial" w:hAnsi="Arial" w:cs="Arial"/>
          <w:sz w:val="22"/>
        </w:rPr>
        <w:t xml:space="preserve"> </w:t>
      </w:r>
      <w:r w:rsidR="00ED797D" w:rsidRPr="00FA3973">
        <w:rPr>
          <w:rFonts w:ascii="Arial" w:hAnsi="Arial" w:cs="Arial"/>
          <w:sz w:val="22"/>
        </w:rPr>
        <w:t>the intervention of BNDES rather responds to a countercyclical role (at least in the short to</w:t>
      </w:r>
      <w:r w:rsidRPr="00FA3973">
        <w:rPr>
          <w:rFonts w:ascii="Arial" w:hAnsi="Arial" w:cs="Arial"/>
          <w:sz w:val="22"/>
        </w:rPr>
        <w:t xml:space="preserve"> medium term</w:t>
      </w:r>
      <w:r w:rsidR="00ED797D" w:rsidRPr="00FA3973">
        <w:rPr>
          <w:rFonts w:ascii="Arial" w:hAnsi="Arial" w:cs="Arial"/>
          <w:sz w:val="22"/>
        </w:rPr>
        <w:t>).</w:t>
      </w:r>
      <w:r w:rsidR="00510A79" w:rsidRPr="00FA3973">
        <w:rPr>
          <w:rFonts w:ascii="Arial" w:hAnsi="Arial" w:cs="Arial"/>
          <w:sz w:val="22"/>
        </w:rPr>
        <w:t xml:space="preserve"> Likewise, it is considered that the Program will not have a considerable effect on </w:t>
      </w:r>
      <w:r w:rsidR="00807924">
        <w:rPr>
          <w:rFonts w:ascii="Arial" w:hAnsi="Arial" w:cs="Arial"/>
          <w:sz w:val="22"/>
        </w:rPr>
        <w:t xml:space="preserve">the marginal generation cost, </w:t>
      </w:r>
      <w:r w:rsidR="00510A79" w:rsidRPr="00FA3973">
        <w:rPr>
          <w:rFonts w:ascii="Arial" w:hAnsi="Arial" w:cs="Arial"/>
          <w:sz w:val="22"/>
        </w:rPr>
        <w:t xml:space="preserve">spot market prices, and on the grid emission’s factor.  </w:t>
      </w:r>
    </w:p>
    <w:p w:rsidR="00D65516" w:rsidRPr="00FA3973" w:rsidRDefault="00D65516" w:rsidP="00D65516">
      <w:pPr>
        <w:pStyle w:val="Paragraph"/>
        <w:numPr>
          <w:ilvl w:val="1"/>
          <w:numId w:val="15"/>
        </w:numPr>
        <w:tabs>
          <w:tab w:val="num" w:pos="720"/>
        </w:tabs>
        <w:spacing w:afterLines="80" w:after="192"/>
        <w:ind w:left="720" w:hanging="720"/>
        <w:rPr>
          <w:rFonts w:ascii="Arial" w:hAnsi="Arial" w:cs="Arial"/>
          <w:sz w:val="22"/>
        </w:rPr>
      </w:pPr>
      <w:bookmarkStart w:id="12" w:name="_Ref460256498"/>
      <w:bookmarkStart w:id="13" w:name="_Ref459814494"/>
      <w:bookmarkEnd w:id="11"/>
      <w:r w:rsidRPr="00FA3973">
        <w:rPr>
          <w:rFonts w:ascii="Arial" w:hAnsi="Arial" w:cs="Arial"/>
          <w:sz w:val="22"/>
        </w:rPr>
        <w:t>The financing of ARE developments is typically based on the existence of long term contracts with the Brazilian Electricity Regulatory Agency (</w:t>
      </w:r>
      <w:hyperlink r:id="rId11" w:history="1">
        <w:r w:rsidRPr="00FA3973">
          <w:rPr>
            <w:rStyle w:val="Hyperlink"/>
            <w:rFonts w:ascii="Arial" w:hAnsi="Arial" w:cs="Arial"/>
            <w:i/>
            <w:sz w:val="22"/>
          </w:rPr>
          <w:t>Agência Nacional de Energia Elétrica</w:t>
        </w:r>
      </w:hyperlink>
      <w:r w:rsidRPr="00FA3973">
        <w:rPr>
          <w:rFonts w:ascii="Arial" w:hAnsi="Arial" w:cs="Arial"/>
          <w:sz w:val="22"/>
        </w:rPr>
        <w:t xml:space="preserve">, ANEEL), awarded via a formal bidding process based on price, which allows for a stable framework within which private developers can analyze the </w:t>
      </w:r>
      <w:r w:rsidR="00510A79" w:rsidRPr="00FA3973">
        <w:rPr>
          <w:rFonts w:ascii="Arial" w:hAnsi="Arial" w:cs="Arial"/>
          <w:sz w:val="22"/>
        </w:rPr>
        <w:t xml:space="preserve">financial </w:t>
      </w:r>
      <w:r w:rsidRPr="00FA3973">
        <w:rPr>
          <w:rFonts w:ascii="Arial" w:hAnsi="Arial" w:cs="Arial"/>
          <w:sz w:val="22"/>
        </w:rPr>
        <w:t xml:space="preserve">viability of specific projects. Hence, voluntary participation of the private sector under market conditions and at </w:t>
      </w:r>
      <w:r w:rsidR="00510A79" w:rsidRPr="00FA3973">
        <w:rPr>
          <w:rFonts w:ascii="Arial" w:hAnsi="Arial" w:cs="Arial"/>
          <w:sz w:val="22"/>
        </w:rPr>
        <w:t xml:space="preserve">a </w:t>
      </w:r>
      <w:r w:rsidRPr="00FA3973">
        <w:rPr>
          <w:rFonts w:ascii="Arial" w:hAnsi="Arial" w:cs="Arial"/>
          <w:sz w:val="22"/>
        </w:rPr>
        <w:t xml:space="preserve">bidding price is indicative that the expected value of these projects will result in net </w:t>
      </w:r>
      <w:r w:rsidR="00510A79" w:rsidRPr="00FA3973">
        <w:rPr>
          <w:rFonts w:ascii="Arial" w:hAnsi="Arial" w:cs="Arial"/>
          <w:sz w:val="22"/>
        </w:rPr>
        <w:t xml:space="preserve">financial </w:t>
      </w:r>
      <w:r w:rsidRPr="00FA3973">
        <w:rPr>
          <w:rFonts w:ascii="Arial" w:hAnsi="Arial" w:cs="Arial"/>
          <w:sz w:val="22"/>
        </w:rPr>
        <w:t xml:space="preserve">profits (i.e. </w:t>
      </w:r>
      <w:r w:rsidR="00510A79" w:rsidRPr="00FA3973">
        <w:rPr>
          <w:rFonts w:ascii="Arial" w:hAnsi="Arial" w:cs="Arial"/>
          <w:sz w:val="22"/>
        </w:rPr>
        <w:t xml:space="preserve">financial </w:t>
      </w:r>
      <w:r w:rsidRPr="00FA3973">
        <w:rPr>
          <w:rFonts w:ascii="Arial" w:hAnsi="Arial" w:cs="Arial"/>
          <w:sz w:val="22"/>
        </w:rPr>
        <w:t xml:space="preserve">costs are lower than </w:t>
      </w:r>
      <w:r w:rsidR="00510A79" w:rsidRPr="00FA3973">
        <w:rPr>
          <w:rFonts w:ascii="Arial" w:hAnsi="Arial" w:cs="Arial"/>
          <w:sz w:val="22"/>
        </w:rPr>
        <w:t xml:space="preserve">financial </w:t>
      </w:r>
      <w:r w:rsidRPr="00FA3973">
        <w:rPr>
          <w:rFonts w:ascii="Arial" w:hAnsi="Arial" w:cs="Arial"/>
          <w:sz w:val="22"/>
        </w:rPr>
        <w:t xml:space="preserve">benefits from a private perspective). In this sense, </w:t>
      </w:r>
      <w:r w:rsidR="00510A79" w:rsidRPr="00FA3973">
        <w:rPr>
          <w:rFonts w:ascii="Arial" w:hAnsi="Arial" w:cs="Arial"/>
          <w:sz w:val="22"/>
        </w:rPr>
        <w:t>the financial viability of the Program is guaranteed</w:t>
      </w:r>
      <w:r w:rsidRPr="00FA3973">
        <w:rPr>
          <w:rFonts w:ascii="Arial" w:hAnsi="Arial" w:cs="Arial"/>
          <w:sz w:val="22"/>
          <w:vertAlign w:val="superscript"/>
        </w:rPr>
        <w:footnoteReference w:id="18"/>
      </w:r>
      <w:r w:rsidRPr="00FA3973">
        <w:rPr>
          <w:rFonts w:ascii="Arial" w:hAnsi="Arial" w:cs="Arial"/>
          <w:sz w:val="22"/>
        </w:rPr>
        <w:t>.</w:t>
      </w:r>
      <w:bookmarkEnd w:id="12"/>
    </w:p>
    <w:bookmarkEnd w:id="13"/>
    <w:p w:rsidR="00ED797D" w:rsidRPr="00FA3973" w:rsidRDefault="00251449" w:rsidP="00D65516">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lastRenderedPageBreak/>
        <w:t>T</w:t>
      </w:r>
      <w:r w:rsidR="00ED797D" w:rsidRPr="00FA3973">
        <w:rPr>
          <w:rFonts w:ascii="Arial" w:hAnsi="Arial" w:cs="Arial"/>
          <w:sz w:val="22"/>
        </w:rPr>
        <w:t xml:space="preserve">he implementation of activities under the proposed program is part of a more comprehensive solution to broader institutional and structural </w:t>
      </w:r>
      <w:r w:rsidR="00CE35E6" w:rsidRPr="00FA3973">
        <w:rPr>
          <w:rFonts w:ascii="Arial" w:hAnsi="Arial" w:cs="Arial"/>
          <w:sz w:val="22"/>
        </w:rPr>
        <w:t>problems</w:t>
      </w:r>
      <w:r w:rsidR="00ED797D" w:rsidRPr="00FA3973">
        <w:rPr>
          <w:rFonts w:ascii="Arial" w:hAnsi="Arial" w:cs="Arial"/>
          <w:sz w:val="22"/>
        </w:rPr>
        <w:t xml:space="preserve"> that hinder the development of productive sectors</w:t>
      </w:r>
      <w:r w:rsidR="00FC76CB" w:rsidRPr="00FA3973">
        <w:rPr>
          <w:rFonts w:ascii="Arial" w:hAnsi="Arial" w:cs="Arial"/>
          <w:sz w:val="22"/>
        </w:rPr>
        <w:t xml:space="preserve"> in Brazil</w:t>
      </w:r>
      <w:r w:rsidR="00ED797D" w:rsidRPr="00FA3973">
        <w:rPr>
          <w:rFonts w:ascii="Arial" w:hAnsi="Arial" w:cs="Arial"/>
          <w:sz w:val="22"/>
        </w:rPr>
        <w:t xml:space="preserve">, particularly </w:t>
      </w:r>
      <w:r w:rsidR="00CE35E6" w:rsidRPr="00FA3973">
        <w:rPr>
          <w:rFonts w:ascii="Arial" w:hAnsi="Arial" w:cs="Arial"/>
          <w:sz w:val="22"/>
        </w:rPr>
        <w:t xml:space="preserve">the </w:t>
      </w:r>
      <w:r w:rsidR="00ED797D" w:rsidRPr="00FA3973">
        <w:rPr>
          <w:rFonts w:ascii="Arial" w:hAnsi="Arial" w:cs="Arial"/>
          <w:sz w:val="22"/>
        </w:rPr>
        <w:t>energy</w:t>
      </w:r>
      <w:r w:rsidR="00CE35E6" w:rsidRPr="00FA3973">
        <w:rPr>
          <w:rFonts w:ascii="Arial" w:hAnsi="Arial" w:cs="Arial"/>
          <w:sz w:val="22"/>
        </w:rPr>
        <w:t xml:space="preserve"> sector</w:t>
      </w:r>
      <w:r w:rsidR="00ED797D" w:rsidRPr="00FA3973">
        <w:rPr>
          <w:rFonts w:ascii="Arial" w:hAnsi="Arial" w:cs="Arial"/>
          <w:sz w:val="22"/>
        </w:rPr>
        <w:t xml:space="preserve">. The </w:t>
      </w:r>
      <w:r w:rsidR="00FC76CB" w:rsidRPr="00FA3973">
        <w:rPr>
          <w:rFonts w:ascii="Arial" w:hAnsi="Arial" w:cs="Arial"/>
          <w:sz w:val="22"/>
        </w:rPr>
        <w:t xml:space="preserve">limited scope of the </w:t>
      </w:r>
      <w:r w:rsidR="00ED797D" w:rsidRPr="00FA3973">
        <w:rPr>
          <w:rFonts w:ascii="Arial" w:hAnsi="Arial" w:cs="Arial"/>
          <w:sz w:val="22"/>
        </w:rPr>
        <w:t xml:space="preserve">program does not </w:t>
      </w:r>
      <w:r w:rsidR="00FC76CB" w:rsidRPr="00FA3973">
        <w:rPr>
          <w:rFonts w:ascii="Arial" w:hAnsi="Arial" w:cs="Arial"/>
          <w:sz w:val="22"/>
        </w:rPr>
        <w:t xml:space="preserve">allow for </w:t>
      </w:r>
      <w:r w:rsidR="00ED797D" w:rsidRPr="00FA3973">
        <w:rPr>
          <w:rFonts w:ascii="Arial" w:hAnsi="Arial" w:cs="Arial"/>
          <w:sz w:val="22"/>
        </w:rPr>
        <w:t>address</w:t>
      </w:r>
      <w:r w:rsidR="00FC76CB" w:rsidRPr="00FA3973">
        <w:rPr>
          <w:rFonts w:ascii="Arial" w:hAnsi="Arial" w:cs="Arial"/>
          <w:sz w:val="22"/>
        </w:rPr>
        <w:t>ing</w:t>
      </w:r>
      <w:r w:rsidR="00CE35E6" w:rsidRPr="00FA3973">
        <w:rPr>
          <w:rFonts w:ascii="Arial" w:hAnsi="Arial" w:cs="Arial"/>
          <w:sz w:val="22"/>
        </w:rPr>
        <w:t xml:space="preserve"> all these problems</w:t>
      </w:r>
      <w:r w:rsidR="00FC76CB" w:rsidRPr="00FA3973">
        <w:rPr>
          <w:rFonts w:ascii="Arial" w:hAnsi="Arial" w:cs="Arial"/>
          <w:sz w:val="22"/>
        </w:rPr>
        <w:t>.</w:t>
      </w:r>
      <w:r w:rsidR="00ED797D" w:rsidRPr="00FA3973">
        <w:rPr>
          <w:rFonts w:ascii="Arial" w:hAnsi="Arial" w:cs="Arial"/>
          <w:sz w:val="22"/>
        </w:rPr>
        <w:t xml:space="preserve"> </w:t>
      </w:r>
      <w:r w:rsidR="00FC76CB" w:rsidRPr="00FA3973">
        <w:rPr>
          <w:rFonts w:ascii="Arial" w:hAnsi="Arial" w:cs="Arial"/>
          <w:sz w:val="22"/>
        </w:rPr>
        <w:t>I</w:t>
      </w:r>
      <w:r w:rsidR="00ED797D" w:rsidRPr="00FA3973">
        <w:rPr>
          <w:rFonts w:ascii="Arial" w:hAnsi="Arial" w:cs="Arial"/>
          <w:sz w:val="22"/>
        </w:rPr>
        <w:t xml:space="preserve">n that sense, it should be considered that </w:t>
      </w:r>
      <w:r w:rsidRPr="00FA3973">
        <w:rPr>
          <w:rFonts w:ascii="Arial" w:hAnsi="Arial" w:cs="Arial"/>
          <w:sz w:val="22"/>
        </w:rPr>
        <w:t xml:space="preserve">a </w:t>
      </w:r>
      <w:r w:rsidR="00ED797D" w:rsidRPr="00FA3973">
        <w:rPr>
          <w:rFonts w:ascii="Arial" w:hAnsi="Arial" w:cs="Arial"/>
          <w:sz w:val="22"/>
        </w:rPr>
        <w:t xml:space="preserve">quantification of each and every </w:t>
      </w:r>
      <w:r w:rsidR="00FC76CB" w:rsidRPr="00FA3973">
        <w:rPr>
          <w:rFonts w:ascii="Arial" w:hAnsi="Arial" w:cs="Arial"/>
          <w:sz w:val="22"/>
        </w:rPr>
        <w:t>element</w:t>
      </w:r>
      <w:r w:rsidR="00ED797D" w:rsidRPr="00FA3973">
        <w:rPr>
          <w:rFonts w:ascii="Arial" w:hAnsi="Arial" w:cs="Arial"/>
          <w:sz w:val="22"/>
        </w:rPr>
        <w:t xml:space="preserve"> </w:t>
      </w:r>
      <w:r w:rsidR="00FC76CB" w:rsidRPr="00FA3973">
        <w:rPr>
          <w:rFonts w:ascii="Arial" w:hAnsi="Arial" w:cs="Arial"/>
          <w:sz w:val="22"/>
        </w:rPr>
        <w:t>that may affect the development of the sector</w:t>
      </w:r>
      <w:r w:rsidR="00ED797D" w:rsidRPr="00FA3973">
        <w:rPr>
          <w:rFonts w:ascii="Arial" w:hAnsi="Arial" w:cs="Arial"/>
          <w:sz w:val="22"/>
        </w:rPr>
        <w:t xml:space="preserve"> </w:t>
      </w:r>
      <w:r w:rsidR="00FC76CB" w:rsidRPr="00FA3973">
        <w:rPr>
          <w:rFonts w:ascii="Arial" w:hAnsi="Arial" w:cs="Arial"/>
          <w:sz w:val="22"/>
        </w:rPr>
        <w:t>is</w:t>
      </w:r>
      <w:r w:rsidR="00ED797D" w:rsidRPr="00FA3973">
        <w:rPr>
          <w:rFonts w:ascii="Arial" w:hAnsi="Arial" w:cs="Arial"/>
          <w:sz w:val="22"/>
        </w:rPr>
        <w:t xml:space="preserve"> not incorporated in this analysis</w:t>
      </w:r>
      <w:r w:rsidR="00FC76CB" w:rsidRPr="00FA3973">
        <w:rPr>
          <w:rFonts w:ascii="Arial" w:hAnsi="Arial" w:cs="Arial"/>
          <w:sz w:val="22"/>
        </w:rPr>
        <w:t>.</w:t>
      </w:r>
    </w:p>
    <w:p w:rsidR="00CE35E6" w:rsidRPr="00FA3973" w:rsidRDefault="00380B19" w:rsidP="004529E6">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The analysis</w:t>
      </w:r>
      <w:r w:rsidR="002215C1" w:rsidRPr="00FA3973">
        <w:rPr>
          <w:rFonts w:ascii="Arial" w:hAnsi="Arial" w:cs="Arial"/>
          <w:sz w:val="22"/>
        </w:rPr>
        <w:t xml:space="preserve"> </w:t>
      </w:r>
      <w:r w:rsidR="0036408E">
        <w:rPr>
          <w:rFonts w:ascii="Arial" w:hAnsi="Arial" w:cs="Arial"/>
          <w:sz w:val="22"/>
        </w:rPr>
        <w:t>is very conservative, as it</w:t>
      </w:r>
      <w:r w:rsidR="0036408E" w:rsidRPr="00FA3973">
        <w:rPr>
          <w:rFonts w:ascii="Arial" w:hAnsi="Arial" w:cs="Arial"/>
          <w:sz w:val="22"/>
        </w:rPr>
        <w:t xml:space="preserve"> </w:t>
      </w:r>
      <w:r w:rsidR="00CE35E6" w:rsidRPr="00FA3973">
        <w:rPr>
          <w:rFonts w:ascii="Arial" w:hAnsi="Arial" w:cs="Arial"/>
          <w:sz w:val="22"/>
        </w:rPr>
        <w:t xml:space="preserve">leaves out a number of positive externalities which are not possible to quantify accurately. These </w:t>
      </w:r>
      <w:r w:rsidR="00013FE0" w:rsidRPr="00FA3973">
        <w:rPr>
          <w:rFonts w:ascii="Arial" w:hAnsi="Arial" w:cs="Arial"/>
          <w:sz w:val="22"/>
        </w:rPr>
        <w:t xml:space="preserve">additional benefits </w:t>
      </w:r>
      <w:r w:rsidR="001016A1" w:rsidRPr="00FA3973">
        <w:rPr>
          <w:rFonts w:ascii="Arial" w:hAnsi="Arial" w:cs="Arial"/>
          <w:sz w:val="22"/>
        </w:rPr>
        <w:t>include: (i) </w:t>
      </w:r>
      <w:r w:rsidR="00CE35E6" w:rsidRPr="00FA3973">
        <w:rPr>
          <w:rFonts w:ascii="Arial" w:hAnsi="Arial" w:cs="Arial"/>
          <w:sz w:val="22"/>
        </w:rPr>
        <w:t>generating direct and indirect jobs</w:t>
      </w:r>
      <w:r w:rsidR="00A32A40" w:rsidRPr="00FA3973">
        <w:rPr>
          <w:rFonts w:ascii="Arial" w:hAnsi="Arial" w:cs="Arial"/>
          <w:sz w:val="22"/>
        </w:rPr>
        <w:t xml:space="preserve"> during construction</w:t>
      </w:r>
      <w:r w:rsidR="001016A1" w:rsidRPr="00FA3973">
        <w:rPr>
          <w:rFonts w:ascii="Arial" w:hAnsi="Arial" w:cs="Arial"/>
          <w:sz w:val="22"/>
        </w:rPr>
        <w:t>; (ii) </w:t>
      </w:r>
      <w:r w:rsidR="00CE35E6" w:rsidRPr="00FA3973">
        <w:rPr>
          <w:rFonts w:ascii="Arial" w:hAnsi="Arial" w:cs="Arial"/>
          <w:sz w:val="22"/>
        </w:rPr>
        <w:t>contribution to the competitiveness of the country</w:t>
      </w:r>
      <w:r w:rsidR="001016A1" w:rsidRPr="00FA3973">
        <w:rPr>
          <w:rFonts w:ascii="Arial" w:hAnsi="Arial" w:cs="Arial"/>
          <w:sz w:val="22"/>
        </w:rPr>
        <w:t>’s economy; (iii) </w:t>
      </w:r>
      <w:r w:rsidR="00CE35E6" w:rsidRPr="00FA3973">
        <w:rPr>
          <w:rFonts w:ascii="Arial" w:hAnsi="Arial" w:cs="Arial"/>
          <w:sz w:val="22"/>
        </w:rPr>
        <w:t xml:space="preserve">reduction of the risk of </w:t>
      </w:r>
      <w:r w:rsidR="00CA0F4E" w:rsidRPr="00FA3973">
        <w:rPr>
          <w:rFonts w:ascii="Arial" w:hAnsi="Arial" w:cs="Arial"/>
          <w:sz w:val="22"/>
        </w:rPr>
        <w:t xml:space="preserve">volatility of </w:t>
      </w:r>
      <w:r w:rsidR="00CE35E6" w:rsidRPr="00FA3973">
        <w:rPr>
          <w:rFonts w:ascii="Arial" w:hAnsi="Arial" w:cs="Arial"/>
          <w:sz w:val="22"/>
        </w:rPr>
        <w:t>price</w:t>
      </w:r>
      <w:r w:rsidR="00CA0F4E" w:rsidRPr="00FA3973">
        <w:rPr>
          <w:rFonts w:ascii="Arial" w:hAnsi="Arial" w:cs="Arial"/>
          <w:sz w:val="22"/>
        </w:rPr>
        <w:t>s</w:t>
      </w:r>
      <w:r w:rsidR="00CE35E6" w:rsidRPr="00FA3973">
        <w:rPr>
          <w:rFonts w:ascii="Arial" w:hAnsi="Arial" w:cs="Arial"/>
          <w:sz w:val="22"/>
        </w:rPr>
        <w:t xml:space="preserve"> and</w:t>
      </w:r>
      <w:r w:rsidR="00CA0F4E" w:rsidRPr="00FA3973">
        <w:rPr>
          <w:rFonts w:ascii="Arial" w:hAnsi="Arial" w:cs="Arial"/>
          <w:sz w:val="22"/>
        </w:rPr>
        <w:t xml:space="preserve"> balance of payments</w:t>
      </w:r>
      <w:r w:rsidR="00CA0F4E" w:rsidRPr="00FA3973">
        <w:rPr>
          <w:rFonts w:ascii="Arial" w:hAnsi="Arial" w:cs="Arial"/>
          <w:sz w:val="22"/>
          <w:vertAlign w:val="superscript"/>
        </w:rPr>
        <w:footnoteReference w:id="19"/>
      </w:r>
      <w:r w:rsidR="00013FE0" w:rsidRPr="00FA3973">
        <w:rPr>
          <w:rFonts w:ascii="Arial" w:hAnsi="Arial" w:cs="Arial"/>
          <w:sz w:val="22"/>
        </w:rPr>
        <w:t>; (iv) reducing the vulnerability of the system to dry seasons</w:t>
      </w:r>
      <w:r w:rsidR="00EB467C" w:rsidRPr="00FA3973">
        <w:rPr>
          <w:rFonts w:ascii="Arial" w:hAnsi="Arial" w:cs="Arial"/>
          <w:sz w:val="22"/>
        </w:rPr>
        <w:t>, and the resulting energy shortages (which are valued at &gt; R$3000/MWh by EPE’s planning exercises)</w:t>
      </w:r>
      <w:r w:rsidR="00CE35E6" w:rsidRPr="00FA3973">
        <w:rPr>
          <w:rFonts w:ascii="Arial" w:hAnsi="Arial" w:cs="Arial"/>
          <w:sz w:val="22"/>
        </w:rPr>
        <w:t>.</w:t>
      </w:r>
      <w:r w:rsidR="0036408E">
        <w:rPr>
          <w:rFonts w:ascii="Arial" w:hAnsi="Arial" w:cs="Arial"/>
          <w:sz w:val="22"/>
        </w:rPr>
        <w:t xml:space="preserve"> Hence, the benefits should be considered as a lower bound estimate.</w:t>
      </w:r>
    </w:p>
    <w:p w:rsidR="00107710" w:rsidRPr="00FA3973" w:rsidRDefault="00107710" w:rsidP="00F83FDB">
      <w:pPr>
        <w:pStyle w:val="Chapter"/>
        <w:numPr>
          <w:ilvl w:val="0"/>
          <w:numId w:val="15"/>
        </w:numPr>
        <w:tabs>
          <w:tab w:val="clear" w:pos="1440"/>
          <w:tab w:val="clear" w:pos="1800"/>
          <w:tab w:val="left" w:pos="360"/>
        </w:tabs>
        <w:spacing w:before="360"/>
        <w:ind w:left="0" w:firstLine="0"/>
        <w:rPr>
          <w:rFonts w:ascii="Arial" w:hAnsi="Arial" w:cs="Arial"/>
        </w:rPr>
      </w:pPr>
      <w:bookmarkStart w:id="14" w:name="_Toc461128192"/>
      <w:bookmarkStart w:id="15" w:name="_Toc298764672"/>
      <w:r w:rsidRPr="00FA3973">
        <w:rPr>
          <w:rFonts w:ascii="Arial" w:hAnsi="Arial" w:cs="Arial"/>
        </w:rPr>
        <w:t xml:space="preserve">Results </w:t>
      </w:r>
      <w:r w:rsidR="004F5DCB" w:rsidRPr="00FA3973">
        <w:rPr>
          <w:rFonts w:ascii="Arial" w:hAnsi="Arial" w:cs="Arial"/>
        </w:rPr>
        <w:t>of the</w:t>
      </w:r>
      <w:r w:rsidRPr="00FA3973">
        <w:rPr>
          <w:rFonts w:ascii="Arial" w:hAnsi="Arial" w:cs="Arial"/>
        </w:rPr>
        <w:t xml:space="preserve"> An</w:t>
      </w:r>
      <w:r w:rsidR="004F5DCB" w:rsidRPr="00FA3973">
        <w:rPr>
          <w:rFonts w:ascii="Arial" w:hAnsi="Arial" w:cs="Arial"/>
        </w:rPr>
        <w:t>a</w:t>
      </w:r>
      <w:r w:rsidRPr="00FA3973">
        <w:rPr>
          <w:rFonts w:ascii="Arial" w:hAnsi="Arial" w:cs="Arial"/>
        </w:rPr>
        <w:t>l</w:t>
      </w:r>
      <w:r w:rsidR="004F5DCB" w:rsidRPr="00FA3973">
        <w:rPr>
          <w:rFonts w:ascii="Arial" w:hAnsi="Arial" w:cs="Arial"/>
        </w:rPr>
        <w:t>y</w:t>
      </w:r>
      <w:r w:rsidRPr="00FA3973">
        <w:rPr>
          <w:rFonts w:ascii="Arial" w:hAnsi="Arial" w:cs="Arial"/>
        </w:rPr>
        <w:t>sis</w:t>
      </w:r>
      <w:bookmarkEnd w:id="14"/>
    </w:p>
    <w:p w:rsidR="00184BA6" w:rsidRPr="00FA3973" w:rsidRDefault="00D11AFB" w:rsidP="00F83FD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Based on the considerations described in the sections above, projections were built for a cash flow structure of </w:t>
      </w:r>
      <w:r w:rsidR="00184BA6" w:rsidRPr="00FA3973">
        <w:rPr>
          <w:rFonts w:ascii="Arial" w:hAnsi="Arial" w:cs="Arial"/>
          <w:sz w:val="22"/>
        </w:rPr>
        <w:t xml:space="preserve">aggregated </w:t>
      </w:r>
      <w:r w:rsidRPr="00FA3973">
        <w:rPr>
          <w:rFonts w:ascii="Arial" w:hAnsi="Arial" w:cs="Arial"/>
          <w:sz w:val="22"/>
        </w:rPr>
        <w:t>annual benefits and costs for the program. The discounted value of these cash flows, this is to say the net present value of the program is</w:t>
      </w:r>
      <w:r w:rsidR="00107710" w:rsidRPr="00FA3973">
        <w:rPr>
          <w:rFonts w:ascii="Arial" w:hAnsi="Arial" w:cs="Arial"/>
          <w:sz w:val="22"/>
        </w:rPr>
        <w:t xml:space="preserve"> US</w:t>
      </w:r>
      <w:r w:rsidRPr="00FA3973">
        <w:rPr>
          <w:rFonts w:ascii="Arial" w:hAnsi="Arial" w:cs="Arial"/>
          <w:sz w:val="22"/>
        </w:rPr>
        <w:t>$</w:t>
      </w:r>
      <w:r w:rsidR="00430159">
        <w:rPr>
          <w:rFonts w:ascii="Arial" w:hAnsi="Arial" w:cs="Arial"/>
          <w:sz w:val="22"/>
        </w:rPr>
        <w:t>496.26</w:t>
      </w:r>
      <w:r w:rsidR="001707E2" w:rsidRPr="00FA3973">
        <w:rPr>
          <w:rFonts w:ascii="Arial" w:hAnsi="Arial" w:cs="Arial"/>
          <w:sz w:val="22"/>
        </w:rPr>
        <w:t xml:space="preserve"> </w:t>
      </w:r>
      <w:r w:rsidR="00107710" w:rsidRPr="00FA3973">
        <w:rPr>
          <w:rFonts w:ascii="Arial" w:hAnsi="Arial" w:cs="Arial"/>
          <w:sz w:val="22"/>
        </w:rPr>
        <w:t>mill</w:t>
      </w:r>
      <w:r w:rsidRPr="00FA3973">
        <w:rPr>
          <w:rFonts w:ascii="Arial" w:hAnsi="Arial" w:cs="Arial"/>
          <w:sz w:val="22"/>
        </w:rPr>
        <w:t>ion. A table with the detailed calculations for the period of analysis is shown in annex I</w:t>
      </w:r>
      <w:r w:rsidR="004B5334">
        <w:rPr>
          <w:rFonts w:ascii="Arial" w:hAnsi="Arial" w:cs="Arial"/>
          <w:sz w:val="22"/>
        </w:rPr>
        <w:t>I</w:t>
      </w:r>
      <w:r w:rsidR="00184BA6" w:rsidRPr="00FA3973">
        <w:rPr>
          <w:rFonts w:ascii="Arial" w:hAnsi="Arial" w:cs="Arial"/>
          <w:sz w:val="22"/>
        </w:rPr>
        <w:t>.</w:t>
      </w:r>
    </w:p>
    <w:tbl>
      <w:tblPr>
        <w:tblStyle w:val="LightShading-Accent11"/>
        <w:tblW w:w="7920" w:type="dxa"/>
        <w:tblInd w:w="828" w:type="dxa"/>
        <w:tblLook w:val="04A0" w:firstRow="1" w:lastRow="0" w:firstColumn="1" w:lastColumn="0" w:noHBand="0" w:noVBand="1"/>
      </w:tblPr>
      <w:tblGrid>
        <w:gridCol w:w="3780"/>
        <w:gridCol w:w="990"/>
        <w:gridCol w:w="908"/>
        <w:gridCol w:w="442"/>
        <w:gridCol w:w="1800"/>
      </w:tblGrid>
      <w:tr w:rsidR="00107710" w:rsidRPr="00FA3973" w:rsidTr="00A55D5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920" w:type="dxa"/>
            <w:gridSpan w:val="5"/>
            <w:tcBorders>
              <w:top w:val="nil"/>
              <w:bottom w:val="nil"/>
            </w:tcBorders>
            <w:hideMark/>
          </w:tcPr>
          <w:p w:rsidR="00107710" w:rsidRPr="00FA3973" w:rsidRDefault="00966481" w:rsidP="007132FE">
            <w:pPr>
              <w:spacing w:before="40" w:after="40"/>
              <w:rPr>
                <w:rFonts w:ascii="Arial" w:eastAsia="Times New Roman" w:hAnsi="Arial" w:cs="Arial"/>
                <w:color w:val="000000"/>
                <w:sz w:val="20"/>
                <w:szCs w:val="20"/>
              </w:rPr>
            </w:pPr>
            <w:r w:rsidRPr="00FA3973">
              <w:rPr>
                <w:rFonts w:ascii="Arial" w:eastAsia="Times New Roman" w:hAnsi="Arial" w:cs="Arial"/>
                <w:bCs w:val="0"/>
                <w:sz w:val="20"/>
                <w:szCs w:val="20"/>
              </w:rPr>
              <w:t>Table</w:t>
            </w:r>
            <w:r w:rsidR="00107710" w:rsidRPr="00FA3973">
              <w:rPr>
                <w:rFonts w:ascii="Arial" w:eastAsia="Times New Roman" w:hAnsi="Arial" w:cs="Arial"/>
                <w:bCs w:val="0"/>
                <w:sz w:val="20"/>
                <w:szCs w:val="20"/>
              </w:rPr>
              <w:t xml:space="preserve"> </w:t>
            </w:r>
            <w:r w:rsidR="004577C5" w:rsidRPr="00FA3973">
              <w:rPr>
                <w:rFonts w:ascii="Arial" w:eastAsia="Times New Roman" w:hAnsi="Arial" w:cs="Arial"/>
                <w:bCs w:val="0"/>
                <w:sz w:val="20"/>
                <w:szCs w:val="20"/>
              </w:rPr>
              <w:t>5</w:t>
            </w:r>
            <w:r w:rsidR="00107710" w:rsidRPr="00FA3973">
              <w:rPr>
                <w:rFonts w:ascii="Arial" w:eastAsia="Times New Roman" w:hAnsi="Arial" w:cs="Arial"/>
                <w:bCs w:val="0"/>
                <w:sz w:val="20"/>
                <w:szCs w:val="20"/>
              </w:rPr>
              <w:t xml:space="preserve">.1.- </w:t>
            </w:r>
            <w:r w:rsidR="00CE35E6" w:rsidRPr="00FA3973">
              <w:rPr>
                <w:rFonts w:ascii="Arial" w:eastAsia="Times New Roman" w:hAnsi="Arial" w:cs="Arial"/>
                <w:bCs w:val="0"/>
                <w:sz w:val="20"/>
                <w:szCs w:val="20"/>
              </w:rPr>
              <w:t>Summary of results</w:t>
            </w:r>
          </w:p>
        </w:tc>
      </w:tr>
      <w:tr w:rsidR="00107710" w:rsidRPr="00FA3973" w:rsidTr="00A55D5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80" w:type="dxa"/>
            <w:tcBorders>
              <w:top w:val="nil"/>
              <w:bottom w:val="single" w:sz="8" w:space="0" w:color="4F81BD" w:themeColor="accent1"/>
            </w:tcBorders>
            <w:hideMark/>
          </w:tcPr>
          <w:p w:rsidR="00107710" w:rsidRPr="00FA3973" w:rsidRDefault="00107710" w:rsidP="00476A4E">
            <w:pPr>
              <w:rPr>
                <w:rFonts w:ascii="Arial" w:eastAsia="Times New Roman" w:hAnsi="Arial" w:cs="Arial"/>
                <w:b w:val="0"/>
                <w:bCs w:val="0"/>
                <w:sz w:val="20"/>
                <w:szCs w:val="20"/>
              </w:rPr>
            </w:pPr>
          </w:p>
        </w:tc>
        <w:tc>
          <w:tcPr>
            <w:tcW w:w="990" w:type="dxa"/>
            <w:tcBorders>
              <w:top w:val="nil"/>
              <w:bottom w:val="single" w:sz="8" w:space="0" w:color="4F81BD" w:themeColor="accent1"/>
            </w:tcBorders>
            <w:noWrap/>
            <w:hideMark/>
          </w:tcPr>
          <w:p w:rsidR="00107710" w:rsidRPr="00FA3973" w:rsidRDefault="00107710" w:rsidP="00476A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c>
        <w:tc>
          <w:tcPr>
            <w:tcW w:w="908" w:type="dxa"/>
            <w:tcBorders>
              <w:top w:val="nil"/>
              <w:bottom w:val="single" w:sz="8" w:space="0" w:color="4F81BD" w:themeColor="accent1"/>
            </w:tcBorders>
            <w:noWrap/>
            <w:hideMark/>
          </w:tcPr>
          <w:p w:rsidR="00107710" w:rsidRPr="00FA3973" w:rsidRDefault="00107710" w:rsidP="00476A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c>
        <w:tc>
          <w:tcPr>
            <w:tcW w:w="442" w:type="dxa"/>
            <w:tcBorders>
              <w:top w:val="nil"/>
              <w:bottom w:val="single" w:sz="8" w:space="0" w:color="4F81BD" w:themeColor="accent1"/>
            </w:tcBorders>
            <w:noWrap/>
            <w:hideMark/>
          </w:tcPr>
          <w:p w:rsidR="00107710" w:rsidRPr="00FA3973" w:rsidRDefault="00107710" w:rsidP="00476A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c>
        <w:tc>
          <w:tcPr>
            <w:tcW w:w="1800" w:type="dxa"/>
            <w:tcBorders>
              <w:top w:val="nil"/>
              <w:bottom w:val="single" w:sz="8" w:space="0" w:color="4F81BD" w:themeColor="accent1"/>
            </w:tcBorders>
          </w:tcPr>
          <w:p w:rsidR="00107710" w:rsidRPr="00FA3973" w:rsidRDefault="00DA2200" w:rsidP="00D6551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FA3973">
              <w:rPr>
                <w:rFonts w:ascii="Arial" w:eastAsia="Times New Roman" w:hAnsi="Arial" w:cs="Arial"/>
                <w:b/>
                <w:sz w:val="20"/>
                <w:szCs w:val="20"/>
              </w:rPr>
              <w:t>Value</w:t>
            </w:r>
          </w:p>
        </w:tc>
      </w:tr>
      <w:tr w:rsidR="00107710" w:rsidRPr="00FA3973" w:rsidTr="00ED309F">
        <w:trPr>
          <w:trHeight w:val="292"/>
        </w:trPr>
        <w:tc>
          <w:tcPr>
            <w:cnfStyle w:val="001000000000" w:firstRow="0" w:lastRow="0" w:firstColumn="1" w:lastColumn="0" w:oddVBand="0" w:evenVBand="0" w:oddHBand="0" w:evenHBand="0" w:firstRowFirstColumn="0" w:firstRowLastColumn="0" w:lastRowFirstColumn="0" w:lastRowLastColumn="0"/>
            <w:tcW w:w="3780" w:type="dxa"/>
            <w:hideMark/>
          </w:tcPr>
          <w:p w:rsidR="00107710" w:rsidRPr="00FA3973" w:rsidRDefault="00D65516" w:rsidP="007132FE">
            <w:pPr>
              <w:spacing w:before="40" w:after="40"/>
              <w:rPr>
                <w:rFonts w:ascii="Arial" w:eastAsia="Times New Roman" w:hAnsi="Arial" w:cs="Arial"/>
                <w:b w:val="0"/>
                <w:sz w:val="20"/>
                <w:szCs w:val="20"/>
              </w:rPr>
            </w:pPr>
            <w:r w:rsidRPr="00FA3973">
              <w:rPr>
                <w:rFonts w:ascii="Arial" w:eastAsia="Times New Roman" w:hAnsi="Arial" w:cs="Arial"/>
                <w:b w:val="0"/>
                <w:sz w:val="20"/>
                <w:szCs w:val="20"/>
              </w:rPr>
              <w:t xml:space="preserve">Net </w:t>
            </w:r>
            <w:r w:rsidR="00DA2200" w:rsidRPr="00FA3973">
              <w:rPr>
                <w:rFonts w:ascii="Arial" w:eastAsia="Times New Roman" w:hAnsi="Arial" w:cs="Arial"/>
                <w:b w:val="0"/>
                <w:sz w:val="20"/>
                <w:szCs w:val="20"/>
              </w:rPr>
              <w:t>Present Value (USD)</w:t>
            </w:r>
          </w:p>
        </w:tc>
        <w:tc>
          <w:tcPr>
            <w:tcW w:w="990" w:type="dxa"/>
            <w:noWrap/>
            <w:hideMark/>
          </w:tcPr>
          <w:p w:rsidR="00107710" w:rsidRPr="00FA3973" w:rsidRDefault="00107710" w:rsidP="00F67BDB">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c>
          <w:tcPr>
            <w:tcW w:w="908" w:type="dxa"/>
            <w:noWrap/>
            <w:hideMark/>
          </w:tcPr>
          <w:p w:rsidR="00107710" w:rsidRPr="00FA3973" w:rsidRDefault="00107710" w:rsidP="00F67BDB">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c>
          <w:tcPr>
            <w:tcW w:w="442" w:type="dxa"/>
            <w:tcBorders>
              <w:right w:val="single" w:sz="8" w:space="0" w:color="4F81BD" w:themeColor="accent1"/>
            </w:tcBorders>
            <w:noWrap/>
            <w:hideMark/>
          </w:tcPr>
          <w:p w:rsidR="00107710" w:rsidRPr="00FA3973" w:rsidRDefault="00107710" w:rsidP="00F67BDB">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p>
        </w:tc>
        <w:tc>
          <w:tcPr>
            <w:tcW w:w="1800" w:type="dxa"/>
            <w:tcBorders>
              <w:top w:val="nil"/>
              <w:left w:val="single" w:sz="8" w:space="0" w:color="4F81BD" w:themeColor="accent1"/>
              <w:bottom w:val="nil"/>
            </w:tcBorders>
          </w:tcPr>
          <w:p w:rsidR="00107710" w:rsidRPr="00FA3973" w:rsidRDefault="00430159" w:rsidP="0036408E">
            <w:pPr>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Pr>
                <w:rFonts w:ascii="Arial" w:eastAsia="Times New Roman" w:hAnsi="Arial" w:cs="Arial"/>
                <w:b/>
                <w:sz w:val="20"/>
                <w:szCs w:val="20"/>
              </w:rPr>
              <w:t>496.26</w:t>
            </w:r>
          </w:p>
        </w:tc>
      </w:tr>
      <w:tr w:rsidR="00DA2200" w:rsidRPr="00FA3973" w:rsidTr="00A55D5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80" w:type="dxa"/>
          </w:tcPr>
          <w:p w:rsidR="00DA2200" w:rsidRPr="00FA3973" w:rsidRDefault="00DA2200" w:rsidP="00DA2200">
            <w:pPr>
              <w:spacing w:before="40" w:after="40"/>
              <w:rPr>
                <w:rFonts w:ascii="Arial" w:eastAsia="Times New Roman" w:hAnsi="Arial" w:cs="Arial"/>
                <w:b w:val="0"/>
                <w:sz w:val="20"/>
                <w:szCs w:val="20"/>
              </w:rPr>
            </w:pPr>
            <w:r w:rsidRPr="00FA3973">
              <w:rPr>
                <w:rFonts w:ascii="Arial" w:eastAsia="Times New Roman" w:hAnsi="Arial" w:cs="Arial"/>
                <w:b w:val="0"/>
                <w:sz w:val="20"/>
                <w:szCs w:val="20"/>
              </w:rPr>
              <w:t>Internal Rate of Return</w:t>
            </w:r>
          </w:p>
        </w:tc>
        <w:tc>
          <w:tcPr>
            <w:tcW w:w="990" w:type="dxa"/>
            <w:noWrap/>
          </w:tcPr>
          <w:p w:rsidR="00DA2200" w:rsidRPr="00FA3973" w:rsidRDefault="00DA2200" w:rsidP="00F67BDB">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908" w:type="dxa"/>
            <w:noWrap/>
          </w:tcPr>
          <w:p w:rsidR="00DA2200" w:rsidRPr="00FA3973" w:rsidRDefault="00DA2200" w:rsidP="00F67BDB">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442" w:type="dxa"/>
            <w:tcBorders>
              <w:right w:val="single" w:sz="8" w:space="0" w:color="4F81BD" w:themeColor="accent1"/>
            </w:tcBorders>
            <w:noWrap/>
          </w:tcPr>
          <w:p w:rsidR="00DA2200" w:rsidRPr="00FA3973" w:rsidRDefault="00DA2200" w:rsidP="00F67BDB">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c>
          <w:tcPr>
            <w:tcW w:w="1800" w:type="dxa"/>
            <w:tcBorders>
              <w:top w:val="nil"/>
              <w:left w:val="single" w:sz="8" w:space="0" w:color="4F81BD" w:themeColor="accent1"/>
              <w:bottom w:val="single" w:sz="8" w:space="0" w:color="4F81BD" w:themeColor="accent1"/>
            </w:tcBorders>
          </w:tcPr>
          <w:p w:rsidR="00DA2200" w:rsidRPr="00FA3973" w:rsidDel="00DA2200" w:rsidRDefault="00430159" w:rsidP="00957A14">
            <w:pPr>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Pr>
                <w:rFonts w:ascii="Arial" w:eastAsia="Times New Roman" w:hAnsi="Arial" w:cs="Arial"/>
                <w:b/>
                <w:sz w:val="20"/>
                <w:szCs w:val="20"/>
              </w:rPr>
              <w:t>18.</w:t>
            </w:r>
            <w:r w:rsidR="007D1695">
              <w:rPr>
                <w:rFonts w:ascii="Arial" w:eastAsia="Times New Roman" w:hAnsi="Arial" w:cs="Arial"/>
                <w:b/>
                <w:sz w:val="20"/>
                <w:szCs w:val="20"/>
              </w:rPr>
              <w:t>3</w:t>
            </w:r>
            <w:r w:rsidR="00DA2200" w:rsidRPr="00FA3973">
              <w:rPr>
                <w:rFonts w:ascii="Arial" w:eastAsia="Times New Roman" w:hAnsi="Arial" w:cs="Arial"/>
                <w:b/>
                <w:sz w:val="20"/>
                <w:szCs w:val="20"/>
              </w:rPr>
              <w:t>%</w:t>
            </w:r>
          </w:p>
        </w:tc>
      </w:tr>
    </w:tbl>
    <w:p w:rsidR="00E5795B" w:rsidRPr="00FA3973" w:rsidRDefault="00E5795B" w:rsidP="00F83FDB">
      <w:pPr>
        <w:pStyle w:val="Chapter"/>
        <w:numPr>
          <w:ilvl w:val="0"/>
          <w:numId w:val="15"/>
        </w:numPr>
        <w:tabs>
          <w:tab w:val="clear" w:pos="1440"/>
          <w:tab w:val="clear" w:pos="1800"/>
          <w:tab w:val="left" w:pos="360"/>
        </w:tabs>
        <w:spacing w:before="360"/>
        <w:ind w:left="0" w:firstLine="0"/>
        <w:rPr>
          <w:rFonts w:ascii="Arial" w:hAnsi="Arial" w:cs="Arial"/>
        </w:rPr>
      </w:pPr>
      <w:bookmarkStart w:id="16" w:name="_Toc461128193"/>
      <w:r w:rsidRPr="00FA3973">
        <w:rPr>
          <w:rFonts w:ascii="Arial" w:hAnsi="Arial" w:cs="Arial"/>
        </w:rPr>
        <w:t>Sensi</w:t>
      </w:r>
      <w:bookmarkEnd w:id="15"/>
      <w:r w:rsidR="004F5DCB" w:rsidRPr="00FA3973">
        <w:rPr>
          <w:rFonts w:ascii="Arial" w:hAnsi="Arial" w:cs="Arial"/>
        </w:rPr>
        <w:t>tivity Analysis</w:t>
      </w:r>
      <w:bookmarkEnd w:id="16"/>
    </w:p>
    <w:p w:rsidR="002C6C43" w:rsidRPr="00FA3973" w:rsidRDefault="002C6C43" w:rsidP="00F83FD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A sensitivity analysis is included in this section, where deviations on key variables used for the base analysis are simulated in order to determine their impact with regards to the potential benefits and/or costs. In other words, assumptions are modified in order to verify the tolerance of the program to variations on the conditions that may have an impact on the results established above.</w:t>
      </w:r>
    </w:p>
    <w:p w:rsidR="00CB5A36" w:rsidRPr="00FA3973" w:rsidRDefault="00CB5A36" w:rsidP="00F83FD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While all variables used in this analysis (and assumptions related to them) may be affected by factors out of the control of the program execution, the selection of parameters to be included in this section was determined on account of their criticalness in the quantification of sub project results.</w:t>
      </w:r>
      <w:r w:rsidR="00CF23CC" w:rsidRPr="00FA3973">
        <w:rPr>
          <w:rFonts w:ascii="Arial" w:hAnsi="Arial" w:cs="Arial"/>
          <w:sz w:val="22"/>
        </w:rPr>
        <w:t xml:space="preserve"> Following is a list of the parameters analyzed and a brief description of the tested scenario</w:t>
      </w:r>
      <w:r w:rsidR="004C7879" w:rsidRPr="00FA3973">
        <w:rPr>
          <w:rFonts w:ascii="Arial" w:hAnsi="Arial" w:cs="Arial"/>
          <w:sz w:val="22"/>
        </w:rPr>
        <w:t>. In all cases, extreme values for the parameters have been used in order to make the analysis more robust</w:t>
      </w:r>
      <w:r w:rsidR="00CF23CC" w:rsidRPr="00FA3973">
        <w:rPr>
          <w:rFonts w:ascii="Arial" w:hAnsi="Arial" w:cs="Arial"/>
          <w:sz w:val="22"/>
        </w:rPr>
        <w:t>:</w:t>
      </w:r>
    </w:p>
    <w:p w:rsidR="00CF23CC" w:rsidRPr="00FA3973" w:rsidRDefault="00CF23CC" w:rsidP="0028341E">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lastRenderedPageBreak/>
        <w:t>O&amp;M costs were increased for all technologies under analysis.</w:t>
      </w:r>
      <w:r w:rsidR="00FB7132" w:rsidRPr="00FA3973">
        <w:rPr>
          <w:rFonts w:ascii="Arial" w:hAnsi="Arial" w:cs="Arial"/>
          <w:sz w:val="22"/>
        </w:rPr>
        <w:t xml:space="preserve"> A reference value for this increase is difficult to determine based on existing information, as ARE costs vary widely among different countries. However, a 25% increase is considered a highly unlikely potential scenario given that since 2009 the cost of all RE has decreased between 29% and 78%</w:t>
      </w:r>
      <w:r w:rsidR="00684BFF" w:rsidRPr="00FA3973">
        <w:rPr>
          <w:rFonts w:ascii="Arial" w:hAnsi="Arial" w:cs="Arial"/>
          <w:sz w:val="22"/>
        </w:rPr>
        <w:t xml:space="preserve"> worldwide</w:t>
      </w:r>
      <w:r w:rsidR="00FB7132" w:rsidRPr="00FA3973">
        <w:rPr>
          <w:rFonts w:ascii="Arial" w:hAnsi="Arial" w:cs="Arial"/>
          <w:sz w:val="22"/>
        </w:rPr>
        <w:t>, depending on the technology</w:t>
      </w:r>
      <w:r w:rsidR="00684BFF" w:rsidRPr="00FA3973">
        <w:rPr>
          <w:rStyle w:val="FootnoteReference"/>
          <w:rFonts w:ascii="Arial" w:hAnsi="Arial" w:cs="Arial"/>
          <w:sz w:val="22"/>
        </w:rPr>
        <w:footnoteReference w:id="20"/>
      </w:r>
      <w:r w:rsidR="00FB7132" w:rsidRPr="00FA3973">
        <w:rPr>
          <w:rFonts w:ascii="Arial" w:hAnsi="Arial" w:cs="Arial"/>
          <w:sz w:val="22"/>
        </w:rPr>
        <w:t>, and local factors affecting prices (inflation, exchange rate) should be partially offset by declining evolution in international prices.</w:t>
      </w:r>
      <w:r w:rsidR="008D6BC1" w:rsidRPr="00FA3973">
        <w:rPr>
          <w:rFonts w:ascii="Arial" w:hAnsi="Arial" w:cs="Arial"/>
          <w:sz w:val="22"/>
        </w:rPr>
        <w:t xml:space="preserve"> Moreo</w:t>
      </w:r>
      <w:r w:rsidR="007D0F6A">
        <w:rPr>
          <w:rFonts w:ascii="Arial" w:hAnsi="Arial" w:cs="Arial"/>
          <w:sz w:val="22"/>
        </w:rPr>
        <w:t>v</w:t>
      </w:r>
      <w:r w:rsidR="008D6BC1" w:rsidRPr="00FA3973">
        <w:rPr>
          <w:rFonts w:ascii="Arial" w:hAnsi="Arial" w:cs="Arial"/>
          <w:sz w:val="22"/>
        </w:rPr>
        <w:t xml:space="preserve">er, both in the case of ARE as in the case of EE, O&amp;M costs represent a small portion of total costs, with the investment costs representing the most important fraction. </w:t>
      </w:r>
    </w:p>
    <w:p w:rsidR="00CF23CC" w:rsidRPr="00FA3973" w:rsidRDefault="00CF23CC" w:rsidP="0028341E">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 xml:space="preserve">The </w:t>
      </w:r>
      <w:r w:rsidR="00BC310E">
        <w:rPr>
          <w:rFonts w:ascii="Arial" w:hAnsi="Arial" w:cs="Arial"/>
          <w:sz w:val="22"/>
        </w:rPr>
        <w:t xml:space="preserve">sensitivity of the program to the </w:t>
      </w:r>
      <w:r w:rsidR="00807924">
        <w:rPr>
          <w:rFonts w:ascii="Arial" w:hAnsi="Arial" w:cs="Arial"/>
          <w:sz w:val="22"/>
        </w:rPr>
        <w:t>marginal cost of generation</w:t>
      </w:r>
      <w:r w:rsidRPr="00FA3973">
        <w:rPr>
          <w:rFonts w:ascii="Arial" w:hAnsi="Arial" w:cs="Arial"/>
          <w:sz w:val="22"/>
        </w:rPr>
        <w:t xml:space="preserve"> was </w:t>
      </w:r>
      <w:r w:rsidR="00BC310E">
        <w:rPr>
          <w:rFonts w:ascii="Arial" w:hAnsi="Arial" w:cs="Arial"/>
          <w:sz w:val="22"/>
        </w:rPr>
        <w:t>verified by using</w:t>
      </w:r>
      <w:r w:rsidR="00BC310E" w:rsidRPr="00FA3973">
        <w:rPr>
          <w:rFonts w:ascii="Arial" w:hAnsi="Arial" w:cs="Arial"/>
          <w:sz w:val="22"/>
        </w:rPr>
        <w:t xml:space="preserve"> </w:t>
      </w:r>
      <w:r w:rsidR="00BC310E">
        <w:rPr>
          <w:rFonts w:ascii="Arial" w:hAnsi="Arial" w:cs="Arial"/>
          <w:sz w:val="22"/>
        </w:rPr>
        <w:t xml:space="preserve">two different </w:t>
      </w:r>
      <w:r w:rsidR="004529E6">
        <w:rPr>
          <w:rFonts w:ascii="Arial" w:hAnsi="Arial" w:cs="Arial"/>
          <w:sz w:val="22"/>
        </w:rPr>
        <w:t>scenarios</w:t>
      </w:r>
      <w:r w:rsidR="00BC310E">
        <w:rPr>
          <w:rFonts w:ascii="Arial" w:hAnsi="Arial" w:cs="Arial"/>
          <w:sz w:val="22"/>
        </w:rPr>
        <w:t>: (i) the 10 year historical average of the system marginal generation cost (71</w:t>
      </w:r>
      <w:r w:rsidR="003B6094">
        <w:rPr>
          <w:rFonts w:ascii="Arial" w:hAnsi="Arial" w:cs="Arial"/>
          <w:sz w:val="22"/>
        </w:rPr>
        <w:t>.3</w:t>
      </w:r>
      <w:r w:rsidR="00BC310E">
        <w:rPr>
          <w:rFonts w:ascii="Arial" w:hAnsi="Arial" w:cs="Arial"/>
          <w:sz w:val="22"/>
        </w:rPr>
        <w:t xml:space="preserve"> US$/MWh)</w:t>
      </w:r>
      <w:r w:rsidR="004529E6">
        <w:rPr>
          <w:rFonts w:ascii="Arial" w:hAnsi="Arial" w:cs="Arial"/>
          <w:sz w:val="22"/>
        </w:rPr>
        <w:t xml:space="preserve"> – Scenario 1</w:t>
      </w:r>
      <w:r w:rsidR="00BC310E">
        <w:rPr>
          <w:rFonts w:ascii="Arial" w:hAnsi="Arial" w:cs="Arial"/>
          <w:sz w:val="22"/>
        </w:rPr>
        <w:t xml:space="preserve">, and (ii) </w:t>
      </w:r>
      <w:r w:rsidRPr="00FA3973">
        <w:rPr>
          <w:rFonts w:ascii="Arial" w:hAnsi="Arial" w:cs="Arial"/>
          <w:sz w:val="22"/>
        </w:rPr>
        <w:t xml:space="preserve">the long term </w:t>
      </w:r>
      <w:hyperlink r:id="rId12" w:history="1">
        <w:r w:rsidRPr="00FA3973">
          <w:rPr>
            <w:rStyle w:val="Hyperlink"/>
            <w:rFonts w:ascii="Arial" w:hAnsi="Arial" w:cs="Arial"/>
            <w:sz w:val="22"/>
          </w:rPr>
          <w:t>marginal expansion cost</w:t>
        </w:r>
      </w:hyperlink>
      <w:r w:rsidRPr="00FA3973">
        <w:rPr>
          <w:rFonts w:ascii="Arial" w:hAnsi="Arial" w:cs="Arial"/>
          <w:sz w:val="22"/>
        </w:rPr>
        <w:t xml:space="preserve"> </w:t>
      </w:r>
      <w:r w:rsidR="00BC310E">
        <w:rPr>
          <w:rFonts w:ascii="Arial" w:hAnsi="Arial" w:cs="Arial"/>
          <w:sz w:val="22"/>
        </w:rPr>
        <w:t>for a 50/50 mix of small hydro and gas fueled power generation (6</w:t>
      </w:r>
      <w:r w:rsidR="003B6094">
        <w:rPr>
          <w:rFonts w:ascii="Arial" w:hAnsi="Arial" w:cs="Arial"/>
          <w:sz w:val="22"/>
        </w:rPr>
        <w:t>5.9</w:t>
      </w:r>
      <w:r w:rsidR="00BC310E">
        <w:rPr>
          <w:rFonts w:ascii="Arial" w:hAnsi="Arial" w:cs="Arial"/>
          <w:sz w:val="22"/>
        </w:rPr>
        <w:t xml:space="preserve"> US$/MWh</w:t>
      </w:r>
      <w:r w:rsidR="00EF1988">
        <w:rPr>
          <w:rFonts w:ascii="Arial" w:hAnsi="Arial" w:cs="Arial"/>
          <w:sz w:val="22"/>
        </w:rPr>
        <w:t xml:space="preserve">) </w:t>
      </w:r>
      <w:r w:rsidR="004529E6">
        <w:rPr>
          <w:rFonts w:ascii="Arial" w:hAnsi="Arial" w:cs="Arial"/>
          <w:sz w:val="22"/>
        </w:rPr>
        <w:t>– Scenario 2</w:t>
      </w:r>
      <w:r w:rsidR="007F54B5">
        <w:rPr>
          <w:rFonts w:ascii="Arial" w:hAnsi="Arial" w:cs="Arial"/>
          <w:sz w:val="22"/>
        </w:rPr>
        <w:t xml:space="preserve"> (See Annex I</w:t>
      </w:r>
      <w:r w:rsidR="003B6094">
        <w:rPr>
          <w:rFonts w:ascii="Arial" w:hAnsi="Arial" w:cs="Arial"/>
          <w:sz w:val="22"/>
        </w:rPr>
        <w:t xml:space="preserve">, paragraphs 8.1 to 8.3, </w:t>
      </w:r>
      <w:r w:rsidR="007F54B5">
        <w:rPr>
          <w:rFonts w:ascii="Arial" w:hAnsi="Arial" w:cs="Arial"/>
          <w:sz w:val="22"/>
        </w:rPr>
        <w:t>for more detail)</w:t>
      </w:r>
      <w:r w:rsidRPr="00FA3973">
        <w:rPr>
          <w:rFonts w:ascii="Arial" w:hAnsi="Arial" w:cs="Arial"/>
          <w:sz w:val="22"/>
        </w:rPr>
        <w:t xml:space="preserve">. </w:t>
      </w:r>
      <w:r w:rsidR="008D6BC1" w:rsidRPr="00FA3973">
        <w:rPr>
          <w:rFonts w:ascii="Arial" w:hAnsi="Arial" w:cs="Arial"/>
          <w:sz w:val="22"/>
        </w:rPr>
        <w:t xml:space="preserve"> </w:t>
      </w:r>
    </w:p>
    <w:p w:rsidR="00CF23CC" w:rsidRPr="00FA3973" w:rsidRDefault="00CF23CC" w:rsidP="0028341E">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 xml:space="preserve">The industrial electricity rate is replaced by the minimum value existing for all </w:t>
      </w:r>
      <w:r w:rsidR="006A5F3B" w:rsidRPr="00FA3973">
        <w:rPr>
          <w:rFonts w:ascii="Arial" w:hAnsi="Arial" w:cs="Arial"/>
          <w:sz w:val="22"/>
        </w:rPr>
        <w:t xml:space="preserve">distributors listed in the </w:t>
      </w:r>
      <w:hyperlink r:id="rId13" w:history="1">
        <w:r w:rsidR="006A5F3B" w:rsidRPr="00FA3973">
          <w:rPr>
            <w:rStyle w:val="Hyperlink"/>
            <w:rFonts w:ascii="Arial" w:hAnsi="Arial" w:cs="Arial"/>
            <w:i/>
            <w:sz w:val="22"/>
          </w:rPr>
          <w:t>Média das tarifas da classe Industrial</w:t>
        </w:r>
      </w:hyperlink>
      <w:r w:rsidR="006A5F3B" w:rsidRPr="00FA3973">
        <w:rPr>
          <w:rFonts w:ascii="Arial" w:hAnsi="Arial" w:cs="Arial"/>
          <w:sz w:val="22"/>
        </w:rPr>
        <w:t xml:space="preserve"> as of October 2015, </w:t>
      </w:r>
      <w:r w:rsidR="006A5F3B" w:rsidRPr="00FA3973">
        <w:rPr>
          <w:rFonts w:ascii="Arial" w:hAnsi="Arial" w:cs="Arial"/>
          <w:i/>
          <w:sz w:val="22"/>
        </w:rPr>
        <w:t>Associação Brasileira de Distribuidores de Energia Elétrica</w:t>
      </w:r>
      <w:r w:rsidR="006A5F3B" w:rsidRPr="00FA3973">
        <w:rPr>
          <w:rFonts w:ascii="Arial" w:hAnsi="Arial" w:cs="Arial"/>
          <w:sz w:val="22"/>
        </w:rPr>
        <w:t xml:space="preserve"> (ABRADEE)</w:t>
      </w:r>
      <w:r w:rsidRPr="00FA3973">
        <w:rPr>
          <w:rFonts w:ascii="Arial" w:hAnsi="Arial" w:cs="Arial"/>
          <w:sz w:val="22"/>
        </w:rPr>
        <w:t>. This reduces the energy savings benefit, as the foregone costs of consuming this energy will be lower</w:t>
      </w:r>
      <w:r w:rsidR="00DD6975" w:rsidRPr="00FA3973">
        <w:rPr>
          <w:rFonts w:ascii="Arial" w:hAnsi="Arial" w:cs="Arial"/>
          <w:sz w:val="22"/>
        </w:rPr>
        <w:t xml:space="preserve">. Nonetheless, as in recent years tariffs have been increasing (15% </w:t>
      </w:r>
      <w:r w:rsidR="008D6BC1" w:rsidRPr="00FA3973">
        <w:rPr>
          <w:rFonts w:ascii="Arial" w:hAnsi="Arial" w:cs="Arial"/>
          <w:sz w:val="22"/>
        </w:rPr>
        <w:t xml:space="preserve">only </w:t>
      </w:r>
      <w:r w:rsidR="00DD6975" w:rsidRPr="00FA3973">
        <w:rPr>
          <w:rFonts w:ascii="Arial" w:hAnsi="Arial" w:cs="Arial"/>
          <w:sz w:val="22"/>
        </w:rPr>
        <w:t>in 2016), this risk is considered low</w:t>
      </w:r>
      <w:r w:rsidRPr="00FA3973">
        <w:rPr>
          <w:rFonts w:ascii="Arial" w:hAnsi="Arial" w:cs="Arial"/>
          <w:sz w:val="22"/>
        </w:rPr>
        <w:t>.</w:t>
      </w:r>
    </w:p>
    <w:p w:rsidR="006A5F3B" w:rsidRPr="00FA3973" w:rsidRDefault="006A5F3B" w:rsidP="0028341E">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The time required for construction is made longer. Assuming there are a series of factors than can affect construction (other than availability of resources)</w:t>
      </w:r>
      <w:r w:rsidR="00CF23CC" w:rsidRPr="00FA3973">
        <w:rPr>
          <w:rFonts w:ascii="Arial" w:hAnsi="Arial" w:cs="Arial"/>
          <w:sz w:val="22"/>
        </w:rPr>
        <w:t xml:space="preserve"> </w:t>
      </w:r>
      <w:r w:rsidRPr="00FA3973">
        <w:rPr>
          <w:rFonts w:ascii="Arial" w:hAnsi="Arial" w:cs="Arial"/>
          <w:sz w:val="22"/>
        </w:rPr>
        <w:t>and produce delays, we consider a scenario in which 50% of the projects take twice as much time to start operations.</w:t>
      </w:r>
      <w:r w:rsidR="00453B0B" w:rsidRPr="00FA3973">
        <w:rPr>
          <w:rFonts w:ascii="Arial" w:hAnsi="Arial" w:cs="Arial"/>
          <w:sz w:val="22"/>
        </w:rPr>
        <w:t xml:space="preserve"> It is worth noting that, in general, a big portion of delays occurring with these projects is associated to acquiring the licenses necessary for construction to begin, which in the case of the program is a requirement for eligibility of the financing</w:t>
      </w:r>
      <w:r w:rsidR="00AA5300" w:rsidRPr="00FA3973">
        <w:rPr>
          <w:rFonts w:ascii="Arial" w:hAnsi="Arial" w:cs="Arial"/>
          <w:sz w:val="22"/>
        </w:rPr>
        <w:t>, hence this risk is mitigated</w:t>
      </w:r>
      <w:r w:rsidR="00453B0B" w:rsidRPr="00FA3973">
        <w:rPr>
          <w:rFonts w:ascii="Arial" w:hAnsi="Arial" w:cs="Arial"/>
          <w:sz w:val="22"/>
        </w:rPr>
        <w:t>.</w:t>
      </w:r>
    </w:p>
    <w:p w:rsidR="00CF23CC" w:rsidRDefault="00F670A3" w:rsidP="0028341E">
      <w:pPr>
        <w:pStyle w:val="Paragraph"/>
        <w:numPr>
          <w:ilvl w:val="2"/>
          <w:numId w:val="15"/>
        </w:numPr>
        <w:tabs>
          <w:tab w:val="clear" w:pos="2304"/>
        </w:tabs>
        <w:spacing w:afterLines="80" w:after="192"/>
        <w:ind w:left="990" w:hanging="270"/>
        <w:rPr>
          <w:rFonts w:ascii="Arial" w:hAnsi="Arial" w:cs="Arial"/>
          <w:sz w:val="22"/>
        </w:rPr>
      </w:pPr>
      <w:r w:rsidRPr="00FA3973">
        <w:rPr>
          <w:rFonts w:ascii="Arial" w:hAnsi="Arial" w:cs="Arial"/>
          <w:sz w:val="22"/>
        </w:rPr>
        <w:t>Projects that may not evolve successfully and are not implemented (for instance, due to default) are considered for the last scenario. This implies an assumption that after the investment is made and the financing is approved, some of these projects do not become operative and enter into default</w:t>
      </w:r>
      <w:r w:rsidR="0028341E" w:rsidRPr="00FA3973">
        <w:rPr>
          <w:rFonts w:ascii="Arial" w:hAnsi="Arial" w:cs="Arial"/>
          <w:sz w:val="22"/>
        </w:rPr>
        <w:t>. This scenario assumes that 20% of projects default, which is considered extreme as BNDES is characterized by its high quality credit portfolio, with default rates of 0.06% in 2015, well below the average for the Brazilian national financial system (3.4%). In 2014, these values were 0.01% and 2.8%, respectively</w:t>
      </w:r>
      <w:r w:rsidRPr="00FA3973">
        <w:rPr>
          <w:rFonts w:ascii="Arial" w:hAnsi="Arial" w:cs="Arial"/>
          <w:sz w:val="22"/>
        </w:rPr>
        <w:t>.</w:t>
      </w:r>
    </w:p>
    <w:p w:rsidR="00D35E95" w:rsidRPr="00430159" w:rsidRDefault="00430159" w:rsidP="004529E6">
      <w:pPr>
        <w:pStyle w:val="Paragraph"/>
        <w:numPr>
          <w:ilvl w:val="2"/>
          <w:numId w:val="15"/>
        </w:numPr>
        <w:tabs>
          <w:tab w:val="clear" w:pos="2304"/>
        </w:tabs>
        <w:spacing w:afterLines="80" w:after="192"/>
        <w:ind w:left="990" w:hanging="270"/>
        <w:rPr>
          <w:rFonts w:ascii="Arial" w:hAnsi="Arial" w:cs="Arial"/>
          <w:sz w:val="22"/>
        </w:rPr>
      </w:pPr>
      <w:r>
        <w:rPr>
          <w:rFonts w:ascii="Arial" w:hAnsi="Arial" w:cs="Arial"/>
          <w:iCs/>
          <w:sz w:val="22"/>
        </w:rPr>
        <w:t>G</w:t>
      </w:r>
      <w:r w:rsidRPr="003E0E63">
        <w:rPr>
          <w:rFonts w:ascii="Arial" w:hAnsi="Arial" w:cs="Arial"/>
          <w:iCs/>
          <w:sz w:val="22"/>
        </w:rPr>
        <w:t>iven that the demand for EE projects is less guaranteed than that of ARE, the assumed allocation of funds (90% ARE, 10% EE) is varied to test the impact of having less EE projects in the mix, mak</w:t>
      </w:r>
      <w:r>
        <w:rPr>
          <w:rFonts w:ascii="Arial" w:hAnsi="Arial" w:cs="Arial"/>
          <w:iCs/>
          <w:sz w:val="22"/>
        </w:rPr>
        <w:t>ing</w:t>
      </w:r>
      <w:r w:rsidRPr="003E0E63">
        <w:rPr>
          <w:rFonts w:ascii="Arial" w:hAnsi="Arial" w:cs="Arial"/>
          <w:iCs/>
          <w:sz w:val="22"/>
        </w:rPr>
        <w:t xml:space="preserve"> it 100% ARE. Based on a revision of BNDES pipeline of projects in the timeframe of the program, it is not likely that EE projects will have a larger share of financing from the US$900 million. Nonetheless, it is worth noting that in the unlikely scenario that the share of EE projects is higher, the NPV and IRR would increase as </w:t>
      </w:r>
      <w:r w:rsidRPr="003E0E63">
        <w:rPr>
          <w:rFonts w:ascii="Arial" w:hAnsi="Arial" w:cs="Arial"/>
          <w:iCs/>
          <w:sz w:val="22"/>
        </w:rPr>
        <w:lastRenderedPageBreak/>
        <w:t>compared to the base scenario (the contribution of EE projects to the NPV is higher than that of ARE projects</w:t>
      </w:r>
      <w:r>
        <w:rPr>
          <w:rFonts w:ascii="Arial" w:hAnsi="Arial" w:cs="Arial"/>
          <w:iCs/>
          <w:sz w:val="22"/>
        </w:rPr>
        <w:t>).</w:t>
      </w:r>
      <w:r w:rsidR="00D35E95" w:rsidRPr="00430159">
        <w:rPr>
          <w:rFonts w:ascii="Arial" w:hAnsi="Arial" w:cs="Arial"/>
          <w:sz w:val="22"/>
        </w:rPr>
        <w:t xml:space="preserve"> </w:t>
      </w:r>
    </w:p>
    <w:p w:rsidR="00CB5A36" w:rsidRPr="00FA3973" w:rsidRDefault="002C6C43" w:rsidP="00F83FD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Table</w:t>
      </w:r>
      <w:r w:rsidR="00935452" w:rsidRPr="00FA3973">
        <w:rPr>
          <w:rFonts w:ascii="Arial" w:hAnsi="Arial" w:cs="Arial"/>
          <w:sz w:val="22"/>
        </w:rPr>
        <w:t xml:space="preserve"> </w:t>
      </w:r>
      <w:r w:rsidR="00F83FDB" w:rsidRPr="00FA3973">
        <w:rPr>
          <w:rFonts w:ascii="Arial" w:hAnsi="Arial" w:cs="Arial"/>
          <w:sz w:val="22"/>
        </w:rPr>
        <w:t>5</w:t>
      </w:r>
      <w:r w:rsidR="00E5795B" w:rsidRPr="00FA3973">
        <w:rPr>
          <w:rFonts w:ascii="Arial" w:hAnsi="Arial" w:cs="Arial"/>
          <w:sz w:val="22"/>
        </w:rPr>
        <w:t xml:space="preserve">.1 </w:t>
      </w:r>
      <w:r w:rsidRPr="00FA3973">
        <w:rPr>
          <w:rFonts w:ascii="Arial" w:hAnsi="Arial" w:cs="Arial"/>
          <w:sz w:val="22"/>
        </w:rPr>
        <w:t xml:space="preserve">presents a summary of the results of the </w:t>
      </w:r>
      <w:r w:rsidR="00CB5A36" w:rsidRPr="00FA3973">
        <w:rPr>
          <w:rFonts w:ascii="Arial" w:hAnsi="Arial" w:cs="Arial"/>
          <w:sz w:val="22"/>
        </w:rPr>
        <w:t>sensitivity</w:t>
      </w:r>
      <w:r w:rsidRPr="00FA3973">
        <w:rPr>
          <w:rFonts w:ascii="Arial" w:hAnsi="Arial" w:cs="Arial"/>
          <w:sz w:val="22"/>
        </w:rPr>
        <w:t xml:space="preserve"> analysis. For each parameter the table shows</w:t>
      </w:r>
      <w:r w:rsidR="00C3686B" w:rsidRPr="00FA3973">
        <w:rPr>
          <w:rFonts w:ascii="Arial" w:hAnsi="Arial" w:cs="Arial"/>
          <w:sz w:val="22"/>
        </w:rPr>
        <w:t xml:space="preserve"> </w:t>
      </w:r>
      <w:r w:rsidRPr="00FA3973">
        <w:rPr>
          <w:rFonts w:ascii="Arial" w:hAnsi="Arial" w:cs="Arial"/>
          <w:sz w:val="22"/>
        </w:rPr>
        <w:t>the test value under the changed scenario</w:t>
      </w:r>
      <w:r w:rsidR="00C3686B" w:rsidRPr="00FA3973">
        <w:rPr>
          <w:rFonts w:ascii="Arial" w:hAnsi="Arial" w:cs="Arial"/>
          <w:sz w:val="22"/>
        </w:rPr>
        <w:t xml:space="preserve">, </w:t>
      </w:r>
      <w:r w:rsidRPr="00FA3973">
        <w:rPr>
          <w:rFonts w:ascii="Arial" w:hAnsi="Arial" w:cs="Arial"/>
          <w:sz w:val="22"/>
        </w:rPr>
        <w:t>the variation (in %) with respect to the value used in the core analysis (base scenario) and the adjusted</w:t>
      </w:r>
      <w:r w:rsidR="00C3686B" w:rsidRPr="00FA3973">
        <w:rPr>
          <w:rFonts w:ascii="Arial" w:hAnsi="Arial" w:cs="Arial"/>
          <w:sz w:val="22"/>
        </w:rPr>
        <w:t xml:space="preserve"> </w:t>
      </w:r>
      <w:r w:rsidRPr="00FA3973">
        <w:rPr>
          <w:rFonts w:ascii="Arial" w:hAnsi="Arial" w:cs="Arial"/>
          <w:sz w:val="22"/>
        </w:rPr>
        <w:t xml:space="preserve">NPV </w:t>
      </w:r>
      <w:r w:rsidR="004529E6">
        <w:rPr>
          <w:rFonts w:ascii="Arial" w:hAnsi="Arial" w:cs="Arial"/>
          <w:sz w:val="22"/>
        </w:rPr>
        <w:t xml:space="preserve"> and IRR </w:t>
      </w:r>
      <w:r w:rsidRPr="00FA3973">
        <w:rPr>
          <w:rFonts w:ascii="Arial" w:hAnsi="Arial" w:cs="Arial"/>
          <w:sz w:val="22"/>
        </w:rPr>
        <w:t>under the modified scenario</w:t>
      </w:r>
      <w:r w:rsidR="00DC2B96">
        <w:rPr>
          <w:rFonts w:ascii="Arial" w:hAnsi="Arial" w:cs="Arial"/>
          <w:sz w:val="22"/>
        </w:rPr>
        <w:t>.</w:t>
      </w:r>
      <w:r w:rsidR="0028341E" w:rsidRPr="00FA3973">
        <w:rPr>
          <w:rStyle w:val="FootnoteReference"/>
          <w:rFonts w:ascii="Arial" w:hAnsi="Arial" w:cs="Arial"/>
          <w:sz w:val="22"/>
        </w:rPr>
        <w:footnoteReference w:id="21"/>
      </w:r>
      <w:r w:rsidR="00CB5A36" w:rsidRPr="00FA3973">
        <w:rPr>
          <w:rFonts w:ascii="Arial" w:hAnsi="Arial" w:cs="Arial"/>
          <w:sz w:val="22"/>
        </w:rPr>
        <w:t xml:space="preserve"> </w:t>
      </w:r>
    </w:p>
    <w:tbl>
      <w:tblPr>
        <w:tblStyle w:val="LightShading-Accent11"/>
        <w:tblW w:w="8748" w:type="dxa"/>
        <w:tblLook w:val="04A0" w:firstRow="1" w:lastRow="0" w:firstColumn="1" w:lastColumn="0" w:noHBand="0" w:noVBand="1"/>
      </w:tblPr>
      <w:tblGrid>
        <w:gridCol w:w="8748"/>
      </w:tblGrid>
      <w:tr w:rsidR="00206094" w:rsidRPr="00FA3973" w:rsidTr="00941693">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748" w:type="dxa"/>
            <w:tcBorders>
              <w:top w:val="nil"/>
            </w:tcBorders>
          </w:tcPr>
          <w:p w:rsidR="00C37ACC" w:rsidRPr="00FA3973" w:rsidRDefault="00C37ACC" w:rsidP="0022286B">
            <w:pPr>
              <w:pStyle w:val="Paragraph"/>
              <w:tabs>
                <w:tab w:val="clear" w:pos="720"/>
              </w:tabs>
              <w:spacing w:before="0" w:after="0"/>
              <w:ind w:left="0" w:firstLine="0"/>
              <w:jc w:val="center"/>
              <w:rPr>
                <w:rFonts w:ascii="Arial" w:hAnsi="Arial" w:cs="Arial"/>
                <w:sz w:val="20"/>
                <w:szCs w:val="20"/>
              </w:rPr>
            </w:pPr>
            <w:r w:rsidRPr="00FA3973">
              <w:rPr>
                <w:rFonts w:ascii="Arial" w:eastAsia="Times New Roman" w:hAnsi="Arial" w:cs="Arial"/>
                <w:bCs w:val="0"/>
                <w:sz w:val="20"/>
                <w:szCs w:val="20"/>
              </w:rPr>
              <w:t xml:space="preserve">Table </w:t>
            </w:r>
            <w:r w:rsidR="00F83FDB" w:rsidRPr="00FA3973">
              <w:rPr>
                <w:rFonts w:ascii="Arial" w:eastAsia="Times New Roman" w:hAnsi="Arial" w:cs="Arial"/>
                <w:bCs w:val="0"/>
                <w:sz w:val="20"/>
                <w:szCs w:val="20"/>
              </w:rPr>
              <w:t>5</w:t>
            </w:r>
            <w:r w:rsidRPr="00FA3973">
              <w:rPr>
                <w:rFonts w:ascii="Arial" w:eastAsia="Times New Roman" w:hAnsi="Arial" w:cs="Arial"/>
                <w:bCs w:val="0"/>
                <w:sz w:val="20"/>
                <w:szCs w:val="20"/>
              </w:rPr>
              <w:t>.1: Summary of sensitivity analysis*</w:t>
            </w:r>
          </w:p>
        </w:tc>
      </w:tr>
    </w:tbl>
    <w:p w:rsidR="0022286B" w:rsidRPr="00FA3973" w:rsidRDefault="0022286B" w:rsidP="0022286B">
      <w:pPr>
        <w:spacing w:after="0" w:line="240" w:lineRule="auto"/>
        <w:rPr>
          <w:sz w:val="4"/>
          <w:szCs w:val="4"/>
        </w:rPr>
      </w:pPr>
    </w:p>
    <w:tbl>
      <w:tblPr>
        <w:tblStyle w:val="LightShading-Accent11"/>
        <w:tblW w:w="8856" w:type="dxa"/>
        <w:tblLayout w:type="fixed"/>
        <w:tblLook w:val="04A0" w:firstRow="1" w:lastRow="0" w:firstColumn="1" w:lastColumn="0" w:noHBand="0" w:noVBand="1"/>
      </w:tblPr>
      <w:tblGrid>
        <w:gridCol w:w="2268"/>
        <w:gridCol w:w="1620"/>
        <w:gridCol w:w="1350"/>
        <w:gridCol w:w="1170"/>
        <w:gridCol w:w="1350"/>
        <w:gridCol w:w="1098"/>
      </w:tblGrid>
      <w:tr w:rsidR="007D1695" w:rsidRPr="00FA3973" w:rsidTr="003E0E63">
        <w:trPr>
          <w:cnfStyle w:val="100000000000" w:firstRow="1" w:lastRow="0" w:firstColumn="0" w:lastColumn="0" w:oddVBand="0" w:evenVBand="0" w:oddHBand="0" w:evenHBand="0" w:firstRowFirstColumn="0" w:firstRowLastColumn="0" w:lastRowFirstColumn="0" w:lastRowLastColumn="0"/>
          <w:trHeight w:val="152"/>
          <w:tblHeader/>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365F91" w:themeColor="accent1" w:themeShade="BF"/>
              <w:right w:val="single" w:sz="4" w:space="0" w:color="365F91" w:themeColor="accent1" w:themeShade="BF"/>
            </w:tcBorders>
          </w:tcPr>
          <w:p w:rsidR="00D35E95" w:rsidRPr="00FA3973" w:rsidRDefault="00D35E95" w:rsidP="00F83FDB">
            <w:pPr>
              <w:pStyle w:val="Paragraph"/>
              <w:tabs>
                <w:tab w:val="clear" w:pos="720"/>
              </w:tabs>
              <w:ind w:left="0" w:firstLine="0"/>
              <w:jc w:val="left"/>
              <w:rPr>
                <w:rFonts w:ascii="Arial" w:hAnsi="Arial" w:cs="Arial"/>
                <w:sz w:val="20"/>
                <w:szCs w:val="20"/>
              </w:rPr>
            </w:pPr>
            <w:r w:rsidRPr="00FA3973">
              <w:rPr>
                <w:rFonts w:ascii="Arial" w:hAnsi="Arial" w:cs="Arial"/>
                <w:sz w:val="20"/>
                <w:szCs w:val="20"/>
              </w:rPr>
              <w:t>Parameter</w:t>
            </w:r>
          </w:p>
        </w:tc>
        <w:tc>
          <w:tcPr>
            <w:tcW w:w="1620" w:type="dxa"/>
            <w:tcBorders>
              <w:left w:val="single" w:sz="4" w:space="0" w:color="365F91" w:themeColor="accent1" w:themeShade="BF"/>
              <w:bottom w:val="single" w:sz="4" w:space="0" w:color="365F91" w:themeColor="accent1" w:themeShade="BF"/>
              <w:right w:val="single" w:sz="4" w:space="0" w:color="365F91" w:themeColor="accent1" w:themeShade="BF"/>
            </w:tcBorders>
          </w:tcPr>
          <w:p w:rsidR="00D35E95" w:rsidRPr="00FA3973" w:rsidRDefault="00D35E95" w:rsidP="00F83FDB">
            <w:pPr>
              <w:pStyle w:val="Paragraph"/>
              <w:tabs>
                <w:tab w:val="clear" w:pos="720"/>
              </w:tabs>
              <w:ind w:left="0" w:firstLine="0"/>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A3973">
              <w:rPr>
                <w:rFonts w:ascii="Arial" w:hAnsi="Arial" w:cs="Arial"/>
                <w:sz w:val="20"/>
                <w:szCs w:val="20"/>
              </w:rPr>
              <w:t>Initial value</w:t>
            </w:r>
          </w:p>
        </w:tc>
        <w:tc>
          <w:tcPr>
            <w:tcW w:w="1350" w:type="dxa"/>
            <w:tcBorders>
              <w:left w:val="single" w:sz="4" w:space="0" w:color="365F91" w:themeColor="accent1" w:themeShade="BF"/>
              <w:bottom w:val="single" w:sz="4" w:space="0" w:color="365F91" w:themeColor="accent1" w:themeShade="BF"/>
              <w:right w:val="single" w:sz="4" w:space="0" w:color="365F91" w:themeColor="accent1" w:themeShade="BF"/>
            </w:tcBorders>
          </w:tcPr>
          <w:p w:rsidR="00D35E95" w:rsidRPr="00FA3973" w:rsidRDefault="00D35E95" w:rsidP="00F83FDB">
            <w:pPr>
              <w:pStyle w:val="Paragraph"/>
              <w:tabs>
                <w:tab w:val="clear" w:pos="720"/>
              </w:tabs>
              <w:ind w:left="0" w:firstLine="0"/>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A3973">
              <w:rPr>
                <w:rFonts w:ascii="Arial" w:hAnsi="Arial" w:cs="Arial"/>
                <w:sz w:val="20"/>
                <w:szCs w:val="20"/>
              </w:rPr>
              <w:t>Test value</w:t>
            </w:r>
          </w:p>
        </w:tc>
        <w:tc>
          <w:tcPr>
            <w:tcW w:w="1170" w:type="dxa"/>
            <w:tcBorders>
              <w:left w:val="single" w:sz="4" w:space="0" w:color="365F91" w:themeColor="accent1" w:themeShade="BF"/>
              <w:bottom w:val="single" w:sz="4" w:space="0" w:color="365F91" w:themeColor="accent1" w:themeShade="BF"/>
              <w:right w:val="single" w:sz="4" w:space="0" w:color="365F91" w:themeColor="accent1" w:themeShade="BF"/>
            </w:tcBorders>
          </w:tcPr>
          <w:p w:rsidR="00D35E95" w:rsidRPr="00FA3973" w:rsidRDefault="00D35E95" w:rsidP="00F83FDB">
            <w:pPr>
              <w:pStyle w:val="Paragraph"/>
              <w:tabs>
                <w:tab w:val="clear" w:pos="720"/>
              </w:tabs>
              <w:ind w:left="0" w:firstLine="0"/>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A3973">
              <w:rPr>
                <w:rFonts w:ascii="Arial" w:hAnsi="Arial" w:cs="Arial"/>
                <w:sz w:val="20"/>
                <w:szCs w:val="20"/>
              </w:rPr>
              <w:t>Var (%)</w:t>
            </w:r>
          </w:p>
        </w:tc>
        <w:tc>
          <w:tcPr>
            <w:tcW w:w="0" w:type="dxa"/>
            <w:tcBorders>
              <w:left w:val="single" w:sz="4" w:space="0" w:color="365F91" w:themeColor="accent1" w:themeShade="BF"/>
              <w:bottom w:val="single" w:sz="4" w:space="0" w:color="365F91" w:themeColor="accent1" w:themeShade="BF"/>
            </w:tcBorders>
          </w:tcPr>
          <w:p w:rsidR="00D35E95" w:rsidRPr="00FA3973" w:rsidRDefault="00D35E95" w:rsidP="00F83FDB">
            <w:pPr>
              <w:pStyle w:val="Paragraph"/>
              <w:tabs>
                <w:tab w:val="clear" w:pos="720"/>
              </w:tabs>
              <w:ind w:left="0" w:firstLine="0"/>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A3973">
              <w:rPr>
                <w:rFonts w:ascii="Arial" w:hAnsi="Arial" w:cs="Arial"/>
                <w:sz w:val="20"/>
                <w:szCs w:val="20"/>
              </w:rPr>
              <w:t>Program NPV (MUSD)</w:t>
            </w:r>
          </w:p>
        </w:tc>
        <w:tc>
          <w:tcPr>
            <w:tcW w:w="0" w:type="dxa"/>
            <w:tcBorders>
              <w:left w:val="single" w:sz="4" w:space="0" w:color="365F91" w:themeColor="accent1" w:themeShade="BF"/>
              <w:bottom w:val="single" w:sz="4" w:space="0" w:color="365F91" w:themeColor="accent1" w:themeShade="BF"/>
            </w:tcBorders>
          </w:tcPr>
          <w:p w:rsidR="00D35E95" w:rsidRDefault="00D35E95" w:rsidP="00F83FDB">
            <w:pPr>
              <w:pStyle w:val="Paragraph"/>
              <w:tabs>
                <w:tab w:val="clear" w:pos="720"/>
              </w:tabs>
              <w:ind w:left="0" w:firstLine="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Program</w:t>
            </w:r>
          </w:p>
          <w:p w:rsidR="00D35E95" w:rsidRPr="00FA3973" w:rsidRDefault="00D35E95" w:rsidP="00D35E95">
            <w:pPr>
              <w:pStyle w:val="Paragraph"/>
              <w:tabs>
                <w:tab w:val="clear" w:pos="720"/>
              </w:tabs>
              <w:ind w:left="0" w:firstLine="0"/>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IRR (%)</w:t>
            </w:r>
          </w:p>
        </w:tc>
      </w:tr>
      <w:tr w:rsidR="007D1695" w:rsidRPr="00FA3973" w:rsidTr="003E0E6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right w:val="single" w:sz="4" w:space="0" w:color="365F91" w:themeColor="accent1" w:themeShade="BF"/>
            </w:tcBorders>
          </w:tcPr>
          <w:p w:rsidR="00D35E95" w:rsidRPr="00FA3973" w:rsidRDefault="000A4CC9" w:rsidP="00957A14">
            <w:pPr>
              <w:pStyle w:val="Paragraph"/>
              <w:tabs>
                <w:tab w:val="clear" w:pos="720"/>
              </w:tabs>
              <w:ind w:left="0" w:firstLine="0"/>
              <w:jc w:val="left"/>
              <w:rPr>
                <w:rFonts w:ascii="Arial" w:hAnsi="Arial" w:cs="Arial"/>
                <w:b w:val="0"/>
                <w:sz w:val="20"/>
                <w:szCs w:val="20"/>
              </w:rPr>
            </w:pPr>
            <w:r w:rsidRPr="00957A14">
              <w:rPr>
                <w:rFonts w:ascii="Arial" w:hAnsi="Arial" w:cs="Arial"/>
                <w:b w:val="0"/>
                <w:bCs w:val="0"/>
                <w:sz w:val="20"/>
                <w:szCs w:val="20"/>
              </w:rPr>
              <w:t>a.</w:t>
            </w:r>
            <w:r>
              <w:rPr>
                <w:rFonts w:ascii="Arial" w:hAnsi="Arial" w:cs="Arial"/>
                <w:b w:val="0"/>
                <w:sz w:val="20"/>
                <w:szCs w:val="20"/>
              </w:rPr>
              <w:t xml:space="preserve"> </w:t>
            </w:r>
            <w:r w:rsidR="00D35E95" w:rsidRPr="00FA3973">
              <w:rPr>
                <w:rFonts w:ascii="Arial" w:hAnsi="Arial" w:cs="Arial"/>
                <w:b w:val="0"/>
                <w:sz w:val="20"/>
                <w:szCs w:val="20"/>
              </w:rPr>
              <w:t>O&amp;M costs (all technologies) (US$)</w:t>
            </w:r>
          </w:p>
        </w:tc>
        <w:tc>
          <w:tcPr>
            <w:tcW w:w="1620" w:type="dxa"/>
            <w:tcBorders>
              <w:top w:val="nil"/>
              <w:left w:val="single" w:sz="4" w:space="0" w:color="365F91" w:themeColor="accent1" w:themeShade="BF"/>
              <w:bottom w:val="nil"/>
              <w:right w:val="single" w:sz="4" w:space="0" w:color="365F91" w:themeColor="accent1" w:themeShade="BF"/>
            </w:tcBorders>
          </w:tcPr>
          <w:p w:rsidR="00D35E95" w:rsidRPr="00FA3973" w:rsidRDefault="00D35E95" w:rsidP="009E3DFA">
            <w:pPr>
              <w:pStyle w:val="Paragraph"/>
              <w:tabs>
                <w:tab w:val="clear" w:pos="720"/>
              </w:tabs>
              <w:spacing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wind: 20</w:t>
            </w:r>
          </w:p>
          <w:p w:rsidR="00D35E95" w:rsidRPr="00FA3973" w:rsidRDefault="00D35E95" w:rsidP="001724E1">
            <w:pPr>
              <w:pStyle w:val="Paragraph"/>
              <w:tabs>
                <w:tab w:val="clear" w:pos="720"/>
              </w:tabs>
              <w:spacing w:before="0"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solar: 6.2</w:t>
            </w:r>
          </w:p>
          <w:p w:rsidR="00D35E95" w:rsidRPr="00FA3973" w:rsidRDefault="00D35E95" w:rsidP="001724E1">
            <w:pPr>
              <w:pStyle w:val="Paragraph"/>
              <w:tabs>
                <w:tab w:val="clear" w:pos="720"/>
              </w:tabs>
              <w:spacing w:before="0"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cogen: 0.01</w:t>
            </w:r>
          </w:p>
        </w:tc>
        <w:tc>
          <w:tcPr>
            <w:tcW w:w="1350" w:type="dxa"/>
            <w:tcBorders>
              <w:top w:val="nil"/>
              <w:left w:val="single" w:sz="4" w:space="0" w:color="365F91" w:themeColor="accent1" w:themeShade="BF"/>
              <w:bottom w:val="nil"/>
              <w:right w:val="single" w:sz="4" w:space="0" w:color="365F91" w:themeColor="accent1" w:themeShade="BF"/>
            </w:tcBorders>
          </w:tcPr>
          <w:p w:rsidR="00D35E95" w:rsidRPr="00FA3973" w:rsidRDefault="00D35E95" w:rsidP="0009334D">
            <w:pPr>
              <w:pStyle w:val="Paragraph"/>
              <w:tabs>
                <w:tab w:val="clear" w:pos="720"/>
              </w:tabs>
              <w:spacing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wind: 25</w:t>
            </w:r>
          </w:p>
          <w:p w:rsidR="00D35E95" w:rsidRPr="00FA3973" w:rsidRDefault="00D35E95" w:rsidP="001724E1">
            <w:pPr>
              <w:pStyle w:val="Paragraph"/>
              <w:tabs>
                <w:tab w:val="clear" w:pos="720"/>
              </w:tabs>
              <w:spacing w:before="0"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solar: 7.8</w:t>
            </w:r>
          </w:p>
          <w:p w:rsidR="00D35E95" w:rsidRPr="00FA3973" w:rsidRDefault="00D35E95" w:rsidP="00F83FDB">
            <w:pPr>
              <w:pStyle w:val="Paragraph"/>
              <w:tabs>
                <w:tab w:val="clear" w:pos="720"/>
              </w:tabs>
              <w:spacing w:before="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cogen: 0.013</w:t>
            </w:r>
          </w:p>
        </w:tc>
        <w:tc>
          <w:tcPr>
            <w:tcW w:w="1170" w:type="dxa"/>
            <w:tcBorders>
              <w:top w:val="nil"/>
              <w:left w:val="single" w:sz="4" w:space="0" w:color="365F91" w:themeColor="accent1" w:themeShade="BF"/>
              <w:bottom w:val="nil"/>
              <w:right w:val="single" w:sz="4" w:space="0" w:color="365F91" w:themeColor="accent1" w:themeShade="BF"/>
            </w:tcBorders>
          </w:tcPr>
          <w:p w:rsidR="00D35E95" w:rsidRPr="00FA3973" w:rsidRDefault="00D35E95" w:rsidP="003E5A35">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+25%</w:t>
            </w:r>
          </w:p>
        </w:tc>
        <w:tc>
          <w:tcPr>
            <w:tcW w:w="0" w:type="dxa"/>
            <w:tcBorders>
              <w:top w:val="nil"/>
              <w:left w:val="single" w:sz="4" w:space="0" w:color="365F91" w:themeColor="accent1" w:themeShade="BF"/>
              <w:bottom w:val="nil"/>
            </w:tcBorders>
          </w:tcPr>
          <w:p w:rsidR="00D35E95" w:rsidRPr="00FA3973" w:rsidRDefault="007D1695" w:rsidP="00957A14">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472.33</w:t>
            </w:r>
          </w:p>
        </w:tc>
        <w:tc>
          <w:tcPr>
            <w:tcW w:w="0" w:type="dxa"/>
            <w:tcBorders>
              <w:top w:val="nil"/>
              <w:left w:val="single" w:sz="4" w:space="0" w:color="365F91" w:themeColor="accent1" w:themeShade="BF"/>
              <w:bottom w:val="nil"/>
            </w:tcBorders>
          </w:tcPr>
          <w:p w:rsidR="00D35E95" w:rsidRPr="00FA3973" w:rsidRDefault="00BC310E">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18.</w:t>
            </w:r>
            <w:r w:rsidR="007D1695">
              <w:rPr>
                <w:rFonts w:ascii="Arial" w:hAnsi="Arial" w:cs="Arial"/>
                <w:b/>
                <w:sz w:val="20"/>
                <w:szCs w:val="20"/>
              </w:rPr>
              <w:t>0</w:t>
            </w:r>
          </w:p>
        </w:tc>
      </w:tr>
      <w:tr w:rsidR="007D1695" w:rsidRPr="00FA3973" w:rsidTr="003E0E63">
        <w:trPr>
          <w:trHeight w:val="395"/>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right w:val="single" w:sz="4" w:space="0" w:color="365F91" w:themeColor="accent1" w:themeShade="BF"/>
            </w:tcBorders>
          </w:tcPr>
          <w:p w:rsidR="00D35E95" w:rsidRPr="00FA3973" w:rsidRDefault="000A4CC9" w:rsidP="00AA5300">
            <w:pPr>
              <w:pStyle w:val="Paragraph"/>
              <w:tabs>
                <w:tab w:val="clear" w:pos="720"/>
              </w:tabs>
              <w:ind w:left="0" w:firstLine="0"/>
              <w:jc w:val="left"/>
              <w:rPr>
                <w:rFonts w:ascii="Arial" w:hAnsi="Arial" w:cs="Arial"/>
                <w:b w:val="0"/>
                <w:sz w:val="20"/>
                <w:szCs w:val="20"/>
              </w:rPr>
            </w:pPr>
            <w:r>
              <w:rPr>
                <w:rFonts w:ascii="Arial" w:hAnsi="Arial" w:cs="Arial"/>
                <w:b w:val="0"/>
                <w:sz w:val="20"/>
                <w:szCs w:val="20"/>
              </w:rPr>
              <w:t xml:space="preserve">b.1 </w:t>
            </w:r>
            <w:r w:rsidR="00D35E95" w:rsidRPr="00FA3973">
              <w:rPr>
                <w:rFonts w:ascii="Arial" w:hAnsi="Arial" w:cs="Arial"/>
                <w:b w:val="0"/>
                <w:sz w:val="20"/>
                <w:szCs w:val="20"/>
              </w:rPr>
              <w:t>Energy supply cost without program (US$/MWh)</w:t>
            </w:r>
            <w:r w:rsidR="00BC310E">
              <w:rPr>
                <w:rFonts w:ascii="Arial" w:hAnsi="Arial" w:cs="Arial"/>
                <w:b w:val="0"/>
                <w:sz w:val="20"/>
                <w:szCs w:val="20"/>
              </w:rPr>
              <w:t xml:space="preserve"> – Scenario 1</w:t>
            </w:r>
          </w:p>
        </w:tc>
        <w:tc>
          <w:tcPr>
            <w:tcW w:w="1620" w:type="dxa"/>
            <w:tcBorders>
              <w:top w:val="nil"/>
              <w:left w:val="single" w:sz="4" w:space="0" w:color="365F91" w:themeColor="accent1" w:themeShade="BF"/>
              <w:bottom w:val="nil"/>
              <w:right w:val="single" w:sz="4" w:space="0" w:color="365F91" w:themeColor="accent1" w:themeShade="BF"/>
            </w:tcBorders>
          </w:tcPr>
          <w:p w:rsidR="00D35E95" w:rsidRPr="00FA3973" w:rsidRDefault="007D1695" w:rsidP="001724E1">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104.4</w:t>
            </w:r>
          </w:p>
        </w:tc>
        <w:tc>
          <w:tcPr>
            <w:tcW w:w="1350" w:type="dxa"/>
            <w:tcBorders>
              <w:top w:val="nil"/>
              <w:left w:val="single" w:sz="4" w:space="0" w:color="365F91" w:themeColor="accent1" w:themeShade="BF"/>
              <w:bottom w:val="nil"/>
              <w:right w:val="single" w:sz="4" w:space="0" w:color="365F91" w:themeColor="accent1" w:themeShade="BF"/>
            </w:tcBorders>
          </w:tcPr>
          <w:p w:rsidR="00D35E95" w:rsidRPr="00FA3973" w:rsidRDefault="00BC310E" w:rsidP="001724E1">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71.3</w:t>
            </w:r>
          </w:p>
        </w:tc>
        <w:tc>
          <w:tcPr>
            <w:tcW w:w="1170" w:type="dxa"/>
            <w:tcBorders>
              <w:top w:val="nil"/>
              <w:left w:val="single" w:sz="4" w:space="0" w:color="365F91" w:themeColor="accent1" w:themeShade="BF"/>
              <w:bottom w:val="nil"/>
              <w:right w:val="single" w:sz="4" w:space="0" w:color="365F91" w:themeColor="accent1" w:themeShade="BF"/>
            </w:tcBorders>
          </w:tcPr>
          <w:p w:rsidR="00D35E95" w:rsidRPr="00FA3973" w:rsidRDefault="00D35E95" w:rsidP="004529E6">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w:t>
            </w:r>
            <w:r w:rsidR="00BC310E">
              <w:rPr>
                <w:rFonts w:ascii="Arial" w:hAnsi="Arial" w:cs="Arial"/>
                <w:sz w:val="20"/>
                <w:szCs w:val="20"/>
              </w:rPr>
              <w:t>22</w:t>
            </w:r>
            <w:r w:rsidRPr="00FA3973">
              <w:rPr>
                <w:rFonts w:ascii="Arial" w:hAnsi="Arial" w:cs="Arial"/>
                <w:sz w:val="20"/>
                <w:szCs w:val="20"/>
              </w:rPr>
              <w:t>%</w:t>
            </w:r>
          </w:p>
        </w:tc>
        <w:tc>
          <w:tcPr>
            <w:tcW w:w="0" w:type="dxa"/>
            <w:tcBorders>
              <w:top w:val="nil"/>
              <w:left w:val="single" w:sz="4" w:space="0" w:color="365F91" w:themeColor="accent1" w:themeShade="BF"/>
              <w:bottom w:val="nil"/>
            </w:tcBorders>
          </w:tcPr>
          <w:p w:rsidR="00D35E95" w:rsidRPr="00FA3973" w:rsidRDefault="007D1695" w:rsidP="004529E6">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75.98</w:t>
            </w:r>
          </w:p>
        </w:tc>
        <w:tc>
          <w:tcPr>
            <w:tcW w:w="0" w:type="dxa"/>
            <w:tcBorders>
              <w:top w:val="nil"/>
              <w:left w:val="single" w:sz="4" w:space="0" w:color="365F91" w:themeColor="accent1" w:themeShade="BF"/>
              <w:bottom w:val="nil"/>
            </w:tcBorders>
          </w:tcPr>
          <w:p w:rsidR="00BC310E" w:rsidRPr="00FA3973" w:rsidRDefault="007D1695" w:rsidP="001724E1">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13.0</w:t>
            </w:r>
          </w:p>
        </w:tc>
      </w:tr>
      <w:tr w:rsidR="007D1695" w:rsidRPr="00FA3973" w:rsidTr="003E0E6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right w:val="single" w:sz="4" w:space="0" w:color="365F91" w:themeColor="accent1" w:themeShade="BF"/>
            </w:tcBorders>
          </w:tcPr>
          <w:p w:rsidR="00BC310E" w:rsidRPr="00FA3973" w:rsidRDefault="000A4CC9" w:rsidP="00AA5300">
            <w:pPr>
              <w:pStyle w:val="Paragraph"/>
              <w:tabs>
                <w:tab w:val="clear" w:pos="720"/>
              </w:tabs>
              <w:ind w:left="0" w:firstLine="0"/>
              <w:jc w:val="left"/>
              <w:rPr>
                <w:rFonts w:ascii="Arial" w:hAnsi="Arial" w:cs="Arial"/>
                <w:sz w:val="20"/>
                <w:szCs w:val="20"/>
              </w:rPr>
            </w:pPr>
            <w:r>
              <w:rPr>
                <w:rFonts w:ascii="Arial" w:hAnsi="Arial" w:cs="Arial"/>
                <w:b w:val="0"/>
                <w:sz w:val="20"/>
                <w:szCs w:val="20"/>
              </w:rPr>
              <w:t xml:space="preserve">b.2 </w:t>
            </w:r>
            <w:r w:rsidR="00BC310E" w:rsidRPr="00FA3973">
              <w:rPr>
                <w:rFonts w:ascii="Arial" w:hAnsi="Arial" w:cs="Arial"/>
                <w:b w:val="0"/>
                <w:sz w:val="20"/>
                <w:szCs w:val="20"/>
              </w:rPr>
              <w:t>Energy supply cost without program (US$/MWh)</w:t>
            </w:r>
            <w:r w:rsidR="00BC310E">
              <w:rPr>
                <w:rFonts w:ascii="Arial" w:hAnsi="Arial" w:cs="Arial"/>
                <w:b w:val="0"/>
                <w:sz w:val="20"/>
                <w:szCs w:val="20"/>
              </w:rPr>
              <w:t xml:space="preserve"> – Scenario 2</w:t>
            </w:r>
          </w:p>
        </w:tc>
        <w:tc>
          <w:tcPr>
            <w:tcW w:w="1620" w:type="dxa"/>
            <w:tcBorders>
              <w:top w:val="nil"/>
              <w:left w:val="single" w:sz="4" w:space="0" w:color="365F91" w:themeColor="accent1" w:themeShade="BF"/>
              <w:bottom w:val="nil"/>
              <w:right w:val="single" w:sz="4" w:space="0" w:color="365F91" w:themeColor="accent1" w:themeShade="BF"/>
            </w:tcBorders>
          </w:tcPr>
          <w:p w:rsidR="00BC310E" w:rsidRPr="00FA3973" w:rsidRDefault="007D1695" w:rsidP="00957A14">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104.4</w:t>
            </w:r>
          </w:p>
        </w:tc>
        <w:tc>
          <w:tcPr>
            <w:tcW w:w="1350" w:type="dxa"/>
            <w:tcBorders>
              <w:top w:val="nil"/>
              <w:left w:val="single" w:sz="4" w:space="0" w:color="365F91" w:themeColor="accent1" w:themeShade="BF"/>
              <w:bottom w:val="nil"/>
              <w:right w:val="single" w:sz="4" w:space="0" w:color="365F91" w:themeColor="accent1" w:themeShade="BF"/>
            </w:tcBorders>
          </w:tcPr>
          <w:p w:rsidR="00BC310E" w:rsidRPr="00FA3973" w:rsidRDefault="004529E6" w:rsidP="004529E6">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65</w:t>
            </w:r>
            <w:r w:rsidR="00BC310E" w:rsidRPr="00FA3973">
              <w:rPr>
                <w:rFonts w:ascii="Arial" w:hAnsi="Arial" w:cs="Arial"/>
                <w:sz w:val="20"/>
                <w:szCs w:val="20"/>
              </w:rPr>
              <w:t>.</w:t>
            </w:r>
            <w:r w:rsidR="003B6094">
              <w:rPr>
                <w:rFonts w:ascii="Arial" w:hAnsi="Arial" w:cs="Arial"/>
                <w:sz w:val="20"/>
                <w:szCs w:val="20"/>
              </w:rPr>
              <w:t>9</w:t>
            </w:r>
          </w:p>
        </w:tc>
        <w:tc>
          <w:tcPr>
            <w:tcW w:w="1170" w:type="dxa"/>
            <w:tcBorders>
              <w:top w:val="nil"/>
              <w:left w:val="single" w:sz="4" w:space="0" w:color="365F91" w:themeColor="accent1" w:themeShade="BF"/>
              <w:bottom w:val="nil"/>
              <w:right w:val="single" w:sz="4" w:space="0" w:color="365F91" w:themeColor="accent1" w:themeShade="BF"/>
            </w:tcBorders>
          </w:tcPr>
          <w:p w:rsidR="00BC310E" w:rsidRPr="00FA3973" w:rsidRDefault="00BC310E" w:rsidP="004529E6">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3973">
              <w:rPr>
                <w:rFonts w:ascii="Arial" w:hAnsi="Arial" w:cs="Arial"/>
                <w:sz w:val="20"/>
                <w:szCs w:val="20"/>
              </w:rPr>
              <w:t>–</w:t>
            </w:r>
            <w:r w:rsidR="004529E6">
              <w:rPr>
                <w:rFonts w:ascii="Arial" w:hAnsi="Arial" w:cs="Arial"/>
                <w:sz w:val="20"/>
                <w:szCs w:val="20"/>
              </w:rPr>
              <w:t>28</w:t>
            </w:r>
            <w:r w:rsidRPr="00FA3973">
              <w:rPr>
                <w:rFonts w:ascii="Arial" w:hAnsi="Arial" w:cs="Arial"/>
                <w:sz w:val="20"/>
                <w:szCs w:val="20"/>
              </w:rPr>
              <w:t>%</w:t>
            </w:r>
          </w:p>
        </w:tc>
        <w:tc>
          <w:tcPr>
            <w:tcW w:w="1350" w:type="dxa"/>
            <w:tcBorders>
              <w:top w:val="nil"/>
              <w:left w:val="single" w:sz="4" w:space="0" w:color="365F91" w:themeColor="accent1" w:themeShade="BF"/>
              <w:bottom w:val="nil"/>
            </w:tcBorders>
          </w:tcPr>
          <w:p w:rsidR="00BC310E" w:rsidRPr="00FA3973" w:rsidRDefault="00554822" w:rsidP="001724E1">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7.41</w:t>
            </w:r>
          </w:p>
        </w:tc>
        <w:tc>
          <w:tcPr>
            <w:tcW w:w="1098" w:type="dxa"/>
            <w:tcBorders>
              <w:top w:val="nil"/>
              <w:left w:val="single" w:sz="4" w:space="0" w:color="365F91" w:themeColor="accent1" w:themeShade="BF"/>
              <w:bottom w:val="nil"/>
            </w:tcBorders>
          </w:tcPr>
          <w:p w:rsidR="00BC310E" w:rsidRPr="00FA3973" w:rsidRDefault="004529E6" w:rsidP="001724E1">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12.1</w:t>
            </w:r>
          </w:p>
        </w:tc>
      </w:tr>
      <w:tr w:rsidR="007D1695" w:rsidRPr="00FA3973" w:rsidTr="003E0E63">
        <w:trPr>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right w:val="single" w:sz="8" w:space="0" w:color="4F81BD" w:themeColor="accent1"/>
            </w:tcBorders>
          </w:tcPr>
          <w:p w:rsidR="00BC310E" w:rsidRPr="00FA3973" w:rsidRDefault="000A4CC9" w:rsidP="004C7879">
            <w:pPr>
              <w:pStyle w:val="Paragraph"/>
              <w:tabs>
                <w:tab w:val="clear" w:pos="720"/>
              </w:tabs>
              <w:ind w:left="0" w:firstLine="0"/>
              <w:jc w:val="left"/>
              <w:rPr>
                <w:rFonts w:ascii="Arial" w:hAnsi="Arial" w:cs="Arial"/>
                <w:b w:val="0"/>
                <w:sz w:val="20"/>
                <w:szCs w:val="20"/>
              </w:rPr>
            </w:pPr>
            <w:r>
              <w:rPr>
                <w:rFonts w:ascii="Arial" w:hAnsi="Arial" w:cs="Arial"/>
                <w:b w:val="0"/>
                <w:sz w:val="20"/>
                <w:szCs w:val="20"/>
              </w:rPr>
              <w:t xml:space="preserve">c. </w:t>
            </w:r>
            <w:r w:rsidR="00BC310E" w:rsidRPr="00FA3973">
              <w:rPr>
                <w:rFonts w:ascii="Arial" w:hAnsi="Arial" w:cs="Arial"/>
                <w:b w:val="0"/>
                <w:sz w:val="20"/>
                <w:szCs w:val="20"/>
              </w:rPr>
              <w:t>Electric industry tariff (US$)</w:t>
            </w:r>
          </w:p>
        </w:tc>
        <w:tc>
          <w:tcPr>
            <w:tcW w:w="1620" w:type="dxa"/>
            <w:tcBorders>
              <w:top w:val="nil"/>
              <w:left w:val="single" w:sz="8" w:space="0" w:color="4F81BD" w:themeColor="accent1"/>
              <w:bottom w:val="nil"/>
              <w:right w:val="single" w:sz="8" w:space="0" w:color="4F81BD" w:themeColor="accent1"/>
            </w:tcBorders>
          </w:tcPr>
          <w:p w:rsidR="00BC310E" w:rsidRPr="00FA3973" w:rsidRDefault="00BC310E" w:rsidP="003E5A35">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101.77</w:t>
            </w:r>
          </w:p>
        </w:tc>
        <w:tc>
          <w:tcPr>
            <w:tcW w:w="1350" w:type="dxa"/>
            <w:tcBorders>
              <w:top w:val="nil"/>
              <w:left w:val="single" w:sz="8" w:space="0" w:color="4F81BD" w:themeColor="accent1"/>
              <w:bottom w:val="nil"/>
              <w:right w:val="single" w:sz="8" w:space="0" w:color="4F81BD" w:themeColor="accent1"/>
            </w:tcBorders>
          </w:tcPr>
          <w:p w:rsidR="00BC310E" w:rsidRPr="00FA3973" w:rsidRDefault="00BC310E" w:rsidP="006A5F3B">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54.9</w:t>
            </w:r>
          </w:p>
        </w:tc>
        <w:tc>
          <w:tcPr>
            <w:tcW w:w="1170" w:type="dxa"/>
            <w:tcBorders>
              <w:top w:val="nil"/>
              <w:left w:val="single" w:sz="8" w:space="0" w:color="4F81BD" w:themeColor="accent1"/>
              <w:bottom w:val="nil"/>
              <w:right w:val="single" w:sz="8" w:space="0" w:color="4F81BD" w:themeColor="accent1"/>
            </w:tcBorders>
          </w:tcPr>
          <w:p w:rsidR="00BC310E" w:rsidRPr="00FA3973" w:rsidRDefault="00BC310E" w:rsidP="0009334D">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3973">
              <w:rPr>
                <w:rFonts w:ascii="Arial" w:hAnsi="Arial" w:cs="Arial"/>
                <w:sz w:val="20"/>
                <w:szCs w:val="20"/>
              </w:rPr>
              <w:t>–46%</w:t>
            </w:r>
          </w:p>
        </w:tc>
        <w:tc>
          <w:tcPr>
            <w:tcW w:w="1350" w:type="dxa"/>
            <w:tcBorders>
              <w:top w:val="nil"/>
              <w:left w:val="single" w:sz="8" w:space="0" w:color="4F81BD" w:themeColor="accent1"/>
              <w:bottom w:val="nil"/>
            </w:tcBorders>
          </w:tcPr>
          <w:p w:rsidR="00BC310E" w:rsidRPr="00FA3973" w:rsidRDefault="007D1695" w:rsidP="009B26BD">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409.49</w:t>
            </w:r>
          </w:p>
        </w:tc>
        <w:tc>
          <w:tcPr>
            <w:tcW w:w="1098" w:type="dxa"/>
            <w:tcBorders>
              <w:top w:val="nil"/>
              <w:left w:val="single" w:sz="8" w:space="0" w:color="4F81BD" w:themeColor="accent1"/>
              <w:bottom w:val="nil"/>
            </w:tcBorders>
          </w:tcPr>
          <w:p w:rsidR="00BC310E" w:rsidRPr="00FA3973" w:rsidRDefault="004529E6" w:rsidP="00957A14">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17.</w:t>
            </w:r>
            <w:r w:rsidR="007D1695">
              <w:rPr>
                <w:rFonts w:ascii="Arial" w:hAnsi="Arial" w:cs="Arial"/>
                <w:b/>
                <w:sz w:val="20"/>
                <w:szCs w:val="20"/>
              </w:rPr>
              <w:t>3</w:t>
            </w:r>
          </w:p>
        </w:tc>
      </w:tr>
      <w:tr w:rsidR="007D1695" w:rsidRPr="00FA3973" w:rsidTr="003E0E6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right w:val="single" w:sz="8" w:space="0" w:color="4F81BD" w:themeColor="accent1"/>
            </w:tcBorders>
          </w:tcPr>
          <w:p w:rsidR="00BC310E" w:rsidRPr="00DE1F92" w:rsidRDefault="000A4CC9" w:rsidP="004C7879">
            <w:pPr>
              <w:pStyle w:val="Paragraph"/>
              <w:tabs>
                <w:tab w:val="clear" w:pos="720"/>
              </w:tabs>
              <w:ind w:left="0" w:firstLine="0"/>
              <w:jc w:val="left"/>
              <w:rPr>
                <w:rFonts w:ascii="Arial" w:hAnsi="Arial" w:cs="Arial"/>
                <w:b w:val="0"/>
                <w:sz w:val="20"/>
                <w:szCs w:val="20"/>
              </w:rPr>
            </w:pPr>
            <w:r w:rsidRPr="003E0E63">
              <w:rPr>
                <w:rFonts w:ascii="Arial" w:hAnsi="Arial" w:cs="Arial"/>
                <w:sz w:val="20"/>
                <w:szCs w:val="20"/>
              </w:rPr>
              <w:t xml:space="preserve">d. </w:t>
            </w:r>
            <w:r w:rsidR="00BC310E" w:rsidRPr="00DE1F92">
              <w:rPr>
                <w:rFonts w:ascii="Arial" w:hAnsi="Arial" w:cs="Arial"/>
                <w:sz w:val="20"/>
                <w:szCs w:val="20"/>
              </w:rPr>
              <w:t>Time of construction (all technologies) (years)</w:t>
            </w:r>
          </w:p>
        </w:tc>
        <w:tc>
          <w:tcPr>
            <w:tcW w:w="1620" w:type="dxa"/>
            <w:tcBorders>
              <w:top w:val="nil"/>
              <w:left w:val="single" w:sz="8" w:space="0" w:color="4F81BD" w:themeColor="accent1"/>
              <w:bottom w:val="nil"/>
              <w:right w:val="single" w:sz="8" w:space="0" w:color="4F81BD" w:themeColor="accent1"/>
            </w:tcBorders>
          </w:tcPr>
          <w:p w:rsidR="00BC310E" w:rsidRPr="00F930E9" w:rsidRDefault="00BC310E" w:rsidP="001724E1">
            <w:pPr>
              <w:pStyle w:val="Paragraph"/>
              <w:tabs>
                <w:tab w:val="clear" w:pos="720"/>
              </w:tabs>
              <w:spacing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30E9">
              <w:rPr>
                <w:rFonts w:ascii="Arial" w:hAnsi="Arial" w:cs="Arial"/>
                <w:sz w:val="20"/>
                <w:szCs w:val="20"/>
              </w:rPr>
              <w:t>1</w:t>
            </w:r>
          </w:p>
        </w:tc>
        <w:tc>
          <w:tcPr>
            <w:tcW w:w="1350" w:type="dxa"/>
            <w:tcBorders>
              <w:top w:val="nil"/>
              <w:left w:val="single" w:sz="8" w:space="0" w:color="4F81BD" w:themeColor="accent1"/>
              <w:bottom w:val="nil"/>
              <w:right w:val="single" w:sz="8" w:space="0" w:color="4F81BD" w:themeColor="accent1"/>
            </w:tcBorders>
          </w:tcPr>
          <w:p w:rsidR="00BC310E" w:rsidRPr="00F930E9" w:rsidRDefault="00BC310E" w:rsidP="001724E1">
            <w:pPr>
              <w:pStyle w:val="Paragraph"/>
              <w:tabs>
                <w:tab w:val="clear" w:pos="720"/>
              </w:tabs>
              <w:spacing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30E9">
              <w:rPr>
                <w:rFonts w:ascii="Arial" w:hAnsi="Arial" w:cs="Arial"/>
                <w:sz w:val="20"/>
                <w:szCs w:val="20"/>
              </w:rPr>
              <w:t>2</w:t>
            </w:r>
          </w:p>
        </w:tc>
        <w:tc>
          <w:tcPr>
            <w:tcW w:w="1170" w:type="dxa"/>
            <w:tcBorders>
              <w:top w:val="nil"/>
              <w:left w:val="single" w:sz="8" w:space="0" w:color="4F81BD" w:themeColor="accent1"/>
              <w:bottom w:val="nil"/>
              <w:right w:val="single" w:sz="8" w:space="0" w:color="4F81BD" w:themeColor="accent1"/>
            </w:tcBorders>
          </w:tcPr>
          <w:p w:rsidR="00BC310E" w:rsidRPr="00F930E9" w:rsidRDefault="00BC310E" w:rsidP="003E5A35">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30E9">
              <w:rPr>
                <w:rFonts w:ascii="Arial" w:hAnsi="Arial" w:cs="Arial"/>
                <w:sz w:val="20"/>
                <w:szCs w:val="20"/>
              </w:rPr>
              <w:t>+100%</w:t>
            </w:r>
          </w:p>
        </w:tc>
        <w:tc>
          <w:tcPr>
            <w:tcW w:w="0" w:type="dxa"/>
            <w:tcBorders>
              <w:top w:val="nil"/>
              <w:left w:val="single" w:sz="8" w:space="0" w:color="4F81BD" w:themeColor="accent1"/>
              <w:bottom w:val="nil"/>
            </w:tcBorders>
          </w:tcPr>
          <w:p w:rsidR="00BC310E" w:rsidRPr="00957A14" w:rsidRDefault="00F930E9" w:rsidP="003E5A35">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E0E63">
              <w:rPr>
                <w:rFonts w:ascii="Arial" w:hAnsi="Arial" w:cs="Arial"/>
                <w:b/>
                <w:sz w:val="20"/>
                <w:szCs w:val="20"/>
              </w:rPr>
              <w:t>410.76</w:t>
            </w:r>
          </w:p>
        </w:tc>
        <w:tc>
          <w:tcPr>
            <w:tcW w:w="0" w:type="dxa"/>
            <w:tcBorders>
              <w:top w:val="nil"/>
              <w:left w:val="single" w:sz="8" w:space="0" w:color="4F81BD" w:themeColor="accent1"/>
              <w:bottom w:val="nil"/>
            </w:tcBorders>
          </w:tcPr>
          <w:p w:rsidR="00BC310E" w:rsidRPr="00957A14" w:rsidRDefault="00F930E9" w:rsidP="003E5A35">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E0E63">
              <w:rPr>
                <w:rFonts w:ascii="Arial" w:hAnsi="Arial" w:cs="Arial"/>
                <w:b/>
                <w:sz w:val="20"/>
                <w:szCs w:val="20"/>
              </w:rPr>
              <w:t>16.9</w:t>
            </w:r>
          </w:p>
        </w:tc>
      </w:tr>
      <w:tr w:rsidR="007D1695" w:rsidRPr="00FA3973" w:rsidTr="003E0E63">
        <w:trPr>
          <w:trHeight w:val="467"/>
        </w:trPr>
        <w:tc>
          <w:tcPr>
            <w:cnfStyle w:val="001000000000" w:firstRow="0" w:lastRow="0" w:firstColumn="1" w:lastColumn="0" w:oddVBand="0" w:evenVBand="0" w:oddHBand="0" w:evenHBand="0" w:firstRowFirstColumn="0" w:firstRowLastColumn="0" w:lastRowFirstColumn="0" w:lastRowLastColumn="0"/>
            <w:tcW w:w="2268" w:type="dxa"/>
            <w:tcBorders>
              <w:top w:val="nil"/>
              <w:bottom w:val="nil"/>
              <w:right w:val="single" w:sz="8" w:space="0" w:color="4F81BD" w:themeColor="accent1"/>
            </w:tcBorders>
          </w:tcPr>
          <w:p w:rsidR="00BC310E" w:rsidRPr="00DE1F92" w:rsidRDefault="000A4CC9" w:rsidP="004C7879">
            <w:pPr>
              <w:pStyle w:val="Paragraph"/>
              <w:tabs>
                <w:tab w:val="clear" w:pos="720"/>
              </w:tabs>
              <w:ind w:left="0" w:firstLine="0"/>
              <w:jc w:val="left"/>
              <w:rPr>
                <w:rFonts w:ascii="Arial" w:hAnsi="Arial" w:cs="Arial"/>
                <w:b w:val="0"/>
                <w:sz w:val="20"/>
                <w:szCs w:val="20"/>
              </w:rPr>
            </w:pPr>
            <w:r w:rsidRPr="00DE1F92">
              <w:rPr>
                <w:rFonts w:ascii="Arial" w:hAnsi="Arial" w:cs="Arial"/>
                <w:sz w:val="20"/>
                <w:szCs w:val="20"/>
              </w:rPr>
              <w:t xml:space="preserve">e. </w:t>
            </w:r>
            <w:r w:rsidR="00BC310E" w:rsidRPr="00DE1F92">
              <w:rPr>
                <w:rFonts w:ascii="Arial" w:hAnsi="Arial" w:cs="Arial"/>
                <w:sz w:val="20"/>
                <w:szCs w:val="20"/>
              </w:rPr>
              <w:t>Projects not completed (all technologies) (number)</w:t>
            </w:r>
          </w:p>
        </w:tc>
        <w:tc>
          <w:tcPr>
            <w:tcW w:w="1620" w:type="dxa"/>
            <w:tcBorders>
              <w:top w:val="nil"/>
              <w:left w:val="single" w:sz="8" w:space="0" w:color="4F81BD" w:themeColor="accent1"/>
              <w:bottom w:val="nil"/>
              <w:right w:val="single" w:sz="8" w:space="0" w:color="4F81BD" w:themeColor="accent1"/>
            </w:tcBorders>
          </w:tcPr>
          <w:p w:rsidR="00BC310E" w:rsidRPr="000A4CC9" w:rsidRDefault="00BC310E" w:rsidP="001724E1">
            <w:pPr>
              <w:pStyle w:val="Paragraph"/>
              <w:tabs>
                <w:tab w:val="clear" w:pos="720"/>
              </w:tabs>
              <w:spacing w:after="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CC9">
              <w:rPr>
                <w:rFonts w:ascii="Arial" w:hAnsi="Arial" w:cs="Arial"/>
                <w:sz w:val="20"/>
                <w:szCs w:val="20"/>
              </w:rPr>
              <w:t>wind: 0</w:t>
            </w:r>
          </w:p>
          <w:p w:rsidR="00BC310E" w:rsidRPr="000A4CC9" w:rsidRDefault="00BC310E" w:rsidP="001724E1">
            <w:pPr>
              <w:pStyle w:val="Paragraph"/>
              <w:tabs>
                <w:tab w:val="clear" w:pos="720"/>
              </w:tabs>
              <w:spacing w:before="0" w:after="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CC9">
              <w:rPr>
                <w:rFonts w:ascii="Arial" w:hAnsi="Arial" w:cs="Arial"/>
                <w:sz w:val="20"/>
                <w:szCs w:val="20"/>
              </w:rPr>
              <w:t>solar: 0</w:t>
            </w:r>
          </w:p>
          <w:p w:rsidR="00BC310E" w:rsidRPr="000A4CC9" w:rsidRDefault="00BC310E" w:rsidP="00ED75D5">
            <w:pPr>
              <w:pStyle w:val="Paragraph"/>
              <w:tabs>
                <w:tab w:val="clear" w:pos="720"/>
              </w:tabs>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CC9">
              <w:rPr>
                <w:rFonts w:ascii="Arial" w:hAnsi="Arial" w:cs="Arial"/>
                <w:sz w:val="20"/>
                <w:szCs w:val="20"/>
              </w:rPr>
              <w:t>cogen: 0</w:t>
            </w:r>
          </w:p>
        </w:tc>
        <w:tc>
          <w:tcPr>
            <w:tcW w:w="1350" w:type="dxa"/>
            <w:tcBorders>
              <w:top w:val="nil"/>
              <w:left w:val="single" w:sz="8" w:space="0" w:color="4F81BD" w:themeColor="accent1"/>
              <w:bottom w:val="nil"/>
              <w:right w:val="single" w:sz="8" w:space="0" w:color="4F81BD" w:themeColor="accent1"/>
            </w:tcBorders>
          </w:tcPr>
          <w:p w:rsidR="00BC310E" w:rsidRPr="000A4CC9" w:rsidRDefault="00BC310E" w:rsidP="001724E1">
            <w:pPr>
              <w:pStyle w:val="Paragraph"/>
              <w:tabs>
                <w:tab w:val="clear" w:pos="720"/>
              </w:tabs>
              <w:spacing w:after="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CC9">
              <w:rPr>
                <w:rFonts w:ascii="Arial" w:hAnsi="Arial" w:cs="Arial"/>
                <w:sz w:val="20"/>
                <w:szCs w:val="20"/>
              </w:rPr>
              <w:t>wind: 4</w:t>
            </w:r>
          </w:p>
          <w:p w:rsidR="00BC310E" w:rsidRPr="000A4CC9" w:rsidRDefault="00BC310E" w:rsidP="001724E1">
            <w:pPr>
              <w:pStyle w:val="Paragraph"/>
              <w:tabs>
                <w:tab w:val="clear" w:pos="720"/>
              </w:tabs>
              <w:spacing w:before="0" w:after="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CC9">
              <w:rPr>
                <w:rFonts w:ascii="Arial" w:hAnsi="Arial" w:cs="Arial"/>
                <w:sz w:val="20"/>
                <w:szCs w:val="20"/>
              </w:rPr>
              <w:t>solar: 1</w:t>
            </w:r>
          </w:p>
          <w:p w:rsidR="00BC310E" w:rsidRPr="000A4CC9" w:rsidRDefault="00BC310E" w:rsidP="001724E1">
            <w:pPr>
              <w:pStyle w:val="Paragraph"/>
              <w:tabs>
                <w:tab w:val="clear" w:pos="720"/>
              </w:tabs>
              <w:spacing w:before="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CC9">
              <w:rPr>
                <w:rFonts w:ascii="Arial" w:hAnsi="Arial" w:cs="Arial"/>
                <w:sz w:val="20"/>
                <w:szCs w:val="20"/>
              </w:rPr>
              <w:t>cogen: 1</w:t>
            </w:r>
          </w:p>
        </w:tc>
        <w:tc>
          <w:tcPr>
            <w:tcW w:w="1170" w:type="dxa"/>
            <w:tcBorders>
              <w:top w:val="nil"/>
              <w:left w:val="single" w:sz="8" w:space="0" w:color="4F81BD" w:themeColor="accent1"/>
              <w:bottom w:val="nil"/>
              <w:right w:val="single" w:sz="8" w:space="0" w:color="4F81BD" w:themeColor="accent1"/>
            </w:tcBorders>
          </w:tcPr>
          <w:p w:rsidR="00BC310E" w:rsidRPr="000A4CC9" w:rsidRDefault="00BC310E" w:rsidP="003E5A35">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A4CC9">
              <w:rPr>
                <w:rFonts w:ascii="Arial" w:hAnsi="Arial" w:cs="Arial"/>
                <w:sz w:val="20"/>
                <w:szCs w:val="20"/>
              </w:rPr>
              <w:t>+20%</w:t>
            </w:r>
          </w:p>
        </w:tc>
        <w:tc>
          <w:tcPr>
            <w:tcW w:w="1350" w:type="dxa"/>
            <w:tcBorders>
              <w:top w:val="nil"/>
              <w:left w:val="single" w:sz="8" w:space="0" w:color="4F81BD" w:themeColor="accent1"/>
              <w:bottom w:val="nil"/>
            </w:tcBorders>
          </w:tcPr>
          <w:p w:rsidR="00BC310E" w:rsidRPr="00957A14" w:rsidRDefault="000A4CC9" w:rsidP="003E5A35">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E0E63">
              <w:rPr>
                <w:rFonts w:ascii="Arial" w:hAnsi="Arial" w:cs="Arial"/>
                <w:b/>
                <w:sz w:val="20"/>
                <w:szCs w:val="20"/>
              </w:rPr>
              <w:t>168.16</w:t>
            </w:r>
          </w:p>
        </w:tc>
        <w:tc>
          <w:tcPr>
            <w:tcW w:w="1098" w:type="dxa"/>
            <w:tcBorders>
              <w:top w:val="nil"/>
              <w:left w:val="single" w:sz="8" w:space="0" w:color="4F81BD" w:themeColor="accent1"/>
              <w:bottom w:val="nil"/>
            </w:tcBorders>
          </w:tcPr>
          <w:p w:rsidR="00BC310E" w:rsidRPr="00957A14" w:rsidRDefault="000A4CC9" w:rsidP="003E5A35">
            <w:pPr>
              <w:pStyle w:val="Paragraph"/>
              <w:tabs>
                <w:tab w:val="clear" w:pos="720"/>
              </w:tabs>
              <w:ind w:left="0" w:firstLine="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E0E63">
              <w:rPr>
                <w:rFonts w:ascii="Arial" w:hAnsi="Arial" w:cs="Arial"/>
                <w:b/>
                <w:sz w:val="20"/>
                <w:szCs w:val="20"/>
              </w:rPr>
              <w:t>14.2</w:t>
            </w:r>
          </w:p>
        </w:tc>
      </w:tr>
      <w:tr w:rsidR="007D1695" w:rsidRPr="00FA3973" w:rsidTr="007D169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68" w:type="dxa"/>
            <w:tcBorders>
              <w:top w:val="nil"/>
              <w:bottom w:val="single" w:sz="8" w:space="0" w:color="4F81BD" w:themeColor="accent1"/>
              <w:right w:val="single" w:sz="8" w:space="0" w:color="4F81BD" w:themeColor="accent1"/>
            </w:tcBorders>
          </w:tcPr>
          <w:p w:rsidR="007D1695" w:rsidRPr="003E0E63" w:rsidRDefault="000A4CC9" w:rsidP="004C7879">
            <w:pPr>
              <w:pStyle w:val="Paragraph"/>
              <w:tabs>
                <w:tab w:val="clear" w:pos="720"/>
              </w:tabs>
              <w:ind w:left="0" w:firstLine="0"/>
              <w:jc w:val="left"/>
              <w:rPr>
                <w:rFonts w:ascii="Arial" w:hAnsi="Arial" w:cs="Arial"/>
                <w:b w:val="0"/>
                <w:sz w:val="20"/>
                <w:szCs w:val="20"/>
              </w:rPr>
            </w:pPr>
            <w:r w:rsidRPr="00DE1F92">
              <w:rPr>
                <w:rFonts w:ascii="Arial" w:hAnsi="Arial" w:cs="Arial"/>
                <w:sz w:val="20"/>
                <w:szCs w:val="20"/>
              </w:rPr>
              <w:t xml:space="preserve">f. </w:t>
            </w:r>
            <w:r w:rsidR="007D1695" w:rsidRPr="003E0E63">
              <w:rPr>
                <w:rFonts w:ascii="Arial" w:hAnsi="Arial" w:cs="Arial"/>
                <w:sz w:val="20"/>
                <w:szCs w:val="20"/>
              </w:rPr>
              <w:t>ARE/EE mix</w:t>
            </w:r>
          </w:p>
        </w:tc>
        <w:tc>
          <w:tcPr>
            <w:tcW w:w="1620" w:type="dxa"/>
            <w:tcBorders>
              <w:top w:val="nil"/>
              <w:left w:val="single" w:sz="8" w:space="0" w:color="4F81BD" w:themeColor="accent1"/>
              <w:bottom w:val="single" w:sz="8" w:space="0" w:color="4F81BD" w:themeColor="accent1"/>
              <w:right w:val="single" w:sz="8" w:space="0" w:color="4F81BD" w:themeColor="accent1"/>
            </w:tcBorders>
          </w:tcPr>
          <w:p w:rsidR="007D1695" w:rsidRPr="003E0E63" w:rsidRDefault="007D1695" w:rsidP="001724E1">
            <w:pPr>
              <w:pStyle w:val="Paragraph"/>
              <w:tabs>
                <w:tab w:val="clear" w:pos="720"/>
              </w:tabs>
              <w:spacing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0E63">
              <w:rPr>
                <w:rFonts w:ascii="Arial" w:hAnsi="Arial" w:cs="Arial"/>
                <w:sz w:val="20"/>
                <w:szCs w:val="20"/>
              </w:rPr>
              <w:t>90% ARE</w:t>
            </w:r>
          </w:p>
          <w:p w:rsidR="007D1695" w:rsidRPr="003E0E63" w:rsidRDefault="007D1695" w:rsidP="001724E1">
            <w:pPr>
              <w:pStyle w:val="Paragraph"/>
              <w:tabs>
                <w:tab w:val="clear" w:pos="720"/>
              </w:tabs>
              <w:spacing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0E63">
              <w:rPr>
                <w:rFonts w:ascii="Arial" w:hAnsi="Arial" w:cs="Arial"/>
                <w:sz w:val="20"/>
                <w:szCs w:val="20"/>
              </w:rPr>
              <w:t>10% EE</w:t>
            </w:r>
          </w:p>
        </w:tc>
        <w:tc>
          <w:tcPr>
            <w:tcW w:w="1350" w:type="dxa"/>
            <w:tcBorders>
              <w:top w:val="nil"/>
              <w:left w:val="single" w:sz="8" w:space="0" w:color="4F81BD" w:themeColor="accent1"/>
              <w:bottom w:val="single" w:sz="8" w:space="0" w:color="4F81BD" w:themeColor="accent1"/>
              <w:right w:val="single" w:sz="8" w:space="0" w:color="4F81BD" w:themeColor="accent1"/>
            </w:tcBorders>
          </w:tcPr>
          <w:p w:rsidR="007D1695" w:rsidRPr="003E0E63" w:rsidRDefault="007D1695" w:rsidP="001724E1">
            <w:pPr>
              <w:pStyle w:val="Paragraph"/>
              <w:tabs>
                <w:tab w:val="clear" w:pos="720"/>
              </w:tabs>
              <w:spacing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0E63">
              <w:rPr>
                <w:rFonts w:ascii="Arial" w:hAnsi="Arial" w:cs="Arial"/>
                <w:sz w:val="20"/>
                <w:szCs w:val="20"/>
              </w:rPr>
              <w:t>100% ARE</w:t>
            </w:r>
          </w:p>
          <w:p w:rsidR="007D1695" w:rsidRPr="003E0E63" w:rsidRDefault="007D1695" w:rsidP="001724E1">
            <w:pPr>
              <w:pStyle w:val="Paragraph"/>
              <w:tabs>
                <w:tab w:val="clear" w:pos="720"/>
              </w:tabs>
              <w:spacing w:after="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0E63">
              <w:rPr>
                <w:rFonts w:ascii="Arial" w:hAnsi="Arial" w:cs="Arial"/>
                <w:sz w:val="20"/>
                <w:szCs w:val="20"/>
              </w:rPr>
              <w:t>0% EE</w:t>
            </w:r>
          </w:p>
        </w:tc>
        <w:tc>
          <w:tcPr>
            <w:tcW w:w="1170" w:type="dxa"/>
            <w:tcBorders>
              <w:top w:val="nil"/>
              <w:left w:val="single" w:sz="8" w:space="0" w:color="4F81BD" w:themeColor="accent1"/>
              <w:bottom w:val="single" w:sz="8" w:space="0" w:color="4F81BD" w:themeColor="accent1"/>
              <w:right w:val="single" w:sz="8" w:space="0" w:color="4F81BD" w:themeColor="accent1"/>
            </w:tcBorders>
          </w:tcPr>
          <w:p w:rsidR="007D1695" w:rsidRPr="003E0E63" w:rsidRDefault="007D1695" w:rsidP="003E5A35">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0E63">
              <w:rPr>
                <w:rFonts w:ascii="Arial" w:hAnsi="Arial" w:cs="Arial"/>
                <w:sz w:val="20"/>
                <w:szCs w:val="20"/>
              </w:rPr>
              <w:t>n/a</w:t>
            </w:r>
          </w:p>
        </w:tc>
        <w:tc>
          <w:tcPr>
            <w:tcW w:w="1350" w:type="dxa"/>
            <w:tcBorders>
              <w:top w:val="nil"/>
              <w:left w:val="single" w:sz="8" w:space="0" w:color="4F81BD" w:themeColor="accent1"/>
              <w:bottom w:val="single" w:sz="8" w:space="0" w:color="4F81BD" w:themeColor="accent1"/>
            </w:tcBorders>
          </w:tcPr>
          <w:p w:rsidR="007D1695" w:rsidRPr="003E0E63" w:rsidRDefault="007D1695" w:rsidP="003E5A35">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E0E63">
              <w:rPr>
                <w:rFonts w:ascii="Arial" w:hAnsi="Arial" w:cs="Arial"/>
                <w:b/>
                <w:sz w:val="20"/>
                <w:szCs w:val="20"/>
              </w:rPr>
              <w:t>424.07</w:t>
            </w:r>
          </w:p>
        </w:tc>
        <w:tc>
          <w:tcPr>
            <w:tcW w:w="1098" w:type="dxa"/>
            <w:tcBorders>
              <w:top w:val="nil"/>
              <w:left w:val="single" w:sz="8" w:space="0" w:color="4F81BD" w:themeColor="accent1"/>
              <w:bottom w:val="single" w:sz="8" w:space="0" w:color="4F81BD" w:themeColor="accent1"/>
            </w:tcBorders>
          </w:tcPr>
          <w:p w:rsidR="007D1695" w:rsidRPr="003E0E63" w:rsidRDefault="007D1695" w:rsidP="003E5A35">
            <w:pPr>
              <w:pStyle w:val="Paragraph"/>
              <w:tabs>
                <w:tab w:val="clear" w:pos="720"/>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E0E63">
              <w:rPr>
                <w:rFonts w:ascii="Arial" w:hAnsi="Arial" w:cs="Arial"/>
                <w:b/>
                <w:sz w:val="20"/>
                <w:szCs w:val="20"/>
              </w:rPr>
              <w:t>17.2</w:t>
            </w:r>
          </w:p>
        </w:tc>
      </w:tr>
    </w:tbl>
    <w:p w:rsidR="007F54B5" w:rsidRPr="000E3268" w:rsidRDefault="00CB5A36" w:rsidP="000E3268">
      <w:pPr>
        <w:pStyle w:val="Paragraph"/>
        <w:numPr>
          <w:ilvl w:val="1"/>
          <w:numId w:val="15"/>
        </w:numPr>
        <w:tabs>
          <w:tab w:val="num" w:pos="720"/>
        </w:tabs>
        <w:spacing w:afterLines="80" w:after="192"/>
        <w:ind w:left="720" w:hanging="720"/>
        <w:rPr>
          <w:rFonts w:ascii="Arial" w:hAnsi="Arial" w:cs="Arial"/>
          <w:sz w:val="22"/>
        </w:rPr>
      </w:pPr>
      <w:r w:rsidRPr="000E3268">
        <w:rPr>
          <w:rFonts w:ascii="Arial" w:hAnsi="Arial" w:cs="Arial"/>
          <w:sz w:val="22"/>
        </w:rPr>
        <w:t xml:space="preserve">The results </w:t>
      </w:r>
      <w:r w:rsidR="007F54B5" w:rsidRPr="000E3268">
        <w:rPr>
          <w:rFonts w:ascii="Arial" w:hAnsi="Arial" w:cs="Arial"/>
          <w:sz w:val="22"/>
        </w:rPr>
        <w:t xml:space="preserve">of the sensitivity analysis </w:t>
      </w:r>
      <w:r w:rsidRPr="000E3268">
        <w:rPr>
          <w:rFonts w:ascii="Arial" w:hAnsi="Arial" w:cs="Arial"/>
          <w:sz w:val="22"/>
        </w:rPr>
        <w:t>show that</w:t>
      </w:r>
      <w:r w:rsidR="0028341E" w:rsidRPr="000E3268">
        <w:rPr>
          <w:rFonts w:ascii="Arial" w:hAnsi="Arial" w:cs="Arial"/>
          <w:sz w:val="22"/>
        </w:rPr>
        <w:t xml:space="preserve"> </w:t>
      </w:r>
      <w:r w:rsidRPr="000E3268">
        <w:rPr>
          <w:rFonts w:ascii="Arial" w:hAnsi="Arial" w:cs="Arial"/>
          <w:sz w:val="22"/>
        </w:rPr>
        <w:t xml:space="preserve">the </w:t>
      </w:r>
      <w:r w:rsidR="00183777" w:rsidRPr="000E3268">
        <w:rPr>
          <w:rFonts w:ascii="Arial" w:hAnsi="Arial" w:cs="Arial"/>
          <w:sz w:val="22"/>
        </w:rPr>
        <w:t xml:space="preserve">net </w:t>
      </w:r>
      <w:r w:rsidR="0028341E" w:rsidRPr="000E3268">
        <w:rPr>
          <w:rFonts w:ascii="Arial" w:hAnsi="Arial" w:cs="Arial"/>
          <w:sz w:val="22"/>
        </w:rPr>
        <w:t xml:space="preserve">economic </w:t>
      </w:r>
      <w:r w:rsidR="00183777" w:rsidRPr="000E3268">
        <w:rPr>
          <w:rFonts w:ascii="Arial" w:hAnsi="Arial" w:cs="Arial"/>
          <w:sz w:val="22"/>
        </w:rPr>
        <w:t xml:space="preserve">benefit </w:t>
      </w:r>
      <w:r w:rsidR="0028341E" w:rsidRPr="000E3268">
        <w:rPr>
          <w:rFonts w:ascii="Arial" w:hAnsi="Arial" w:cs="Arial"/>
          <w:sz w:val="22"/>
        </w:rPr>
        <w:t xml:space="preserve">of the </w:t>
      </w:r>
      <w:r w:rsidRPr="000E3268">
        <w:rPr>
          <w:rFonts w:ascii="Arial" w:hAnsi="Arial" w:cs="Arial"/>
          <w:sz w:val="22"/>
        </w:rPr>
        <w:t xml:space="preserve">program is particularly </w:t>
      </w:r>
      <w:r w:rsidR="00E36868" w:rsidRPr="000E3268">
        <w:rPr>
          <w:rFonts w:ascii="Arial" w:hAnsi="Arial" w:cs="Arial"/>
          <w:sz w:val="22"/>
        </w:rPr>
        <w:t>elastic</w:t>
      </w:r>
      <w:r w:rsidR="003E39F6" w:rsidRPr="000E3268">
        <w:rPr>
          <w:rFonts w:ascii="Arial" w:hAnsi="Arial" w:cs="Arial"/>
          <w:sz w:val="22"/>
        </w:rPr>
        <w:t xml:space="preserve"> to </w:t>
      </w:r>
      <w:r w:rsidR="005F46A6" w:rsidRPr="000E3268">
        <w:rPr>
          <w:rFonts w:ascii="Arial" w:hAnsi="Arial" w:cs="Arial"/>
          <w:sz w:val="22"/>
        </w:rPr>
        <w:t xml:space="preserve">the </w:t>
      </w:r>
      <w:r w:rsidR="00AA5300" w:rsidRPr="000E3268">
        <w:rPr>
          <w:rFonts w:ascii="Arial" w:hAnsi="Arial" w:cs="Arial"/>
          <w:sz w:val="22"/>
        </w:rPr>
        <w:t xml:space="preserve">energy supply </w:t>
      </w:r>
      <w:r w:rsidR="004C7879" w:rsidRPr="000E3268">
        <w:rPr>
          <w:rFonts w:ascii="Arial" w:hAnsi="Arial" w:cs="Arial"/>
          <w:sz w:val="22"/>
        </w:rPr>
        <w:t xml:space="preserve">cost in the </w:t>
      </w:r>
      <w:r w:rsidR="000E3268" w:rsidRPr="000E3268">
        <w:rPr>
          <w:rFonts w:ascii="Arial" w:hAnsi="Arial" w:cs="Arial"/>
          <w:sz w:val="22"/>
        </w:rPr>
        <w:t xml:space="preserve">alternative </w:t>
      </w:r>
      <w:r w:rsidR="004C7879" w:rsidRPr="000E3268">
        <w:rPr>
          <w:rFonts w:ascii="Arial" w:hAnsi="Arial" w:cs="Arial"/>
          <w:sz w:val="22"/>
        </w:rPr>
        <w:t>scenario</w:t>
      </w:r>
      <w:r w:rsidR="00183777" w:rsidRPr="000E3268">
        <w:rPr>
          <w:rFonts w:ascii="Arial" w:hAnsi="Arial" w:cs="Arial"/>
          <w:sz w:val="22"/>
        </w:rPr>
        <w:t>,</w:t>
      </w:r>
      <w:r w:rsidR="002C60B6" w:rsidRPr="000E3268">
        <w:rPr>
          <w:rFonts w:ascii="Arial" w:hAnsi="Arial" w:cs="Arial"/>
          <w:sz w:val="22"/>
        </w:rPr>
        <w:t xml:space="preserve"> that considers that there are </w:t>
      </w:r>
      <w:r w:rsidR="007F54B5" w:rsidRPr="000E3268">
        <w:rPr>
          <w:rFonts w:ascii="Arial" w:hAnsi="Arial" w:cs="Arial"/>
          <w:sz w:val="22"/>
        </w:rPr>
        <w:t>no investments in ARE projects</w:t>
      </w:r>
      <w:r w:rsidR="004529E6" w:rsidRPr="000E3268">
        <w:rPr>
          <w:rFonts w:ascii="Arial" w:hAnsi="Arial" w:cs="Arial"/>
          <w:sz w:val="22"/>
        </w:rPr>
        <w:t xml:space="preserve">, and that a mix of </w:t>
      </w:r>
      <w:r w:rsidR="007F54B5" w:rsidRPr="000E3268">
        <w:rPr>
          <w:rFonts w:ascii="Arial" w:hAnsi="Arial" w:cs="Arial"/>
          <w:sz w:val="22"/>
        </w:rPr>
        <w:t xml:space="preserve">traditional generation </w:t>
      </w:r>
      <w:r w:rsidR="004529E6" w:rsidRPr="000E3268">
        <w:rPr>
          <w:rFonts w:ascii="Arial" w:hAnsi="Arial" w:cs="Arial"/>
          <w:sz w:val="22"/>
        </w:rPr>
        <w:t xml:space="preserve">sources will provide the </w:t>
      </w:r>
      <w:r w:rsidR="007F54B5" w:rsidRPr="000E3268">
        <w:rPr>
          <w:rFonts w:ascii="Arial" w:hAnsi="Arial" w:cs="Arial"/>
          <w:sz w:val="22"/>
        </w:rPr>
        <w:t>electricity</w:t>
      </w:r>
      <w:r w:rsidR="004529E6" w:rsidRPr="000E3268">
        <w:rPr>
          <w:rFonts w:ascii="Arial" w:hAnsi="Arial" w:cs="Arial"/>
          <w:sz w:val="22"/>
        </w:rPr>
        <w:t xml:space="preserve"> to the system</w:t>
      </w:r>
      <w:r w:rsidR="00F10FED" w:rsidRPr="000E3268">
        <w:rPr>
          <w:rFonts w:ascii="Arial" w:hAnsi="Arial" w:cs="Arial"/>
          <w:sz w:val="22"/>
        </w:rPr>
        <w:t xml:space="preserve">. </w:t>
      </w:r>
      <w:r w:rsidR="000E3268" w:rsidRPr="000E3268">
        <w:rPr>
          <w:rFonts w:ascii="Arial" w:hAnsi="Arial" w:cs="Arial"/>
          <w:sz w:val="22"/>
        </w:rPr>
        <w:t xml:space="preserve">That means that the economic value of the program depends largely on which </w:t>
      </w:r>
      <w:r w:rsidR="000E3268" w:rsidRPr="000E3268">
        <w:rPr>
          <w:rFonts w:ascii="Arial" w:hAnsi="Arial" w:cs="Arial"/>
          <w:sz w:val="22"/>
        </w:rPr>
        <w:lastRenderedPageBreak/>
        <w:t>technologies would be implemented in the absence of the program (to cover the same amount of energy), and their generation costs.</w:t>
      </w:r>
      <w:r w:rsidR="000E3268">
        <w:rPr>
          <w:rFonts w:ascii="Arial" w:hAnsi="Arial" w:cs="Arial"/>
          <w:sz w:val="22"/>
        </w:rPr>
        <w:t xml:space="preserve"> </w:t>
      </w:r>
      <w:r w:rsidR="004529E6" w:rsidRPr="000E3268">
        <w:rPr>
          <w:rFonts w:ascii="Arial" w:hAnsi="Arial" w:cs="Arial"/>
          <w:sz w:val="22"/>
        </w:rPr>
        <w:t xml:space="preserve">The break-even marginal generation cost </w:t>
      </w:r>
      <w:r w:rsidR="000E3268" w:rsidRPr="000E3268">
        <w:rPr>
          <w:rFonts w:ascii="Arial" w:hAnsi="Arial" w:cs="Arial"/>
          <w:sz w:val="22"/>
        </w:rPr>
        <w:t xml:space="preserve">of the counterfactual scenario </w:t>
      </w:r>
      <w:r w:rsidR="004529E6" w:rsidRPr="000E3268">
        <w:rPr>
          <w:rFonts w:ascii="Arial" w:hAnsi="Arial" w:cs="Arial"/>
          <w:sz w:val="22"/>
        </w:rPr>
        <w:t xml:space="preserve">for the program </w:t>
      </w:r>
      <w:r w:rsidR="00183777" w:rsidRPr="000E3268">
        <w:rPr>
          <w:rFonts w:ascii="Arial" w:hAnsi="Arial" w:cs="Arial"/>
          <w:sz w:val="22"/>
        </w:rPr>
        <w:t xml:space="preserve">to be viable </w:t>
      </w:r>
      <w:r w:rsidR="004529E6" w:rsidRPr="000E3268">
        <w:rPr>
          <w:rFonts w:ascii="Arial" w:hAnsi="Arial" w:cs="Arial"/>
          <w:sz w:val="22"/>
        </w:rPr>
        <w:t>is 65.71 US$</w:t>
      </w:r>
      <w:r w:rsidR="00183777" w:rsidRPr="000E3268">
        <w:rPr>
          <w:rFonts w:ascii="Arial" w:hAnsi="Arial" w:cs="Arial"/>
          <w:sz w:val="22"/>
        </w:rPr>
        <w:t>/MWh. This value</w:t>
      </w:r>
      <w:r w:rsidR="004529E6" w:rsidRPr="000E3268">
        <w:rPr>
          <w:rFonts w:ascii="Arial" w:hAnsi="Arial" w:cs="Arial"/>
          <w:sz w:val="22"/>
        </w:rPr>
        <w:t xml:space="preserve"> is lower than the 10 year average generation marginal cost (Scenario 1), and similar to the long-term </w:t>
      </w:r>
      <w:r w:rsidR="00183777" w:rsidRPr="000E3268">
        <w:rPr>
          <w:rFonts w:ascii="Arial" w:hAnsi="Arial" w:cs="Arial"/>
          <w:sz w:val="22"/>
        </w:rPr>
        <w:t>expansion cost</w:t>
      </w:r>
      <w:r w:rsidR="004529E6" w:rsidRPr="000E3268">
        <w:rPr>
          <w:rFonts w:ascii="Arial" w:hAnsi="Arial" w:cs="Arial"/>
          <w:sz w:val="22"/>
        </w:rPr>
        <w:t xml:space="preserve"> of a 50/50 mix of small-hydro and gas power (Scenario 2)</w:t>
      </w:r>
      <w:r w:rsidR="007F54B5" w:rsidRPr="000E3268">
        <w:rPr>
          <w:rFonts w:ascii="Arial" w:hAnsi="Arial" w:cs="Arial"/>
          <w:sz w:val="22"/>
        </w:rPr>
        <w:t xml:space="preserve">. This means that compared to a scenario </w:t>
      </w:r>
      <w:r w:rsidR="00183777" w:rsidRPr="000E3268">
        <w:rPr>
          <w:rFonts w:ascii="Arial" w:hAnsi="Arial" w:cs="Arial"/>
          <w:sz w:val="22"/>
        </w:rPr>
        <w:t xml:space="preserve">that would behave like the last 10 years </w:t>
      </w:r>
      <w:r w:rsidR="000E3268">
        <w:rPr>
          <w:rFonts w:ascii="Arial" w:hAnsi="Arial" w:cs="Arial"/>
          <w:sz w:val="22"/>
        </w:rPr>
        <w:t xml:space="preserve">of the system </w:t>
      </w:r>
      <w:r w:rsidR="00183777" w:rsidRPr="000E3268">
        <w:rPr>
          <w:rFonts w:ascii="Arial" w:hAnsi="Arial" w:cs="Arial"/>
          <w:sz w:val="22"/>
        </w:rPr>
        <w:t xml:space="preserve">(Scenario 1), or an scenario </w:t>
      </w:r>
      <w:r w:rsidR="007F54B5" w:rsidRPr="000E3268">
        <w:rPr>
          <w:rFonts w:ascii="Arial" w:hAnsi="Arial" w:cs="Arial"/>
          <w:sz w:val="22"/>
        </w:rPr>
        <w:t>in which the same amount of energy is provided by a traditional mix (gas and small hydro power plants in this case</w:t>
      </w:r>
      <w:r w:rsidR="000E3268">
        <w:rPr>
          <w:rFonts w:ascii="Arial" w:hAnsi="Arial" w:cs="Arial"/>
          <w:sz w:val="22"/>
        </w:rPr>
        <w:t>,</w:t>
      </w:r>
      <w:r w:rsidR="00183777" w:rsidRPr="000E3268">
        <w:rPr>
          <w:rFonts w:ascii="Arial" w:hAnsi="Arial" w:cs="Arial"/>
          <w:sz w:val="22"/>
        </w:rPr>
        <w:t xml:space="preserve"> Scenario 2</w:t>
      </w:r>
      <w:r w:rsidR="000E3268">
        <w:rPr>
          <w:rFonts w:ascii="Arial" w:hAnsi="Arial" w:cs="Arial"/>
          <w:sz w:val="22"/>
        </w:rPr>
        <w:t>)</w:t>
      </w:r>
      <w:r w:rsidR="007F54B5" w:rsidRPr="000E3268">
        <w:rPr>
          <w:rFonts w:ascii="Arial" w:hAnsi="Arial" w:cs="Arial"/>
          <w:sz w:val="22"/>
        </w:rPr>
        <w:t xml:space="preserve">, the program is still </w:t>
      </w:r>
      <w:r w:rsidR="00183777" w:rsidRPr="000E3268">
        <w:rPr>
          <w:rFonts w:ascii="Arial" w:hAnsi="Arial" w:cs="Arial"/>
          <w:sz w:val="22"/>
        </w:rPr>
        <w:t>viable</w:t>
      </w:r>
      <w:r w:rsidR="007F54B5" w:rsidRPr="000E3268">
        <w:rPr>
          <w:rFonts w:ascii="Arial" w:hAnsi="Arial" w:cs="Arial"/>
          <w:sz w:val="22"/>
        </w:rPr>
        <w:t xml:space="preserve"> from an economic point of view. </w:t>
      </w:r>
    </w:p>
    <w:p w:rsidR="00AA5300" w:rsidRDefault="007F54B5" w:rsidP="007F54B5">
      <w:pPr>
        <w:pStyle w:val="Paragraph"/>
        <w:numPr>
          <w:ilvl w:val="1"/>
          <w:numId w:val="15"/>
        </w:numPr>
        <w:tabs>
          <w:tab w:val="num" w:pos="720"/>
        </w:tabs>
        <w:spacing w:afterLines="80" w:after="192"/>
        <w:ind w:left="720" w:hanging="720"/>
        <w:rPr>
          <w:rFonts w:ascii="Arial" w:hAnsi="Arial" w:cs="Arial"/>
          <w:sz w:val="22"/>
        </w:rPr>
      </w:pPr>
      <w:r>
        <w:rPr>
          <w:rFonts w:ascii="Arial" w:hAnsi="Arial" w:cs="Arial"/>
          <w:sz w:val="22"/>
        </w:rPr>
        <w:t>Although</w:t>
      </w:r>
      <w:r w:rsidRPr="007F54B5">
        <w:rPr>
          <w:rFonts w:ascii="Arial" w:hAnsi="Arial" w:cs="Arial"/>
          <w:sz w:val="22"/>
        </w:rPr>
        <w:t xml:space="preserve"> it </w:t>
      </w:r>
      <w:r>
        <w:rPr>
          <w:rFonts w:ascii="Arial" w:hAnsi="Arial" w:cs="Arial"/>
          <w:sz w:val="22"/>
        </w:rPr>
        <w:t>is</w:t>
      </w:r>
      <w:r w:rsidRPr="007F54B5">
        <w:rPr>
          <w:rFonts w:ascii="Arial" w:hAnsi="Arial" w:cs="Arial"/>
          <w:sz w:val="22"/>
        </w:rPr>
        <w:t xml:space="preserve"> possible to construct </w:t>
      </w:r>
      <w:r w:rsidR="000E3268">
        <w:rPr>
          <w:rFonts w:ascii="Arial" w:hAnsi="Arial" w:cs="Arial"/>
          <w:sz w:val="22"/>
        </w:rPr>
        <w:t>other</w:t>
      </w:r>
      <w:r w:rsidRPr="007F54B5">
        <w:rPr>
          <w:rFonts w:ascii="Arial" w:hAnsi="Arial" w:cs="Arial"/>
          <w:sz w:val="22"/>
        </w:rPr>
        <w:t xml:space="preserve"> </w:t>
      </w:r>
      <w:r w:rsidR="000E3268">
        <w:rPr>
          <w:rFonts w:ascii="Arial" w:hAnsi="Arial" w:cs="Arial"/>
          <w:sz w:val="22"/>
        </w:rPr>
        <w:t xml:space="preserve">alternative </w:t>
      </w:r>
      <w:r w:rsidRPr="007F54B5">
        <w:rPr>
          <w:rFonts w:ascii="Arial" w:hAnsi="Arial" w:cs="Arial"/>
          <w:sz w:val="22"/>
        </w:rPr>
        <w:t>scenarios of generation mixes, which in turn would result in different marginal generation costs</w:t>
      </w:r>
      <w:r>
        <w:rPr>
          <w:rFonts w:ascii="Arial" w:hAnsi="Arial" w:cs="Arial"/>
          <w:sz w:val="22"/>
        </w:rPr>
        <w:t>, the</w:t>
      </w:r>
      <w:r w:rsidRPr="007F54B5">
        <w:rPr>
          <w:rFonts w:ascii="Arial" w:hAnsi="Arial" w:cs="Arial"/>
          <w:sz w:val="22"/>
        </w:rPr>
        <w:t xml:space="preserve"> analysis must consider that</w:t>
      </w:r>
      <w:r>
        <w:rPr>
          <w:rFonts w:ascii="Arial" w:hAnsi="Arial" w:cs="Arial"/>
          <w:sz w:val="22"/>
        </w:rPr>
        <w:t xml:space="preserve">, in the absence of ARE investments, </w:t>
      </w:r>
      <w:r w:rsidR="00AA5300" w:rsidRPr="007F54B5">
        <w:rPr>
          <w:rFonts w:ascii="Arial" w:hAnsi="Arial" w:cs="Arial"/>
          <w:sz w:val="22"/>
        </w:rPr>
        <w:t>the most likely technology to be deployed in the short</w:t>
      </w:r>
      <w:r>
        <w:rPr>
          <w:rFonts w:ascii="Arial" w:hAnsi="Arial" w:cs="Arial"/>
          <w:sz w:val="22"/>
        </w:rPr>
        <w:t>-</w:t>
      </w:r>
      <w:r w:rsidR="00AA5300" w:rsidRPr="007F54B5">
        <w:rPr>
          <w:rFonts w:ascii="Arial" w:hAnsi="Arial" w:cs="Arial"/>
          <w:sz w:val="22"/>
        </w:rPr>
        <w:t>term to cover energy suppl</w:t>
      </w:r>
      <w:r w:rsidRPr="007F54B5">
        <w:rPr>
          <w:rFonts w:ascii="Arial" w:hAnsi="Arial" w:cs="Arial"/>
          <w:sz w:val="22"/>
        </w:rPr>
        <w:t xml:space="preserve">y </w:t>
      </w:r>
      <w:r>
        <w:rPr>
          <w:rFonts w:ascii="Arial" w:hAnsi="Arial" w:cs="Arial"/>
          <w:sz w:val="22"/>
        </w:rPr>
        <w:t xml:space="preserve">are gas power plants, particularly for their short times of implementation (6-9 months) and because they require less </w:t>
      </w:r>
      <w:r w:rsidR="000E3268">
        <w:rPr>
          <w:rFonts w:ascii="Arial" w:hAnsi="Arial" w:cs="Arial"/>
          <w:sz w:val="22"/>
        </w:rPr>
        <w:t xml:space="preserve">capital </w:t>
      </w:r>
      <w:r>
        <w:rPr>
          <w:rFonts w:ascii="Arial" w:hAnsi="Arial" w:cs="Arial"/>
          <w:sz w:val="22"/>
        </w:rPr>
        <w:t>investments upfront. Gas power plants</w:t>
      </w:r>
      <w:r w:rsidR="00AA5300" w:rsidRPr="007F54B5">
        <w:rPr>
          <w:rFonts w:ascii="Arial" w:hAnsi="Arial" w:cs="Arial"/>
          <w:sz w:val="22"/>
        </w:rPr>
        <w:t xml:space="preserve"> </w:t>
      </w:r>
      <w:r>
        <w:rPr>
          <w:rFonts w:ascii="Arial" w:hAnsi="Arial" w:cs="Arial"/>
          <w:sz w:val="22"/>
        </w:rPr>
        <w:t>have</w:t>
      </w:r>
      <w:r w:rsidR="002C60B6" w:rsidRPr="007F54B5">
        <w:rPr>
          <w:rFonts w:ascii="Arial" w:hAnsi="Arial" w:cs="Arial"/>
          <w:sz w:val="22"/>
        </w:rPr>
        <w:t xml:space="preserve"> a long-term marginal price of 235 R$/MWh </w:t>
      </w:r>
      <w:r>
        <w:rPr>
          <w:rFonts w:ascii="Arial" w:hAnsi="Arial" w:cs="Arial"/>
          <w:sz w:val="22"/>
        </w:rPr>
        <w:t xml:space="preserve">– US$73 US$/MWh </w:t>
      </w:r>
      <w:r w:rsidR="002C60B6" w:rsidRPr="007F54B5">
        <w:rPr>
          <w:rFonts w:ascii="Arial" w:hAnsi="Arial" w:cs="Arial"/>
          <w:sz w:val="22"/>
        </w:rPr>
        <w:t>(defined by EPE</w:t>
      </w:r>
      <w:r w:rsidR="000E3268">
        <w:rPr>
          <w:rFonts w:ascii="Arial" w:hAnsi="Arial" w:cs="Arial"/>
          <w:sz w:val="22"/>
        </w:rPr>
        <w:t xml:space="preserve"> in 2016</w:t>
      </w:r>
      <w:r w:rsidR="002C60B6" w:rsidRPr="007F54B5">
        <w:rPr>
          <w:rFonts w:ascii="Arial" w:hAnsi="Arial" w:cs="Arial"/>
          <w:sz w:val="22"/>
        </w:rPr>
        <w:t>)</w:t>
      </w:r>
      <w:r w:rsidR="00AA5300" w:rsidRPr="007F54B5">
        <w:rPr>
          <w:rFonts w:ascii="Arial" w:hAnsi="Arial" w:cs="Arial"/>
          <w:sz w:val="22"/>
        </w:rPr>
        <w:t xml:space="preserve">, and </w:t>
      </w:r>
      <w:r w:rsidRPr="007F54B5">
        <w:rPr>
          <w:rFonts w:ascii="Arial" w:hAnsi="Arial" w:cs="Arial"/>
          <w:sz w:val="22"/>
        </w:rPr>
        <w:t>ha</w:t>
      </w:r>
      <w:r>
        <w:rPr>
          <w:rFonts w:ascii="Arial" w:hAnsi="Arial" w:cs="Arial"/>
          <w:sz w:val="22"/>
        </w:rPr>
        <w:t>ve</w:t>
      </w:r>
      <w:r w:rsidRPr="007F54B5">
        <w:rPr>
          <w:rFonts w:ascii="Arial" w:hAnsi="Arial" w:cs="Arial"/>
          <w:sz w:val="22"/>
        </w:rPr>
        <w:t xml:space="preserve"> </w:t>
      </w:r>
      <w:r w:rsidR="00AA5300" w:rsidRPr="007F54B5">
        <w:rPr>
          <w:rFonts w:ascii="Arial" w:hAnsi="Arial" w:cs="Arial"/>
          <w:sz w:val="22"/>
        </w:rPr>
        <w:t xml:space="preserve">a higher CO2 emissions than ARE. </w:t>
      </w:r>
      <w:r>
        <w:rPr>
          <w:rFonts w:ascii="Arial" w:hAnsi="Arial" w:cs="Arial"/>
          <w:sz w:val="22"/>
        </w:rPr>
        <w:t xml:space="preserve">Therefore, the sensitivity analysis of Scenario 2, </w:t>
      </w:r>
      <w:r w:rsidR="000E3268">
        <w:rPr>
          <w:rFonts w:ascii="Arial" w:hAnsi="Arial" w:cs="Arial"/>
          <w:sz w:val="22"/>
        </w:rPr>
        <w:t xml:space="preserve">which is conservative in its assumptions, supports </w:t>
      </w:r>
      <w:r>
        <w:rPr>
          <w:rFonts w:ascii="Arial" w:hAnsi="Arial" w:cs="Arial"/>
          <w:sz w:val="22"/>
        </w:rPr>
        <w:t xml:space="preserve">the robustness of the program. </w:t>
      </w:r>
    </w:p>
    <w:p w:rsidR="0037447A" w:rsidRPr="00FA3973" w:rsidRDefault="00F9635B" w:rsidP="00F83FD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Potential delays in construction, </w:t>
      </w:r>
      <w:r w:rsidR="00E36868" w:rsidRPr="00FA3973">
        <w:rPr>
          <w:rFonts w:ascii="Arial" w:hAnsi="Arial" w:cs="Arial"/>
          <w:sz w:val="22"/>
        </w:rPr>
        <w:t xml:space="preserve">O&amp;M costs </w:t>
      </w:r>
      <w:r w:rsidR="00E85F23" w:rsidRPr="00FA3973">
        <w:rPr>
          <w:rFonts w:ascii="Arial" w:hAnsi="Arial" w:cs="Arial"/>
          <w:sz w:val="22"/>
        </w:rPr>
        <w:t xml:space="preserve">and electric rates used for EE projects </w:t>
      </w:r>
      <w:r w:rsidR="00E36868" w:rsidRPr="00FA3973">
        <w:rPr>
          <w:rFonts w:ascii="Arial" w:hAnsi="Arial" w:cs="Arial"/>
          <w:sz w:val="22"/>
        </w:rPr>
        <w:t>show a much lesser impact on the NPV</w:t>
      </w:r>
      <w:r w:rsidR="00627841" w:rsidRPr="00FA3973">
        <w:rPr>
          <w:rFonts w:ascii="Arial" w:hAnsi="Arial" w:cs="Arial"/>
          <w:sz w:val="22"/>
        </w:rPr>
        <w:t xml:space="preserve">. </w:t>
      </w:r>
      <w:r w:rsidR="004C7879" w:rsidRPr="00FA3973">
        <w:rPr>
          <w:rFonts w:ascii="Arial" w:hAnsi="Arial" w:cs="Arial"/>
          <w:sz w:val="22"/>
        </w:rPr>
        <w:t>A slightly</w:t>
      </w:r>
      <w:r w:rsidR="00E85F23" w:rsidRPr="00FA3973">
        <w:rPr>
          <w:rFonts w:ascii="Arial" w:hAnsi="Arial" w:cs="Arial"/>
          <w:sz w:val="22"/>
        </w:rPr>
        <w:t xml:space="preserve"> highe</w:t>
      </w:r>
      <w:r w:rsidR="004C7879" w:rsidRPr="00FA3973">
        <w:rPr>
          <w:rFonts w:ascii="Arial" w:hAnsi="Arial" w:cs="Arial"/>
          <w:sz w:val="22"/>
        </w:rPr>
        <w:t>r</w:t>
      </w:r>
      <w:r w:rsidR="00E85F23" w:rsidRPr="00FA3973">
        <w:rPr>
          <w:rFonts w:ascii="Arial" w:hAnsi="Arial" w:cs="Arial"/>
          <w:sz w:val="22"/>
        </w:rPr>
        <w:t xml:space="preserve"> impact is shown when assuming some of the projects do not materialize</w:t>
      </w:r>
      <w:r w:rsidR="00627841" w:rsidRPr="00FA3973">
        <w:rPr>
          <w:rFonts w:ascii="Arial" w:hAnsi="Arial" w:cs="Arial"/>
          <w:sz w:val="22"/>
        </w:rPr>
        <w:t>. In this last scenario, investment costs are accounted for in full while no benefits are considered for the failed projects</w:t>
      </w:r>
      <w:r w:rsidR="004C7879" w:rsidRPr="00FA3973">
        <w:rPr>
          <w:rFonts w:ascii="Arial" w:hAnsi="Arial" w:cs="Arial"/>
          <w:sz w:val="22"/>
        </w:rPr>
        <w:t>; s</w:t>
      </w:r>
      <w:r w:rsidR="00627841" w:rsidRPr="00FA3973">
        <w:rPr>
          <w:rFonts w:ascii="Arial" w:hAnsi="Arial" w:cs="Arial"/>
          <w:sz w:val="22"/>
        </w:rPr>
        <w:t>till</w:t>
      </w:r>
      <w:r w:rsidR="00E85F23" w:rsidRPr="00FA3973">
        <w:rPr>
          <w:rFonts w:ascii="Arial" w:hAnsi="Arial" w:cs="Arial"/>
          <w:sz w:val="22"/>
        </w:rPr>
        <w:t xml:space="preserve">, </w:t>
      </w:r>
      <w:r w:rsidR="002215C1" w:rsidRPr="00FA3973">
        <w:rPr>
          <w:rFonts w:ascii="Arial" w:hAnsi="Arial" w:cs="Arial"/>
          <w:sz w:val="22"/>
        </w:rPr>
        <w:t>the project retained a positive NPV</w:t>
      </w:r>
      <w:r w:rsidR="003F3F56" w:rsidRPr="00FA3973">
        <w:rPr>
          <w:rFonts w:ascii="Arial" w:hAnsi="Arial" w:cs="Arial"/>
          <w:sz w:val="22"/>
        </w:rPr>
        <w:t>.</w:t>
      </w:r>
    </w:p>
    <w:p w:rsidR="00E5795B" w:rsidRPr="00FA3973" w:rsidRDefault="00E5795B" w:rsidP="00F83FDB">
      <w:pPr>
        <w:pStyle w:val="Chapter"/>
        <w:numPr>
          <w:ilvl w:val="0"/>
          <w:numId w:val="15"/>
        </w:numPr>
        <w:tabs>
          <w:tab w:val="clear" w:pos="1440"/>
          <w:tab w:val="clear" w:pos="1800"/>
          <w:tab w:val="left" w:pos="360"/>
        </w:tabs>
        <w:spacing w:before="360"/>
        <w:ind w:left="0" w:firstLine="0"/>
        <w:rPr>
          <w:rFonts w:ascii="Arial" w:hAnsi="Arial" w:cs="Arial"/>
        </w:rPr>
      </w:pPr>
      <w:bookmarkStart w:id="17" w:name="_Toc461128194"/>
      <w:r w:rsidRPr="00FA3973">
        <w:rPr>
          <w:rFonts w:ascii="Arial" w:hAnsi="Arial" w:cs="Arial"/>
        </w:rPr>
        <w:t>Conclusions</w:t>
      </w:r>
      <w:bookmarkEnd w:id="17"/>
    </w:p>
    <w:p w:rsidR="00966481" w:rsidRPr="00FA3973" w:rsidRDefault="00966481" w:rsidP="00ED309F">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The cost benefit analysis shows how the discounted benefits are greater than the discounted costs</w:t>
      </w:r>
      <w:r w:rsidR="00D11AFB" w:rsidRPr="00FA3973">
        <w:rPr>
          <w:rFonts w:ascii="Arial" w:hAnsi="Arial" w:cs="Arial"/>
          <w:sz w:val="22"/>
        </w:rPr>
        <w:t xml:space="preserve"> over the time of analysis</w:t>
      </w:r>
      <w:r w:rsidRPr="00FA3973">
        <w:rPr>
          <w:rFonts w:ascii="Arial" w:hAnsi="Arial" w:cs="Arial"/>
          <w:sz w:val="22"/>
        </w:rPr>
        <w:t>, thus resulting in a positive net present value (NPV</w:t>
      </w:r>
      <w:r w:rsidR="00767498" w:rsidRPr="00FA3973">
        <w:rPr>
          <w:rFonts w:ascii="Arial" w:hAnsi="Arial" w:cs="Arial"/>
          <w:sz w:val="22"/>
        </w:rPr>
        <w:t xml:space="preserve">) </w:t>
      </w:r>
      <w:r w:rsidRPr="00FA3973">
        <w:rPr>
          <w:rFonts w:ascii="Arial" w:hAnsi="Arial" w:cs="Arial"/>
          <w:sz w:val="22"/>
        </w:rPr>
        <w:t>of US$</w:t>
      </w:r>
      <w:r w:rsidR="007B73CF">
        <w:rPr>
          <w:rFonts w:ascii="Arial" w:hAnsi="Arial" w:cs="Arial"/>
          <w:sz w:val="22"/>
        </w:rPr>
        <w:t>496.26</w:t>
      </w:r>
      <w:r w:rsidR="004529E6" w:rsidRPr="00FA3973">
        <w:rPr>
          <w:rFonts w:ascii="Arial" w:hAnsi="Arial" w:cs="Arial"/>
          <w:sz w:val="22"/>
        </w:rPr>
        <w:t xml:space="preserve"> </w:t>
      </w:r>
      <w:r w:rsidRPr="00FA3973">
        <w:rPr>
          <w:rFonts w:ascii="Arial" w:hAnsi="Arial" w:cs="Arial"/>
          <w:sz w:val="22"/>
        </w:rPr>
        <w:t>million</w:t>
      </w:r>
      <w:r w:rsidR="00767498" w:rsidRPr="00FA3973">
        <w:rPr>
          <w:rFonts w:ascii="Arial" w:hAnsi="Arial" w:cs="Arial"/>
          <w:sz w:val="22"/>
        </w:rPr>
        <w:t xml:space="preserve"> and an IRR of </w:t>
      </w:r>
      <w:r w:rsidR="004529E6" w:rsidRPr="00FA3973">
        <w:rPr>
          <w:rFonts w:ascii="Arial" w:hAnsi="Arial" w:cs="Arial"/>
          <w:sz w:val="22"/>
        </w:rPr>
        <w:t>1</w:t>
      </w:r>
      <w:r w:rsidR="004529E6">
        <w:rPr>
          <w:rFonts w:ascii="Arial" w:hAnsi="Arial" w:cs="Arial"/>
          <w:sz w:val="22"/>
        </w:rPr>
        <w:t>8</w:t>
      </w:r>
      <w:r w:rsidR="00767498" w:rsidRPr="00FA3973">
        <w:rPr>
          <w:rFonts w:ascii="Arial" w:hAnsi="Arial" w:cs="Arial"/>
          <w:sz w:val="22"/>
        </w:rPr>
        <w:t>.</w:t>
      </w:r>
      <w:r w:rsidR="007B73CF">
        <w:rPr>
          <w:rFonts w:ascii="Arial" w:hAnsi="Arial" w:cs="Arial"/>
          <w:sz w:val="22"/>
        </w:rPr>
        <w:t>3</w:t>
      </w:r>
      <w:r w:rsidR="00767498" w:rsidRPr="00FA3973">
        <w:rPr>
          <w:rFonts w:ascii="Arial" w:hAnsi="Arial" w:cs="Arial"/>
          <w:sz w:val="22"/>
        </w:rPr>
        <w:t>%</w:t>
      </w:r>
      <w:r w:rsidRPr="00FA3973">
        <w:rPr>
          <w:rFonts w:ascii="Arial" w:hAnsi="Arial" w:cs="Arial"/>
          <w:sz w:val="22"/>
        </w:rPr>
        <w:t xml:space="preserve">. </w:t>
      </w:r>
      <w:r w:rsidR="00AA5300" w:rsidRPr="00FA3973">
        <w:rPr>
          <w:rFonts w:ascii="Arial" w:hAnsi="Arial" w:cs="Arial"/>
          <w:sz w:val="22"/>
        </w:rPr>
        <w:t>This assessment is conservative, as all the possible economic benefits of the program were not monetized.</w:t>
      </w:r>
    </w:p>
    <w:p w:rsidR="00966481" w:rsidRPr="00FA3973" w:rsidRDefault="00966481" w:rsidP="00F83FD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In addition, the sensitivity analysis shows that even when changing the value of the key parameters used for the calculations, the program remains viable for a wide range of values. The sensitivity analysis </w:t>
      </w:r>
      <w:r w:rsidR="00C35234" w:rsidRPr="00FA3973">
        <w:rPr>
          <w:rFonts w:ascii="Arial" w:hAnsi="Arial" w:cs="Arial"/>
          <w:sz w:val="22"/>
        </w:rPr>
        <w:t xml:space="preserve">is relevant as it </w:t>
      </w:r>
      <w:r w:rsidRPr="00FA3973">
        <w:rPr>
          <w:rFonts w:ascii="Arial" w:hAnsi="Arial" w:cs="Arial"/>
          <w:sz w:val="22"/>
        </w:rPr>
        <w:t>improves the reliability of the results obtained from the initial assumptions, allowing for more robustness</w:t>
      </w:r>
      <w:r w:rsidR="00C35234" w:rsidRPr="00FA3973">
        <w:rPr>
          <w:rFonts w:ascii="Arial" w:hAnsi="Arial" w:cs="Arial"/>
          <w:sz w:val="22"/>
        </w:rPr>
        <w:t xml:space="preserve"> of the conclusions</w:t>
      </w:r>
      <w:r w:rsidRPr="00FA3973">
        <w:rPr>
          <w:rFonts w:ascii="Arial" w:hAnsi="Arial" w:cs="Arial"/>
          <w:sz w:val="22"/>
        </w:rPr>
        <w:t xml:space="preserve">. No significant risks are observed regarding the sustainability of the program in case reasonable changes occur that may affect the main variables </w:t>
      </w:r>
      <w:r w:rsidR="00C35234" w:rsidRPr="00FA3973">
        <w:rPr>
          <w:rFonts w:ascii="Arial" w:hAnsi="Arial" w:cs="Arial"/>
          <w:sz w:val="22"/>
        </w:rPr>
        <w:t>on which the benefits are based.</w:t>
      </w:r>
    </w:p>
    <w:p w:rsidR="00B625B0" w:rsidRPr="00FA3973" w:rsidRDefault="00966481" w:rsidP="00F83FDB">
      <w:pPr>
        <w:pStyle w:val="Paragraph"/>
        <w:numPr>
          <w:ilvl w:val="1"/>
          <w:numId w:val="15"/>
        </w:numPr>
        <w:tabs>
          <w:tab w:val="num" w:pos="720"/>
        </w:tabs>
        <w:spacing w:afterLines="80" w:after="192"/>
        <w:ind w:left="720" w:hanging="720"/>
        <w:rPr>
          <w:rFonts w:ascii="Arial" w:hAnsi="Arial" w:cs="Arial"/>
          <w:sz w:val="22"/>
        </w:rPr>
      </w:pPr>
      <w:r w:rsidRPr="00FA3973">
        <w:rPr>
          <w:rFonts w:ascii="Arial" w:hAnsi="Arial" w:cs="Arial"/>
          <w:sz w:val="22"/>
        </w:rPr>
        <w:t xml:space="preserve">In general, the project team has used plausible and contrasted assumptions, with aims of a </w:t>
      </w:r>
      <w:r w:rsidR="00C35234" w:rsidRPr="00FA3973">
        <w:rPr>
          <w:rFonts w:ascii="Arial" w:hAnsi="Arial" w:cs="Arial"/>
          <w:sz w:val="22"/>
        </w:rPr>
        <w:t xml:space="preserve">rather prudent and conservative </w:t>
      </w:r>
      <w:r w:rsidRPr="00FA3973">
        <w:rPr>
          <w:rFonts w:ascii="Arial" w:hAnsi="Arial" w:cs="Arial"/>
          <w:sz w:val="22"/>
        </w:rPr>
        <w:t xml:space="preserve">approach for the analysis. Based on this, the project team recommends the Bank approves the financing of </w:t>
      </w:r>
      <w:r w:rsidR="00C35234" w:rsidRPr="00FA3973">
        <w:rPr>
          <w:rFonts w:ascii="Arial" w:hAnsi="Arial" w:cs="Arial"/>
          <w:sz w:val="22"/>
        </w:rPr>
        <w:t>the proposed</w:t>
      </w:r>
      <w:r w:rsidRPr="00FA3973">
        <w:rPr>
          <w:rFonts w:ascii="Arial" w:hAnsi="Arial" w:cs="Arial"/>
          <w:sz w:val="22"/>
        </w:rPr>
        <w:t xml:space="preserve"> </w:t>
      </w:r>
      <w:r w:rsidR="0039594D" w:rsidRPr="00FA3973">
        <w:rPr>
          <w:rFonts w:ascii="Arial" w:hAnsi="Arial" w:cs="Arial"/>
          <w:sz w:val="22"/>
        </w:rPr>
        <w:t>program</w:t>
      </w:r>
      <w:r w:rsidR="00E5795B" w:rsidRPr="00FA3973">
        <w:rPr>
          <w:rFonts w:ascii="Arial" w:hAnsi="Arial" w:cs="Arial"/>
          <w:sz w:val="22"/>
        </w:rPr>
        <w:t>.</w:t>
      </w:r>
      <w:r w:rsidR="00A55D52" w:rsidRPr="00FA3973">
        <w:rPr>
          <w:rFonts w:ascii="Arial" w:hAnsi="Arial" w:cs="Arial"/>
          <w:sz w:val="22"/>
        </w:rPr>
        <w:t xml:space="preserve"> </w:t>
      </w:r>
    </w:p>
    <w:p w:rsidR="004B5334" w:rsidRDefault="004B5334">
      <w:pPr>
        <w:rPr>
          <w:rFonts w:ascii="Arial" w:hAnsi="Arial" w:cs="Arial"/>
          <w:sz w:val="24"/>
          <w:szCs w:val="24"/>
        </w:rPr>
      </w:pPr>
      <w:r>
        <w:rPr>
          <w:rFonts w:ascii="Arial" w:hAnsi="Arial" w:cs="Arial"/>
          <w:szCs w:val="24"/>
        </w:rPr>
        <w:br w:type="page"/>
      </w:r>
    </w:p>
    <w:p w:rsidR="004B5334" w:rsidRDefault="004B5334" w:rsidP="004B5334">
      <w:pPr>
        <w:pStyle w:val="Paragraph"/>
        <w:tabs>
          <w:tab w:val="clear" w:pos="720"/>
          <w:tab w:val="num" w:pos="1800"/>
        </w:tabs>
        <w:spacing w:afterLines="80" w:after="192"/>
        <w:ind w:left="-540" w:firstLine="0"/>
        <w:jc w:val="center"/>
        <w:rPr>
          <w:rFonts w:ascii="Arial" w:hAnsi="Arial" w:cs="Arial"/>
          <w:b/>
          <w:szCs w:val="24"/>
        </w:rPr>
      </w:pPr>
      <w:r w:rsidRPr="005E2A9C">
        <w:rPr>
          <w:rFonts w:ascii="Arial" w:hAnsi="Arial" w:cs="Arial"/>
          <w:b/>
          <w:szCs w:val="24"/>
        </w:rPr>
        <w:lastRenderedPageBreak/>
        <w:t>Ann</w:t>
      </w:r>
      <w:r>
        <w:rPr>
          <w:rFonts w:ascii="Arial" w:hAnsi="Arial" w:cs="Arial"/>
          <w:b/>
          <w:szCs w:val="24"/>
        </w:rPr>
        <w:t xml:space="preserve">ex I. Analysis of the marginal </w:t>
      </w:r>
      <w:r w:rsidRPr="005E2A9C">
        <w:rPr>
          <w:rFonts w:ascii="Arial" w:hAnsi="Arial" w:cs="Arial"/>
          <w:b/>
          <w:szCs w:val="24"/>
        </w:rPr>
        <w:t>cost of generation</w:t>
      </w:r>
    </w:p>
    <w:p w:rsidR="004B5334" w:rsidRPr="005E2A9C" w:rsidRDefault="004B5334" w:rsidP="004B5334">
      <w:pPr>
        <w:pStyle w:val="Paragraph"/>
        <w:numPr>
          <w:ilvl w:val="0"/>
          <w:numId w:val="15"/>
        </w:numPr>
        <w:spacing w:afterLines="80" w:after="192"/>
        <w:ind w:left="720" w:hanging="720"/>
        <w:rPr>
          <w:rFonts w:ascii="Arial" w:hAnsi="Arial" w:cs="Arial"/>
          <w:b/>
          <w:szCs w:val="24"/>
        </w:rPr>
      </w:pPr>
      <w:r>
        <w:rPr>
          <w:rFonts w:ascii="Arial" w:hAnsi="Arial" w:cs="Arial"/>
          <w:b/>
          <w:szCs w:val="24"/>
        </w:rPr>
        <w:t>Historical average marginal cost of generation</w:t>
      </w:r>
    </w:p>
    <w:p w:rsidR="004B5334" w:rsidRDefault="004B5334" w:rsidP="004B5334">
      <w:pPr>
        <w:pStyle w:val="Paragraph"/>
        <w:numPr>
          <w:ilvl w:val="1"/>
          <w:numId w:val="15"/>
        </w:numPr>
        <w:tabs>
          <w:tab w:val="num" w:pos="720"/>
        </w:tabs>
        <w:spacing w:afterLines="80" w:after="192"/>
        <w:ind w:left="720" w:hanging="720"/>
        <w:rPr>
          <w:rFonts w:ascii="Arial" w:hAnsi="Arial" w:cs="Arial"/>
          <w:sz w:val="22"/>
        </w:rPr>
      </w:pPr>
      <w:r>
        <w:rPr>
          <w:rFonts w:ascii="Arial" w:hAnsi="Arial" w:cs="Arial"/>
          <w:sz w:val="22"/>
        </w:rPr>
        <w:t>This section presents an analysis of the marginal cost of generation, used as an assumption to calculate the cost of supply in the scenario without the program</w:t>
      </w:r>
      <w:r w:rsidRPr="00FA3973">
        <w:rPr>
          <w:rFonts w:ascii="Arial" w:hAnsi="Arial" w:cs="Arial"/>
          <w:sz w:val="22"/>
        </w:rPr>
        <w:t>.</w:t>
      </w:r>
      <w:r>
        <w:rPr>
          <w:rFonts w:ascii="Arial" w:hAnsi="Arial" w:cs="Arial"/>
          <w:sz w:val="22"/>
        </w:rPr>
        <w:t xml:space="preserve"> The analysis is based on the historical series of the market spot price (“PLD”), which is used as a proxy of the marginal cost</w:t>
      </w:r>
      <w:r w:rsidRPr="00630560">
        <w:rPr>
          <w:rFonts w:ascii="Arial" w:hAnsi="Arial" w:cs="Arial"/>
          <w:sz w:val="22"/>
        </w:rPr>
        <w:t xml:space="preserve"> </w:t>
      </w:r>
      <w:r>
        <w:rPr>
          <w:rFonts w:ascii="Arial" w:hAnsi="Arial" w:cs="Arial"/>
          <w:sz w:val="22"/>
        </w:rPr>
        <w:t>of generation</w:t>
      </w:r>
      <w:r>
        <w:rPr>
          <w:rStyle w:val="FootnoteReference"/>
          <w:rFonts w:ascii="Arial" w:hAnsi="Arial" w:cs="Arial"/>
          <w:sz w:val="22"/>
        </w:rPr>
        <w:footnoteReference w:id="22"/>
      </w:r>
      <w:r>
        <w:rPr>
          <w:rFonts w:ascii="Arial" w:hAnsi="Arial" w:cs="Arial"/>
          <w:sz w:val="22"/>
        </w:rPr>
        <w:t>. The PLD price series includes available data for the four submarkets of the national system, from May 2003 to August 2016</w:t>
      </w:r>
      <w:r>
        <w:rPr>
          <w:rStyle w:val="FootnoteReference"/>
          <w:rFonts w:ascii="Arial" w:hAnsi="Arial" w:cs="Arial"/>
          <w:sz w:val="22"/>
        </w:rPr>
        <w:footnoteReference w:id="23"/>
      </w:r>
      <w:r>
        <w:rPr>
          <w:rFonts w:ascii="Arial" w:hAnsi="Arial" w:cs="Arial"/>
          <w:sz w:val="22"/>
        </w:rPr>
        <w:t>. Data prior to 2003 is not available for the PLD, as the market suffered regulatory changes.</w:t>
      </w:r>
    </w:p>
    <w:p w:rsidR="004B5334" w:rsidRPr="00F91046" w:rsidRDefault="004B5334" w:rsidP="004B5334">
      <w:pPr>
        <w:pStyle w:val="Paragraph"/>
        <w:numPr>
          <w:ilvl w:val="1"/>
          <w:numId w:val="15"/>
        </w:numPr>
        <w:tabs>
          <w:tab w:val="num" w:pos="720"/>
        </w:tabs>
        <w:spacing w:afterLines="80" w:after="192"/>
        <w:ind w:left="720" w:hanging="720"/>
        <w:rPr>
          <w:rFonts w:ascii="Arial" w:hAnsi="Arial" w:cs="Arial"/>
          <w:sz w:val="22"/>
        </w:rPr>
      </w:pPr>
      <w:r w:rsidRPr="00F91046">
        <w:rPr>
          <w:rFonts w:ascii="Arial" w:hAnsi="Arial" w:cs="Arial"/>
          <w:sz w:val="22"/>
        </w:rPr>
        <w:t xml:space="preserve">Due to the preponderance of hydroelectric plants in the Brazilian generation park, </w:t>
      </w:r>
      <w:r>
        <w:rPr>
          <w:rFonts w:ascii="Arial" w:hAnsi="Arial" w:cs="Arial"/>
          <w:sz w:val="22"/>
        </w:rPr>
        <w:t xml:space="preserve">PLD prices are calculated using complex </w:t>
      </w:r>
      <w:r w:rsidRPr="00F91046">
        <w:rPr>
          <w:rFonts w:ascii="Arial" w:hAnsi="Arial" w:cs="Arial"/>
          <w:sz w:val="22"/>
        </w:rPr>
        <w:t>mathematical models, which aim to find the optimal solution to balance th</w:t>
      </w:r>
      <w:r>
        <w:rPr>
          <w:rFonts w:ascii="Arial" w:hAnsi="Arial" w:cs="Arial"/>
          <w:sz w:val="22"/>
        </w:rPr>
        <w:t>e</w:t>
      </w:r>
      <w:r w:rsidRPr="00F91046">
        <w:rPr>
          <w:rFonts w:ascii="Arial" w:hAnsi="Arial" w:cs="Arial"/>
          <w:sz w:val="22"/>
        </w:rPr>
        <w:t xml:space="preserve"> benefit of </w:t>
      </w:r>
      <w:r>
        <w:rPr>
          <w:rFonts w:ascii="Arial" w:hAnsi="Arial" w:cs="Arial"/>
          <w:sz w:val="22"/>
        </w:rPr>
        <w:t xml:space="preserve">present </w:t>
      </w:r>
      <w:r w:rsidRPr="00F91046">
        <w:rPr>
          <w:rFonts w:ascii="Arial" w:hAnsi="Arial" w:cs="Arial"/>
          <w:sz w:val="22"/>
        </w:rPr>
        <w:t xml:space="preserve">water use and future benefit of </w:t>
      </w:r>
      <w:r>
        <w:rPr>
          <w:rFonts w:ascii="Arial" w:hAnsi="Arial" w:cs="Arial"/>
          <w:sz w:val="22"/>
        </w:rPr>
        <w:t xml:space="preserve">hydro </w:t>
      </w:r>
      <w:r w:rsidRPr="00F91046">
        <w:rPr>
          <w:rFonts w:ascii="Arial" w:hAnsi="Arial" w:cs="Arial"/>
          <w:sz w:val="22"/>
        </w:rPr>
        <w:t xml:space="preserve">storage, measured in terms of the economy expected from the fuel </w:t>
      </w:r>
      <w:r>
        <w:rPr>
          <w:rFonts w:ascii="Arial" w:hAnsi="Arial" w:cs="Arial"/>
          <w:sz w:val="22"/>
        </w:rPr>
        <w:t>of thermoelectric plants:</w:t>
      </w:r>
    </w:p>
    <w:p w:rsidR="004B5334" w:rsidRDefault="004B5334" w:rsidP="00DC2B96">
      <w:pPr>
        <w:pStyle w:val="Paragraph"/>
        <w:numPr>
          <w:ilvl w:val="2"/>
          <w:numId w:val="15"/>
        </w:numPr>
        <w:tabs>
          <w:tab w:val="clear" w:pos="2304"/>
        </w:tabs>
        <w:spacing w:afterLines="80" w:after="192"/>
        <w:ind w:left="1170"/>
        <w:rPr>
          <w:rFonts w:ascii="Arial" w:hAnsi="Arial" w:cs="Arial"/>
          <w:sz w:val="22"/>
        </w:rPr>
      </w:pPr>
      <w:r w:rsidRPr="00404DE6">
        <w:rPr>
          <w:rFonts w:ascii="Arial" w:hAnsi="Arial" w:cs="Arial"/>
          <w:sz w:val="22"/>
        </w:rPr>
        <w:t xml:space="preserve">From a short-term perspective, the maximum use of hydroelectric power available in each period is the most economical premise, because it minimizes fuel costs. However, this assumption results in </w:t>
      </w:r>
      <w:r>
        <w:rPr>
          <w:rFonts w:ascii="Arial" w:hAnsi="Arial" w:cs="Arial"/>
          <w:sz w:val="22"/>
        </w:rPr>
        <w:t>greater risk of future deficits (because of lack of stored energy), or future higher energy costs (from thermal generation).</w:t>
      </w:r>
      <w:r w:rsidRPr="00404DE6">
        <w:rPr>
          <w:rFonts w:ascii="Arial" w:hAnsi="Arial" w:cs="Arial"/>
          <w:sz w:val="22"/>
        </w:rPr>
        <w:t xml:space="preserve"> </w:t>
      </w:r>
    </w:p>
    <w:p w:rsidR="004B5334" w:rsidRPr="00404DE6" w:rsidRDefault="004B5334" w:rsidP="00DC2B96">
      <w:pPr>
        <w:pStyle w:val="Paragraph"/>
        <w:numPr>
          <w:ilvl w:val="2"/>
          <w:numId w:val="15"/>
        </w:numPr>
        <w:tabs>
          <w:tab w:val="clear" w:pos="2304"/>
        </w:tabs>
        <w:spacing w:afterLines="80" w:after="192"/>
        <w:ind w:left="1170"/>
        <w:rPr>
          <w:rFonts w:ascii="Arial" w:hAnsi="Arial" w:cs="Arial"/>
          <w:sz w:val="22"/>
        </w:rPr>
      </w:pPr>
      <w:r>
        <w:rPr>
          <w:rFonts w:ascii="Arial" w:hAnsi="Arial" w:cs="Arial"/>
          <w:sz w:val="22"/>
        </w:rPr>
        <w:t xml:space="preserve">From a long-term perspective, </w:t>
      </w:r>
      <w:r w:rsidRPr="00404DE6">
        <w:rPr>
          <w:rFonts w:ascii="Arial" w:hAnsi="Arial" w:cs="Arial"/>
          <w:sz w:val="22"/>
        </w:rPr>
        <w:t>the maximum supply reliability is obtained by keeping the level of hydro reservoirs as high as possible, which means to use more thermal power generation</w:t>
      </w:r>
      <w:r>
        <w:rPr>
          <w:rFonts w:ascii="Arial" w:hAnsi="Arial" w:cs="Arial"/>
          <w:sz w:val="22"/>
        </w:rPr>
        <w:t xml:space="preserve"> in the short-term</w:t>
      </w:r>
      <w:r w:rsidRPr="00404DE6">
        <w:rPr>
          <w:rFonts w:ascii="Arial" w:hAnsi="Arial" w:cs="Arial"/>
          <w:sz w:val="22"/>
        </w:rPr>
        <w:t xml:space="preserve">, and thus increasing operation costs. </w:t>
      </w:r>
    </w:p>
    <w:p w:rsidR="004B5334" w:rsidRDefault="004B5334" w:rsidP="004B5334">
      <w:pPr>
        <w:pStyle w:val="Paragraph"/>
        <w:numPr>
          <w:ilvl w:val="1"/>
          <w:numId w:val="15"/>
        </w:numPr>
        <w:tabs>
          <w:tab w:val="num" w:pos="720"/>
        </w:tabs>
        <w:spacing w:afterLines="80" w:after="192"/>
        <w:ind w:left="720" w:hanging="720"/>
        <w:rPr>
          <w:rFonts w:ascii="Arial" w:hAnsi="Arial" w:cs="Arial"/>
          <w:sz w:val="22"/>
        </w:rPr>
      </w:pPr>
      <w:r>
        <w:rPr>
          <w:rFonts w:ascii="Arial" w:hAnsi="Arial" w:cs="Arial"/>
          <w:sz w:val="22"/>
        </w:rPr>
        <w:t>T</w:t>
      </w:r>
      <w:r w:rsidRPr="00F91046">
        <w:rPr>
          <w:rFonts w:ascii="Arial" w:hAnsi="Arial" w:cs="Arial"/>
          <w:sz w:val="22"/>
        </w:rPr>
        <w:t xml:space="preserve">he pricing model </w:t>
      </w:r>
      <w:r>
        <w:rPr>
          <w:rFonts w:ascii="Arial" w:hAnsi="Arial" w:cs="Arial"/>
          <w:sz w:val="22"/>
        </w:rPr>
        <w:t>optimizes these two perspectives, and determines</w:t>
      </w:r>
      <w:r w:rsidRPr="00F91046">
        <w:rPr>
          <w:rFonts w:ascii="Arial" w:hAnsi="Arial" w:cs="Arial"/>
          <w:sz w:val="22"/>
        </w:rPr>
        <w:t xml:space="preserve"> the </w:t>
      </w:r>
      <w:r>
        <w:rPr>
          <w:rFonts w:ascii="Arial" w:hAnsi="Arial" w:cs="Arial"/>
          <w:sz w:val="22"/>
        </w:rPr>
        <w:t xml:space="preserve">merit </w:t>
      </w:r>
      <w:r w:rsidRPr="00F91046">
        <w:rPr>
          <w:rFonts w:ascii="Arial" w:hAnsi="Arial" w:cs="Arial"/>
          <w:sz w:val="22"/>
        </w:rPr>
        <w:t xml:space="preserve">order </w:t>
      </w:r>
      <w:r>
        <w:rPr>
          <w:rFonts w:ascii="Arial" w:hAnsi="Arial" w:cs="Arial"/>
          <w:sz w:val="22"/>
        </w:rPr>
        <w:t xml:space="preserve">for power </w:t>
      </w:r>
      <w:r w:rsidRPr="00F91046">
        <w:rPr>
          <w:rFonts w:ascii="Arial" w:hAnsi="Arial" w:cs="Arial"/>
          <w:sz w:val="22"/>
        </w:rPr>
        <w:t xml:space="preserve">generation for the period </w:t>
      </w:r>
      <w:r>
        <w:rPr>
          <w:rFonts w:ascii="Arial" w:hAnsi="Arial" w:cs="Arial"/>
          <w:sz w:val="22"/>
        </w:rPr>
        <w:t xml:space="preserve">of </w:t>
      </w:r>
      <w:r w:rsidRPr="00F91046">
        <w:rPr>
          <w:rFonts w:ascii="Arial" w:hAnsi="Arial" w:cs="Arial"/>
          <w:sz w:val="22"/>
        </w:rPr>
        <w:t xml:space="preserve">study, setting the </w:t>
      </w:r>
      <w:r>
        <w:rPr>
          <w:rFonts w:ascii="Arial" w:hAnsi="Arial" w:cs="Arial"/>
          <w:sz w:val="22"/>
        </w:rPr>
        <w:t xml:space="preserve">quantities of </w:t>
      </w:r>
      <w:r w:rsidRPr="00F91046">
        <w:rPr>
          <w:rFonts w:ascii="Arial" w:hAnsi="Arial" w:cs="Arial"/>
          <w:sz w:val="22"/>
        </w:rPr>
        <w:t>hydraulic generation and thermal generation for each submarket.</w:t>
      </w:r>
      <w:r>
        <w:rPr>
          <w:rFonts w:ascii="Arial" w:hAnsi="Arial" w:cs="Arial"/>
          <w:sz w:val="22"/>
        </w:rPr>
        <w:t xml:space="preserve"> This weekly calculation considers: </w:t>
      </w:r>
      <w:r w:rsidRPr="00F91046">
        <w:rPr>
          <w:rFonts w:ascii="Arial" w:hAnsi="Arial" w:cs="Arial"/>
          <w:sz w:val="22"/>
        </w:rPr>
        <w:t>hydrological conditions</w:t>
      </w:r>
      <w:r>
        <w:rPr>
          <w:rFonts w:ascii="Arial" w:hAnsi="Arial" w:cs="Arial"/>
          <w:sz w:val="22"/>
        </w:rPr>
        <w:t xml:space="preserve"> (reservoir levels, rainfall projections)</w:t>
      </w:r>
      <w:r w:rsidRPr="00F91046">
        <w:rPr>
          <w:rFonts w:ascii="Arial" w:hAnsi="Arial" w:cs="Arial"/>
          <w:sz w:val="22"/>
        </w:rPr>
        <w:t>, energy demand</w:t>
      </w:r>
      <w:r>
        <w:rPr>
          <w:rFonts w:ascii="Arial" w:hAnsi="Arial" w:cs="Arial"/>
          <w:sz w:val="22"/>
        </w:rPr>
        <w:t>,</w:t>
      </w:r>
      <w:r w:rsidRPr="00F91046">
        <w:rPr>
          <w:rFonts w:ascii="Arial" w:hAnsi="Arial" w:cs="Arial"/>
          <w:sz w:val="22"/>
        </w:rPr>
        <w:t xml:space="preserve"> fuel prices, the cost of </w:t>
      </w:r>
      <w:r>
        <w:rPr>
          <w:rFonts w:ascii="Arial" w:hAnsi="Arial" w:cs="Arial"/>
          <w:sz w:val="22"/>
        </w:rPr>
        <w:t xml:space="preserve">energy not supplied, </w:t>
      </w:r>
      <w:r w:rsidRPr="00F91046">
        <w:rPr>
          <w:rFonts w:ascii="Arial" w:hAnsi="Arial" w:cs="Arial"/>
          <w:sz w:val="22"/>
        </w:rPr>
        <w:t>the entrance of new projects</w:t>
      </w:r>
      <w:r>
        <w:rPr>
          <w:rFonts w:ascii="Arial" w:hAnsi="Arial" w:cs="Arial"/>
          <w:sz w:val="22"/>
        </w:rPr>
        <w:t>,</w:t>
      </w:r>
      <w:r w:rsidRPr="00F91046">
        <w:rPr>
          <w:rFonts w:ascii="Arial" w:hAnsi="Arial" w:cs="Arial"/>
          <w:sz w:val="22"/>
        </w:rPr>
        <w:t xml:space="preserve"> and the availability of generation and transmission equipment</w:t>
      </w:r>
      <w:r>
        <w:rPr>
          <w:rFonts w:ascii="Arial" w:hAnsi="Arial" w:cs="Arial"/>
          <w:sz w:val="22"/>
        </w:rPr>
        <w:t>.</w:t>
      </w:r>
      <w:r w:rsidRPr="00F91046">
        <w:rPr>
          <w:rFonts w:ascii="Arial" w:hAnsi="Arial" w:cs="Arial"/>
          <w:sz w:val="22"/>
        </w:rPr>
        <w:t xml:space="preserve"> </w:t>
      </w:r>
      <w:r>
        <w:rPr>
          <w:rFonts w:ascii="Arial" w:hAnsi="Arial" w:cs="Arial"/>
          <w:sz w:val="22"/>
        </w:rPr>
        <w:t>A</w:t>
      </w:r>
      <w:r w:rsidRPr="00F91046">
        <w:rPr>
          <w:rFonts w:ascii="Arial" w:hAnsi="Arial" w:cs="Arial"/>
          <w:sz w:val="22"/>
        </w:rPr>
        <w:t>s a result of this process</w:t>
      </w:r>
      <w:r>
        <w:rPr>
          <w:rFonts w:ascii="Arial" w:hAnsi="Arial" w:cs="Arial"/>
          <w:sz w:val="22"/>
        </w:rPr>
        <w:t xml:space="preserve"> the</w:t>
      </w:r>
      <w:r w:rsidRPr="00F91046">
        <w:rPr>
          <w:rFonts w:ascii="Arial" w:hAnsi="Arial" w:cs="Arial"/>
          <w:sz w:val="22"/>
        </w:rPr>
        <w:t xml:space="preserve"> </w:t>
      </w:r>
      <w:r>
        <w:rPr>
          <w:rFonts w:ascii="Arial" w:hAnsi="Arial" w:cs="Arial"/>
          <w:sz w:val="22"/>
        </w:rPr>
        <w:t>m</w:t>
      </w:r>
      <w:r w:rsidRPr="00F91046">
        <w:rPr>
          <w:rFonts w:ascii="Arial" w:hAnsi="Arial" w:cs="Arial"/>
          <w:sz w:val="22"/>
        </w:rPr>
        <w:t xml:space="preserve">arginal </w:t>
      </w:r>
      <w:r>
        <w:rPr>
          <w:rFonts w:ascii="Arial" w:hAnsi="Arial" w:cs="Arial"/>
          <w:sz w:val="22"/>
        </w:rPr>
        <w:t>costs</w:t>
      </w:r>
      <w:r w:rsidRPr="00F91046">
        <w:rPr>
          <w:rFonts w:ascii="Arial" w:hAnsi="Arial" w:cs="Arial"/>
          <w:sz w:val="22"/>
        </w:rPr>
        <w:t xml:space="preserve"> </w:t>
      </w:r>
      <w:r>
        <w:rPr>
          <w:rFonts w:ascii="Arial" w:hAnsi="Arial" w:cs="Arial"/>
          <w:sz w:val="22"/>
        </w:rPr>
        <w:t xml:space="preserve">of generation </w:t>
      </w:r>
      <w:r w:rsidRPr="00F91046">
        <w:rPr>
          <w:rFonts w:ascii="Arial" w:hAnsi="Arial" w:cs="Arial"/>
          <w:sz w:val="22"/>
        </w:rPr>
        <w:t xml:space="preserve">for the </w:t>
      </w:r>
      <w:r>
        <w:rPr>
          <w:rFonts w:ascii="Arial" w:hAnsi="Arial" w:cs="Arial"/>
          <w:sz w:val="22"/>
        </w:rPr>
        <w:t xml:space="preserve">period of </w:t>
      </w:r>
      <w:r w:rsidRPr="00F91046">
        <w:rPr>
          <w:rFonts w:ascii="Arial" w:hAnsi="Arial" w:cs="Arial"/>
          <w:sz w:val="22"/>
        </w:rPr>
        <w:t>study</w:t>
      </w:r>
      <w:r>
        <w:rPr>
          <w:rFonts w:ascii="Arial" w:hAnsi="Arial" w:cs="Arial"/>
          <w:sz w:val="22"/>
        </w:rPr>
        <w:t>,</w:t>
      </w:r>
      <w:r w:rsidRPr="00F91046">
        <w:rPr>
          <w:rFonts w:ascii="Arial" w:hAnsi="Arial" w:cs="Arial"/>
          <w:sz w:val="22"/>
        </w:rPr>
        <w:t xml:space="preserve"> for each load level</w:t>
      </w:r>
      <w:r>
        <w:rPr>
          <w:rFonts w:ascii="Arial" w:hAnsi="Arial" w:cs="Arial"/>
          <w:sz w:val="22"/>
        </w:rPr>
        <w:t>,</w:t>
      </w:r>
      <w:r w:rsidRPr="00F91046">
        <w:rPr>
          <w:rFonts w:ascii="Arial" w:hAnsi="Arial" w:cs="Arial"/>
          <w:sz w:val="22"/>
        </w:rPr>
        <w:t xml:space="preserve"> and for each submarket</w:t>
      </w:r>
      <w:r>
        <w:rPr>
          <w:rFonts w:ascii="Arial" w:hAnsi="Arial" w:cs="Arial"/>
          <w:sz w:val="22"/>
        </w:rPr>
        <w:t xml:space="preserve"> is obtained. The marginal cost of the system is not necessarily the generation cost of the thermal units, as it also considers the economic value of water-storage, and the reliability provided by hydro power generation.   </w:t>
      </w:r>
    </w:p>
    <w:p w:rsidR="004B5334" w:rsidRDefault="004B5334" w:rsidP="004B5334">
      <w:pPr>
        <w:pStyle w:val="Caption"/>
        <w:keepNext/>
        <w:spacing w:after="0"/>
        <w:jc w:val="center"/>
      </w:pPr>
      <w:r>
        <w:t xml:space="preserve">Table </w:t>
      </w:r>
      <w:r w:rsidR="00B7274C">
        <w:fldChar w:fldCharType="begin"/>
      </w:r>
      <w:r w:rsidR="00B7274C">
        <w:instrText xml:space="preserve"> SEQ Table \* ARABIC </w:instrText>
      </w:r>
      <w:r w:rsidR="00B7274C">
        <w:fldChar w:fldCharType="separate"/>
      </w:r>
      <w:r>
        <w:rPr>
          <w:noProof/>
        </w:rPr>
        <w:t>1</w:t>
      </w:r>
      <w:r w:rsidR="00B7274C">
        <w:rPr>
          <w:noProof/>
        </w:rPr>
        <w:fldChar w:fldCharType="end"/>
      </w:r>
      <w:r>
        <w:t>. Average PLD (R$/MWh)</w:t>
      </w:r>
    </w:p>
    <w:tbl>
      <w:tblPr>
        <w:tblW w:w="8532" w:type="dxa"/>
        <w:tblInd w:w="2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08"/>
        <w:gridCol w:w="1170"/>
        <w:gridCol w:w="1080"/>
        <w:gridCol w:w="1170"/>
        <w:gridCol w:w="1170"/>
        <w:gridCol w:w="1134"/>
      </w:tblGrid>
      <w:tr w:rsidR="004B5334" w:rsidRPr="005C0D82" w:rsidTr="003E0E63">
        <w:trPr>
          <w:trHeight w:val="315"/>
        </w:trPr>
        <w:tc>
          <w:tcPr>
            <w:tcW w:w="2808" w:type="dxa"/>
            <w:shd w:val="clear" w:color="auto" w:fill="auto"/>
            <w:noWrap/>
            <w:vAlign w:val="bottom"/>
            <w:hideMark/>
          </w:tcPr>
          <w:p w:rsidR="004B5334" w:rsidRPr="005C0D82" w:rsidRDefault="004B5334" w:rsidP="00BC310E">
            <w:pPr>
              <w:spacing w:after="0" w:line="240" w:lineRule="auto"/>
              <w:rPr>
                <w:rFonts w:ascii="Calibri" w:eastAsia="Times New Roman" w:hAnsi="Calibri" w:cs="Times New Roman"/>
                <w:b/>
                <w:color w:val="000000"/>
                <w:sz w:val="18"/>
                <w:szCs w:val="18"/>
              </w:rPr>
            </w:pPr>
            <w:r w:rsidRPr="005C0D82">
              <w:rPr>
                <w:rFonts w:ascii="Calibri" w:eastAsia="Times New Roman" w:hAnsi="Calibri" w:cs="Times New Roman"/>
                <w:b/>
                <w:color w:val="000000"/>
                <w:sz w:val="18"/>
                <w:szCs w:val="18"/>
              </w:rPr>
              <w:t>PLD (R$/MWh)</w:t>
            </w:r>
          </w:p>
        </w:tc>
        <w:tc>
          <w:tcPr>
            <w:tcW w:w="1170" w:type="dxa"/>
            <w:shd w:val="clear" w:color="auto" w:fill="auto"/>
            <w:noWrap/>
            <w:vAlign w:val="bottom"/>
            <w:hideMark/>
          </w:tcPr>
          <w:p w:rsidR="004B5334" w:rsidRPr="005C0D82" w:rsidRDefault="004B5334" w:rsidP="00BC310E">
            <w:pPr>
              <w:spacing w:after="0" w:line="240" w:lineRule="auto"/>
              <w:rPr>
                <w:rFonts w:ascii="Calibri" w:eastAsia="Times New Roman" w:hAnsi="Calibri" w:cs="Times New Roman"/>
                <w:b/>
                <w:color w:val="000000"/>
                <w:sz w:val="18"/>
                <w:szCs w:val="18"/>
              </w:rPr>
            </w:pPr>
            <w:r w:rsidRPr="005C0D82">
              <w:rPr>
                <w:rFonts w:ascii="Calibri" w:eastAsia="Times New Roman" w:hAnsi="Calibri" w:cs="Times New Roman"/>
                <w:b/>
                <w:color w:val="000000"/>
                <w:sz w:val="18"/>
                <w:szCs w:val="18"/>
              </w:rPr>
              <w:t>12 months</w:t>
            </w:r>
          </w:p>
        </w:tc>
        <w:tc>
          <w:tcPr>
            <w:tcW w:w="1080" w:type="dxa"/>
            <w:shd w:val="clear" w:color="auto" w:fill="auto"/>
            <w:noWrap/>
            <w:vAlign w:val="bottom"/>
            <w:hideMark/>
          </w:tcPr>
          <w:p w:rsidR="004B5334" w:rsidRPr="005C0D82" w:rsidRDefault="004B5334" w:rsidP="00BC310E">
            <w:pPr>
              <w:spacing w:after="0" w:line="240" w:lineRule="auto"/>
              <w:rPr>
                <w:rFonts w:ascii="Calibri" w:eastAsia="Times New Roman" w:hAnsi="Calibri" w:cs="Times New Roman"/>
                <w:b/>
                <w:color w:val="000000"/>
                <w:sz w:val="18"/>
                <w:szCs w:val="18"/>
              </w:rPr>
            </w:pPr>
            <w:r w:rsidRPr="005C0D82">
              <w:rPr>
                <w:rFonts w:ascii="Calibri" w:eastAsia="Times New Roman" w:hAnsi="Calibri" w:cs="Times New Roman"/>
                <w:b/>
                <w:color w:val="000000"/>
                <w:sz w:val="18"/>
                <w:szCs w:val="18"/>
              </w:rPr>
              <w:t>24 months</w:t>
            </w:r>
          </w:p>
        </w:tc>
        <w:tc>
          <w:tcPr>
            <w:tcW w:w="1170" w:type="dxa"/>
            <w:shd w:val="clear" w:color="auto" w:fill="auto"/>
            <w:noWrap/>
            <w:vAlign w:val="bottom"/>
            <w:hideMark/>
          </w:tcPr>
          <w:p w:rsidR="004B5334" w:rsidRPr="005C0D82" w:rsidRDefault="004B5334" w:rsidP="00BC310E">
            <w:pPr>
              <w:spacing w:after="0" w:line="240" w:lineRule="auto"/>
              <w:rPr>
                <w:rFonts w:ascii="Calibri" w:eastAsia="Times New Roman" w:hAnsi="Calibri" w:cs="Times New Roman"/>
                <w:b/>
                <w:color w:val="000000"/>
                <w:sz w:val="18"/>
                <w:szCs w:val="18"/>
              </w:rPr>
            </w:pPr>
            <w:r w:rsidRPr="005C0D82">
              <w:rPr>
                <w:rFonts w:ascii="Calibri" w:eastAsia="Times New Roman" w:hAnsi="Calibri" w:cs="Times New Roman"/>
                <w:b/>
                <w:color w:val="000000"/>
                <w:sz w:val="18"/>
                <w:szCs w:val="18"/>
              </w:rPr>
              <w:t>36 months</w:t>
            </w:r>
          </w:p>
        </w:tc>
        <w:tc>
          <w:tcPr>
            <w:tcW w:w="1170" w:type="dxa"/>
            <w:shd w:val="clear" w:color="auto" w:fill="auto"/>
            <w:noWrap/>
            <w:vAlign w:val="bottom"/>
            <w:hideMark/>
          </w:tcPr>
          <w:p w:rsidR="004B5334" w:rsidRPr="005C0D82" w:rsidRDefault="004B5334" w:rsidP="00BC310E">
            <w:pPr>
              <w:spacing w:after="0" w:line="240" w:lineRule="auto"/>
              <w:rPr>
                <w:rFonts w:ascii="Calibri" w:eastAsia="Times New Roman" w:hAnsi="Calibri" w:cs="Times New Roman"/>
                <w:b/>
                <w:color w:val="000000"/>
                <w:sz w:val="18"/>
                <w:szCs w:val="18"/>
              </w:rPr>
            </w:pPr>
            <w:r w:rsidRPr="005C0D82">
              <w:rPr>
                <w:rFonts w:ascii="Calibri" w:eastAsia="Times New Roman" w:hAnsi="Calibri" w:cs="Times New Roman"/>
                <w:b/>
                <w:color w:val="000000"/>
                <w:sz w:val="18"/>
                <w:szCs w:val="18"/>
              </w:rPr>
              <w:t>60 months</w:t>
            </w:r>
          </w:p>
        </w:tc>
        <w:tc>
          <w:tcPr>
            <w:tcW w:w="1134" w:type="dxa"/>
            <w:shd w:val="clear" w:color="auto" w:fill="auto"/>
            <w:noWrap/>
            <w:vAlign w:val="bottom"/>
            <w:hideMark/>
          </w:tcPr>
          <w:p w:rsidR="004B5334" w:rsidRPr="005C0D82" w:rsidRDefault="004B5334" w:rsidP="00BC310E">
            <w:pPr>
              <w:spacing w:after="0" w:line="240" w:lineRule="auto"/>
              <w:rPr>
                <w:rFonts w:ascii="Calibri" w:eastAsia="Times New Roman" w:hAnsi="Calibri" w:cs="Times New Roman"/>
                <w:b/>
                <w:color w:val="000000"/>
                <w:sz w:val="18"/>
                <w:szCs w:val="18"/>
              </w:rPr>
            </w:pPr>
            <w:r w:rsidRPr="005C0D82">
              <w:rPr>
                <w:rFonts w:ascii="Calibri" w:eastAsia="Times New Roman" w:hAnsi="Calibri" w:cs="Times New Roman"/>
                <w:b/>
                <w:color w:val="000000"/>
                <w:sz w:val="18"/>
                <w:szCs w:val="18"/>
              </w:rPr>
              <w:t>120 months</w:t>
            </w:r>
          </w:p>
        </w:tc>
      </w:tr>
      <w:tr w:rsidR="004B5334" w:rsidRPr="005C0D82" w:rsidTr="003E0E63">
        <w:trPr>
          <w:trHeight w:val="315"/>
        </w:trPr>
        <w:tc>
          <w:tcPr>
            <w:tcW w:w="2808"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Average</w:t>
            </w:r>
            <w:r>
              <w:rPr>
                <w:rFonts w:ascii="Calibri" w:eastAsia="Times New Roman" w:hAnsi="Calibri" w:cs="Times New Roman"/>
                <w:color w:val="000000"/>
                <w:sz w:val="18"/>
                <w:szCs w:val="18"/>
              </w:rPr>
              <w:t xml:space="preserve"> PLD </w:t>
            </w:r>
            <w:r w:rsidRPr="005C0D82">
              <w:rPr>
                <w:rFonts w:ascii="Calibri" w:eastAsia="Times New Roman" w:hAnsi="Calibri" w:cs="Times New Roman"/>
                <w:color w:val="000000"/>
                <w:sz w:val="18"/>
                <w:szCs w:val="18"/>
              </w:rPr>
              <w:t>(nominal prices)</w:t>
            </w:r>
          </w:p>
        </w:tc>
        <w:tc>
          <w:tcPr>
            <w:tcW w:w="1170"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133.19</w:t>
            </w:r>
          </w:p>
        </w:tc>
        <w:tc>
          <w:tcPr>
            <w:tcW w:w="1080"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293.76</w:t>
            </w:r>
          </w:p>
        </w:tc>
        <w:tc>
          <w:tcPr>
            <w:tcW w:w="1170"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364.71</w:t>
            </w:r>
          </w:p>
        </w:tc>
        <w:tc>
          <w:tcPr>
            <w:tcW w:w="1170"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287.16</w:t>
            </w:r>
          </w:p>
        </w:tc>
        <w:tc>
          <w:tcPr>
            <w:tcW w:w="1134"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181.76</w:t>
            </w:r>
          </w:p>
        </w:tc>
      </w:tr>
      <w:tr w:rsidR="004B5334" w:rsidRPr="005C0D82" w:rsidTr="003E0E63">
        <w:trPr>
          <w:trHeight w:val="315"/>
        </w:trPr>
        <w:tc>
          <w:tcPr>
            <w:tcW w:w="2808"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Average</w:t>
            </w:r>
            <w:r>
              <w:rPr>
                <w:rFonts w:ascii="Calibri" w:eastAsia="Times New Roman" w:hAnsi="Calibri" w:cs="Times New Roman"/>
                <w:color w:val="000000"/>
                <w:sz w:val="18"/>
                <w:szCs w:val="18"/>
              </w:rPr>
              <w:t xml:space="preserve"> PLD </w:t>
            </w:r>
            <w:r w:rsidRPr="005C0D82">
              <w:rPr>
                <w:rFonts w:ascii="Calibri" w:eastAsia="Times New Roman" w:hAnsi="Calibri" w:cs="Times New Roman"/>
                <w:color w:val="000000"/>
                <w:sz w:val="18"/>
                <w:szCs w:val="18"/>
              </w:rPr>
              <w:t xml:space="preserve">(constant </w:t>
            </w:r>
            <w:r>
              <w:rPr>
                <w:rFonts w:ascii="Calibri" w:eastAsia="Times New Roman" w:hAnsi="Calibri" w:cs="Times New Roman"/>
                <w:color w:val="000000"/>
                <w:sz w:val="18"/>
                <w:szCs w:val="18"/>
              </w:rPr>
              <w:t xml:space="preserve">2016 </w:t>
            </w:r>
            <w:r w:rsidRPr="005C0D82">
              <w:rPr>
                <w:rFonts w:ascii="Calibri" w:eastAsia="Times New Roman" w:hAnsi="Calibri" w:cs="Times New Roman"/>
                <w:color w:val="000000"/>
                <w:sz w:val="18"/>
                <w:szCs w:val="18"/>
              </w:rPr>
              <w:t>prices)</w:t>
            </w:r>
          </w:p>
        </w:tc>
        <w:tc>
          <w:tcPr>
            <w:tcW w:w="1170"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138.12</w:t>
            </w:r>
          </w:p>
        </w:tc>
        <w:tc>
          <w:tcPr>
            <w:tcW w:w="1080"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323.80</w:t>
            </w:r>
          </w:p>
        </w:tc>
        <w:tc>
          <w:tcPr>
            <w:tcW w:w="1170"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415.20</w:t>
            </w:r>
          </w:p>
        </w:tc>
        <w:tc>
          <w:tcPr>
            <w:tcW w:w="1170"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336.77</w:t>
            </w:r>
          </w:p>
        </w:tc>
        <w:tc>
          <w:tcPr>
            <w:tcW w:w="1134" w:type="dxa"/>
            <w:shd w:val="clear" w:color="auto" w:fill="auto"/>
            <w:noWrap/>
            <w:vAlign w:val="bottom"/>
            <w:hideMark/>
          </w:tcPr>
          <w:p w:rsidR="004B5334" w:rsidRPr="005C0D82" w:rsidRDefault="004B5334" w:rsidP="00BC310E">
            <w:pPr>
              <w:spacing w:after="0" w:line="240" w:lineRule="auto"/>
              <w:jc w:val="center"/>
              <w:rPr>
                <w:rFonts w:ascii="Calibri" w:eastAsia="Times New Roman" w:hAnsi="Calibri" w:cs="Times New Roman"/>
                <w:color w:val="000000"/>
                <w:sz w:val="18"/>
                <w:szCs w:val="18"/>
              </w:rPr>
            </w:pPr>
            <w:r w:rsidRPr="005C0D82">
              <w:rPr>
                <w:rFonts w:ascii="Calibri" w:eastAsia="Times New Roman" w:hAnsi="Calibri" w:cs="Times New Roman"/>
                <w:color w:val="000000"/>
                <w:sz w:val="18"/>
                <w:szCs w:val="18"/>
              </w:rPr>
              <w:t>230.10</w:t>
            </w:r>
          </w:p>
        </w:tc>
      </w:tr>
    </w:tbl>
    <w:p w:rsidR="004B5334" w:rsidRDefault="004B5334" w:rsidP="004B5334">
      <w:pPr>
        <w:pStyle w:val="Paragraph"/>
        <w:numPr>
          <w:ilvl w:val="1"/>
          <w:numId w:val="15"/>
        </w:numPr>
        <w:tabs>
          <w:tab w:val="num" w:pos="720"/>
        </w:tabs>
        <w:spacing w:afterLines="80" w:after="192"/>
        <w:ind w:left="720" w:hanging="720"/>
        <w:rPr>
          <w:rFonts w:ascii="Arial" w:hAnsi="Arial" w:cs="Arial"/>
          <w:sz w:val="22"/>
        </w:rPr>
      </w:pPr>
      <w:r>
        <w:rPr>
          <w:rFonts w:ascii="Arial" w:hAnsi="Arial" w:cs="Arial"/>
          <w:sz w:val="22"/>
        </w:rPr>
        <w:t>Table 1 shows the average of PLD prices for the last 12, 24, 36, 60 and 120</w:t>
      </w:r>
      <w:r w:rsidR="00DC2B96">
        <w:rPr>
          <w:rFonts w:ascii="Arial" w:hAnsi="Arial" w:cs="Arial"/>
          <w:sz w:val="22"/>
        </w:rPr>
        <w:t> </w:t>
      </w:r>
      <w:r>
        <w:rPr>
          <w:rFonts w:ascii="Arial" w:hAnsi="Arial" w:cs="Arial"/>
          <w:sz w:val="22"/>
        </w:rPr>
        <w:t xml:space="preserve">months. The analysis also considered transforming historic PLD prices to </w:t>
      </w:r>
      <w:r>
        <w:rPr>
          <w:rFonts w:ascii="Arial" w:hAnsi="Arial" w:cs="Arial"/>
          <w:sz w:val="22"/>
        </w:rPr>
        <w:lastRenderedPageBreak/>
        <w:t>constant 2016 prices, using the Consumer Price Index from 2003-2015</w:t>
      </w:r>
      <w:r>
        <w:rPr>
          <w:rStyle w:val="FootnoteReference"/>
          <w:rFonts w:ascii="Arial" w:hAnsi="Arial" w:cs="Arial"/>
          <w:sz w:val="22"/>
        </w:rPr>
        <w:footnoteReference w:id="24"/>
      </w:r>
      <w:r>
        <w:rPr>
          <w:rFonts w:ascii="Arial" w:hAnsi="Arial" w:cs="Arial"/>
          <w:sz w:val="22"/>
        </w:rPr>
        <w:t>, in order to allow for a comparison and aggregation of prices from different years.</w:t>
      </w:r>
    </w:p>
    <w:p w:rsidR="004B5334" w:rsidRDefault="004B5334" w:rsidP="004B5334">
      <w:pPr>
        <w:pStyle w:val="Paragraph"/>
        <w:keepNext/>
        <w:tabs>
          <w:tab w:val="clear" w:pos="720"/>
        </w:tabs>
        <w:spacing w:afterLines="80" w:after="192"/>
        <w:ind w:left="1440" w:firstLine="0"/>
      </w:pPr>
      <w:r>
        <w:rPr>
          <w:noProof/>
        </w:rPr>
        <w:drawing>
          <wp:inline distT="0" distB="0" distL="0" distR="0" wp14:anchorId="3E0D6BF4" wp14:editId="23F33EC4">
            <wp:extent cx="4674358" cy="3555242"/>
            <wp:effectExtent l="0" t="0" r="12065"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5334" w:rsidRDefault="004B5334" w:rsidP="004B5334">
      <w:pPr>
        <w:pStyle w:val="Caption"/>
        <w:ind w:left="1440"/>
        <w:jc w:val="center"/>
        <w:rPr>
          <w:rFonts w:ascii="Arial" w:hAnsi="Arial" w:cs="Arial"/>
          <w:sz w:val="22"/>
        </w:rPr>
      </w:pPr>
      <w:r>
        <w:t xml:space="preserve">Figure </w:t>
      </w:r>
      <w:r w:rsidR="00B7274C">
        <w:fldChar w:fldCharType="begin"/>
      </w:r>
      <w:r w:rsidR="00B7274C">
        <w:instrText xml:space="preserve"> SEQ Figure \* ARABIC </w:instrText>
      </w:r>
      <w:r w:rsidR="00B7274C">
        <w:fldChar w:fldCharType="separate"/>
      </w:r>
      <w:r>
        <w:rPr>
          <w:noProof/>
        </w:rPr>
        <w:t>1</w:t>
      </w:r>
      <w:r w:rsidR="00B7274C">
        <w:rPr>
          <w:noProof/>
        </w:rPr>
        <w:fldChar w:fldCharType="end"/>
      </w:r>
      <w:r>
        <w:t>. PLD prices (constant R$/MWh)</w:t>
      </w:r>
    </w:p>
    <w:p w:rsidR="004B5334" w:rsidRDefault="004B5334" w:rsidP="004B5334">
      <w:pPr>
        <w:pStyle w:val="Paragraph"/>
        <w:numPr>
          <w:ilvl w:val="1"/>
          <w:numId w:val="15"/>
        </w:numPr>
        <w:tabs>
          <w:tab w:val="num" w:pos="720"/>
        </w:tabs>
        <w:spacing w:afterLines="80" w:after="192"/>
        <w:ind w:left="720" w:hanging="720"/>
        <w:rPr>
          <w:rFonts w:ascii="Arial" w:hAnsi="Arial" w:cs="Arial"/>
          <w:sz w:val="22"/>
        </w:rPr>
      </w:pPr>
      <w:r>
        <w:rPr>
          <w:rFonts w:ascii="Arial" w:hAnsi="Arial" w:cs="Arial"/>
          <w:sz w:val="22"/>
        </w:rPr>
        <w:t>Figure 1 shows an increase in PLD prices in the last 6-7 years, with peaks of R$800/MWh in 2014 (250 US$/MWh). This increase in PLD prices reflects the current state of the electricity system, including the stress caused by: (i) growth in electricity demand</w:t>
      </w:r>
      <w:r>
        <w:rPr>
          <w:rStyle w:val="FootnoteReference"/>
          <w:rFonts w:ascii="Arial" w:hAnsi="Arial" w:cs="Arial"/>
          <w:sz w:val="22"/>
        </w:rPr>
        <w:footnoteReference w:id="25"/>
      </w:r>
      <w:r>
        <w:rPr>
          <w:rFonts w:ascii="Arial" w:hAnsi="Arial" w:cs="Arial"/>
          <w:sz w:val="22"/>
        </w:rPr>
        <w:t>; (ii) climate events, particularly droughts; (iii) the reduction of the share of hydro power as a percentage of the total energy supply; and (iv) the dependence on more fossil fuel generation, given demand growth. Considering the past 10 years the average PLD price is 230 R$/MWh in constant prices (71</w:t>
      </w:r>
      <w:r w:rsidR="00DC2B96">
        <w:rPr>
          <w:rFonts w:ascii="Arial" w:hAnsi="Arial" w:cs="Arial"/>
          <w:sz w:val="22"/>
        </w:rPr>
        <w:t> </w:t>
      </w:r>
      <w:r>
        <w:rPr>
          <w:rFonts w:ascii="Arial" w:hAnsi="Arial" w:cs="Arial"/>
          <w:sz w:val="22"/>
        </w:rPr>
        <w:t xml:space="preserve">US$/MWh). This lower price, in turn, reflects the more stable energy supply in the last years of the past decade, given a lower electricity demand with a larger share of hydropower in the energy mix. </w:t>
      </w:r>
    </w:p>
    <w:p w:rsidR="004B5334" w:rsidRDefault="004B5334" w:rsidP="004B5334">
      <w:pPr>
        <w:pStyle w:val="Paragraph"/>
        <w:numPr>
          <w:ilvl w:val="1"/>
          <w:numId w:val="15"/>
        </w:numPr>
        <w:tabs>
          <w:tab w:val="num" w:pos="720"/>
        </w:tabs>
        <w:spacing w:afterLines="80" w:after="192"/>
        <w:ind w:left="720" w:hanging="720"/>
        <w:rPr>
          <w:rFonts w:ascii="Arial" w:hAnsi="Arial" w:cs="Arial"/>
          <w:sz w:val="22"/>
        </w:rPr>
      </w:pPr>
      <w:r>
        <w:rPr>
          <w:rFonts w:ascii="Arial" w:hAnsi="Arial" w:cs="Arial"/>
          <w:sz w:val="22"/>
        </w:rPr>
        <w:t>In the scenario without the Program, considering the current mix of power generation, the growth of electricity demand, and current difficulties in obtaining licenses for hydro power generation, it is be expected that PLD prices in the future will resemble those of the 2-5 years average, with similar conditions in the electricity system. Hence, the 5 year average PLD price is used as a proxy for the generation marginal cost</w:t>
      </w:r>
      <w:r w:rsidR="00EF1988">
        <w:rPr>
          <w:rFonts w:ascii="Arial" w:hAnsi="Arial" w:cs="Arial"/>
          <w:sz w:val="22"/>
        </w:rPr>
        <w:t xml:space="preserve"> in the base scenario (336.77 R$/MWh, or 104</w:t>
      </w:r>
      <w:r w:rsidR="00DC2B96">
        <w:rPr>
          <w:rFonts w:ascii="Arial" w:hAnsi="Arial" w:cs="Arial"/>
          <w:sz w:val="22"/>
        </w:rPr>
        <w:t> </w:t>
      </w:r>
      <w:r w:rsidR="00EF1988">
        <w:rPr>
          <w:rFonts w:ascii="Arial" w:hAnsi="Arial" w:cs="Arial"/>
          <w:sz w:val="22"/>
        </w:rPr>
        <w:t>$US/MWh)</w:t>
      </w:r>
      <w:r>
        <w:rPr>
          <w:rFonts w:ascii="Arial" w:hAnsi="Arial" w:cs="Arial"/>
          <w:sz w:val="22"/>
        </w:rPr>
        <w:t>. Conversely, the 10 year average PLD price was selected as an alternative scenario for the sensitivity analysis</w:t>
      </w:r>
      <w:r w:rsidR="00EF1988">
        <w:rPr>
          <w:rFonts w:ascii="Arial" w:hAnsi="Arial" w:cs="Arial"/>
          <w:sz w:val="22"/>
        </w:rPr>
        <w:t xml:space="preserve"> </w:t>
      </w:r>
      <w:r>
        <w:rPr>
          <w:rFonts w:ascii="Arial" w:hAnsi="Arial" w:cs="Arial"/>
          <w:sz w:val="22"/>
        </w:rPr>
        <w:t xml:space="preserve">to reflect a lower marginal cost </w:t>
      </w:r>
      <w:r w:rsidR="00EF1988">
        <w:rPr>
          <w:rFonts w:ascii="Arial" w:hAnsi="Arial" w:cs="Arial"/>
          <w:sz w:val="22"/>
        </w:rPr>
        <w:lastRenderedPageBreak/>
        <w:t xml:space="preserve">(230.10 R$/MWh, 71.33 US$/MWh) </w:t>
      </w:r>
      <w:r>
        <w:rPr>
          <w:rFonts w:ascii="Arial" w:hAnsi="Arial" w:cs="Arial"/>
          <w:sz w:val="22"/>
        </w:rPr>
        <w:t>in a system without the mentioned stresses, assuming an optimistic view for the development of the power system, particularly without shortfall in hydro power generation</w:t>
      </w:r>
      <w:r w:rsidR="00EF1988">
        <w:rPr>
          <w:rFonts w:ascii="Arial" w:hAnsi="Arial" w:cs="Arial"/>
          <w:sz w:val="22"/>
        </w:rPr>
        <w:t xml:space="preserve"> (Scenario 1)</w:t>
      </w:r>
      <w:r>
        <w:rPr>
          <w:rFonts w:ascii="Arial" w:hAnsi="Arial" w:cs="Arial"/>
          <w:sz w:val="22"/>
        </w:rPr>
        <w:t>.</w:t>
      </w:r>
    </w:p>
    <w:p w:rsidR="004B5334" w:rsidRPr="00B024FB" w:rsidRDefault="004B5334" w:rsidP="004B5334">
      <w:pPr>
        <w:pStyle w:val="Paragraph"/>
        <w:numPr>
          <w:ilvl w:val="1"/>
          <w:numId w:val="15"/>
        </w:numPr>
        <w:tabs>
          <w:tab w:val="num" w:pos="720"/>
        </w:tabs>
        <w:spacing w:afterLines="80" w:after="192"/>
        <w:ind w:left="720" w:hanging="720"/>
        <w:rPr>
          <w:rFonts w:ascii="Arial" w:hAnsi="Arial" w:cs="Arial"/>
          <w:sz w:val="22"/>
        </w:rPr>
      </w:pPr>
      <w:r w:rsidRPr="00B024FB">
        <w:rPr>
          <w:rFonts w:ascii="Arial" w:hAnsi="Arial" w:cs="Arial"/>
          <w:sz w:val="22"/>
        </w:rPr>
        <w:t xml:space="preserve">Table </w:t>
      </w:r>
      <w:r>
        <w:rPr>
          <w:rFonts w:ascii="Arial" w:hAnsi="Arial" w:cs="Arial"/>
          <w:sz w:val="22"/>
        </w:rPr>
        <w:t>2</w:t>
      </w:r>
      <w:r w:rsidRPr="00B024FB">
        <w:rPr>
          <w:rFonts w:ascii="Arial" w:hAnsi="Arial" w:cs="Arial"/>
          <w:sz w:val="22"/>
        </w:rPr>
        <w:t xml:space="preserve"> show</w:t>
      </w:r>
      <w:r>
        <w:rPr>
          <w:rFonts w:ascii="Arial" w:hAnsi="Arial" w:cs="Arial"/>
          <w:sz w:val="22"/>
        </w:rPr>
        <w:t>s</w:t>
      </w:r>
      <w:r w:rsidRPr="00B024FB">
        <w:rPr>
          <w:rFonts w:ascii="Arial" w:hAnsi="Arial" w:cs="Arial"/>
          <w:sz w:val="22"/>
        </w:rPr>
        <w:t xml:space="preserve"> the % of months that the PLD prices are higher than a defined threshold of R$200/MWh, R$250/MWh and R$300/MWh. </w:t>
      </w:r>
      <w:r w:rsidR="00EF1988">
        <w:rPr>
          <w:rFonts w:ascii="Arial" w:hAnsi="Arial" w:cs="Arial"/>
          <w:sz w:val="22"/>
        </w:rPr>
        <w:t>Last years shows PLD</w:t>
      </w:r>
      <w:r w:rsidR="00DC2B96">
        <w:rPr>
          <w:rFonts w:ascii="Arial" w:hAnsi="Arial" w:cs="Arial"/>
          <w:sz w:val="22"/>
        </w:rPr>
        <w:t> </w:t>
      </w:r>
      <w:r w:rsidR="00EF1988">
        <w:rPr>
          <w:rFonts w:ascii="Arial" w:hAnsi="Arial" w:cs="Arial"/>
          <w:sz w:val="22"/>
        </w:rPr>
        <w:t>prices lower than R$/MWh 75% of the time, this is due to the reduction of demand in 2015, due to the economic crisis. Nonetheless, i</w:t>
      </w:r>
      <w:r w:rsidRPr="00B024FB">
        <w:rPr>
          <w:rFonts w:ascii="Arial" w:hAnsi="Arial" w:cs="Arial"/>
          <w:sz w:val="22"/>
        </w:rPr>
        <w:t>n the last 2</w:t>
      </w:r>
      <w:r w:rsidR="00DC2B96">
        <w:rPr>
          <w:rFonts w:ascii="Arial" w:hAnsi="Arial" w:cs="Arial"/>
          <w:sz w:val="22"/>
        </w:rPr>
        <w:t> years </w:t>
      </w:r>
      <w:r>
        <w:rPr>
          <w:rFonts w:ascii="Arial" w:hAnsi="Arial" w:cs="Arial"/>
          <w:sz w:val="22"/>
        </w:rPr>
        <w:t>to</w:t>
      </w:r>
      <w:r w:rsidR="00DC2B96">
        <w:rPr>
          <w:rFonts w:ascii="Arial" w:hAnsi="Arial" w:cs="Arial"/>
          <w:sz w:val="22"/>
        </w:rPr>
        <w:t> </w:t>
      </w:r>
      <w:r w:rsidRPr="00B024FB">
        <w:rPr>
          <w:rFonts w:ascii="Arial" w:hAnsi="Arial" w:cs="Arial"/>
          <w:sz w:val="22"/>
        </w:rPr>
        <w:t>5</w:t>
      </w:r>
      <w:r w:rsidR="00DC2B96">
        <w:rPr>
          <w:rFonts w:ascii="Arial" w:hAnsi="Arial" w:cs="Arial"/>
          <w:sz w:val="22"/>
        </w:rPr>
        <w:t> </w:t>
      </w:r>
      <w:r w:rsidRPr="00B024FB">
        <w:rPr>
          <w:rFonts w:ascii="Arial" w:hAnsi="Arial" w:cs="Arial"/>
          <w:sz w:val="22"/>
        </w:rPr>
        <w:t>years, PLD prices were higher than 200 R$/MWh more than 58% of the time, and higher than 300 R$/MWh, at least 42% of the time. In the last 10</w:t>
      </w:r>
      <w:r w:rsidR="00DC2B96">
        <w:rPr>
          <w:rFonts w:ascii="Arial" w:hAnsi="Arial" w:cs="Arial"/>
          <w:sz w:val="22"/>
        </w:rPr>
        <w:t> </w:t>
      </w:r>
      <w:r w:rsidRPr="00B024FB">
        <w:rPr>
          <w:rFonts w:ascii="Arial" w:hAnsi="Arial" w:cs="Arial"/>
          <w:sz w:val="22"/>
        </w:rPr>
        <w:t>years, PLD prices were higher than 200 R$/MWh 40% of the time. For the scenario without the Program</w:t>
      </w:r>
      <w:r w:rsidR="00EF1988">
        <w:rPr>
          <w:rFonts w:ascii="Arial" w:hAnsi="Arial" w:cs="Arial"/>
          <w:sz w:val="22"/>
        </w:rPr>
        <w:t xml:space="preserve"> (base case)</w:t>
      </w:r>
      <w:r w:rsidRPr="00B024FB">
        <w:rPr>
          <w:rFonts w:ascii="Arial" w:hAnsi="Arial" w:cs="Arial"/>
          <w:sz w:val="22"/>
        </w:rPr>
        <w:t>, considering demand growth, and the current electricity mix in the matrix, it can be expected that the probability of PLD prices being higher than 200 R$/MWh will be 60% or higher</w:t>
      </w:r>
      <w:r>
        <w:rPr>
          <w:rFonts w:ascii="Arial" w:hAnsi="Arial" w:cs="Arial"/>
          <w:sz w:val="22"/>
        </w:rPr>
        <w:t xml:space="preserve"> (taking the last 5</w:t>
      </w:r>
      <w:r w:rsidR="00DC2B96">
        <w:rPr>
          <w:rFonts w:ascii="Arial" w:hAnsi="Arial" w:cs="Arial"/>
          <w:sz w:val="22"/>
        </w:rPr>
        <w:t> </w:t>
      </w:r>
      <w:r>
        <w:rPr>
          <w:rFonts w:ascii="Arial" w:hAnsi="Arial" w:cs="Arial"/>
          <w:sz w:val="22"/>
        </w:rPr>
        <w:t>years into consideration)</w:t>
      </w:r>
      <w:r w:rsidRPr="00B024FB">
        <w:rPr>
          <w:rFonts w:ascii="Arial" w:hAnsi="Arial" w:cs="Arial"/>
          <w:sz w:val="22"/>
        </w:rPr>
        <w:t>.</w:t>
      </w:r>
    </w:p>
    <w:p w:rsidR="004B5334" w:rsidRDefault="004B5334" w:rsidP="004B5334">
      <w:pPr>
        <w:pStyle w:val="Caption"/>
        <w:keepNext/>
        <w:spacing w:after="0"/>
        <w:ind w:left="1440"/>
        <w:jc w:val="center"/>
      </w:pPr>
      <w:r>
        <w:t xml:space="preserve">Table </w:t>
      </w:r>
      <w:r w:rsidR="00B7274C">
        <w:fldChar w:fldCharType="begin"/>
      </w:r>
      <w:r w:rsidR="00B7274C">
        <w:instrText xml:space="preserve"> SEQ Table \* ARABIC </w:instrText>
      </w:r>
      <w:r w:rsidR="00B7274C">
        <w:fldChar w:fldCharType="separate"/>
      </w:r>
      <w:r>
        <w:rPr>
          <w:noProof/>
        </w:rPr>
        <w:t>2</w:t>
      </w:r>
      <w:r w:rsidR="00B7274C">
        <w:rPr>
          <w:noProof/>
        </w:rPr>
        <w:fldChar w:fldCharType="end"/>
      </w:r>
      <w:r>
        <w:t>. PLD prices higher than a threshold (Constant R$/MWh)</w:t>
      </w:r>
    </w:p>
    <w:tbl>
      <w:tblPr>
        <w:tblW w:w="79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60"/>
        <w:gridCol w:w="960"/>
        <w:gridCol w:w="1080"/>
        <w:gridCol w:w="1080"/>
        <w:gridCol w:w="1170"/>
        <w:gridCol w:w="1090"/>
      </w:tblGrid>
      <w:tr w:rsidR="004B5334" w:rsidRPr="003B33CE" w:rsidTr="003E0E63">
        <w:trPr>
          <w:trHeight w:val="300"/>
          <w:jc w:val="center"/>
        </w:trPr>
        <w:tc>
          <w:tcPr>
            <w:tcW w:w="2560" w:type="dxa"/>
            <w:shd w:val="clear" w:color="auto" w:fill="auto"/>
            <w:noWrap/>
            <w:vAlign w:val="center"/>
            <w:hideMark/>
          </w:tcPr>
          <w:p w:rsidR="004B5334" w:rsidRPr="003B33CE" w:rsidRDefault="004B5334" w:rsidP="003E0E63">
            <w:pPr>
              <w:spacing w:after="0" w:line="240" w:lineRule="auto"/>
              <w:jc w:val="center"/>
              <w:rPr>
                <w:rFonts w:ascii="Calibri" w:eastAsia="Times New Roman" w:hAnsi="Calibri" w:cs="Times New Roman"/>
                <w:b/>
                <w:color w:val="000000"/>
                <w:sz w:val="18"/>
                <w:szCs w:val="18"/>
              </w:rPr>
            </w:pPr>
            <w:r w:rsidRPr="003B33CE">
              <w:rPr>
                <w:rFonts w:ascii="Calibri" w:eastAsia="Times New Roman" w:hAnsi="Calibri" w:cs="Times New Roman"/>
                <w:b/>
                <w:color w:val="000000"/>
                <w:sz w:val="18"/>
                <w:szCs w:val="18"/>
              </w:rPr>
              <w:t>PLD (R$/MWh)</w:t>
            </w:r>
          </w:p>
        </w:tc>
        <w:tc>
          <w:tcPr>
            <w:tcW w:w="960" w:type="dxa"/>
            <w:shd w:val="clear" w:color="auto" w:fill="auto"/>
            <w:noWrap/>
            <w:vAlign w:val="center"/>
            <w:hideMark/>
          </w:tcPr>
          <w:p w:rsidR="004B5334" w:rsidRPr="003B33CE" w:rsidRDefault="004B5334" w:rsidP="003E0E63">
            <w:pPr>
              <w:spacing w:after="0" w:line="240" w:lineRule="auto"/>
              <w:jc w:val="center"/>
              <w:rPr>
                <w:rFonts w:ascii="Calibri" w:eastAsia="Times New Roman" w:hAnsi="Calibri" w:cs="Times New Roman"/>
                <w:b/>
                <w:color w:val="000000"/>
                <w:sz w:val="18"/>
                <w:szCs w:val="18"/>
              </w:rPr>
            </w:pPr>
            <w:r w:rsidRPr="003B33CE">
              <w:rPr>
                <w:rFonts w:ascii="Calibri" w:eastAsia="Times New Roman" w:hAnsi="Calibri" w:cs="Times New Roman"/>
                <w:b/>
                <w:color w:val="000000"/>
                <w:sz w:val="18"/>
                <w:szCs w:val="18"/>
              </w:rPr>
              <w:t>Last year</w:t>
            </w:r>
          </w:p>
        </w:tc>
        <w:tc>
          <w:tcPr>
            <w:tcW w:w="1080" w:type="dxa"/>
            <w:shd w:val="clear" w:color="auto" w:fill="auto"/>
            <w:noWrap/>
            <w:vAlign w:val="center"/>
            <w:hideMark/>
          </w:tcPr>
          <w:p w:rsidR="004B5334" w:rsidRPr="003B33CE" w:rsidRDefault="004B5334" w:rsidP="003E0E63">
            <w:pPr>
              <w:spacing w:after="0" w:line="240" w:lineRule="auto"/>
              <w:jc w:val="center"/>
              <w:rPr>
                <w:rFonts w:ascii="Calibri" w:eastAsia="Times New Roman" w:hAnsi="Calibri" w:cs="Times New Roman"/>
                <w:b/>
                <w:color w:val="000000"/>
                <w:sz w:val="18"/>
                <w:szCs w:val="18"/>
              </w:rPr>
            </w:pPr>
            <w:r w:rsidRPr="003B33CE">
              <w:rPr>
                <w:rFonts w:ascii="Calibri" w:eastAsia="Times New Roman" w:hAnsi="Calibri" w:cs="Times New Roman"/>
                <w:b/>
                <w:color w:val="000000"/>
                <w:sz w:val="18"/>
                <w:szCs w:val="18"/>
              </w:rPr>
              <w:t>Last 2 years</w:t>
            </w:r>
          </w:p>
        </w:tc>
        <w:tc>
          <w:tcPr>
            <w:tcW w:w="1080" w:type="dxa"/>
            <w:shd w:val="clear" w:color="auto" w:fill="auto"/>
            <w:noWrap/>
            <w:vAlign w:val="center"/>
            <w:hideMark/>
          </w:tcPr>
          <w:p w:rsidR="004B5334" w:rsidRPr="003B33CE" w:rsidRDefault="004B5334" w:rsidP="003E0E63">
            <w:pPr>
              <w:spacing w:after="0" w:line="240" w:lineRule="auto"/>
              <w:jc w:val="center"/>
              <w:rPr>
                <w:rFonts w:ascii="Calibri" w:eastAsia="Times New Roman" w:hAnsi="Calibri" w:cs="Times New Roman"/>
                <w:b/>
                <w:color w:val="000000"/>
                <w:sz w:val="18"/>
                <w:szCs w:val="18"/>
              </w:rPr>
            </w:pPr>
            <w:r w:rsidRPr="003B33CE">
              <w:rPr>
                <w:rFonts w:ascii="Calibri" w:eastAsia="Times New Roman" w:hAnsi="Calibri" w:cs="Times New Roman"/>
                <w:b/>
                <w:color w:val="000000"/>
                <w:sz w:val="18"/>
                <w:szCs w:val="18"/>
              </w:rPr>
              <w:t>Last 3 years</w:t>
            </w:r>
          </w:p>
        </w:tc>
        <w:tc>
          <w:tcPr>
            <w:tcW w:w="1170" w:type="dxa"/>
            <w:shd w:val="clear" w:color="auto" w:fill="auto"/>
            <w:noWrap/>
            <w:vAlign w:val="center"/>
            <w:hideMark/>
          </w:tcPr>
          <w:p w:rsidR="004B5334" w:rsidRPr="003B33CE" w:rsidRDefault="004B5334" w:rsidP="003E0E63">
            <w:pPr>
              <w:spacing w:after="0" w:line="240" w:lineRule="auto"/>
              <w:jc w:val="center"/>
              <w:rPr>
                <w:rFonts w:ascii="Calibri" w:eastAsia="Times New Roman" w:hAnsi="Calibri" w:cs="Times New Roman"/>
                <w:b/>
                <w:color w:val="000000"/>
                <w:sz w:val="18"/>
                <w:szCs w:val="18"/>
              </w:rPr>
            </w:pPr>
            <w:r w:rsidRPr="003B33CE">
              <w:rPr>
                <w:rFonts w:ascii="Calibri" w:eastAsia="Times New Roman" w:hAnsi="Calibri" w:cs="Times New Roman"/>
                <w:b/>
                <w:color w:val="000000"/>
                <w:sz w:val="18"/>
                <w:szCs w:val="18"/>
              </w:rPr>
              <w:t>Last 5 years</w:t>
            </w:r>
          </w:p>
        </w:tc>
        <w:tc>
          <w:tcPr>
            <w:tcW w:w="1090" w:type="dxa"/>
            <w:shd w:val="clear" w:color="auto" w:fill="auto"/>
            <w:noWrap/>
            <w:vAlign w:val="center"/>
            <w:hideMark/>
          </w:tcPr>
          <w:p w:rsidR="004B5334" w:rsidRPr="003B33CE" w:rsidRDefault="004B5334" w:rsidP="003E0E63">
            <w:pPr>
              <w:spacing w:after="0" w:line="240" w:lineRule="auto"/>
              <w:jc w:val="center"/>
              <w:rPr>
                <w:rFonts w:ascii="Calibri" w:eastAsia="Times New Roman" w:hAnsi="Calibri" w:cs="Times New Roman"/>
                <w:b/>
                <w:color w:val="000000"/>
                <w:sz w:val="18"/>
                <w:szCs w:val="18"/>
              </w:rPr>
            </w:pPr>
            <w:r w:rsidRPr="003B33CE">
              <w:rPr>
                <w:rFonts w:ascii="Calibri" w:eastAsia="Times New Roman" w:hAnsi="Calibri" w:cs="Times New Roman"/>
                <w:b/>
                <w:color w:val="000000"/>
                <w:sz w:val="18"/>
                <w:szCs w:val="18"/>
              </w:rPr>
              <w:t>Last 10 years</w:t>
            </w:r>
          </w:p>
        </w:tc>
      </w:tr>
      <w:tr w:rsidR="004B5334" w:rsidRPr="003B33CE" w:rsidTr="00BC310E">
        <w:trPr>
          <w:trHeight w:val="300"/>
          <w:jc w:val="center"/>
        </w:trPr>
        <w:tc>
          <w:tcPr>
            <w:tcW w:w="2560" w:type="dxa"/>
            <w:shd w:val="clear" w:color="auto" w:fill="auto"/>
            <w:noWrap/>
            <w:hideMark/>
          </w:tcPr>
          <w:p w:rsidR="004B5334" w:rsidRPr="00CF112A" w:rsidRDefault="004B5334" w:rsidP="00BC310E">
            <w:pPr>
              <w:spacing w:after="0" w:line="240" w:lineRule="auto"/>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&gt;200 R$/MWh</w:t>
            </w:r>
          </w:p>
        </w:tc>
        <w:tc>
          <w:tcPr>
            <w:tcW w:w="96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25.0%</w:t>
            </w:r>
          </w:p>
        </w:tc>
        <w:tc>
          <w:tcPr>
            <w:tcW w:w="108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58.3%</w:t>
            </w:r>
          </w:p>
        </w:tc>
        <w:tc>
          <w:tcPr>
            <w:tcW w:w="108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72.2%</w:t>
            </w:r>
          </w:p>
        </w:tc>
        <w:tc>
          <w:tcPr>
            <w:tcW w:w="117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63.3%</w:t>
            </w:r>
          </w:p>
        </w:tc>
        <w:tc>
          <w:tcPr>
            <w:tcW w:w="109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40.0%</w:t>
            </w:r>
          </w:p>
        </w:tc>
      </w:tr>
      <w:tr w:rsidR="004B5334" w:rsidRPr="003B33CE" w:rsidTr="00BC310E">
        <w:trPr>
          <w:trHeight w:val="300"/>
          <w:jc w:val="center"/>
        </w:trPr>
        <w:tc>
          <w:tcPr>
            <w:tcW w:w="2560" w:type="dxa"/>
            <w:shd w:val="clear" w:color="auto" w:fill="auto"/>
            <w:noWrap/>
            <w:hideMark/>
          </w:tcPr>
          <w:p w:rsidR="004B5334" w:rsidRPr="00CF112A" w:rsidRDefault="004B5334" w:rsidP="00BC310E">
            <w:pPr>
              <w:spacing w:after="0" w:line="240" w:lineRule="auto"/>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&gt;250 R$/MWh</w:t>
            </w:r>
          </w:p>
        </w:tc>
        <w:tc>
          <w:tcPr>
            <w:tcW w:w="96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0.0%</w:t>
            </w:r>
          </w:p>
        </w:tc>
        <w:tc>
          <w:tcPr>
            <w:tcW w:w="108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41.7%</w:t>
            </w:r>
          </w:p>
        </w:tc>
        <w:tc>
          <w:tcPr>
            <w:tcW w:w="108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61.1%</w:t>
            </w:r>
          </w:p>
        </w:tc>
        <w:tc>
          <w:tcPr>
            <w:tcW w:w="117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50.0%</w:t>
            </w:r>
          </w:p>
        </w:tc>
        <w:tc>
          <w:tcPr>
            <w:tcW w:w="109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30.8%</w:t>
            </w:r>
          </w:p>
        </w:tc>
      </w:tr>
      <w:tr w:rsidR="004B5334" w:rsidRPr="003B33CE" w:rsidTr="00BC310E">
        <w:trPr>
          <w:trHeight w:val="300"/>
          <w:jc w:val="center"/>
        </w:trPr>
        <w:tc>
          <w:tcPr>
            <w:tcW w:w="2560" w:type="dxa"/>
            <w:shd w:val="clear" w:color="auto" w:fill="auto"/>
            <w:noWrap/>
            <w:hideMark/>
          </w:tcPr>
          <w:p w:rsidR="004B5334" w:rsidRPr="00CF112A" w:rsidRDefault="004B5334" w:rsidP="00BC310E">
            <w:pPr>
              <w:spacing w:after="0" w:line="240" w:lineRule="auto"/>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&gt;300 R$/MWh</w:t>
            </w:r>
          </w:p>
        </w:tc>
        <w:tc>
          <w:tcPr>
            <w:tcW w:w="96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0.0%</w:t>
            </w:r>
          </w:p>
        </w:tc>
        <w:tc>
          <w:tcPr>
            <w:tcW w:w="108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41.7%</w:t>
            </w:r>
          </w:p>
        </w:tc>
        <w:tc>
          <w:tcPr>
            <w:tcW w:w="108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61.1%</w:t>
            </w:r>
          </w:p>
        </w:tc>
        <w:tc>
          <w:tcPr>
            <w:tcW w:w="117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46.7%</w:t>
            </w:r>
          </w:p>
        </w:tc>
        <w:tc>
          <w:tcPr>
            <w:tcW w:w="1090" w:type="dxa"/>
            <w:shd w:val="clear" w:color="auto" w:fill="auto"/>
            <w:noWrap/>
            <w:hideMark/>
          </w:tcPr>
          <w:p w:rsidR="004B5334" w:rsidRPr="00CF112A" w:rsidRDefault="004B5334" w:rsidP="00BC310E">
            <w:pPr>
              <w:spacing w:after="0" w:line="240" w:lineRule="auto"/>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27.5%</w:t>
            </w:r>
          </w:p>
        </w:tc>
      </w:tr>
      <w:tr w:rsidR="004B5334" w:rsidRPr="003B33CE" w:rsidTr="00BC310E">
        <w:trPr>
          <w:trHeight w:val="300"/>
          <w:jc w:val="center"/>
        </w:trPr>
        <w:tc>
          <w:tcPr>
            <w:tcW w:w="2560" w:type="dxa"/>
            <w:shd w:val="clear" w:color="auto" w:fill="auto"/>
            <w:noWrap/>
            <w:vAlign w:val="bottom"/>
            <w:hideMark/>
          </w:tcPr>
          <w:p w:rsidR="004B5334" w:rsidRPr="003B33CE" w:rsidRDefault="004B5334" w:rsidP="00BC310E">
            <w:pPr>
              <w:spacing w:after="0" w:line="240" w:lineRule="auto"/>
              <w:jc w:val="center"/>
              <w:rPr>
                <w:rFonts w:ascii="Calibri" w:eastAsia="Times New Roman" w:hAnsi="Calibri" w:cs="Times New Roman"/>
                <w:color w:val="000000"/>
                <w:sz w:val="18"/>
                <w:szCs w:val="18"/>
              </w:rPr>
            </w:pPr>
            <w:r w:rsidRPr="003B33CE">
              <w:rPr>
                <w:rFonts w:ascii="Calibri" w:eastAsia="Times New Roman" w:hAnsi="Calibri" w:cs="Times New Roman"/>
                <w:color w:val="000000"/>
                <w:sz w:val="18"/>
                <w:szCs w:val="18"/>
              </w:rPr>
              <w:t>Average (</w:t>
            </w:r>
            <w:r>
              <w:rPr>
                <w:rFonts w:ascii="Calibri" w:eastAsia="Times New Roman" w:hAnsi="Calibri" w:cs="Times New Roman"/>
                <w:color w:val="000000"/>
                <w:sz w:val="18"/>
                <w:szCs w:val="18"/>
              </w:rPr>
              <w:t xml:space="preserve"> constant </w:t>
            </w:r>
            <w:r w:rsidRPr="003B33CE">
              <w:rPr>
                <w:rFonts w:ascii="Calibri" w:eastAsia="Times New Roman" w:hAnsi="Calibri" w:cs="Times New Roman"/>
                <w:color w:val="000000"/>
                <w:sz w:val="18"/>
                <w:szCs w:val="18"/>
              </w:rPr>
              <w:t>R$/MWh)</w:t>
            </w:r>
          </w:p>
        </w:tc>
        <w:tc>
          <w:tcPr>
            <w:tcW w:w="960" w:type="dxa"/>
            <w:shd w:val="clear" w:color="auto" w:fill="auto"/>
            <w:noWrap/>
            <w:hideMark/>
          </w:tcPr>
          <w:p w:rsidR="004B5334" w:rsidRPr="00CF112A" w:rsidRDefault="004B5334" w:rsidP="00BC310E">
            <w:pPr>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138.12</w:t>
            </w:r>
          </w:p>
        </w:tc>
        <w:tc>
          <w:tcPr>
            <w:tcW w:w="1080" w:type="dxa"/>
            <w:shd w:val="clear" w:color="auto" w:fill="auto"/>
            <w:noWrap/>
            <w:hideMark/>
          </w:tcPr>
          <w:p w:rsidR="004B5334" w:rsidRPr="00CF112A" w:rsidRDefault="004B5334" w:rsidP="00BC310E">
            <w:pPr>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323.80</w:t>
            </w:r>
          </w:p>
        </w:tc>
        <w:tc>
          <w:tcPr>
            <w:tcW w:w="1080" w:type="dxa"/>
            <w:shd w:val="clear" w:color="auto" w:fill="auto"/>
            <w:noWrap/>
            <w:hideMark/>
          </w:tcPr>
          <w:p w:rsidR="004B5334" w:rsidRPr="00CF112A" w:rsidRDefault="004B5334" w:rsidP="00BC310E">
            <w:pPr>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415.20</w:t>
            </w:r>
          </w:p>
        </w:tc>
        <w:tc>
          <w:tcPr>
            <w:tcW w:w="1170" w:type="dxa"/>
            <w:shd w:val="clear" w:color="auto" w:fill="auto"/>
            <w:noWrap/>
            <w:hideMark/>
          </w:tcPr>
          <w:p w:rsidR="004B5334" w:rsidRPr="00CF112A" w:rsidRDefault="004B5334" w:rsidP="00BC310E">
            <w:pPr>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336.77</w:t>
            </w:r>
          </w:p>
        </w:tc>
        <w:tc>
          <w:tcPr>
            <w:tcW w:w="1090" w:type="dxa"/>
            <w:shd w:val="clear" w:color="auto" w:fill="auto"/>
            <w:noWrap/>
            <w:hideMark/>
          </w:tcPr>
          <w:p w:rsidR="004B5334" w:rsidRPr="00CF112A" w:rsidRDefault="004B5334" w:rsidP="00BC310E">
            <w:pPr>
              <w:jc w:val="center"/>
              <w:rPr>
                <w:rFonts w:ascii="Calibri" w:eastAsia="Times New Roman" w:hAnsi="Calibri" w:cs="Times New Roman"/>
                <w:color w:val="000000"/>
                <w:sz w:val="18"/>
                <w:szCs w:val="18"/>
              </w:rPr>
            </w:pPr>
            <w:r w:rsidRPr="00CF112A">
              <w:rPr>
                <w:rFonts w:ascii="Calibri" w:eastAsia="Times New Roman" w:hAnsi="Calibri" w:cs="Times New Roman"/>
                <w:color w:val="000000"/>
                <w:sz w:val="18"/>
                <w:szCs w:val="18"/>
              </w:rPr>
              <w:t>230.10</w:t>
            </w:r>
          </w:p>
        </w:tc>
      </w:tr>
    </w:tbl>
    <w:p w:rsidR="004B5334" w:rsidRDefault="004B5334" w:rsidP="004B5334">
      <w:pPr>
        <w:rPr>
          <w:rFonts w:ascii="Arial" w:hAnsi="Arial" w:cs="Arial"/>
        </w:rPr>
      </w:pPr>
    </w:p>
    <w:p w:rsidR="004B5334" w:rsidRPr="005E2A9C" w:rsidRDefault="004B5334" w:rsidP="004B5334">
      <w:pPr>
        <w:pStyle w:val="Paragraph"/>
        <w:numPr>
          <w:ilvl w:val="0"/>
          <w:numId w:val="15"/>
        </w:numPr>
        <w:spacing w:afterLines="80" w:after="192"/>
        <w:ind w:left="720" w:hanging="720"/>
        <w:jc w:val="left"/>
        <w:rPr>
          <w:rFonts w:ascii="Arial" w:hAnsi="Arial" w:cs="Arial"/>
          <w:b/>
          <w:szCs w:val="24"/>
        </w:rPr>
      </w:pPr>
      <w:r>
        <w:rPr>
          <w:rFonts w:ascii="Arial" w:hAnsi="Arial" w:cs="Arial"/>
          <w:b/>
          <w:szCs w:val="24"/>
        </w:rPr>
        <w:t>Long-term marginal cost of generation</w:t>
      </w:r>
    </w:p>
    <w:p w:rsidR="004B5334" w:rsidRDefault="004B5334" w:rsidP="004B5334">
      <w:pPr>
        <w:pStyle w:val="Paragraph"/>
        <w:numPr>
          <w:ilvl w:val="1"/>
          <w:numId w:val="15"/>
        </w:numPr>
        <w:tabs>
          <w:tab w:val="clear" w:pos="1476"/>
          <w:tab w:val="num" w:pos="720"/>
        </w:tabs>
        <w:spacing w:afterLines="80" w:after="192"/>
        <w:ind w:left="720" w:hanging="720"/>
        <w:rPr>
          <w:rFonts w:ascii="Arial" w:hAnsi="Arial" w:cs="Arial"/>
          <w:sz w:val="22"/>
        </w:rPr>
      </w:pPr>
      <w:r w:rsidRPr="00FC2AA3">
        <w:rPr>
          <w:rFonts w:ascii="Arial" w:hAnsi="Arial" w:cs="Arial"/>
          <w:sz w:val="22"/>
        </w:rPr>
        <w:t xml:space="preserve">The long-term marginal cost </w:t>
      </w:r>
      <w:r>
        <w:rPr>
          <w:rFonts w:ascii="Arial" w:hAnsi="Arial" w:cs="Arial"/>
          <w:sz w:val="22"/>
        </w:rPr>
        <w:t xml:space="preserve">of the system </w:t>
      </w:r>
      <w:r w:rsidR="0085335F">
        <w:rPr>
          <w:rFonts w:ascii="Arial" w:hAnsi="Arial" w:cs="Arial"/>
          <w:sz w:val="22"/>
        </w:rPr>
        <w:t>is</w:t>
      </w:r>
      <w:r w:rsidRPr="00FC2AA3">
        <w:rPr>
          <w:rFonts w:ascii="Arial" w:hAnsi="Arial" w:cs="Arial"/>
          <w:sz w:val="22"/>
        </w:rPr>
        <w:t xml:space="preserve"> calculated by EPE (Empresa de Pesquisas Energeticas), as a weighted average of the long-term prices of the contracts of energy provision in the regulated market. The calculation of the long term </w:t>
      </w:r>
      <w:r>
        <w:rPr>
          <w:rFonts w:ascii="Arial" w:hAnsi="Arial" w:cs="Arial"/>
          <w:sz w:val="22"/>
        </w:rPr>
        <w:t>expansion cost</w:t>
      </w:r>
      <w:r w:rsidRPr="00FC2AA3">
        <w:rPr>
          <w:rFonts w:ascii="Arial" w:hAnsi="Arial" w:cs="Arial"/>
          <w:sz w:val="22"/>
        </w:rPr>
        <w:t xml:space="preserve"> considers</w:t>
      </w:r>
      <w:r w:rsidR="0085335F">
        <w:rPr>
          <w:rFonts w:ascii="Arial" w:hAnsi="Arial" w:cs="Arial"/>
          <w:sz w:val="22"/>
        </w:rPr>
        <w:t>:</w:t>
      </w:r>
      <w:r w:rsidRPr="00FC2AA3">
        <w:rPr>
          <w:rFonts w:ascii="Arial" w:hAnsi="Arial" w:cs="Arial"/>
          <w:sz w:val="22"/>
        </w:rPr>
        <w:t xml:space="preserve"> </w:t>
      </w:r>
      <w:r w:rsidR="0085335F">
        <w:rPr>
          <w:rFonts w:ascii="Arial" w:hAnsi="Arial" w:cs="Arial"/>
          <w:sz w:val="22"/>
        </w:rPr>
        <w:t xml:space="preserve">(i) </w:t>
      </w:r>
      <w:r w:rsidRPr="00FC2AA3">
        <w:rPr>
          <w:rFonts w:ascii="Arial" w:hAnsi="Arial" w:cs="Arial"/>
          <w:sz w:val="22"/>
        </w:rPr>
        <w:t xml:space="preserve">the generation cost for each technology </w:t>
      </w:r>
      <w:r w:rsidR="0085335F">
        <w:rPr>
          <w:rFonts w:ascii="Arial" w:hAnsi="Arial" w:cs="Arial"/>
          <w:sz w:val="22"/>
        </w:rPr>
        <w:t xml:space="preserve">expected to be deployed in the future, </w:t>
      </w:r>
      <w:r w:rsidRPr="00FC2AA3">
        <w:rPr>
          <w:rFonts w:ascii="Arial" w:hAnsi="Arial" w:cs="Arial"/>
          <w:sz w:val="22"/>
        </w:rPr>
        <w:t xml:space="preserve">as shown in </w:t>
      </w:r>
      <w:r>
        <w:rPr>
          <w:rFonts w:ascii="Arial" w:hAnsi="Arial" w:cs="Arial"/>
          <w:sz w:val="22"/>
        </w:rPr>
        <w:t>Figure 2</w:t>
      </w:r>
      <w:r w:rsidR="0085335F">
        <w:rPr>
          <w:rFonts w:ascii="Arial" w:hAnsi="Arial" w:cs="Arial"/>
          <w:sz w:val="22"/>
        </w:rPr>
        <w:t>; and (ii)</w:t>
      </w:r>
      <w:r w:rsidRPr="00FC2AA3">
        <w:rPr>
          <w:rFonts w:ascii="Arial" w:hAnsi="Arial" w:cs="Arial"/>
          <w:sz w:val="22"/>
        </w:rPr>
        <w:t xml:space="preserve"> </w:t>
      </w:r>
      <w:r w:rsidR="0085335F">
        <w:rPr>
          <w:rFonts w:ascii="Arial" w:hAnsi="Arial" w:cs="Arial"/>
          <w:sz w:val="22"/>
        </w:rPr>
        <w:t>t</w:t>
      </w:r>
      <w:r w:rsidRPr="00FC2AA3">
        <w:rPr>
          <w:rFonts w:ascii="Arial" w:hAnsi="Arial" w:cs="Arial"/>
          <w:sz w:val="22"/>
        </w:rPr>
        <w:t xml:space="preserve">he expected distribution of each technology </w:t>
      </w:r>
      <w:r>
        <w:rPr>
          <w:rFonts w:ascii="Arial" w:hAnsi="Arial" w:cs="Arial"/>
          <w:sz w:val="22"/>
        </w:rPr>
        <w:t xml:space="preserve">in the planned expansion, </w:t>
      </w:r>
      <w:r w:rsidRPr="00FC2AA3">
        <w:rPr>
          <w:rFonts w:ascii="Arial" w:hAnsi="Arial" w:cs="Arial"/>
          <w:sz w:val="22"/>
        </w:rPr>
        <w:t xml:space="preserve">shown in </w:t>
      </w:r>
      <w:r>
        <w:rPr>
          <w:rFonts w:ascii="Arial" w:hAnsi="Arial" w:cs="Arial"/>
          <w:sz w:val="22"/>
        </w:rPr>
        <w:t>Figure 3</w:t>
      </w:r>
      <w:r w:rsidRPr="00FC2AA3">
        <w:rPr>
          <w:rFonts w:ascii="Arial" w:hAnsi="Arial" w:cs="Arial"/>
          <w:sz w:val="22"/>
        </w:rPr>
        <w:t xml:space="preserve">. The resulting weighted average </w:t>
      </w:r>
      <w:r w:rsidR="0085335F">
        <w:rPr>
          <w:rFonts w:ascii="Arial" w:hAnsi="Arial" w:cs="Arial"/>
          <w:sz w:val="22"/>
        </w:rPr>
        <w:t xml:space="preserve">for the last long term expansion cost release by EPE in 2016 </w:t>
      </w:r>
      <w:r w:rsidR="0085335F" w:rsidRPr="00FC2AA3">
        <w:rPr>
          <w:rFonts w:ascii="Arial" w:hAnsi="Arial" w:cs="Arial"/>
          <w:sz w:val="22"/>
        </w:rPr>
        <w:t>for the period 2021-2025</w:t>
      </w:r>
      <w:r w:rsidR="0085335F">
        <w:rPr>
          <w:rFonts w:ascii="Arial" w:hAnsi="Arial" w:cs="Arial"/>
          <w:sz w:val="22"/>
        </w:rPr>
        <w:t xml:space="preserve"> is </w:t>
      </w:r>
      <w:r w:rsidRPr="00FC2AA3">
        <w:rPr>
          <w:rFonts w:ascii="Arial" w:hAnsi="Arial" w:cs="Arial"/>
          <w:sz w:val="22"/>
        </w:rPr>
        <w:t>R$ 193/MWh</w:t>
      </w:r>
      <w:r>
        <w:rPr>
          <w:rFonts w:ascii="Arial" w:hAnsi="Arial" w:cs="Arial"/>
          <w:sz w:val="22"/>
        </w:rPr>
        <w:t xml:space="preserve"> (60 US$/MWh).</w:t>
      </w:r>
    </w:p>
    <w:p w:rsidR="004B5334" w:rsidRDefault="004B5334" w:rsidP="004B5334">
      <w:pPr>
        <w:pStyle w:val="Paragraph"/>
        <w:keepNext/>
        <w:tabs>
          <w:tab w:val="clear" w:pos="720"/>
        </w:tabs>
        <w:spacing w:afterLines="80" w:after="192"/>
        <w:ind w:firstLine="0"/>
        <w:jc w:val="center"/>
      </w:pPr>
      <w:r>
        <w:rPr>
          <w:noProof/>
        </w:rPr>
        <w:lastRenderedPageBreak/>
        <w:drawing>
          <wp:inline distT="0" distB="0" distL="0" distR="0" wp14:anchorId="4338E386" wp14:editId="787D6537">
            <wp:extent cx="4011283" cy="2360486"/>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3413" cy="2361740"/>
                    </a:xfrm>
                    <a:prstGeom prst="rect">
                      <a:avLst/>
                    </a:prstGeom>
                    <a:noFill/>
                    <a:extLst/>
                  </pic:spPr>
                </pic:pic>
              </a:graphicData>
            </a:graphic>
          </wp:inline>
        </w:drawing>
      </w:r>
    </w:p>
    <w:p w:rsidR="004B5334" w:rsidRDefault="004B5334" w:rsidP="004B5334">
      <w:pPr>
        <w:pStyle w:val="Caption"/>
        <w:jc w:val="center"/>
        <w:rPr>
          <w:rFonts w:ascii="Arial" w:hAnsi="Arial" w:cs="Arial"/>
          <w:sz w:val="22"/>
        </w:rPr>
      </w:pPr>
      <w:r>
        <w:t xml:space="preserve">Figure </w:t>
      </w:r>
      <w:r w:rsidR="00B7274C">
        <w:fldChar w:fldCharType="begin"/>
      </w:r>
      <w:r w:rsidR="00B7274C">
        <w:instrText xml:space="preserve"> SEQ Figure \* ARABIC </w:instrText>
      </w:r>
      <w:r w:rsidR="00B7274C">
        <w:fldChar w:fldCharType="separate"/>
      </w:r>
      <w:r>
        <w:rPr>
          <w:noProof/>
        </w:rPr>
        <w:t>2</w:t>
      </w:r>
      <w:r w:rsidR="00B7274C">
        <w:rPr>
          <w:noProof/>
        </w:rPr>
        <w:fldChar w:fldCharType="end"/>
      </w:r>
      <w:r>
        <w:t>. Generation costs considered for the long term expansion cost of the system (source EPE)</w:t>
      </w:r>
    </w:p>
    <w:p w:rsidR="004B5334" w:rsidRDefault="004B5334" w:rsidP="004B5334">
      <w:pPr>
        <w:pStyle w:val="Paragraph"/>
        <w:keepNext/>
        <w:tabs>
          <w:tab w:val="clear" w:pos="720"/>
        </w:tabs>
        <w:spacing w:afterLines="80" w:after="192"/>
        <w:ind w:left="1476" w:firstLine="0"/>
      </w:pPr>
      <w:r>
        <w:rPr>
          <w:rFonts w:ascii="Arial" w:hAnsi="Arial" w:cs="Arial"/>
          <w:b/>
          <w:noProof/>
          <w:szCs w:val="24"/>
        </w:rPr>
        <w:drawing>
          <wp:inline distT="0" distB="0" distL="0" distR="0" wp14:anchorId="586FAFFE" wp14:editId="4FBF80C9">
            <wp:extent cx="3433313" cy="3132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4574" cy="3133498"/>
                    </a:xfrm>
                    <a:prstGeom prst="rect">
                      <a:avLst/>
                    </a:prstGeom>
                    <a:noFill/>
                    <a:ln>
                      <a:noFill/>
                    </a:ln>
                  </pic:spPr>
                </pic:pic>
              </a:graphicData>
            </a:graphic>
          </wp:inline>
        </w:drawing>
      </w:r>
    </w:p>
    <w:p w:rsidR="004B5334" w:rsidRDefault="004B5334" w:rsidP="004B5334">
      <w:pPr>
        <w:pStyle w:val="Caption"/>
        <w:jc w:val="center"/>
        <w:rPr>
          <w:rFonts w:ascii="Arial" w:hAnsi="Arial" w:cs="Arial"/>
          <w:b w:val="0"/>
          <w:szCs w:val="24"/>
        </w:rPr>
      </w:pPr>
      <w:r>
        <w:t xml:space="preserve">Figure </w:t>
      </w:r>
      <w:r w:rsidR="00B7274C">
        <w:fldChar w:fldCharType="begin"/>
      </w:r>
      <w:r w:rsidR="00B7274C">
        <w:instrText xml:space="preserve"> SEQ Figure \* ARABIC </w:instrText>
      </w:r>
      <w:r w:rsidR="00B7274C">
        <w:fldChar w:fldCharType="separate"/>
      </w:r>
      <w:r>
        <w:rPr>
          <w:noProof/>
        </w:rPr>
        <w:t>3</w:t>
      </w:r>
      <w:r w:rsidR="00B7274C">
        <w:rPr>
          <w:noProof/>
        </w:rPr>
        <w:fldChar w:fldCharType="end"/>
      </w:r>
      <w:r>
        <w:t>. Distribution of technologies in the planned expansion</w:t>
      </w:r>
    </w:p>
    <w:p w:rsidR="004B5334" w:rsidRDefault="006C509F" w:rsidP="004B5334">
      <w:pPr>
        <w:pStyle w:val="Paragraph"/>
        <w:numPr>
          <w:ilvl w:val="1"/>
          <w:numId w:val="15"/>
        </w:numPr>
        <w:tabs>
          <w:tab w:val="clear" w:pos="1476"/>
          <w:tab w:val="num" w:pos="720"/>
        </w:tabs>
        <w:spacing w:afterLines="80" w:after="192"/>
        <w:ind w:left="720" w:hanging="720"/>
        <w:rPr>
          <w:rFonts w:ascii="Arial" w:hAnsi="Arial" w:cs="Arial"/>
          <w:sz w:val="22"/>
        </w:rPr>
      </w:pPr>
      <w:r>
        <w:rPr>
          <w:rFonts w:ascii="Arial" w:hAnsi="Arial" w:cs="Arial"/>
          <w:sz w:val="22"/>
        </w:rPr>
        <w:t>F</w:t>
      </w:r>
      <w:r w:rsidR="004B5334">
        <w:rPr>
          <w:rFonts w:ascii="Arial" w:hAnsi="Arial" w:cs="Arial"/>
          <w:sz w:val="22"/>
        </w:rPr>
        <w:t xml:space="preserve">or the purposes of the </w:t>
      </w:r>
      <w:r w:rsidR="0085335F">
        <w:rPr>
          <w:rFonts w:ascii="Arial" w:hAnsi="Arial" w:cs="Arial"/>
          <w:sz w:val="22"/>
        </w:rPr>
        <w:t xml:space="preserve">sensitivity analysis of the </w:t>
      </w:r>
      <w:r w:rsidR="004B5334">
        <w:rPr>
          <w:rFonts w:ascii="Arial" w:hAnsi="Arial" w:cs="Arial"/>
          <w:sz w:val="22"/>
        </w:rPr>
        <w:t>economic evaluation</w:t>
      </w:r>
      <w:r w:rsidR="0085335F">
        <w:rPr>
          <w:rFonts w:ascii="Arial" w:hAnsi="Arial" w:cs="Arial"/>
          <w:sz w:val="22"/>
        </w:rPr>
        <w:t xml:space="preserve"> (Scenario 2)</w:t>
      </w:r>
      <w:r w:rsidR="004B5334">
        <w:rPr>
          <w:rFonts w:ascii="Arial" w:hAnsi="Arial" w:cs="Arial"/>
          <w:sz w:val="22"/>
        </w:rPr>
        <w:t xml:space="preserve">, </w:t>
      </w:r>
      <w:r w:rsidR="00183777">
        <w:rPr>
          <w:rFonts w:ascii="Arial" w:hAnsi="Arial" w:cs="Arial"/>
          <w:sz w:val="22"/>
        </w:rPr>
        <w:t xml:space="preserve">the counterfactual </w:t>
      </w:r>
      <w:r w:rsidR="004B5334">
        <w:rPr>
          <w:rFonts w:ascii="Arial" w:hAnsi="Arial" w:cs="Arial"/>
          <w:sz w:val="22"/>
        </w:rPr>
        <w:t xml:space="preserve">without project considers that </w:t>
      </w:r>
      <w:r w:rsidR="00183777">
        <w:rPr>
          <w:rFonts w:ascii="Arial" w:hAnsi="Arial" w:cs="Arial"/>
          <w:sz w:val="22"/>
        </w:rPr>
        <w:t xml:space="preserve">a mix of </w:t>
      </w:r>
      <w:r w:rsidR="004B5334">
        <w:rPr>
          <w:rFonts w:ascii="Arial" w:hAnsi="Arial" w:cs="Arial"/>
          <w:sz w:val="22"/>
        </w:rPr>
        <w:t xml:space="preserve">small hydro (PCHs) and gas projects are implemented to cover the </w:t>
      </w:r>
      <w:r w:rsidR="00183777">
        <w:rPr>
          <w:rFonts w:ascii="Arial" w:hAnsi="Arial" w:cs="Arial"/>
          <w:sz w:val="22"/>
        </w:rPr>
        <w:t xml:space="preserve">energy </w:t>
      </w:r>
      <w:r w:rsidR="004B5334">
        <w:rPr>
          <w:rFonts w:ascii="Arial" w:hAnsi="Arial" w:cs="Arial"/>
          <w:sz w:val="22"/>
        </w:rPr>
        <w:t xml:space="preserve">supply of ARE projects </w:t>
      </w:r>
      <w:r w:rsidR="00183777">
        <w:rPr>
          <w:rFonts w:ascii="Arial" w:hAnsi="Arial" w:cs="Arial"/>
          <w:sz w:val="22"/>
        </w:rPr>
        <w:t>that are not implemented. L</w:t>
      </w:r>
      <w:r w:rsidR="004B5334">
        <w:rPr>
          <w:rFonts w:ascii="Arial" w:hAnsi="Arial" w:cs="Arial"/>
          <w:sz w:val="22"/>
        </w:rPr>
        <w:t xml:space="preserve">arge hydro </w:t>
      </w:r>
      <w:r w:rsidR="00DE1F92">
        <w:rPr>
          <w:rFonts w:ascii="Arial" w:hAnsi="Arial" w:cs="Arial"/>
          <w:sz w:val="22"/>
        </w:rPr>
        <w:t>is</w:t>
      </w:r>
      <w:r w:rsidR="004B5334">
        <w:rPr>
          <w:rFonts w:ascii="Arial" w:hAnsi="Arial" w:cs="Arial"/>
          <w:sz w:val="22"/>
        </w:rPr>
        <w:t xml:space="preserve"> ruled out because of times of implementation</w:t>
      </w:r>
      <w:r w:rsidR="0085335F">
        <w:rPr>
          <w:rFonts w:ascii="Arial" w:hAnsi="Arial" w:cs="Arial"/>
          <w:sz w:val="22"/>
        </w:rPr>
        <w:t xml:space="preserve">, and biomass </w:t>
      </w:r>
      <w:r w:rsidR="00183777">
        <w:rPr>
          <w:rFonts w:ascii="Arial" w:hAnsi="Arial" w:cs="Arial"/>
          <w:sz w:val="22"/>
        </w:rPr>
        <w:t xml:space="preserve">is also not considered </w:t>
      </w:r>
      <w:r w:rsidR="0085335F">
        <w:rPr>
          <w:rFonts w:ascii="Arial" w:hAnsi="Arial" w:cs="Arial"/>
          <w:sz w:val="22"/>
        </w:rPr>
        <w:t>because of uncertainty of additional biomass production</w:t>
      </w:r>
      <w:r w:rsidR="004B5334">
        <w:rPr>
          <w:rFonts w:ascii="Arial" w:hAnsi="Arial" w:cs="Arial"/>
          <w:sz w:val="22"/>
        </w:rPr>
        <w:t xml:space="preserve">. </w:t>
      </w:r>
      <w:r w:rsidR="00183777">
        <w:rPr>
          <w:rFonts w:ascii="Arial" w:hAnsi="Arial" w:cs="Arial"/>
          <w:sz w:val="22"/>
        </w:rPr>
        <w:t>A</w:t>
      </w:r>
      <w:r w:rsidR="0085335F">
        <w:rPr>
          <w:rFonts w:ascii="Arial" w:hAnsi="Arial" w:cs="Arial"/>
          <w:sz w:val="22"/>
        </w:rPr>
        <w:t xml:space="preserve"> </w:t>
      </w:r>
      <w:r w:rsidR="00183777">
        <w:rPr>
          <w:rFonts w:ascii="Arial" w:hAnsi="Arial" w:cs="Arial"/>
          <w:sz w:val="22"/>
        </w:rPr>
        <w:t xml:space="preserve">conservative 50/50 </w:t>
      </w:r>
      <w:r w:rsidR="0085335F">
        <w:rPr>
          <w:rFonts w:ascii="Arial" w:hAnsi="Arial" w:cs="Arial"/>
          <w:sz w:val="22"/>
        </w:rPr>
        <w:t>mix</w:t>
      </w:r>
      <w:r w:rsidR="004B5334">
        <w:rPr>
          <w:rFonts w:ascii="Arial" w:hAnsi="Arial" w:cs="Arial"/>
          <w:sz w:val="22"/>
        </w:rPr>
        <w:t xml:space="preserve"> </w:t>
      </w:r>
      <w:r w:rsidR="00183777">
        <w:rPr>
          <w:rFonts w:ascii="Arial" w:hAnsi="Arial" w:cs="Arial"/>
          <w:sz w:val="22"/>
        </w:rPr>
        <w:t xml:space="preserve">of </w:t>
      </w:r>
      <w:r w:rsidR="004B5334">
        <w:rPr>
          <w:rFonts w:ascii="Arial" w:hAnsi="Arial" w:cs="Arial"/>
          <w:sz w:val="22"/>
        </w:rPr>
        <w:t xml:space="preserve">PCHs and </w:t>
      </w:r>
      <w:r w:rsidR="00DE1F92">
        <w:rPr>
          <w:rFonts w:ascii="Arial" w:hAnsi="Arial" w:cs="Arial"/>
          <w:sz w:val="22"/>
        </w:rPr>
        <w:t>gas</w:t>
      </w:r>
      <w:r w:rsidR="004B5334">
        <w:rPr>
          <w:rFonts w:ascii="Arial" w:hAnsi="Arial" w:cs="Arial"/>
          <w:sz w:val="22"/>
        </w:rPr>
        <w:t xml:space="preserve"> projects </w:t>
      </w:r>
      <w:r w:rsidR="0085335F">
        <w:rPr>
          <w:rFonts w:ascii="Arial" w:hAnsi="Arial" w:cs="Arial"/>
          <w:sz w:val="22"/>
        </w:rPr>
        <w:t xml:space="preserve">is </w:t>
      </w:r>
      <w:r w:rsidR="00183777">
        <w:rPr>
          <w:rFonts w:ascii="Arial" w:hAnsi="Arial" w:cs="Arial"/>
          <w:sz w:val="22"/>
        </w:rPr>
        <w:t xml:space="preserve">assumed, </w:t>
      </w:r>
      <w:r w:rsidR="004B5334">
        <w:rPr>
          <w:rFonts w:ascii="Arial" w:hAnsi="Arial" w:cs="Arial"/>
          <w:sz w:val="22"/>
        </w:rPr>
        <w:t>to cover the electricity demand</w:t>
      </w:r>
      <w:r>
        <w:rPr>
          <w:rFonts w:ascii="Arial" w:hAnsi="Arial" w:cs="Arial"/>
          <w:sz w:val="22"/>
        </w:rPr>
        <w:t xml:space="preserve"> not supplied by ARE projects</w:t>
      </w:r>
      <w:r w:rsidR="0085335F">
        <w:rPr>
          <w:rFonts w:ascii="Arial" w:hAnsi="Arial" w:cs="Arial"/>
          <w:sz w:val="22"/>
        </w:rPr>
        <w:t xml:space="preserve">. </w:t>
      </w:r>
      <w:r w:rsidR="00183777">
        <w:rPr>
          <w:rFonts w:ascii="Arial" w:hAnsi="Arial" w:cs="Arial"/>
          <w:sz w:val="22"/>
        </w:rPr>
        <w:t>T</w:t>
      </w:r>
      <w:r w:rsidR="004B5334">
        <w:rPr>
          <w:rFonts w:ascii="Arial" w:hAnsi="Arial" w:cs="Arial"/>
          <w:sz w:val="22"/>
        </w:rPr>
        <w:t xml:space="preserve">he long term marginal cost </w:t>
      </w:r>
      <w:r w:rsidR="00183777">
        <w:rPr>
          <w:rFonts w:ascii="Arial" w:hAnsi="Arial" w:cs="Arial"/>
          <w:sz w:val="22"/>
        </w:rPr>
        <w:t xml:space="preserve">of this generation mix </w:t>
      </w:r>
      <w:r w:rsidR="004B5334">
        <w:rPr>
          <w:rFonts w:ascii="Arial" w:hAnsi="Arial" w:cs="Arial"/>
          <w:sz w:val="22"/>
        </w:rPr>
        <w:t xml:space="preserve">is calculated </w:t>
      </w:r>
      <w:r w:rsidR="0085335F">
        <w:rPr>
          <w:rFonts w:ascii="Arial" w:hAnsi="Arial" w:cs="Arial"/>
          <w:sz w:val="22"/>
        </w:rPr>
        <w:t xml:space="preserve">as the average </w:t>
      </w:r>
      <w:r w:rsidR="00183777">
        <w:rPr>
          <w:rFonts w:ascii="Arial" w:hAnsi="Arial" w:cs="Arial"/>
          <w:sz w:val="22"/>
        </w:rPr>
        <w:t xml:space="preserve">of the </w:t>
      </w:r>
      <w:r w:rsidR="0085335F">
        <w:rPr>
          <w:rFonts w:ascii="Arial" w:hAnsi="Arial" w:cs="Arial"/>
          <w:sz w:val="22"/>
        </w:rPr>
        <w:t xml:space="preserve">long term expansion costs of PCH and GAS (shown in Figure 2), </w:t>
      </w:r>
      <w:r w:rsidR="004B5334">
        <w:rPr>
          <w:rFonts w:ascii="Arial" w:hAnsi="Arial" w:cs="Arial"/>
          <w:sz w:val="22"/>
        </w:rPr>
        <w:t>and results in 212</w:t>
      </w:r>
      <w:r w:rsidR="00183777">
        <w:rPr>
          <w:rFonts w:ascii="Arial" w:hAnsi="Arial" w:cs="Arial"/>
          <w:sz w:val="22"/>
        </w:rPr>
        <w:t>.62</w:t>
      </w:r>
      <w:r w:rsidR="004B5334">
        <w:rPr>
          <w:rFonts w:ascii="Arial" w:hAnsi="Arial" w:cs="Arial"/>
          <w:sz w:val="22"/>
        </w:rPr>
        <w:t xml:space="preserve"> R$/MWh (6</w:t>
      </w:r>
      <w:r w:rsidR="00183777">
        <w:rPr>
          <w:rFonts w:ascii="Arial" w:hAnsi="Arial" w:cs="Arial"/>
          <w:sz w:val="22"/>
        </w:rPr>
        <w:t>5.91</w:t>
      </w:r>
      <w:r w:rsidR="004B5334">
        <w:rPr>
          <w:rFonts w:ascii="Arial" w:hAnsi="Arial" w:cs="Arial"/>
          <w:sz w:val="22"/>
        </w:rPr>
        <w:t xml:space="preserve"> US$/MWh).  </w:t>
      </w:r>
    </w:p>
    <w:p w:rsidR="00EF1988" w:rsidRDefault="00DE1F92" w:rsidP="003E0E63">
      <w:pPr>
        <w:pStyle w:val="Paragraph"/>
        <w:numPr>
          <w:ilvl w:val="1"/>
          <w:numId w:val="15"/>
        </w:numPr>
        <w:tabs>
          <w:tab w:val="clear" w:pos="1476"/>
          <w:tab w:val="num" w:pos="720"/>
        </w:tabs>
        <w:spacing w:afterLines="80" w:after="192"/>
        <w:ind w:left="720" w:hanging="720"/>
        <w:rPr>
          <w:rFonts w:ascii="Arial" w:hAnsi="Arial" w:cs="Arial"/>
          <w:sz w:val="22"/>
        </w:rPr>
      </w:pPr>
      <w:r>
        <w:rPr>
          <w:rFonts w:ascii="Arial" w:hAnsi="Arial" w:cs="Arial"/>
          <w:sz w:val="22"/>
        </w:rPr>
        <w:lastRenderedPageBreak/>
        <w:t>The 50/50 mix used for s</w:t>
      </w:r>
      <w:r w:rsidR="00EF1988" w:rsidRPr="00EF1988">
        <w:rPr>
          <w:rFonts w:ascii="Arial" w:hAnsi="Arial" w:cs="Arial"/>
          <w:sz w:val="22"/>
        </w:rPr>
        <w:t xml:space="preserve">cenario </w:t>
      </w:r>
      <w:r w:rsidR="0085335F">
        <w:rPr>
          <w:rFonts w:ascii="Arial" w:hAnsi="Arial" w:cs="Arial"/>
          <w:sz w:val="22"/>
        </w:rPr>
        <w:t xml:space="preserve">2 </w:t>
      </w:r>
      <w:r w:rsidR="00EF1988" w:rsidRPr="00EF1988">
        <w:rPr>
          <w:rFonts w:ascii="Arial" w:hAnsi="Arial" w:cs="Arial"/>
          <w:sz w:val="22"/>
        </w:rPr>
        <w:t xml:space="preserve">is </w:t>
      </w:r>
      <w:r w:rsidR="0085335F">
        <w:rPr>
          <w:rFonts w:ascii="Arial" w:hAnsi="Arial" w:cs="Arial"/>
          <w:sz w:val="22"/>
        </w:rPr>
        <w:t xml:space="preserve">very </w:t>
      </w:r>
      <w:r w:rsidR="00EF1988" w:rsidRPr="00EF1988">
        <w:rPr>
          <w:rFonts w:ascii="Arial" w:hAnsi="Arial" w:cs="Arial"/>
          <w:sz w:val="22"/>
        </w:rPr>
        <w:t>conservative in the sense that normally</w:t>
      </w:r>
      <w:r w:rsidR="00183777">
        <w:rPr>
          <w:rFonts w:ascii="Arial" w:hAnsi="Arial" w:cs="Arial"/>
          <w:sz w:val="22"/>
        </w:rPr>
        <w:t xml:space="preserve"> when there is a shortage of energy supply, the technology </w:t>
      </w:r>
      <w:r w:rsidR="003B6094">
        <w:rPr>
          <w:rFonts w:ascii="Arial" w:hAnsi="Arial" w:cs="Arial"/>
          <w:sz w:val="22"/>
        </w:rPr>
        <w:t>that is primarily</w:t>
      </w:r>
      <w:r w:rsidR="00183777">
        <w:rPr>
          <w:rFonts w:ascii="Arial" w:hAnsi="Arial" w:cs="Arial"/>
          <w:sz w:val="22"/>
        </w:rPr>
        <w:t xml:space="preserve"> installed</w:t>
      </w:r>
      <w:r w:rsidR="00EF1988" w:rsidRPr="00EF1988">
        <w:rPr>
          <w:rFonts w:ascii="Arial" w:hAnsi="Arial" w:cs="Arial"/>
          <w:sz w:val="22"/>
        </w:rPr>
        <w:t xml:space="preserve"> </w:t>
      </w:r>
      <w:r w:rsidR="00183777">
        <w:rPr>
          <w:rFonts w:ascii="Arial" w:hAnsi="Arial" w:cs="Arial"/>
          <w:sz w:val="22"/>
        </w:rPr>
        <w:t xml:space="preserve">to cover demand </w:t>
      </w:r>
      <w:r w:rsidR="003B6094">
        <w:rPr>
          <w:rFonts w:ascii="Arial" w:hAnsi="Arial" w:cs="Arial"/>
          <w:sz w:val="22"/>
        </w:rPr>
        <w:t>is</w:t>
      </w:r>
      <w:r w:rsidR="00183777">
        <w:rPr>
          <w:rFonts w:ascii="Arial" w:hAnsi="Arial" w:cs="Arial"/>
          <w:sz w:val="22"/>
        </w:rPr>
        <w:t xml:space="preserve"> </w:t>
      </w:r>
      <w:r w:rsidR="00EF1988" w:rsidRPr="00EF1988">
        <w:rPr>
          <w:rFonts w:ascii="Arial" w:hAnsi="Arial" w:cs="Arial"/>
          <w:sz w:val="22"/>
        </w:rPr>
        <w:t xml:space="preserve">gas </w:t>
      </w:r>
      <w:r w:rsidR="00183777">
        <w:rPr>
          <w:rFonts w:ascii="Arial" w:hAnsi="Arial" w:cs="Arial"/>
          <w:sz w:val="22"/>
        </w:rPr>
        <w:t xml:space="preserve">fueled power </w:t>
      </w:r>
      <w:r w:rsidR="00EF1988" w:rsidRPr="00EF1988">
        <w:rPr>
          <w:rFonts w:ascii="Arial" w:hAnsi="Arial" w:cs="Arial"/>
          <w:sz w:val="22"/>
        </w:rPr>
        <w:t>plants (</w:t>
      </w:r>
      <w:r w:rsidR="003B6094">
        <w:rPr>
          <w:rFonts w:ascii="Arial" w:hAnsi="Arial" w:cs="Arial"/>
          <w:sz w:val="22"/>
        </w:rPr>
        <w:t xml:space="preserve">which have a marginal price of </w:t>
      </w:r>
      <w:r w:rsidR="00EF1988" w:rsidRPr="00EF1988">
        <w:rPr>
          <w:rFonts w:ascii="Arial" w:hAnsi="Arial" w:cs="Arial"/>
          <w:sz w:val="22"/>
        </w:rPr>
        <w:t xml:space="preserve">235 </w:t>
      </w:r>
      <w:r w:rsidR="00183777">
        <w:rPr>
          <w:rFonts w:ascii="Arial" w:hAnsi="Arial" w:cs="Arial"/>
          <w:sz w:val="22"/>
        </w:rPr>
        <w:t>R$</w:t>
      </w:r>
      <w:r w:rsidR="00EF1988" w:rsidRPr="00EF1988">
        <w:rPr>
          <w:rFonts w:ascii="Arial" w:hAnsi="Arial" w:cs="Arial"/>
          <w:sz w:val="22"/>
        </w:rPr>
        <w:t>/MWh</w:t>
      </w:r>
      <w:r w:rsidR="003B6094">
        <w:rPr>
          <w:rFonts w:ascii="Arial" w:hAnsi="Arial" w:cs="Arial"/>
          <w:sz w:val="22"/>
        </w:rPr>
        <w:t xml:space="preserve"> or 72.85 US$/MWh</w:t>
      </w:r>
      <w:r w:rsidR="00EF1988" w:rsidRPr="00EF1988">
        <w:rPr>
          <w:rFonts w:ascii="Arial" w:hAnsi="Arial" w:cs="Arial"/>
          <w:sz w:val="22"/>
        </w:rPr>
        <w:t xml:space="preserve">), </w:t>
      </w:r>
      <w:r w:rsidR="00183777">
        <w:rPr>
          <w:rFonts w:ascii="Arial" w:hAnsi="Arial" w:cs="Arial"/>
          <w:sz w:val="22"/>
        </w:rPr>
        <w:t xml:space="preserve">as they have </w:t>
      </w:r>
      <w:r w:rsidR="00EF1988" w:rsidRPr="00EF1988">
        <w:rPr>
          <w:rFonts w:ascii="Arial" w:hAnsi="Arial" w:cs="Arial"/>
          <w:sz w:val="22"/>
        </w:rPr>
        <w:t>lower implementation times (6-9 months versus 3-4 years for a PCH) and</w:t>
      </w:r>
      <w:r w:rsidR="003B6094">
        <w:rPr>
          <w:rFonts w:ascii="Arial" w:hAnsi="Arial" w:cs="Arial"/>
          <w:sz w:val="22"/>
        </w:rPr>
        <w:t>,</w:t>
      </w:r>
      <w:r w:rsidR="00EF1988" w:rsidRPr="00EF1988">
        <w:rPr>
          <w:rFonts w:ascii="Arial" w:hAnsi="Arial" w:cs="Arial"/>
          <w:sz w:val="22"/>
        </w:rPr>
        <w:t xml:space="preserve"> above all, lower capital costs (25% to 30% of the cost of a PCH in terms of capital</w:t>
      </w:r>
      <w:r w:rsidR="00183777">
        <w:rPr>
          <w:rFonts w:ascii="Arial" w:hAnsi="Arial" w:cs="Arial"/>
          <w:sz w:val="22"/>
        </w:rPr>
        <w:t xml:space="preserve"> investments for the same capacity</w:t>
      </w:r>
      <w:r w:rsidR="00EF1988" w:rsidRPr="00EF1988">
        <w:rPr>
          <w:rFonts w:ascii="Arial" w:hAnsi="Arial" w:cs="Arial"/>
          <w:sz w:val="22"/>
        </w:rPr>
        <w:t>).</w:t>
      </w:r>
      <w:r w:rsidR="00183777">
        <w:rPr>
          <w:rFonts w:ascii="Arial" w:hAnsi="Arial" w:cs="Arial"/>
          <w:sz w:val="22"/>
        </w:rPr>
        <w:t xml:space="preserve"> Hence, Scenario 2 can be considered as a robust test for the sensitivity analysis. </w:t>
      </w:r>
    </w:p>
    <w:p w:rsidR="003512C5" w:rsidRPr="00FA3973" w:rsidRDefault="003512C5" w:rsidP="003E0E63">
      <w:pPr>
        <w:rPr>
          <w:rFonts w:ascii="Arial" w:hAnsi="Arial" w:cs="Arial"/>
          <w:szCs w:val="24"/>
        </w:rPr>
        <w:sectPr w:rsidR="003512C5" w:rsidRPr="00FA3973" w:rsidSect="00173BAE">
          <w:headerReference w:type="default" r:id="rId17"/>
          <w:pgSz w:w="12240" w:h="15840" w:code="1"/>
          <w:pgMar w:top="1440" w:right="1800" w:bottom="1440" w:left="1800" w:header="720" w:footer="720" w:gutter="0"/>
          <w:pgNumType w:start="1"/>
          <w:cols w:space="720"/>
          <w:titlePg/>
          <w:docGrid w:linePitch="360"/>
        </w:sectPr>
      </w:pPr>
    </w:p>
    <w:p w:rsidR="003512C5" w:rsidRPr="00FA3973" w:rsidRDefault="003512C5" w:rsidP="003512C5">
      <w:pPr>
        <w:pStyle w:val="Paragraph"/>
        <w:tabs>
          <w:tab w:val="clear" w:pos="720"/>
          <w:tab w:val="num" w:pos="1800"/>
        </w:tabs>
        <w:spacing w:afterLines="80" w:after="192"/>
        <w:ind w:left="-540" w:firstLine="0"/>
        <w:rPr>
          <w:rFonts w:ascii="Arial" w:hAnsi="Arial" w:cs="Arial"/>
          <w:szCs w:val="24"/>
        </w:rPr>
      </w:pPr>
      <w:r w:rsidRPr="00FA3973">
        <w:rPr>
          <w:rFonts w:ascii="Arial" w:hAnsi="Arial" w:cs="Arial"/>
          <w:szCs w:val="24"/>
        </w:rPr>
        <w:lastRenderedPageBreak/>
        <w:t>Annex I</w:t>
      </w:r>
      <w:r w:rsidR="004B5334">
        <w:rPr>
          <w:rFonts w:ascii="Arial" w:hAnsi="Arial" w:cs="Arial"/>
          <w:szCs w:val="24"/>
        </w:rPr>
        <w:t>I</w:t>
      </w:r>
      <w:r w:rsidRPr="00FA3973">
        <w:rPr>
          <w:rFonts w:ascii="Arial" w:hAnsi="Arial" w:cs="Arial"/>
          <w:szCs w:val="24"/>
        </w:rPr>
        <w:t xml:space="preserve">. Detailed </w:t>
      </w:r>
      <w:r w:rsidR="00EA595B" w:rsidRPr="00FA3973">
        <w:rPr>
          <w:rFonts w:ascii="Arial" w:hAnsi="Arial" w:cs="Arial"/>
          <w:szCs w:val="24"/>
        </w:rPr>
        <w:t xml:space="preserve">calculations for </w:t>
      </w:r>
      <w:r w:rsidRPr="00FA3973">
        <w:rPr>
          <w:rFonts w:ascii="Arial" w:hAnsi="Arial" w:cs="Arial"/>
          <w:szCs w:val="24"/>
        </w:rPr>
        <w:t>program cash flows</w:t>
      </w:r>
    </w:p>
    <w:p w:rsidR="00AC47DE" w:rsidRPr="00FA3973" w:rsidRDefault="007B73CF" w:rsidP="003512C5">
      <w:pPr>
        <w:pStyle w:val="Paragraph"/>
        <w:tabs>
          <w:tab w:val="clear" w:pos="720"/>
          <w:tab w:val="num" w:pos="1800"/>
        </w:tabs>
        <w:spacing w:afterLines="80" w:after="192"/>
        <w:ind w:left="-540" w:firstLine="0"/>
        <w:rPr>
          <w:rFonts w:ascii="Arial" w:hAnsi="Arial" w:cs="Arial"/>
          <w:szCs w:val="24"/>
        </w:rPr>
      </w:pPr>
      <w:r w:rsidRPr="007B73CF">
        <w:rPr>
          <w:noProof/>
        </w:rPr>
        <w:drawing>
          <wp:inline distT="0" distB="0" distL="0" distR="0" wp14:anchorId="31B3AF48" wp14:editId="555818F3">
            <wp:extent cx="9203999" cy="3968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0743" cy="3971059"/>
                    </a:xfrm>
                    <a:prstGeom prst="rect">
                      <a:avLst/>
                    </a:prstGeom>
                    <a:noFill/>
                    <a:ln>
                      <a:noFill/>
                    </a:ln>
                  </pic:spPr>
                </pic:pic>
              </a:graphicData>
            </a:graphic>
          </wp:inline>
        </w:drawing>
      </w:r>
    </w:p>
    <w:sectPr w:rsidR="00AC47DE" w:rsidRPr="00FA3973" w:rsidSect="003512C5">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EF" w:rsidRDefault="007915EF" w:rsidP="000B2B08">
      <w:pPr>
        <w:spacing w:after="0" w:line="240" w:lineRule="auto"/>
      </w:pPr>
      <w:r>
        <w:separator/>
      </w:r>
    </w:p>
  </w:endnote>
  <w:endnote w:type="continuationSeparator" w:id="0">
    <w:p w:rsidR="007915EF" w:rsidRDefault="007915EF" w:rsidP="000B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EF" w:rsidRDefault="007915EF" w:rsidP="000B2B08">
      <w:pPr>
        <w:spacing w:after="0" w:line="240" w:lineRule="auto"/>
      </w:pPr>
      <w:r>
        <w:separator/>
      </w:r>
    </w:p>
  </w:footnote>
  <w:footnote w:type="continuationSeparator" w:id="0">
    <w:p w:rsidR="007915EF" w:rsidRDefault="007915EF" w:rsidP="000B2B08">
      <w:pPr>
        <w:spacing w:after="0" w:line="240" w:lineRule="auto"/>
      </w:pPr>
      <w:r>
        <w:continuationSeparator/>
      </w:r>
    </w:p>
  </w:footnote>
  <w:footnote w:id="1">
    <w:p w:rsidR="003B6094" w:rsidRPr="001A09CA" w:rsidRDefault="003B6094" w:rsidP="00E86966">
      <w:pPr>
        <w:pStyle w:val="FootnoteText"/>
        <w:spacing w:after="0"/>
        <w:rPr>
          <w:rFonts w:ascii="Arial" w:hAnsi="Arial"/>
          <w:lang w:val="es-BO"/>
        </w:rPr>
      </w:pPr>
      <w:r w:rsidRPr="001A09CA">
        <w:rPr>
          <w:rStyle w:val="FootnoteReference"/>
          <w:rFonts w:ascii="Arial" w:hAnsi="Arial" w:cs="Arial"/>
          <w:szCs w:val="18"/>
        </w:rPr>
        <w:footnoteRef/>
      </w:r>
      <w:r>
        <w:rPr>
          <w:rFonts w:ascii="Arial" w:hAnsi="Arial"/>
          <w:lang w:val="es-BO"/>
        </w:rPr>
        <w:t xml:space="preserve"> </w:t>
      </w:r>
      <w:r w:rsidRPr="007E422E">
        <w:rPr>
          <w:rFonts w:ascii="Arial" w:hAnsi="Arial" w:cs="Arial"/>
          <w:sz w:val="22"/>
          <w:lang w:val="es-ES_tradnl"/>
        </w:rPr>
        <w:tab/>
      </w:r>
      <w:r w:rsidRPr="001A09CA">
        <w:rPr>
          <w:rFonts w:ascii="Arial" w:hAnsi="Arial"/>
          <w:lang w:val="es-BO"/>
        </w:rPr>
        <w:t>“</w:t>
      </w:r>
      <w:r w:rsidRPr="001A09CA">
        <w:rPr>
          <w:rFonts w:ascii="Arial" w:hAnsi="Arial"/>
          <w:i/>
          <w:lang w:val="es-BO"/>
        </w:rPr>
        <w:t>Documento de Marco Sectorial de Respaldo para PyME, Acceso y Supervisión Financieros</w:t>
      </w:r>
      <w:r w:rsidRPr="001A09CA">
        <w:rPr>
          <w:rFonts w:ascii="Arial" w:hAnsi="Arial"/>
          <w:lang w:val="es-BO"/>
        </w:rPr>
        <w:t>” (</w:t>
      </w:r>
      <w:r>
        <w:rPr>
          <w:rFonts w:ascii="Arial" w:hAnsi="Arial"/>
          <w:lang w:val="es-BO"/>
        </w:rPr>
        <w:t>IDB</w:t>
      </w:r>
      <w:r w:rsidRPr="001A09CA">
        <w:rPr>
          <w:rFonts w:ascii="Arial" w:hAnsi="Arial"/>
          <w:lang w:val="es-BO"/>
        </w:rPr>
        <w:t>, GN</w:t>
      </w:r>
      <w:r w:rsidRPr="001A09CA">
        <w:rPr>
          <w:rFonts w:ascii="Arial" w:hAnsi="Arial" w:cs="Arial"/>
          <w:lang w:val="es-BO"/>
        </w:rPr>
        <w:t>˗</w:t>
      </w:r>
      <w:r w:rsidRPr="001A09CA">
        <w:rPr>
          <w:rFonts w:ascii="Arial" w:hAnsi="Arial"/>
          <w:lang w:val="es-BO"/>
        </w:rPr>
        <w:t>2768).</w:t>
      </w:r>
    </w:p>
  </w:footnote>
  <w:footnote w:id="2">
    <w:p w:rsidR="003B6094" w:rsidRPr="001A09CA" w:rsidRDefault="003B6094" w:rsidP="00281172">
      <w:pPr>
        <w:pStyle w:val="FootnoteText"/>
        <w:spacing w:after="0"/>
        <w:rPr>
          <w:rFonts w:ascii="Arial" w:hAnsi="Arial" w:cs="Arial"/>
        </w:rPr>
      </w:pPr>
      <w:r w:rsidRPr="001A09CA">
        <w:rPr>
          <w:rStyle w:val="FootnoteReference"/>
          <w:rFonts w:ascii="Arial" w:hAnsi="Arial" w:cs="Arial"/>
        </w:rPr>
        <w:footnoteRef/>
      </w:r>
      <w:r w:rsidRPr="001A09CA">
        <w:rPr>
          <w:rFonts w:ascii="Arial" w:hAnsi="Arial" w:cs="Arial"/>
        </w:rPr>
        <w:t xml:space="preserve"> </w:t>
      </w:r>
      <w:r>
        <w:rPr>
          <w:rFonts w:ascii="Arial" w:hAnsi="Arial" w:cs="Arial"/>
        </w:rPr>
        <w:tab/>
        <w:t xml:space="preserve">The concept of ARE excludes large hydro. </w:t>
      </w:r>
      <w:r w:rsidRPr="001A09CA">
        <w:rPr>
          <w:rFonts w:ascii="Arial" w:hAnsi="Arial" w:cs="Arial"/>
        </w:rPr>
        <w:t xml:space="preserve">It is expected that </w:t>
      </w:r>
      <w:r>
        <w:rPr>
          <w:rFonts w:ascii="Arial" w:hAnsi="Arial" w:cs="Arial"/>
        </w:rPr>
        <w:t>A</w:t>
      </w:r>
      <w:r w:rsidRPr="001A09CA">
        <w:rPr>
          <w:rFonts w:ascii="Arial" w:hAnsi="Arial" w:cs="Arial"/>
        </w:rPr>
        <w:t>RE proje</w:t>
      </w:r>
      <w:r>
        <w:rPr>
          <w:rFonts w:ascii="Arial" w:hAnsi="Arial" w:cs="Arial"/>
        </w:rPr>
        <w:t xml:space="preserve">cts in the portfolio will use </w:t>
      </w:r>
      <w:r w:rsidRPr="001A09CA">
        <w:rPr>
          <w:rFonts w:ascii="Arial" w:hAnsi="Arial" w:cs="Arial"/>
        </w:rPr>
        <w:t>wind and solar technologies.</w:t>
      </w:r>
      <w:r>
        <w:rPr>
          <w:rFonts w:ascii="Arial" w:hAnsi="Arial" w:cs="Arial"/>
        </w:rPr>
        <w:t xml:space="preserve"> Small hydro is not eligible for the program.</w:t>
      </w:r>
    </w:p>
  </w:footnote>
  <w:footnote w:id="3">
    <w:p w:rsidR="003B6094" w:rsidRPr="00FA3973" w:rsidRDefault="003B6094">
      <w:pPr>
        <w:pStyle w:val="FootnoteText"/>
        <w:rPr>
          <w:rFonts w:ascii="Arial" w:hAnsi="Arial" w:cs="Arial"/>
          <w:sz w:val="18"/>
          <w:szCs w:val="18"/>
        </w:rPr>
      </w:pPr>
      <w:r w:rsidRPr="00FA3973">
        <w:rPr>
          <w:rStyle w:val="FootnoteReference"/>
          <w:rFonts w:ascii="Arial" w:hAnsi="Arial" w:cs="Arial"/>
          <w:sz w:val="18"/>
          <w:szCs w:val="18"/>
        </w:rPr>
        <w:footnoteRef/>
      </w:r>
      <w:r w:rsidRPr="00FA3973">
        <w:rPr>
          <w:rFonts w:ascii="Arial" w:hAnsi="Arial" w:cs="Arial"/>
          <w:sz w:val="18"/>
          <w:szCs w:val="18"/>
        </w:rPr>
        <w:t xml:space="preserve"> </w:t>
      </w:r>
      <w:r w:rsidR="005628F5">
        <w:rPr>
          <w:rFonts w:ascii="Arial" w:hAnsi="Arial" w:cs="Arial"/>
          <w:sz w:val="18"/>
          <w:szCs w:val="18"/>
        </w:rPr>
        <w:tab/>
      </w:r>
      <w:r w:rsidRPr="00FA3973">
        <w:rPr>
          <w:rFonts w:ascii="Arial" w:hAnsi="Arial" w:cs="Arial"/>
          <w:sz w:val="18"/>
          <w:szCs w:val="18"/>
        </w:rPr>
        <w:t>For practical purposes, the analysis uses aggregated data for the accounting of benefits over time, based on the construction of a portfolio of projects and the characteristics of a representative beneficiary firm for each type of project.</w:t>
      </w:r>
    </w:p>
  </w:footnote>
  <w:footnote w:id="4">
    <w:p w:rsidR="003B6094" w:rsidRPr="003E0E63" w:rsidRDefault="003B6094" w:rsidP="003E0E63">
      <w:pPr>
        <w:pStyle w:val="FootnoteText"/>
        <w:spacing w:after="0"/>
        <w:rPr>
          <w:rFonts w:ascii="Arial" w:hAnsi="Arial" w:cs="Arial"/>
          <w:sz w:val="18"/>
          <w:szCs w:val="18"/>
        </w:rPr>
      </w:pPr>
      <w:r w:rsidRPr="003E0E63">
        <w:rPr>
          <w:rStyle w:val="FootnoteReference"/>
          <w:rFonts w:ascii="Arial" w:hAnsi="Arial" w:cs="Arial"/>
          <w:sz w:val="18"/>
          <w:szCs w:val="18"/>
        </w:rPr>
        <w:footnoteRef/>
      </w:r>
      <w:r w:rsidRPr="003E0E63">
        <w:rPr>
          <w:rFonts w:ascii="Arial" w:hAnsi="Arial" w:cs="Arial"/>
          <w:sz w:val="18"/>
          <w:szCs w:val="18"/>
        </w:rPr>
        <w:t xml:space="preserve"> </w:t>
      </w:r>
      <w:r w:rsidRPr="003E0E63">
        <w:rPr>
          <w:rFonts w:ascii="Arial" w:hAnsi="Arial" w:cs="Arial"/>
          <w:sz w:val="18"/>
          <w:szCs w:val="18"/>
        </w:rPr>
        <w:tab/>
      </w:r>
      <w:r w:rsidRPr="003E0E63">
        <w:rPr>
          <w:rFonts w:ascii="Arial" w:hAnsi="Arial" w:cs="Arial"/>
          <w:bCs/>
          <w:sz w:val="18"/>
          <w:szCs w:val="18"/>
        </w:rPr>
        <w:t xml:space="preserve">By definition, </w:t>
      </w:r>
      <w:r w:rsidRPr="00DC2B96">
        <w:rPr>
          <w:rFonts w:ascii="Arial" w:hAnsi="Arial" w:cs="Arial"/>
          <w:bCs/>
          <w:sz w:val="18"/>
          <w:szCs w:val="18"/>
        </w:rPr>
        <w:t>t</w:t>
      </w:r>
      <w:r w:rsidRPr="003E0E63">
        <w:rPr>
          <w:rFonts w:ascii="Arial" w:hAnsi="Arial" w:cs="Arial"/>
          <w:bCs/>
          <w:sz w:val="18"/>
          <w:szCs w:val="18"/>
        </w:rPr>
        <w:t xml:space="preserve">he marginal cost of the </w:t>
      </w:r>
      <w:r w:rsidRPr="00DC2B96">
        <w:rPr>
          <w:rFonts w:ascii="Arial" w:hAnsi="Arial" w:cs="Arial"/>
          <w:bCs/>
          <w:sz w:val="18"/>
          <w:szCs w:val="18"/>
        </w:rPr>
        <w:t>system</w:t>
      </w:r>
      <w:r w:rsidRPr="003E0E63">
        <w:rPr>
          <w:rFonts w:ascii="Arial" w:hAnsi="Arial" w:cs="Arial"/>
          <w:bCs/>
          <w:sz w:val="18"/>
          <w:szCs w:val="18"/>
        </w:rPr>
        <w:t xml:space="preserve"> represents </w:t>
      </w:r>
      <w:r w:rsidRPr="00DC2B96">
        <w:rPr>
          <w:rFonts w:ascii="Arial" w:hAnsi="Arial" w:cs="Arial"/>
          <w:bCs/>
          <w:sz w:val="18"/>
          <w:szCs w:val="18"/>
        </w:rPr>
        <w:t>t</w:t>
      </w:r>
      <w:r w:rsidRPr="003E0E63">
        <w:rPr>
          <w:rFonts w:ascii="Arial" w:hAnsi="Arial" w:cs="Arial"/>
          <w:bCs/>
          <w:sz w:val="18"/>
          <w:szCs w:val="18"/>
        </w:rPr>
        <w:t xml:space="preserve">he variation of the operating cost required to meet </w:t>
      </w:r>
      <w:r w:rsidRPr="00DC2B96">
        <w:rPr>
          <w:rFonts w:ascii="Arial" w:hAnsi="Arial" w:cs="Arial"/>
          <w:bCs/>
          <w:sz w:val="18"/>
          <w:szCs w:val="18"/>
        </w:rPr>
        <w:t xml:space="preserve">one </w:t>
      </w:r>
      <w:r w:rsidRPr="003E0E63">
        <w:rPr>
          <w:rFonts w:ascii="Arial" w:hAnsi="Arial" w:cs="Arial"/>
          <w:bCs/>
          <w:sz w:val="18"/>
          <w:szCs w:val="18"/>
        </w:rPr>
        <w:t>additional MWh of demand, using existing resources.</w:t>
      </w:r>
      <w:r w:rsidRPr="00DC2B96">
        <w:rPr>
          <w:rFonts w:ascii="Arial" w:hAnsi="Arial" w:cs="Arial"/>
          <w:bCs/>
          <w:sz w:val="18"/>
          <w:szCs w:val="18"/>
        </w:rPr>
        <w:t xml:space="preserve"> The analysis considers that without the program, the energy not supplied by ARE sources would need to be supplied by </w:t>
      </w:r>
      <w:r w:rsidRPr="003E0E63">
        <w:rPr>
          <w:rFonts w:ascii="Arial" w:hAnsi="Arial" w:cs="Arial"/>
          <w:bCs/>
          <w:sz w:val="18"/>
          <w:szCs w:val="18"/>
        </w:rPr>
        <w:t xml:space="preserve">other energy sources (at a marginal cost for the system). It is worth emphasizing that the analysis is made from the point of view of the electricity system, which in the absence of ARE developments, would need to provide the same amount of energy with a marginal cost. </w:t>
      </w:r>
    </w:p>
  </w:footnote>
  <w:footnote w:id="5">
    <w:p w:rsidR="003B6094" w:rsidRPr="003E0E63" w:rsidRDefault="003B6094" w:rsidP="00DC2B96">
      <w:pPr>
        <w:pStyle w:val="FootnoteText"/>
        <w:spacing w:after="0"/>
        <w:rPr>
          <w:rFonts w:ascii="Arial" w:hAnsi="Arial" w:cs="Arial"/>
          <w:bCs/>
          <w:sz w:val="18"/>
          <w:szCs w:val="18"/>
        </w:rPr>
      </w:pPr>
      <w:r w:rsidRPr="00DC2B96">
        <w:rPr>
          <w:rStyle w:val="FootnoteReference"/>
          <w:rFonts w:ascii="Arial" w:hAnsi="Arial" w:cs="Arial"/>
          <w:sz w:val="18"/>
          <w:szCs w:val="18"/>
        </w:rPr>
        <w:footnoteRef/>
      </w:r>
      <w:r w:rsidRPr="00DC2B96">
        <w:rPr>
          <w:rFonts w:ascii="Arial" w:hAnsi="Arial" w:cs="Arial"/>
          <w:sz w:val="18"/>
          <w:szCs w:val="18"/>
        </w:rPr>
        <w:t xml:space="preserve">    W</w:t>
      </w:r>
      <w:r w:rsidRPr="00DC2B96">
        <w:rPr>
          <w:rFonts w:ascii="Arial" w:hAnsi="Arial" w:cs="Arial"/>
          <w:bCs/>
          <w:sz w:val="18"/>
          <w:szCs w:val="18"/>
        </w:rPr>
        <w:t>ithout the program, the lack of financing would also affect the overall ARE investments in the medium term in the country, as the supply chain of ARE technology providers would be affected by the lack of investment, generating shortfalls in supplies of equipment, and less investors in ARE projects would be attracted to the</w:t>
      </w:r>
      <w:r w:rsidRPr="003E0E63">
        <w:rPr>
          <w:rFonts w:ascii="Arial" w:hAnsi="Arial" w:cs="Arial"/>
          <w:bCs/>
          <w:sz w:val="18"/>
          <w:szCs w:val="18"/>
        </w:rPr>
        <w:t xml:space="preserve"> market. As a result, in this scenario it is assumed that the proportion of ARE in the matrix does not grow.</w:t>
      </w:r>
    </w:p>
  </w:footnote>
  <w:footnote w:id="6">
    <w:p w:rsidR="003B6094" w:rsidRDefault="003B6094" w:rsidP="003E0E63">
      <w:pPr>
        <w:pStyle w:val="FootnoteText"/>
        <w:spacing w:after="0"/>
      </w:pPr>
      <w:r w:rsidRPr="003E0E63">
        <w:rPr>
          <w:rStyle w:val="FootnoteReference"/>
          <w:rFonts w:ascii="Arial" w:hAnsi="Arial" w:cs="Arial"/>
          <w:sz w:val="18"/>
          <w:szCs w:val="18"/>
        </w:rPr>
        <w:footnoteRef/>
      </w:r>
      <w:r w:rsidRPr="003E0E63">
        <w:rPr>
          <w:rFonts w:ascii="Arial" w:hAnsi="Arial" w:cs="Arial"/>
          <w:sz w:val="18"/>
          <w:szCs w:val="18"/>
        </w:rPr>
        <w:t xml:space="preserve"> </w:t>
      </w:r>
      <w:r w:rsidRPr="003E0E63">
        <w:rPr>
          <w:rFonts w:ascii="Arial" w:hAnsi="Arial" w:cs="Arial"/>
          <w:sz w:val="18"/>
          <w:szCs w:val="18"/>
        </w:rPr>
        <w:tab/>
      </w:r>
      <w:r w:rsidRPr="003E0E63">
        <w:rPr>
          <w:rFonts w:ascii="Arial" w:hAnsi="Arial" w:cs="Arial"/>
          <w:bCs/>
          <w:sz w:val="18"/>
          <w:szCs w:val="18"/>
        </w:rPr>
        <w:t xml:space="preserve">A more </w:t>
      </w:r>
      <w:r w:rsidRPr="00DC2B96">
        <w:rPr>
          <w:rFonts w:ascii="Arial" w:hAnsi="Arial" w:cs="Arial"/>
          <w:bCs/>
          <w:sz w:val="18"/>
          <w:szCs w:val="18"/>
        </w:rPr>
        <w:t>pessimistic</w:t>
      </w:r>
      <w:r w:rsidRPr="003E0E63">
        <w:rPr>
          <w:rFonts w:ascii="Arial" w:hAnsi="Arial" w:cs="Arial"/>
          <w:bCs/>
          <w:sz w:val="18"/>
          <w:szCs w:val="18"/>
        </w:rPr>
        <w:t xml:space="preserve"> </w:t>
      </w:r>
      <w:r w:rsidRPr="00DC2B96">
        <w:rPr>
          <w:rFonts w:ascii="Arial" w:hAnsi="Arial" w:cs="Arial"/>
          <w:bCs/>
          <w:sz w:val="18"/>
          <w:szCs w:val="18"/>
        </w:rPr>
        <w:t>assumption</w:t>
      </w:r>
      <w:r w:rsidRPr="003E0E63">
        <w:rPr>
          <w:rFonts w:ascii="Arial" w:hAnsi="Arial" w:cs="Arial"/>
          <w:bCs/>
          <w:sz w:val="18"/>
          <w:szCs w:val="18"/>
        </w:rPr>
        <w:t xml:space="preserve"> would be that in the absence of the program, no energy is provided to the system</w:t>
      </w:r>
      <w:r w:rsidRPr="00DC2B96">
        <w:rPr>
          <w:rFonts w:ascii="Arial" w:hAnsi="Arial" w:cs="Arial"/>
          <w:bCs/>
          <w:sz w:val="18"/>
          <w:szCs w:val="18"/>
        </w:rPr>
        <w:t>, and as a result there is a need for restrictions in energy supply. The cost of energy not supplied in the Brazilian system is approximately R$3</w:t>
      </w:r>
      <w:r w:rsidRPr="003E0E63">
        <w:rPr>
          <w:rFonts w:ascii="Arial" w:hAnsi="Arial" w:cs="Arial"/>
          <w:bCs/>
          <w:sz w:val="18"/>
          <w:szCs w:val="18"/>
        </w:rPr>
        <w:t>.000/MWh, which would make the program extremely viable from an economic perspective.</w:t>
      </w:r>
      <w:r w:rsidRPr="00DC2B96">
        <w:rPr>
          <w:rFonts w:ascii="Arial" w:hAnsi="Arial" w:cs="Arial"/>
          <w:bCs/>
          <w:sz w:val="18"/>
          <w:szCs w:val="18"/>
        </w:rPr>
        <w:t xml:space="preserve"> This scenario is not considered, as currently the Brazilian electricity sector is structured and regulated in order to guarantee that all demand is covered.</w:t>
      </w:r>
      <w:r>
        <w:rPr>
          <w:rFonts w:ascii="Arial" w:hAnsi="Arial" w:cs="Arial"/>
          <w:bCs/>
          <w:sz w:val="18"/>
          <w:szCs w:val="18"/>
        </w:rPr>
        <w:t xml:space="preserve"> </w:t>
      </w:r>
      <w:r>
        <w:t xml:space="preserve"> </w:t>
      </w:r>
    </w:p>
  </w:footnote>
  <w:footnote w:id="7">
    <w:p w:rsidR="003B6094" w:rsidRPr="003E0E63" w:rsidRDefault="003B6094" w:rsidP="003E0E63">
      <w:pPr>
        <w:pStyle w:val="FootnoteText"/>
        <w:spacing w:after="0"/>
        <w:rPr>
          <w:rFonts w:ascii="Arial" w:hAnsi="Arial" w:cs="Arial"/>
          <w:sz w:val="18"/>
          <w:szCs w:val="18"/>
        </w:rPr>
      </w:pPr>
      <w:r w:rsidRPr="00DC2B96">
        <w:rPr>
          <w:rFonts w:ascii="Arial" w:hAnsi="Arial" w:cs="Arial"/>
          <w:bCs/>
          <w:sz w:val="18"/>
          <w:szCs w:val="18"/>
          <w:vertAlign w:val="superscript"/>
        </w:rPr>
        <w:footnoteRef/>
      </w:r>
      <w:r w:rsidRPr="00DC2B96">
        <w:rPr>
          <w:rFonts w:ascii="Arial" w:hAnsi="Arial" w:cs="Arial"/>
          <w:bCs/>
          <w:sz w:val="18"/>
          <w:szCs w:val="18"/>
        </w:rPr>
        <w:t xml:space="preserve">    The emissions rate of the current electricity mix is 115 kgCO2/MWh, while the cleanest thermal generators have emissions factor of aro</w:t>
      </w:r>
      <w:r w:rsidRPr="003E0E63">
        <w:rPr>
          <w:rFonts w:ascii="Arial" w:hAnsi="Arial" w:cs="Arial"/>
          <w:bCs/>
          <w:sz w:val="18"/>
          <w:szCs w:val="18"/>
        </w:rPr>
        <w:t>und  300 tonCO2/MWh.</w:t>
      </w:r>
    </w:p>
  </w:footnote>
  <w:footnote w:id="8">
    <w:p w:rsidR="003B6094" w:rsidRPr="003E0E63" w:rsidRDefault="003B6094" w:rsidP="00DC2B96">
      <w:pPr>
        <w:pStyle w:val="FootnoteText"/>
        <w:spacing w:after="0"/>
        <w:rPr>
          <w:rFonts w:ascii="Arial" w:hAnsi="Arial" w:cs="Arial"/>
          <w:sz w:val="18"/>
          <w:szCs w:val="18"/>
        </w:rPr>
      </w:pPr>
      <w:r w:rsidRPr="00DC2B96">
        <w:rPr>
          <w:rStyle w:val="FootnoteReference"/>
          <w:rFonts w:ascii="Arial" w:hAnsi="Arial" w:cs="Arial"/>
          <w:sz w:val="18"/>
          <w:szCs w:val="18"/>
        </w:rPr>
        <w:footnoteRef/>
      </w:r>
      <w:r w:rsidRPr="00DC2B96">
        <w:rPr>
          <w:rFonts w:ascii="Arial" w:hAnsi="Arial" w:cs="Arial"/>
          <w:sz w:val="18"/>
          <w:szCs w:val="18"/>
        </w:rPr>
        <w:t xml:space="preserve"> </w:t>
      </w:r>
      <w:r w:rsidRPr="003E0E63">
        <w:rPr>
          <w:rFonts w:ascii="Arial" w:hAnsi="Arial" w:cs="Arial"/>
          <w:sz w:val="18"/>
          <w:szCs w:val="18"/>
        </w:rPr>
        <w:t>   The capacity factor is based on historical production for each technology in Brasil.</w:t>
      </w:r>
    </w:p>
  </w:footnote>
  <w:footnote w:id="9">
    <w:p w:rsidR="003B6094" w:rsidRPr="003E0E63" w:rsidRDefault="003B6094" w:rsidP="003E0E63">
      <w:pPr>
        <w:pStyle w:val="FootnoteText"/>
        <w:spacing w:after="0"/>
        <w:rPr>
          <w:rFonts w:ascii="Arial" w:hAnsi="Arial" w:cs="Arial"/>
          <w:sz w:val="18"/>
          <w:szCs w:val="18"/>
        </w:rPr>
      </w:pPr>
      <w:r w:rsidRPr="003E0E63">
        <w:rPr>
          <w:rStyle w:val="FootnoteReference"/>
          <w:rFonts w:ascii="Arial" w:hAnsi="Arial" w:cs="Arial"/>
          <w:sz w:val="18"/>
          <w:szCs w:val="18"/>
        </w:rPr>
        <w:footnoteRef/>
      </w:r>
      <w:r w:rsidRPr="003E0E63">
        <w:rPr>
          <w:rFonts w:ascii="Arial" w:hAnsi="Arial" w:cs="Arial"/>
          <w:sz w:val="18"/>
          <w:szCs w:val="18"/>
        </w:rPr>
        <w:t xml:space="preserve"> </w:t>
      </w:r>
      <w:r w:rsidRPr="003E0E63">
        <w:rPr>
          <w:rFonts w:ascii="Arial" w:hAnsi="Arial" w:cs="Arial"/>
          <w:sz w:val="18"/>
          <w:szCs w:val="18"/>
        </w:rPr>
        <w:tab/>
      </w:r>
      <w:r w:rsidRPr="003E0E63">
        <w:rPr>
          <w:rFonts w:ascii="Arial" w:hAnsi="Arial" w:cs="Arial"/>
          <w:bCs/>
          <w:sz w:val="18"/>
          <w:szCs w:val="18"/>
        </w:rPr>
        <w:t>The spot price in Brazil (named “PLD price”) is used as a proxy for the system</w:t>
      </w:r>
      <w:r w:rsidRPr="00DC2B96">
        <w:rPr>
          <w:rFonts w:ascii="Arial" w:hAnsi="Arial" w:cs="Arial"/>
          <w:bCs/>
          <w:sz w:val="18"/>
          <w:szCs w:val="18"/>
        </w:rPr>
        <w:t>’</w:t>
      </w:r>
      <w:r w:rsidRPr="003E0E63">
        <w:rPr>
          <w:rFonts w:ascii="Arial" w:hAnsi="Arial" w:cs="Arial"/>
          <w:bCs/>
          <w:sz w:val="18"/>
          <w:szCs w:val="18"/>
        </w:rPr>
        <w:t xml:space="preserve">s marginal generation cost. .A </w:t>
      </w:r>
      <w:r w:rsidRPr="00DC2B96">
        <w:rPr>
          <w:rFonts w:ascii="Arial" w:hAnsi="Arial" w:cs="Arial"/>
          <w:bCs/>
          <w:sz w:val="18"/>
          <w:szCs w:val="18"/>
        </w:rPr>
        <w:t>five</w:t>
      </w:r>
      <w:r w:rsidRPr="003E0E63">
        <w:rPr>
          <w:rFonts w:ascii="Arial" w:hAnsi="Arial" w:cs="Arial"/>
          <w:bCs/>
          <w:sz w:val="18"/>
          <w:szCs w:val="18"/>
        </w:rPr>
        <w:t xml:space="preserve"> year average of the PLD price is used</w:t>
      </w:r>
      <w:r w:rsidRPr="00DC2B96">
        <w:rPr>
          <w:rFonts w:ascii="Arial" w:hAnsi="Arial" w:cs="Arial"/>
          <w:bCs/>
          <w:sz w:val="18"/>
          <w:szCs w:val="18"/>
        </w:rPr>
        <w:t xml:space="preserve">, as </w:t>
      </w:r>
      <w:r w:rsidRPr="003E0E63">
        <w:rPr>
          <w:rFonts w:ascii="Arial" w:hAnsi="Arial" w:cs="Arial"/>
          <w:bCs/>
          <w:sz w:val="18"/>
          <w:szCs w:val="18"/>
        </w:rPr>
        <w:t>this is the best representation of the current situation of the system (see Annex I).</w:t>
      </w:r>
      <w:r w:rsidRPr="003E0E63">
        <w:rPr>
          <w:rFonts w:ascii="Arial" w:hAnsi="Arial" w:cs="Arial"/>
          <w:sz w:val="18"/>
          <w:szCs w:val="18"/>
        </w:rPr>
        <w:t xml:space="preserve">    </w:t>
      </w:r>
    </w:p>
  </w:footnote>
  <w:footnote w:id="10">
    <w:p w:rsidR="003B6094" w:rsidRPr="00DC2B96" w:rsidRDefault="003B6094" w:rsidP="00DC2B96">
      <w:pPr>
        <w:spacing w:after="0" w:line="240" w:lineRule="auto"/>
        <w:ind w:left="274" w:hanging="274"/>
        <w:jc w:val="both"/>
        <w:rPr>
          <w:rFonts w:ascii="Arial" w:hAnsi="Arial" w:cs="Arial"/>
          <w:sz w:val="18"/>
          <w:szCs w:val="18"/>
          <w:lang w:val="es-ES"/>
        </w:rPr>
      </w:pPr>
      <w:r w:rsidRPr="00DC2B96">
        <w:rPr>
          <w:rStyle w:val="FootnoteReference"/>
          <w:rFonts w:ascii="Arial" w:hAnsi="Arial" w:cs="Arial"/>
          <w:sz w:val="18"/>
          <w:szCs w:val="18"/>
        </w:rPr>
        <w:footnoteRef/>
      </w:r>
      <w:r w:rsidRPr="00DC2B96">
        <w:rPr>
          <w:rStyle w:val="FootnoteReference"/>
          <w:rFonts w:ascii="Arial" w:hAnsi="Arial" w:cs="Arial"/>
          <w:sz w:val="18"/>
          <w:szCs w:val="18"/>
          <w:lang w:val="es-BO"/>
        </w:rPr>
        <w:t xml:space="preserve"> </w:t>
      </w:r>
      <w:r w:rsidRPr="003E0E63">
        <w:rPr>
          <w:rFonts w:ascii="Arial" w:hAnsi="Arial" w:cs="Arial"/>
          <w:sz w:val="18"/>
          <w:szCs w:val="18"/>
          <w:lang w:val="es-BO"/>
        </w:rPr>
        <w:t xml:space="preserve"> </w:t>
      </w:r>
      <w:r w:rsidRPr="003E0E63">
        <w:rPr>
          <w:rFonts w:ascii="Arial" w:hAnsi="Arial" w:cs="Arial"/>
          <w:sz w:val="18"/>
          <w:szCs w:val="18"/>
          <w:lang w:val="es-BO"/>
        </w:rPr>
        <w:tab/>
      </w:r>
      <w:r w:rsidRPr="003E0E63">
        <w:rPr>
          <w:rStyle w:val="FootnoteReference"/>
          <w:rFonts w:ascii="Arial" w:hAnsi="Arial" w:cs="Arial"/>
          <w:sz w:val="18"/>
          <w:szCs w:val="18"/>
          <w:vertAlign w:val="baseline"/>
          <w:lang w:val="es-BO"/>
        </w:rPr>
        <w:t>T</w:t>
      </w:r>
      <w:r w:rsidRPr="003E0E63">
        <w:rPr>
          <w:rFonts w:ascii="Arial" w:hAnsi="Arial" w:cs="Arial"/>
          <w:sz w:val="18"/>
          <w:szCs w:val="18"/>
          <w:lang w:val="es-BO"/>
        </w:rPr>
        <w:t xml:space="preserve">echnical note </w:t>
      </w:r>
      <w:r w:rsidRPr="003E0E63">
        <w:rPr>
          <w:rStyle w:val="FootnoteReference"/>
          <w:rFonts w:ascii="Arial" w:hAnsi="Arial" w:cs="Arial"/>
          <w:sz w:val="18"/>
          <w:szCs w:val="18"/>
          <w:vertAlign w:val="baseline"/>
          <w:lang w:val="es-BO"/>
        </w:rPr>
        <w:t xml:space="preserve">No. IDB-TN-623. </w:t>
      </w:r>
      <w:hyperlink r:id="rId1" w:history="1">
        <w:r w:rsidRPr="003E0E63">
          <w:rPr>
            <w:rStyle w:val="Hyperlink"/>
            <w:rFonts w:ascii="Arial" w:eastAsiaTheme="majorEastAsia" w:hAnsi="Arial" w:cs="Arial"/>
            <w:i/>
            <w:sz w:val="18"/>
            <w:szCs w:val="18"/>
            <w:lang w:val="es-ES"/>
          </w:rPr>
          <w:t>Beneficios para la sociedad de la adopción de fuentes renovables de energía en América Latina y el Caribe</w:t>
        </w:r>
      </w:hyperlink>
    </w:p>
  </w:footnote>
  <w:footnote w:id="11">
    <w:p w:rsidR="003B6094" w:rsidRPr="00043320" w:rsidRDefault="003B6094" w:rsidP="00FA3973">
      <w:pPr>
        <w:pStyle w:val="FootnoteText"/>
        <w:spacing w:after="0"/>
        <w:rPr>
          <w:rFonts w:ascii="Arial" w:hAnsi="Arial" w:cs="Arial"/>
        </w:rPr>
      </w:pPr>
      <w:r w:rsidRPr="00FA3973">
        <w:rPr>
          <w:rStyle w:val="FootnoteReference"/>
          <w:rFonts w:ascii="Arial" w:hAnsi="Arial" w:cs="Arial"/>
          <w:sz w:val="18"/>
          <w:szCs w:val="18"/>
        </w:rPr>
        <w:footnoteRef/>
      </w:r>
      <w:r w:rsidRPr="00FA3973">
        <w:rPr>
          <w:rFonts w:ascii="Arial" w:hAnsi="Arial" w:cs="Arial"/>
          <w:sz w:val="18"/>
          <w:szCs w:val="18"/>
        </w:rPr>
        <w:tab/>
        <w:t>For the purposes of the economic evaluation, energy efficiency projects are represented by co˗generation projects, in which an additional amount of energy is produced by power generation plants, and as a result, energy consumption from the grid is reduced. The ex-post economic evaluation will be based on the actual energy efficiency projects implemented, once the program is finished.</w:t>
      </w:r>
    </w:p>
  </w:footnote>
  <w:footnote w:id="12">
    <w:p w:rsidR="003B6094" w:rsidRPr="00FA3973" w:rsidRDefault="003B6094" w:rsidP="008236A7">
      <w:pPr>
        <w:pStyle w:val="FootnoteText"/>
        <w:spacing w:after="0"/>
        <w:ind w:left="270" w:hanging="270"/>
        <w:rPr>
          <w:rFonts w:ascii="Arial" w:hAnsi="Arial" w:cs="Arial"/>
          <w:sz w:val="18"/>
          <w:szCs w:val="18"/>
        </w:rPr>
      </w:pPr>
      <w:r w:rsidRPr="00FA3973">
        <w:rPr>
          <w:rStyle w:val="FootnoteReference"/>
          <w:rFonts w:ascii="Arial" w:hAnsi="Arial" w:cs="Arial"/>
          <w:sz w:val="18"/>
          <w:szCs w:val="18"/>
        </w:rPr>
        <w:footnoteRef/>
      </w:r>
      <w:r w:rsidRPr="00FA3973">
        <w:rPr>
          <w:rFonts w:ascii="Arial" w:hAnsi="Arial" w:cs="Arial"/>
          <w:sz w:val="18"/>
          <w:szCs w:val="18"/>
        </w:rPr>
        <w:t xml:space="preserve">  </w:t>
      </w:r>
      <w:r w:rsidRPr="00FA3973">
        <w:rPr>
          <w:rFonts w:ascii="Arial" w:hAnsi="Arial" w:cs="Arial"/>
          <w:sz w:val="18"/>
          <w:szCs w:val="18"/>
        </w:rPr>
        <w:tab/>
        <w:t>Following IDB guidelines for economic analysis of programs financed by the IDB, it is recommended to use a discount rate of 12% for all IDB operations.</w:t>
      </w:r>
    </w:p>
  </w:footnote>
  <w:footnote w:id="13">
    <w:p w:rsidR="003B6094" w:rsidRPr="001016A1" w:rsidRDefault="003B6094" w:rsidP="008236A7">
      <w:pPr>
        <w:pStyle w:val="FootnoteText"/>
        <w:tabs>
          <w:tab w:val="left" w:pos="180"/>
        </w:tabs>
        <w:spacing w:after="0"/>
        <w:ind w:left="270" w:hanging="270"/>
        <w:rPr>
          <w:rFonts w:ascii="Arial" w:hAnsi="Arial" w:cs="Arial"/>
          <w:sz w:val="18"/>
          <w:szCs w:val="18"/>
        </w:rPr>
      </w:pPr>
      <w:r w:rsidRPr="00FA3973">
        <w:rPr>
          <w:rStyle w:val="FootnoteReference"/>
          <w:rFonts w:ascii="Arial" w:hAnsi="Arial" w:cs="Arial"/>
          <w:sz w:val="18"/>
          <w:szCs w:val="18"/>
        </w:rPr>
        <w:footnoteRef/>
      </w:r>
      <w:r w:rsidRPr="00FA3973">
        <w:rPr>
          <w:rFonts w:ascii="Arial" w:hAnsi="Arial" w:cs="Arial"/>
          <w:sz w:val="18"/>
          <w:szCs w:val="18"/>
        </w:rPr>
        <w:t xml:space="preserve"> </w:t>
      </w:r>
      <w:r w:rsidRPr="00FA3973">
        <w:rPr>
          <w:rFonts w:ascii="Arial" w:hAnsi="Arial" w:cs="Arial"/>
          <w:sz w:val="18"/>
          <w:szCs w:val="18"/>
        </w:rPr>
        <w:tab/>
        <w:t>For ARE projects, the majority of projects are expected to be wind, and in less proportion solar. The average credit size for ARE projects is US$3</w:t>
      </w:r>
      <w:r>
        <w:rPr>
          <w:rFonts w:ascii="Arial" w:hAnsi="Arial" w:cs="Arial"/>
          <w:sz w:val="18"/>
          <w:szCs w:val="18"/>
        </w:rPr>
        <w:t>5</w:t>
      </w:r>
      <w:r w:rsidRPr="00FA3973">
        <w:rPr>
          <w:rFonts w:ascii="Arial" w:hAnsi="Arial" w:cs="Arial"/>
          <w:sz w:val="18"/>
          <w:szCs w:val="18"/>
        </w:rPr>
        <w:t xml:space="preserve"> million and covers 60% of total investment costs. This means that roughly 2</w:t>
      </w:r>
      <w:r>
        <w:rPr>
          <w:rFonts w:ascii="Arial" w:hAnsi="Arial" w:cs="Arial"/>
          <w:sz w:val="18"/>
          <w:szCs w:val="18"/>
        </w:rPr>
        <w:t>4</w:t>
      </w:r>
      <w:r w:rsidRPr="00FA3973">
        <w:rPr>
          <w:rFonts w:ascii="Arial" w:hAnsi="Arial" w:cs="Arial"/>
          <w:sz w:val="18"/>
          <w:szCs w:val="18"/>
        </w:rPr>
        <w:t xml:space="preserve"> ARE projects shall be included in the portfolio to be financed by the program, from which it is assumed that 20 will be wind and </w:t>
      </w:r>
      <w:r>
        <w:rPr>
          <w:rFonts w:ascii="Arial" w:hAnsi="Arial" w:cs="Arial"/>
          <w:sz w:val="18"/>
          <w:szCs w:val="18"/>
        </w:rPr>
        <w:t>4</w:t>
      </w:r>
      <w:r w:rsidRPr="00FA3973">
        <w:rPr>
          <w:rFonts w:ascii="Arial" w:hAnsi="Arial" w:cs="Arial"/>
          <w:sz w:val="18"/>
          <w:szCs w:val="18"/>
        </w:rPr>
        <w:t xml:space="preserve"> will be solar. For EE projects, it was determined that the typical sub project likely to receive financing corresponds to a mid-sized cogeneration project in the industry sector (in particular, the sugar production industry). Typical loan size for these projects is US$</w:t>
      </w:r>
      <w:r>
        <w:rPr>
          <w:rFonts w:ascii="Arial" w:hAnsi="Arial" w:cs="Arial"/>
          <w:sz w:val="18"/>
          <w:szCs w:val="18"/>
        </w:rPr>
        <w:t>15</w:t>
      </w:r>
      <w:r w:rsidRPr="00FA3973">
        <w:rPr>
          <w:rFonts w:ascii="Arial" w:hAnsi="Arial" w:cs="Arial"/>
          <w:sz w:val="18"/>
          <w:szCs w:val="18"/>
        </w:rPr>
        <w:t xml:space="preserve"> million and finances 70% of total investment.</w:t>
      </w:r>
    </w:p>
  </w:footnote>
  <w:footnote w:id="14">
    <w:p w:rsidR="003B6094" w:rsidRPr="00FA3973" w:rsidRDefault="003B6094" w:rsidP="004E4F25">
      <w:pPr>
        <w:pStyle w:val="FootnoteText"/>
        <w:spacing w:after="0"/>
        <w:rPr>
          <w:rFonts w:ascii="Arial" w:hAnsi="Arial" w:cs="Arial"/>
          <w:spacing w:val="-4"/>
          <w:sz w:val="18"/>
          <w:szCs w:val="18"/>
        </w:rPr>
      </w:pPr>
      <w:r w:rsidRPr="00FA3973">
        <w:rPr>
          <w:rStyle w:val="FootnoteReference"/>
          <w:rFonts w:ascii="Arial" w:hAnsi="Arial" w:cs="Arial"/>
          <w:spacing w:val="-4"/>
          <w:sz w:val="18"/>
          <w:szCs w:val="18"/>
        </w:rPr>
        <w:footnoteRef/>
      </w:r>
      <w:r w:rsidRPr="00FA3973">
        <w:rPr>
          <w:rFonts w:ascii="Arial" w:hAnsi="Arial" w:cs="Arial"/>
          <w:spacing w:val="-4"/>
          <w:sz w:val="18"/>
          <w:szCs w:val="18"/>
        </w:rPr>
        <w:t xml:space="preserve"> </w:t>
      </w:r>
      <w:r w:rsidRPr="00FA3973">
        <w:rPr>
          <w:rFonts w:ascii="Arial" w:hAnsi="Arial" w:cs="Arial"/>
          <w:spacing w:val="-4"/>
          <w:sz w:val="18"/>
          <w:szCs w:val="18"/>
        </w:rPr>
        <w:tab/>
        <w:t>It is important to differentiate a period when a sub project is financed from that when a project begins operating. In the detailed cash flows (see Annex I</w:t>
      </w:r>
      <w:r>
        <w:rPr>
          <w:rFonts w:ascii="Arial" w:hAnsi="Arial" w:cs="Arial"/>
          <w:spacing w:val="-4"/>
          <w:sz w:val="18"/>
          <w:szCs w:val="18"/>
        </w:rPr>
        <w:t>I</w:t>
      </w:r>
      <w:r w:rsidRPr="00FA3973">
        <w:rPr>
          <w:rFonts w:ascii="Arial" w:hAnsi="Arial" w:cs="Arial"/>
          <w:spacing w:val="-4"/>
          <w:sz w:val="18"/>
          <w:szCs w:val="18"/>
        </w:rPr>
        <w:t>) disbursements of loans and co˗financing (including investments by developers) will appear in periods preceding the accounting of benefits. Large ARE and cogeneration plants can take up to two years to finish construction. As we are considering smaller projects, timeframe for construction is reduced to one year.</w:t>
      </w:r>
    </w:p>
  </w:footnote>
  <w:footnote w:id="15">
    <w:p w:rsidR="003B6094" w:rsidRPr="00DB2C68" w:rsidRDefault="003B6094" w:rsidP="00D65516">
      <w:pPr>
        <w:spacing w:after="0"/>
        <w:ind w:left="274" w:hanging="270"/>
        <w:jc w:val="both"/>
        <w:rPr>
          <w:rFonts w:ascii="Arial" w:hAnsi="Arial" w:cs="Arial"/>
          <w:sz w:val="20"/>
          <w:szCs w:val="20"/>
          <w:lang w:val="es-ES"/>
        </w:rPr>
      </w:pPr>
      <w:r w:rsidRPr="00FA3973">
        <w:rPr>
          <w:rStyle w:val="FootnoteReference"/>
          <w:rFonts w:ascii="Arial" w:hAnsi="Arial" w:cs="Arial"/>
          <w:sz w:val="18"/>
          <w:szCs w:val="18"/>
        </w:rPr>
        <w:footnoteRef/>
      </w:r>
      <w:r w:rsidRPr="00FA3973">
        <w:rPr>
          <w:rStyle w:val="FootnoteReference"/>
          <w:rFonts w:ascii="Arial" w:hAnsi="Arial" w:cs="Arial"/>
          <w:sz w:val="18"/>
          <w:szCs w:val="18"/>
          <w:lang w:val="es-ES"/>
        </w:rPr>
        <w:t xml:space="preserve"> </w:t>
      </w:r>
      <w:r w:rsidRPr="00FA3973">
        <w:rPr>
          <w:rFonts w:ascii="Arial" w:hAnsi="Arial" w:cs="Arial"/>
          <w:sz w:val="18"/>
          <w:szCs w:val="18"/>
          <w:lang w:val="es-ES"/>
        </w:rPr>
        <w:t xml:space="preserve"> </w:t>
      </w:r>
      <w:r w:rsidRPr="00FA3973">
        <w:rPr>
          <w:rFonts w:ascii="Arial" w:hAnsi="Arial" w:cs="Arial"/>
          <w:sz w:val="18"/>
          <w:szCs w:val="18"/>
          <w:lang w:val="es-ES"/>
        </w:rPr>
        <w:tab/>
      </w:r>
      <w:r w:rsidRPr="00FA3973">
        <w:rPr>
          <w:rStyle w:val="FootnoteReference"/>
          <w:rFonts w:ascii="Arial" w:hAnsi="Arial" w:cs="Arial"/>
          <w:sz w:val="18"/>
          <w:szCs w:val="18"/>
          <w:vertAlign w:val="baseline"/>
          <w:lang w:val="es-ES"/>
        </w:rPr>
        <w:t>T</w:t>
      </w:r>
      <w:r w:rsidRPr="00FA3973">
        <w:rPr>
          <w:rFonts w:ascii="Arial" w:hAnsi="Arial" w:cs="Arial"/>
          <w:sz w:val="18"/>
          <w:szCs w:val="18"/>
          <w:lang w:val="es-ES"/>
        </w:rPr>
        <w:t xml:space="preserve">echnical note </w:t>
      </w:r>
      <w:r w:rsidRPr="00FA3973">
        <w:rPr>
          <w:rStyle w:val="FootnoteReference"/>
          <w:rFonts w:ascii="Arial" w:hAnsi="Arial" w:cs="Arial"/>
          <w:sz w:val="18"/>
          <w:szCs w:val="18"/>
          <w:vertAlign w:val="baseline"/>
          <w:lang w:val="es-ES"/>
        </w:rPr>
        <w:t xml:space="preserve">No. IDB-TN-623. </w:t>
      </w:r>
      <w:hyperlink r:id="rId2" w:history="1">
        <w:r w:rsidRPr="00FA3973">
          <w:rPr>
            <w:rStyle w:val="Hyperlink"/>
            <w:rFonts w:ascii="Arial" w:eastAsiaTheme="majorEastAsia" w:hAnsi="Arial" w:cs="Arial"/>
            <w:i/>
            <w:sz w:val="18"/>
            <w:szCs w:val="18"/>
            <w:lang w:val="es-ES"/>
          </w:rPr>
          <w:t>Beneficios para la sociedad de la adopción de fuentes renovables de energía en América Latina y el Caribe</w:t>
        </w:r>
      </w:hyperlink>
      <w:r>
        <w:rPr>
          <w:rStyle w:val="Hyperlink"/>
          <w:rFonts w:ascii="Arial" w:eastAsiaTheme="majorEastAsia" w:hAnsi="Arial" w:cs="Arial"/>
          <w:i/>
          <w:sz w:val="18"/>
          <w:szCs w:val="18"/>
          <w:lang w:val="es-ES"/>
        </w:rPr>
        <w:t>.</w:t>
      </w:r>
    </w:p>
  </w:footnote>
  <w:footnote w:id="16">
    <w:p w:rsidR="003B6094" w:rsidRPr="00FA3973" w:rsidRDefault="003B6094" w:rsidP="005628F5">
      <w:pPr>
        <w:pStyle w:val="FootnoteText"/>
        <w:spacing w:after="0"/>
        <w:ind w:hanging="284"/>
        <w:rPr>
          <w:rFonts w:ascii="Arial" w:hAnsi="Arial" w:cs="Arial"/>
          <w:sz w:val="18"/>
          <w:szCs w:val="18"/>
        </w:rPr>
      </w:pPr>
      <w:r w:rsidRPr="00FA3973">
        <w:rPr>
          <w:rStyle w:val="FootnoteReference"/>
          <w:rFonts w:ascii="Arial" w:hAnsi="Arial" w:cs="Arial"/>
          <w:sz w:val="18"/>
          <w:szCs w:val="18"/>
        </w:rPr>
        <w:footnoteRef/>
      </w:r>
      <w:r w:rsidR="005628F5" w:rsidRPr="005628F5">
        <w:rPr>
          <w:rFonts w:ascii="Arial" w:hAnsi="Arial" w:cs="Arial"/>
          <w:sz w:val="18"/>
          <w:szCs w:val="18"/>
          <w:lang w:val="es-ES"/>
        </w:rPr>
        <w:tab/>
      </w:r>
      <w:r w:rsidRPr="00FA3973">
        <w:rPr>
          <w:rFonts w:ascii="Arial" w:hAnsi="Arial" w:cs="Arial"/>
          <w:sz w:val="18"/>
          <w:szCs w:val="18"/>
        </w:rPr>
        <w:t>In the European Union Emissions Trading System (EU ETS), which remains the single largest international carbon pricing instrument, the average price in 2014 was €6/tCO</w:t>
      </w:r>
      <w:r w:rsidRPr="00FA3973">
        <w:rPr>
          <w:rFonts w:ascii="Arial" w:hAnsi="Arial" w:cs="Arial"/>
          <w:sz w:val="18"/>
          <w:szCs w:val="18"/>
          <w:vertAlign w:val="subscript"/>
        </w:rPr>
        <w:t>2</w:t>
      </w:r>
      <w:r w:rsidRPr="00FA3973">
        <w:rPr>
          <w:rFonts w:ascii="Arial" w:hAnsi="Arial" w:cs="Arial"/>
          <w:sz w:val="18"/>
          <w:szCs w:val="18"/>
        </w:rPr>
        <w:t xml:space="preserve"> (US$7/tCO</w:t>
      </w:r>
      <w:r w:rsidRPr="00FA3973">
        <w:rPr>
          <w:rFonts w:ascii="Arial" w:hAnsi="Arial" w:cs="Arial"/>
          <w:sz w:val="18"/>
          <w:szCs w:val="18"/>
          <w:vertAlign w:val="subscript"/>
        </w:rPr>
        <w:t>2</w:t>
      </w:r>
      <w:r w:rsidRPr="00FA3973">
        <w:rPr>
          <w:rFonts w:ascii="Arial" w:hAnsi="Arial" w:cs="Arial"/>
          <w:sz w:val="18"/>
          <w:szCs w:val="18"/>
        </w:rPr>
        <w:t>). As of August, 2015, this price stood at some US$9/tCO</w:t>
      </w:r>
      <w:r w:rsidRPr="00FA3973">
        <w:rPr>
          <w:rFonts w:ascii="Arial" w:hAnsi="Arial" w:cs="Arial"/>
          <w:sz w:val="18"/>
          <w:szCs w:val="18"/>
          <w:vertAlign w:val="subscript"/>
        </w:rPr>
        <w:t>2</w:t>
      </w:r>
      <w:r w:rsidRPr="00FA3973">
        <w:rPr>
          <w:rFonts w:ascii="Arial" w:hAnsi="Arial" w:cs="Arial"/>
          <w:sz w:val="18"/>
          <w:szCs w:val="18"/>
        </w:rPr>
        <w:t>.</w:t>
      </w:r>
      <w:r w:rsidRPr="00FA3973">
        <w:rPr>
          <w:rFonts w:ascii="Arial" w:hAnsi="Arial" w:cs="Arial"/>
          <w:spacing w:val="0"/>
          <w:sz w:val="18"/>
          <w:szCs w:val="18"/>
        </w:rPr>
        <w:t xml:space="preserve"> </w:t>
      </w:r>
      <w:r w:rsidRPr="00FA3973">
        <w:rPr>
          <w:rFonts w:ascii="Arial" w:hAnsi="Arial" w:cs="Arial"/>
          <w:sz w:val="18"/>
          <w:szCs w:val="18"/>
        </w:rPr>
        <w:t xml:space="preserve">For governments, carbon pricing is an instrument to achieve emissions mitigation but also a source of revenue. (see </w:t>
      </w:r>
      <w:hyperlink r:id="rId3" w:history="1">
        <w:r w:rsidRPr="00FA3973">
          <w:rPr>
            <w:rStyle w:val="Hyperlink"/>
            <w:rFonts w:ascii="Arial" w:hAnsi="Arial" w:cs="Arial"/>
            <w:sz w:val="18"/>
            <w:szCs w:val="18"/>
          </w:rPr>
          <w:t>State and Trends of Carbon Pricing</w:t>
        </w:r>
      </w:hyperlink>
      <w:r w:rsidRPr="00FA3973">
        <w:rPr>
          <w:rFonts w:ascii="Arial" w:hAnsi="Arial" w:cs="Arial"/>
          <w:sz w:val="18"/>
          <w:szCs w:val="18"/>
        </w:rPr>
        <w:t xml:space="preserve">, World Bank and Ecofys, 2015. </w:t>
      </w:r>
    </w:p>
  </w:footnote>
  <w:footnote w:id="17">
    <w:p w:rsidR="003B6094" w:rsidRPr="00DB36D8" w:rsidRDefault="003B6094" w:rsidP="00DB36D8">
      <w:pPr>
        <w:pStyle w:val="FootnoteText"/>
        <w:spacing w:after="0"/>
        <w:rPr>
          <w:rFonts w:ascii="Arial" w:hAnsi="Arial" w:cs="Arial"/>
        </w:rPr>
      </w:pPr>
      <w:r w:rsidRPr="00FA3973">
        <w:rPr>
          <w:rStyle w:val="FootnoteReference"/>
          <w:rFonts w:ascii="Arial" w:hAnsi="Arial" w:cs="Arial"/>
          <w:sz w:val="18"/>
          <w:szCs w:val="18"/>
        </w:rPr>
        <w:footnoteRef/>
      </w:r>
      <w:r w:rsidRPr="00FA3973">
        <w:rPr>
          <w:rFonts w:ascii="Arial" w:hAnsi="Arial" w:cs="Arial"/>
          <w:sz w:val="18"/>
          <w:szCs w:val="18"/>
        </w:rPr>
        <w:t xml:space="preserve"> </w:t>
      </w:r>
      <w:r w:rsidRPr="00FA3973">
        <w:rPr>
          <w:rFonts w:ascii="Arial" w:hAnsi="Arial" w:cs="Arial"/>
          <w:sz w:val="18"/>
          <w:szCs w:val="18"/>
          <w:lang w:val="en"/>
        </w:rPr>
        <w:tab/>
      </w:r>
      <w:r w:rsidRPr="00FA3973">
        <w:rPr>
          <w:rFonts w:ascii="Arial" w:hAnsi="Arial" w:cs="Arial"/>
          <w:sz w:val="18"/>
          <w:szCs w:val="18"/>
        </w:rPr>
        <w:t xml:space="preserve">United Nations Framework Convention on Climate Change, UNFCCC (2015). </w:t>
      </w:r>
      <w:hyperlink r:id="rId4" w:history="1">
        <w:r w:rsidRPr="00FA3973">
          <w:rPr>
            <w:rStyle w:val="Hyperlink"/>
            <w:rFonts w:ascii="Arial" w:hAnsi="Arial" w:cs="Arial"/>
            <w:sz w:val="18"/>
            <w:szCs w:val="18"/>
          </w:rPr>
          <w:t>Methodological Tool: Tool to Calculate the Emission Factor for an Electricity System. Version 05.0</w:t>
        </w:r>
      </w:hyperlink>
      <w:r w:rsidRPr="00FA3973">
        <w:rPr>
          <w:rStyle w:val="Hyperlink"/>
          <w:rFonts w:ascii="Arial" w:hAnsi="Arial" w:cs="Arial"/>
          <w:sz w:val="18"/>
          <w:szCs w:val="18"/>
          <w:u w:val="none"/>
        </w:rPr>
        <w:t>.</w:t>
      </w:r>
    </w:p>
  </w:footnote>
  <w:footnote w:id="18">
    <w:p w:rsidR="003B6094" w:rsidRPr="00FA3973" w:rsidRDefault="003B6094" w:rsidP="00D65516">
      <w:pPr>
        <w:pStyle w:val="FootnoteText"/>
        <w:spacing w:after="0"/>
        <w:rPr>
          <w:rFonts w:ascii="Arial" w:hAnsi="Arial" w:cs="Arial"/>
          <w:sz w:val="18"/>
          <w:szCs w:val="18"/>
        </w:rPr>
      </w:pPr>
      <w:r w:rsidRPr="00FA3973">
        <w:rPr>
          <w:rStyle w:val="FootnoteReference"/>
          <w:rFonts w:ascii="Arial" w:hAnsi="Arial" w:cs="Arial"/>
          <w:sz w:val="18"/>
          <w:szCs w:val="18"/>
        </w:rPr>
        <w:footnoteRef/>
      </w:r>
      <w:r w:rsidRPr="00FA3973">
        <w:rPr>
          <w:rFonts w:ascii="Arial" w:hAnsi="Arial" w:cs="Arial"/>
          <w:sz w:val="18"/>
          <w:szCs w:val="18"/>
        </w:rPr>
        <w:t xml:space="preserve"> </w:t>
      </w:r>
      <w:r w:rsidRPr="00FA3973">
        <w:rPr>
          <w:rFonts w:ascii="Arial" w:hAnsi="Arial" w:cs="Arial"/>
          <w:sz w:val="18"/>
          <w:szCs w:val="18"/>
          <w:lang w:val="en"/>
        </w:rPr>
        <w:tab/>
        <w:t>Before implementation of the program, any existing portfolio is indicative. There is no information on specific sub projects available until it is presented by participants when applying to credits by BNDES, and in all cases this information should be treated with confidentiality.</w:t>
      </w:r>
    </w:p>
  </w:footnote>
  <w:footnote w:id="19">
    <w:p w:rsidR="003B6094" w:rsidRPr="004E4F25" w:rsidRDefault="003B6094" w:rsidP="005A0528">
      <w:pPr>
        <w:pStyle w:val="FootnoteText"/>
        <w:spacing w:after="0"/>
        <w:rPr>
          <w:rFonts w:ascii="Arial" w:hAnsi="Arial" w:cs="Arial"/>
        </w:rPr>
      </w:pPr>
      <w:r w:rsidRPr="00FA3973">
        <w:rPr>
          <w:rStyle w:val="FootnoteReference"/>
          <w:rFonts w:ascii="Arial" w:hAnsi="Arial" w:cs="Arial"/>
          <w:sz w:val="18"/>
          <w:szCs w:val="18"/>
        </w:rPr>
        <w:footnoteRef/>
      </w:r>
      <w:r w:rsidRPr="00FA3973">
        <w:rPr>
          <w:rFonts w:ascii="Arial" w:hAnsi="Arial" w:cs="Arial"/>
          <w:sz w:val="18"/>
          <w:szCs w:val="18"/>
          <w:lang w:val="en"/>
        </w:rPr>
        <w:tab/>
      </w:r>
      <w:r w:rsidRPr="00FA3973">
        <w:rPr>
          <w:rFonts w:ascii="Arial" w:hAnsi="Arial" w:cs="Arial"/>
          <w:sz w:val="18"/>
          <w:szCs w:val="18"/>
        </w:rPr>
        <w:t>The concept of balance of payments is related to the potential economic benefits originated from a reduction of energy imports or an increase in energy exports.</w:t>
      </w:r>
    </w:p>
  </w:footnote>
  <w:footnote w:id="20">
    <w:p w:rsidR="003B6094" w:rsidRPr="00FA3973" w:rsidRDefault="003B6094" w:rsidP="00684BFF">
      <w:pPr>
        <w:pStyle w:val="FootnoteText"/>
        <w:spacing w:after="0"/>
        <w:rPr>
          <w:rFonts w:ascii="Arial" w:hAnsi="Arial" w:cs="Arial"/>
          <w:sz w:val="18"/>
          <w:szCs w:val="18"/>
        </w:rPr>
      </w:pPr>
      <w:r w:rsidRPr="00FA3973">
        <w:rPr>
          <w:rStyle w:val="FootnoteReference"/>
          <w:rFonts w:ascii="Arial" w:hAnsi="Arial" w:cs="Arial"/>
          <w:sz w:val="18"/>
          <w:szCs w:val="18"/>
        </w:rPr>
        <w:footnoteRef/>
      </w:r>
      <w:r w:rsidRPr="00FA3973">
        <w:rPr>
          <w:rFonts w:ascii="Arial" w:hAnsi="Arial" w:cs="Arial"/>
          <w:sz w:val="18"/>
          <w:szCs w:val="18"/>
        </w:rPr>
        <w:t xml:space="preserve"> Renewable Power Generation Costs in 2014, IRENA, 2015.</w:t>
      </w:r>
    </w:p>
  </w:footnote>
  <w:footnote w:id="21">
    <w:p w:rsidR="003B6094" w:rsidRPr="00FA3973" w:rsidRDefault="003B6094" w:rsidP="0028341E">
      <w:pPr>
        <w:pStyle w:val="FootnoteText"/>
        <w:spacing w:after="0"/>
        <w:rPr>
          <w:rFonts w:ascii="Arial" w:hAnsi="Arial" w:cs="Arial"/>
          <w:sz w:val="18"/>
          <w:szCs w:val="18"/>
        </w:rPr>
      </w:pPr>
      <w:r w:rsidRPr="00FA3973">
        <w:rPr>
          <w:rStyle w:val="FootnoteReference"/>
          <w:rFonts w:ascii="Arial" w:hAnsi="Arial" w:cs="Arial"/>
          <w:sz w:val="18"/>
          <w:szCs w:val="18"/>
        </w:rPr>
        <w:footnoteRef/>
      </w:r>
      <w:r w:rsidRPr="00FA3973">
        <w:rPr>
          <w:rFonts w:ascii="Arial" w:hAnsi="Arial" w:cs="Arial"/>
          <w:sz w:val="18"/>
          <w:szCs w:val="18"/>
        </w:rPr>
        <w:t xml:space="preserve"> </w:t>
      </w:r>
      <w:r w:rsidR="00DC2B96">
        <w:rPr>
          <w:rFonts w:ascii="Arial" w:hAnsi="Arial" w:cs="Arial"/>
          <w:sz w:val="22"/>
        </w:rPr>
        <w:tab/>
      </w:r>
      <w:r w:rsidRPr="00FA3973">
        <w:rPr>
          <w:rFonts w:ascii="Arial" w:hAnsi="Arial" w:cs="Arial"/>
          <w:sz w:val="18"/>
          <w:szCs w:val="18"/>
        </w:rPr>
        <w:t xml:space="preserve">Exchange rate implications are not considered a significant risk for this program. All projects financed by BNDES are required a high percentage of local content (minimum 60%) and hence the majority of project costs, both investment and operational, are not exposed to exchange rate disruptions. In any case, it could be assumed that any exchange risk involved is related to an increase in investment costs or O&amp;M costs, already considered. </w:t>
      </w:r>
    </w:p>
  </w:footnote>
  <w:footnote w:id="22">
    <w:p w:rsidR="003B6094" w:rsidRPr="003E0E63" w:rsidRDefault="003B6094" w:rsidP="003E0E63">
      <w:pPr>
        <w:pStyle w:val="FootnoteText"/>
        <w:spacing w:after="0"/>
        <w:rPr>
          <w:rFonts w:ascii="Arial" w:hAnsi="Arial" w:cs="Arial"/>
          <w:sz w:val="18"/>
          <w:szCs w:val="18"/>
        </w:rPr>
      </w:pPr>
      <w:r w:rsidRPr="003E0E63">
        <w:rPr>
          <w:rStyle w:val="FootnoteReference"/>
          <w:rFonts w:ascii="Arial" w:hAnsi="Arial" w:cs="Arial"/>
          <w:sz w:val="18"/>
          <w:szCs w:val="18"/>
        </w:rPr>
        <w:footnoteRef/>
      </w:r>
      <w:r w:rsidRPr="003E0E63">
        <w:rPr>
          <w:rFonts w:ascii="Arial" w:hAnsi="Arial" w:cs="Arial"/>
          <w:sz w:val="18"/>
          <w:szCs w:val="18"/>
        </w:rPr>
        <w:t xml:space="preserve"> </w:t>
      </w:r>
      <w:r w:rsidR="00DC2B96">
        <w:rPr>
          <w:rFonts w:ascii="Arial" w:hAnsi="Arial" w:cs="Arial"/>
          <w:sz w:val="22"/>
        </w:rPr>
        <w:tab/>
      </w:r>
      <w:r w:rsidRPr="003E0E63">
        <w:rPr>
          <w:rFonts w:ascii="Arial" w:hAnsi="Arial" w:cs="Arial"/>
          <w:sz w:val="18"/>
          <w:szCs w:val="18"/>
        </w:rPr>
        <w:t>PLD is a value determined weekly for each load level based on the Marginal Cost of Operation, limited by a maximum and minimum price in effect for each calculation period and for each sub-market.</w:t>
      </w:r>
    </w:p>
  </w:footnote>
  <w:footnote w:id="23">
    <w:p w:rsidR="003B6094" w:rsidRPr="00404DE6" w:rsidRDefault="003B6094" w:rsidP="003E0E63">
      <w:pPr>
        <w:pStyle w:val="FootnoteText"/>
        <w:spacing w:after="0"/>
        <w:rPr>
          <w:lang w:val="fr-FR"/>
        </w:rPr>
      </w:pPr>
      <w:r w:rsidRPr="003E0E63">
        <w:rPr>
          <w:rStyle w:val="FootnoteReference"/>
          <w:rFonts w:ascii="Arial" w:hAnsi="Arial" w:cs="Arial"/>
          <w:sz w:val="18"/>
          <w:szCs w:val="18"/>
        </w:rPr>
        <w:footnoteRef/>
      </w:r>
      <w:r w:rsidRPr="003E0E63">
        <w:rPr>
          <w:rFonts w:ascii="Arial" w:hAnsi="Arial" w:cs="Arial"/>
          <w:sz w:val="18"/>
          <w:szCs w:val="18"/>
          <w:lang w:val="fr-FR"/>
        </w:rPr>
        <w:t xml:space="preserve"> </w:t>
      </w:r>
      <w:r w:rsidR="00DC2B96">
        <w:rPr>
          <w:rFonts w:ascii="Arial" w:hAnsi="Arial" w:cs="Arial"/>
          <w:sz w:val="22"/>
        </w:rPr>
        <w:tab/>
      </w:r>
      <w:r w:rsidRPr="003E0E63">
        <w:rPr>
          <w:rFonts w:ascii="Arial" w:hAnsi="Arial" w:cs="Arial"/>
          <w:sz w:val="18"/>
          <w:szCs w:val="18"/>
          <w:lang w:val="fr-FR"/>
        </w:rPr>
        <w:t xml:space="preserve">Source: </w:t>
      </w:r>
      <w:hyperlink r:id="rId5" w:history="1">
        <w:r w:rsidR="00DC2B96">
          <w:rPr>
            <w:rStyle w:val="Hyperlink"/>
            <w:rFonts w:ascii="Arial" w:hAnsi="Arial" w:cs="Arial"/>
            <w:sz w:val="18"/>
            <w:szCs w:val="18"/>
            <w:lang w:val="fr-FR"/>
          </w:rPr>
          <w:t>https://www.ccee.org.br/portal/faces/pages_publico/o-que-fazemos/como_ccee_atua/precos/</w:t>
        </w:r>
      </w:hyperlink>
      <w:r w:rsidR="00DC2B96">
        <w:rPr>
          <w:lang w:val="fr-FR"/>
        </w:rPr>
        <w:t>.</w:t>
      </w:r>
    </w:p>
  </w:footnote>
  <w:footnote w:id="24">
    <w:p w:rsidR="003B6094" w:rsidRPr="003E0E63" w:rsidRDefault="003B6094" w:rsidP="003E0E63">
      <w:pPr>
        <w:pStyle w:val="FootnoteText"/>
        <w:spacing w:after="0"/>
        <w:rPr>
          <w:rFonts w:ascii="Arial" w:hAnsi="Arial" w:cs="Arial"/>
          <w:sz w:val="18"/>
          <w:szCs w:val="18"/>
          <w:lang w:val="fr-FR"/>
        </w:rPr>
      </w:pPr>
      <w:r w:rsidRPr="003E0E63">
        <w:rPr>
          <w:rStyle w:val="FootnoteReference"/>
          <w:rFonts w:ascii="Arial" w:hAnsi="Arial" w:cs="Arial"/>
          <w:sz w:val="18"/>
          <w:szCs w:val="18"/>
        </w:rPr>
        <w:footnoteRef/>
      </w:r>
      <w:r w:rsidRPr="003E0E63">
        <w:rPr>
          <w:rFonts w:ascii="Arial" w:hAnsi="Arial" w:cs="Arial"/>
          <w:sz w:val="18"/>
          <w:szCs w:val="18"/>
          <w:lang w:val="fr-FR"/>
        </w:rPr>
        <w:t xml:space="preserve"> </w:t>
      </w:r>
      <w:r w:rsidR="00DC2B96">
        <w:rPr>
          <w:rFonts w:ascii="Arial" w:hAnsi="Arial" w:cs="Arial"/>
          <w:sz w:val="22"/>
        </w:rPr>
        <w:tab/>
      </w:r>
      <w:r w:rsidRPr="003E0E63">
        <w:rPr>
          <w:rFonts w:ascii="Arial" w:hAnsi="Arial" w:cs="Arial"/>
          <w:sz w:val="18"/>
          <w:szCs w:val="18"/>
          <w:lang w:val="fr-FR"/>
        </w:rPr>
        <w:t xml:space="preserve">Source : </w:t>
      </w:r>
      <w:hyperlink r:id="rId6" w:history="1">
        <w:r w:rsidRPr="003E0E63">
          <w:rPr>
            <w:rStyle w:val="Hyperlink"/>
            <w:rFonts w:ascii="Arial" w:hAnsi="Arial" w:cs="Arial"/>
            <w:sz w:val="18"/>
            <w:szCs w:val="18"/>
            <w:lang w:val="fr-FR"/>
          </w:rPr>
          <w:t>http://data.worldbank.org/indicator/FP.CPI.TOTL</w:t>
        </w:r>
      </w:hyperlink>
      <w:r w:rsidR="00DC2B96">
        <w:rPr>
          <w:rFonts w:ascii="Arial" w:hAnsi="Arial" w:cs="Arial"/>
          <w:sz w:val="18"/>
          <w:szCs w:val="18"/>
          <w:lang w:val="fr-FR"/>
        </w:rPr>
        <w:t>.</w:t>
      </w:r>
    </w:p>
  </w:footnote>
  <w:footnote w:id="25">
    <w:p w:rsidR="003B6094" w:rsidRDefault="003B6094" w:rsidP="003E0E63">
      <w:pPr>
        <w:pStyle w:val="FootnoteText"/>
        <w:spacing w:after="0"/>
      </w:pPr>
      <w:r w:rsidRPr="003E0E63">
        <w:rPr>
          <w:rStyle w:val="FootnoteReference"/>
          <w:rFonts w:ascii="Arial" w:hAnsi="Arial" w:cs="Arial"/>
          <w:sz w:val="18"/>
          <w:szCs w:val="18"/>
        </w:rPr>
        <w:footnoteRef/>
      </w:r>
      <w:r w:rsidRPr="003E0E63">
        <w:rPr>
          <w:rFonts w:ascii="Arial" w:hAnsi="Arial" w:cs="Arial"/>
          <w:sz w:val="18"/>
          <w:szCs w:val="18"/>
        </w:rPr>
        <w:t xml:space="preserve"> </w:t>
      </w:r>
      <w:r w:rsidR="00DC2B96">
        <w:rPr>
          <w:rFonts w:ascii="Arial" w:hAnsi="Arial" w:cs="Arial"/>
          <w:sz w:val="22"/>
        </w:rPr>
        <w:tab/>
      </w:r>
      <w:r w:rsidRPr="003E0E63">
        <w:rPr>
          <w:rFonts w:ascii="Arial" w:hAnsi="Arial" w:cs="Arial"/>
          <w:sz w:val="18"/>
          <w:szCs w:val="18"/>
        </w:rPr>
        <w:t>Demand growth in the period 200-2014 was 4,5% yearly. While in 2015 there was a reduction in electricity demand (due to the economic situation), for the period 2016-2024, EPE expects an annual growth of 3,8% in electricity demand.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805080262"/>
      <w:docPartObj>
        <w:docPartGallery w:val="Page Numbers (Top of Page)"/>
        <w:docPartUnique/>
      </w:docPartObj>
    </w:sdtPr>
    <w:sdtEndPr>
      <w:rPr>
        <w:noProof/>
      </w:rPr>
    </w:sdtEndPr>
    <w:sdtContent>
      <w:p w:rsidR="003B6094" w:rsidRPr="001016A1" w:rsidRDefault="003B6094">
        <w:pPr>
          <w:pStyle w:val="Header"/>
          <w:jc w:val="center"/>
          <w:rPr>
            <w:rFonts w:ascii="Arial" w:hAnsi="Arial" w:cs="Arial"/>
            <w:sz w:val="18"/>
            <w:szCs w:val="18"/>
          </w:rPr>
        </w:pPr>
        <w:r w:rsidRPr="001016A1">
          <w:rPr>
            <w:rFonts w:ascii="Arial" w:hAnsi="Arial" w:cs="Arial"/>
            <w:sz w:val="18"/>
            <w:szCs w:val="18"/>
          </w:rPr>
          <w:t>- </w:t>
        </w:r>
        <w:r w:rsidRPr="001016A1">
          <w:rPr>
            <w:rFonts w:ascii="Arial" w:hAnsi="Arial" w:cs="Arial"/>
            <w:sz w:val="18"/>
            <w:szCs w:val="18"/>
          </w:rPr>
          <w:fldChar w:fldCharType="begin"/>
        </w:r>
        <w:r w:rsidRPr="001016A1">
          <w:rPr>
            <w:rFonts w:ascii="Arial" w:hAnsi="Arial" w:cs="Arial"/>
            <w:sz w:val="18"/>
            <w:szCs w:val="18"/>
          </w:rPr>
          <w:instrText xml:space="preserve"> PAGE   \* MERGEFORMAT </w:instrText>
        </w:r>
        <w:r w:rsidRPr="001016A1">
          <w:rPr>
            <w:rFonts w:ascii="Arial" w:hAnsi="Arial" w:cs="Arial"/>
            <w:sz w:val="18"/>
            <w:szCs w:val="18"/>
          </w:rPr>
          <w:fldChar w:fldCharType="separate"/>
        </w:r>
        <w:r w:rsidR="00B7274C">
          <w:rPr>
            <w:rFonts w:ascii="Arial" w:hAnsi="Arial" w:cs="Arial"/>
            <w:noProof/>
            <w:sz w:val="18"/>
            <w:szCs w:val="18"/>
          </w:rPr>
          <w:t>20</w:t>
        </w:r>
        <w:r w:rsidRPr="001016A1">
          <w:rPr>
            <w:rFonts w:ascii="Arial" w:hAnsi="Arial" w:cs="Arial"/>
            <w:noProof/>
            <w:sz w:val="18"/>
            <w:szCs w:val="18"/>
          </w:rPr>
          <w:fldChar w:fldCharType="end"/>
        </w:r>
        <w:r w:rsidRPr="001016A1">
          <w:rPr>
            <w:rFonts w:ascii="Arial" w:hAnsi="Arial" w:cs="Arial"/>
            <w:noProof/>
            <w:sz w:val="18"/>
            <w:szCs w:val="18"/>
          </w:rPr>
          <w:t> -</w:t>
        </w:r>
      </w:p>
    </w:sdtContent>
  </w:sdt>
  <w:p w:rsidR="003B6094" w:rsidRDefault="003B6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10AF8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9733BF"/>
    <w:multiLevelType w:val="multilevel"/>
    <w:tmpl w:val="26329D0A"/>
    <w:lvl w:ilvl="0">
      <w:start w:val="1"/>
      <w:numFmt w:val="upperRoman"/>
      <w:lvlText w:val="%1."/>
      <w:lvlJc w:val="left"/>
      <w:pPr>
        <w:ind w:left="1080" w:hanging="720"/>
      </w:pPr>
      <w:rPr>
        <w:rFonts w:hint="default"/>
        <w:sz w:val="24"/>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2">
    <w:nsid w:val="06192378"/>
    <w:multiLevelType w:val="multilevel"/>
    <w:tmpl w:val="EB92DB2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746"/>
        </w:tabs>
        <w:ind w:left="174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
    <w:nsid w:val="0FE57FF8"/>
    <w:multiLevelType w:val="multilevel"/>
    <w:tmpl w:val="2788FDC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476"/>
        </w:tabs>
        <w:ind w:left="1476" w:hanging="1296"/>
      </w:pPr>
      <w:rPr>
        <w:lang w:val="en-US"/>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
    <w:nsid w:val="12D951E9"/>
    <w:multiLevelType w:val="hybridMultilevel"/>
    <w:tmpl w:val="374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117E5"/>
    <w:multiLevelType w:val="multilevel"/>
    <w:tmpl w:val="AAF4D116"/>
    <w:lvl w:ilvl="0">
      <w:start w:val="1"/>
      <w:numFmt w:val="upperLetter"/>
      <w:lvlText w:val="%1."/>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6">
    <w:nsid w:val="193E27C6"/>
    <w:multiLevelType w:val="hybridMultilevel"/>
    <w:tmpl w:val="1AFA4F84"/>
    <w:lvl w:ilvl="0" w:tplc="04090019">
      <w:start w:val="1"/>
      <w:numFmt w:val="lowerLetter"/>
      <w:lvlText w:val="%1."/>
      <w:lvlJc w:val="left"/>
      <w:pPr>
        <w:ind w:left="1080" w:hanging="360"/>
      </w:pPr>
      <w:rPr>
        <w:rFonts w:hint="default"/>
      </w:rPr>
    </w:lvl>
    <w:lvl w:ilvl="1" w:tplc="5344C046" w:tentative="1">
      <w:start w:val="1"/>
      <w:numFmt w:val="lowerLetter"/>
      <w:lvlText w:val="%2."/>
      <w:lvlJc w:val="left"/>
      <w:pPr>
        <w:ind w:left="1800" w:hanging="360"/>
      </w:pPr>
    </w:lvl>
    <w:lvl w:ilvl="2" w:tplc="AFD4EA4C" w:tentative="1">
      <w:start w:val="1"/>
      <w:numFmt w:val="lowerRoman"/>
      <w:lvlText w:val="%3."/>
      <w:lvlJc w:val="right"/>
      <w:pPr>
        <w:ind w:left="2520" w:hanging="180"/>
      </w:pPr>
    </w:lvl>
    <w:lvl w:ilvl="3" w:tplc="00007FFA" w:tentative="1">
      <w:start w:val="1"/>
      <w:numFmt w:val="decimal"/>
      <w:lvlText w:val="%4."/>
      <w:lvlJc w:val="left"/>
      <w:pPr>
        <w:ind w:left="3240" w:hanging="360"/>
      </w:pPr>
    </w:lvl>
    <w:lvl w:ilvl="4" w:tplc="24427742" w:tentative="1">
      <w:start w:val="1"/>
      <w:numFmt w:val="lowerLetter"/>
      <w:lvlText w:val="%5."/>
      <w:lvlJc w:val="left"/>
      <w:pPr>
        <w:ind w:left="3960" w:hanging="360"/>
      </w:pPr>
    </w:lvl>
    <w:lvl w:ilvl="5" w:tplc="909C29F0" w:tentative="1">
      <w:start w:val="1"/>
      <w:numFmt w:val="lowerRoman"/>
      <w:lvlText w:val="%6."/>
      <w:lvlJc w:val="right"/>
      <w:pPr>
        <w:ind w:left="4680" w:hanging="180"/>
      </w:pPr>
    </w:lvl>
    <w:lvl w:ilvl="6" w:tplc="43964A80" w:tentative="1">
      <w:start w:val="1"/>
      <w:numFmt w:val="decimal"/>
      <w:lvlText w:val="%7."/>
      <w:lvlJc w:val="left"/>
      <w:pPr>
        <w:ind w:left="5400" w:hanging="360"/>
      </w:pPr>
    </w:lvl>
    <w:lvl w:ilvl="7" w:tplc="694C0468" w:tentative="1">
      <w:start w:val="1"/>
      <w:numFmt w:val="lowerLetter"/>
      <w:lvlText w:val="%8."/>
      <w:lvlJc w:val="left"/>
      <w:pPr>
        <w:ind w:left="6120" w:hanging="360"/>
      </w:pPr>
    </w:lvl>
    <w:lvl w:ilvl="8" w:tplc="41C82908" w:tentative="1">
      <w:start w:val="1"/>
      <w:numFmt w:val="lowerRoman"/>
      <w:lvlText w:val="%9."/>
      <w:lvlJc w:val="right"/>
      <w:pPr>
        <w:ind w:left="6840" w:hanging="180"/>
      </w:pPr>
    </w:lvl>
  </w:abstractNum>
  <w:abstractNum w:abstractNumId="7">
    <w:nsid w:val="1B38612D"/>
    <w:multiLevelType w:val="hybridMultilevel"/>
    <w:tmpl w:val="A53A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94E0F"/>
    <w:multiLevelType w:val="multilevel"/>
    <w:tmpl w:val="DDE095F4"/>
    <w:lvl w:ilvl="0">
      <w:start w:val="1"/>
      <w:numFmt w:val="none"/>
      <w:lvlRestart w:val="0"/>
      <w:suff w:val="nothing"/>
      <w:lvlText w:val=""/>
      <w:lvlJc w:val="left"/>
      <w:pPr>
        <w:ind w:left="2952" w:hanging="720"/>
      </w:pPr>
    </w:lvl>
    <w:lvl w:ilvl="1">
      <w:start w:val="1"/>
      <w:numFmt w:val="decimal"/>
      <w:lvlText w:val="%2."/>
      <w:lvlJc w:val="left"/>
      <w:pPr>
        <w:tabs>
          <w:tab w:val="num" w:pos="3528"/>
        </w:tabs>
        <w:ind w:left="3528" w:hanging="576"/>
      </w:pPr>
      <w:rPr>
        <w:b/>
      </w:rPr>
    </w:lvl>
    <w:lvl w:ilvl="2">
      <w:start w:val="1"/>
      <w:numFmt w:val="lowerLetter"/>
      <w:lvlText w:val="%3)"/>
      <w:lvlJc w:val="left"/>
      <w:pPr>
        <w:tabs>
          <w:tab w:val="num" w:pos="4104"/>
        </w:tabs>
        <w:ind w:left="4104" w:hanging="576"/>
      </w:pPr>
      <w:rPr>
        <w:b/>
      </w:rPr>
    </w:lvl>
    <w:lvl w:ilvl="3">
      <w:start w:val="1"/>
      <w:numFmt w:val="lowerRoman"/>
      <w:lvlText w:val="(%4)"/>
      <w:lvlJc w:val="right"/>
      <w:pPr>
        <w:ind w:left="3096" w:hanging="144"/>
      </w:pPr>
    </w:lvl>
    <w:lvl w:ilvl="4">
      <w:start w:val="1"/>
      <w:numFmt w:val="decimal"/>
      <w:lvlText w:val="%5)"/>
      <w:lvlJc w:val="left"/>
      <w:pPr>
        <w:ind w:left="3240" w:hanging="432"/>
      </w:pPr>
    </w:lvl>
    <w:lvl w:ilvl="5">
      <w:start w:val="1"/>
      <w:numFmt w:val="lowerLetter"/>
      <w:lvlText w:val="%6)"/>
      <w:lvlJc w:val="left"/>
      <w:pPr>
        <w:ind w:left="3384" w:hanging="432"/>
      </w:pPr>
    </w:lvl>
    <w:lvl w:ilvl="6">
      <w:start w:val="1"/>
      <w:numFmt w:val="lowerRoman"/>
      <w:lvlText w:val="%7)"/>
      <w:lvlJc w:val="right"/>
      <w:pPr>
        <w:ind w:left="3528" w:hanging="288"/>
      </w:pPr>
    </w:lvl>
    <w:lvl w:ilvl="7">
      <w:start w:val="1"/>
      <w:numFmt w:val="lowerLetter"/>
      <w:lvlText w:val="%8."/>
      <w:lvlJc w:val="left"/>
      <w:pPr>
        <w:ind w:left="3672" w:hanging="432"/>
      </w:pPr>
    </w:lvl>
    <w:lvl w:ilvl="8">
      <w:start w:val="1"/>
      <w:numFmt w:val="lowerRoman"/>
      <w:lvlText w:val="%9."/>
      <w:lvlJc w:val="right"/>
      <w:pPr>
        <w:ind w:left="3816" w:hanging="144"/>
      </w:pPr>
    </w:lvl>
  </w:abstractNum>
  <w:abstractNum w:abstractNumId="9">
    <w:nsid w:val="207265F3"/>
    <w:multiLevelType w:val="multilevel"/>
    <w:tmpl w:val="A14673F4"/>
    <w:lvl w:ilvl="0">
      <w:start w:val="1"/>
      <w:numFmt w:val="upperRoman"/>
      <w:pStyle w:val="Heading1"/>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1AB5FF9"/>
    <w:multiLevelType w:val="hybridMultilevel"/>
    <w:tmpl w:val="54A23156"/>
    <w:lvl w:ilvl="0" w:tplc="0409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052B79"/>
    <w:multiLevelType w:val="hybridMultilevel"/>
    <w:tmpl w:val="FBA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06B40"/>
    <w:multiLevelType w:val="multilevel"/>
    <w:tmpl w:val="2788FDC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476"/>
        </w:tabs>
        <w:ind w:left="1476" w:hanging="1296"/>
      </w:pPr>
      <w:rPr>
        <w:lang w:val="en-US"/>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nsid w:val="28F86FC9"/>
    <w:multiLevelType w:val="hybridMultilevel"/>
    <w:tmpl w:val="60DE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738FF"/>
    <w:multiLevelType w:val="multilevel"/>
    <w:tmpl w:val="716CC9EE"/>
    <w:lvl w:ilvl="0">
      <w:start w:val="1"/>
      <w:numFmt w:val="none"/>
      <w:lvlRestart w:val="0"/>
      <w:pStyle w:val="FirstHeading"/>
      <w:suff w:val="nothing"/>
      <w:lvlText w:val=""/>
      <w:lvlJc w:val="left"/>
      <w:pPr>
        <w:ind w:left="2592" w:hanging="720"/>
      </w:pPr>
    </w:lvl>
    <w:lvl w:ilvl="1">
      <w:start w:val="1"/>
      <w:numFmt w:val="decimal"/>
      <w:pStyle w:val="SecHeading"/>
      <w:lvlText w:val="%2."/>
      <w:lvlJc w:val="left"/>
      <w:pPr>
        <w:tabs>
          <w:tab w:val="num" w:pos="3168"/>
        </w:tabs>
        <w:ind w:left="3168" w:hanging="576"/>
      </w:pPr>
      <w:rPr>
        <w:b/>
      </w:rPr>
    </w:lvl>
    <w:lvl w:ilvl="2">
      <w:start w:val="1"/>
      <w:numFmt w:val="lowerLetter"/>
      <w:pStyle w:val="SubHeading1"/>
      <w:lvlText w:val="(%3)"/>
      <w:lvlJc w:val="left"/>
      <w:pPr>
        <w:ind w:left="2592" w:hanging="432"/>
      </w:pPr>
    </w:lvl>
    <w:lvl w:ilvl="3">
      <w:start w:val="1"/>
      <w:numFmt w:val="lowerRoman"/>
      <w:pStyle w:val="Heading4"/>
      <w:lvlText w:val="(%4)"/>
      <w:lvlJc w:val="right"/>
      <w:pPr>
        <w:ind w:left="2736" w:hanging="144"/>
      </w:pPr>
    </w:lvl>
    <w:lvl w:ilvl="4">
      <w:start w:val="1"/>
      <w:numFmt w:val="decimal"/>
      <w:pStyle w:val="Heading5"/>
      <w:lvlText w:val="%5)"/>
      <w:lvlJc w:val="left"/>
      <w:pPr>
        <w:ind w:left="2880" w:hanging="432"/>
      </w:pPr>
    </w:lvl>
    <w:lvl w:ilvl="5">
      <w:start w:val="1"/>
      <w:numFmt w:val="lowerLetter"/>
      <w:pStyle w:val="Heading6"/>
      <w:lvlText w:val="%6)"/>
      <w:lvlJc w:val="left"/>
      <w:pPr>
        <w:ind w:left="3024" w:hanging="432"/>
      </w:pPr>
    </w:lvl>
    <w:lvl w:ilvl="6">
      <w:start w:val="1"/>
      <w:numFmt w:val="lowerRoman"/>
      <w:pStyle w:val="Heading7"/>
      <w:lvlText w:val="%7)"/>
      <w:lvlJc w:val="right"/>
      <w:pPr>
        <w:ind w:left="3168" w:hanging="288"/>
      </w:pPr>
    </w:lvl>
    <w:lvl w:ilvl="7">
      <w:start w:val="1"/>
      <w:numFmt w:val="lowerLetter"/>
      <w:pStyle w:val="Heading8"/>
      <w:lvlText w:val="%8."/>
      <w:lvlJc w:val="left"/>
      <w:pPr>
        <w:ind w:left="3312" w:hanging="432"/>
      </w:pPr>
    </w:lvl>
    <w:lvl w:ilvl="8">
      <w:start w:val="1"/>
      <w:numFmt w:val="lowerRoman"/>
      <w:pStyle w:val="Heading9"/>
      <w:lvlText w:val="%9."/>
      <w:lvlJc w:val="right"/>
      <w:pPr>
        <w:ind w:left="3456" w:hanging="144"/>
      </w:pPr>
    </w:lvl>
  </w:abstractNum>
  <w:abstractNum w:abstractNumId="15">
    <w:nsid w:val="345C637A"/>
    <w:multiLevelType w:val="hybridMultilevel"/>
    <w:tmpl w:val="F7BC6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413ADB"/>
    <w:multiLevelType w:val="hybridMultilevel"/>
    <w:tmpl w:val="4FF4939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1E32E2"/>
    <w:multiLevelType w:val="hybridMultilevel"/>
    <w:tmpl w:val="9A3EA5A0"/>
    <w:lvl w:ilvl="0" w:tplc="DDC21B4E">
      <w:start w:val="1"/>
      <w:numFmt w:val="lowerRoman"/>
      <w:lvlText w:val="(%1)"/>
      <w:lvlJc w:val="left"/>
      <w:pPr>
        <w:ind w:left="720" w:hanging="360"/>
      </w:pPr>
      <w:rPr>
        <w:rFonts w:hint="default"/>
      </w:rPr>
    </w:lvl>
    <w:lvl w:ilvl="1" w:tplc="DDC21B4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15062"/>
    <w:multiLevelType w:val="multilevel"/>
    <w:tmpl w:val="D4DA2826"/>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rFonts w:ascii="Arial" w:hAnsi="Arial" w:cs="Arial" w:hint="default"/>
        <w:b w:val="0"/>
        <w:sz w:val="22"/>
        <w:szCs w:val="22"/>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9">
    <w:nsid w:val="3E311989"/>
    <w:multiLevelType w:val="multilevel"/>
    <w:tmpl w:val="2EEA43A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0">
    <w:nsid w:val="3EB01B21"/>
    <w:multiLevelType w:val="hybridMultilevel"/>
    <w:tmpl w:val="E034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43AC5"/>
    <w:multiLevelType w:val="hybridMultilevel"/>
    <w:tmpl w:val="8C1C80C0"/>
    <w:lvl w:ilvl="0" w:tplc="DDC21B4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F878B7"/>
    <w:multiLevelType w:val="multilevel"/>
    <w:tmpl w:val="101688A8"/>
    <w:lvl w:ilvl="0">
      <w:start w:val="1"/>
      <w:numFmt w:val="upperRoman"/>
      <w:lvlRestart w:val="0"/>
      <w:lvlText w:val="%1."/>
      <w:lvlJc w:val="center"/>
      <w:pPr>
        <w:tabs>
          <w:tab w:val="num" w:pos="1512"/>
        </w:tabs>
        <w:ind w:left="864" w:firstLine="288"/>
      </w:pPr>
      <w:rPr>
        <w:b/>
        <w:i w:val="0"/>
      </w:rPr>
    </w:lvl>
    <w:lvl w:ilvl="1">
      <w:start w:val="1"/>
      <w:numFmt w:val="decimal"/>
      <w:lvlText w:val="%1.%2"/>
      <w:lvlJc w:val="left"/>
      <w:pPr>
        <w:ind w:left="1440" w:hanging="576"/>
      </w:pPr>
    </w:lvl>
    <w:lvl w:ilvl="2">
      <w:start w:val="1"/>
      <w:numFmt w:val="decimal"/>
      <w:lvlText w:val="%1.%2.%3"/>
      <w:lvlJc w:val="left"/>
      <w:pPr>
        <w:ind w:left="1584" w:hanging="720"/>
      </w:pPr>
    </w:lvl>
    <w:lvl w:ilvl="3">
      <w:start w:val="1"/>
      <w:numFmt w:val="decimal"/>
      <w:lvlText w:val="%1.%2.%3.%4"/>
      <w:lvlJc w:val="left"/>
      <w:pPr>
        <w:ind w:left="1728" w:hanging="864"/>
      </w:pPr>
    </w:lvl>
    <w:lvl w:ilvl="4">
      <w:start w:val="1"/>
      <w:numFmt w:val="decimal"/>
      <w:lvlText w:val="%1.%2.%3.%4.%5"/>
      <w:lvlJc w:val="left"/>
      <w:pPr>
        <w:ind w:left="1872" w:hanging="1008"/>
      </w:pPr>
    </w:lvl>
    <w:lvl w:ilvl="5">
      <w:start w:val="1"/>
      <w:numFmt w:val="decimal"/>
      <w:lvlText w:val="%1.%2.%3.%4.%5.%6"/>
      <w:lvlJc w:val="left"/>
      <w:pPr>
        <w:ind w:left="2016" w:hanging="1152"/>
      </w:pPr>
    </w:lvl>
    <w:lvl w:ilvl="6">
      <w:start w:val="1"/>
      <w:numFmt w:val="decimal"/>
      <w:lvlText w:val="%1.%2.%3.%4.%5.%6.%7"/>
      <w:lvlJc w:val="left"/>
      <w:pPr>
        <w:ind w:left="2160" w:hanging="1296"/>
      </w:pPr>
    </w:lvl>
    <w:lvl w:ilvl="7">
      <w:start w:val="1"/>
      <w:numFmt w:val="decimal"/>
      <w:lvlText w:val="%1.%2.%3.%4.%5.%6.%7.%8"/>
      <w:lvlJc w:val="left"/>
      <w:pPr>
        <w:ind w:left="2304" w:hanging="1440"/>
      </w:pPr>
    </w:lvl>
    <w:lvl w:ilvl="8">
      <w:start w:val="1"/>
      <w:numFmt w:val="decimal"/>
      <w:lvlText w:val="%1.%2.%3.%4.%5.%6.%7.%8.%9"/>
      <w:lvlJc w:val="left"/>
      <w:pPr>
        <w:ind w:left="2448" w:hanging="1584"/>
      </w:pPr>
    </w:lvl>
  </w:abstractNum>
  <w:abstractNum w:abstractNumId="23">
    <w:nsid w:val="43D223BA"/>
    <w:multiLevelType w:val="hybridMultilevel"/>
    <w:tmpl w:val="9BEAEB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DA7AF9"/>
    <w:multiLevelType w:val="multilevel"/>
    <w:tmpl w:val="5C42DD98"/>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55F566EA"/>
    <w:multiLevelType w:val="multilevel"/>
    <w:tmpl w:val="EB92DB2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746"/>
        </w:tabs>
        <w:ind w:left="174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6">
    <w:nsid w:val="57EA75A8"/>
    <w:multiLevelType w:val="hybridMultilevel"/>
    <w:tmpl w:val="EECA7580"/>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7">
    <w:nsid w:val="620933FF"/>
    <w:multiLevelType w:val="multilevel"/>
    <w:tmpl w:val="981A9BA2"/>
    <w:lvl w:ilvl="0">
      <w:start w:val="1"/>
      <w:numFmt w:val="none"/>
      <w:lvlRestart w:val="0"/>
      <w:suff w:val="nothing"/>
      <w:lvlText w:val=""/>
      <w:lvlJc w:val="left"/>
      <w:pPr>
        <w:ind w:left="1440" w:hanging="720"/>
      </w:pPr>
    </w:lvl>
    <w:lvl w:ilvl="1">
      <w:start w:val="1"/>
      <w:numFmt w:val="decimalZero"/>
      <w:isLgl/>
      <w:lvlText w:val="Section %1.%2"/>
      <w:lvlJc w:val="left"/>
      <w:pPr>
        <w:ind w:left="720" w:firstLine="0"/>
      </w:pPr>
      <w:rPr>
        <w:b/>
      </w:rPr>
    </w:lvl>
    <w:lvl w:ilvl="2">
      <w:start w:val="1"/>
      <w:numFmt w:val="lowerLetter"/>
      <w:lvlText w:val="(%3)"/>
      <w:lvlJc w:val="left"/>
      <w:pPr>
        <w:ind w:left="1440" w:hanging="432"/>
      </w:pPr>
      <w:rPr>
        <w:b/>
      </w:rPr>
    </w:lvl>
    <w:lvl w:ilvl="3">
      <w:start w:val="1"/>
      <w:numFmt w:val="lowerRoman"/>
      <w:lvlText w:val="(%4)"/>
      <w:lvlJc w:val="right"/>
      <w:pPr>
        <w:ind w:left="1584" w:hanging="144"/>
      </w:pPr>
      <w:rPr>
        <w:b/>
      </w:r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8">
    <w:nsid w:val="62FC2CFF"/>
    <w:multiLevelType w:val="multilevel"/>
    <w:tmpl w:val="5C942A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3CD6DEB"/>
    <w:multiLevelType w:val="hybridMultilevel"/>
    <w:tmpl w:val="5DD2D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96612A"/>
    <w:multiLevelType w:val="hybridMultilevel"/>
    <w:tmpl w:val="977AAFF6"/>
    <w:lvl w:ilvl="0" w:tplc="8AD8F5A8">
      <w:start w:val="1"/>
      <w:numFmt w:val="low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54DFB"/>
    <w:multiLevelType w:val="multilevel"/>
    <w:tmpl w:val="04D25E80"/>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32">
    <w:nsid w:val="706B7EBE"/>
    <w:multiLevelType w:val="hybridMultilevel"/>
    <w:tmpl w:val="363ACE20"/>
    <w:lvl w:ilvl="0" w:tplc="DDC21B4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AC646E"/>
    <w:multiLevelType w:val="multilevel"/>
    <w:tmpl w:val="59965D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87740B2"/>
    <w:multiLevelType w:val="hybridMultilevel"/>
    <w:tmpl w:val="51E2C7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26A6C"/>
    <w:multiLevelType w:val="hybridMultilevel"/>
    <w:tmpl w:val="1BC22C46"/>
    <w:lvl w:ilvl="0" w:tplc="DDC21B4E">
      <w:start w:val="1"/>
      <w:numFmt w:val="lowerRoman"/>
      <w:lvlText w:val="(%1)"/>
      <w:lvlJc w:val="left"/>
      <w:pPr>
        <w:ind w:left="1440" w:hanging="360"/>
      </w:pPr>
      <w:rPr>
        <w:rFonts w:hint="default"/>
      </w:rPr>
    </w:lvl>
    <w:lvl w:ilvl="1" w:tplc="DDC21B4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D2C74"/>
    <w:multiLevelType w:val="multilevel"/>
    <w:tmpl w:val="78167416"/>
    <w:lvl w:ilvl="0">
      <w:start w:val="1"/>
      <w:numFmt w:val="upperLetter"/>
      <w:lvlText w:val="%1."/>
      <w:lvlJc w:val="left"/>
      <w:pPr>
        <w:ind w:left="4824" w:hanging="720"/>
      </w:pPr>
      <w:rPr>
        <w:rFonts w:hint="default"/>
      </w:rPr>
    </w:lvl>
    <w:lvl w:ilvl="1">
      <w:start w:val="1"/>
      <w:numFmt w:val="decimal"/>
      <w:lvlText w:val="%2."/>
      <w:lvlJc w:val="left"/>
      <w:pPr>
        <w:tabs>
          <w:tab w:val="num" w:pos="5400"/>
        </w:tabs>
        <w:ind w:left="5400" w:hanging="576"/>
      </w:pPr>
      <w:rPr>
        <w:rFonts w:hint="default"/>
        <w:b/>
      </w:rPr>
    </w:lvl>
    <w:lvl w:ilvl="2">
      <w:start w:val="1"/>
      <w:numFmt w:val="lowerLetter"/>
      <w:lvlText w:val="%3)"/>
      <w:lvlJc w:val="left"/>
      <w:pPr>
        <w:tabs>
          <w:tab w:val="num" w:pos="5976"/>
        </w:tabs>
        <w:ind w:left="5976" w:hanging="576"/>
      </w:pPr>
      <w:rPr>
        <w:rFonts w:hint="default"/>
        <w:b/>
      </w:rPr>
    </w:lvl>
    <w:lvl w:ilvl="3">
      <w:start w:val="1"/>
      <w:numFmt w:val="lowerRoman"/>
      <w:lvlText w:val="(%4)"/>
      <w:lvlJc w:val="right"/>
      <w:pPr>
        <w:tabs>
          <w:tab w:val="num" w:pos="6480"/>
        </w:tabs>
        <w:ind w:left="6480" w:hanging="288"/>
      </w:pPr>
      <w:rPr>
        <w:rFonts w:hint="default"/>
        <w:b/>
      </w:rPr>
    </w:lvl>
    <w:lvl w:ilvl="4">
      <w:start w:val="1"/>
      <w:numFmt w:val="decimal"/>
      <w:lvlText w:val="%5)"/>
      <w:lvlJc w:val="left"/>
      <w:pPr>
        <w:ind w:left="5112" w:hanging="432"/>
      </w:pPr>
      <w:rPr>
        <w:rFonts w:hint="default"/>
      </w:rPr>
    </w:lvl>
    <w:lvl w:ilvl="5">
      <w:start w:val="1"/>
      <w:numFmt w:val="lowerLetter"/>
      <w:lvlText w:val="%6)"/>
      <w:lvlJc w:val="left"/>
      <w:pPr>
        <w:ind w:left="5256" w:hanging="432"/>
      </w:pPr>
      <w:rPr>
        <w:rFonts w:hint="default"/>
      </w:rPr>
    </w:lvl>
    <w:lvl w:ilvl="6">
      <w:start w:val="1"/>
      <w:numFmt w:val="lowerRoman"/>
      <w:lvlText w:val="%7)"/>
      <w:lvlJc w:val="right"/>
      <w:pPr>
        <w:ind w:left="5400" w:hanging="288"/>
      </w:pPr>
      <w:rPr>
        <w:rFonts w:hint="default"/>
      </w:rPr>
    </w:lvl>
    <w:lvl w:ilvl="7">
      <w:start w:val="1"/>
      <w:numFmt w:val="lowerLetter"/>
      <w:lvlText w:val="%8."/>
      <w:lvlJc w:val="left"/>
      <w:pPr>
        <w:ind w:left="5544" w:hanging="432"/>
      </w:pPr>
      <w:rPr>
        <w:rFonts w:hint="default"/>
      </w:rPr>
    </w:lvl>
    <w:lvl w:ilvl="8">
      <w:start w:val="1"/>
      <w:numFmt w:val="lowerRoman"/>
      <w:lvlText w:val="%9."/>
      <w:lvlJc w:val="right"/>
      <w:pPr>
        <w:ind w:left="5688" w:hanging="144"/>
      </w:pPr>
      <w:rPr>
        <w:rFonts w:hint="default"/>
      </w:rPr>
    </w:lvl>
  </w:abstractNum>
  <w:num w:numId="1">
    <w:abstractNumId w:val="22"/>
  </w:num>
  <w:num w:numId="2">
    <w:abstractNumId w:val="27"/>
  </w:num>
  <w:num w:numId="3">
    <w:abstractNumId w:val="35"/>
  </w:num>
  <w:num w:numId="4">
    <w:abstractNumId w:val="32"/>
  </w:num>
  <w:num w:numId="5">
    <w:abstractNumId w:val="17"/>
  </w:num>
  <w:num w:numId="6">
    <w:abstractNumId w:val="21"/>
  </w:num>
  <w:num w:numId="7">
    <w:abstractNumId w:val="5"/>
  </w:num>
  <w:num w:numId="8">
    <w:abstractNumId w:val="0"/>
  </w:num>
  <w:num w:numId="9">
    <w:abstractNumId w:val="9"/>
  </w:num>
  <w:num w:numId="10">
    <w:abstractNumId w:val="2"/>
  </w:num>
  <w:num w:numId="11">
    <w:abstractNumId w:val="6"/>
  </w:num>
  <w:num w:numId="12">
    <w:abstractNumId w:val="16"/>
  </w:num>
  <w:num w:numId="13">
    <w:abstractNumId w:val="23"/>
  </w:num>
  <w:num w:numId="14">
    <w:abstractNumId w:val="34"/>
  </w:num>
  <w:num w:numId="15">
    <w:abstractNumId w:val="3"/>
  </w:num>
  <w:num w:numId="16">
    <w:abstractNumId w:val="36"/>
  </w:num>
  <w:num w:numId="17">
    <w:abstractNumId w:val="22"/>
  </w:num>
  <w:num w:numId="18">
    <w:abstractNumId w:val="27"/>
  </w:num>
  <w:num w:numId="19">
    <w:abstractNumId w:val="33"/>
  </w:num>
  <w:num w:numId="20">
    <w:abstractNumId w:val="24"/>
  </w:num>
  <w:num w:numId="21">
    <w:abstractNumId w:val="31"/>
  </w:num>
  <w:num w:numId="22">
    <w:abstractNumId w:val="28"/>
  </w:num>
  <w:num w:numId="23">
    <w:abstractNumId w:val="14"/>
  </w:num>
  <w:num w:numId="24">
    <w:abstractNumId w:val="8"/>
  </w:num>
  <w:num w:numId="25">
    <w:abstractNumId w:val="4"/>
  </w:num>
  <w:num w:numId="26">
    <w:abstractNumId w:val="19"/>
  </w:num>
  <w:num w:numId="27">
    <w:abstractNumId w:val="7"/>
  </w:num>
  <w:num w:numId="28">
    <w:abstractNumId w:val="29"/>
  </w:num>
  <w:num w:numId="29">
    <w:abstractNumId w:val="1"/>
  </w:num>
  <w:num w:numId="30">
    <w:abstractNumId w:val="13"/>
  </w:num>
  <w:num w:numId="31">
    <w:abstractNumId w:val="26"/>
  </w:num>
  <w:num w:numId="32">
    <w:abstractNumId w:val="11"/>
  </w:num>
  <w:num w:numId="33">
    <w:abstractNumId w:val="20"/>
  </w:num>
  <w:num w:numId="34">
    <w:abstractNumId w:val="10"/>
  </w:num>
  <w:num w:numId="35">
    <w:abstractNumId w:val="15"/>
  </w:num>
  <w:num w:numId="36">
    <w:abstractNumId w:val="18"/>
  </w:num>
  <w:num w:numId="37">
    <w:abstractNumId w:val="25"/>
  </w:num>
  <w:num w:numId="38">
    <w:abstractNumId w:val="30"/>
  </w:num>
  <w:num w:numId="39">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Isabel Haro">
    <w15:presenceInfo w15:providerId="Windows Live" w15:userId="4afc8bac1d8c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76"/>
    <w:rsid w:val="00003421"/>
    <w:rsid w:val="0000367B"/>
    <w:rsid w:val="0000748A"/>
    <w:rsid w:val="000115B1"/>
    <w:rsid w:val="00012AF3"/>
    <w:rsid w:val="00012B4D"/>
    <w:rsid w:val="00013AED"/>
    <w:rsid w:val="00013FE0"/>
    <w:rsid w:val="00022216"/>
    <w:rsid w:val="000239DC"/>
    <w:rsid w:val="00023CBF"/>
    <w:rsid w:val="00024F8D"/>
    <w:rsid w:val="000265B2"/>
    <w:rsid w:val="00031F90"/>
    <w:rsid w:val="00033259"/>
    <w:rsid w:val="00036486"/>
    <w:rsid w:val="0003738D"/>
    <w:rsid w:val="0004092D"/>
    <w:rsid w:val="00040FD7"/>
    <w:rsid w:val="000420C0"/>
    <w:rsid w:val="00043320"/>
    <w:rsid w:val="000445BC"/>
    <w:rsid w:val="00045E4B"/>
    <w:rsid w:val="000465B1"/>
    <w:rsid w:val="0005184C"/>
    <w:rsid w:val="00061C4D"/>
    <w:rsid w:val="0006355D"/>
    <w:rsid w:val="00063A89"/>
    <w:rsid w:val="000644CD"/>
    <w:rsid w:val="00065C6C"/>
    <w:rsid w:val="0007049E"/>
    <w:rsid w:val="0007128F"/>
    <w:rsid w:val="00071970"/>
    <w:rsid w:val="00071AD1"/>
    <w:rsid w:val="00086FA4"/>
    <w:rsid w:val="0009071C"/>
    <w:rsid w:val="0009334D"/>
    <w:rsid w:val="00094DE4"/>
    <w:rsid w:val="0009769D"/>
    <w:rsid w:val="000A03E4"/>
    <w:rsid w:val="000A4CC9"/>
    <w:rsid w:val="000A50B1"/>
    <w:rsid w:val="000A52FD"/>
    <w:rsid w:val="000B0692"/>
    <w:rsid w:val="000B0C33"/>
    <w:rsid w:val="000B2B08"/>
    <w:rsid w:val="000B3BE5"/>
    <w:rsid w:val="000B4028"/>
    <w:rsid w:val="000B583A"/>
    <w:rsid w:val="000B5BD8"/>
    <w:rsid w:val="000B6E12"/>
    <w:rsid w:val="000B7A4C"/>
    <w:rsid w:val="000B7DF6"/>
    <w:rsid w:val="000C1F73"/>
    <w:rsid w:val="000C2E2F"/>
    <w:rsid w:val="000C43C4"/>
    <w:rsid w:val="000C6ED5"/>
    <w:rsid w:val="000D1D03"/>
    <w:rsid w:val="000D7630"/>
    <w:rsid w:val="000D77DB"/>
    <w:rsid w:val="000D78EB"/>
    <w:rsid w:val="000D79E9"/>
    <w:rsid w:val="000E034F"/>
    <w:rsid w:val="000E3268"/>
    <w:rsid w:val="000E4B93"/>
    <w:rsid w:val="000E4DFE"/>
    <w:rsid w:val="000F2055"/>
    <w:rsid w:val="000F376F"/>
    <w:rsid w:val="000F3CD3"/>
    <w:rsid w:val="000F6AD3"/>
    <w:rsid w:val="000F715E"/>
    <w:rsid w:val="000F72C7"/>
    <w:rsid w:val="001016A1"/>
    <w:rsid w:val="001036F3"/>
    <w:rsid w:val="00103FE8"/>
    <w:rsid w:val="001067BE"/>
    <w:rsid w:val="00106FCC"/>
    <w:rsid w:val="00107710"/>
    <w:rsid w:val="0011220D"/>
    <w:rsid w:val="00113FC7"/>
    <w:rsid w:val="00114721"/>
    <w:rsid w:val="00114E8F"/>
    <w:rsid w:val="00116245"/>
    <w:rsid w:val="001224E2"/>
    <w:rsid w:val="001239F1"/>
    <w:rsid w:val="00124021"/>
    <w:rsid w:val="00126557"/>
    <w:rsid w:val="00127BE9"/>
    <w:rsid w:val="001300FC"/>
    <w:rsid w:val="00133BD8"/>
    <w:rsid w:val="0013650E"/>
    <w:rsid w:val="00140027"/>
    <w:rsid w:val="00142CE0"/>
    <w:rsid w:val="001432EB"/>
    <w:rsid w:val="00144249"/>
    <w:rsid w:val="00145293"/>
    <w:rsid w:val="00146ECB"/>
    <w:rsid w:val="00147D43"/>
    <w:rsid w:val="0015185A"/>
    <w:rsid w:val="00151B50"/>
    <w:rsid w:val="00153D12"/>
    <w:rsid w:val="001554B5"/>
    <w:rsid w:val="00155C48"/>
    <w:rsid w:val="00156636"/>
    <w:rsid w:val="00160DDB"/>
    <w:rsid w:val="00164CFA"/>
    <w:rsid w:val="00165E98"/>
    <w:rsid w:val="00165F40"/>
    <w:rsid w:val="001707E2"/>
    <w:rsid w:val="00170868"/>
    <w:rsid w:val="001724E1"/>
    <w:rsid w:val="0017262B"/>
    <w:rsid w:val="00173BAE"/>
    <w:rsid w:val="00174E61"/>
    <w:rsid w:val="00175F28"/>
    <w:rsid w:val="00175FA9"/>
    <w:rsid w:val="00177CB8"/>
    <w:rsid w:val="00182C3B"/>
    <w:rsid w:val="00183777"/>
    <w:rsid w:val="001846C3"/>
    <w:rsid w:val="00184BA6"/>
    <w:rsid w:val="00190CCA"/>
    <w:rsid w:val="0019227E"/>
    <w:rsid w:val="00196579"/>
    <w:rsid w:val="001975D3"/>
    <w:rsid w:val="00197F8D"/>
    <w:rsid w:val="001A09CA"/>
    <w:rsid w:val="001A0CAE"/>
    <w:rsid w:val="001A2BD2"/>
    <w:rsid w:val="001A77A2"/>
    <w:rsid w:val="001A78C7"/>
    <w:rsid w:val="001B1A0E"/>
    <w:rsid w:val="001B2DC4"/>
    <w:rsid w:val="001B3F35"/>
    <w:rsid w:val="001B4097"/>
    <w:rsid w:val="001C2AF0"/>
    <w:rsid w:val="001C3CAA"/>
    <w:rsid w:val="001C62EA"/>
    <w:rsid w:val="001C7206"/>
    <w:rsid w:val="001C7920"/>
    <w:rsid w:val="001D1F5C"/>
    <w:rsid w:val="001D5BF6"/>
    <w:rsid w:val="001D7F24"/>
    <w:rsid w:val="001E334A"/>
    <w:rsid w:val="001E3FAB"/>
    <w:rsid w:val="001E6662"/>
    <w:rsid w:val="001E6AB8"/>
    <w:rsid w:val="001E6DCA"/>
    <w:rsid w:val="001E7D08"/>
    <w:rsid w:val="001F0AD2"/>
    <w:rsid w:val="001F0E26"/>
    <w:rsid w:val="001F5168"/>
    <w:rsid w:val="001F5395"/>
    <w:rsid w:val="001F53A5"/>
    <w:rsid w:val="001F5F05"/>
    <w:rsid w:val="001F6A52"/>
    <w:rsid w:val="001F7FE3"/>
    <w:rsid w:val="00202A0B"/>
    <w:rsid w:val="00202A77"/>
    <w:rsid w:val="00205D62"/>
    <w:rsid w:val="00206094"/>
    <w:rsid w:val="00207E1A"/>
    <w:rsid w:val="0021359A"/>
    <w:rsid w:val="0022067B"/>
    <w:rsid w:val="002206B3"/>
    <w:rsid w:val="00220B2F"/>
    <w:rsid w:val="002215C1"/>
    <w:rsid w:val="0022203E"/>
    <w:rsid w:val="0022286B"/>
    <w:rsid w:val="00224DA0"/>
    <w:rsid w:val="00225712"/>
    <w:rsid w:val="00225938"/>
    <w:rsid w:val="002259EB"/>
    <w:rsid w:val="002345AA"/>
    <w:rsid w:val="00234F1F"/>
    <w:rsid w:val="00236FDB"/>
    <w:rsid w:val="00240E0F"/>
    <w:rsid w:val="00241C70"/>
    <w:rsid w:val="00241DE4"/>
    <w:rsid w:val="002425EC"/>
    <w:rsid w:val="00251449"/>
    <w:rsid w:val="002541FC"/>
    <w:rsid w:val="00254321"/>
    <w:rsid w:val="00254E47"/>
    <w:rsid w:val="002556E3"/>
    <w:rsid w:val="0025635D"/>
    <w:rsid w:val="00256411"/>
    <w:rsid w:val="00257C22"/>
    <w:rsid w:val="002600BE"/>
    <w:rsid w:val="00262A48"/>
    <w:rsid w:val="0026598F"/>
    <w:rsid w:val="00265D69"/>
    <w:rsid w:val="00266E3F"/>
    <w:rsid w:val="00271CB5"/>
    <w:rsid w:val="00271D05"/>
    <w:rsid w:val="00272498"/>
    <w:rsid w:val="00272943"/>
    <w:rsid w:val="00273AA6"/>
    <w:rsid w:val="00273CD3"/>
    <w:rsid w:val="00281172"/>
    <w:rsid w:val="0028341E"/>
    <w:rsid w:val="00286AEC"/>
    <w:rsid w:val="002906B1"/>
    <w:rsid w:val="0029077B"/>
    <w:rsid w:val="00290DC5"/>
    <w:rsid w:val="00296B28"/>
    <w:rsid w:val="0029748A"/>
    <w:rsid w:val="00297CDD"/>
    <w:rsid w:val="00297D54"/>
    <w:rsid w:val="002A0500"/>
    <w:rsid w:val="002A56C6"/>
    <w:rsid w:val="002A580C"/>
    <w:rsid w:val="002A66EB"/>
    <w:rsid w:val="002A74DF"/>
    <w:rsid w:val="002B4275"/>
    <w:rsid w:val="002B4914"/>
    <w:rsid w:val="002B5A69"/>
    <w:rsid w:val="002C1106"/>
    <w:rsid w:val="002C60B6"/>
    <w:rsid w:val="002C6C43"/>
    <w:rsid w:val="002D006B"/>
    <w:rsid w:val="002E3E0D"/>
    <w:rsid w:val="002E51D8"/>
    <w:rsid w:val="002E589D"/>
    <w:rsid w:val="002E66AC"/>
    <w:rsid w:val="002E7EA1"/>
    <w:rsid w:val="002F25E8"/>
    <w:rsid w:val="002F3720"/>
    <w:rsid w:val="002F5640"/>
    <w:rsid w:val="002F6B13"/>
    <w:rsid w:val="0030044D"/>
    <w:rsid w:val="00300CCA"/>
    <w:rsid w:val="003042AC"/>
    <w:rsid w:val="003070F7"/>
    <w:rsid w:val="00313F1A"/>
    <w:rsid w:val="00315656"/>
    <w:rsid w:val="00320702"/>
    <w:rsid w:val="00324402"/>
    <w:rsid w:val="00327719"/>
    <w:rsid w:val="003305C3"/>
    <w:rsid w:val="00331BAC"/>
    <w:rsid w:val="003325C4"/>
    <w:rsid w:val="00334205"/>
    <w:rsid w:val="00334E45"/>
    <w:rsid w:val="003356A2"/>
    <w:rsid w:val="003366FB"/>
    <w:rsid w:val="00341033"/>
    <w:rsid w:val="0034379C"/>
    <w:rsid w:val="00350F28"/>
    <w:rsid w:val="003512C5"/>
    <w:rsid w:val="0035174E"/>
    <w:rsid w:val="00354901"/>
    <w:rsid w:val="00355306"/>
    <w:rsid w:val="00355CE6"/>
    <w:rsid w:val="00355E9F"/>
    <w:rsid w:val="00356EAE"/>
    <w:rsid w:val="003614D9"/>
    <w:rsid w:val="00361B21"/>
    <w:rsid w:val="0036204D"/>
    <w:rsid w:val="0036408E"/>
    <w:rsid w:val="003649D7"/>
    <w:rsid w:val="00372634"/>
    <w:rsid w:val="00372EB9"/>
    <w:rsid w:val="0037447A"/>
    <w:rsid w:val="00375FFA"/>
    <w:rsid w:val="00380B19"/>
    <w:rsid w:val="00382670"/>
    <w:rsid w:val="0038316F"/>
    <w:rsid w:val="00383294"/>
    <w:rsid w:val="003872E7"/>
    <w:rsid w:val="00387655"/>
    <w:rsid w:val="003907F8"/>
    <w:rsid w:val="003913D7"/>
    <w:rsid w:val="00394AA2"/>
    <w:rsid w:val="0039594D"/>
    <w:rsid w:val="00396D90"/>
    <w:rsid w:val="003A1603"/>
    <w:rsid w:val="003A39FF"/>
    <w:rsid w:val="003A4029"/>
    <w:rsid w:val="003A44B1"/>
    <w:rsid w:val="003A6898"/>
    <w:rsid w:val="003A7C22"/>
    <w:rsid w:val="003B090E"/>
    <w:rsid w:val="003B38A2"/>
    <w:rsid w:val="003B5A40"/>
    <w:rsid w:val="003B6094"/>
    <w:rsid w:val="003C220F"/>
    <w:rsid w:val="003C2F71"/>
    <w:rsid w:val="003C3EC6"/>
    <w:rsid w:val="003C72E0"/>
    <w:rsid w:val="003D24E3"/>
    <w:rsid w:val="003D4ABF"/>
    <w:rsid w:val="003E0DDD"/>
    <w:rsid w:val="003E0E63"/>
    <w:rsid w:val="003E39F6"/>
    <w:rsid w:val="003E42E6"/>
    <w:rsid w:val="003E5A35"/>
    <w:rsid w:val="003E5D73"/>
    <w:rsid w:val="003E6610"/>
    <w:rsid w:val="003E7CA2"/>
    <w:rsid w:val="003F152F"/>
    <w:rsid w:val="003F1FF3"/>
    <w:rsid w:val="003F3F56"/>
    <w:rsid w:val="003F52D2"/>
    <w:rsid w:val="00400EAD"/>
    <w:rsid w:val="004031E8"/>
    <w:rsid w:val="00403D04"/>
    <w:rsid w:val="00404911"/>
    <w:rsid w:val="00412E37"/>
    <w:rsid w:val="00415983"/>
    <w:rsid w:val="00416336"/>
    <w:rsid w:val="004171C8"/>
    <w:rsid w:val="0041755E"/>
    <w:rsid w:val="0042079D"/>
    <w:rsid w:val="00422597"/>
    <w:rsid w:val="00424A74"/>
    <w:rsid w:val="00427213"/>
    <w:rsid w:val="00427BF7"/>
    <w:rsid w:val="00430159"/>
    <w:rsid w:val="00431061"/>
    <w:rsid w:val="0043561F"/>
    <w:rsid w:val="00437463"/>
    <w:rsid w:val="00437A1E"/>
    <w:rsid w:val="004529E6"/>
    <w:rsid w:val="004535D7"/>
    <w:rsid w:val="00453B0B"/>
    <w:rsid w:val="004542BA"/>
    <w:rsid w:val="004577C5"/>
    <w:rsid w:val="00461283"/>
    <w:rsid w:val="00463CAA"/>
    <w:rsid w:val="00470B88"/>
    <w:rsid w:val="004712FA"/>
    <w:rsid w:val="00471611"/>
    <w:rsid w:val="00471915"/>
    <w:rsid w:val="00474B47"/>
    <w:rsid w:val="00475790"/>
    <w:rsid w:val="0047633A"/>
    <w:rsid w:val="00476A4E"/>
    <w:rsid w:val="004771B9"/>
    <w:rsid w:val="00477B37"/>
    <w:rsid w:val="00480BDA"/>
    <w:rsid w:val="00485301"/>
    <w:rsid w:val="004903AC"/>
    <w:rsid w:val="00491389"/>
    <w:rsid w:val="004915F7"/>
    <w:rsid w:val="004938D5"/>
    <w:rsid w:val="004A0402"/>
    <w:rsid w:val="004A1FEE"/>
    <w:rsid w:val="004A36DF"/>
    <w:rsid w:val="004A4489"/>
    <w:rsid w:val="004A4F36"/>
    <w:rsid w:val="004A515A"/>
    <w:rsid w:val="004A6667"/>
    <w:rsid w:val="004A7D21"/>
    <w:rsid w:val="004B11E7"/>
    <w:rsid w:val="004B2E38"/>
    <w:rsid w:val="004B343B"/>
    <w:rsid w:val="004B3EE5"/>
    <w:rsid w:val="004B4410"/>
    <w:rsid w:val="004B5334"/>
    <w:rsid w:val="004B5555"/>
    <w:rsid w:val="004B5C71"/>
    <w:rsid w:val="004C0076"/>
    <w:rsid w:val="004C4DA6"/>
    <w:rsid w:val="004C50AE"/>
    <w:rsid w:val="004C5326"/>
    <w:rsid w:val="004C7879"/>
    <w:rsid w:val="004C7994"/>
    <w:rsid w:val="004C7A99"/>
    <w:rsid w:val="004D00F5"/>
    <w:rsid w:val="004D33B4"/>
    <w:rsid w:val="004D35BE"/>
    <w:rsid w:val="004D38D2"/>
    <w:rsid w:val="004D3C2E"/>
    <w:rsid w:val="004D416C"/>
    <w:rsid w:val="004D54E2"/>
    <w:rsid w:val="004D7B20"/>
    <w:rsid w:val="004E1744"/>
    <w:rsid w:val="004E4F25"/>
    <w:rsid w:val="004E5364"/>
    <w:rsid w:val="004E5EBA"/>
    <w:rsid w:val="004E6698"/>
    <w:rsid w:val="004F14B5"/>
    <w:rsid w:val="004F4F0D"/>
    <w:rsid w:val="004F5DCB"/>
    <w:rsid w:val="004F7D2F"/>
    <w:rsid w:val="005027B6"/>
    <w:rsid w:val="0050391A"/>
    <w:rsid w:val="00507C50"/>
    <w:rsid w:val="00510A79"/>
    <w:rsid w:val="00511B15"/>
    <w:rsid w:val="005133E5"/>
    <w:rsid w:val="00515EEF"/>
    <w:rsid w:val="00515F91"/>
    <w:rsid w:val="00517898"/>
    <w:rsid w:val="00526E53"/>
    <w:rsid w:val="0053125F"/>
    <w:rsid w:val="00532573"/>
    <w:rsid w:val="005357B0"/>
    <w:rsid w:val="00540490"/>
    <w:rsid w:val="00543A15"/>
    <w:rsid w:val="00543FAB"/>
    <w:rsid w:val="005468DA"/>
    <w:rsid w:val="00546AF7"/>
    <w:rsid w:val="00551D8D"/>
    <w:rsid w:val="00554822"/>
    <w:rsid w:val="00555907"/>
    <w:rsid w:val="00557595"/>
    <w:rsid w:val="00561A04"/>
    <w:rsid w:val="005628F5"/>
    <w:rsid w:val="005630D0"/>
    <w:rsid w:val="0056310D"/>
    <w:rsid w:val="005657A6"/>
    <w:rsid w:val="00565D8D"/>
    <w:rsid w:val="00567004"/>
    <w:rsid w:val="00575001"/>
    <w:rsid w:val="00576CD7"/>
    <w:rsid w:val="00580A5F"/>
    <w:rsid w:val="00581D80"/>
    <w:rsid w:val="00582E08"/>
    <w:rsid w:val="00586959"/>
    <w:rsid w:val="005916F4"/>
    <w:rsid w:val="005A002E"/>
    <w:rsid w:val="005A0528"/>
    <w:rsid w:val="005A0D1E"/>
    <w:rsid w:val="005B0669"/>
    <w:rsid w:val="005B163F"/>
    <w:rsid w:val="005B40D1"/>
    <w:rsid w:val="005B5952"/>
    <w:rsid w:val="005C32F4"/>
    <w:rsid w:val="005C42B7"/>
    <w:rsid w:val="005C50F7"/>
    <w:rsid w:val="005D0609"/>
    <w:rsid w:val="005D131E"/>
    <w:rsid w:val="005D22AE"/>
    <w:rsid w:val="005E09B4"/>
    <w:rsid w:val="005E0BDF"/>
    <w:rsid w:val="005F0FF7"/>
    <w:rsid w:val="005F28A5"/>
    <w:rsid w:val="005F3473"/>
    <w:rsid w:val="005F46A6"/>
    <w:rsid w:val="005F52F9"/>
    <w:rsid w:val="006006A7"/>
    <w:rsid w:val="00602F69"/>
    <w:rsid w:val="00604036"/>
    <w:rsid w:val="00610135"/>
    <w:rsid w:val="0061086F"/>
    <w:rsid w:val="00617C83"/>
    <w:rsid w:val="00620864"/>
    <w:rsid w:val="0062223A"/>
    <w:rsid w:val="00625C4B"/>
    <w:rsid w:val="00627382"/>
    <w:rsid w:val="006277FB"/>
    <w:rsid w:val="00627841"/>
    <w:rsid w:val="00631B34"/>
    <w:rsid w:val="00632708"/>
    <w:rsid w:val="00633BD2"/>
    <w:rsid w:val="0063405C"/>
    <w:rsid w:val="00635B6A"/>
    <w:rsid w:val="00636EE9"/>
    <w:rsid w:val="006406C5"/>
    <w:rsid w:val="0064134D"/>
    <w:rsid w:val="00642298"/>
    <w:rsid w:val="00644590"/>
    <w:rsid w:val="00644671"/>
    <w:rsid w:val="0064509D"/>
    <w:rsid w:val="006453C6"/>
    <w:rsid w:val="00646175"/>
    <w:rsid w:val="00646B74"/>
    <w:rsid w:val="00647883"/>
    <w:rsid w:val="00650586"/>
    <w:rsid w:val="006523C9"/>
    <w:rsid w:val="00652CF2"/>
    <w:rsid w:val="00652E2B"/>
    <w:rsid w:val="00657E6E"/>
    <w:rsid w:val="00664F7D"/>
    <w:rsid w:val="00665B5F"/>
    <w:rsid w:val="00665CFB"/>
    <w:rsid w:val="00676325"/>
    <w:rsid w:val="00677258"/>
    <w:rsid w:val="0067769E"/>
    <w:rsid w:val="0068063C"/>
    <w:rsid w:val="006828E1"/>
    <w:rsid w:val="00684BFF"/>
    <w:rsid w:val="00691407"/>
    <w:rsid w:val="0069272C"/>
    <w:rsid w:val="00693A57"/>
    <w:rsid w:val="006945A0"/>
    <w:rsid w:val="006960BA"/>
    <w:rsid w:val="006971E7"/>
    <w:rsid w:val="006A14FF"/>
    <w:rsid w:val="006A2B9A"/>
    <w:rsid w:val="006A2BA3"/>
    <w:rsid w:val="006A2DB7"/>
    <w:rsid w:val="006A416E"/>
    <w:rsid w:val="006A4411"/>
    <w:rsid w:val="006A45E1"/>
    <w:rsid w:val="006A4AD5"/>
    <w:rsid w:val="006A5F3B"/>
    <w:rsid w:val="006A6DD2"/>
    <w:rsid w:val="006A7763"/>
    <w:rsid w:val="006C2528"/>
    <w:rsid w:val="006C299C"/>
    <w:rsid w:val="006C2F36"/>
    <w:rsid w:val="006C3318"/>
    <w:rsid w:val="006C509F"/>
    <w:rsid w:val="006C5CAE"/>
    <w:rsid w:val="006D3FC9"/>
    <w:rsid w:val="006D4211"/>
    <w:rsid w:val="006D5446"/>
    <w:rsid w:val="006E0D6C"/>
    <w:rsid w:val="006E2209"/>
    <w:rsid w:val="006E6066"/>
    <w:rsid w:val="006E708A"/>
    <w:rsid w:val="006F1644"/>
    <w:rsid w:val="006F1B8E"/>
    <w:rsid w:val="006F6956"/>
    <w:rsid w:val="006F7922"/>
    <w:rsid w:val="0070264F"/>
    <w:rsid w:val="0070461F"/>
    <w:rsid w:val="00704766"/>
    <w:rsid w:val="00705F71"/>
    <w:rsid w:val="00707CC7"/>
    <w:rsid w:val="00710BE1"/>
    <w:rsid w:val="007119D0"/>
    <w:rsid w:val="00711C44"/>
    <w:rsid w:val="007132FE"/>
    <w:rsid w:val="00713B6F"/>
    <w:rsid w:val="00720630"/>
    <w:rsid w:val="00721E81"/>
    <w:rsid w:val="007235DF"/>
    <w:rsid w:val="00725516"/>
    <w:rsid w:val="0072551A"/>
    <w:rsid w:val="00730275"/>
    <w:rsid w:val="007302E1"/>
    <w:rsid w:val="00730BAE"/>
    <w:rsid w:val="00734766"/>
    <w:rsid w:val="00734FBF"/>
    <w:rsid w:val="00737F06"/>
    <w:rsid w:val="00742BD4"/>
    <w:rsid w:val="00743048"/>
    <w:rsid w:val="00746D8E"/>
    <w:rsid w:val="00753B48"/>
    <w:rsid w:val="00756F4C"/>
    <w:rsid w:val="00765A1D"/>
    <w:rsid w:val="00767498"/>
    <w:rsid w:val="0078026B"/>
    <w:rsid w:val="007906E3"/>
    <w:rsid w:val="007915EF"/>
    <w:rsid w:val="00794810"/>
    <w:rsid w:val="00797D05"/>
    <w:rsid w:val="007A0FF4"/>
    <w:rsid w:val="007A25A6"/>
    <w:rsid w:val="007A345E"/>
    <w:rsid w:val="007A3CED"/>
    <w:rsid w:val="007A73B2"/>
    <w:rsid w:val="007B0CF3"/>
    <w:rsid w:val="007B2D33"/>
    <w:rsid w:val="007B4F3C"/>
    <w:rsid w:val="007B70AB"/>
    <w:rsid w:val="007B7332"/>
    <w:rsid w:val="007B73CF"/>
    <w:rsid w:val="007C1010"/>
    <w:rsid w:val="007C37F4"/>
    <w:rsid w:val="007C6E7F"/>
    <w:rsid w:val="007C731A"/>
    <w:rsid w:val="007D058A"/>
    <w:rsid w:val="007D0F6A"/>
    <w:rsid w:val="007D12D7"/>
    <w:rsid w:val="007D1695"/>
    <w:rsid w:val="007D1DF6"/>
    <w:rsid w:val="007D35D4"/>
    <w:rsid w:val="007D3E49"/>
    <w:rsid w:val="007D5042"/>
    <w:rsid w:val="007D53A1"/>
    <w:rsid w:val="007D5F10"/>
    <w:rsid w:val="007D7409"/>
    <w:rsid w:val="007E2F4D"/>
    <w:rsid w:val="007E3196"/>
    <w:rsid w:val="007E349E"/>
    <w:rsid w:val="007E422E"/>
    <w:rsid w:val="007E5D24"/>
    <w:rsid w:val="007F2162"/>
    <w:rsid w:val="007F3357"/>
    <w:rsid w:val="007F54B5"/>
    <w:rsid w:val="007F69DE"/>
    <w:rsid w:val="007F75B0"/>
    <w:rsid w:val="008004AC"/>
    <w:rsid w:val="008024D6"/>
    <w:rsid w:val="00807924"/>
    <w:rsid w:val="00811636"/>
    <w:rsid w:val="00812104"/>
    <w:rsid w:val="00813445"/>
    <w:rsid w:val="00813CA8"/>
    <w:rsid w:val="00814FF1"/>
    <w:rsid w:val="0081549B"/>
    <w:rsid w:val="008154A8"/>
    <w:rsid w:val="00815759"/>
    <w:rsid w:val="00815A83"/>
    <w:rsid w:val="0081659C"/>
    <w:rsid w:val="00817C20"/>
    <w:rsid w:val="00817C66"/>
    <w:rsid w:val="008236A7"/>
    <w:rsid w:val="008277C9"/>
    <w:rsid w:val="008302BB"/>
    <w:rsid w:val="00831AF7"/>
    <w:rsid w:val="00832366"/>
    <w:rsid w:val="008347BF"/>
    <w:rsid w:val="00834C67"/>
    <w:rsid w:val="008376A9"/>
    <w:rsid w:val="00837AAE"/>
    <w:rsid w:val="008403BE"/>
    <w:rsid w:val="008418EB"/>
    <w:rsid w:val="008422EF"/>
    <w:rsid w:val="00842D1C"/>
    <w:rsid w:val="00843349"/>
    <w:rsid w:val="008433B4"/>
    <w:rsid w:val="008441C3"/>
    <w:rsid w:val="008441ED"/>
    <w:rsid w:val="00844D01"/>
    <w:rsid w:val="00844F1B"/>
    <w:rsid w:val="008465B6"/>
    <w:rsid w:val="00847D0F"/>
    <w:rsid w:val="00853018"/>
    <w:rsid w:val="0085335F"/>
    <w:rsid w:val="00873006"/>
    <w:rsid w:val="0087627A"/>
    <w:rsid w:val="008764A0"/>
    <w:rsid w:val="008816BF"/>
    <w:rsid w:val="00883326"/>
    <w:rsid w:val="00884115"/>
    <w:rsid w:val="00885B62"/>
    <w:rsid w:val="0088649F"/>
    <w:rsid w:val="0089071E"/>
    <w:rsid w:val="008A036C"/>
    <w:rsid w:val="008A08BE"/>
    <w:rsid w:val="008A0E7A"/>
    <w:rsid w:val="008A2BE0"/>
    <w:rsid w:val="008A5D9F"/>
    <w:rsid w:val="008A78B0"/>
    <w:rsid w:val="008B116F"/>
    <w:rsid w:val="008B2445"/>
    <w:rsid w:val="008B673C"/>
    <w:rsid w:val="008B70E6"/>
    <w:rsid w:val="008C058C"/>
    <w:rsid w:val="008C08F9"/>
    <w:rsid w:val="008C1620"/>
    <w:rsid w:val="008C347D"/>
    <w:rsid w:val="008C4F91"/>
    <w:rsid w:val="008C5455"/>
    <w:rsid w:val="008C635B"/>
    <w:rsid w:val="008D0EDF"/>
    <w:rsid w:val="008D23FA"/>
    <w:rsid w:val="008D2D46"/>
    <w:rsid w:val="008D6BC1"/>
    <w:rsid w:val="008E0860"/>
    <w:rsid w:val="008E145D"/>
    <w:rsid w:val="008E149D"/>
    <w:rsid w:val="008E26BC"/>
    <w:rsid w:val="008F1269"/>
    <w:rsid w:val="008F4723"/>
    <w:rsid w:val="008F4DC4"/>
    <w:rsid w:val="009010D2"/>
    <w:rsid w:val="0090123D"/>
    <w:rsid w:val="0090145B"/>
    <w:rsid w:val="0090301F"/>
    <w:rsid w:val="00904A95"/>
    <w:rsid w:val="009061D4"/>
    <w:rsid w:val="00906D35"/>
    <w:rsid w:val="00911D3A"/>
    <w:rsid w:val="00911D51"/>
    <w:rsid w:val="00913286"/>
    <w:rsid w:val="00915E3B"/>
    <w:rsid w:val="00924100"/>
    <w:rsid w:val="00927182"/>
    <w:rsid w:val="0093100B"/>
    <w:rsid w:val="009348D0"/>
    <w:rsid w:val="00935452"/>
    <w:rsid w:val="00936BA2"/>
    <w:rsid w:val="00937387"/>
    <w:rsid w:val="009405E9"/>
    <w:rsid w:val="00941693"/>
    <w:rsid w:val="0094223A"/>
    <w:rsid w:val="0094249B"/>
    <w:rsid w:val="00945FB7"/>
    <w:rsid w:val="00947899"/>
    <w:rsid w:val="00947CB5"/>
    <w:rsid w:val="00952C9D"/>
    <w:rsid w:val="0095433C"/>
    <w:rsid w:val="00954B06"/>
    <w:rsid w:val="00957A14"/>
    <w:rsid w:val="009649AB"/>
    <w:rsid w:val="00966481"/>
    <w:rsid w:val="009669BF"/>
    <w:rsid w:val="00966C1B"/>
    <w:rsid w:val="009672E0"/>
    <w:rsid w:val="00967786"/>
    <w:rsid w:val="00970C0C"/>
    <w:rsid w:val="0097322A"/>
    <w:rsid w:val="009764B4"/>
    <w:rsid w:val="0098144B"/>
    <w:rsid w:val="009837A7"/>
    <w:rsid w:val="009845CE"/>
    <w:rsid w:val="00985336"/>
    <w:rsid w:val="00985532"/>
    <w:rsid w:val="00985875"/>
    <w:rsid w:val="00985FA3"/>
    <w:rsid w:val="00986487"/>
    <w:rsid w:val="009865E0"/>
    <w:rsid w:val="0098699E"/>
    <w:rsid w:val="009909CE"/>
    <w:rsid w:val="00993632"/>
    <w:rsid w:val="00994AF4"/>
    <w:rsid w:val="00994D53"/>
    <w:rsid w:val="009A28A7"/>
    <w:rsid w:val="009A2970"/>
    <w:rsid w:val="009A714F"/>
    <w:rsid w:val="009B01C1"/>
    <w:rsid w:val="009B0545"/>
    <w:rsid w:val="009B06F7"/>
    <w:rsid w:val="009B1E1F"/>
    <w:rsid w:val="009B26BD"/>
    <w:rsid w:val="009B37DD"/>
    <w:rsid w:val="009B675C"/>
    <w:rsid w:val="009B78E3"/>
    <w:rsid w:val="009C469B"/>
    <w:rsid w:val="009C6697"/>
    <w:rsid w:val="009D06F5"/>
    <w:rsid w:val="009D3DCD"/>
    <w:rsid w:val="009D4AFD"/>
    <w:rsid w:val="009D53DD"/>
    <w:rsid w:val="009D77E7"/>
    <w:rsid w:val="009D7FC3"/>
    <w:rsid w:val="009E3C3E"/>
    <w:rsid w:val="009E3DFA"/>
    <w:rsid w:val="009E5B21"/>
    <w:rsid w:val="009E61B6"/>
    <w:rsid w:val="009E67E3"/>
    <w:rsid w:val="009F4948"/>
    <w:rsid w:val="00A00C82"/>
    <w:rsid w:val="00A013D0"/>
    <w:rsid w:val="00A02644"/>
    <w:rsid w:val="00A102A0"/>
    <w:rsid w:val="00A10868"/>
    <w:rsid w:val="00A130B9"/>
    <w:rsid w:val="00A13F62"/>
    <w:rsid w:val="00A2065B"/>
    <w:rsid w:val="00A21223"/>
    <w:rsid w:val="00A22AB4"/>
    <w:rsid w:val="00A24063"/>
    <w:rsid w:val="00A25C32"/>
    <w:rsid w:val="00A27AC5"/>
    <w:rsid w:val="00A32A40"/>
    <w:rsid w:val="00A362CC"/>
    <w:rsid w:val="00A3632A"/>
    <w:rsid w:val="00A36FF6"/>
    <w:rsid w:val="00A415FB"/>
    <w:rsid w:val="00A41DAA"/>
    <w:rsid w:val="00A510D0"/>
    <w:rsid w:val="00A54F04"/>
    <w:rsid w:val="00A55D52"/>
    <w:rsid w:val="00A576BF"/>
    <w:rsid w:val="00A67A2B"/>
    <w:rsid w:val="00A75829"/>
    <w:rsid w:val="00A77055"/>
    <w:rsid w:val="00A82DB4"/>
    <w:rsid w:val="00A86933"/>
    <w:rsid w:val="00A87DA9"/>
    <w:rsid w:val="00A91923"/>
    <w:rsid w:val="00A94420"/>
    <w:rsid w:val="00A94A31"/>
    <w:rsid w:val="00AA22AD"/>
    <w:rsid w:val="00AA30F0"/>
    <w:rsid w:val="00AA5300"/>
    <w:rsid w:val="00AA5433"/>
    <w:rsid w:val="00AB0D73"/>
    <w:rsid w:val="00AB1E93"/>
    <w:rsid w:val="00AB29B6"/>
    <w:rsid w:val="00AB2D49"/>
    <w:rsid w:val="00AC20A7"/>
    <w:rsid w:val="00AC374C"/>
    <w:rsid w:val="00AC40F0"/>
    <w:rsid w:val="00AC47DE"/>
    <w:rsid w:val="00AC4D21"/>
    <w:rsid w:val="00AC7FA8"/>
    <w:rsid w:val="00AD44EA"/>
    <w:rsid w:val="00AE2B9C"/>
    <w:rsid w:val="00AE79B7"/>
    <w:rsid w:val="00AF0B5A"/>
    <w:rsid w:val="00AF10CF"/>
    <w:rsid w:val="00AF13E4"/>
    <w:rsid w:val="00AF1631"/>
    <w:rsid w:val="00AF7703"/>
    <w:rsid w:val="00B00A25"/>
    <w:rsid w:val="00B01553"/>
    <w:rsid w:val="00B01E6B"/>
    <w:rsid w:val="00B01F99"/>
    <w:rsid w:val="00B04E93"/>
    <w:rsid w:val="00B05278"/>
    <w:rsid w:val="00B07088"/>
    <w:rsid w:val="00B10545"/>
    <w:rsid w:val="00B10BFA"/>
    <w:rsid w:val="00B14066"/>
    <w:rsid w:val="00B15B3B"/>
    <w:rsid w:val="00B17FA7"/>
    <w:rsid w:val="00B22A7F"/>
    <w:rsid w:val="00B266FE"/>
    <w:rsid w:val="00B27427"/>
    <w:rsid w:val="00B318CD"/>
    <w:rsid w:val="00B31E49"/>
    <w:rsid w:val="00B33936"/>
    <w:rsid w:val="00B33ED1"/>
    <w:rsid w:val="00B427F7"/>
    <w:rsid w:val="00B437EE"/>
    <w:rsid w:val="00B45BFB"/>
    <w:rsid w:val="00B51143"/>
    <w:rsid w:val="00B511DD"/>
    <w:rsid w:val="00B51498"/>
    <w:rsid w:val="00B53261"/>
    <w:rsid w:val="00B55413"/>
    <w:rsid w:val="00B558DD"/>
    <w:rsid w:val="00B60A6F"/>
    <w:rsid w:val="00B61472"/>
    <w:rsid w:val="00B625B0"/>
    <w:rsid w:val="00B67FD5"/>
    <w:rsid w:val="00B7267F"/>
    <w:rsid w:val="00B7274C"/>
    <w:rsid w:val="00B734F6"/>
    <w:rsid w:val="00B76C4B"/>
    <w:rsid w:val="00B7757B"/>
    <w:rsid w:val="00B8208B"/>
    <w:rsid w:val="00B838B6"/>
    <w:rsid w:val="00B85A08"/>
    <w:rsid w:val="00B86128"/>
    <w:rsid w:val="00B95966"/>
    <w:rsid w:val="00BA23C8"/>
    <w:rsid w:val="00BA3B38"/>
    <w:rsid w:val="00BA5897"/>
    <w:rsid w:val="00BA5CD2"/>
    <w:rsid w:val="00BB2095"/>
    <w:rsid w:val="00BB2C0E"/>
    <w:rsid w:val="00BB4EEB"/>
    <w:rsid w:val="00BB51A4"/>
    <w:rsid w:val="00BB52A4"/>
    <w:rsid w:val="00BB52E6"/>
    <w:rsid w:val="00BB695A"/>
    <w:rsid w:val="00BB782B"/>
    <w:rsid w:val="00BB7D5F"/>
    <w:rsid w:val="00BC310E"/>
    <w:rsid w:val="00BD56F0"/>
    <w:rsid w:val="00BE1104"/>
    <w:rsid w:val="00BE1205"/>
    <w:rsid w:val="00BE2607"/>
    <w:rsid w:val="00BE4AF9"/>
    <w:rsid w:val="00BE6A44"/>
    <w:rsid w:val="00BE6A81"/>
    <w:rsid w:val="00BF1352"/>
    <w:rsid w:val="00BF1C0C"/>
    <w:rsid w:val="00BF2112"/>
    <w:rsid w:val="00BF46C8"/>
    <w:rsid w:val="00BF702A"/>
    <w:rsid w:val="00BF75D7"/>
    <w:rsid w:val="00C003B7"/>
    <w:rsid w:val="00C00D8C"/>
    <w:rsid w:val="00C00F8F"/>
    <w:rsid w:val="00C01AE0"/>
    <w:rsid w:val="00C04E62"/>
    <w:rsid w:val="00C07E0C"/>
    <w:rsid w:val="00C10483"/>
    <w:rsid w:val="00C12680"/>
    <w:rsid w:val="00C12892"/>
    <w:rsid w:val="00C13912"/>
    <w:rsid w:val="00C13C09"/>
    <w:rsid w:val="00C15176"/>
    <w:rsid w:val="00C22575"/>
    <w:rsid w:val="00C2300C"/>
    <w:rsid w:val="00C30020"/>
    <w:rsid w:val="00C30386"/>
    <w:rsid w:val="00C32326"/>
    <w:rsid w:val="00C33FFD"/>
    <w:rsid w:val="00C35234"/>
    <w:rsid w:val="00C35576"/>
    <w:rsid w:val="00C366F3"/>
    <w:rsid w:val="00C3686B"/>
    <w:rsid w:val="00C37ACC"/>
    <w:rsid w:val="00C40B39"/>
    <w:rsid w:val="00C4568A"/>
    <w:rsid w:val="00C46618"/>
    <w:rsid w:val="00C51A64"/>
    <w:rsid w:val="00C51CF0"/>
    <w:rsid w:val="00C57118"/>
    <w:rsid w:val="00C61848"/>
    <w:rsid w:val="00C6251F"/>
    <w:rsid w:val="00C626E8"/>
    <w:rsid w:val="00C6614A"/>
    <w:rsid w:val="00C71C4D"/>
    <w:rsid w:val="00C751E5"/>
    <w:rsid w:val="00C75B58"/>
    <w:rsid w:val="00C7611D"/>
    <w:rsid w:val="00C76B27"/>
    <w:rsid w:val="00C7796F"/>
    <w:rsid w:val="00C85705"/>
    <w:rsid w:val="00C85CE1"/>
    <w:rsid w:val="00C90EA4"/>
    <w:rsid w:val="00C9135C"/>
    <w:rsid w:val="00C956C1"/>
    <w:rsid w:val="00C96E20"/>
    <w:rsid w:val="00CA0F4E"/>
    <w:rsid w:val="00CA170B"/>
    <w:rsid w:val="00CA2614"/>
    <w:rsid w:val="00CA27E6"/>
    <w:rsid w:val="00CA7256"/>
    <w:rsid w:val="00CA752A"/>
    <w:rsid w:val="00CB4F57"/>
    <w:rsid w:val="00CB51CA"/>
    <w:rsid w:val="00CB56F8"/>
    <w:rsid w:val="00CB5A36"/>
    <w:rsid w:val="00CB6216"/>
    <w:rsid w:val="00CB7AD7"/>
    <w:rsid w:val="00CC44C3"/>
    <w:rsid w:val="00CD1320"/>
    <w:rsid w:val="00CD2570"/>
    <w:rsid w:val="00CD7C69"/>
    <w:rsid w:val="00CD7E80"/>
    <w:rsid w:val="00CD7F48"/>
    <w:rsid w:val="00CE13D3"/>
    <w:rsid w:val="00CE1480"/>
    <w:rsid w:val="00CE35E6"/>
    <w:rsid w:val="00CE3CA6"/>
    <w:rsid w:val="00CE5D61"/>
    <w:rsid w:val="00CF23CC"/>
    <w:rsid w:val="00CF2DF6"/>
    <w:rsid w:val="00CF55C5"/>
    <w:rsid w:val="00CF651A"/>
    <w:rsid w:val="00D024DC"/>
    <w:rsid w:val="00D02610"/>
    <w:rsid w:val="00D030D6"/>
    <w:rsid w:val="00D0711D"/>
    <w:rsid w:val="00D07565"/>
    <w:rsid w:val="00D11AFB"/>
    <w:rsid w:val="00D1524D"/>
    <w:rsid w:val="00D168AE"/>
    <w:rsid w:val="00D16CC1"/>
    <w:rsid w:val="00D17997"/>
    <w:rsid w:val="00D21BA0"/>
    <w:rsid w:val="00D2249C"/>
    <w:rsid w:val="00D24F98"/>
    <w:rsid w:val="00D25B20"/>
    <w:rsid w:val="00D267E5"/>
    <w:rsid w:val="00D26D80"/>
    <w:rsid w:val="00D34728"/>
    <w:rsid w:val="00D34A6E"/>
    <w:rsid w:val="00D35E95"/>
    <w:rsid w:val="00D43F23"/>
    <w:rsid w:val="00D44491"/>
    <w:rsid w:val="00D46C5E"/>
    <w:rsid w:val="00D47495"/>
    <w:rsid w:val="00D476B1"/>
    <w:rsid w:val="00D50DBB"/>
    <w:rsid w:val="00D53430"/>
    <w:rsid w:val="00D54111"/>
    <w:rsid w:val="00D55EEC"/>
    <w:rsid w:val="00D6199C"/>
    <w:rsid w:val="00D65516"/>
    <w:rsid w:val="00D65563"/>
    <w:rsid w:val="00D667B6"/>
    <w:rsid w:val="00D7178D"/>
    <w:rsid w:val="00D7281E"/>
    <w:rsid w:val="00D73891"/>
    <w:rsid w:val="00D773C1"/>
    <w:rsid w:val="00D774B9"/>
    <w:rsid w:val="00D81AAA"/>
    <w:rsid w:val="00D823BE"/>
    <w:rsid w:val="00D86179"/>
    <w:rsid w:val="00D86D74"/>
    <w:rsid w:val="00D87757"/>
    <w:rsid w:val="00D8788A"/>
    <w:rsid w:val="00D901DC"/>
    <w:rsid w:val="00D90441"/>
    <w:rsid w:val="00D9377A"/>
    <w:rsid w:val="00D956B2"/>
    <w:rsid w:val="00D95785"/>
    <w:rsid w:val="00DA03EA"/>
    <w:rsid w:val="00DA2200"/>
    <w:rsid w:val="00DB0CE9"/>
    <w:rsid w:val="00DB1502"/>
    <w:rsid w:val="00DB240A"/>
    <w:rsid w:val="00DB266E"/>
    <w:rsid w:val="00DB2C68"/>
    <w:rsid w:val="00DB36D8"/>
    <w:rsid w:val="00DC1279"/>
    <w:rsid w:val="00DC210B"/>
    <w:rsid w:val="00DC2B96"/>
    <w:rsid w:val="00DC38D0"/>
    <w:rsid w:val="00DC63DC"/>
    <w:rsid w:val="00DC683C"/>
    <w:rsid w:val="00DD0106"/>
    <w:rsid w:val="00DD078D"/>
    <w:rsid w:val="00DD0D56"/>
    <w:rsid w:val="00DD412C"/>
    <w:rsid w:val="00DD491A"/>
    <w:rsid w:val="00DD6115"/>
    <w:rsid w:val="00DD6975"/>
    <w:rsid w:val="00DD6A23"/>
    <w:rsid w:val="00DE08D0"/>
    <w:rsid w:val="00DE1938"/>
    <w:rsid w:val="00DE1F92"/>
    <w:rsid w:val="00DE35C9"/>
    <w:rsid w:val="00DE434E"/>
    <w:rsid w:val="00DE4F14"/>
    <w:rsid w:val="00DE5F95"/>
    <w:rsid w:val="00DE6E71"/>
    <w:rsid w:val="00DF05E4"/>
    <w:rsid w:val="00DF1B9F"/>
    <w:rsid w:val="00DF4C81"/>
    <w:rsid w:val="00DF6F40"/>
    <w:rsid w:val="00E006B1"/>
    <w:rsid w:val="00E00DFB"/>
    <w:rsid w:val="00E02D4D"/>
    <w:rsid w:val="00E03884"/>
    <w:rsid w:val="00E04E0E"/>
    <w:rsid w:val="00E118F6"/>
    <w:rsid w:val="00E1656F"/>
    <w:rsid w:val="00E20A72"/>
    <w:rsid w:val="00E20A81"/>
    <w:rsid w:val="00E22230"/>
    <w:rsid w:val="00E24CB2"/>
    <w:rsid w:val="00E261BF"/>
    <w:rsid w:val="00E27FE9"/>
    <w:rsid w:val="00E31845"/>
    <w:rsid w:val="00E3450B"/>
    <w:rsid w:val="00E36868"/>
    <w:rsid w:val="00E37B20"/>
    <w:rsid w:val="00E44486"/>
    <w:rsid w:val="00E44942"/>
    <w:rsid w:val="00E46143"/>
    <w:rsid w:val="00E46387"/>
    <w:rsid w:val="00E477B3"/>
    <w:rsid w:val="00E4786C"/>
    <w:rsid w:val="00E51955"/>
    <w:rsid w:val="00E56083"/>
    <w:rsid w:val="00E5635A"/>
    <w:rsid w:val="00E57583"/>
    <w:rsid w:val="00E5795B"/>
    <w:rsid w:val="00E57F80"/>
    <w:rsid w:val="00E61DC8"/>
    <w:rsid w:val="00E6333A"/>
    <w:rsid w:val="00E6344C"/>
    <w:rsid w:val="00E64B9A"/>
    <w:rsid w:val="00E664FC"/>
    <w:rsid w:val="00E71955"/>
    <w:rsid w:val="00E7570F"/>
    <w:rsid w:val="00E763EE"/>
    <w:rsid w:val="00E765A3"/>
    <w:rsid w:val="00E77422"/>
    <w:rsid w:val="00E82CFF"/>
    <w:rsid w:val="00E85F23"/>
    <w:rsid w:val="00E86660"/>
    <w:rsid w:val="00E86966"/>
    <w:rsid w:val="00E9254C"/>
    <w:rsid w:val="00E92CB3"/>
    <w:rsid w:val="00E93867"/>
    <w:rsid w:val="00E954A8"/>
    <w:rsid w:val="00E95E8B"/>
    <w:rsid w:val="00E97872"/>
    <w:rsid w:val="00E97E4A"/>
    <w:rsid w:val="00EA0094"/>
    <w:rsid w:val="00EA0AF5"/>
    <w:rsid w:val="00EA20BF"/>
    <w:rsid w:val="00EA2C7E"/>
    <w:rsid w:val="00EA4CF0"/>
    <w:rsid w:val="00EA595B"/>
    <w:rsid w:val="00EA6848"/>
    <w:rsid w:val="00EB467C"/>
    <w:rsid w:val="00EB53C6"/>
    <w:rsid w:val="00EC0853"/>
    <w:rsid w:val="00EC304E"/>
    <w:rsid w:val="00EC35A9"/>
    <w:rsid w:val="00EC4C4C"/>
    <w:rsid w:val="00EC4E4B"/>
    <w:rsid w:val="00EC68F1"/>
    <w:rsid w:val="00ED3052"/>
    <w:rsid w:val="00ED309F"/>
    <w:rsid w:val="00ED3557"/>
    <w:rsid w:val="00ED4AF1"/>
    <w:rsid w:val="00ED75D5"/>
    <w:rsid w:val="00ED797D"/>
    <w:rsid w:val="00EE528C"/>
    <w:rsid w:val="00EE570A"/>
    <w:rsid w:val="00EE6B95"/>
    <w:rsid w:val="00EE6E01"/>
    <w:rsid w:val="00EF1988"/>
    <w:rsid w:val="00EF3DA5"/>
    <w:rsid w:val="00EF4DD7"/>
    <w:rsid w:val="00F01FA3"/>
    <w:rsid w:val="00F02A14"/>
    <w:rsid w:val="00F0550F"/>
    <w:rsid w:val="00F05782"/>
    <w:rsid w:val="00F1077F"/>
    <w:rsid w:val="00F10FC8"/>
    <w:rsid w:val="00F10FED"/>
    <w:rsid w:val="00F14B1A"/>
    <w:rsid w:val="00F15530"/>
    <w:rsid w:val="00F16F6C"/>
    <w:rsid w:val="00F219EB"/>
    <w:rsid w:val="00F21F89"/>
    <w:rsid w:val="00F23766"/>
    <w:rsid w:val="00F26B48"/>
    <w:rsid w:val="00F3276C"/>
    <w:rsid w:val="00F3338E"/>
    <w:rsid w:val="00F41A89"/>
    <w:rsid w:val="00F47AA6"/>
    <w:rsid w:val="00F47C5C"/>
    <w:rsid w:val="00F513CC"/>
    <w:rsid w:val="00F5186B"/>
    <w:rsid w:val="00F52636"/>
    <w:rsid w:val="00F564E7"/>
    <w:rsid w:val="00F570B3"/>
    <w:rsid w:val="00F605A9"/>
    <w:rsid w:val="00F61520"/>
    <w:rsid w:val="00F621FE"/>
    <w:rsid w:val="00F6274A"/>
    <w:rsid w:val="00F6280A"/>
    <w:rsid w:val="00F64D3A"/>
    <w:rsid w:val="00F66D79"/>
    <w:rsid w:val="00F66D8B"/>
    <w:rsid w:val="00F670A3"/>
    <w:rsid w:val="00F67BDB"/>
    <w:rsid w:val="00F72561"/>
    <w:rsid w:val="00F76D6E"/>
    <w:rsid w:val="00F77E56"/>
    <w:rsid w:val="00F8010C"/>
    <w:rsid w:val="00F82444"/>
    <w:rsid w:val="00F83002"/>
    <w:rsid w:val="00F83FDB"/>
    <w:rsid w:val="00F844CD"/>
    <w:rsid w:val="00F86B12"/>
    <w:rsid w:val="00F86C8A"/>
    <w:rsid w:val="00F930E9"/>
    <w:rsid w:val="00F9500F"/>
    <w:rsid w:val="00F9635B"/>
    <w:rsid w:val="00F97EA5"/>
    <w:rsid w:val="00FA037F"/>
    <w:rsid w:val="00FA2890"/>
    <w:rsid w:val="00FA3973"/>
    <w:rsid w:val="00FA40CD"/>
    <w:rsid w:val="00FB08E1"/>
    <w:rsid w:val="00FB1109"/>
    <w:rsid w:val="00FB1931"/>
    <w:rsid w:val="00FB4F52"/>
    <w:rsid w:val="00FB6811"/>
    <w:rsid w:val="00FB7132"/>
    <w:rsid w:val="00FC13B6"/>
    <w:rsid w:val="00FC49C1"/>
    <w:rsid w:val="00FC76CB"/>
    <w:rsid w:val="00FD4D47"/>
    <w:rsid w:val="00FD59EA"/>
    <w:rsid w:val="00FE3579"/>
    <w:rsid w:val="00FE521E"/>
    <w:rsid w:val="00FE6794"/>
    <w:rsid w:val="00FE6E0D"/>
    <w:rsid w:val="00FF356F"/>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iPriority="61"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qFormat="1"/>
  </w:latentStyles>
  <w:style w:type="paragraph" w:default="1" w:styleId="Normal">
    <w:name w:val="Normal"/>
    <w:qFormat/>
    <w:rsid w:val="00043320"/>
  </w:style>
  <w:style w:type="paragraph" w:styleId="Heading1">
    <w:name w:val="heading 1"/>
    <w:basedOn w:val="Normal"/>
    <w:next w:val="Normal"/>
    <w:link w:val="Heading1Char"/>
    <w:qFormat/>
    <w:rsid w:val="00E5795B"/>
    <w:pPr>
      <w:keepNext/>
      <w:keepLines/>
      <w:numPr>
        <w:numId w:val="9"/>
      </w:numPr>
      <w:spacing w:before="480" w:after="0"/>
      <w:jc w:val="center"/>
      <w:outlineLvl w:val="0"/>
    </w:pPr>
    <w:rPr>
      <w:rFonts w:ascii="Times New Roman" w:eastAsiaTheme="majorEastAsia" w:hAnsi="Times New Roman" w:cs="Times New Roman"/>
      <w:b/>
      <w:bCs/>
      <w:color w:val="000000" w:themeColor="text1"/>
      <w:sz w:val="28"/>
      <w:szCs w:val="28"/>
    </w:rPr>
  </w:style>
  <w:style w:type="paragraph" w:styleId="Heading2">
    <w:name w:val="heading 2"/>
    <w:basedOn w:val="Normal"/>
    <w:next w:val="Normal"/>
    <w:link w:val="Heading2Char"/>
    <w:qFormat/>
    <w:rsid w:val="00EA4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A4C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D078D"/>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DD078D"/>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D078D"/>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DD078D"/>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DD078D"/>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DD078D"/>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C0076"/>
  </w:style>
  <w:style w:type="paragraph" w:styleId="ListParagraph">
    <w:name w:val="List Paragraph"/>
    <w:basedOn w:val="Normal"/>
    <w:uiPriority w:val="99"/>
    <w:qFormat/>
    <w:rsid w:val="004C0076"/>
    <w:pPr>
      <w:ind w:left="720"/>
      <w:contextualSpacing/>
    </w:pPr>
  </w:style>
  <w:style w:type="character" w:styleId="Hyperlink">
    <w:name w:val="Hyperlink"/>
    <w:basedOn w:val="DefaultParagraphFont"/>
    <w:uiPriority w:val="99"/>
    <w:unhideWhenUsed/>
    <w:rsid w:val="007037DE"/>
    <w:rPr>
      <w:color w:val="0000FF" w:themeColor="hyperlink"/>
      <w:u w:val="single"/>
    </w:rPr>
  </w:style>
  <w:style w:type="paragraph" w:customStyle="1" w:styleId="Chapter">
    <w:name w:val="Chapter"/>
    <w:basedOn w:val="Normal"/>
    <w:next w:val="Normal"/>
    <w:link w:val="ChapterChar"/>
    <w:rsid w:val="00BA23C8"/>
    <w:pPr>
      <w:keepNext/>
      <w:tabs>
        <w:tab w:val="num" w:pos="648"/>
        <w:tab w:val="left" w:pos="1440"/>
      </w:tabs>
      <w:spacing w:before="240" w:after="240" w:line="240" w:lineRule="auto"/>
      <w:ind w:firstLine="288"/>
      <w:jc w:val="center"/>
    </w:pPr>
    <w:rPr>
      <w:rFonts w:ascii="Times New Roman" w:hAnsi="Times New Roman" w:cs="Times New Roman"/>
      <w:b/>
      <w:smallCaps/>
      <w:sz w:val="24"/>
    </w:rPr>
  </w:style>
  <w:style w:type="character" w:customStyle="1" w:styleId="ChapterChar">
    <w:name w:val="Chapter Char"/>
    <w:basedOn w:val="DefaultParagraphFont"/>
    <w:link w:val="Chapter"/>
    <w:rsid w:val="00BA23C8"/>
    <w:rPr>
      <w:rFonts w:ascii="Times New Roman" w:hAnsi="Times New Roman" w:cs="Times New Roman"/>
      <w:b/>
      <w:smallCaps/>
      <w:sz w:val="24"/>
    </w:rPr>
  </w:style>
  <w:style w:type="paragraph" w:customStyle="1" w:styleId="FirstHeading">
    <w:name w:val="FirstHeading"/>
    <w:basedOn w:val="Normal"/>
    <w:next w:val="Normal"/>
    <w:link w:val="FirstHeadingChar"/>
    <w:rsid w:val="00DD078D"/>
    <w:pPr>
      <w:keepNext/>
      <w:numPr>
        <w:numId w:val="23"/>
      </w:numPr>
      <w:tabs>
        <w:tab w:val="left" w:pos="0"/>
        <w:tab w:val="left" w:pos="86"/>
      </w:tabs>
      <w:spacing w:before="120" w:after="120" w:line="240" w:lineRule="auto"/>
      <w:ind w:left="720"/>
    </w:pPr>
    <w:rPr>
      <w:rFonts w:ascii="Times New Roman" w:hAnsi="Times New Roman" w:cs="Times New Roman"/>
      <w:b/>
      <w:sz w:val="24"/>
    </w:rPr>
  </w:style>
  <w:style w:type="character" w:customStyle="1" w:styleId="FirstHeadingChar">
    <w:name w:val="FirstHeading Char"/>
    <w:basedOn w:val="DefaultParagraphFont"/>
    <w:link w:val="FirstHeading"/>
    <w:rsid w:val="00DD078D"/>
    <w:rPr>
      <w:rFonts w:ascii="Times New Roman" w:hAnsi="Times New Roman" w:cs="Times New Roman"/>
      <w:b/>
      <w:sz w:val="24"/>
    </w:rPr>
  </w:style>
  <w:style w:type="paragraph" w:customStyle="1" w:styleId="SecHeading">
    <w:name w:val="SecHeading"/>
    <w:basedOn w:val="Normal"/>
    <w:next w:val="Paragraph"/>
    <w:link w:val="SecHeadingChar"/>
    <w:rsid w:val="00DD078D"/>
    <w:pPr>
      <w:keepNext/>
      <w:numPr>
        <w:ilvl w:val="1"/>
        <w:numId w:val="23"/>
      </w:numPr>
      <w:tabs>
        <w:tab w:val="clear" w:pos="3168"/>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DD078D"/>
    <w:rPr>
      <w:rFonts w:ascii="Times New Roman" w:hAnsi="Times New Roman" w:cs="Times New Roman"/>
      <w:b/>
      <w:sz w:val="24"/>
    </w:rPr>
  </w:style>
  <w:style w:type="paragraph" w:customStyle="1" w:styleId="SubHeading1">
    <w:name w:val="SubHeading1"/>
    <w:basedOn w:val="SecHeading"/>
    <w:link w:val="SubHeading1Char"/>
    <w:rsid w:val="00BA23C8"/>
    <w:pPr>
      <w:numPr>
        <w:ilvl w:val="2"/>
      </w:numPr>
      <w:tabs>
        <w:tab w:val="num" w:pos="1872"/>
      </w:tabs>
      <w:ind w:left="1872" w:hanging="576"/>
    </w:pPr>
  </w:style>
  <w:style w:type="character" w:customStyle="1" w:styleId="SubHeading1Char">
    <w:name w:val="SubHeading1 Char"/>
    <w:basedOn w:val="DefaultParagraphFont"/>
    <w:link w:val="SubHeading1"/>
    <w:rsid w:val="00BA23C8"/>
    <w:rPr>
      <w:rFonts w:ascii="Times New Roman" w:hAnsi="Times New Roman" w:cs="Times New Roman"/>
      <w:b/>
      <w:sz w:val="24"/>
    </w:rPr>
  </w:style>
  <w:style w:type="paragraph" w:customStyle="1" w:styleId="Subheading2">
    <w:name w:val="Subheading2"/>
    <w:basedOn w:val="SecHeading"/>
    <w:link w:val="Subheading2Char"/>
    <w:rsid w:val="00BA23C8"/>
    <w:pPr>
      <w:numPr>
        <w:ilvl w:val="0"/>
        <w:numId w:val="0"/>
      </w:numPr>
      <w:tabs>
        <w:tab w:val="num" w:pos="2376"/>
      </w:tabs>
      <w:ind w:left="2376" w:hanging="288"/>
    </w:pPr>
  </w:style>
  <w:style w:type="character" w:customStyle="1" w:styleId="Subheading2Char">
    <w:name w:val="Subheading2 Char"/>
    <w:basedOn w:val="DefaultParagraphFont"/>
    <w:link w:val="Subheading2"/>
    <w:rsid w:val="00BA23C8"/>
    <w:rPr>
      <w:rFonts w:ascii="Times New Roman" w:hAnsi="Times New Roman" w:cs="Times New Roman"/>
      <w:b/>
      <w:sz w:val="24"/>
    </w:rPr>
  </w:style>
  <w:style w:type="paragraph" w:customStyle="1" w:styleId="Paragraph">
    <w:name w:val="Paragraph"/>
    <w:aliases w:val="paragraph,p,PARAGRAPH,PG,pa,at"/>
    <w:basedOn w:val="BodyTextIndent"/>
    <w:link w:val="ParagraphChar"/>
    <w:qFormat/>
    <w:rsid w:val="00DD078D"/>
    <w:pPr>
      <w:tabs>
        <w:tab w:val="num" w:pos="720"/>
      </w:tabs>
      <w:spacing w:before="120"/>
      <w:ind w:left="720" w:hanging="720"/>
      <w:jc w:val="both"/>
      <w:outlineLvl w:val="1"/>
    </w:pPr>
  </w:style>
  <w:style w:type="character" w:customStyle="1" w:styleId="ParagraphChar">
    <w:name w:val="Paragraph Char"/>
    <w:basedOn w:val="DefaultParagraphFont"/>
    <w:link w:val="Paragraph"/>
    <w:rsid w:val="00BA23C8"/>
    <w:rPr>
      <w:rFonts w:ascii="Times New Roman" w:hAnsi="Times New Roman" w:cs="Times New Roman"/>
      <w:sz w:val="24"/>
    </w:rPr>
  </w:style>
  <w:style w:type="paragraph" w:customStyle="1" w:styleId="subpar">
    <w:name w:val="subpar"/>
    <w:basedOn w:val="BodyTextIndent3"/>
    <w:link w:val="subparChar"/>
    <w:rsid w:val="00DD078D"/>
    <w:pPr>
      <w:tabs>
        <w:tab w:val="num" w:pos="1152"/>
      </w:tabs>
      <w:spacing w:before="120"/>
      <w:ind w:left="1152" w:hanging="432"/>
      <w:jc w:val="both"/>
      <w:outlineLvl w:val="2"/>
    </w:pPr>
  </w:style>
  <w:style w:type="character" w:customStyle="1" w:styleId="subparChar">
    <w:name w:val="subpar Char"/>
    <w:basedOn w:val="DefaultParagraphFont"/>
    <w:link w:val="subpar"/>
    <w:rsid w:val="00BA23C8"/>
    <w:rPr>
      <w:rFonts w:ascii="Times New Roman" w:hAnsi="Times New Roman" w:cs="Times New Roman"/>
      <w:sz w:val="24"/>
      <w:szCs w:val="16"/>
    </w:rPr>
  </w:style>
  <w:style w:type="paragraph" w:customStyle="1" w:styleId="SubSubPar">
    <w:name w:val="SubSubPar"/>
    <w:basedOn w:val="subpar"/>
    <w:link w:val="SubSubParChar"/>
    <w:uiPriority w:val="99"/>
    <w:rsid w:val="00BA23C8"/>
    <w:pPr>
      <w:numPr>
        <w:ilvl w:val="3"/>
      </w:numPr>
      <w:tabs>
        <w:tab w:val="left" w:pos="0"/>
        <w:tab w:val="num" w:pos="1152"/>
        <w:tab w:val="num" w:pos="1296"/>
      </w:tabs>
      <w:ind w:left="1296" w:hanging="288"/>
    </w:pPr>
  </w:style>
  <w:style w:type="character" w:customStyle="1" w:styleId="SubSubParChar">
    <w:name w:val="SubSubPar Char"/>
    <w:basedOn w:val="DefaultParagraphFont"/>
    <w:link w:val="SubSubPar"/>
    <w:rsid w:val="00BA23C8"/>
    <w:rPr>
      <w:rFonts w:ascii="Times New Roman" w:hAnsi="Times New Roman" w:cs="Times New Roman"/>
      <w:sz w:val="24"/>
      <w:szCs w:val="16"/>
    </w:rPr>
  </w:style>
  <w:style w:type="paragraph" w:customStyle="1" w:styleId="Regtable">
    <w:name w:val="Regtable"/>
    <w:basedOn w:val="Normal"/>
    <w:link w:val="RegtableChar"/>
    <w:rsid w:val="00DD078D"/>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DD078D"/>
    <w:rPr>
      <w:rFonts w:ascii="Times New Roman" w:hAnsi="Times New Roman" w:cs="Times New Roman"/>
      <w:sz w:val="20"/>
    </w:rPr>
  </w:style>
  <w:style w:type="paragraph" w:customStyle="1" w:styleId="TableTitle">
    <w:name w:val="TableTitle"/>
    <w:basedOn w:val="Normal"/>
    <w:link w:val="TableTitleChar"/>
    <w:rsid w:val="00DD078D"/>
    <w:pPr>
      <w:keepNext/>
      <w:framePr w:wrap="around" w:vAnchor="text" w:hAnchor="text" w:y="1"/>
      <w:spacing w:before="20" w:after="20" w:line="240" w:lineRule="auto"/>
      <w:jc w:val="center"/>
    </w:pPr>
    <w:rPr>
      <w:rFonts w:ascii="Times New Roman Bold" w:hAnsi="Times New Roman Bold" w:cs="Times New Roman Bold"/>
      <w:b/>
      <w:spacing w:val="-3"/>
      <w:sz w:val="20"/>
    </w:rPr>
  </w:style>
  <w:style w:type="character" w:customStyle="1" w:styleId="TableTitleChar">
    <w:name w:val="TableTitle Char"/>
    <w:basedOn w:val="DefaultParagraphFont"/>
    <w:link w:val="TableTitle"/>
    <w:rsid w:val="00DD078D"/>
    <w:rPr>
      <w:rFonts w:ascii="Times New Roman Bold" w:hAnsi="Times New Roman Bold" w:cs="Times New Roman Bold"/>
      <w:b/>
      <w:spacing w:val="-3"/>
      <w:sz w:val="20"/>
    </w:rPr>
  </w:style>
  <w:style w:type="character" w:customStyle="1" w:styleId="Heading2Char">
    <w:name w:val="Heading 2 Char"/>
    <w:basedOn w:val="DefaultParagraphFont"/>
    <w:link w:val="Heading2"/>
    <w:rsid w:val="00EA4C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A4C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D07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D07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D07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D07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D07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D078D"/>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rsid w:val="00EA4CF0"/>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EA4CF0"/>
    <w:rPr>
      <w:rFonts w:ascii="Times New Roman" w:hAnsi="Times New Roman" w:cs="Times New Roman"/>
      <w:sz w:val="24"/>
    </w:rPr>
  </w:style>
  <w:style w:type="paragraph" w:styleId="BodyTextIndent3">
    <w:name w:val="Body Text Indent 3"/>
    <w:basedOn w:val="Normal"/>
    <w:link w:val="BodyTextIndent3Char"/>
    <w:uiPriority w:val="99"/>
    <w:rsid w:val="00EA4CF0"/>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rsid w:val="00EA4CF0"/>
    <w:rPr>
      <w:rFonts w:ascii="Times New Roman" w:hAnsi="Times New Roman" w:cs="Times New Roman"/>
      <w:sz w:val="24"/>
      <w:szCs w:val="16"/>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rsid w:val="00EA4CF0"/>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EA4CF0"/>
    <w:rPr>
      <w:rFonts w:ascii="Times New Roman" w:hAnsi="Times New Roman" w:cs="Times New Roman"/>
      <w:spacing w:val="-3"/>
      <w:sz w:val="20"/>
      <w:szCs w:val="20"/>
    </w:rPr>
  </w:style>
  <w:style w:type="paragraph" w:styleId="TOC1">
    <w:name w:val="toc 1"/>
    <w:basedOn w:val="Normal"/>
    <w:next w:val="Normal"/>
    <w:autoRedefine/>
    <w:uiPriority w:val="39"/>
    <w:rsid w:val="006E0D6C"/>
    <w:pPr>
      <w:tabs>
        <w:tab w:val="right" w:leader="dot" w:pos="8741"/>
      </w:tabs>
      <w:spacing w:before="240" w:after="240" w:line="240" w:lineRule="auto"/>
      <w:ind w:left="547" w:hanging="547"/>
    </w:pPr>
    <w:rPr>
      <w:rFonts w:ascii="Times New Roman Bold" w:hAnsi="Times New Roman Bold" w:cs="Times New Roman"/>
      <w:smallCaps/>
      <w:noProof/>
      <w:sz w:val="24"/>
      <w:lang w:val="es-ES"/>
    </w:rPr>
  </w:style>
  <w:style w:type="paragraph" w:styleId="TOC2">
    <w:name w:val="toc 2"/>
    <w:basedOn w:val="Normal"/>
    <w:next w:val="Normal"/>
    <w:autoRedefine/>
    <w:uiPriority w:val="39"/>
    <w:rsid w:val="008C4F91"/>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uiPriority w:val="39"/>
    <w:rsid w:val="008C4F91"/>
    <w:pPr>
      <w:tabs>
        <w:tab w:val="left" w:pos="1728"/>
        <w:tab w:val="right" w:leader="dot" w:pos="8741"/>
      </w:tabs>
      <w:spacing w:after="0" w:line="240" w:lineRule="auto"/>
      <w:ind w:left="1714" w:hanging="562"/>
    </w:pPr>
    <w:rPr>
      <w:rFonts w:ascii="Times New Roman" w:hAnsi="Times New Roman" w:cs="Times New Roman"/>
      <w:sz w:val="24"/>
    </w:rPr>
  </w:style>
  <w:style w:type="paragraph" w:styleId="Header">
    <w:name w:val="header"/>
    <w:basedOn w:val="Normal"/>
    <w:link w:val="HeaderChar"/>
    <w:uiPriority w:val="99"/>
    <w:rsid w:val="000B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08"/>
  </w:style>
  <w:style w:type="paragraph" w:styleId="Footer">
    <w:name w:val="footer"/>
    <w:basedOn w:val="Normal"/>
    <w:link w:val="FooterChar"/>
    <w:uiPriority w:val="99"/>
    <w:rsid w:val="000B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08"/>
  </w:style>
  <w:style w:type="paragraph" w:customStyle="1" w:styleId="Newpage">
    <w:name w:val="Newpage"/>
    <w:basedOn w:val="Chapter"/>
    <w:rsid w:val="003A44B1"/>
    <w:pPr>
      <w:tabs>
        <w:tab w:val="clear" w:pos="1440"/>
        <w:tab w:val="left" w:pos="3060"/>
      </w:tabs>
      <w:spacing w:after="0"/>
    </w:pPr>
    <w:rPr>
      <w:rFonts w:eastAsia="Times New Roman"/>
      <w:szCs w:val="20"/>
      <w:lang w:val="es-ES"/>
    </w:rPr>
  </w:style>
  <w:style w:type="character" w:styleId="FootnoteReference">
    <w:name w:val="footnote reference"/>
    <w:aliases w:val="titulo 2,FC,referencia nota al pie,Fußnotenzeichen DISS,ftref,16 Point,Superscript 6 Point,BVI fnr, BVI fnr,Знак сноски 1,Footnote Referencefra,Ref. de nota al pie.,Stinking Styles11,Texto de nota al pie,Footnote symbol,Footnote,fr"/>
    <w:basedOn w:val="DefaultParagraphFont"/>
    <w:uiPriority w:val="99"/>
    <w:qFormat/>
    <w:rsid w:val="00543A15"/>
    <w:rPr>
      <w:vertAlign w:val="superscript"/>
    </w:rPr>
  </w:style>
  <w:style w:type="paragraph" w:customStyle="1" w:styleId="Default">
    <w:name w:val="Default"/>
    <w:rsid w:val="00551D8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rsid w:val="002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7E1A"/>
    <w:rPr>
      <w:rFonts w:ascii="Tahoma" w:hAnsi="Tahoma" w:cs="Tahoma"/>
      <w:sz w:val="16"/>
      <w:szCs w:val="16"/>
    </w:rPr>
  </w:style>
  <w:style w:type="character" w:customStyle="1" w:styleId="copyshorturl2">
    <w:name w:val="copy_short_url2"/>
    <w:basedOn w:val="DefaultParagraphFont"/>
    <w:rsid w:val="00FA2890"/>
  </w:style>
  <w:style w:type="character" w:styleId="CommentReference">
    <w:name w:val="annotation reference"/>
    <w:basedOn w:val="DefaultParagraphFont"/>
    <w:uiPriority w:val="99"/>
    <w:rsid w:val="00581D80"/>
    <w:rPr>
      <w:sz w:val="18"/>
      <w:szCs w:val="18"/>
    </w:rPr>
  </w:style>
  <w:style w:type="paragraph" w:styleId="CommentText">
    <w:name w:val="annotation text"/>
    <w:basedOn w:val="Normal"/>
    <w:link w:val="CommentTextChar"/>
    <w:uiPriority w:val="99"/>
    <w:rsid w:val="00581D80"/>
    <w:pPr>
      <w:spacing w:line="240" w:lineRule="auto"/>
    </w:pPr>
    <w:rPr>
      <w:sz w:val="24"/>
      <w:szCs w:val="24"/>
    </w:rPr>
  </w:style>
  <w:style w:type="character" w:customStyle="1" w:styleId="CommentTextChar">
    <w:name w:val="Comment Text Char"/>
    <w:basedOn w:val="DefaultParagraphFont"/>
    <w:link w:val="CommentText"/>
    <w:uiPriority w:val="99"/>
    <w:rsid w:val="00581D80"/>
    <w:rPr>
      <w:sz w:val="24"/>
      <w:szCs w:val="24"/>
    </w:rPr>
  </w:style>
  <w:style w:type="paragraph" w:styleId="CommentSubject">
    <w:name w:val="annotation subject"/>
    <w:basedOn w:val="CommentText"/>
    <w:next w:val="CommentText"/>
    <w:link w:val="CommentSubjectChar"/>
    <w:uiPriority w:val="99"/>
    <w:rsid w:val="00581D80"/>
    <w:rPr>
      <w:b/>
      <w:bCs/>
      <w:sz w:val="20"/>
      <w:szCs w:val="20"/>
    </w:rPr>
  </w:style>
  <w:style w:type="character" w:customStyle="1" w:styleId="CommentSubjectChar">
    <w:name w:val="Comment Subject Char"/>
    <w:basedOn w:val="CommentTextChar"/>
    <w:link w:val="CommentSubject"/>
    <w:uiPriority w:val="99"/>
    <w:rsid w:val="00581D80"/>
    <w:rPr>
      <w:b/>
      <w:bCs/>
      <w:sz w:val="20"/>
      <w:szCs w:val="20"/>
    </w:rPr>
  </w:style>
  <w:style w:type="character" w:styleId="FollowedHyperlink">
    <w:name w:val="FollowedHyperlink"/>
    <w:basedOn w:val="DefaultParagraphFont"/>
    <w:uiPriority w:val="99"/>
    <w:rsid w:val="007E3196"/>
    <w:rPr>
      <w:color w:val="800080" w:themeColor="followedHyperlink"/>
      <w:u w:val="single"/>
    </w:rPr>
  </w:style>
  <w:style w:type="paragraph" w:customStyle="1" w:styleId="NoteLevel1">
    <w:name w:val="Note Level 1"/>
    <w:basedOn w:val="Normal"/>
    <w:uiPriority w:val="99"/>
    <w:unhideWhenUsed/>
    <w:rsid w:val="00DE434E"/>
    <w:pPr>
      <w:keepNext/>
      <w:numPr>
        <w:numId w:val="8"/>
      </w:numPr>
      <w:spacing w:after="0" w:line="240" w:lineRule="auto"/>
      <w:contextualSpacing/>
      <w:outlineLvl w:val="0"/>
    </w:pPr>
    <w:rPr>
      <w:rFonts w:ascii="Verdana" w:hAnsi="Verdana"/>
      <w:sz w:val="24"/>
      <w:szCs w:val="24"/>
    </w:rPr>
  </w:style>
  <w:style w:type="paragraph" w:customStyle="1" w:styleId="NoteLevel2">
    <w:name w:val="Note Level 2"/>
    <w:basedOn w:val="Normal"/>
    <w:uiPriority w:val="99"/>
    <w:unhideWhenUsed/>
    <w:rsid w:val="00DE434E"/>
    <w:pPr>
      <w:keepNext/>
      <w:numPr>
        <w:ilvl w:val="1"/>
        <w:numId w:val="8"/>
      </w:numPr>
      <w:spacing w:after="0" w:line="240" w:lineRule="auto"/>
      <w:contextualSpacing/>
      <w:outlineLvl w:val="1"/>
    </w:pPr>
    <w:rPr>
      <w:rFonts w:ascii="Verdana" w:hAnsi="Verdana"/>
      <w:sz w:val="24"/>
      <w:szCs w:val="24"/>
    </w:rPr>
  </w:style>
  <w:style w:type="paragraph" w:customStyle="1" w:styleId="NoteLevel3">
    <w:name w:val="Note Level 3"/>
    <w:basedOn w:val="Normal"/>
    <w:uiPriority w:val="99"/>
    <w:unhideWhenUsed/>
    <w:rsid w:val="00DE434E"/>
    <w:pPr>
      <w:keepNext/>
      <w:numPr>
        <w:ilvl w:val="2"/>
        <w:numId w:val="8"/>
      </w:numPr>
      <w:spacing w:after="0" w:line="240" w:lineRule="auto"/>
      <w:contextualSpacing/>
      <w:outlineLvl w:val="2"/>
    </w:pPr>
    <w:rPr>
      <w:rFonts w:ascii="Verdana" w:hAnsi="Verdana"/>
      <w:sz w:val="24"/>
      <w:szCs w:val="24"/>
    </w:rPr>
  </w:style>
  <w:style w:type="paragraph" w:customStyle="1" w:styleId="NoteLevel4">
    <w:name w:val="Note Level 4"/>
    <w:basedOn w:val="Normal"/>
    <w:uiPriority w:val="99"/>
    <w:unhideWhenUsed/>
    <w:rsid w:val="00DE434E"/>
    <w:pPr>
      <w:keepNext/>
      <w:numPr>
        <w:ilvl w:val="3"/>
        <w:numId w:val="8"/>
      </w:numPr>
      <w:spacing w:after="0" w:line="240" w:lineRule="auto"/>
      <w:contextualSpacing/>
      <w:outlineLvl w:val="3"/>
    </w:pPr>
    <w:rPr>
      <w:rFonts w:ascii="Verdana" w:hAnsi="Verdana"/>
      <w:sz w:val="24"/>
      <w:szCs w:val="24"/>
    </w:rPr>
  </w:style>
  <w:style w:type="paragraph" w:customStyle="1" w:styleId="NoteLevel5">
    <w:name w:val="Note Level 5"/>
    <w:basedOn w:val="Normal"/>
    <w:uiPriority w:val="99"/>
    <w:unhideWhenUsed/>
    <w:rsid w:val="00DE434E"/>
    <w:pPr>
      <w:keepNext/>
      <w:numPr>
        <w:ilvl w:val="4"/>
        <w:numId w:val="8"/>
      </w:numPr>
      <w:spacing w:after="0" w:line="240" w:lineRule="auto"/>
      <w:contextualSpacing/>
      <w:outlineLvl w:val="4"/>
    </w:pPr>
    <w:rPr>
      <w:rFonts w:ascii="Verdana" w:hAnsi="Verdana"/>
      <w:sz w:val="24"/>
      <w:szCs w:val="24"/>
    </w:rPr>
  </w:style>
  <w:style w:type="paragraph" w:customStyle="1" w:styleId="NoteLevel6">
    <w:name w:val="Note Level 6"/>
    <w:basedOn w:val="Normal"/>
    <w:uiPriority w:val="99"/>
    <w:unhideWhenUsed/>
    <w:rsid w:val="00DE434E"/>
    <w:pPr>
      <w:keepNext/>
      <w:numPr>
        <w:ilvl w:val="5"/>
        <w:numId w:val="8"/>
      </w:numPr>
      <w:spacing w:after="0" w:line="240" w:lineRule="auto"/>
      <w:contextualSpacing/>
      <w:outlineLvl w:val="5"/>
    </w:pPr>
    <w:rPr>
      <w:rFonts w:ascii="Verdana" w:hAnsi="Verdana"/>
      <w:sz w:val="24"/>
      <w:szCs w:val="24"/>
    </w:rPr>
  </w:style>
  <w:style w:type="paragraph" w:customStyle="1" w:styleId="NoteLevel7">
    <w:name w:val="Note Level 7"/>
    <w:basedOn w:val="Normal"/>
    <w:uiPriority w:val="99"/>
    <w:unhideWhenUsed/>
    <w:rsid w:val="00DE434E"/>
    <w:pPr>
      <w:keepNext/>
      <w:numPr>
        <w:ilvl w:val="6"/>
        <w:numId w:val="8"/>
      </w:numPr>
      <w:spacing w:after="0" w:line="240" w:lineRule="auto"/>
      <w:contextualSpacing/>
      <w:outlineLvl w:val="6"/>
    </w:pPr>
    <w:rPr>
      <w:rFonts w:ascii="Verdana" w:hAnsi="Verdana"/>
      <w:sz w:val="24"/>
      <w:szCs w:val="24"/>
    </w:rPr>
  </w:style>
  <w:style w:type="paragraph" w:customStyle="1" w:styleId="NoteLevel8">
    <w:name w:val="Note Level 8"/>
    <w:basedOn w:val="Normal"/>
    <w:uiPriority w:val="99"/>
    <w:unhideWhenUsed/>
    <w:rsid w:val="00DE434E"/>
    <w:pPr>
      <w:keepNext/>
      <w:numPr>
        <w:ilvl w:val="7"/>
        <w:numId w:val="8"/>
      </w:numPr>
      <w:spacing w:after="0" w:line="240" w:lineRule="auto"/>
      <w:contextualSpacing/>
      <w:outlineLvl w:val="7"/>
    </w:pPr>
    <w:rPr>
      <w:rFonts w:ascii="Verdana" w:hAnsi="Verdana"/>
      <w:sz w:val="24"/>
      <w:szCs w:val="24"/>
    </w:rPr>
  </w:style>
  <w:style w:type="paragraph" w:customStyle="1" w:styleId="NoteLevel9">
    <w:name w:val="Note Level 9"/>
    <w:basedOn w:val="Normal"/>
    <w:uiPriority w:val="99"/>
    <w:unhideWhenUsed/>
    <w:rsid w:val="00DE434E"/>
    <w:pPr>
      <w:keepNext/>
      <w:numPr>
        <w:ilvl w:val="8"/>
        <w:numId w:val="8"/>
      </w:numPr>
      <w:spacing w:after="0" w:line="240" w:lineRule="auto"/>
      <w:contextualSpacing/>
      <w:outlineLvl w:val="8"/>
    </w:pPr>
    <w:rPr>
      <w:rFonts w:ascii="Verdana" w:hAnsi="Verdana"/>
      <w:sz w:val="24"/>
      <w:szCs w:val="24"/>
    </w:rPr>
  </w:style>
  <w:style w:type="table" w:styleId="TableGrid">
    <w:name w:val="Table Grid"/>
    <w:basedOn w:val="TableNormal"/>
    <w:uiPriority w:val="59"/>
    <w:rsid w:val="0035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rsid w:val="007D50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404911"/>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E5795B"/>
    <w:rPr>
      <w:rFonts w:ascii="Times New Roman" w:eastAsiaTheme="majorEastAsia" w:hAnsi="Times New Roman" w:cs="Times New Roman"/>
      <w:b/>
      <w:bCs/>
      <w:color w:val="000000" w:themeColor="text1"/>
      <w:sz w:val="28"/>
      <w:szCs w:val="28"/>
    </w:rPr>
  </w:style>
  <w:style w:type="table" w:customStyle="1" w:styleId="LightShading-Accent11">
    <w:name w:val="Light Shading - Accent 11"/>
    <w:basedOn w:val="TableNormal"/>
    <w:uiPriority w:val="60"/>
    <w:rsid w:val="00E5795B"/>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E5795B"/>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IDMARINA">
    <w:name w:val="BIDMARINA"/>
    <w:basedOn w:val="Paragraph"/>
    <w:link w:val="BIDMARINAChar"/>
    <w:qFormat/>
    <w:rsid w:val="00E5795B"/>
    <w:rPr>
      <w:szCs w:val="24"/>
      <w:lang w:val="es-ES_tradnl" w:eastAsia="es-ES"/>
    </w:rPr>
  </w:style>
  <w:style w:type="character" w:customStyle="1" w:styleId="BIDMARINAChar">
    <w:name w:val="BIDMARINA Char"/>
    <w:basedOn w:val="ParagraphChar"/>
    <w:link w:val="BIDMARINA"/>
    <w:rsid w:val="00E5795B"/>
    <w:rPr>
      <w:rFonts w:ascii="Times New Roman" w:hAnsi="Times New Roman" w:cs="Times New Roman"/>
      <w:sz w:val="24"/>
      <w:szCs w:val="24"/>
      <w:lang w:val="es-ES_tradnl" w:eastAsia="es-ES"/>
    </w:rPr>
  </w:style>
  <w:style w:type="table" w:customStyle="1" w:styleId="LightList-Accent11">
    <w:name w:val="Light List - Accent 11"/>
    <w:basedOn w:val="TableNormal"/>
    <w:uiPriority w:val="61"/>
    <w:rsid w:val="00E5795B"/>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E5795B"/>
    <w:pPr>
      <w:spacing w:after="100"/>
      <w:ind w:left="660"/>
    </w:pPr>
  </w:style>
  <w:style w:type="paragraph" w:styleId="TOC5">
    <w:name w:val="toc 5"/>
    <w:basedOn w:val="Normal"/>
    <w:next w:val="Normal"/>
    <w:autoRedefine/>
    <w:uiPriority w:val="39"/>
    <w:unhideWhenUsed/>
    <w:rsid w:val="00E5795B"/>
    <w:pPr>
      <w:spacing w:after="100"/>
      <w:ind w:left="880"/>
    </w:pPr>
  </w:style>
  <w:style w:type="paragraph" w:styleId="TOC6">
    <w:name w:val="toc 6"/>
    <w:basedOn w:val="Normal"/>
    <w:next w:val="Normal"/>
    <w:autoRedefine/>
    <w:uiPriority w:val="39"/>
    <w:unhideWhenUsed/>
    <w:rsid w:val="00E5795B"/>
    <w:pPr>
      <w:spacing w:after="100"/>
      <w:ind w:left="1100"/>
    </w:pPr>
  </w:style>
  <w:style w:type="paragraph" w:styleId="TOC7">
    <w:name w:val="toc 7"/>
    <w:basedOn w:val="Normal"/>
    <w:next w:val="Normal"/>
    <w:autoRedefine/>
    <w:uiPriority w:val="39"/>
    <w:unhideWhenUsed/>
    <w:rsid w:val="00E5795B"/>
    <w:pPr>
      <w:spacing w:after="100"/>
      <w:ind w:left="1320"/>
    </w:pPr>
  </w:style>
  <w:style w:type="paragraph" w:styleId="TOC8">
    <w:name w:val="toc 8"/>
    <w:basedOn w:val="Normal"/>
    <w:next w:val="Normal"/>
    <w:autoRedefine/>
    <w:uiPriority w:val="39"/>
    <w:unhideWhenUsed/>
    <w:rsid w:val="00E5795B"/>
    <w:pPr>
      <w:spacing w:after="100"/>
      <w:ind w:left="1540"/>
    </w:pPr>
  </w:style>
  <w:style w:type="paragraph" w:styleId="TOC9">
    <w:name w:val="toc 9"/>
    <w:basedOn w:val="Normal"/>
    <w:next w:val="Normal"/>
    <w:autoRedefine/>
    <w:uiPriority w:val="39"/>
    <w:unhideWhenUsed/>
    <w:rsid w:val="00E5795B"/>
    <w:pPr>
      <w:spacing w:after="100"/>
      <w:ind w:left="1760"/>
    </w:pPr>
  </w:style>
  <w:style w:type="paragraph" w:styleId="Revision">
    <w:name w:val="Revision"/>
    <w:hidden/>
    <w:uiPriority w:val="99"/>
    <w:rsid w:val="00E5795B"/>
    <w:pPr>
      <w:spacing w:after="0" w:line="240" w:lineRule="auto"/>
    </w:pPr>
    <w:rPr>
      <w:lang w:val="es-ES" w:eastAsia="es-ES"/>
    </w:rPr>
  </w:style>
  <w:style w:type="paragraph" w:styleId="BodyText2">
    <w:name w:val="Body Text 2"/>
    <w:basedOn w:val="Normal"/>
    <w:link w:val="BodyText2Char"/>
    <w:uiPriority w:val="99"/>
    <w:unhideWhenUsed/>
    <w:rsid w:val="00E5795B"/>
    <w:pPr>
      <w:spacing w:after="120" w:line="480" w:lineRule="auto"/>
    </w:pPr>
    <w:rPr>
      <w:lang w:val="es-ES" w:eastAsia="es-ES"/>
    </w:rPr>
  </w:style>
  <w:style w:type="character" w:customStyle="1" w:styleId="BodyText2Char">
    <w:name w:val="Body Text 2 Char"/>
    <w:basedOn w:val="DefaultParagraphFont"/>
    <w:link w:val="BodyText2"/>
    <w:uiPriority w:val="99"/>
    <w:rsid w:val="00E5795B"/>
    <w:rPr>
      <w:lang w:val="es-ES" w:eastAsia="es-ES"/>
    </w:rPr>
  </w:style>
  <w:style w:type="paragraph" w:styleId="BodyText3">
    <w:name w:val="Body Text 3"/>
    <w:basedOn w:val="Normal"/>
    <w:link w:val="BodyText3Char"/>
    <w:rsid w:val="00E5795B"/>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rsid w:val="00E5795B"/>
    <w:rPr>
      <w:rFonts w:ascii="Times New Roman" w:eastAsia="Times New Roman" w:hAnsi="Times New Roman" w:cs="Times New Roman"/>
      <w:sz w:val="16"/>
      <w:szCs w:val="16"/>
      <w:lang w:val="es-ES" w:eastAsia="es-ES"/>
    </w:rPr>
  </w:style>
  <w:style w:type="table" w:customStyle="1" w:styleId="TableGrid1">
    <w:name w:val="Table Grid1"/>
    <w:basedOn w:val="TableNormal"/>
    <w:next w:val="TableGrid"/>
    <w:uiPriority w:val="59"/>
    <w:rsid w:val="00E579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5795B"/>
    <w:pPr>
      <w:spacing w:after="120"/>
    </w:pPr>
    <w:rPr>
      <w:lang w:val="es-ES" w:eastAsia="es-ES"/>
    </w:rPr>
  </w:style>
  <w:style w:type="character" w:customStyle="1" w:styleId="BodyTextChar">
    <w:name w:val="Body Text Char"/>
    <w:basedOn w:val="DefaultParagraphFont"/>
    <w:link w:val="BodyText"/>
    <w:uiPriority w:val="99"/>
    <w:rsid w:val="00E5795B"/>
    <w:rPr>
      <w:lang w:val="es-ES" w:eastAsia="es-ES"/>
    </w:rPr>
  </w:style>
  <w:style w:type="table" w:styleId="LightShading">
    <w:name w:val="Light Shading"/>
    <w:basedOn w:val="TableNormal"/>
    <w:rsid w:val="00652E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265D69"/>
    <w:rPr>
      <w:b/>
      <w:bCs/>
      <w:smallCaps/>
      <w:spacing w:val="5"/>
    </w:rPr>
  </w:style>
  <w:style w:type="character" w:styleId="PageNumber">
    <w:name w:val="page number"/>
    <w:basedOn w:val="DefaultParagraphFont"/>
    <w:rsid w:val="00B625B0"/>
  </w:style>
  <w:style w:type="character" w:styleId="Emphasis">
    <w:name w:val="Emphasis"/>
    <w:uiPriority w:val="20"/>
    <w:qFormat/>
    <w:rsid w:val="00B625B0"/>
    <w:rPr>
      <w:i/>
      <w:iCs/>
    </w:rPr>
  </w:style>
  <w:style w:type="paragraph" w:customStyle="1" w:styleId="Niveldenota11">
    <w:name w:val="Nivel de nota 11"/>
    <w:basedOn w:val="Normal"/>
    <w:uiPriority w:val="99"/>
    <w:unhideWhenUsed/>
    <w:rsid w:val="00B625B0"/>
    <w:pPr>
      <w:keepNext/>
      <w:tabs>
        <w:tab w:val="num" w:pos="0"/>
      </w:tabs>
      <w:spacing w:after="0" w:line="240" w:lineRule="auto"/>
      <w:contextualSpacing/>
      <w:outlineLvl w:val="0"/>
    </w:pPr>
    <w:rPr>
      <w:rFonts w:ascii="Verdana" w:hAnsi="Verdana"/>
      <w:sz w:val="24"/>
      <w:szCs w:val="24"/>
    </w:rPr>
  </w:style>
  <w:style w:type="paragraph" w:customStyle="1" w:styleId="Niveldenota21">
    <w:name w:val="Nivel de nota 21"/>
    <w:basedOn w:val="Normal"/>
    <w:uiPriority w:val="99"/>
    <w:unhideWhenUsed/>
    <w:rsid w:val="00B625B0"/>
    <w:pPr>
      <w:keepNext/>
      <w:tabs>
        <w:tab w:val="num" w:pos="720"/>
      </w:tabs>
      <w:spacing w:after="0" w:line="240" w:lineRule="auto"/>
      <w:ind w:left="1080" w:hanging="360"/>
      <w:contextualSpacing/>
      <w:outlineLvl w:val="1"/>
    </w:pPr>
    <w:rPr>
      <w:rFonts w:ascii="Verdana" w:hAnsi="Verdana"/>
      <w:sz w:val="24"/>
      <w:szCs w:val="24"/>
    </w:rPr>
  </w:style>
  <w:style w:type="paragraph" w:customStyle="1" w:styleId="Niveldenota31">
    <w:name w:val="Nivel de nota 31"/>
    <w:basedOn w:val="Normal"/>
    <w:uiPriority w:val="99"/>
    <w:unhideWhenUsed/>
    <w:rsid w:val="00B625B0"/>
    <w:pPr>
      <w:keepNext/>
      <w:tabs>
        <w:tab w:val="num" w:pos="1440"/>
      </w:tabs>
      <w:spacing w:after="0" w:line="240" w:lineRule="auto"/>
      <w:ind w:left="1800" w:hanging="360"/>
      <w:contextualSpacing/>
      <w:outlineLvl w:val="2"/>
    </w:pPr>
    <w:rPr>
      <w:rFonts w:ascii="Verdana" w:hAnsi="Verdana"/>
      <w:sz w:val="24"/>
      <w:szCs w:val="24"/>
    </w:rPr>
  </w:style>
  <w:style w:type="paragraph" w:customStyle="1" w:styleId="Niveldenota41">
    <w:name w:val="Nivel de nota 41"/>
    <w:basedOn w:val="Normal"/>
    <w:uiPriority w:val="99"/>
    <w:unhideWhenUsed/>
    <w:rsid w:val="00B625B0"/>
    <w:pPr>
      <w:keepNext/>
      <w:tabs>
        <w:tab w:val="num" w:pos="2160"/>
      </w:tabs>
      <w:spacing w:after="0" w:line="240" w:lineRule="auto"/>
      <w:ind w:left="2520" w:hanging="360"/>
      <w:contextualSpacing/>
      <w:outlineLvl w:val="3"/>
    </w:pPr>
    <w:rPr>
      <w:rFonts w:ascii="Verdana" w:hAnsi="Verdana"/>
      <w:sz w:val="24"/>
      <w:szCs w:val="24"/>
    </w:rPr>
  </w:style>
  <w:style w:type="paragraph" w:customStyle="1" w:styleId="Niveldenota51">
    <w:name w:val="Nivel de nota 51"/>
    <w:basedOn w:val="Normal"/>
    <w:uiPriority w:val="99"/>
    <w:unhideWhenUsed/>
    <w:rsid w:val="00B625B0"/>
    <w:pPr>
      <w:keepNext/>
      <w:tabs>
        <w:tab w:val="num" w:pos="2880"/>
      </w:tabs>
      <w:spacing w:after="0" w:line="240" w:lineRule="auto"/>
      <w:ind w:left="3240" w:hanging="360"/>
      <w:contextualSpacing/>
      <w:outlineLvl w:val="4"/>
    </w:pPr>
    <w:rPr>
      <w:rFonts w:ascii="Verdana" w:hAnsi="Verdana"/>
      <w:sz w:val="24"/>
      <w:szCs w:val="24"/>
    </w:rPr>
  </w:style>
  <w:style w:type="paragraph" w:customStyle="1" w:styleId="Niveldenota61">
    <w:name w:val="Nivel de nota 61"/>
    <w:basedOn w:val="Normal"/>
    <w:uiPriority w:val="99"/>
    <w:unhideWhenUsed/>
    <w:rsid w:val="00B625B0"/>
    <w:pPr>
      <w:keepNext/>
      <w:tabs>
        <w:tab w:val="num" w:pos="3600"/>
      </w:tabs>
      <w:spacing w:after="0" w:line="240" w:lineRule="auto"/>
      <w:ind w:left="3960" w:hanging="360"/>
      <w:contextualSpacing/>
      <w:outlineLvl w:val="5"/>
    </w:pPr>
    <w:rPr>
      <w:rFonts w:ascii="Verdana" w:hAnsi="Verdana"/>
      <w:sz w:val="24"/>
      <w:szCs w:val="24"/>
    </w:rPr>
  </w:style>
  <w:style w:type="paragraph" w:customStyle="1" w:styleId="Niveldenota71">
    <w:name w:val="Nivel de nota 71"/>
    <w:basedOn w:val="Normal"/>
    <w:uiPriority w:val="99"/>
    <w:unhideWhenUsed/>
    <w:rsid w:val="00B625B0"/>
    <w:pPr>
      <w:keepNext/>
      <w:tabs>
        <w:tab w:val="num" w:pos="4320"/>
      </w:tabs>
      <w:spacing w:after="0" w:line="240" w:lineRule="auto"/>
      <w:ind w:left="4680" w:hanging="360"/>
      <w:contextualSpacing/>
      <w:outlineLvl w:val="6"/>
    </w:pPr>
    <w:rPr>
      <w:rFonts w:ascii="Verdana" w:hAnsi="Verdana"/>
      <w:sz w:val="24"/>
      <w:szCs w:val="24"/>
    </w:rPr>
  </w:style>
  <w:style w:type="paragraph" w:customStyle="1" w:styleId="Niveldenota81">
    <w:name w:val="Nivel de nota 81"/>
    <w:basedOn w:val="Normal"/>
    <w:uiPriority w:val="99"/>
    <w:unhideWhenUsed/>
    <w:rsid w:val="00B625B0"/>
    <w:pPr>
      <w:keepNext/>
      <w:tabs>
        <w:tab w:val="num" w:pos="5040"/>
      </w:tabs>
      <w:spacing w:after="0" w:line="240" w:lineRule="auto"/>
      <w:ind w:left="5400" w:hanging="360"/>
      <w:contextualSpacing/>
      <w:outlineLvl w:val="7"/>
    </w:pPr>
    <w:rPr>
      <w:rFonts w:ascii="Verdana" w:hAnsi="Verdana"/>
      <w:sz w:val="24"/>
      <w:szCs w:val="24"/>
    </w:rPr>
  </w:style>
  <w:style w:type="paragraph" w:customStyle="1" w:styleId="Niveldenota91">
    <w:name w:val="Nivel de nota 91"/>
    <w:basedOn w:val="Normal"/>
    <w:uiPriority w:val="99"/>
    <w:unhideWhenUsed/>
    <w:rsid w:val="00B625B0"/>
    <w:pPr>
      <w:keepNext/>
      <w:tabs>
        <w:tab w:val="num" w:pos="5760"/>
      </w:tabs>
      <w:spacing w:after="0" w:line="240" w:lineRule="auto"/>
      <w:ind w:left="6120" w:hanging="360"/>
      <w:contextualSpacing/>
      <w:outlineLvl w:val="8"/>
    </w:pPr>
    <w:rPr>
      <w:rFonts w:ascii="Verdana" w:hAnsi="Verdana"/>
      <w:sz w:val="24"/>
      <w:szCs w:val="24"/>
    </w:rPr>
  </w:style>
  <w:style w:type="character" w:styleId="PlaceholderText">
    <w:name w:val="Placeholder Text"/>
    <w:basedOn w:val="DefaultParagraphFont"/>
    <w:rsid w:val="00B625B0"/>
    <w:rPr>
      <w:color w:val="808080"/>
    </w:rPr>
  </w:style>
  <w:style w:type="character" w:customStyle="1" w:styleId="apple-converted-space">
    <w:name w:val="apple-converted-space"/>
    <w:basedOn w:val="DefaultParagraphFont"/>
    <w:rsid w:val="00B625B0"/>
  </w:style>
  <w:style w:type="paragraph" w:customStyle="1" w:styleId="xl69">
    <w:name w:val="xl69"/>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0"/>
      <w:szCs w:val="20"/>
      <w:lang w:val="es-MX" w:eastAsia="es-ES"/>
    </w:rPr>
  </w:style>
  <w:style w:type="paragraph" w:customStyle="1" w:styleId="xl70">
    <w:name w:val="xl70"/>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0"/>
      <w:szCs w:val="20"/>
      <w:lang w:val="es-MX" w:eastAsia="es-ES"/>
    </w:rPr>
  </w:style>
  <w:style w:type="paragraph" w:customStyle="1" w:styleId="xl71">
    <w:name w:val="xl71"/>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s-MX" w:eastAsia="es-ES"/>
    </w:rPr>
  </w:style>
  <w:style w:type="paragraph" w:customStyle="1" w:styleId="xl72">
    <w:name w:val="xl72"/>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s-MX" w:eastAsia="es-ES"/>
    </w:rPr>
  </w:style>
  <w:style w:type="paragraph" w:customStyle="1" w:styleId="xl73">
    <w:name w:val="xl73"/>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s-MX" w:eastAsia="es-ES"/>
    </w:rPr>
  </w:style>
  <w:style w:type="paragraph" w:customStyle="1" w:styleId="xl74">
    <w:name w:val="xl74"/>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0"/>
      <w:szCs w:val="20"/>
      <w:lang w:val="es-MX" w:eastAsia="es-ES"/>
    </w:rPr>
  </w:style>
  <w:style w:type="paragraph" w:customStyle="1" w:styleId="xl75">
    <w:name w:val="xl75"/>
    <w:basedOn w:val="Normal"/>
    <w:rsid w:val="00B625B0"/>
    <w:pPr>
      <w:spacing w:before="100" w:beforeAutospacing="1" w:after="100" w:afterAutospacing="1" w:line="240" w:lineRule="auto"/>
    </w:pPr>
    <w:rPr>
      <w:rFonts w:ascii="Times New Roman" w:hAnsi="Times New Roman" w:cs="Times New Roman"/>
      <w:sz w:val="20"/>
      <w:szCs w:val="20"/>
      <w:lang w:val="es-MX" w:eastAsia="es-ES"/>
    </w:rPr>
  </w:style>
  <w:style w:type="paragraph" w:customStyle="1" w:styleId="xl76">
    <w:name w:val="xl76"/>
    <w:basedOn w:val="Normal"/>
    <w:rsid w:val="00B625B0"/>
    <w:pPr>
      <w:spacing w:before="100" w:beforeAutospacing="1" w:after="100" w:afterAutospacing="1" w:line="240" w:lineRule="auto"/>
    </w:pPr>
    <w:rPr>
      <w:rFonts w:ascii="Calibri" w:hAnsi="Calibri"/>
      <w:sz w:val="20"/>
      <w:szCs w:val="20"/>
      <w:lang w:val="es-MX" w:eastAsia="es-ES"/>
    </w:rPr>
  </w:style>
  <w:style w:type="paragraph" w:customStyle="1" w:styleId="xl77">
    <w:name w:val="xl77"/>
    <w:basedOn w:val="Normal"/>
    <w:rsid w:val="00B625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sz w:val="20"/>
      <w:szCs w:val="20"/>
      <w:lang w:val="es-MX" w:eastAsia="es-ES"/>
    </w:rPr>
  </w:style>
  <w:style w:type="paragraph" w:customStyle="1" w:styleId="xl78">
    <w:name w:val="xl78"/>
    <w:basedOn w:val="Normal"/>
    <w:rsid w:val="00B625B0"/>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sz w:val="20"/>
      <w:szCs w:val="20"/>
      <w:lang w:val="es-MX" w:eastAsia="es-ES"/>
    </w:rPr>
  </w:style>
  <w:style w:type="paragraph" w:customStyle="1" w:styleId="xl79">
    <w:name w:val="xl79"/>
    <w:basedOn w:val="Normal"/>
    <w:rsid w:val="00B625B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0"/>
      <w:szCs w:val="20"/>
      <w:lang w:val="es-MX" w:eastAsia="es-ES"/>
    </w:rPr>
  </w:style>
  <w:style w:type="paragraph" w:styleId="HTMLPreformatted">
    <w:name w:val="HTML Preformatted"/>
    <w:basedOn w:val="Normal"/>
    <w:link w:val="HTMLPreformattedChar"/>
    <w:rsid w:val="000719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071970"/>
    <w:rPr>
      <w:rFonts w:ascii="Consolas" w:hAnsi="Consolas" w:cs="Consolas"/>
      <w:sz w:val="20"/>
      <w:szCs w:val="20"/>
    </w:rPr>
  </w:style>
  <w:style w:type="table" w:styleId="LightShading-Accent1">
    <w:name w:val="Light Shading Accent 1"/>
    <w:basedOn w:val="TableNormal"/>
    <w:rsid w:val="00C37A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4B5334"/>
    <w:pPr>
      <w:spacing w:line="240" w:lineRule="auto"/>
    </w:pPr>
    <w:rPr>
      <w:rFonts w:eastAsiaTheme="minorHAns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iPriority="61"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33" w:unhideWhenUsed="0" w:qFormat="1"/>
  </w:latentStyles>
  <w:style w:type="paragraph" w:default="1" w:styleId="Normal">
    <w:name w:val="Normal"/>
    <w:qFormat/>
    <w:rsid w:val="00043320"/>
  </w:style>
  <w:style w:type="paragraph" w:styleId="Heading1">
    <w:name w:val="heading 1"/>
    <w:basedOn w:val="Normal"/>
    <w:next w:val="Normal"/>
    <w:link w:val="Heading1Char"/>
    <w:qFormat/>
    <w:rsid w:val="00E5795B"/>
    <w:pPr>
      <w:keepNext/>
      <w:keepLines/>
      <w:numPr>
        <w:numId w:val="9"/>
      </w:numPr>
      <w:spacing w:before="480" w:after="0"/>
      <w:jc w:val="center"/>
      <w:outlineLvl w:val="0"/>
    </w:pPr>
    <w:rPr>
      <w:rFonts w:ascii="Times New Roman" w:eastAsiaTheme="majorEastAsia" w:hAnsi="Times New Roman" w:cs="Times New Roman"/>
      <w:b/>
      <w:bCs/>
      <w:color w:val="000000" w:themeColor="text1"/>
      <w:sz w:val="28"/>
      <w:szCs w:val="28"/>
    </w:rPr>
  </w:style>
  <w:style w:type="paragraph" w:styleId="Heading2">
    <w:name w:val="heading 2"/>
    <w:basedOn w:val="Normal"/>
    <w:next w:val="Normal"/>
    <w:link w:val="Heading2Char"/>
    <w:qFormat/>
    <w:rsid w:val="00EA4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A4C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D078D"/>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DD078D"/>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DD078D"/>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DD078D"/>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DD078D"/>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DD078D"/>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C0076"/>
  </w:style>
  <w:style w:type="paragraph" w:styleId="ListParagraph">
    <w:name w:val="List Paragraph"/>
    <w:basedOn w:val="Normal"/>
    <w:uiPriority w:val="99"/>
    <w:qFormat/>
    <w:rsid w:val="004C0076"/>
    <w:pPr>
      <w:ind w:left="720"/>
      <w:contextualSpacing/>
    </w:pPr>
  </w:style>
  <w:style w:type="character" w:styleId="Hyperlink">
    <w:name w:val="Hyperlink"/>
    <w:basedOn w:val="DefaultParagraphFont"/>
    <w:uiPriority w:val="99"/>
    <w:unhideWhenUsed/>
    <w:rsid w:val="007037DE"/>
    <w:rPr>
      <w:color w:val="0000FF" w:themeColor="hyperlink"/>
      <w:u w:val="single"/>
    </w:rPr>
  </w:style>
  <w:style w:type="paragraph" w:customStyle="1" w:styleId="Chapter">
    <w:name w:val="Chapter"/>
    <w:basedOn w:val="Normal"/>
    <w:next w:val="Normal"/>
    <w:link w:val="ChapterChar"/>
    <w:rsid w:val="00BA23C8"/>
    <w:pPr>
      <w:keepNext/>
      <w:tabs>
        <w:tab w:val="num" w:pos="648"/>
        <w:tab w:val="left" w:pos="1440"/>
      </w:tabs>
      <w:spacing w:before="240" w:after="240" w:line="240" w:lineRule="auto"/>
      <w:ind w:firstLine="288"/>
      <w:jc w:val="center"/>
    </w:pPr>
    <w:rPr>
      <w:rFonts w:ascii="Times New Roman" w:hAnsi="Times New Roman" w:cs="Times New Roman"/>
      <w:b/>
      <w:smallCaps/>
      <w:sz w:val="24"/>
    </w:rPr>
  </w:style>
  <w:style w:type="character" w:customStyle="1" w:styleId="ChapterChar">
    <w:name w:val="Chapter Char"/>
    <w:basedOn w:val="DefaultParagraphFont"/>
    <w:link w:val="Chapter"/>
    <w:rsid w:val="00BA23C8"/>
    <w:rPr>
      <w:rFonts w:ascii="Times New Roman" w:hAnsi="Times New Roman" w:cs="Times New Roman"/>
      <w:b/>
      <w:smallCaps/>
      <w:sz w:val="24"/>
    </w:rPr>
  </w:style>
  <w:style w:type="paragraph" w:customStyle="1" w:styleId="FirstHeading">
    <w:name w:val="FirstHeading"/>
    <w:basedOn w:val="Normal"/>
    <w:next w:val="Normal"/>
    <w:link w:val="FirstHeadingChar"/>
    <w:rsid w:val="00DD078D"/>
    <w:pPr>
      <w:keepNext/>
      <w:numPr>
        <w:numId w:val="23"/>
      </w:numPr>
      <w:tabs>
        <w:tab w:val="left" w:pos="0"/>
        <w:tab w:val="left" w:pos="86"/>
      </w:tabs>
      <w:spacing w:before="120" w:after="120" w:line="240" w:lineRule="auto"/>
      <w:ind w:left="720"/>
    </w:pPr>
    <w:rPr>
      <w:rFonts w:ascii="Times New Roman" w:hAnsi="Times New Roman" w:cs="Times New Roman"/>
      <w:b/>
      <w:sz w:val="24"/>
    </w:rPr>
  </w:style>
  <w:style w:type="character" w:customStyle="1" w:styleId="FirstHeadingChar">
    <w:name w:val="FirstHeading Char"/>
    <w:basedOn w:val="DefaultParagraphFont"/>
    <w:link w:val="FirstHeading"/>
    <w:rsid w:val="00DD078D"/>
    <w:rPr>
      <w:rFonts w:ascii="Times New Roman" w:hAnsi="Times New Roman" w:cs="Times New Roman"/>
      <w:b/>
      <w:sz w:val="24"/>
    </w:rPr>
  </w:style>
  <w:style w:type="paragraph" w:customStyle="1" w:styleId="SecHeading">
    <w:name w:val="SecHeading"/>
    <w:basedOn w:val="Normal"/>
    <w:next w:val="Paragraph"/>
    <w:link w:val="SecHeadingChar"/>
    <w:rsid w:val="00DD078D"/>
    <w:pPr>
      <w:keepNext/>
      <w:numPr>
        <w:ilvl w:val="1"/>
        <w:numId w:val="23"/>
      </w:numPr>
      <w:tabs>
        <w:tab w:val="clear" w:pos="3168"/>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DD078D"/>
    <w:rPr>
      <w:rFonts w:ascii="Times New Roman" w:hAnsi="Times New Roman" w:cs="Times New Roman"/>
      <w:b/>
      <w:sz w:val="24"/>
    </w:rPr>
  </w:style>
  <w:style w:type="paragraph" w:customStyle="1" w:styleId="SubHeading1">
    <w:name w:val="SubHeading1"/>
    <w:basedOn w:val="SecHeading"/>
    <w:link w:val="SubHeading1Char"/>
    <w:rsid w:val="00BA23C8"/>
    <w:pPr>
      <w:numPr>
        <w:ilvl w:val="2"/>
      </w:numPr>
      <w:tabs>
        <w:tab w:val="num" w:pos="1872"/>
      </w:tabs>
      <w:ind w:left="1872" w:hanging="576"/>
    </w:pPr>
  </w:style>
  <w:style w:type="character" w:customStyle="1" w:styleId="SubHeading1Char">
    <w:name w:val="SubHeading1 Char"/>
    <w:basedOn w:val="DefaultParagraphFont"/>
    <w:link w:val="SubHeading1"/>
    <w:rsid w:val="00BA23C8"/>
    <w:rPr>
      <w:rFonts w:ascii="Times New Roman" w:hAnsi="Times New Roman" w:cs="Times New Roman"/>
      <w:b/>
      <w:sz w:val="24"/>
    </w:rPr>
  </w:style>
  <w:style w:type="paragraph" w:customStyle="1" w:styleId="Subheading2">
    <w:name w:val="Subheading2"/>
    <w:basedOn w:val="SecHeading"/>
    <w:link w:val="Subheading2Char"/>
    <w:rsid w:val="00BA23C8"/>
    <w:pPr>
      <w:numPr>
        <w:ilvl w:val="0"/>
        <w:numId w:val="0"/>
      </w:numPr>
      <w:tabs>
        <w:tab w:val="num" w:pos="2376"/>
      </w:tabs>
      <w:ind w:left="2376" w:hanging="288"/>
    </w:pPr>
  </w:style>
  <w:style w:type="character" w:customStyle="1" w:styleId="Subheading2Char">
    <w:name w:val="Subheading2 Char"/>
    <w:basedOn w:val="DefaultParagraphFont"/>
    <w:link w:val="Subheading2"/>
    <w:rsid w:val="00BA23C8"/>
    <w:rPr>
      <w:rFonts w:ascii="Times New Roman" w:hAnsi="Times New Roman" w:cs="Times New Roman"/>
      <w:b/>
      <w:sz w:val="24"/>
    </w:rPr>
  </w:style>
  <w:style w:type="paragraph" w:customStyle="1" w:styleId="Paragraph">
    <w:name w:val="Paragraph"/>
    <w:aliases w:val="paragraph,p,PARAGRAPH,PG,pa,at"/>
    <w:basedOn w:val="BodyTextIndent"/>
    <w:link w:val="ParagraphChar"/>
    <w:qFormat/>
    <w:rsid w:val="00DD078D"/>
    <w:pPr>
      <w:tabs>
        <w:tab w:val="num" w:pos="720"/>
      </w:tabs>
      <w:spacing w:before="120"/>
      <w:ind w:left="720" w:hanging="720"/>
      <w:jc w:val="both"/>
      <w:outlineLvl w:val="1"/>
    </w:pPr>
  </w:style>
  <w:style w:type="character" w:customStyle="1" w:styleId="ParagraphChar">
    <w:name w:val="Paragraph Char"/>
    <w:basedOn w:val="DefaultParagraphFont"/>
    <w:link w:val="Paragraph"/>
    <w:rsid w:val="00BA23C8"/>
    <w:rPr>
      <w:rFonts w:ascii="Times New Roman" w:hAnsi="Times New Roman" w:cs="Times New Roman"/>
      <w:sz w:val="24"/>
    </w:rPr>
  </w:style>
  <w:style w:type="paragraph" w:customStyle="1" w:styleId="subpar">
    <w:name w:val="subpar"/>
    <w:basedOn w:val="BodyTextIndent3"/>
    <w:link w:val="subparChar"/>
    <w:rsid w:val="00DD078D"/>
    <w:pPr>
      <w:tabs>
        <w:tab w:val="num" w:pos="1152"/>
      </w:tabs>
      <w:spacing w:before="120"/>
      <w:ind w:left="1152" w:hanging="432"/>
      <w:jc w:val="both"/>
      <w:outlineLvl w:val="2"/>
    </w:pPr>
  </w:style>
  <w:style w:type="character" w:customStyle="1" w:styleId="subparChar">
    <w:name w:val="subpar Char"/>
    <w:basedOn w:val="DefaultParagraphFont"/>
    <w:link w:val="subpar"/>
    <w:rsid w:val="00BA23C8"/>
    <w:rPr>
      <w:rFonts w:ascii="Times New Roman" w:hAnsi="Times New Roman" w:cs="Times New Roman"/>
      <w:sz w:val="24"/>
      <w:szCs w:val="16"/>
    </w:rPr>
  </w:style>
  <w:style w:type="paragraph" w:customStyle="1" w:styleId="SubSubPar">
    <w:name w:val="SubSubPar"/>
    <w:basedOn w:val="subpar"/>
    <w:link w:val="SubSubParChar"/>
    <w:uiPriority w:val="99"/>
    <w:rsid w:val="00BA23C8"/>
    <w:pPr>
      <w:numPr>
        <w:ilvl w:val="3"/>
      </w:numPr>
      <w:tabs>
        <w:tab w:val="left" w:pos="0"/>
        <w:tab w:val="num" w:pos="1152"/>
        <w:tab w:val="num" w:pos="1296"/>
      </w:tabs>
      <w:ind w:left="1296" w:hanging="288"/>
    </w:pPr>
  </w:style>
  <w:style w:type="character" w:customStyle="1" w:styleId="SubSubParChar">
    <w:name w:val="SubSubPar Char"/>
    <w:basedOn w:val="DefaultParagraphFont"/>
    <w:link w:val="SubSubPar"/>
    <w:rsid w:val="00BA23C8"/>
    <w:rPr>
      <w:rFonts w:ascii="Times New Roman" w:hAnsi="Times New Roman" w:cs="Times New Roman"/>
      <w:sz w:val="24"/>
      <w:szCs w:val="16"/>
    </w:rPr>
  </w:style>
  <w:style w:type="paragraph" w:customStyle="1" w:styleId="Regtable">
    <w:name w:val="Regtable"/>
    <w:basedOn w:val="Normal"/>
    <w:link w:val="RegtableChar"/>
    <w:rsid w:val="00DD078D"/>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DD078D"/>
    <w:rPr>
      <w:rFonts w:ascii="Times New Roman" w:hAnsi="Times New Roman" w:cs="Times New Roman"/>
      <w:sz w:val="20"/>
    </w:rPr>
  </w:style>
  <w:style w:type="paragraph" w:customStyle="1" w:styleId="TableTitle">
    <w:name w:val="TableTitle"/>
    <w:basedOn w:val="Normal"/>
    <w:link w:val="TableTitleChar"/>
    <w:rsid w:val="00DD078D"/>
    <w:pPr>
      <w:keepNext/>
      <w:framePr w:wrap="around" w:vAnchor="text" w:hAnchor="text" w:y="1"/>
      <w:spacing w:before="20" w:after="20" w:line="240" w:lineRule="auto"/>
      <w:jc w:val="center"/>
    </w:pPr>
    <w:rPr>
      <w:rFonts w:ascii="Times New Roman Bold" w:hAnsi="Times New Roman Bold" w:cs="Times New Roman Bold"/>
      <w:b/>
      <w:spacing w:val="-3"/>
      <w:sz w:val="20"/>
    </w:rPr>
  </w:style>
  <w:style w:type="character" w:customStyle="1" w:styleId="TableTitleChar">
    <w:name w:val="TableTitle Char"/>
    <w:basedOn w:val="DefaultParagraphFont"/>
    <w:link w:val="TableTitle"/>
    <w:rsid w:val="00DD078D"/>
    <w:rPr>
      <w:rFonts w:ascii="Times New Roman Bold" w:hAnsi="Times New Roman Bold" w:cs="Times New Roman Bold"/>
      <w:b/>
      <w:spacing w:val="-3"/>
      <w:sz w:val="20"/>
    </w:rPr>
  </w:style>
  <w:style w:type="character" w:customStyle="1" w:styleId="Heading2Char">
    <w:name w:val="Heading 2 Char"/>
    <w:basedOn w:val="DefaultParagraphFont"/>
    <w:link w:val="Heading2"/>
    <w:rsid w:val="00EA4C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A4C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D07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D07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D07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D07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D07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D078D"/>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rsid w:val="00EA4CF0"/>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EA4CF0"/>
    <w:rPr>
      <w:rFonts w:ascii="Times New Roman" w:hAnsi="Times New Roman" w:cs="Times New Roman"/>
      <w:sz w:val="24"/>
    </w:rPr>
  </w:style>
  <w:style w:type="paragraph" w:styleId="BodyTextIndent3">
    <w:name w:val="Body Text Indent 3"/>
    <w:basedOn w:val="Normal"/>
    <w:link w:val="BodyTextIndent3Char"/>
    <w:uiPriority w:val="99"/>
    <w:rsid w:val="00EA4CF0"/>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rsid w:val="00EA4CF0"/>
    <w:rPr>
      <w:rFonts w:ascii="Times New Roman" w:hAnsi="Times New Roman" w:cs="Times New Roman"/>
      <w:sz w:val="24"/>
      <w:szCs w:val="16"/>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rsid w:val="00EA4CF0"/>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EA4CF0"/>
    <w:rPr>
      <w:rFonts w:ascii="Times New Roman" w:hAnsi="Times New Roman" w:cs="Times New Roman"/>
      <w:spacing w:val="-3"/>
      <w:sz w:val="20"/>
      <w:szCs w:val="20"/>
    </w:rPr>
  </w:style>
  <w:style w:type="paragraph" w:styleId="TOC1">
    <w:name w:val="toc 1"/>
    <w:basedOn w:val="Normal"/>
    <w:next w:val="Normal"/>
    <w:autoRedefine/>
    <w:uiPriority w:val="39"/>
    <w:rsid w:val="006E0D6C"/>
    <w:pPr>
      <w:tabs>
        <w:tab w:val="right" w:leader="dot" w:pos="8741"/>
      </w:tabs>
      <w:spacing w:before="240" w:after="240" w:line="240" w:lineRule="auto"/>
      <w:ind w:left="547" w:hanging="547"/>
    </w:pPr>
    <w:rPr>
      <w:rFonts w:ascii="Times New Roman Bold" w:hAnsi="Times New Roman Bold" w:cs="Times New Roman"/>
      <w:smallCaps/>
      <w:noProof/>
      <w:sz w:val="24"/>
      <w:lang w:val="es-ES"/>
    </w:rPr>
  </w:style>
  <w:style w:type="paragraph" w:styleId="TOC2">
    <w:name w:val="toc 2"/>
    <w:basedOn w:val="Normal"/>
    <w:next w:val="Normal"/>
    <w:autoRedefine/>
    <w:uiPriority w:val="39"/>
    <w:rsid w:val="008C4F91"/>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uiPriority w:val="39"/>
    <w:rsid w:val="008C4F91"/>
    <w:pPr>
      <w:tabs>
        <w:tab w:val="left" w:pos="1728"/>
        <w:tab w:val="right" w:leader="dot" w:pos="8741"/>
      </w:tabs>
      <w:spacing w:after="0" w:line="240" w:lineRule="auto"/>
      <w:ind w:left="1714" w:hanging="562"/>
    </w:pPr>
    <w:rPr>
      <w:rFonts w:ascii="Times New Roman" w:hAnsi="Times New Roman" w:cs="Times New Roman"/>
      <w:sz w:val="24"/>
    </w:rPr>
  </w:style>
  <w:style w:type="paragraph" w:styleId="Header">
    <w:name w:val="header"/>
    <w:basedOn w:val="Normal"/>
    <w:link w:val="HeaderChar"/>
    <w:uiPriority w:val="99"/>
    <w:rsid w:val="000B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08"/>
  </w:style>
  <w:style w:type="paragraph" w:styleId="Footer">
    <w:name w:val="footer"/>
    <w:basedOn w:val="Normal"/>
    <w:link w:val="FooterChar"/>
    <w:uiPriority w:val="99"/>
    <w:rsid w:val="000B2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08"/>
  </w:style>
  <w:style w:type="paragraph" w:customStyle="1" w:styleId="Newpage">
    <w:name w:val="Newpage"/>
    <w:basedOn w:val="Chapter"/>
    <w:rsid w:val="003A44B1"/>
    <w:pPr>
      <w:tabs>
        <w:tab w:val="clear" w:pos="1440"/>
        <w:tab w:val="left" w:pos="3060"/>
      </w:tabs>
      <w:spacing w:after="0"/>
    </w:pPr>
    <w:rPr>
      <w:rFonts w:eastAsia="Times New Roman"/>
      <w:szCs w:val="20"/>
      <w:lang w:val="es-ES"/>
    </w:rPr>
  </w:style>
  <w:style w:type="character" w:styleId="FootnoteReference">
    <w:name w:val="footnote reference"/>
    <w:aliases w:val="titulo 2,FC,referencia nota al pie,Fußnotenzeichen DISS,ftref,16 Point,Superscript 6 Point,BVI fnr, BVI fnr,Знак сноски 1,Footnote Referencefra,Ref. de nota al pie.,Stinking Styles11,Texto de nota al pie,Footnote symbol,Footnote,fr"/>
    <w:basedOn w:val="DefaultParagraphFont"/>
    <w:uiPriority w:val="99"/>
    <w:qFormat/>
    <w:rsid w:val="00543A15"/>
    <w:rPr>
      <w:vertAlign w:val="superscript"/>
    </w:rPr>
  </w:style>
  <w:style w:type="paragraph" w:customStyle="1" w:styleId="Default">
    <w:name w:val="Default"/>
    <w:rsid w:val="00551D8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rsid w:val="002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7E1A"/>
    <w:rPr>
      <w:rFonts w:ascii="Tahoma" w:hAnsi="Tahoma" w:cs="Tahoma"/>
      <w:sz w:val="16"/>
      <w:szCs w:val="16"/>
    </w:rPr>
  </w:style>
  <w:style w:type="character" w:customStyle="1" w:styleId="copyshorturl2">
    <w:name w:val="copy_short_url2"/>
    <w:basedOn w:val="DefaultParagraphFont"/>
    <w:rsid w:val="00FA2890"/>
  </w:style>
  <w:style w:type="character" w:styleId="CommentReference">
    <w:name w:val="annotation reference"/>
    <w:basedOn w:val="DefaultParagraphFont"/>
    <w:uiPriority w:val="99"/>
    <w:rsid w:val="00581D80"/>
    <w:rPr>
      <w:sz w:val="18"/>
      <w:szCs w:val="18"/>
    </w:rPr>
  </w:style>
  <w:style w:type="paragraph" w:styleId="CommentText">
    <w:name w:val="annotation text"/>
    <w:basedOn w:val="Normal"/>
    <w:link w:val="CommentTextChar"/>
    <w:uiPriority w:val="99"/>
    <w:rsid w:val="00581D80"/>
    <w:pPr>
      <w:spacing w:line="240" w:lineRule="auto"/>
    </w:pPr>
    <w:rPr>
      <w:sz w:val="24"/>
      <w:szCs w:val="24"/>
    </w:rPr>
  </w:style>
  <w:style w:type="character" w:customStyle="1" w:styleId="CommentTextChar">
    <w:name w:val="Comment Text Char"/>
    <w:basedOn w:val="DefaultParagraphFont"/>
    <w:link w:val="CommentText"/>
    <w:uiPriority w:val="99"/>
    <w:rsid w:val="00581D80"/>
    <w:rPr>
      <w:sz w:val="24"/>
      <w:szCs w:val="24"/>
    </w:rPr>
  </w:style>
  <w:style w:type="paragraph" w:styleId="CommentSubject">
    <w:name w:val="annotation subject"/>
    <w:basedOn w:val="CommentText"/>
    <w:next w:val="CommentText"/>
    <w:link w:val="CommentSubjectChar"/>
    <w:uiPriority w:val="99"/>
    <w:rsid w:val="00581D80"/>
    <w:rPr>
      <w:b/>
      <w:bCs/>
      <w:sz w:val="20"/>
      <w:szCs w:val="20"/>
    </w:rPr>
  </w:style>
  <w:style w:type="character" w:customStyle="1" w:styleId="CommentSubjectChar">
    <w:name w:val="Comment Subject Char"/>
    <w:basedOn w:val="CommentTextChar"/>
    <w:link w:val="CommentSubject"/>
    <w:uiPriority w:val="99"/>
    <w:rsid w:val="00581D80"/>
    <w:rPr>
      <w:b/>
      <w:bCs/>
      <w:sz w:val="20"/>
      <w:szCs w:val="20"/>
    </w:rPr>
  </w:style>
  <w:style w:type="character" w:styleId="FollowedHyperlink">
    <w:name w:val="FollowedHyperlink"/>
    <w:basedOn w:val="DefaultParagraphFont"/>
    <w:uiPriority w:val="99"/>
    <w:rsid w:val="007E3196"/>
    <w:rPr>
      <w:color w:val="800080" w:themeColor="followedHyperlink"/>
      <w:u w:val="single"/>
    </w:rPr>
  </w:style>
  <w:style w:type="paragraph" w:customStyle="1" w:styleId="NoteLevel1">
    <w:name w:val="Note Level 1"/>
    <w:basedOn w:val="Normal"/>
    <w:uiPriority w:val="99"/>
    <w:unhideWhenUsed/>
    <w:rsid w:val="00DE434E"/>
    <w:pPr>
      <w:keepNext/>
      <w:numPr>
        <w:numId w:val="8"/>
      </w:numPr>
      <w:spacing w:after="0" w:line="240" w:lineRule="auto"/>
      <w:contextualSpacing/>
      <w:outlineLvl w:val="0"/>
    </w:pPr>
    <w:rPr>
      <w:rFonts w:ascii="Verdana" w:hAnsi="Verdana"/>
      <w:sz w:val="24"/>
      <w:szCs w:val="24"/>
    </w:rPr>
  </w:style>
  <w:style w:type="paragraph" w:customStyle="1" w:styleId="NoteLevel2">
    <w:name w:val="Note Level 2"/>
    <w:basedOn w:val="Normal"/>
    <w:uiPriority w:val="99"/>
    <w:unhideWhenUsed/>
    <w:rsid w:val="00DE434E"/>
    <w:pPr>
      <w:keepNext/>
      <w:numPr>
        <w:ilvl w:val="1"/>
        <w:numId w:val="8"/>
      </w:numPr>
      <w:spacing w:after="0" w:line="240" w:lineRule="auto"/>
      <w:contextualSpacing/>
      <w:outlineLvl w:val="1"/>
    </w:pPr>
    <w:rPr>
      <w:rFonts w:ascii="Verdana" w:hAnsi="Verdana"/>
      <w:sz w:val="24"/>
      <w:szCs w:val="24"/>
    </w:rPr>
  </w:style>
  <w:style w:type="paragraph" w:customStyle="1" w:styleId="NoteLevel3">
    <w:name w:val="Note Level 3"/>
    <w:basedOn w:val="Normal"/>
    <w:uiPriority w:val="99"/>
    <w:unhideWhenUsed/>
    <w:rsid w:val="00DE434E"/>
    <w:pPr>
      <w:keepNext/>
      <w:numPr>
        <w:ilvl w:val="2"/>
        <w:numId w:val="8"/>
      </w:numPr>
      <w:spacing w:after="0" w:line="240" w:lineRule="auto"/>
      <w:contextualSpacing/>
      <w:outlineLvl w:val="2"/>
    </w:pPr>
    <w:rPr>
      <w:rFonts w:ascii="Verdana" w:hAnsi="Verdana"/>
      <w:sz w:val="24"/>
      <w:szCs w:val="24"/>
    </w:rPr>
  </w:style>
  <w:style w:type="paragraph" w:customStyle="1" w:styleId="NoteLevel4">
    <w:name w:val="Note Level 4"/>
    <w:basedOn w:val="Normal"/>
    <w:uiPriority w:val="99"/>
    <w:unhideWhenUsed/>
    <w:rsid w:val="00DE434E"/>
    <w:pPr>
      <w:keepNext/>
      <w:numPr>
        <w:ilvl w:val="3"/>
        <w:numId w:val="8"/>
      </w:numPr>
      <w:spacing w:after="0" w:line="240" w:lineRule="auto"/>
      <w:contextualSpacing/>
      <w:outlineLvl w:val="3"/>
    </w:pPr>
    <w:rPr>
      <w:rFonts w:ascii="Verdana" w:hAnsi="Verdana"/>
      <w:sz w:val="24"/>
      <w:szCs w:val="24"/>
    </w:rPr>
  </w:style>
  <w:style w:type="paragraph" w:customStyle="1" w:styleId="NoteLevel5">
    <w:name w:val="Note Level 5"/>
    <w:basedOn w:val="Normal"/>
    <w:uiPriority w:val="99"/>
    <w:unhideWhenUsed/>
    <w:rsid w:val="00DE434E"/>
    <w:pPr>
      <w:keepNext/>
      <w:numPr>
        <w:ilvl w:val="4"/>
        <w:numId w:val="8"/>
      </w:numPr>
      <w:spacing w:after="0" w:line="240" w:lineRule="auto"/>
      <w:contextualSpacing/>
      <w:outlineLvl w:val="4"/>
    </w:pPr>
    <w:rPr>
      <w:rFonts w:ascii="Verdana" w:hAnsi="Verdana"/>
      <w:sz w:val="24"/>
      <w:szCs w:val="24"/>
    </w:rPr>
  </w:style>
  <w:style w:type="paragraph" w:customStyle="1" w:styleId="NoteLevel6">
    <w:name w:val="Note Level 6"/>
    <w:basedOn w:val="Normal"/>
    <w:uiPriority w:val="99"/>
    <w:unhideWhenUsed/>
    <w:rsid w:val="00DE434E"/>
    <w:pPr>
      <w:keepNext/>
      <w:numPr>
        <w:ilvl w:val="5"/>
        <w:numId w:val="8"/>
      </w:numPr>
      <w:spacing w:after="0" w:line="240" w:lineRule="auto"/>
      <w:contextualSpacing/>
      <w:outlineLvl w:val="5"/>
    </w:pPr>
    <w:rPr>
      <w:rFonts w:ascii="Verdana" w:hAnsi="Verdana"/>
      <w:sz w:val="24"/>
      <w:szCs w:val="24"/>
    </w:rPr>
  </w:style>
  <w:style w:type="paragraph" w:customStyle="1" w:styleId="NoteLevel7">
    <w:name w:val="Note Level 7"/>
    <w:basedOn w:val="Normal"/>
    <w:uiPriority w:val="99"/>
    <w:unhideWhenUsed/>
    <w:rsid w:val="00DE434E"/>
    <w:pPr>
      <w:keepNext/>
      <w:numPr>
        <w:ilvl w:val="6"/>
        <w:numId w:val="8"/>
      </w:numPr>
      <w:spacing w:after="0" w:line="240" w:lineRule="auto"/>
      <w:contextualSpacing/>
      <w:outlineLvl w:val="6"/>
    </w:pPr>
    <w:rPr>
      <w:rFonts w:ascii="Verdana" w:hAnsi="Verdana"/>
      <w:sz w:val="24"/>
      <w:szCs w:val="24"/>
    </w:rPr>
  </w:style>
  <w:style w:type="paragraph" w:customStyle="1" w:styleId="NoteLevel8">
    <w:name w:val="Note Level 8"/>
    <w:basedOn w:val="Normal"/>
    <w:uiPriority w:val="99"/>
    <w:unhideWhenUsed/>
    <w:rsid w:val="00DE434E"/>
    <w:pPr>
      <w:keepNext/>
      <w:numPr>
        <w:ilvl w:val="7"/>
        <w:numId w:val="8"/>
      </w:numPr>
      <w:spacing w:after="0" w:line="240" w:lineRule="auto"/>
      <w:contextualSpacing/>
      <w:outlineLvl w:val="7"/>
    </w:pPr>
    <w:rPr>
      <w:rFonts w:ascii="Verdana" w:hAnsi="Verdana"/>
      <w:sz w:val="24"/>
      <w:szCs w:val="24"/>
    </w:rPr>
  </w:style>
  <w:style w:type="paragraph" w:customStyle="1" w:styleId="NoteLevel9">
    <w:name w:val="Note Level 9"/>
    <w:basedOn w:val="Normal"/>
    <w:uiPriority w:val="99"/>
    <w:unhideWhenUsed/>
    <w:rsid w:val="00DE434E"/>
    <w:pPr>
      <w:keepNext/>
      <w:numPr>
        <w:ilvl w:val="8"/>
        <w:numId w:val="8"/>
      </w:numPr>
      <w:spacing w:after="0" w:line="240" w:lineRule="auto"/>
      <w:contextualSpacing/>
      <w:outlineLvl w:val="8"/>
    </w:pPr>
    <w:rPr>
      <w:rFonts w:ascii="Verdana" w:hAnsi="Verdana"/>
      <w:sz w:val="24"/>
      <w:szCs w:val="24"/>
    </w:rPr>
  </w:style>
  <w:style w:type="table" w:styleId="TableGrid">
    <w:name w:val="Table Grid"/>
    <w:basedOn w:val="TableNormal"/>
    <w:uiPriority w:val="59"/>
    <w:rsid w:val="0035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rsid w:val="007D50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404911"/>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rsid w:val="00E5795B"/>
    <w:rPr>
      <w:rFonts w:ascii="Times New Roman" w:eastAsiaTheme="majorEastAsia" w:hAnsi="Times New Roman" w:cs="Times New Roman"/>
      <w:b/>
      <w:bCs/>
      <w:color w:val="000000" w:themeColor="text1"/>
      <w:sz w:val="28"/>
      <w:szCs w:val="28"/>
    </w:rPr>
  </w:style>
  <w:style w:type="table" w:customStyle="1" w:styleId="LightShading-Accent11">
    <w:name w:val="Light Shading - Accent 11"/>
    <w:basedOn w:val="TableNormal"/>
    <w:uiPriority w:val="60"/>
    <w:rsid w:val="00E5795B"/>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E5795B"/>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IDMARINA">
    <w:name w:val="BIDMARINA"/>
    <w:basedOn w:val="Paragraph"/>
    <w:link w:val="BIDMARINAChar"/>
    <w:qFormat/>
    <w:rsid w:val="00E5795B"/>
    <w:rPr>
      <w:szCs w:val="24"/>
      <w:lang w:val="es-ES_tradnl" w:eastAsia="es-ES"/>
    </w:rPr>
  </w:style>
  <w:style w:type="character" w:customStyle="1" w:styleId="BIDMARINAChar">
    <w:name w:val="BIDMARINA Char"/>
    <w:basedOn w:val="ParagraphChar"/>
    <w:link w:val="BIDMARINA"/>
    <w:rsid w:val="00E5795B"/>
    <w:rPr>
      <w:rFonts w:ascii="Times New Roman" w:hAnsi="Times New Roman" w:cs="Times New Roman"/>
      <w:sz w:val="24"/>
      <w:szCs w:val="24"/>
      <w:lang w:val="es-ES_tradnl" w:eastAsia="es-ES"/>
    </w:rPr>
  </w:style>
  <w:style w:type="table" w:customStyle="1" w:styleId="LightList-Accent11">
    <w:name w:val="Light List - Accent 11"/>
    <w:basedOn w:val="TableNormal"/>
    <w:uiPriority w:val="61"/>
    <w:rsid w:val="00E5795B"/>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E5795B"/>
    <w:pPr>
      <w:spacing w:after="100"/>
      <w:ind w:left="660"/>
    </w:pPr>
  </w:style>
  <w:style w:type="paragraph" w:styleId="TOC5">
    <w:name w:val="toc 5"/>
    <w:basedOn w:val="Normal"/>
    <w:next w:val="Normal"/>
    <w:autoRedefine/>
    <w:uiPriority w:val="39"/>
    <w:unhideWhenUsed/>
    <w:rsid w:val="00E5795B"/>
    <w:pPr>
      <w:spacing w:after="100"/>
      <w:ind w:left="880"/>
    </w:pPr>
  </w:style>
  <w:style w:type="paragraph" w:styleId="TOC6">
    <w:name w:val="toc 6"/>
    <w:basedOn w:val="Normal"/>
    <w:next w:val="Normal"/>
    <w:autoRedefine/>
    <w:uiPriority w:val="39"/>
    <w:unhideWhenUsed/>
    <w:rsid w:val="00E5795B"/>
    <w:pPr>
      <w:spacing w:after="100"/>
      <w:ind w:left="1100"/>
    </w:pPr>
  </w:style>
  <w:style w:type="paragraph" w:styleId="TOC7">
    <w:name w:val="toc 7"/>
    <w:basedOn w:val="Normal"/>
    <w:next w:val="Normal"/>
    <w:autoRedefine/>
    <w:uiPriority w:val="39"/>
    <w:unhideWhenUsed/>
    <w:rsid w:val="00E5795B"/>
    <w:pPr>
      <w:spacing w:after="100"/>
      <w:ind w:left="1320"/>
    </w:pPr>
  </w:style>
  <w:style w:type="paragraph" w:styleId="TOC8">
    <w:name w:val="toc 8"/>
    <w:basedOn w:val="Normal"/>
    <w:next w:val="Normal"/>
    <w:autoRedefine/>
    <w:uiPriority w:val="39"/>
    <w:unhideWhenUsed/>
    <w:rsid w:val="00E5795B"/>
    <w:pPr>
      <w:spacing w:after="100"/>
      <w:ind w:left="1540"/>
    </w:pPr>
  </w:style>
  <w:style w:type="paragraph" w:styleId="TOC9">
    <w:name w:val="toc 9"/>
    <w:basedOn w:val="Normal"/>
    <w:next w:val="Normal"/>
    <w:autoRedefine/>
    <w:uiPriority w:val="39"/>
    <w:unhideWhenUsed/>
    <w:rsid w:val="00E5795B"/>
    <w:pPr>
      <w:spacing w:after="100"/>
      <w:ind w:left="1760"/>
    </w:pPr>
  </w:style>
  <w:style w:type="paragraph" w:styleId="Revision">
    <w:name w:val="Revision"/>
    <w:hidden/>
    <w:uiPriority w:val="99"/>
    <w:rsid w:val="00E5795B"/>
    <w:pPr>
      <w:spacing w:after="0" w:line="240" w:lineRule="auto"/>
    </w:pPr>
    <w:rPr>
      <w:lang w:val="es-ES" w:eastAsia="es-ES"/>
    </w:rPr>
  </w:style>
  <w:style w:type="paragraph" w:styleId="BodyText2">
    <w:name w:val="Body Text 2"/>
    <w:basedOn w:val="Normal"/>
    <w:link w:val="BodyText2Char"/>
    <w:uiPriority w:val="99"/>
    <w:unhideWhenUsed/>
    <w:rsid w:val="00E5795B"/>
    <w:pPr>
      <w:spacing w:after="120" w:line="480" w:lineRule="auto"/>
    </w:pPr>
    <w:rPr>
      <w:lang w:val="es-ES" w:eastAsia="es-ES"/>
    </w:rPr>
  </w:style>
  <w:style w:type="character" w:customStyle="1" w:styleId="BodyText2Char">
    <w:name w:val="Body Text 2 Char"/>
    <w:basedOn w:val="DefaultParagraphFont"/>
    <w:link w:val="BodyText2"/>
    <w:uiPriority w:val="99"/>
    <w:rsid w:val="00E5795B"/>
    <w:rPr>
      <w:lang w:val="es-ES" w:eastAsia="es-ES"/>
    </w:rPr>
  </w:style>
  <w:style w:type="paragraph" w:styleId="BodyText3">
    <w:name w:val="Body Text 3"/>
    <w:basedOn w:val="Normal"/>
    <w:link w:val="BodyText3Char"/>
    <w:rsid w:val="00E5795B"/>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rsid w:val="00E5795B"/>
    <w:rPr>
      <w:rFonts w:ascii="Times New Roman" w:eastAsia="Times New Roman" w:hAnsi="Times New Roman" w:cs="Times New Roman"/>
      <w:sz w:val="16"/>
      <w:szCs w:val="16"/>
      <w:lang w:val="es-ES" w:eastAsia="es-ES"/>
    </w:rPr>
  </w:style>
  <w:style w:type="table" w:customStyle="1" w:styleId="TableGrid1">
    <w:name w:val="Table Grid1"/>
    <w:basedOn w:val="TableNormal"/>
    <w:next w:val="TableGrid"/>
    <w:uiPriority w:val="59"/>
    <w:rsid w:val="00E579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5795B"/>
    <w:pPr>
      <w:spacing w:after="120"/>
    </w:pPr>
    <w:rPr>
      <w:lang w:val="es-ES" w:eastAsia="es-ES"/>
    </w:rPr>
  </w:style>
  <w:style w:type="character" w:customStyle="1" w:styleId="BodyTextChar">
    <w:name w:val="Body Text Char"/>
    <w:basedOn w:val="DefaultParagraphFont"/>
    <w:link w:val="BodyText"/>
    <w:uiPriority w:val="99"/>
    <w:rsid w:val="00E5795B"/>
    <w:rPr>
      <w:lang w:val="es-ES" w:eastAsia="es-ES"/>
    </w:rPr>
  </w:style>
  <w:style w:type="table" w:styleId="LightShading">
    <w:name w:val="Light Shading"/>
    <w:basedOn w:val="TableNormal"/>
    <w:rsid w:val="00652E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265D69"/>
    <w:rPr>
      <w:b/>
      <w:bCs/>
      <w:smallCaps/>
      <w:spacing w:val="5"/>
    </w:rPr>
  </w:style>
  <w:style w:type="character" w:styleId="PageNumber">
    <w:name w:val="page number"/>
    <w:basedOn w:val="DefaultParagraphFont"/>
    <w:rsid w:val="00B625B0"/>
  </w:style>
  <w:style w:type="character" w:styleId="Emphasis">
    <w:name w:val="Emphasis"/>
    <w:uiPriority w:val="20"/>
    <w:qFormat/>
    <w:rsid w:val="00B625B0"/>
    <w:rPr>
      <w:i/>
      <w:iCs/>
    </w:rPr>
  </w:style>
  <w:style w:type="paragraph" w:customStyle="1" w:styleId="Niveldenota11">
    <w:name w:val="Nivel de nota 11"/>
    <w:basedOn w:val="Normal"/>
    <w:uiPriority w:val="99"/>
    <w:unhideWhenUsed/>
    <w:rsid w:val="00B625B0"/>
    <w:pPr>
      <w:keepNext/>
      <w:tabs>
        <w:tab w:val="num" w:pos="0"/>
      </w:tabs>
      <w:spacing w:after="0" w:line="240" w:lineRule="auto"/>
      <w:contextualSpacing/>
      <w:outlineLvl w:val="0"/>
    </w:pPr>
    <w:rPr>
      <w:rFonts w:ascii="Verdana" w:hAnsi="Verdana"/>
      <w:sz w:val="24"/>
      <w:szCs w:val="24"/>
    </w:rPr>
  </w:style>
  <w:style w:type="paragraph" w:customStyle="1" w:styleId="Niveldenota21">
    <w:name w:val="Nivel de nota 21"/>
    <w:basedOn w:val="Normal"/>
    <w:uiPriority w:val="99"/>
    <w:unhideWhenUsed/>
    <w:rsid w:val="00B625B0"/>
    <w:pPr>
      <w:keepNext/>
      <w:tabs>
        <w:tab w:val="num" w:pos="720"/>
      </w:tabs>
      <w:spacing w:after="0" w:line="240" w:lineRule="auto"/>
      <w:ind w:left="1080" w:hanging="360"/>
      <w:contextualSpacing/>
      <w:outlineLvl w:val="1"/>
    </w:pPr>
    <w:rPr>
      <w:rFonts w:ascii="Verdana" w:hAnsi="Verdana"/>
      <w:sz w:val="24"/>
      <w:szCs w:val="24"/>
    </w:rPr>
  </w:style>
  <w:style w:type="paragraph" w:customStyle="1" w:styleId="Niveldenota31">
    <w:name w:val="Nivel de nota 31"/>
    <w:basedOn w:val="Normal"/>
    <w:uiPriority w:val="99"/>
    <w:unhideWhenUsed/>
    <w:rsid w:val="00B625B0"/>
    <w:pPr>
      <w:keepNext/>
      <w:tabs>
        <w:tab w:val="num" w:pos="1440"/>
      </w:tabs>
      <w:spacing w:after="0" w:line="240" w:lineRule="auto"/>
      <w:ind w:left="1800" w:hanging="360"/>
      <w:contextualSpacing/>
      <w:outlineLvl w:val="2"/>
    </w:pPr>
    <w:rPr>
      <w:rFonts w:ascii="Verdana" w:hAnsi="Verdana"/>
      <w:sz w:val="24"/>
      <w:szCs w:val="24"/>
    </w:rPr>
  </w:style>
  <w:style w:type="paragraph" w:customStyle="1" w:styleId="Niveldenota41">
    <w:name w:val="Nivel de nota 41"/>
    <w:basedOn w:val="Normal"/>
    <w:uiPriority w:val="99"/>
    <w:unhideWhenUsed/>
    <w:rsid w:val="00B625B0"/>
    <w:pPr>
      <w:keepNext/>
      <w:tabs>
        <w:tab w:val="num" w:pos="2160"/>
      </w:tabs>
      <w:spacing w:after="0" w:line="240" w:lineRule="auto"/>
      <w:ind w:left="2520" w:hanging="360"/>
      <w:contextualSpacing/>
      <w:outlineLvl w:val="3"/>
    </w:pPr>
    <w:rPr>
      <w:rFonts w:ascii="Verdana" w:hAnsi="Verdana"/>
      <w:sz w:val="24"/>
      <w:szCs w:val="24"/>
    </w:rPr>
  </w:style>
  <w:style w:type="paragraph" w:customStyle="1" w:styleId="Niveldenota51">
    <w:name w:val="Nivel de nota 51"/>
    <w:basedOn w:val="Normal"/>
    <w:uiPriority w:val="99"/>
    <w:unhideWhenUsed/>
    <w:rsid w:val="00B625B0"/>
    <w:pPr>
      <w:keepNext/>
      <w:tabs>
        <w:tab w:val="num" w:pos="2880"/>
      </w:tabs>
      <w:spacing w:after="0" w:line="240" w:lineRule="auto"/>
      <w:ind w:left="3240" w:hanging="360"/>
      <w:contextualSpacing/>
      <w:outlineLvl w:val="4"/>
    </w:pPr>
    <w:rPr>
      <w:rFonts w:ascii="Verdana" w:hAnsi="Verdana"/>
      <w:sz w:val="24"/>
      <w:szCs w:val="24"/>
    </w:rPr>
  </w:style>
  <w:style w:type="paragraph" w:customStyle="1" w:styleId="Niveldenota61">
    <w:name w:val="Nivel de nota 61"/>
    <w:basedOn w:val="Normal"/>
    <w:uiPriority w:val="99"/>
    <w:unhideWhenUsed/>
    <w:rsid w:val="00B625B0"/>
    <w:pPr>
      <w:keepNext/>
      <w:tabs>
        <w:tab w:val="num" w:pos="3600"/>
      </w:tabs>
      <w:spacing w:after="0" w:line="240" w:lineRule="auto"/>
      <w:ind w:left="3960" w:hanging="360"/>
      <w:contextualSpacing/>
      <w:outlineLvl w:val="5"/>
    </w:pPr>
    <w:rPr>
      <w:rFonts w:ascii="Verdana" w:hAnsi="Verdana"/>
      <w:sz w:val="24"/>
      <w:szCs w:val="24"/>
    </w:rPr>
  </w:style>
  <w:style w:type="paragraph" w:customStyle="1" w:styleId="Niveldenota71">
    <w:name w:val="Nivel de nota 71"/>
    <w:basedOn w:val="Normal"/>
    <w:uiPriority w:val="99"/>
    <w:unhideWhenUsed/>
    <w:rsid w:val="00B625B0"/>
    <w:pPr>
      <w:keepNext/>
      <w:tabs>
        <w:tab w:val="num" w:pos="4320"/>
      </w:tabs>
      <w:spacing w:after="0" w:line="240" w:lineRule="auto"/>
      <w:ind w:left="4680" w:hanging="360"/>
      <w:contextualSpacing/>
      <w:outlineLvl w:val="6"/>
    </w:pPr>
    <w:rPr>
      <w:rFonts w:ascii="Verdana" w:hAnsi="Verdana"/>
      <w:sz w:val="24"/>
      <w:szCs w:val="24"/>
    </w:rPr>
  </w:style>
  <w:style w:type="paragraph" w:customStyle="1" w:styleId="Niveldenota81">
    <w:name w:val="Nivel de nota 81"/>
    <w:basedOn w:val="Normal"/>
    <w:uiPriority w:val="99"/>
    <w:unhideWhenUsed/>
    <w:rsid w:val="00B625B0"/>
    <w:pPr>
      <w:keepNext/>
      <w:tabs>
        <w:tab w:val="num" w:pos="5040"/>
      </w:tabs>
      <w:spacing w:after="0" w:line="240" w:lineRule="auto"/>
      <w:ind w:left="5400" w:hanging="360"/>
      <w:contextualSpacing/>
      <w:outlineLvl w:val="7"/>
    </w:pPr>
    <w:rPr>
      <w:rFonts w:ascii="Verdana" w:hAnsi="Verdana"/>
      <w:sz w:val="24"/>
      <w:szCs w:val="24"/>
    </w:rPr>
  </w:style>
  <w:style w:type="paragraph" w:customStyle="1" w:styleId="Niveldenota91">
    <w:name w:val="Nivel de nota 91"/>
    <w:basedOn w:val="Normal"/>
    <w:uiPriority w:val="99"/>
    <w:unhideWhenUsed/>
    <w:rsid w:val="00B625B0"/>
    <w:pPr>
      <w:keepNext/>
      <w:tabs>
        <w:tab w:val="num" w:pos="5760"/>
      </w:tabs>
      <w:spacing w:after="0" w:line="240" w:lineRule="auto"/>
      <w:ind w:left="6120" w:hanging="360"/>
      <w:contextualSpacing/>
      <w:outlineLvl w:val="8"/>
    </w:pPr>
    <w:rPr>
      <w:rFonts w:ascii="Verdana" w:hAnsi="Verdana"/>
      <w:sz w:val="24"/>
      <w:szCs w:val="24"/>
    </w:rPr>
  </w:style>
  <w:style w:type="character" w:styleId="PlaceholderText">
    <w:name w:val="Placeholder Text"/>
    <w:basedOn w:val="DefaultParagraphFont"/>
    <w:rsid w:val="00B625B0"/>
    <w:rPr>
      <w:color w:val="808080"/>
    </w:rPr>
  </w:style>
  <w:style w:type="character" w:customStyle="1" w:styleId="apple-converted-space">
    <w:name w:val="apple-converted-space"/>
    <w:basedOn w:val="DefaultParagraphFont"/>
    <w:rsid w:val="00B625B0"/>
  </w:style>
  <w:style w:type="paragraph" w:customStyle="1" w:styleId="xl69">
    <w:name w:val="xl69"/>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0"/>
      <w:szCs w:val="20"/>
      <w:lang w:val="es-MX" w:eastAsia="es-ES"/>
    </w:rPr>
  </w:style>
  <w:style w:type="paragraph" w:customStyle="1" w:styleId="xl70">
    <w:name w:val="xl70"/>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0"/>
      <w:szCs w:val="20"/>
      <w:lang w:val="es-MX" w:eastAsia="es-ES"/>
    </w:rPr>
  </w:style>
  <w:style w:type="paragraph" w:customStyle="1" w:styleId="xl71">
    <w:name w:val="xl71"/>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s-MX" w:eastAsia="es-ES"/>
    </w:rPr>
  </w:style>
  <w:style w:type="paragraph" w:customStyle="1" w:styleId="xl72">
    <w:name w:val="xl72"/>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s-MX" w:eastAsia="es-ES"/>
    </w:rPr>
  </w:style>
  <w:style w:type="paragraph" w:customStyle="1" w:styleId="xl73">
    <w:name w:val="xl73"/>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lang w:val="es-MX" w:eastAsia="es-ES"/>
    </w:rPr>
  </w:style>
  <w:style w:type="paragraph" w:customStyle="1" w:styleId="xl74">
    <w:name w:val="xl74"/>
    <w:basedOn w:val="Normal"/>
    <w:rsid w:val="00B625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0"/>
      <w:szCs w:val="20"/>
      <w:lang w:val="es-MX" w:eastAsia="es-ES"/>
    </w:rPr>
  </w:style>
  <w:style w:type="paragraph" w:customStyle="1" w:styleId="xl75">
    <w:name w:val="xl75"/>
    <w:basedOn w:val="Normal"/>
    <w:rsid w:val="00B625B0"/>
    <w:pPr>
      <w:spacing w:before="100" w:beforeAutospacing="1" w:after="100" w:afterAutospacing="1" w:line="240" w:lineRule="auto"/>
    </w:pPr>
    <w:rPr>
      <w:rFonts w:ascii="Times New Roman" w:hAnsi="Times New Roman" w:cs="Times New Roman"/>
      <w:sz w:val="20"/>
      <w:szCs w:val="20"/>
      <w:lang w:val="es-MX" w:eastAsia="es-ES"/>
    </w:rPr>
  </w:style>
  <w:style w:type="paragraph" w:customStyle="1" w:styleId="xl76">
    <w:name w:val="xl76"/>
    <w:basedOn w:val="Normal"/>
    <w:rsid w:val="00B625B0"/>
    <w:pPr>
      <w:spacing w:before="100" w:beforeAutospacing="1" w:after="100" w:afterAutospacing="1" w:line="240" w:lineRule="auto"/>
    </w:pPr>
    <w:rPr>
      <w:rFonts w:ascii="Calibri" w:hAnsi="Calibri"/>
      <w:sz w:val="20"/>
      <w:szCs w:val="20"/>
      <w:lang w:val="es-MX" w:eastAsia="es-ES"/>
    </w:rPr>
  </w:style>
  <w:style w:type="paragraph" w:customStyle="1" w:styleId="xl77">
    <w:name w:val="xl77"/>
    <w:basedOn w:val="Normal"/>
    <w:rsid w:val="00B625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sz w:val="20"/>
      <w:szCs w:val="20"/>
      <w:lang w:val="es-MX" w:eastAsia="es-ES"/>
    </w:rPr>
  </w:style>
  <w:style w:type="paragraph" w:customStyle="1" w:styleId="xl78">
    <w:name w:val="xl78"/>
    <w:basedOn w:val="Normal"/>
    <w:rsid w:val="00B625B0"/>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sz w:val="20"/>
      <w:szCs w:val="20"/>
      <w:lang w:val="es-MX" w:eastAsia="es-ES"/>
    </w:rPr>
  </w:style>
  <w:style w:type="paragraph" w:customStyle="1" w:styleId="xl79">
    <w:name w:val="xl79"/>
    <w:basedOn w:val="Normal"/>
    <w:rsid w:val="00B625B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0"/>
      <w:szCs w:val="20"/>
      <w:lang w:val="es-MX" w:eastAsia="es-ES"/>
    </w:rPr>
  </w:style>
  <w:style w:type="paragraph" w:styleId="HTMLPreformatted">
    <w:name w:val="HTML Preformatted"/>
    <w:basedOn w:val="Normal"/>
    <w:link w:val="HTMLPreformattedChar"/>
    <w:rsid w:val="000719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071970"/>
    <w:rPr>
      <w:rFonts w:ascii="Consolas" w:hAnsi="Consolas" w:cs="Consolas"/>
      <w:sz w:val="20"/>
      <w:szCs w:val="20"/>
    </w:rPr>
  </w:style>
  <w:style w:type="table" w:styleId="LightShading-Accent1">
    <w:name w:val="Light Shading Accent 1"/>
    <w:basedOn w:val="TableNormal"/>
    <w:rsid w:val="00C37A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4B5334"/>
    <w:pPr>
      <w:spacing w:line="240" w:lineRule="auto"/>
    </w:pPr>
    <w:rPr>
      <w:rFonts w:eastAsiaTheme="minorHAns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493">
      <w:bodyDiv w:val="1"/>
      <w:marLeft w:val="0"/>
      <w:marRight w:val="0"/>
      <w:marTop w:val="0"/>
      <w:marBottom w:val="0"/>
      <w:divBdr>
        <w:top w:val="none" w:sz="0" w:space="0" w:color="auto"/>
        <w:left w:val="none" w:sz="0" w:space="0" w:color="auto"/>
        <w:bottom w:val="none" w:sz="0" w:space="0" w:color="auto"/>
        <w:right w:val="none" w:sz="0" w:space="0" w:color="auto"/>
      </w:divBdr>
    </w:div>
    <w:div w:id="29452438">
      <w:bodyDiv w:val="1"/>
      <w:marLeft w:val="0"/>
      <w:marRight w:val="0"/>
      <w:marTop w:val="0"/>
      <w:marBottom w:val="0"/>
      <w:divBdr>
        <w:top w:val="none" w:sz="0" w:space="0" w:color="auto"/>
        <w:left w:val="none" w:sz="0" w:space="0" w:color="auto"/>
        <w:bottom w:val="none" w:sz="0" w:space="0" w:color="auto"/>
        <w:right w:val="none" w:sz="0" w:space="0" w:color="auto"/>
      </w:divBdr>
    </w:div>
    <w:div w:id="255209594">
      <w:bodyDiv w:val="1"/>
      <w:marLeft w:val="0"/>
      <w:marRight w:val="0"/>
      <w:marTop w:val="0"/>
      <w:marBottom w:val="0"/>
      <w:divBdr>
        <w:top w:val="none" w:sz="0" w:space="0" w:color="auto"/>
        <w:left w:val="none" w:sz="0" w:space="0" w:color="auto"/>
        <w:bottom w:val="none" w:sz="0" w:space="0" w:color="auto"/>
        <w:right w:val="none" w:sz="0" w:space="0" w:color="auto"/>
      </w:divBdr>
    </w:div>
    <w:div w:id="363096837">
      <w:bodyDiv w:val="1"/>
      <w:marLeft w:val="0"/>
      <w:marRight w:val="0"/>
      <w:marTop w:val="0"/>
      <w:marBottom w:val="0"/>
      <w:divBdr>
        <w:top w:val="none" w:sz="0" w:space="0" w:color="auto"/>
        <w:left w:val="none" w:sz="0" w:space="0" w:color="auto"/>
        <w:bottom w:val="none" w:sz="0" w:space="0" w:color="auto"/>
        <w:right w:val="none" w:sz="0" w:space="0" w:color="auto"/>
      </w:divBdr>
    </w:div>
    <w:div w:id="367683693">
      <w:bodyDiv w:val="1"/>
      <w:marLeft w:val="0"/>
      <w:marRight w:val="0"/>
      <w:marTop w:val="0"/>
      <w:marBottom w:val="0"/>
      <w:divBdr>
        <w:top w:val="none" w:sz="0" w:space="0" w:color="auto"/>
        <w:left w:val="none" w:sz="0" w:space="0" w:color="auto"/>
        <w:bottom w:val="none" w:sz="0" w:space="0" w:color="auto"/>
        <w:right w:val="none" w:sz="0" w:space="0" w:color="auto"/>
      </w:divBdr>
    </w:div>
    <w:div w:id="383650256">
      <w:bodyDiv w:val="1"/>
      <w:marLeft w:val="0"/>
      <w:marRight w:val="0"/>
      <w:marTop w:val="0"/>
      <w:marBottom w:val="0"/>
      <w:divBdr>
        <w:top w:val="none" w:sz="0" w:space="0" w:color="auto"/>
        <w:left w:val="none" w:sz="0" w:space="0" w:color="auto"/>
        <w:bottom w:val="none" w:sz="0" w:space="0" w:color="auto"/>
        <w:right w:val="none" w:sz="0" w:space="0" w:color="auto"/>
      </w:divBdr>
    </w:div>
    <w:div w:id="444345123">
      <w:bodyDiv w:val="1"/>
      <w:marLeft w:val="0"/>
      <w:marRight w:val="0"/>
      <w:marTop w:val="0"/>
      <w:marBottom w:val="0"/>
      <w:divBdr>
        <w:top w:val="none" w:sz="0" w:space="0" w:color="auto"/>
        <w:left w:val="none" w:sz="0" w:space="0" w:color="auto"/>
        <w:bottom w:val="none" w:sz="0" w:space="0" w:color="auto"/>
        <w:right w:val="none" w:sz="0" w:space="0" w:color="auto"/>
      </w:divBdr>
    </w:div>
    <w:div w:id="502008905">
      <w:bodyDiv w:val="1"/>
      <w:marLeft w:val="0"/>
      <w:marRight w:val="0"/>
      <w:marTop w:val="0"/>
      <w:marBottom w:val="0"/>
      <w:divBdr>
        <w:top w:val="none" w:sz="0" w:space="0" w:color="auto"/>
        <w:left w:val="none" w:sz="0" w:space="0" w:color="auto"/>
        <w:bottom w:val="none" w:sz="0" w:space="0" w:color="auto"/>
        <w:right w:val="none" w:sz="0" w:space="0" w:color="auto"/>
      </w:divBdr>
    </w:div>
    <w:div w:id="515079676">
      <w:bodyDiv w:val="1"/>
      <w:marLeft w:val="0"/>
      <w:marRight w:val="0"/>
      <w:marTop w:val="0"/>
      <w:marBottom w:val="0"/>
      <w:divBdr>
        <w:top w:val="none" w:sz="0" w:space="0" w:color="auto"/>
        <w:left w:val="none" w:sz="0" w:space="0" w:color="auto"/>
        <w:bottom w:val="none" w:sz="0" w:space="0" w:color="auto"/>
        <w:right w:val="none" w:sz="0" w:space="0" w:color="auto"/>
      </w:divBdr>
    </w:div>
    <w:div w:id="529343739">
      <w:bodyDiv w:val="1"/>
      <w:marLeft w:val="0"/>
      <w:marRight w:val="0"/>
      <w:marTop w:val="0"/>
      <w:marBottom w:val="0"/>
      <w:divBdr>
        <w:top w:val="none" w:sz="0" w:space="0" w:color="auto"/>
        <w:left w:val="none" w:sz="0" w:space="0" w:color="auto"/>
        <w:bottom w:val="none" w:sz="0" w:space="0" w:color="auto"/>
        <w:right w:val="none" w:sz="0" w:space="0" w:color="auto"/>
      </w:divBdr>
    </w:div>
    <w:div w:id="550000544">
      <w:bodyDiv w:val="1"/>
      <w:marLeft w:val="0"/>
      <w:marRight w:val="0"/>
      <w:marTop w:val="0"/>
      <w:marBottom w:val="0"/>
      <w:divBdr>
        <w:top w:val="none" w:sz="0" w:space="0" w:color="auto"/>
        <w:left w:val="none" w:sz="0" w:space="0" w:color="auto"/>
        <w:bottom w:val="none" w:sz="0" w:space="0" w:color="auto"/>
        <w:right w:val="none" w:sz="0" w:space="0" w:color="auto"/>
      </w:divBdr>
    </w:div>
    <w:div w:id="556285890">
      <w:bodyDiv w:val="1"/>
      <w:marLeft w:val="0"/>
      <w:marRight w:val="0"/>
      <w:marTop w:val="0"/>
      <w:marBottom w:val="0"/>
      <w:divBdr>
        <w:top w:val="none" w:sz="0" w:space="0" w:color="auto"/>
        <w:left w:val="none" w:sz="0" w:space="0" w:color="auto"/>
        <w:bottom w:val="none" w:sz="0" w:space="0" w:color="auto"/>
        <w:right w:val="none" w:sz="0" w:space="0" w:color="auto"/>
      </w:divBdr>
    </w:div>
    <w:div w:id="571309155">
      <w:bodyDiv w:val="1"/>
      <w:marLeft w:val="0"/>
      <w:marRight w:val="0"/>
      <w:marTop w:val="0"/>
      <w:marBottom w:val="0"/>
      <w:divBdr>
        <w:top w:val="none" w:sz="0" w:space="0" w:color="auto"/>
        <w:left w:val="none" w:sz="0" w:space="0" w:color="auto"/>
        <w:bottom w:val="none" w:sz="0" w:space="0" w:color="auto"/>
        <w:right w:val="none" w:sz="0" w:space="0" w:color="auto"/>
      </w:divBdr>
    </w:div>
    <w:div w:id="628899141">
      <w:bodyDiv w:val="1"/>
      <w:marLeft w:val="0"/>
      <w:marRight w:val="0"/>
      <w:marTop w:val="0"/>
      <w:marBottom w:val="0"/>
      <w:divBdr>
        <w:top w:val="none" w:sz="0" w:space="0" w:color="auto"/>
        <w:left w:val="none" w:sz="0" w:space="0" w:color="auto"/>
        <w:bottom w:val="none" w:sz="0" w:space="0" w:color="auto"/>
        <w:right w:val="none" w:sz="0" w:space="0" w:color="auto"/>
      </w:divBdr>
    </w:div>
    <w:div w:id="698550904">
      <w:bodyDiv w:val="1"/>
      <w:marLeft w:val="0"/>
      <w:marRight w:val="0"/>
      <w:marTop w:val="0"/>
      <w:marBottom w:val="0"/>
      <w:divBdr>
        <w:top w:val="none" w:sz="0" w:space="0" w:color="auto"/>
        <w:left w:val="none" w:sz="0" w:space="0" w:color="auto"/>
        <w:bottom w:val="none" w:sz="0" w:space="0" w:color="auto"/>
        <w:right w:val="none" w:sz="0" w:space="0" w:color="auto"/>
      </w:divBdr>
    </w:div>
    <w:div w:id="711224115">
      <w:bodyDiv w:val="1"/>
      <w:marLeft w:val="0"/>
      <w:marRight w:val="0"/>
      <w:marTop w:val="0"/>
      <w:marBottom w:val="0"/>
      <w:divBdr>
        <w:top w:val="none" w:sz="0" w:space="0" w:color="auto"/>
        <w:left w:val="none" w:sz="0" w:space="0" w:color="auto"/>
        <w:bottom w:val="none" w:sz="0" w:space="0" w:color="auto"/>
        <w:right w:val="none" w:sz="0" w:space="0" w:color="auto"/>
      </w:divBdr>
    </w:div>
    <w:div w:id="762186957">
      <w:bodyDiv w:val="1"/>
      <w:marLeft w:val="0"/>
      <w:marRight w:val="0"/>
      <w:marTop w:val="0"/>
      <w:marBottom w:val="0"/>
      <w:divBdr>
        <w:top w:val="none" w:sz="0" w:space="0" w:color="auto"/>
        <w:left w:val="none" w:sz="0" w:space="0" w:color="auto"/>
        <w:bottom w:val="none" w:sz="0" w:space="0" w:color="auto"/>
        <w:right w:val="none" w:sz="0" w:space="0" w:color="auto"/>
      </w:divBdr>
    </w:div>
    <w:div w:id="767703022">
      <w:bodyDiv w:val="1"/>
      <w:marLeft w:val="0"/>
      <w:marRight w:val="0"/>
      <w:marTop w:val="0"/>
      <w:marBottom w:val="0"/>
      <w:divBdr>
        <w:top w:val="none" w:sz="0" w:space="0" w:color="auto"/>
        <w:left w:val="none" w:sz="0" w:space="0" w:color="auto"/>
        <w:bottom w:val="none" w:sz="0" w:space="0" w:color="auto"/>
        <w:right w:val="none" w:sz="0" w:space="0" w:color="auto"/>
      </w:divBdr>
    </w:div>
    <w:div w:id="771701224">
      <w:bodyDiv w:val="1"/>
      <w:marLeft w:val="0"/>
      <w:marRight w:val="0"/>
      <w:marTop w:val="0"/>
      <w:marBottom w:val="0"/>
      <w:divBdr>
        <w:top w:val="none" w:sz="0" w:space="0" w:color="auto"/>
        <w:left w:val="none" w:sz="0" w:space="0" w:color="auto"/>
        <w:bottom w:val="none" w:sz="0" w:space="0" w:color="auto"/>
        <w:right w:val="none" w:sz="0" w:space="0" w:color="auto"/>
      </w:divBdr>
    </w:div>
    <w:div w:id="877351350">
      <w:bodyDiv w:val="1"/>
      <w:marLeft w:val="0"/>
      <w:marRight w:val="0"/>
      <w:marTop w:val="0"/>
      <w:marBottom w:val="0"/>
      <w:divBdr>
        <w:top w:val="none" w:sz="0" w:space="0" w:color="auto"/>
        <w:left w:val="none" w:sz="0" w:space="0" w:color="auto"/>
        <w:bottom w:val="none" w:sz="0" w:space="0" w:color="auto"/>
        <w:right w:val="none" w:sz="0" w:space="0" w:color="auto"/>
      </w:divBdr>
    </w:div>
    <w:div w:id="903103906">
      <w:bodyDiv w:val="1"/>
      <w:marLeft w:val="0"/>
      <w:marRight w:val="0"/>
      <w:marTop w:val="0"/>
      <w:marBottom w:val="0"/>
      <w:divBdr>
        <w:top w:val="none" w:sz="0" w:space="0" w:color="auto"/>
        <w:left w:val="none" w:sz="0" w:space="0" w:color="auto"/>
        <w:bottom w:val="none" w:sz="0" w:space="0" w:color="auto"/>
        <w:right w:val="none" w:sz="0" w:space="0" w:color="auto"/>
      </w:divBdr>
    </w:div>
    <w:div w:id="976422232">
      <w:bodyDiv w:val="1"/>
      <w:marLeft w:val="0"/>
      <w:marRight w:val="0"/>
      <w:marTop w:val="0"/>
      <w:marBottom w:val="0"/>
      <w:divBdr>
        <w:top w:val="none" w:sz="0" w:space="0" w:color="auto"/>
        <w:left w:val="none" w:sz="0" w:space="0" w:color="auto"/>
        <w:bottom w:val="none" w:sz="0" w:space="0" w:color="auto"/>
        <w:right w:val="none" w:sz="0" w:space="0" w:color="auto"/>
      </w:divBdr>
    </w:div>
    <w:div w:id="1031032269">
      <w:bodyDiv w:val="1"/>
      <w:marLeft w:val="0"/>
      <w:marRight w:val="0"/>
      <w:marTop w:val="0"/>
      <w:marBottom w:val="0"/>
      <w:divBdr>
        <w:top w:val="none" w:sz="0" w:space="0" w:color="auto"/>
        <w:left w:val="none" w:sz="0" w:space="0" w:color="auto"/>
        <w:bottom w:val="none" w:sz="0" w:space="0" w:color="auto"/>
        <w:right w:val="none" w:sz="0" w:space="0" w:color="auto"/>
      </w:divBdr>
    </w:div>
    <w:div w:id="1035349822">
      <w:bodyDiv w:val="1"/>
      <w:marLeft w:val="0"/>
      <w:marRight w:val="0"/>
      <w:marTop w:val="0"/>
      <w:marBottom w:val="0"/>
      <w:divBdr>
        <w:top w:val="none" w:sz="0" w:space="0" w:color="auto"/>
        <w:left w:val="none" w:sz="0" w:space="0" w:color="auto"/>
        <w:bottom w:val="none" w:sz="0" w:space="0" w:color="auto"/>
        <w:right w:val="none" w:sz="0" w:space="0" w:color="auto"/>
      </w:divBdr>
    </w:div>
    <w:div w:id="1075934460">
      <w:bodyDiv w:val="1"/>
      <w:marLeft w:val="0"/>
      <w:marRight w:val="0"/>
      <w:marTop w:val="0"/>
      <w:marBottom w:val="0"/>
      <w:divBdr>
        <w:top w:val="none" w:sz="0" w:space="0" w:color="auto"/>
        <w:left w:val="none" w:sz="0" w:space="0" w:color="auto"/>
        <w:bottom w:val="none" w:sz="0" w:space="0" w:color="auto"/>
        <w:right w:val="none" w:sz="0" w:space="0" w:color="auto"/>
      </w:divBdr>
      <w:divsChild>
        <w:div w:id="935988173">
          <w:marLeft w:val="0"/>
          <w:marRight w:val="0"/>
          <w:marTop w:val="0"/>
          <w:marBottom w:val="0"/>
          <w:divBdr>
            <w:top w:val="none" w:sz="0" w:space="0" w:color="auto"/>
            <w:left w:val="none" w:sz="0" w:space="0" w:color="auto"/>
            <w:bottom w:val="none" w:sz="0" w:space="0" w:color="auto"/>
            <w:right w:val="none" w:sz="0" w:space="0" w:color="auto"/>
          </w:divBdr>
          <w:divsChild>
            <w:div w:id="1223254538">
              <w:marLeft w:val="0"/>
              <w:marRight w:val="0"/>
              <w:marTop w:val="0"/>
              <w:marBottom w:val="0"/>
              <w:divBdr>
                <w:top w:val="none" w:sz="0" w:space="0" w:color="auto"/>
                <w:left w:val="none" w:sz="0" w:space="0" w:color="auto"/>
                <w:bottom w:val="none" w:sz="0" w:space="0" w:color="auto"/>
                <w:right w:val="none" w:sz="0" w:space="0" w:color="auto"/>
              </w:divBdr>
              <w:divsChild>
                <w:div w:id="1942834550">
                  <w:marLeft w:val="0"/>
                  <w:marRight w:val="0"/>
                  <w:marTop w:val="0"/>
                  <w:marBottom w:val="0"/>
                  <w:divBdr>
                    <w:top w:val="none" w:sz="0" w:space="0" w:color="auto"/>
                    <w:left w:val="none" w:sz="0" w:space="0" w:color="auto"/>
                    <w:bottom w:val="none" w:sz="0" w:space="0" w:color="auto"/>
                    <w:right w:val="none" w:sz="0" w:space="0" w:color="auto"/>
                  </w:divBdr>
                  <w:divsChild>
                    <w:div w:id="1659964570">
                      <w:marLeft w:val="0"/>
                      <w:marRight w:val="0"/>
                      <w:marTop w:val="0"/>
                      <w:marBottom w:val="0"/>
                      <w:divBdr>
                        <w:top w:val="none" w:sz="0" w:space="0" w:color="auto"/>
                        <w:left w:val="none" w:sz="0" w:space="0" w:color="auto"/>
                        <w:bottom w:val="none" w:sz="0" w:space="0" w:color="auto"/>
                        <w:right w:val="none" w:sz="0" w:space="0" w:color="auto"/>
                      </w:divBdr>
                      <w:divsChild>
                        <w:div w:id="565604346">
                          <w:marLeft w:val="0"/>
                          <w:marRight w:val="0"/>
                          <w:marTop w:val="0"/>
                          <w:marBottom w:val="0"/>
                          <w:divBdr>
                            <w:top w:val="none" w:sz="0" w:space="0" w:color="auto"/>
                            <w:left w:val="none" w:sz="0" w:space="0" w:color="auto"/>
                            <w:bottom w:val="none" w:sz="0" w:space="0" w:color="auto"/>
                            <w:right w:val="none" w:sz="0" w:space="0" w:color="auto"/>
                          </w:divBdr>
                          <w:divsChild>
                            <w:div w:id="1116482243">
                              <w:marLeft w:val="0"/>
                              <w:marRight w:val="0"/>
                              <w:marTop w:val="0"/>
                              <w:marBottom w:val="0"/>
                              <w:divBdr>
                                <w:top w:val="none" w:sz="0" w:space="0" w:color="auto"/>
                                <w:left w:val="none" w:sz="0" w:space="0" w:color="auto"/>
                                <w:bottom w:val="none" w:sz="0" w:space="0" w:color="auto"/>
                                <w:right w:val="none" w:sz="0" w:space="0" w:color="auto"/>
                              </w:divBdr>
                              <w:divsChild>
                                <w:div w:id="291251868">
                                  <w:marLeft w:val="0"/>
                                  <w:marRight w:val="0"/>
                                  <w:marTop w:val="0"/>
                                  <w:marBottom w:val="0"/>
                                  <w:divBdr>
                                    <w:top w:val="none" w:sz="0" w:space="0" w:color="auto"/>
                                    <w:left w:val="none" w:sz="0" w:space="0" w:color="auto"/>
                                    <w:bottom w:val="none" w:sz="0" w:space="0" w:color="auto"/>
                                    <w:right w:val="none" w:sz="0" w:space="0" w:color="auto"/>
                                  </w:divBdr>
                                  <w:divsChild>
                                    <w:div w:id="1510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230203">
      <w:bodyDiv w:val="1"/>
      <w:marLeft w:val="0"/>
      <w:marRight w:val="0"/>
      <w:marTop w:val="0"/>
      <w:marBottom w:val="0"/>
      <w:divBdr>
        <w:top w:val="none" w:sz="0" w:space="0" w:color="auto"/>
        <w:left w:val="none" w:sz="0" w:space="0" w:color="auto"/>
        <w:bottom w:val="none" w:sz="0" w:space="0" w:color="auto"/>
        <w:right w:val="none" w:sz="0" w:space="0" w:color="auto"/>
      </w:divBdr>
    </w:div>
    <w:div w:id="1121806326">
      <w:bodyDiv w:val="1"/>
      <w:marLeft w:val="0"/>
      <w:marRight w:val="0"/>
      <w:marTop w:val="0"/>
      <w:marBottom w:val="0"/>
      <w:divBdr>
        <w:top w:val="none" w:sz="0" w:space="0" w:color="auto"/>
        <w:left w:val="none" w:sz="0" w:space="0" w:color="auto"/>
        <w:bottom w:val="none" w:sz="0" w:space="0" w:color="auto"/>
        <w:right w:val="none" w:sz="0" w:space="0" w:color="auto"/>
      </w:divBdr>
    </w:div>
    <w:div w:id="1233195020">
      <w:bodyDiv w:val="1"/>
      <w:marLeft w:val="0"/>
      <w:marRight w:val="0"/>
      <w:marTop w:val="0"/>
      <w:marBottom w:val="0"/>
      <w:divBdr>
        <w:top w:val="none" w:sz="0" w:space="0" w:color="auto"/>
        <w:left w:val="none" w:sz="0" w:space="0" w:color="auto"/>
        <w:bottom w:val="none" w:sz="0" w:space="0" w:color="auto"/>
        <w:right w:val="none" w:sz="0" w:space="0" w:color="auto"/>
      </w:divBdr>
    </w:div>
    <w:div w:id="1365519194">
      <w:bodyDiv w:val="1"/>
      <w:marLeft w:val="0"/>
      <w:marRight w:val="0"/>
      <w:marTop w:val="0"/>
      <w:marBottom w:val="0"/>
      <w:divBdr>
        <w:top w:val="none" w:sz="0" w:space="0" w:color="auto"/>
        <w:left w:val="none" w:sz="0" w:space="0" w:color="auto"/>
        <w:bottom w:val="none" w:sz="0" w:space="0" w:color="auto"/>
        <w:right w:val="none" w:sz="0" w:space="0" w:color="auto"/>
      </w:divBdr>
    </w:div>
    <w:div w:id="1386487850">
      <w:bodyDiv w:val="1"/>
      <w:marLeft w:val="0"/>
      <w:marRight w:val="0"/>
      <w:marTop w:val="0"/>
      <w:marBottom w:val="0"/>
      <w:divBdr>
        <w:top w:val="none" w:sz="0" w:space="0" w:color="auto"/>
        <w:left w:val="none" w:sz="0" w:space="0" w:color="auto"/>
        <w:bottom w:val="none" w:sz="0" w:space="0" w:color="auto"/>
        <w:right w:val="none" w:sz="0" w:space="0" w:color="auto"/>
      </w:divBdr>
    </w:div>
    <w:div w:id="1417291382">
      <w:bodyDiv w:val="1"/>
      <w:marLeft w:val="0"/>
      <w:marRight w:val="0"/>
      <w:marTop w:val="0"/>
      <w:marBottom w:val="0"/>
      <w:divBdr>
        <w:top w:val="none" w:sz="0" w:space="0" w:color="auto"/>
        <w:left w:val="none" w:sz="0" w:space="0" w:color="auto"/>
        <w:bottom w:val="none" w:sz="0" w:space="0" w:color="auto"/>
        <w:right w:val="none" w:sz="0" w:space="0" w:color="auto"/>
      </w:divBdr>
    </w:div>
    <w:div w:id="1436553309">
      <w:bodyDiv w:val="1"/>
      <w:marLeft w:val="0"/>
      <w:marRight w:val="0"/>
      <w:marTop w:val="0"/>
      <w:marBottom w:val="0"/>
      <w:divBdr>
        <w:top w:val="none" w:sz="0" w:space="0" w:color="auto"/>
        <w:left w:val="none" w:sz="0" w:space="0" w:color="auto"/>
        <w:bottom w:val="none" w:sz="0" w:space="0" w:color="auto"/>
        <w:right w:val="none" w:sz="0" w:space="0" w:color="auto"/>
      </w:divBdr>
    </w:div>
    <w:div w:id="1466855204">
      <w:bodyDiv w:val="1"/>
      <w:marLeft w:val="0"/>
      <w:marRight w:val="0"/>
      <w:marTop w:val="0"/>
      <w:marBottom w:val="0"/>
      <w:divBdr>
        <w:top w:val="none" w:sz="0" w:space="0" w:color="auto"/>
        <w:left w:val="none" w:sz="0" w:space="0" w:color="auto"/>
        <w:bottom w:val="none" w:sz="0" w:space="0" w:color="auto"/>
        <w:right w:val="none" w:sz="0" w:space="0" w:color="auto"/>
      </w:divBdr>
    </w:div>
    <w:div w:id="1473405566">
      <w:bodyDiv w:val="1"/>
      <w:marLeft w:val="0"/>
      <w:marRight w:val="0"/>
      <w:marTop w:val="0"/>
      <w:marBottom w:val="0"/>
      <w:divBdr>
        <w:top w:val="none" w:sz="0" w:space="0" w:color="auto"/>
        <w:left w:val="none" w:sz="0" w:space="0" w:color="auto"/>
        <w:bottom w:val="none" w:sz="0" w:space="0" w:color="auto"/>
        <w:right w:val="none" w:sz="0" w:space="0" w:color="auto"/>
      </w:divBdr>
    </w:div>
    <w:div w:id="1507668451">
      <w:bodyDiv w:val="1"/>
      <w:marLeft w:val="0"/>
      <w:marRight w:val="0"/>
      <w:marTop w:val="0"/>
      <w:marBottom w:val="0"/>
      <w:divBdr>
        <w:top w:val="none" w:sz="0" w:space="0" w:color="auto"/>
        <w:left w:val="none" w:sz="0" w:space="0" w:color="auto"/>
        <w:bottom w:val="none" w:sz="0" w:space="0" w:color="auto"/>
        <w:right w:val="none" w:sz="0" w:space="0" w:color="auto"/>
      </w:divBdr>
    </w:div>
    <w:div w:id="1612594450">
      <w:bodyDiv w:val="1"/>
      <w:marLeft w:val="0"/>
      <w:marRight w:val="0"/>
      <w:marTop w:val="0"/>
      <w:marBottom w:val="0"/>
      <w:divBdr>
        <w:top w:val="none" w:sz="0" w:space="0" w:color="auto"/>
        <w:left w:val="none" w:sz="0" w:space="0" w:color="auto"/>
        <w:bottom w:val="none" w:sz="0" w:space="0" w:color="auto"/>
        <w:right w:val="none" w:sz="0" w:space="0" w:color="auto"/>
      </w:divBdr>
    </w:div>
    <w:div w:id="1682006883">
      <w:bodyDiv w:val="1"/>
      <w:marLeft w:val="0"/>
      <w:marRight w:val="0"/>
      <w:marTop w:val="0"/>
      <w:marBottom w:val="0"/>
      <w:divBdr>
        <w:top w:val="none" w:sz="0" w:space="0" w:color="auto"/>
        <w:left w:val="none" w:sz="0" w:space="0" w:color="auto"/>
        <w:bottom w:val="none" w:sz="0" w:space="0" w:color="auto"/>
        <w:right w:val="none" w:sz="0" w:space="0" w:color="auto"/>
      </w:divBdr>
    </w:div>
    <w:div w:id="1695422136">
      <w:bodyDiv w:val="1"/>
      <w:marLeft w:val="0"/>
      <w:marRight w:val="0"/>
      <w:marTop w:val="0"/>
      <w:marBottom w:val="0"/>
      <w:divBdr>
        <w:top w:val="none" w:sz="0" w:space="0" w:color="auto"/>
        <w:left w:val="none" w:sz="0" w:space="0" w:color="auto"/>
        <w:bottom w:val="none" w:sz="0" w:space="0" w:color="auto"/>
        <w:right w:val="none" w:sz="0" w:space="0" w:color="auto"/>
      </w:divBdr>
    </w:div>
    <w:div w:id="1738362889">
      <w:bodyDiv w:val="1"/>
      <w:marLeft w:val="0"/>
      <w:marRight w:val="0"/>
      <w:marTop w:val="0"/>
      <w:marBottom w:val="0"/>
      <w:divBdr>
        <w:top w:val="none" w:sz="0" w:space="0" w:color="auto"/>
        <w:left w:val="none" w:sz="0" w:space="0" w:color="auto"/>
        <w:bottom w:val="none" w:sz="0" w:space="0" w:color="auto"/>
        <w:right w:val="none" w:sz="0" w:space="0" w:color="auto"/>
      </w:divBdr>
    </w:div>
    <w:div w:id="1818643560">
      <w:bodyDiv w:val="1"/>
      <w:marLeft w:val="0"/>
      <w:marRight w:val="0"/>
      <w:marTop w:val="0"/>
      <w:marBottom w:val="0"/>
      <w:divBdr>
        <w:top w:val="none" w:sz="0" w:space="0" w:color="auto"/>
        <w:left w:val="none" w:sz="0" w:space="0" w:color="auto"/>
        <w:bottom w:val="none" w:sz="0" w:space="0" w:color="auto"/>
        <w:right w:val="none" w:sz="0" w:space="0" w:color="auto"/>
      </w:divBdr>
    </w:div>
    <w:div w:id="1876692024">
      <w:bodyDiv w:val="1"/>
      <w:marLeft w:val="0"/>
      <w:marRight w:val="0"/>
      <w:marTop w:val="0"/>
      <w:marBottom w:val="0"/>
      <w:divBdr>
        <w:top w:val="none" w:sz="0" w:space="0" w:color="auto"/>
        <w:left w:val="none" w:sz="0" w:space="0" w:color="auto"/>
        <w:bottom w:val="none" w:sz="0" w:space="0" w:color="auto"/>
        <w:right w:val="none" w:sz="0" w:space="0" w:color="auto"/>
      </w:divBdr>
    </w:div>
    <w:div w:id="19525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radee.com.br/setor-de-distribuicao/tarifas-de-energia/tarifas-de-energia" TargetMode="External"/><Relationship Id="rId18" Type="http://schemas.openxmlformats.org/officeDocument/2006/relationships/image" Target="media/image3.emf"/><Relationship Id="rId26" Type="http://schemas.openxmlformats.org/officeDocument/2006/relationships/customXml" Target="../customXml/item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pe.gov.br/geracao/Documents/NT-EPE-DEE-RE-010-2016-r0.pdf"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eel.gov.br/"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ustomXml" Target="../customXml/item3.xml"/><Relationship Id="rId10" Type="http://schemas.openxmlformats.org/officeDocument/2006/relationships/hyperlink" Target="http://www.distributed-generation.com/Library/CHP.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bdocs.iadb.org/wsdocs/getdocument.aspx?docnum=40661714" TargetMode="External"/><Relationship Id="rId14" Type="http://schemas.openxmlformats.org/officeDocument/2006/relationships/chart" Target="charts/chart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ank.org/content/dam/Worldbank/document/Climate/State-and-Trend-Report-2015.pdf" TargetMode="External"/><Relationship Id="rId2" Type="http://schemas.openxmlformats.org/officeDocument/2006/relationships/hyperlink" Target="http://publications.iadb.org/bitstream/handle/11319/6465/Beneficios%20sociales%20TN-623.pdf?sequence=1" TargetMode="External"/><Relationship Id="rId1" Type="http://schemas.openxmlformats.org/officeDocument/2006/relationships/hyperlink" Target="http://publications.iadb.org/bitstream/handle/11319/6465/Beneficios%20sociales%20TN-623.pdf?sequence=1" TargetMode="External"/><Relationship Id="rId6" Type="http://schemas.openxmlformats.org/officeDocument/2006/relationships/hyperlink" Target="http://data.worldbank.org/indicator/FP.CPI.TOTL" TargetMode="External"/><Relationship Id="rId5" Type="http://schemas.openxmlformats.org/officeDocument/2006/relationships/hyperlink" Target="https://www.ccee.org.br/portal/faces/pages_publico/o-que-fazemos/como_ccee_atua/precos/precos_medios?_afrLoop=1123102452682485" TargetMode="External"/><Relationship Id="rId4" Type="http://schemas.openxmlformats.org/officeDocument/2006/relationships/hyperlink" Target="https://cdm.unfccc.int/methodologies/PAmethodologies/tools/am-tool-07-v5.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turoal\AppData\Local\Microsoft\Windows\Temporary%20Internet%20Files\Content.Outlook\MH9PJIFM\PLD_Artur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[PLD_Arturo.xlsx]PLD!$F$2</c:f>
              <c:strCache>
                <c:ptCount val="1"/>
                <c:pt idx="0">
                  <c:v>PLD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[PLD_Arturo.xlsx]PLD!$A$3:$A$162</c:f>
              <c:numCache>
                <c:formatCode>mmm\-yy</c:formatCode>
                <c:ptCount val="160"/>
                <c:pt idx="0">
                  <c:v>42583</c:v>
                </c:pt>
                <c:pt idx="1">
                  <c:v>42552</c:v>
                </c:pt>
                <c:pt idx="2">
                  <c:v>42522</c:v>
                </c:pt>
                <c:pt idx="3">
                  <c:v>42491</c:v>
                </c:pt>
                <c:pt idx="4">
                  <c:v>42461</c:v>
                </c:pt>
                <c:pt idx="5">
                  <c:v>42430</c:v>
                </c:pt>
                <c:pt idx="6">
                  <c:v>42401</c:v>
                </c:pt>
                <c:pt idx="7">
                  <c:v>42370</c:v>
                </c:pt>
                <c:pt idx="8">
                  <c:v>42339</c:v>
                </c:pt>
                <c:pt idx="9">
                  <c:v>42309</c:v>
                </c:pt>
                <c:pt idx="10">
                  <c:v>42278</c:v>
                </c:pt>
                <c:pt idx="11">
                  <c:v>42248</c:v>
                </c:pt>
                <c:pt idx="12">
                  <c:v>42217</c:v>
                </c:pt>
                <c:pt idx="13">
                  <c:v>42186</c:v>
                </c:pt>
                <c:pt idx="14">
                  <c:v>42156</c:v>
                </c:pt>
                <c:pt idx="15">
                  <c:v>42125</c:v>
                </c:pt>
                <c:pt idx="16">
                  <c:v>42095</c:v>
                </c:pt>
                <c:pt idx="17">
                  <c:v>42064</c:v>
                </c:pt>
                <c:pt idx="18">
                  <c:v>42036</c:v>
                </c:pt>
                <c:pt idx="19">
                  <c:v>42005</c:v>
                </c:pt>
                <c:pt idx="20">
                  <c:v>41974</c:v>
                </c:pt>
                <c:pt idx="21">
                  <c:v>41944</c:v>
                </c:pt>
                <c:pt idx="22">
                  <c:v>41913</c:v>
                </c:pt>
                <c:pt idx="23">
                  <c:v>41883</c:v>
                </c:pt>
                <c:pt idx="24">
                  <c:v>41852</c:v>
                </c:pt>
                <c:pt idx="25">
                  <c:v>41821</c:v>
                </c:pt>
                <c:pt idx="26">
                  <c:v>41791</c:v>
                </c:pt>
                <c:pt idx="27">
                  <c:v>41760</c:v>
                </c:pt>
                <c:pt idx="28">
                  <c:v>41730</c:v>
                </c:pt>
                <c:pt idx="29">
                  <c:v>41699</c:v>
                </c:pt>
                <c:pt idx="30">
                  <c:v>41671</c:v>
                </c:pt>
                <c:pt idx="31">
                  <c:v>41640</c:v>
                </c:pt>
                <c:pt idx="32">
                  <c:v>41609</c:v>
                </c:pt>
                <c:pt idx="33">
                  <c:v>41579</c:v>
                </c:pt>
                <c:pt idx="34">
                  <c:v>41548</c:v>
                </c:pt>
                <c:pt idx="35">
                  <c:v>41518</c:v>
                </c:pt>
                <c:pt idx="36">
                  <c:v>41487</c:v>
                </c:pt>
                <c:pt idx="37">
                  <c:v>41456</c:v>
                </c:pt>
                <c:pt idx="38">
                  <c:v>41426</c:v>
                </c:pt>
                <c:pt idx="39">
                  <c:v>41395</c:v>
                </c:pt>
                <c:pt idx="40">
                  <c:v>41365</c:v>
                </c:pt>
                <c:pt idx="41">
                  <c:v>41334</c:v>
                </c:pt>
                <c:pt idx="42">
                  <c:v>41306</c:v>
                </c:pt>
                <c:pt idx="43">
                  <c:v>41275</c:v>
                </c:pt>
                <c:pt idx="44">
                  <c:v>41244</c:v>
                </c:pt>
                <c:pt idx="45">
                  <c:v>41214</c:v>
                </c:pt>
                <c:pt idx="46">
                  <c:v>41183</c:v>
                </c:pt>
                <c:pt idx="47">
                  <c:v>41153</c:v>
                </c:pt>
                <c:pt idx="48">
                  <c:v>41122</c:v>
                </c:pt>
                <c:pt idx="49">
                  <c:v>41091</c:v>
                </c:pt>
                <c:pt idx="50">
                  <c:v>41061</c:v>
                </c:pt>
                <c:pt idx="51">
                  <c:v>41030</c:v>
                </c:pt>
                <c:pt idx="52">
                  <c:v>41000</c:v>
                </c:pt>
                <c:pt idx="53">
                  <c:v>40969</c:v>
                </c:pt>
                <c:pt idx="54">
                  <c:v>40940</c:v>
                </c:pt>
                <c:pt idx="55">
                  <c:v>40909</c:v>
                </c:pt>
                <c:pt idx="56">
                  <c:v>40878</c:v>
                </c:pt>
                <c:pt idx="57">
                  <c:v>40848</c:v>
                </c:pt>
                <c:pt idx="58">
                  <c:v>40817</c:v>
                </c:pt>
                <c:pt idx="59">
                  <c:v>40787</c:v>
                </c:pt>
                <c:pt idx="60">
                  <c:v>40756</c:v>
                </c:pt>
                <c:pt idx="61">
                  <c:v>40725</c:v>
                </c:pt>
                <c:pt idx="62">
                  <c:v>40695</c:v>
                </c:pt>
                <c:pt idx="63">
                  <c:v>40664</c:v>
                </c:pt>
                <c:pt idx="64">
                  <c:v>40634</c:v>
                </c:pt>
                <c:pt idx="65">
                  <c:v>40603</c:v>
                </c:pt>
                <c:pt idx="66">
                  <c:v>40575</c:v>
                </c:pt>
                <c:pt idx="67">
                  <c:v>40544</c:v>
                </c:pt>
                <c:pt idx="68">
                  <c:v>40513</c:v>
                </c:pt>
                <c:pt idx="69">
                  <c:v>40483</c:v>
                </c:pt>
                <c:pt idx="70">
                  <c:v>40452</c:v>
                </c:pt>
                <c:pt idx="71">
                  <c:v>40422</c:v>
                </c:pt>
                <c:pt idx="72">
                  <c:v>40391</c:v>
                </c:pt>
                <c:pt idx="73">
                  <c:v>40360</c:v>
                </c:pt>
                <c:pt idx="74">
                  <c:v>40330</c:v>
                </c:pt>
                <c:pt idx="75">
                  <c:v>40299</c:v>
                </c:pt>
                <c:pt idx="76">
                  <c:v>40269</c:v>
                </c:pt>
                <c:pt idx="77">
                  <c:v>40238</c:v>
                </c:pt>
                <c:pt idx="78">
                  <c:v>40210</c:v>
                </c:pt>
                <c:pt idx="79">
                  <c:v>40179</c:v>
                </c:pt>
                <c:pt idx="80">
                  <c:v>40148</c:v>
                </c:pt>
                <c:pt idx="81">
                  <c:v>40118</c:v>
                </c:pt>
                <c:pt idx="82">
                  <c:v>40087</c:v>
                </c:pt>
                <c:pt idx="83">
                  <c:v>40057</c:v>
                </c:pt>
                <c:pt idx="84">
                  <c:v>40026</c:v>
                </c:pt>
                <c:pt idx="85">
                  <c:v>39995</c:v>
                </c:pt>
                <c:pt idx="86">
                  <c:v>39965</c:v>
                </c:pt>
                <c:pt idx="87">
                  <c:v>39934</c:v>
                </c:pt>
                <c:pt idx="88">
                  <c:v>39904</c:v>
                </c:pt>
                <c:pt idx="89">
                  <c:v>39873</c:v>
                </c:pt>
                <c:pt idx="90">
                  <c:v>39845</c:v>
                </c:pt>
                <c:pt idx="91">
                  <c:v>39814</c:v>
                </c:pt>
                <c:pt idx="92">
                  <c:v>39783</c:v>
                </c:pt>
                <c:pt idx="93">
                  <c:v>39753</c:v>
                </c:pt>
                <c:pt idx="94">
                  <c:v>39722</c:v>
                </c:pt>
                <c:pt idx="95">
                  <c:v>39692</c:v>
                </c:pt>
                <c:pt idx="96">
                  <c:v>39661</c:v>
                </c:pt>
                <c:pt idx="97">
                  <c:v>39630</c:v>
                </c:pt>
                <c:pt idx="98">
                  <c:v>39600</c:v>
                </c:pt>
                <c:pt idx="99">
                  <c:v>39569</c:v>
                </c:pt>
                <c:pt idx="100">
                  <c:v>39539</c:v>
                </c:pt>
                <c:pt idx="101">
                  <c:v>39508</c:v>
                </c:pt>
                <c:pt idx="102">
                  <c:v>39479</c:v>
                </c:pt>
                <c:pt idx="103">
                  <c:v>39448</c:v>
                </c:pt>
                <c:pt idx="104">
                  <c:v>39417</c:v>
                </c:pt>
                <c:pt idx="105">
                  <c:v>39387</c:v>
                </c:pt>
                <c:pt idx="106">
                  <c:v>39356</c:v>
                </c:pt>
                <c:pt idx="107">
                  <c:v>39326</c:v>
                </c:pt>
                <c:pt idx="108">
                  <c:v>39295</c:v>
                </c:pt>
                <c:pt idx="109">
                  <c:v>39264</c:v>
                </c:pt>
                <c:pt idx="110">
                  <c:v>39234</c:v>
                </c:pt>
                <c:pt idx="111">
                  <c:v>39203</c:v>
                </c:pt>
                <c:pt idx="112">
                  <c:v>39173</c:v>
                </c:pt>
                <c:pt idx="113">
                  <c:v>39142</c:v>
                </c:pt>
                <c:pt idx="114">
                  <c:v>39114</c:v>
                </c:pt>
                <c:pt idx="115">
                  <c:v>39083</c:v>
                </c:pt>
                <c:pt idx="116">
                  <c:v>39052</c:v>
                </c:pt>
                <c:pt idx="117">
                  <c:v>39022</c:v>
                </c:pt>
                <c:pt idx="118">
                  <c:v>38991</c:v>
                </c:pt>
                <c:pt idx="119">
                  <c:v>38961</c:v>
                </c:pt>
                <c:pt idx="120">
                  <c:v>38930</c:v>
                </c:pt>
                <c:pt idx="121">
                  <c:v>38899</c:v>
                </c:pt>
                <c:pt idx="122">
                  <c:v>38869</c:v>
                </c:pt>
                <c:pt idx="123">
                  <c:v>38838</c:v>
                </c:pt>
                <c:pt idx="124">
                  <c:v>38808</c:v>
                </c:pt>
                <c:pt idx="125">
                  <c:v>38777</c:v>
                </c:pt>
                <c:pt idx="126">
                  <c:v>38749</c:v>
                </c:pt>
                <c:pt idx="127">
                  <c:v>38718</c:v>
                </c:pt>
                <c:pt idx="128">
                  <c:v>38687</c:v>
                </c:pt>
                <c:pt idx="129">
                  <c:v>38657</c:v>
                </c:pt>
                <c:pt idx="130">
                  <c:v>38626</c:v>
                </c:pt>
                <c:pt idx="131">
                  <c:v>38596</c:v>
                </c:pt>
                <c:pt idx="132">
                  <c:v>38565</c:v>
                </c:pt>
                <c:pt idx="133">
                  <c:v>38534</c:v>
                </c:pt>
                <c:pt idx="134">
                  <c:v>38504</c:v>
                </c:pt>
                <c:pt idx="135">
                  <c:v>38473</c:v>
                </c:pt>
                <c:pt idx="136">
                  <c:v>38443</c:v>
                </c:pt>
                <c:pt idx="137">
                  <c:v>38412</c:v>
                </c:pt>
                <c:pt idx="138">
                  <c:v>38384</c:v>
                </c:pt>
                <c:pt idx="139">
                  <c:v>38353</c:v>
                </c:pt>
                <c:pt idx="140">
                  <c:v>38322</c:v>
                </c:pt>
                <c:pt idx="141">
                  <c:v>38292</c:v>
                </c:pt>
                <c:pt idx="142">
                  <c:v>38261</c:v>
                </c:pt>
                <c:pt idx="143">
                  <c:v>38231</c:v>
                </c:pt>
                <c:pt idx="144">
                  <c:v>38200</c:v>
                </c:pt>
                <c:pt idx="145">
                  <c:v>38169</c:v>
                </c:pt>
                <c:pt idx="146">
                  <c:v>38139</c:v>
                </c:pt>
                <c:pt idx="147">
                  <c:v>38108</c:v>
                </c:pt>
                <c:pt idx="148">
                  <c:v>38078</c:v>
                </c:pt>
                <c:pt idx="149">
                  <c:v>38047</c:v>
                </c:pt>
                <c:pt idx="150">
                  <c:v>38018</c:v>
                </c:pt>
                <c:pt idx="151">
                  <c:v>37987</c:v>
                </c:pt>
                <c:pt idx="152">
                  <c:v>37956</c:v>
                </c:pt>
                <c:pt idx="153">
                  <c:v>37926</c:v>
                </c:pt>
                <c:pt idx="154">
                  <c:v>37895</c:v>
                </c:pt>
                <c:pt idx="155">
                  <c:v>37865</c:v>
                </c:pt>
                <c:pt idx="156">
                  <c:v>37834</c:v>
                </c:pt>
                <c:pt idx="157">
                  <c:v>37803</c:v>
                </c:pt>
                <c:pt idx="158">
                  <c:v>37773</c:v>
                </c:pt>
                <c:pt idx="159">
                  <c:v>37742</c:v>
                </c:pt>
              </c:numCache>
            </c:numRef>
          </c:xVal>
          <c:yVal>
            <c:numRef>
              <c:f>[PLD_Arturo.xlsx]PLD!$F$3:$F$162</c:f>
              <c:numCache>
                <c:formatCode>General</c:formatCode>
                <c:ptCount val="160"/>
                <c:pt idx="0">
                  <c:v>116.72</c:v>
                </c:pt>
                <c:pt idx="1">
                  <c:v>95.417500000000004</c:v>
                </c:pt>
                <c:pt idx="2">
                  <c:v>84.567499999999995</c:v>
                </c:pt>
                <c:pt idx="3">
                  <c:v>86.472499999999997</c:v>
                </c:pt>
                <c:pt idx="4">
                  <c:v>103.75249999999998</c:v>
                </c:pt>
                <c:pt idx="5">
                  <c:v>90.575000000000003</c:v>
                </c:pt>
                <c:pt idx="6">
                  <c:v>64.385000000000005</c:v>
                </c:pt>
                <c:pt idx="7">
                  <c:v>111.285</c:v>
                </c:pt>
                <c:pt idx="8">
                  <c:v>174.185</c:v>
                </c:pt>
                <c:pt idx="9">
                  <c:v>230.41249999999999</c:v>
                </c:pt>
                <c:pt idx="10">
                  <c:v>213.46999999999997</c:v>
                </c:pt>
                <c:pt idx="11">
                  <c:v>227.04</c:v>
                </c:pt>
                <c:pt idx="12">
                  <c:v>145.09</c:v>
                </c:pt>
                <c:pt idx="13">
                  <c:v>232.75749999999999</c:v>
                </c:pt>
                <c:pt idx="14">
                  <c:v>372.73</c:v>
                </c:pt>
                <c:pt idx="15">
                  <c:v>324.71500000000003</c:v>
                </c:pt>
                <c:pt idx="16">
                  <c:v>323.2</c:v>
                </c:pt>
                <c:pt idx="17">
                  <c:v>376.33750000000003</c:v>
                </c:pt>
                <c:pt idx="18">
                  <c:v>388.48</c:v>
                </c:pt>
                <c:pt idx="19">
                  <c:v>388.48</c:v>
                </c:pt>
                <c:pt idx="20">
                  <c:v>601.21</c:v>
                </c:pt>
                <c:pt idx="21">
                  <c:v>804.54</c:v>
                </c:pt>
                <c:pt idx="22">
                  <c:v>765.54250000000002</c:v>
                </c:pt>
                <c:pt idx="23">
                  <c:v>728.95</c:v>
                </c:pt>
                <c:pt idx="24">
                  <c:v>709.53</c:v>
                </c:pt>
                <c:pt idx="25">
                  <c:v>570.17999999999995</c:v>
                </c:pt>
                <c:pt idx="26">
                  <c:v>361.21000000000004</c:v>
                </c:pt>
                <c:pt idx="27">
                  <c:v>680.18500000000006</c:v>
                </c:pt>
                <c:pt idx="28">
                  <c:v>757.66750000000002</c:v>
                </c:pt>
                <c:pt idx="29">
                  <c:v>774.56000000000006</c:v>
                </c:pt>
                <c:pt idx="30">
                  <c:v>713.5</c:v>
                </c:pt>
                <c:pt idx="31">
                  <c:v>375.14749999999998</c:v>
                </c:pt>
                <c:pt idx="32">
                  <c:v>291.005</c:v>
                </c:pt>
                <c:pt idx="33">
                  <c:v>331.07</c:v>
                </c:pt>
                <c:pt idx="34">
                  <c:v>251.905</c:v>
                </c:pt>
                <c:pt idx="35">
                  <c:v>263.18</c:v>
                </c:pt>
                <c:pt idx="36">
                  <c:v>159.2525</c:v>
                </c:pt>
                <c:pt idx="37">
                  <c:v>116.71000000000001</c:v>
                </c:pt>
                <c:pt idx="38">
                  <c:v>206.83250000000001</c:v>
                </c:pt>
                <c:pt idx="39">
                  <c:v>344.86499999999995</c:v>
                </c:pt>
                <c:pt idx="40">
                  <c:v>196.4425</c:v>
                </c:pt>
                <c:pt idx="41">
                  <c:v>339.68499999999995</c:v>
                </c:pt>
                <c:pt idx="42">
                  <c:v>213.565</c:v>
                </c:pt>
                <c:pt idx="43">
                  <c:v>411.85499999999996</c:v>
                </c:pt>
                <c:pt idx="44">
                  <c:v>256.40499999999997</c:v>
                </c:pt>
                <c:pt idx="45">
                  <c:v>375.54</c:v>
                </c:pt>
                <c:pt idx="46">
                  <c:v>287.60499999999996</c:v>
                </c:pt>
                <c:pt idx="47">
                  <c:v>183.12</c:v>
                </c:pt>
                <c:pt idx="48">
                  <c:v>119.07249999999999</c:v>
                </c:pt>
                <c:pt idx="49">
                  <c:v>91.24</c:v>
                </c:pt>
                <c:pt idx="50">
                  <c:v>118.53</c:v>
                </c:pt>
                <c:pt idx="51">
                  <c:v>180.655</c:v>
                </c:pt>
                <c:pt idx="52">
                  <c:v>188.45249999999999</c:v>
                </c:pt>
                <c:pt idx="53">
                  <c:v>117.045</c:v>
                </c:pt>
                <c:pt idx="54">
                  <c:v>31.619999999999997</c:v>
                </c:pt>
                <c:pt idx="55">
                  <c:v>18.03</c:v>
                </c:pt>
                <c:pt idx="56">
                  <c:v>40.92</c:v>
                </c:pt>
                <c:pt idx="57">
                  <c:v>45.55</c:v>
                </c:pt>
                <c:pt idx="58">
                  <c:v>37.115000000000002</c:v>
                </c:pt>
                <c:pt idx="59">
                  <c:v>20.13</c:v>
                </c:pt>
                <c:pt idx="60">
                  <c:v>18.692500000000003</c:v>
                </c:pt>
                <c:pt idx="61">
                  <c:v>22.999999999999996</c:v>
                </c:pt>
                <c:pt idx="62">
                  <c:v>31.774999999999999</c:v>
                </c:pt>
                <c:pt idx="63">
                  <c:v>17.294999999999998</c:v>
                </c:pt>
                <c:pt idx="64">
                  <c:v>12.2</c:v>
                </c:pt>
                <c:pt idx="65">
                  <c:v>23.145</c:v>
                </c:pt>
                <c:pt idx="66">
                  <c:v>47.789999999999992</c:v>
                </c:pt>
                <c:pt idx="67">
                  <c:v>28.375</c:v>
                </c:pt>
                <c:pt idx="68">
                  <c:v>70.887500000000003</c:v>
                </c:pt>
                <c:pt idx="69">
                  <c:v>116.27250000000001</c:v>
                </c:pt>
                <c:pt idx="70">
                  <c:v>185.13</c:v>
                </c:pt>
                <c:pt idx="71">
                  <c:v>160.655</c:v>
                </c:pt>
                <c:pt idx="72">
                  <c:v>120.1075</c:v>
                </c:pt>
                <c:pt idx="73">
                  <c:v>93.584999999999994</c:v>
                </c:pt>
                <c:pt idx="74">
                  <c:v>68.550000000000011</c:v>
                </c:pt>
                <c:pt idx="75">
                  <c:v>32.195</c:v>
                </c:pt>
                <c:pt idx="76">
                  <c:v>22.255000000000003</c:v>
                </c:pt>
                <c:pt idx="77">
                  <c:v>28.024999999999999</c:v>
                </c:pt>
                <c:pt idx="78">
                  <c:v>14.342499999999999</c:v>
                </c:pt>
                <c:pt idx="79">
                  <c:v>12.91</c:v>
                </c:pt>
                <c:pt idx="80">
                  <c:v>16.309999999999999</c:v>
                </c:pt>
                <c:pt idx="81">
                  <c:v>16.309999999999999</c:v>
                </c:pt>
                <c:pt idx="82">
                  <c:v>16.309999999999999</c:v>
                </c:pt>
                <c:pt idx="83">
                  <c:v>16.309999999999999</c:v>
                </c:pt>
                <c:pt idx="84">
                  <c:v>16.309999999999999</c:v>
                </c:pt>
                <c:pt idx="85">
                  <c:v>27.99</c:v>
                </c:pt>
                <c:pt idx="86">
                  <c:v>33.704999999999998</c:v>
                </c:pt>
                <c:pt idx="87">
                  <c:v>31.145</c:v>
                </c:pt>
                <c:pt idx="88">
                  <c:v>34.822499999999998</c:v>
                </c:pt>
                <c:pt idx="89">
                  <c:v>72.839999999999989</c:v>
                </c:pt>
                <c:pt idx="90">
                  <c:v>43.262500000000003</c:v>
                </c:pt>
                <c:pt idx="91">
                  <c:v>80.722499999999997</c:v>
                </c:pt>
                <c:pt idx="92">
                  <c:v>96.960000000000008</c:v>
                </c:pt>
                <c:pt idx="93">
                  <c:v>103.0475</c:v>
                </c:pt>
                <c:pt idx="94">
                  <c:v>92.365000000000009</c:v>
                </c:pt>
                <c:pt idx="95">
                  <c:v>109.7925</c:v>
                </c:pt>
                <c:pt idx="96">
                  <c:v>102.39500000000001</c:v>
                </c:pt>
                <c:pt idx="97">
                  <c:v>108.42</c:v>
                </c:pt>
                <c:pt idx="98">
                  <c:v>75.77000000000001</c:v>
                </c:pt>
                <c:pt idx="99">
                  <c:v>32.6</c:v>
                </c:pt>
                <c:pt idx="100">
                  <c:v>65.952500000000015</c:v>
                </c:pt>
                <c:pt idx="101">
                  <c:v>123.25500000000001</c:v>
                </c:pt>
                <c:pt idx="102">
                  <c:v>203.96750000000003</c:v>
                </c:pt>
                <c:pt idx="103">
                  <c:v>501.24</c:v>
                </c:pt>
                <c:pt idx="104">
                  <c:v>204.93</c:v>
                </c:pt>
                <c:pt idx="105">
                  <c:v>185.11</c:v>
                </c:pt>
                <c:pt idx="106">
                  <c:v>197.96</c:v>
                </c:pt>
                <c:pt idx="107">
                  <c:v>149.49250000000001</c:v>
                </c:pt>
                <c:pt idx="108">
                  <c:v>41.392499999999998</c:v>
                </c:pt>
                <c:pt idx="109">
                  <c:v>121.64750000000001</c:v>
                </c:pt>
                <c:pt idx="110">
                  <c:v>87.777500000000003</c:v>
                </c:pt>
                <c:pt idx="111">
                  <c:v>47.545000000000002</c:v>
                </c:pt>
                <c:pt idx="112">
                  <c:v>37.682499999999997</c:v>
                </c:pt>
                <c:pt idx="113">
                  <c:v>17.59</c:v>
                </c:pt>
                <c:pt idx="114">
                  <c:v>17.59</c:v>
                </c:pt>
                <c:pt idx="115">
                  <c:v>21.020000000000003</c:v>
                </c:pt>
                <c:pt idx="116">
                  <c:v>45.184999999999995</c:v>
                </c:pt>
                <c:pt idx="117">
                  <c:v>66.715000000000003</c:v>
                </c:pt>
                <c:pt idx="118">
                  <c:v>80.877499999999998</c:v>
                </c:pt>
                <c:pt idx="119">
                  <c:v>110.05</c:v>
                </c:pt>
                <c:pt idx="120">
                  <c:v>91.772500000000008</c:v>
                </c:pt>
                <c:pt idx="121">
                  <c:v>75.962500000000006</c:v>
                </c:pt>
                <c:pt idx="122">
                  <c:v>51.545000000000002</c:v>
                </c:pt>
                <c:pt idx="123">
                  <c:v>35.294999999999995</c:v>
                </c:pt>
                <c:pt idx="124">
                  <c:v>18.942500000000003</c:v>
                </c:pt>
                <c:pt idx="125">
                  <c:v>31.567500000000003</c:v>
                </c:pt>
                <c:pt idx="126">
                  <c:v>47.1175</c:v>
                </c:pt>
                <c:pt idx="127">
                  <c:v>23.925000000000001</c:v>
                </c:pt>
                <c:pt idx="128">
                  <c:v>18.997499999999999</c:v>
                </c:pt>
                <c:pt idx="129">
                  <c:v>28.854999999999997</c:v>
                </c:pt>
                <c:pt idx="130">
                  <c:v>30.982500000000002</c:v>
                </c:pt>
                <c:pt idx="131">
                  <c:v>27.924999999999997</c:v>
                </c:pt>
                <c:pt idx="132">
                  <c:v>30.5075</c:v>
                </c:pt>
                <c:pt idx="133">
                  <c:v>28.342499999999998</c:v>
                </c:pt>
                <c:pt idx="134">
                  <c:v>23.567499999999999</c:v>
                </c:pt>
                <c:pt idx="135">
                  <c:v>40.479999999999997</c:v>
                </c:pt>
                <c:pt idx="136">
                  <c:v>36.512499999999996</c:v>
                </c:pt>
                <c:pt idx="137">
                  <c:v>20.442499999999999</c:v>
                </c:pt>
                <c:pt idx="138">
                  <c:v>18.494999999999997</c:v>
                </c:pt>
                <c:pt idx="139">
                  <c:v>18.329999999999998</c:v>
                </c:pt>
                <c:pt idx="140">
                  <c:v>18.59</c:v>
                </c:pt>
                <c:pt idx="141">
                  <c:v>18.59</c:v>
                </c:pt>
                <c:pt idx="142">
                  <c:v>18.71</c:v>
                </c:pt>
                <c:pt idx="143">
                  <c:v>18.59</c:v>
                </c:pt>
                <c:pt idx="144">
                  <c:v>18.59</c:v>
                </c:pt>
                <c:pt idx="145">
                  <c:v>18.59</c:v>
                </c:pt>
                <c:pt idx="146">
                  <c:v>18.59</c:v>
                </c:pt>
                <c:pt idx="147">
                  <c:v>18.59</c:v>
                </c:pt>
                <c:pt idx="148">
                  <c:v>18.59</c:v>
                </c:pt>
                <c:pt idx="149">
                  <c:v>18.59</c:v>
                </c:pt>
                <c:pt idx="150">
                  <c:v>18.59</c:v>
                </c:pt>
                <c:pt idx="151">
                  <c:v>90.732500000000002</c:v>
                </c:pt>
                <c:pt idx="152">
                  <c:v>27.424999999999997</c:v>
                </c:pt>
                <c:pt idx="153">
                  <c:v>27.622499999999999</c:v>
                </c:pt>
                <c:pt idx="154">
                  <c:v>24.432500000000001</c:v>
                </c:pt>
                <c:pt idx="155">
                  <c:v>18.14</c:v>
                </c:pt>
                <c:pt idx="156">
                  <c:v>16.442499999999999</c:v>
                </c:pt>
                <c:pt idx="157">
                  <c:v>12.505000000000001</c:v>
                </c:pt>
                <c:pt idx="158">
                  <c:v>10.85</c:v>
                </c:pt>
                <c:pt idx="159">
                  <c:v>6.7924999999999995</c:v>
                </c:pt>
              </c:numCache>
            </c:numRef>
          </c:yVal>
          <c:smooth val="0"/>
          <c:extLst xmlns:c16r2="http://schemas.microsoft.com/office/drawing/2015/06/chart">
            <c:ext xmlns:c16="http://schemas.microsoft.com/office/drawing/2014/chart" uri="{C3380CC4-5D6E-409C-BE32-E72D297353CC}">
              <c16:uniqueId val="{00000000-8664-4CD6-BC5A-874502DAA02A}"/>
            </c:ext>
          </c:extLst>
        </c:ser>
        <c:ser>
          <c:idx val="1"/>
          <c:order val="1"/>
          <c:tx>
            <c:strRef>
              <c:f>[PLD_Arturo.xlsx]PLD!$G$2</c:f>
              <c:strCache>
                <c:ptCount val="1"/>
                <c:pt idx="0">
                  <c:v>Media 12 meses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[PLD_Arturo.xlsx]PLD!$A$3:$A$162</c:f>
              <c:numCache>
                <c:formatCode>mmm\-yy</c:formatCode>
                <c:ptCount val="160"/>
                <c:pt idx="0">
                  <c:v>42583</c:v>
                </c:pt>
                <c:pt idx="1">
                  <c:v>42552</c:v>
                </c:pt>
                <c:pt idx="2">
                  <c:v>42522</c:v>
                </c:pt>
                <c:pt idx="3">
                  <c:v>42491</c:v>
                </c:pt>
                <c:pt idx="4">
                  <c:v>42461</c:v>
                </c:pt>
                <c:pt idx="5">
                  <c:v>42430</c:v>
                </c:pt>
                <c:pt idx="6">
                  <c:v>42401</c:v>
                </c:pt>
                <c:pt idx="7">
                  <c:v>42370</c:v>
                </c:pt>
                <c:pt idx="8">
                  <c:v>42339</c:v>
                </c:pt>
                <c:pt idx="9">
                  <c:v>42309</c:v>
                </c:pt>
                <c:pt idx="10">
                  <c:v>42278</c:v>
                </c:pt>
                <c:pt idx="11">
                  <c:v>42248</c:v>
                </c:pt>
                <c:pt idx="12">
                  <c:v>42217</c:v>
                </c:pt>
                <c:pt idx="13">
                  <c:v>42186</c:v>
                </c:pt>
                <c:pt idx="14">
                  <c:v>42156</c:v>
                </c:pt>
                <c:pt idx="15">
                  <c:v>42125</c:v>
                </c:pt>
                <c:pt idx="16">
                  <c:v>42095</c:v>
                </c:pt>
                <c:pt idx="17">
                  <c:v>42064</c:v>
                </c:pt>
                <c:pt idx="18">
                  <c:v>42036</c:v>
                </c:pt>
                <c:pt idx="19">
                  <c:v>42005</c:v>
                </c:pt>
                <c:pt idx="20">
                  <c:v>41974</c:v>
                </c:pt>
                <c:pt idx="21">
                  <c:v>41944</c:v>
                </c:pt>
                <c:pt idx="22">
                  <c:v>41913</c:v>
                </c:pt>
                <c:pt idx="23">
                  <c:v>41883</c:v>
                </c:pt>
                <c:pt idx="24">
                  <c:v>41852</c:v>
                </c:pt>
                <c:pt idx="25">
                  <c:v>41821</c:v>
                </c:pt>
                <c:pt idx="26">
                  <c:v>41791</c:v>
                </c:pt>
                <c:pt idx="27">
                  <c:v>41760</c:v>
                </c:pt>
                <c:pt idx="28">
                  <c:v>41730</c:v>
                </c:pt>
                <c:pt idx="29">
                  <c:v>41699</c:v>
                </c:pt>
                <c:pt idx="30">
                  <c:v>41671</c:v>
                </c:pt>
                <c:pt idx="31">
                  <c:v>41640</c:v>
                </c:pt>
                <c:pt idx="32">
                  <c:v>41609</c:v>
                </c:pt>
                <c:pt idx="33">
                  <c:v>41579</c:v>
                </c:pt>
                <c:pt idx="34">
                  <c:v>41548</c:v>
                </c:pt>
                <c:pt idx="35">
                  <c:v>41518</c:v>
                </c:pt>
                <c:pt idx="36">
                  <c:v>41487</c:v>
                </c:pt>
                <c:pt idx="37">
                  <c:v>41456</c:v>
                </c:pt>
                <c:pt idx="38">
                  <c:v>41426</c:v>
                </c:pt>
                <c:pt idx="39">
                  <c:v>41395</c:v>
                </c:pt>
                <c:pt idx="40">
                  <c:v>41365</c:v>
                </c:pt>
                <c:pt idx="41">
                  <c:v>41334</c:v>
                </c:pt>
                <c:pt idx="42">
                  <c:v>41306</c:v>
                </c:pt>
                <c:pt idx="43">
                  <c:v>41275</c:v>
                </c:pt>
                <c:pt idx="44">
                  <c:v>41244</c:v>
                </c:pt>
                <c:pt idx="45">
                  <c:v>41214</c:v>
                </c:pt>
                <c:pt idx="46">
                  <c:v>41183</c:v>
                </c:pt>
                <c:pt idx="47">
                  <c:v>41153</c:v>
                </c:pt>
                <c:pt idx="48">
                  <c:v>41122</c:v>
                </c:pt>
                <c:pt idx="49">
                  <c:v>41091</c:v>
                </c:pt>
                <c:pt idx="50">
                  <c:v>41061</c:v>
                </c:pt>
                <c:pt idx="51">
                  <c:v>41030</c:v>
                </c:pt>
                <c:pt idx="52">
                  <c:v>41000</c:v>
                </c:pt>
                <c:pt idx="53">
                  <c:v>40969</c:v>
                </c:pt>
                <c:pt idx="54">
                  <c:v>40940</c:v>
                </c:pt>
                <c:pt idx="55">
                  <c:v>40909</c:v>
                </c:pt>
                <c:pt idx="56">
                  <c:v>40878</c:v>
                </c:pt>
                <c:pt idx="57">
                  <c:v>40848</c:v>
                </c:pt>
                <c:pt idx="58">
                  <c:v>40817</c:v>
                </c:pt>
                <c:pt idx="59">
                  <c:v>40787</c:v>
                </c:pt>
                <c:pt idx="60">
                  <c:v>40756</c:v>
                </c:pt>
                <c:pt idx="61">
                  <c:v>40725</c:v>
                </c:pt>
                <c:pt idx="62">
                  <c:v>40695</c:v>
                </c:pt>
                <c:pt idx="63">
                  <c:v>40664</c:v>
                </c:pt>
                <c:pt idx="64">
                  <c:v>40634</c:v>
                </c:pt>
                <c:pt idx="65">
                  <c:v>40603</c:v>
                </c:pt>
                <c:pt idx="66">
                  <c:v>40575</c:v>
                </c:pt>
                <c:pt idx="67">
                  <c:v>40544</c:v>
                </c:pt>
                <c:pt idx="68">
                  <c:v>40513</c:v>
                </c:pt>
                <c:pt idx="69">
                  <c:v>40483</c:v>
                </c:pt>
                <c:pt idx="70">
                  <c:v>40452</c:v>
                </c:pt>
                <c:pt idx="71">
                  <c:v>40422</c:v>
                </c:pt>
                <c:pt idx="72">
                  <c:v>40391</c:v>
                </c:pt>
                <c:pt idx="73">
                  <c:v>40360</c:v>
                </c:pt>
                <c:pt idx="74">
                  <c:v>40330</c:v>
                </c:pt>
                <c:pt idx="75">
                  <c:v>40299</c:v>
                </c:pt>
                <c:pt idx="76">
                  <c:v>40269</c:v>
                </c:pt>
                <c:pt idx="77">
                  <c:v>40238</c:v>
                </c:pt>
                <c:pt idx="78">
                  <c:v>40210</c:v>
                </c:pt>
                <c:pt idx="79">
                  <c:v>40179</c:v>
                </c:pt>
                <c:pt idx="80">
                  <c:v>40148</c:v>
                </c:pt>
                <c:pt idx="81">
                  <c:v>40118</c:v>
                </c:pt>
                <c:pt idx="82">
                  <c:v>40087</c:v>
                </c:pt>
                <c:pt idx="83">
                  <c:v>40057</c:v>
                </c:pt>
                <c:pt idx="84">
                  <c:v>40026</c:v>
                </c:pt>
                <c:pt idx="85">
                  <c:v>39995</c:v>
                </c:pt>
                <c:pt idx="86">
                  <c:v>39965</c:v>
                </c:pt>
                <c:pt idx="87">
                  <c:v>39934</c:v>
                </c:pt>
                <c:pt idx="88">
                  <c:v>39904</c:v>
                </c:pt>
                <c:pt idx="89">
                  <c:v>39873</c:v>
                </c:pt>
                <c:pt idx="90">
                  <c:v>39845</c:v>
                </c:pt>
                <c:pt idx="91">
                  <c:v>39814</c:v>
                </c:pt>
                <c:pt idx="92">
                  <c:v>39783</c:v>
                </c:pt>
                <c:pt idx="93">
                  <c:v>39753</c:v>
                </c:pt>
                <c:pt idx="94">
                  <c:v>39722</c:v>
                </c:pt>
                <c:pt idx="95">
                  <c:v>39692</c:v>
                </c:pt>
                <c:pt idx="96">
                  <c:v>39661</c:v>
                </c:pt>
                <c:pt idx="97">
                  <c:v>39630</c:v>
                </c:pt>
                <c:pt idx="98">
                  <c:v>39600</c:v>
                </c:pt>
                <c:pt idx="99">
                  <c:v>39569</c:v>
                </c:pt>
                <c:pt idx="100">
                  <c:v>39539</c:v>
                </c:pt>
                <c:pt idx="101">
                  <c:v>39508</c:v>
                </c:pt>
                <c:pt idx="102">
                  <c:v>39479</c:v>
                </c:pt>
                <c:pt idx="103">
                  <c:v>39448</c:v>
                </c:pt>
                <c:pt idx="104">
                  <c:v>39417</c:v>
                </c:pt>
                <c:pt idx="105">
                  <c:v>39387</c:v>
                </c:pt>
                <c:pt idx="106">
                  <c:v>39356</c:v>
                </c:pt>
                <c:pt idx="107">
                  <c:v>39326</c:v>
                </c:pt>
                <c:pt idx="108">
                  <c:v>39295</c:v>
                </c:pt>
                <c:pt idx="109">
                  <c:v>39264</c:v>
                </c:pt>
                <c:pt idx="110">
                  <c:v>39234</c:v>
                </c:pt>
                <c:pt idx="111">
                  <c:v>39203</c:v>
                </c:pt>
                <c:pt idx="112">
                  <c:v>39173</c:v>
                </c:pt>
                <c:pt idx="113">
                  <c:v>39142</c:v>
                </c:pt>
                <c:pt idx="114">
                  <c:v>39114</c:v>
                </c:pt>
                <c:pt idx="115">
                  <c:v>39083</c:v>
                </c:pt>
                <c:pt idx="116">
                  <c:v>39052</c:v>
                </c:pt>
                <c:pt idx="117">
                  <c:v>39022</c:v>
                </c:pt>
                <c:pt idx="118">
                  <c:v>38991</c:v>
                </c:pt>
                <c:pt idx="119">
                  <c:v>38961</c:v>
                </c:pt>
                <c:pt idx="120">
                  <c:v>38930</c:v>
                </c:pt>
                <c:pt idx="121">
                  <c:v>38899</c:v>
                </c:pt>
                <c:pt idx="122">
                  <c:v>38869</c:v>
                </c:pt>
                <c:pt idx="123">
                  <c:v>38838</c:v>
                </c:pt>
                <c:pt idx="124">
                  <c:v>38808</c:v>
                </c:pt>
                <c:pt idx="125">
                  <c:v>38777</c:v>
                </c:pt>
                <c:pt idx="126">
                  <c:v>38749</c:v>
                </c:pt>
                <c:pt idx="127">
                  <c:v>38718</c:v>
                </c:pt>
                <c:pt idx="128">
                  <c:v>38687</c:v>
                </c:pt>
                <c:pt idx="129">
                  <c:v>38657</c:v>
                </c:pt>
                <c:pt idx="130">
                  <c:v>38626</c:v>
                </c:pt>
                <c:pt idx="131">
                  <c:v>38596</c:v>
                </c:pt>
                <c:pt idx="132">
                  <c:v>38565</c:v>
                </c:pt>
                <c:pt idx="133">
                  <c:v>38534</c:v>
                </c:pt>
                <c:pt idx="134">
                  <c:v>38504</c:v>
                </c:pt>
                <c:pt idx="135">
                  <c:v>38473</c:v>
                </c:pt>
                <c:pt idx="136">
                  <c:v>38443</c:v>
                </c:pt>
                <c:pt idx="137">
                  <c:v>38412</c:v>
                </c:pt>
                <c:pt idx="138">
                  <c:v>38384</c:v>
                </c:pt>
                <c:pt idx="139">
                  <c:v>38353</c:v>
                </c:pt>
                <c:pt idx="140">
                  <c:v>38322</c:v>
                </c:pt>
                <c:pt idx="141">
                  <c:v>38292</c:v>
                </c:pt>
                <c:pt idx="142">
                  <c:v>38261</c:v>
                </c:pt>
                <c:pt idx="143">
                  <c:v>38231</c:v>
                </c:pt>
                <c:pt idx="144">
                  <c:v>38200</c:v>
                </c:pt>
                <c:pt idx="145">
                  <c:v>38169</c:v>
                </c:pt>
                <c:pt idx="146">
                  <c:v>38139</c:v>
                </c:pt>
                <c:pt idx="147">
                  <c:v>38108</c:v>
                </c:pt>
                <c:pt idx="148">
                  <c:v>38078</c:v>
                </c:pt>
                <c:pt idx="149">
                  <c:v>38047</c:v>
                </c:pt>
                <c:pt idx="150">
                  <c:v>38018</c:v>
                </c:pt>
                <c:pt idx="151">
                  <c:v>37987</c:v>
                </c:pt>
                <c:pt idx="152">
                  <c:v>37956</c:v>
                </c:pt>
                <c:pt idx="153">
                  <c:v>37926</c:v>
                </c:pt>
                <c:pt idx="154">
                  <c:v>37895</c:v>
                </c:pt>
                <c:pt idx="155">
                  <c:v>37865</c:v>
                </c:pt>
                <c:pt idx="156">
                  <c:v>37834</c:v>
                </c:pt>
                <c:pt idx="157">
                  <c:v>37803</c:v>
                </c:pt>
                <c:pt idx="158">
                  <c:v>37773</c:v>
                </c:pt>
                <c:pt idx="159">
                  <c:v>37742</c:v>
                </c:pt>
              </c:numCache>
            </c:numRef>
          </c:xVal>
          <c:yVal>
            <c:numRef>
              <c:f>[PLD_Arturo.xlsx]PLD!$G$3:$G$162</c:f>
              <c:numCache>
                <c:formatCode>General</c:formatCode>
                <c:ptCount val="160"/>
                <c:pt idx="0">
                  <c:v>133.19020833333332</c:v>
                </c:pt>
                <c:pt idx="1">
                  <c:v>135.55437499999996</c:v>
                </c:pt>
                <c:pt idx="2">
                  <c:v>146.99937499999996</c:v>
                </c:pt>
                <c:pt idx="3">
                  <c:v>171.01291666666665</c:v>
                </c:pt>
                <c:pt idx="4">
                  <c:v>190.8664583333333</c:v>
                </c:pt>
                <c:pt idx="5">
                  <c:v>209.15374999999997</c:v>
                </c:pt>
                <c:pt idx="6">
                  <c:v>232.96729166666663</c:v>
                </c:pt>
                <c:pt idx="7">
                  <c:v>259.97520833333334</c:v>
                </c:pt>
                <c:pt idx="8">
                  <c:v>283.07479166666667</c:v>
                </c:pt>
                <c:pt idx="9">
                  <c:v>318.66020833333334</c:v>
                </c:pt>
                <c:pt idx="10">
                  <c:v>366.50416666666666</c:v>
                </c:pt>
                <c:pt idx="11">
                  <c:v>412.51020833333331</c:v>
                </c:pt>
                <c:pt idx="12">
                  <c:v>454.33604166666669</c:v>
                </c:pt>
                <c:pt idx="13">
                  <c:v>501.37270833333332</c:v>
                </c:pt>
                <c:pt idx="14">
                  <c:v>529.49125000000004</c:v>
                </c:pt>
                <c:pt idx="15">
                  <c:v>528.53125</c:v>
                </c:pt>
                <c:pt idx="16">
                  <c:v>558.15375000000006</c:v>
                </c:pt>
                <c:pt idx="17">
                  <c:v>594.359375</c:v>
                </c:pt>
                <c:pt idx="18">
                  <c:v>627.54458333333343</c:v>
                </c:pt>
                <c:pt idx="19">
                  <c:v>654.62958333333347</c:v>
                </c:pt>
                <c:pt idx="20">
                  <c:v>653.51854166666681</c:v>
                </c:pt>
                <c:pt idx="21">
                  <c:v>627.66812500000003</c:v>
                </c:pt>
                <c:pt idx="22">
                  <c:v>588.2122916666666</c:v>
                </c:pt>
                <c:pt idx="23">
                  <c:v>545.40916666666669</c:v>
                </c:pt>
                <c:pt idx="24">
                  <c:v>506.59500000000003</c:v>
                </c:pt>
                <c:pt idx="25">
                  <c:v>460.73854166666661</c:v>
                </c:pt>
                <c:pt idx="26">
                  <c:v>422.94937499999997</c:v>
                </c:pt>
                <c:pt idx="27">
                  <c:v>410.08458333333334</c:v>
                </c:pt>
                <c:pt idx="28">
                  <c:v>382.14125000000007</c:v>
                </c:pt>
                <c:pt idx="29">
                  <c:v>335.3725</c:v>
                </c:pt>
                <c:pt idx="30">
                  <c:v>299.13291666666663</c:v>
                </c:pt>
                <c:pt idx="31">
                  <c:v>257.47166666666664</c:v>
                </c:pt>
                <c:pt idx="32">
                  <c:v>260.53062500000004</c:v>
                </c:pt>
                <c:pt idx="33">
                  <c:v>257.64729166666666</c:v>
                </c:pt>
                <c:pt idx="34">
                  <c:v>261.35312500000003</c:v>
                </c:pt>
                <c:pt idx="35">
                  <c:v>264.32812499999994</c:v>
                </c:pt>
                <c:pt idx="36">
                  <c:v>257.65645833333332</c:v>
                </c:pt>
                <c:pt idx="37">
                  <c:v>254.30812499999993</c:v>
                </c:pt>
                <c:pt idx="38">
                  <c:v>252.18562499999999</c:v>
                </c:pt>
                <c:pt idx="39">
                  <c:v>244.82708333333332</c:v>
                </c:pt>
                <c:pt idx="40">
                  <c:v>231.14291666666668</c:v>
                </c:pt>
                <c:pt idx="41">
                  <c:v>230.47708333333333</c:v>
                </c:pt>
                <c:pt idx="42">
                  <c:v>211.92375000000004</c:v>
                </c:pt>
                <c:pt idx="43">
                  <c:v>196.76166666666666</c:v>
                </c:pt>
                <c:pt idx="44">
                  <c:v>163.94291666666666</c:v>
                </c:pt>
                <c:pt idx="45">
                  <c:v>145.98583333333332</c:v>
                </c:pt>
                <c:pt idx="46">
                  <c:v>118.48666666666664</c:v>
                </c:pt>
                <c:pt idx="47">
                  <c:v>97.612499999999997</c:v>
                </c:pt>
                <c:pt idx="48">
                  <c:v>84.029999999999987</c:v>
                </c:pt>
                <c:pt idx="49">
                  <c:v>75.664999999999978</c:v>
                </c:pt>
                <c:pt idx="50">
                  <c:v>69.978333333333325</c:v>
                </c:pt>
                <c:pt idx="51">
                  <c:v>62.74874999999998</c:v>
                </c:pt>
                <c:pt idx="52">
                  <c:v>49.135416666666664</c:v>
                </c:pt>
                <c:pt idx="53">
                  <c:v>34.447708333333331</c:v>
                </c:pt>
                <c:pt idx="54">
                  <c:v>26.622708333333332</c:v>
                </c:pt>
                <c:pt idx="55">
                  <c:v>27.970208333333328</c:v>
                </c:pt>
                <c:pt idx="56">
                  <c:v>28.832291666666663</c:v>
                </c:pt>
                <c:pt idx="57">
                  <c:v>31.329583333333332</c:v>
                </c:pt>
                <c:pt idx="58">
                  <c:v>37.223125000000003</c:v>
                </c:pt>
                <c:pt idx="59">
                  <c:v>49.557708333333331</c:v>
                </c:pt>
                <c:pt idx="60">
                  <c:v>61.268124999999998</c:v>
                </c:pt>
                <c:pt idx="61">
                  <c:v>69.719374999999999</c:v>
                </c:pt>
                <c:pt idx="62">
                  <c:v>75.601458333333326</c:v>
                </c:pt>
                <c:pt idx="63">
                  <c:v>78.666041666666672</c:v>
                </c:pt>
                <c:pt idx="64">
                  <c:v>79.907708333333332</c:v>
                </c:pt>
                <c:pt idx="65">
                  <c:v>80.745625000000004</c:v>
                </c:pt>
                <c:pt idx="66">
                  <c:v>81.15229166666667</c:v>
                </c:pt>
                <c:pt idx="67">
                  <c:v>78.364999999999995</c:v>
                </c:pt>
                <c:pt idx="68">
                  <c:v>77.076250000000002</c:v>
                </c:pt>
                <c:pt idx="69">
                  <c:v>72.528124999999989</c:v>
                </c:pt>
                <c:pt idx="70">
                  <c:v>64.197916666666643</c:v>
                </c:pt>
                <c:pt idx="71">
                  <c:v>50.129583333333308</c:v>
                </c:pt>
                <c:pt idx="72">
                  <c:v>38.100833333333334</c:v>
                </c:pt>
                <c:pt idx="73">
                  <c:v>29.451041666666669</c:v>
                </c:pt>
                <c:pt idx="74">
                  <c:v>23.984791666666666</c:v>
                </c:pt>
                <c:pt idx="75">
                  <c:v>21.081041666666668</c:v>
                </c:pt>
                <c:pt idx="76">
                  <c:v>20.993541666666669</c:v>
                </c:pt>
                <c:pt idx="77">
                  <c:v>22.040833333333339</c:v>
                </c:pt>
                <c:pt idx="78">
                  <c:v>25.775416666666668</c:v>
                </c:pt>
                <c:pt idx="79">
                  <c:v>28.185416666666665</c:v>
                </c:pt>
                <c:pt idx="80">
                  <c:v>33.836458333333333</c:v>
                </c:pt>
                <c:pt idx="81">
                  <c:v>40.557291666666664</c:v>
                </c:pt>
                <c:pt idx="82">
                  <c:v>47.785416666666663</c:v>
                </c:pt>
                <c:pt idx="83">
                  <c:v>54.123333333333335</c:v>
                </c:pt>
                <c:pt idx="84">
                  <c:v>61.913541666666674</c:v>
                </c:pt>
                <c:pt idx="85">
                  <c:v>69.087291666666673</c:v>
                </c:pt>
                <c:pt idx="86">
                  <c:v>75.789791666666659</c:v>
                </c:pt>
                <c:pt idx="87">
                  <c:v>79.295208333333335</c:v>
                </c:pt>
                <c:pt idx="88">
                  <c:v>79.416458333333324</c:v>
                </c:pt>
                <c:pt idx="89">
                  <c:v>82.01062499999999</c:v>
                </c:pt>
                <c:pt idx="90">
                  <c:v>86.211875000000006</c:v>
                </c:pt>
                <c:pt idx="91">
                  <c:v>99.603958333333324</c:v>
                </c:pt>
                <c:pt idx="92">
                  <c:v>134.64708333333334</c:v>
                </c:pt>
                <c:pt idx="93">
                  <c:v>143.64458333333334</c:v>
                </c:pt>
                <c:pt idx="94">
                  <c:v>150.483125</c:v>
                </c:pt>
                <c:pt idx="95">
                  <c:v>159.28270833333337</c:v>
                </c:pt>
                <c:pt idx="96">
                  <c:v>162.59104166666671</c:v>
                </c:pt>
                <c:pt idx="97">
                  <c:v>157.50749999999999</c:v>
                </c:pt>
                <c:pt idx="98">
                  <c:v>158.60979166666669</c:v>
                </c:pt>
                <c:pt idx="99">
                  <c:v>159.61041666666668</c:v>
                </c:pt>
                <c:pt idx="100">
                  <c:v>160.85583333333332</c:v>
                </c:pt>
                <c:pt idx="101">
                  <c:v>158.5</c:v>
                </c:pt>
                <c:pt idx="102">
                  <c:v>149.69458333333333</c:v>
                </c:pt>
                <c:pt idx="103">
                  <c:v>134.16312499999998</c:v>
                </c:pt>
                <c:pt idx="104">
                  <c:v>94.144791666666663</c:v>
                </c:pt>
                <c:pt idx="105">
                  <c:v>80.832708333333343</c:v>
                </c:pt>
                <c:pt idx="106">
                  <c:v>70.966458333333335</c:v>
                </c:pt>
                <c:pt idx="107">
                  <c:v>61.209583333333342</c:v>
                </c:pt>
                <c:pt idx="108">
                  <c:v>57.922708333333333</c:v>
                </c:pt>
                <c:pt idx="109">
                  <c:v>62.121041666666656</c:v>
                </c:pt>
                <c:pt idx="110">
                  <c:v>58.313958333333339</c:v>
                </c:pt>
                <c:pt idx="111">
                  <c:v>55.294583333333328</c:v>
                </c:pt>
                <c:pt idx="112">
                  <c:v>54.273749999999986</c:v>
                </c:pt>
                <c:pt idx="113">
                  <c:v>52.712083333333318</c:v>
                </c:pt>
                <c:pt idx="114">
                  <c:v>53.876874999999991</c:v>
                </c:pt>
                <c:pt idx="115">
                  <c:v>56.337499999999984</c:v>
                </c:pt>
                <c:pt idx="116">
                  <c:v>56.579583333333318</c:v>
                </c:pt>
                <c:pt idx="117">
                  <c:v>54.397291666666653</c:v>
                </c:pt>
                <c:pt idx="118">
                  <c:v>51.242291666666659</c:v>
                </c:pt>
                <c:pt idx="119">
                  <c:v>47.084374999999994</c:v>
                </c:pt>
                <c:pt idx="120">
                  <c:v>40.240625000000009</c:v>
                </c:pt>
                <c:pt idx="121">
                  <c:v>35.135208333333338</c:v>
                </c:pt>
                <c:pt idx="122">
                  <c:v>31.166875000000001</c:v>
                </c:pt>
                <c:pt idx="123">
                  <c:v>28.835416666666664</c:v>
                </c:pt>
                <c:pt idx="124">
                  <c:v>29.267499999999998</c:v>
                </c:pt>
                <c:pt idx="125">
                  <c:v>30.731666666666666</c:v>
                </c:pt>
                <c:pt idx="126">
                  <c:v>29.804583333333337</c:v>
                </c:pt>
                <c:pt idx="127">
                  <c:v>27.419374999999999</c:v>
                </c:pt>
                <c:pt idx="128">
                  <c:v>26.953124999999996</c:v>
                </c:pt>
                <c:pt idx="129">
                  <c:v>26.919166666666658</c:v>
                </c:pt>
                <c:pt idx="130">
                  <c:v>26.063749999999988</c:v>
                </c:pt>
                <c:pt idx="131">
                  <c:v>25.041041666666658</c:v>
                </c:pt>
                <c:pt idx="132">
                  <c:v>24.263124999999992</c:v>
                </c:pt>
                <c:pt idx="133">
                  <c:v>23.269999999999996</c:v>
                </c:pt>
                <c:pt idx="134">
                  <c:v>22.457291666666666</c:v>
                </c:pt>
                <c:pt idx="135">
                  <c:v>22.0425</c:v>
                </c:pt>
                <c:pt idx="136">
                  <c:v>20.218333333333334</c:v>
                </c:pt>
                <c:pt idx="137">
                  <c:v>18.724791666666668</c:v>
                </c:pt>
                <c:pt idx="138">
                  <c:v>18.57041666666667</c:v>
                </c:pt>
                <c:pt idx="139">
                  <c:v>18.578333333333337</c:v>
                </c:pt>
                <c:pt idx="140">
                  <c:v>24.611875000000001</c:v>
                </c:pt>
                <c:pt idx="141">
                  <c:v>25.348125</c:v>
                </c:pt>
                <c:pt idx="142">
                  <c:v>26.100833333333338</c:v>
                </c:pt>
                <c:pt idx="143">
                  <c:v>26.577708333333334</c:v>
                </c:pt>
                <c:pt idx="144">
                  <c:v>26.540208333333336</c:v>
                </c:pt>
                <c:pt idx="145">
                  <c:v>26.361249999999998</c:v>
                </c:pt>
                <c:pt idx="146">
                  <c:v>25.854166666666668</c:v>
                </c:pt>
                <c:pt idx="147">
                  <c:v>25.209166666666665</c:v>
                </c:pt>
                <c:pt idx="148">
                  <c:v>24.226041666666671</c:v>
                </c:pt>
                <c:pt idx="149">
                  <c:v>24.738409090909091</c:v>
                </c:pt>
                <c:pt idx="150">
                  <c:v>25.353249999999996</c:v>
                </c:pt>
                <c:pt idx="151">
                  <c:v>26.104722222222222</c:v>
                </c:pt>
                <c:pt idx="152">
                  <c:v>18.026249999999997</c:v>
                </c:pt>
                <c:pt idx="153">
                  <c:v>16.683571428571426</c:v>
                </c:pt>
                <c:pt idx="154">
                  <c:v>14.860416666666666</c:v>
                </c:pt>
                <c:pt idx="155">
                  <c:v>12.946000000000002</c:v>
                </c:pt>
                <c:pt idx="156">
                  <c:v>11.647499999999999</c:v>
                </c:pt>
                <c:pt idx="157">
                  <c:v>10.049166666666666</c:v>
                </c:pt>
                <c:pt idx="158">
                  <c:v>8.8212499999999991</c:v>
                </c:pt>
                <c:pt idx="159">
                  <c:v>6.7924999999999995</c:v>
                </c:pt>
              </c:numCache>
            </c:numRef>
          </c:yVal>
          <c:smooth val="0"/>
          <c:extLst xmlns:c16r2="http://schemas.microsoft.com/office/drawing/2015/06/chart">
            <c:ext xmlns:c16="http://schemas.microsoft.com/office/drawing/2014/chart" uri="{C3380CC4-5D6E-409C-BE32-E72D297353CC}">
              <c16:uniqueId val="{00000001-8664-4CD6-BC5A-874502DAA02A}"/>
            </c:ext>
          </c:extLst>
        </c:ser>
        <c:ser>
          <c:idx val="2"/>
          <c:order val="2"/>
          <c:tx>
            <c:strRef>
              <c:f>[PLD_Arturo.xlsx]PLD!$H$2</c:f>
              <c:strCache>
                <c:ptCount val="1"/>
                <c:pt idx="0">
                  <c:v>Media 24 meses</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[PLD_Arturo.xlsx]PLD!$A$3:$A$162</c:f>
              <c:numCache>
                <c:formatCode>mmm\-yy</c:formatCode>
                <c:ptCount val="160"/>
                <c:pt idx="0">
                  <c:v>42583</c:v>
                </c:pt>
                <c:pt idx="1">
                  <c:v>42552</c:v>
                </c:pt>
                <c:pt idx="2">
                  <c:v>42522</c:v>
                </c:pt>
                <c:pt idx="3">
                  <c:v>42491</c:v>
                </c:pt>
                <c:pt idx="4">
                  <c:v>42461</c:v>
                </c:pt>
                <c:pt idx="5">
                  <c:v>42430</c:v>
                </c:pt>
                <c:pt idx="6">
                  <c:v>42401</c:v>
                </c:pt>
                <c:pt idx="7">
                  <c:v>42370</c:v>
                </c:pt>
                <c:pt idx="8">
                  <c:v>42339</c:v>
                </c:pt>
                <c:pt idx="9">
                  <c:v>42309</c:v>
                </c:pt>
                <c:pt idx="10">
                  <c:v>42278</c:v>
                </c:pt>
                <c:pt idx="11">
                  <c:v>42248</c:v>
                </c:pt>
                <c:pt idx="12">
                  <c:v>42217</c:v>
                </c:pt>
                <c:pt idx="13">
                  <c:v>42186</c:v>
                </c:pt>
                <c:pt idx="14">
                  <c:v>42156</c:v>
                </c:pt>
                <c:pt idx="15">
                  <c:v>42125</c:v>
                </c:pt>
                <c:pt idx="16">
                  <c:v>42095</c:v>
                </c:pt>
                <c:pt idx="17">
                  <c:v>42064</c:v>
                </c:pt>
                <c:pt idx="18">
                  <c:v>42036</c:v>
                </c:pt>
                <c:pt idx="19">
                  <c:v>42005</c:v>
                </c:pt>
                <c:pt idx="20">
                  <c:v>41974</c:v>
                </c:pt>
                <c:pt idx="21">
                  <c:v>41944</c:v>
                </c:pt>
                <c:pt idx="22">
                  <c:v>41913</c:v>
                </c:pt>
                <c:pt idx="23">
                  <c:v>41883</c:v>
                </c:pt>
                <c:pt idx="24">
                  <c:v>41852</c:v>
                </c:pt>
                <c:pt idx="25">
                  <c:v>41821</c:v>
                </c:pt>
                <c:pt idx="26">
                  <c:v>41791</c:v>
                </c:pt>
                <c:pt idx="27">
                  <c:v>41760</c:v>
                </c:pt>
                <c:pt idx="28">
                  <c:v>41730</c:v>
                </c:pt>
                <c:pt idx="29">
                  <c:v>41699</c:v>
                </c:pt>
                <c:pt idx="30">
                  <c:v>41671</c:v>
                </c:pt>
                <c:pt idx="31">
                  <c:v>41640</c:v>
                </c:pt>
                <c:pt idx="32">
                  <c:v>41609</c:v>
                </c:pt>
                <c:pt idx="33">
                  <c:v>41579</c:v>
                </c:pt>
                <c:pt idx="34">
                  <c:v>41548</c:v>
                </c:pt>
                <c:pt idx="35">
                  <c:v>41518</c:v>
                </c:pt>
                <c:pt idx="36">
                  <c:v>41487</c:v>
                </c:pt>
                <c:pt idx="37">
                  <c:v>41456</c:v>
                </c:pt>
                <c:pt idx="38">
                  <c:v>41426</c:v>
                </c:pt>
                <c:pt idx="39">
                  <c:v>41395</c:v>
                </c:pt>
                <c:pt idx="40">
                  <c:v>41365</c:v>
                </c:pt>
                <c:pt idx="41">
                  <c:v>41334</c:v>
                </c:pt>
                <c:pt idx="42">
                  <c:v>41306</c:v>
                </c:pt>
                <c:pt idx="43">
                  <c:v>41275</c:v>
                </c:pt>
                <c:pt idx="44">
                  <c:v>41244</c:v>
                </c:pt>
                <c:pt idx="45">
                  <c:v>41214</c:v>
                </c:pt>
                <c:pt idx="46">
                  <c:v>41183</c:v>
                </c:pt>
                <c:pt idx="47">
                  <c:v>41153</c:v>
                </c:pt>
                <c:pt idx="48">
                  <c:v>41122</c:v>
                </c:pt>
                <c:pt idx="49">
                  <c:v>41091</c:v>
                </c:pt>
                <c:pt idx="50">
                  <c:v>41061</c:v>
                </c:pt>
                <c:pt idx="51">
                  <c:v>41030</c:v>
                </c:pt>
                <c:pt idx="52">
                  <c:v>41000</c:v>
                </c:pt>
                <c:pt idx="53">
                  <c:v>40969</c:v>
                </c:pt>
                <c:pt idx="54">
                  <c:v>40940</c:v>
                </c:pt>
                <c:pt idx="55">
                  <c:v>40909</c:v>
                </c:pt>
                <c:pt idx="56">
                  <c:v>40878</c:v>
                </c:pt>
                <c:pt idx="57">
                  <c:v>40848</c:v>
                </c:pt>
                <c:pt idx="58">
                  <c:v>40817</c:v>
                </c:pt>
                <c:pt idx="59">
                  <c:v>40787</c:v>
                </c:pt>
                <c:pt idx="60">
                  <c:v>40756</c:v>
                </c:pt>
                <c:pt idx="61">
                  <c:v>40725</c:v>
                </c:pt>
                <c:pt idx="62">
                  <c:v>40695</c:v>
                </c:pt>
                <c:pt idx="63">
                  <c:v>40664</c:v>
                </c:pt>
                <c:pt idx="64">
                  <c:v>40634</c:v>
                </c:pt>
                <c:pt idx="65">
                  <c:v>40603</c:v>
                </c:pt>
                <c:pt idx="66">
                  <c:v>40575</c:v>
                </c:pt>
                <c:pt idx="67">
                  <c:v>40544</c:v>
                </c:pt>
                <c:pt idx="68">
                  <c:v>40513</c:v>
                </c:pt>
                <c:pt idx="69">
                  <c:v>40483</c:v>
                </c:pt>
                <c:pt idx="70">
                  <c:v>40452</c:v>
                </c:pt>
                <c:pt idx="71">
                  <c:v>40422</c:v>
                </c:pt>
                <c:pt idx="72">
                  <c:v>40391</c:v>
                </c:pt>
                <c:pt idx="73">
                  <c:v>40360</c:v>
                </c:pt>
                <c:pt idx="74">
                  <c:v>40330</c:v>
                </c:pt>
                <c:pt idx="75">
                  <c:v>40299</c:v>
                </c:pt>
                <c:pt idx="76">
                  <c:v>40269</c:v>
                </c:pt>
                <c:pt idx="77">
                  <c:v>40238</c:v>
                </c:pt>
                <c:pt idx="78">
                  <c:v>40210</c:v>
                </c:pt>
                <c:pt idx="79">
                  <c:v>40179</c:v>
                </c:pt>
                <c:pt idx="80">
                  <c:v>40148</c:v>
                </c:pt>
                <c:pt idx="81">
                  <c:v>40118</c:v>
                </c:pt>
                <c:pt idx="82">
                  <c:v>40087</c:v>
                </c:pt>
                <c:pt idx="83">
                  <c:v>40057</c:v>
                </c:pt>
                <c:pt idx="84">
                  <c:v>40026</c:v>
                </c:pt>
                <c:pt idx="85">
                  <c:v>39995</c:v>
                </c:pt>
                <c:pt idx="86">
                  <c:v>39965</c:v>
                </c:pt>
                <c:pt idx="87">
                  <c:v>39934</c:v>
                </c:pt>
                <c:pt idx="88">
                  <c:v>39904</c:v>
                </c:pt>
                <c:pt idx="89">
                  <c:v>39873</c:v>
                </c:pt>
                <c:pt idx="90">
                  <c:v>39845</c:v>
                </c:pt>
                <c:pt idx="91">
                  <c:v>39814</c:v>
                </c:pt>
                <c:pt idx="92">
                  <c:v>39783</c:v>
                </c:pt>
                <c:pt idx="93">
                  <c:v>39753</c:v>
                </c:pt>
                <c:pt idx="94">
                  <c:v>39722</c:v>
                </c:pt>
                <c:pt idx="95">
                  <c:v>39692</c:v>
                </c:pt>
                <c:pt idx="96">
                  <c:v>39661</c:v>
                </c:pt>
                <c:pt idx="97">
                  <c:v>39630</c:v>
                </c:pt>
                <c:pt idx="98">
                  <c:v>39600</c:v>
                </c:pt>
                <c:pt idx="99">
                  <c:v>39569</c:v>
                </c:pt>
                <c:pt idx="100">
                  <c:v>39539</c:v>
                </c:pt>
                <c:pt idx="101">
                  <c:v>39508</c:v>
                </c:pt>
                <c:pt idx="102">
                  <c:v>39479</c:v>
                </c:pt>
                <c:pt idx="103">
                  <c:v>39448</c:v>
                </c:pt>
                <c:pt idx="104">
                  <c:v>39417</c:v>
                </c:pt>
                <c:pt idx="105">
                  <c:v>39387</c:v>
                </c:pt>
                <c:pt idx="106">
                  <c:v>39356</c:v>
                </c:pt>
                <c:pt idx="107">
                  <c:v>39326</c:v>
                </c:pt>
                <c:pt idx="108">
                  <c:v>39295</c:v>
                </c:pt>
                <c:pt idx="109">
                  <c:v>39264</c:v>
                </c:pt>
                <c:pt idx="110">
                  <c:v>39234</c:v>
                </c:pt>
                <c:pt idx="111">
                  <c:v>39203</c:v>
                </c:pt>
                <c:pt idx="112">
                  <c:v>39173</c:v>
                </c:pt>
                <c:pt idx="113">
                  <c:v>39142</c:v>
                </c:pt>
                <c:pt idx="114">
                  <c:v>39114</c:v>
                </c:pt>
                <c:pt idx="115">
                  <c:v>39083</c:v>
                </c:pt>
                <c:pt idx="116">
                  <c:v>39052</c:v>
                </c:pt>
                <c:pt idx="117">
                  <c:v>39022</c:v>
                </c:pt>
                <c:pt idx="118">
                  <c:v>38991</c:v>
                </c:pt>
                <c:pt idx="119">
                  <c:v>38961</c:v>
                </c:pt>
                <c:pt idx="120">
                  <c:v>38930</c:v>
                </c:pt>
                <c:pt idx="121">
                  <c:v>38899</c:v>
                </c:pt>
                <c:pt idx="122">
                  <c:v>38869</c:v>
                </c:pt>
                <c:pt idx="123">
                  <c:v>38838</c:v>
                </c:pt>
                <c:pt idx="124">
                  <c:v>38808</c:v>
                </c:pt>
                <c:pt idx="125">
                  <c:v>38777</c:v>
                </c:pt>
                <c:pt idx="126">
                  <c:v>38749</c:v>
                </c:pt>
                <c:pt idx="127">
                  <c:v>38718</c:v>
                </c:pt>
                <c:pt idx="128">
                  <c:v>38687</c:v>
                </c:pt>
                <c:pt idx="129">
                  <c:v>38657</c:v>
                </c:pt>
                <c:pt idx="130">
                  <c:v>38626</c:v>
                </c:pt>
                <c:pt idx="131">
                  <c:v>38596</c:v>
                </c:pt>
                <c:pt idx="132">
                  <c:v>38565</c:v>
                </c:pt>
                <c:pt idx="133">
                  <c:v>38534</c:v>
                </c:pt>
                <c:pt idx="134">
                  <c:v>38504</c:v>
                </c:pt>
                <c:pt idx="135">
                  <c:v>38473</c:v>
                </c:pt>
                <c:pt idx="136">
                  <c:v>38443</c:v>
                </c:pt>
                <c:pt idx="137">
                  <c:v>38412</c:v>
                </c:pt>
                <c:pt idx="138">
                  <c:v>38384</c:v>
                </c:pt>
                <c:pt idx="139">
                  <c:v>38353</c:v>
                </c:pt>
                <c:pt idx="140">
                  <c:v>38322</c:v>
                </c:pt>
                <c:pt idx="141">
                  <c:v>38292</c:v>
                </c:pt>
                <c:pt idx="142">
                  <c:v>38261</c:v>
                </c:pt>
                <c:pt idx="143">
                  <c:v>38231</c:v>
                </c:pt>
                <c:pt idx="144">
                  <c:v>38200</c:v>
                </c:pt>
                <c:pt idx="145">
                  <c:v>38169</c:v>
                </c:pt>
                <c:pt idx="146">
                  <c:v>38139</c:v>
                </c:pt>
                <c:pt idx="147">
                  <c:v>38108</c:v>
                </c:pt>
                <c:pt idx="148">
                  <c:v>38078</c:v>
                </c:pt>
                <c:pt idx="149">
                  <c:v>38047</c:v>
                </c:pt>
                <c:pt idx="150">
                  <c:v>38018</c:v>
                </c:pt>
                <c:pt idx="151">
                  <c:v>37987</c:v>
                </c:pt>
                <c:pt idx="152">
                  <c:v>37956</c:v>
                </c:pt>
                <c:pt idx="153">
                  <c:v>37926</c:v>
                </c:pt>
                <c:pt idx="154">
                  <c:v>37895</c:v>
                </c:pt>
                <c:pt idx="155">
                  <c:v>37865</c:v>
                </c:pt>
                <c:pt idx="156">
                  <c:v>37834</c:v>
                </c:pt>
                <c:pt idx="157">
                  <c:v>37803</c:v>
                </c:pt>
                <c:pt idx="158">
                  <c:v>37773</c:v>
                </c:pt>
                <c:pt idx="159">
                  <c:v>37742</c:v>
                </c:pt>
              </c:numCache>
            </c:numRef>
          </c:xVal>
          <c:yVal>
            <c:numRef>
              <c:f>[PLD_Arturo.xlsx]PLD!$H$3:$H$162</c:f>
              <c:numCache>
                <c:formatCode>General</c:formatCode>
                <c:ptCount val="160"/>
                <c:pt idx="0">
                  <c:v>293.763125</c:v>
                </c:pt>
                <c:pt idx="1">
                  <c:v>318.46354166666669</c:v>
                </c:pt>
                <c:pt idx="2">
                  <c:v>338.24531250000001</c:v>
                </c:pt>
                <c:pt idx="3">
                  <c:v>349.77208333333328</c:v>
                </c:pt>
                <c:pt idx="4">
                  <c:v>374.51010416666662</c:v>
                </c:pt>
                <c:pt idx="5">
                  <c:v>401.75656249999997</c:v>
                </c:pt>
                <c:pt idx="6">
                  <c:v>430.25593750000002</c:v>
                </c:pt>
                <c:pt idx="7">
                  <c:v>457.30239583333332</c:v>
                </c:pt>
                <c:pt idx="8">
                  <c:v>468.29666666666662</c:v>
                </c:pt>
                <c:pt idx="9">
                  <c:v>473.16416666666652</c:v>
                </c:pt>
                <c:pt idx="10">
                  <c:v>477.3582291666666</c:v>
                </c:pt>
                <c:pt idx="11">
                  <c:v>478.95968749999992</c:v>
                </c:pt>
                <c:pt idx="12">
                  <c:v>480.4655208333333</c:v>
                </c:pt>
                <c:pt idx="13">
                  <c:v>481.05562499999996</c:v>
                </c:pt>
                <c:pt idx="14">
                  <c:v>476.22031249999992</c:v>
                </c:pt>
                <c:pt idx="15">
                  <c:v>469.30791666666664</c:v>
                </c:pt>
                <c:pt idx="16">
                  <c:v>470.14749999999998</c:v>
                </c:pt>
                <c:pt idx="17">
                  <c:v>464.86593749999997</c:v>
                </c:pt>
                <c:pt idx="18">
                  <c:v>463.33874999999989</c:v>
                </c:pt>
                <c:pt idx="19">
                  <c:v>456.05062500000003</c:v>
                </c:pt>
                <c:pt idx="20">
                  <c:v>457.0245833333334</c:v>
                </c:pt>
                <c:pt idx="21">
                  <c:v>442.65770833333335</c:v>
                </c:pt>
                <c:pt idx="22">
                  <c:v>424.78270833333335</c:v>
                </c:pt>
                <c:pt idx="23">
                  <c:v>404.8686458333334</c:v>
                </c:pt>
                <c:pt idx="24">
                  <c:v>382.12572916666664</c:v>
                </c:pt>
                <c:pt idx="25">
                  <c:v>357.52333333333331</c:v>
                </c:pt>
                <c:pt idx="26">
                  <c:v>337.56749999999994</c:v>
                </c:pt>
                <c:pt idx="27">
                  <c:v>327.45583333333326</c:v>
                </c:pt>
                <c:pt idx="28">
                  <c:v>306.64208333333323</c:v>
                </c:pt>
                <c:pt idx="29">
                  <c:v>282.92479166666664</c:v>
                </c:pt>
                <c:pt idx="30">
                  <c:v>255.52833333333328</c:v>
                </c:pt>
                <c:pt idx="31">
                  <c:v>227.11666666666665</c:v>
                </c:pt>
                <c:pt idx="32">
                  <c:v>212.23677083333334</c:v>
                </c:pt>
                <c:pt idx="33">
                  <c:v>201.81656249999995</c:v>
                </c:pt>
                <c:pt idx="34">
                  <c:v>189.91989583333336</c:v>
                </c:pt>
                <c:pt idx="35">
                  <c:v>180.97031249999995</c:v>
                </c:pt>
                <c:pt idx="36">
                  <c:v>170.84322916666667</c:v>
                </c:pt>
                <c:pt idx="37">
                  <c:v>164.98656249999999</c:v>
                </c:pt>
                <c:pt idx="38">
                  <c:v>161.08197916666668</c:v>
                </c:pt>
                <c:pt idx="39">
                  <c:v>153.78791666666669</c:v>
                </c:pt>
                <c:pt idx="40">
                  <c:v>140.13916666666668</c:v>
                </c:pt>
                <c:pt idx="41">
                  <c:v>132.46239583333335</c:v>
                </c:pt>
                <c:pt idx="42">
                  <c:v>119.2732291666667</c:v>
                </c:pt>
                <c:pt idx="43">
                  <c:v>112.36593750000002</c:v>
                </c:pt>
                <c:pt idx="44">
                  <c:v>96.387604166666662</c:v>
                </c:pt>
                <c:pt idx="45">
                  <c:v>88.657708333333332</c:v>
                </c:pt>
                <c:pt idx="46">
                  <c:v>77.854895833333345</c:v>
                </c:pt>
                <c:pt idx="47">
                  <c:v>73.585104166666682</c:v>
                </c:pt>
                <c:pt idx="48">
                  <c:v>72.649062499999999</c:v>
                </c:pt>
                <c:pt idx="49">
                  <c:v>72.692187500000003</c:v>
                </c:pt>
                <c:pt idx="50">
                  <c:v>72.789895833333318</c:v>
                </c:pt>
                <c:pt idx="51">
                  <c:v>70.707395833333337</c:v>
                </c:pt>
                <c:pt idx="52">
                  <c:v>64.521562500000002</c:v>
                </c:pt>
                <c:pt idx="53">
                  <c:v>57.596666666666671</c:v>
                </c:pt>
                <c:pt idx="54">
                  <c:v>53.887499999999996</c:v>
                </c:pt>
                <c:pt idx="55">
                  <c:v>53.167604166666656</c:v>
                </c:pt>
                <c:pt idx="56">
                  <c:v>52.954270833333332</c:v>
                </c:pt>
                <c:pt idx="57">
                  <c:v>51.928854166666667</c:v>
                </c:pt>
                <c:pt idx="58">
                  <c:v>50.710520833333334</c:v>
                </c:pt>
                <c:pt idx="59">
                  <c:v>49.843645833333333</c:v>
                </c:pt>
                <c:pt idx="60">
                  <c:v>49.684479166666669</c:v>
                </c:pt>
                <c:pt idx="61">
                  <c:v>49.585208333333327</c:v>
                </c:pt>
                <c:pt idx="62">
                  <c:v>49.793124999999996</c:v>
                </c:pt>
                <c:pt idx="63">
                  <c:v>49.873541666666661</c:v>
                </c:pt>
                <c:pt idx="64">
                  <c:v>50.450624999999981</c:v>
                </c:pt>
                <c:pt idx="65">
                  <c:v>51.39322916666665</c:v>
                </c:pt>
                <c:pt idx="66">
                  <c:v>53.463854166666643</c:v>
                </c:pt>
                <c:pt idx="67">
                  <c:v>53.275208333333318</c:v>
                </c:pt>
                <c:pt idx="68">
                  <c:v>55.45635416666665</c:v>
                </c:pt>
                <c:pt idx="69">
                  <c:v>56.54270833333333</c:v>
                </c:pt>
                <c:pt idx="70">
                  <c:v>55.991666666666653</c:v>
                </c:pt>
                <c:pt idx="71">
                  <c:v>52.126458333333318</c:v>
                </c:pt>
                <c:pt idx="72">
                  <c:v>50.007187500000008</c:v>
                </c:pt>
                <c:pt idx="73">
                  <c:v>49.269166666666671</c:v>
                </c:pt>
                <c:pt idx="74">
                  <c:v>49.88729166666667</c:v>
                </c:pt>
                <c:pt idx="75">
                  <c:v>50.188125000000007</c:v>
                </c:pt>
                <c:pt idx="76">
                  <c:v>50.205000000000005</c:v>
                </c:pt>
                <c:pt idx="77">
                  <c:v>52.025729166666672</c:v>
                </c:pt>
                <c:pt idx="78">
                  <c:v>55.993645833333339</c:v>
                </c:pt>
                <c:pt idx="79">
                  <c:v>63.894687500000003</c:v>
                </c:pt>
                <c:pt idx="80">
                  <c:v>84.241770833333348</c:v>
                </c:pt>
                <c:pt idx="81">
                  <c:v>92.100937500000001</c:v>
                </c:pt>
                <c:pt idx="82">
                  <c:v>99.134270833333346</c:v>
                </c:pt>
                <c:pt idx="83">
                  <c:v>106.70302083333335</c:v>
                </c:pt>
                <c:pt idx="84">
                  <c:v>112.25229166666668</c:v>
                </c:pt>
                <c:pt idx="85">
                  <c:v>113.29739583333333</c:v>
                </c:pt>
                <c:pt idx="86">
                  <c:v>117.19979166666667</c:v>
                </c:pt>
                <c:pt idx="87">
                  <c:v>119.45281250000001</c:v>
                </c:pt>
                <c:pt idx="88">
                  <c:v>120.13614583333333</c:v>
                </c:pt>
                <c:pt idx="89">
                  <c:v>120.2553125</c:v>
                </c:pt>
                <c:pt idx="90">
                  <c:v>117.95322916666667</c:v>
                </c:pt>
                <c:pt idx="91">
                  <c:v>116.88354166666669</c:v>
                </c:pt>
                <c:pt idx="92">
                  <c:v>114.39593750000002</c:v>
                </c:pt>
                <c:pt idx="93">
                  <c:v>112.23864583333335</c:v>
                </c:pt>
                <c:pt idx="94">
                  <c:v>110.72479166666669</c:v>
                </c:pt>
                <c:pt idx="95">
                  <c:v>110.24614583333336</c:v>
                </c:pt>
                <c:pt idx="96">
                  <c:v>110.25687500000004</c:v>
                </c:pt>
                <c:pt idx="97">
                  <c:v>109.81427083333335</c:v>
                </c:pt>
                <c:pt idx="98">
                  <c:v>108.46187500000003</c:v>
                </c:pt>
                <c:pt idx="99">
                  <c:v>107.45250000000003</c:v>
                </c:pt>
                <c:pt idx="100">
                  <c:v>107.56479166666668</c:v>
                </c:pt>
                <c:pt idx="101">
                  <c:v>105.60604166666668</c:v>
                </c:pt>
                <c:pt idx="102">
                  <c:v>101.78572916666667</c:v>
                </c:pt>
                <c:pt idx="103">
                  <c:v>95.250312499999993</c:v>
                </c:pt>
                <c:pt idx="104">
                  <c:v>75.362187500000019</c:v>
                </c:pt>
                <c:pt idx="105">
                  <c:v>67.615000000000023</c:v>
                </c:pt>
                <c:pt idx="106">
                  <c:v>61.104375000000012</c:v>
                </c:pt>
                <c:pt idx="107">
                  <c:v>54.146979166666682</c:v>
                </c:pt>
                <c:pt idx="108">
                  <c:v>49.081666666666656</c:v>
                </c:pt>
                <c:pt idx="109">
                  <c:v>48.628124999999983</c:v>
                </c:pt>
                <c:pt idx="110">
                  <c:v>44.740416666666654</c:v>
                </c:pt>
                <c:pt idx="111">
                  <c:v>42.064999999999991</c:v>
                </c:pt>
                <c:pt idx="112">
                  <c:v>41.770624999999988</c:v>
                </c:pt>
                <c:pt idx="113">
                  <c:v>41.72187499999999</c:v>
                </c:pt>
                <c:pt idx="114">
                  <c:v>41.840729166666655</c:v>
                </c:pt>
                <c:pt idx="115">
                  <c:v>41.87843749999999</c:v>
                </c:pt>
                <c:pt idx="116">
                  <c:v>41.766354166666659</c:v>
                </c:pt>
                <c:pt idx="117">
                  <c:v>40.658229166666665</c:v>
                </c:pt>
                <c:pt idx="118">
                  <c:v>38.653020833333336</c:v>
                </c:pt>
                <c:pt idx="119">
                  <c:v>36.06270833333334</c:v>
                </c:pt>
                <c:pt idx="120">
                  <c:v>32.251875000000013</c:v>
                </c:pt>
                <c:pt idx="121">
                  <c:v>29.202604166666678</c:v>
                </c:pt>
                <c:pt idx="122">
                  <c:v>26.812083333333344</c:v>
                </c:pt>
                <c:pt idx="123">
                  <c:v>25.438958333333336</c:v>
                </c:pt>
                <c:pt idx="124">
                  <c:v>24.74291666666667</c:v>
                </c:pt>
                <c:pt idx="125">
                  <c:v>24.728229166666665</c:v>
                </c:pt>
                <c:pt idx="126">
                  <c:v>24.1875</c:v>
                </c:pt>
                <c:pt idx="127">
                  <c:v>22.998854166666661</c:v>
                </c:pt>
                <c:pt idx="128">
                  <c:v>25.782499999999985</c:v>
                </c:pt>
                <c:pt idx="129">
                  <c:v>26.133645833333318</c:v>
                </c:pt>
                <c:pt idx="130">
                  <c:v>26.082291666666649</c:v>
                </c:pt>
                <c:pt idx="131">
                  <c:v>25.809374999999985</c:v>
                </c:pt>
                <c:pt idx="132">
                  <c:v>25.401666666666653</c:v>
                </c:pt>
                <c:pt idx="133">
                  <c:v>24.815624999999994</c:v>
                </c:pt>
                <c:pt idx="134">
                  <c:v>24.15572916666666</c:v>
                </c:pt>
                <c:pt idx="135">
                  <c:v>23.625833333333333</c:v>
                </c:pt>
                <c:pt idx="136">
                  <c:v>22.2221875</c:v>
                </c:pt>
                <c:pt idx="137">
                  <c:v>21.600869565217394</c:v>
                </c:pt>
                <c:pt idx="138">
                  <c:v>21.65352272727273</c:v>
                </c:pt>
                <c:pt idx="139">
                  <c:v>21.803928571428575</c:v>
                </c:pt>
                <c:pt idx="140">
                  <c:v>21.977625000000003</c:v>
                </c:pt>
                <c:pt idx="141">
                  <c:v>22.15592105263158</c:v>
                </c:pt>
                <c:pt idx="142">
                  <c:v>22.35402777777778</c:v>
                </c:pt>
                <c:pt idx="143">
                  <c:v>22.568382352941178</c:v>
                </c:pt>
                <c:pt idx="144">
                  <c:v>22.817031250000003</c:v>
                </c:pt>
                <c:pt idx="145">
                  <c:v>23.098833333333335</c:v>
                </c:pt>
                <c:pt idx="146">
                  <c:v>23.42089285714286</c:v>
                </c:pt>
                <c:pt idx="147">
                  <c:v>23.7925</c:v>
                </c:pt>
                <c:pt idx="148">
                  <c:v>24.226041666666671</c:v>
                </c:pt>
                <c:pt idx="149">
                  <c:v>24.738409090909091</c:v>
                </c:pt>
                <c:pt idx="150">
                  <c:v>25.353249999999996</c:v>
                </c:pt>
                <c:pt idx="151">
                  <c:v>26.104722222222222</c:v>
                </c:pt>
                <c:pt idx="152">
                  <c:v>18.026249999999997</c:v>
                </c:pt>
                <c:pt idx="153">
                  <c:v>16.683571428571426</c:v>
                </c:pt>
                <c:pt idx="154">
                  <c:v>14.860416666666666</c:v>
                </c:pt>
                <c:pt idx="155">
                  <c:v>12.946000000000002</c:v>
                </c:pt>
                <c:pt idx="156">
                  <c:v>11.647499999999999</c:v>
                </c:pt>
                <c:pt idx="157">
                  <c:v>10.049166666666666</c:v>
                </c:pt>
                <c:pt idx="158">
                  <c:v>8.8212499999999991</c:v>
                </c:pt>
                <c:pt idx="159">
                  <c:v>6.7924999999999995</c:v>
                </c:pt>
              </c:numCache>
            </c:numRef>
          </c:yVal>
          <c:smooth val="0"/>
          <c:extLst xmlns:c16r2="http://schemas.microsoft.com/office/drawing/2015/06/chart">
            <c:ext xmlns:c16="http://schemas.microsoft.com/office/drawing/2014/chart" uri="{C3380CC4-5D6E-409C-BE32-E72D297353CC}">
              <c16:uniqueId val="{00000002-8664-4CD6-BC5A-874502DAA02A}"/>
            </c:ext>
          </c:extLst>
        </c:ser>
        <c:ser>
          <c:idx val="3"/>
          <c:order val="3"/>
          <c:tx>
            <c:strRef>
              <c:f>[PLD_Arturo.xlsx]PLD!$I$2</c:f>
              <c:strCache>
                <c:ptCount val="1"/>
                <c:pt idx="0">
                  <c:v>Media 36 meses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[PLD_Arturo.xlsx]PLD!$A$3:$A$162</c:f>
              <c:numCache>
                <c:formatCode>mmm\-yy</c:formatCode>
                <c:ptCount val="160"/>
                <c:pt idx="0">
                  <c:v>42583</c:v>
                </c:pt>
                <c:pt idx="1">
                  <c:v>42552</c:v>
                </c:pt>
                <c:pt idx="2">
                  <c:v>42522</c:v>
                </c:pt>
                <c:pt idx="3">
                  <c:v>42491</c:v>
                </c:pt>
                <c:pt idx="4">
                  <c:v>42461</c:v>
                </c:pt>
                <c:pt idx="5">
                  <c:v>42430</c:v>
                </c:pt>
                <c:pt idx="6">
                  <c:v>42401</c:v>
                </c:pt>
                <c:pt idx="7">
                  <c:v>42370</c:v>
                </c:pt>
                <c:pt idx="8">
                  <c:v>42339</c:v>
                </c:pt>
                <c:pt idx="9">
                  <c:v>42309</c:v>
                </c:pt>
                <c:pt idx="10">
                  <c:v>42278</c:v>
                </c:pt>
                <c:pt idx="11">
                  <c:v>42248</c:v>
                </c:pt>
                <c:pt idx="12">
                  <c:v>42217</c:v>
                </c:pt>
                <c:pt idx="13">
                  <c:v>42186</c:v>
                </c:pt>
                <c:pt idx="14">
                  <c:v>42156</c:v>
                </c:pt>
                <c:pt idx="15">
                  <c:v>42125</c:v>
                </c:pt>
                <c:pt idx="16">
                  <c:v>42095</c:v>
                </c:pt>
                <c:pt idx="17">
                  <c:v>42064</c:v>
                </c:pt>
                <c:pt idx="18">
                  <c:v>42036</c:v>
                </c:pt>
                <c:pt idx="19">
                  <c:v>42005</c:v>
                </c:pt>
                <c:pt idx="20">
                  <c:v>41974</c:v>
                </c:pt>
                <c:pt idx="21">
                  <c:v>41944</c:v>
                </c:pt>
                <c:pt idx="22">
                  <c:v>41913</c:v>
                </c:pt>
                <c:pt idx="23">
                  <c:v>41883</c:v>
                </c:pt>
                <c:pt idx="24">
                  <c:v>41852</c:v>
                </c:pt>
                <c:pt idx="25">
                  <c:v>41821</c:v>
                </c:pt>
                <c:pt idx="26">
                  <c:v>41791</c:v>
                </c:pt>
                <c:pt idx="27">
                  <c:v>41760</c:v>
                </c:pt>
                <c:pt idx="28">
                  <c:v>41730</c:v>
                </c:pt>
                <c:pt idx="29">
                  <c:v>41699</c:v>
                </c:pt>
                <c:pt idx="30">
                  <c:v>41671</c:v>
                </c:pt>
                <c:pt idx="31">
                  <c:v>41640</c:v>
                </c:pt>
                <c:pt idx="32">
                  <c:v>41609</c:v>
                </c:pt>
                <c:pt idx="33">
                  <c:v>41579</c:v>
                </c:pt>
                <c:pt idx="34">
                  <c:v>41548</c:v>
                </c:pt>
                <c:pt idx="35">
                  <c:v>41518</c:v>
                </c:pt>
                <c:pt idx="36">
                  <c:v>41487</c:v>
                </c:pt>
                <c:pt idx="37">
                  <c:v>41456</c:v>
                </c:pt>
                <c:pt idx="38">
                  <c:v>41426</c:v>
                </c:pt>
                <c:pt idx="39">
                  <c:v>41395</c:v>
                </c:pt>
                <c:pt idx="40">
                  <c:v>41365</c:v>
                </c:pt>
                <c:pt idx="41">
                  <c:v>41334</c:v>
                </c:pt>
                <c:pt idx="42">
                  <c:v>41306</c:v>
                </c:pt>
                <c:pt idx="43">
                  <c:v>41275</c:v>
                </c:pt>
                <c:pt idx="44">
                  <c:v>41244</c:v>
                </c:pt>
                <c:pt idx="45">
                  <c:v>41214</c:v>
                </c:pt>
                <c:pt idx="46">
                  <c:v>41183</c:v>
                </c:pt>
                <c:pt idx="47">
                  <c:v>41153</c:v>
                </c:pt>
                <c:pt idx="48">
                  <c:v>41122</c:v>
                </c:pt>
                <c:pt idx="49">
                  <c:v>41091</c:v>
                </c:pt>
                <c:pt idx="50">
                  <c:v>41061</c:v>
                </c:pt>
                <c:pt idx="51">
                  <c:v>41030</c:v>
                </c:pt>
                <c:pt idx="52">
                  <c:v>41000</c:v>
                </c:pt>
                <c:pt idx="53">
                  <c:v>40969</c:v>
                </c:pt>
                <c:pt idx="54">
                  <c:v>40940</c:v>
                </c:pt>
                <c:pt idx="55">
                  <c:v>40909</c:v>
                </c:pt>
                <c:pt idx="56">
                  <c:v>40878</c:v>
                </c:pt>
                <c:pt idx="57">
                  <c:v>40848</c:v>
                </c:pt>
                <c:pt idx="58">
                  <c:v>40817</c:v>
                </c:pt>
                <c:pt idx="59">
                  <c:v>40787</c:v>
                </c:pt>
                <c:pt idx="60">
                  <c:v>40756</c:v>
                </c:pt>
                <c:pt idx="61">
                  <c:v>40725</c:v>
                </c:pt>
                <c:pt idx="62">
                  <c:v>40695</c:v>
                </c:pt>
                <c:pt idx="63">
                  <c:v>40664</c:v>
                </c:pt>
                <c:pt idx="64">
                  <c:v>40634</c:v>
                </c:pt>
                <c:pt idx="65">
                  <c:v>40603</c:v>
                </c:pt>
                <c:pt idx="66">
                  <c:v>40575</c:v>
                </c:pt>
                <c:pt idx="67">
                  <c:v>40544</c:v>
                </c:pt>
                <c:pt idx="68">
                  <c:v>40513</c:v>
                </c:pt>
                <c:pt idx="69">
                  <c:v>40483</c:v>
                </c:pt>
                <c:pt idx="70">
                  <c:v>40452</c:v>
                </c:pt>
                <c:pt idx="71">
                  <c:v>40422</c:v>
                </c:pt>
                <c:pt idx="72">
                  <c:v>40391</c:v>
                </c:pt>
                <c:pt idx="73">
                  <c:v>40360</c:v>
                </c:pt>
                <c:pt idx="74">
                  <c:v>40330</c:v>
                </c:pt>
                <c:pt idx="75">
                  <c:v>40299</c:v>
                </c:pt>
                <c:pt idx="76">
                  <c:v>40269</c:v>
                </c:pt>
                <c:pt idx="77">
                  <c:v>40238</c:v>
                </c:pt>
                <c:pt idx="78">
                  <c:v>40210</c:v>
                </c:pt>
                <c:pt idx="79">
                  <c:v>40179</c:v>
                </c:pt>
                <c:pt idx="80">
                  <c:v>40148</c:v>
                </c:pt>
                <c:pt idx="81">
                  <c:v>40118</c:v>
                </c:pt>
                <c:pt idx="82">
                  <c:v>40087</c:v>
                </c:pt>
                <c:pt idx="83">
                  <c:v>40057</c:v>
                </c:pt>
                <c:pt idx="84">
                  <c:v>40026</c:v>
                </c:pt>
                <c:pt idx="85">
                  <c:v>39995</c:v>
                </c:pt>
                <c:pt idx="86">
                  <c:v>39965</c:v>
                </c:pt>
                <c:pt idx="87">
                  <c:v>39934</c:v>
                </c:pt>
                <c:pt idx="88">
                  <c:v>39904</c:v>
                </c:pt>
                <c:pt idx="89">
                  <c:v>39873</c:v>
                </c:pt>
                <c:pt idx="90">
                  <c:v>39845</c:v>
                </c:pt>
                <c:pt idx="91">
                  <c:v>39814</c:v>
                </c:pt>
                <c:pt idx="92">
                  <c:v>39783</c:v>
                </c:pt>
                <c:pt idx="93">
                  <c:v>39753</c:v>
                </c:pt>
                <c:pt idx="94">
                  <c:v>39722</c:v>
                </c:pt>
                <c:pt idx="95">
                  <c:v>39692</c:v>
                </c:pt>
                <c:pt idx="96">
                  <c:v>39661</c:v>
                </c:pt>
                <c:pt idx="97">
                  <c:v>39630</c:v>
                </c:pt>
                <c:pt idx="98">
                  <c:v>39600</c:v>
                </c:pt>
                <c:pt idx="99">
                  <c:v>39569</c:v>
                </c:pt>
                <c:pt idx="100">
                  <c:v>39539</c:v>
                </c:pt>
                <c:pt idx="101">
                  <c:v>39508</c:v>
                </c:pt>
                <c:pt idx="102">
                  <c:v>39479</c:v>
                </c:pt>
                <c:pt idx="103">
                  <c:v>39448</c:v>
                </c:pt>
                <c:pt idx="104">
                  <c:v>39417</c:v>
                </c:pt>
                <c:pt idx="105">
                  <c:v>39387</c:v>
                </c:pt>
                <c:pt idx="106">
                  <c:v>39356</c:v>
                </c:pt>
                <c:pt idx="107">
                  <c:v>39326</c:v>
                </c:pt>
                <c:pt idx="108">
                  <c:v>39295</c:v>
                </c:pt>
                <c:pt idx="109">
                  <c:v>39264</c:v>
                </c:pt>
                <c:pt idx="110">
                  <c:v>39234</c:v>
                </c:pt>
                <c:pt idx="111">
                  <c:v>39203</c:v>
                </c:pt>
                <c:pt idx="112">
                  <c:v>39173</c:v>
                </c:pt>
                <c:pt idx="113">
                  <c:v>39142</c:v>
                </c:pt>
                <c:pt idx="114">
                  <c:v>39114</c:v>
                </c:pt>
                <c:pt idx="115">
                  <c:v>39083</c:v>
                </c:pt>
                <c:pt idx="116">
                  <c:v>39052</c:v>
                </c:pt>
                <c:pt idx="117">
                  <c:v>39022</c:v>
                </c:pt>
                <c:pt idx="118">
                  <c:v>38991</c:v>
                </c:pt>
                <c:pt idx="119">
                  <c:v>38961</c:v>
                </c:pt>
                <c:pt idx="120">
                  <c:v>38930</c:v>
                </c:pt>
                <c:pt idx="121">
                  <c:v>38899</c:v>
                </c:pt>
                <c:pt idx="122">
                  <c:v>38869</c:v>
                </c:pt>
                <c:pt idx="123">
                  <c:v>38838</c:v>
                </c:pt>
                <c:pt idx="124">
                  <c:v>38808</c:v>
                </c:pt>
                <c:pt idx="125">
                  <c:v>38777</c:v>
                </c:pt>
                <c:pt idx="126">
                  <c:v>38749</c:v>
                </c:pt>
                <c:pt idx="127">
                  <c:v>38718</c:v>
                </c:pt>
                <c:pt idx="128">
                  <c:v>38687</c:v>
                </c:pt>
                <c:pt idx="129">
                  <c:v>38657</c:v>
                </c:pt>
                <c:pt idx="130">
                  <c:v>38626</c:v>
                </c:pt>
                <c:pt idx="131">
                  <c:v>38596</c:v>
                </c:pt>
                <c:pt idx="132">
                  <c:v>38565</c:v>
                </c:pt>
                <c:pt idx="133">
                  <c:v>38534</c:v>
                </c:pt>
                <c:pt idx="134">
                  <c:v>38504</c:v>
                </c:pt>
                <c:pt idx="135">
                  <c:v>38473</c:v>
                </c:pt>
                <c:pt idx="136">
                  <c:v>38443</c:v>
                </c:pt>
                <c:pt idx="137">
                  <c:v>38412</c:v>
                </c:pt>
                <c:pt idx="138">
                  <c:v>38384</c:v>
                </c:pt>
                <c:pt idx="139">
                  <c:v>38353</c:v>
                </c:pt>
                <c:pt idx="140">
                  <c:v>38322</c:v>
                </c:pt>
                <c:pt idx="141">
                  <c:v>38292</c:v>
                </c:pt>
                <c:pt idx="142">
                  <c:v>38261</c:v>
                </c:pt>
                <c:pt idx="143">
                  <c:v>38231</c:v>
                </c:pt>
                <c:pt idx="144">
                  <c:v>38200</c:v>
                </c:pt>
                <c:pt idx="145">
                  <c:v>38169</c:v>
                </c:pt>
                <c:pt idx="146">
                  <c:v>38139</c:v>
                </c:pt>
                <c:pt idx="147">
                  <c:v>38108</c:v>
                </c:pt>
                <c:pt idx="148">
                  <c:v>38078</c:v>
                </c:pt>
                <c:pt idx="149">
                  <c:v>38047</c:v>
                </c:pt>
                <c:pt idx="150">
                  <c:v>38018</c:v>
                </c:pt>
                <c:pt idx="151">
                  <c:v>37987</c:v>
                </c:pt>
                <c:pt idx="152">
                  <c:v>37956</c:v>
                </c:pt>
                <c:pt idx="153">
                  <c:v>37926</c:v>
                </c:pt>
                <c:pt idx="154">
                  <c:v>37895</c:v>
                </c:pt>
                <c:pt idx="155">
                  <c:v>37865</c:v>
                </c:pt>
                <c:pt idx="156">
                  <c:v>37834</c:v>
                </c:pt>
                <c:pt idx="157">
                  <c:v>37803</c:v>
                </c:pt>
                <c:pt idx="158">
                  <c:v>37773</c:v>
                </c:pt>
                <c:pt idx="159">
                  <c:v>37742</c:v>
                </c:pt>
              </c:numCache>
            </c:numRef>
          </c:xVal>
          <c:yVal>
            <c:numRef>
              <c:f>[PLD_Arturo.xlsx]PLD!$I$3:$I$162</c:f>
              <c:numCache>
                <c:formatCode>General</c:formatCode>
                <c:ptCount val="160"/>
                <c:pt idx="0">
                  <c:v>364.70708333333329</c:v>
                </c:pt>
                <c:pt idx="1">
                  <c:v>365.88854166666658</c:v>
                </c:pt>
                <c:pt idx="2">
                  <c:v>366.4799999999999</c:v>
                </c:pt>
                <c:pt idx="3">
                  <c:v>369.87624999999991</c:v>
                </c:pt>
                <c:pt idx="4">
                  <c:v>377.05381944444434</c:v>
                </c:pt>
                <c:pt idx="5">
                  <c:v>379.62854166666659</c:v>
                </c:pt>
                <c:pt idx="6">
                  <c:v>386.54826388888881</c:v>
                </c:pt>
                <c:pt idx="7">
                  <c:v>390.69215277777772</c:v>
                </c:pt>
                <c:pt idx="8">
                  <c:v>399.04131944444435</c:v>
                </c:pt>
                <c:pt idx="9">
                  <c:v>401.32520833333325</c:v>
                </c:pt>
                <c:pt idx="10">
                  <c:v>405.35652777777773</c:v>
                </c:pt>
                <c:pt idx="11">
                  <c:v>407.41583333333324</c:v>
                </c:pt>
                <c:pt idx="12">
                  <c:v>406.19583333333333</c:v>
                </c:pt>
                <c:pt idx="13">
                  <c:v>405.47312499999998</c:v>
                </c:pt>
                <c:pt idx="14">
                  <c:v>401.54208333333332</c:v>
                </c:pt>
                <c:pt idx="15">
                  <c:v>394.48097222222225</c:v>
                </c:pt>
                <c:pt idx="16">
                  <c:v>390.47930555555558</c:v>
                </c:pt>
                <c:pt idx="17">
                  <c:v>386.73631944444446</c:v>
                </c:pt>
                <c:pt idx="18">
                  <c:v>379.53375</c:v>
                </c:pt>
                <c:pt idx="19">
                  <c:v>369.62097222222229</c:v>
                </c:pt>
                <c:pt idx="20">
                  <c:v>359.33069444444459</c:v>
                </c:pt>
                <c:pt idx="21">
                  <c:v>343.7670833333334</c:v>
                </c:pt>
                <c:pt idx="22">
                  <c:v>322.68402777777783</c:v>
                </c:pt>
                <c:pt idx="23">
                  <c:v>302.44993055555568</c:v>
                </c:pt>
                <c:pt idx="24">
                  <c:v>282.76048611111111</c:v>
                </c:pt>
                <c:pt idx="25">
                  <c:v>263.57055555555553</c:v>
                </c:pt>
                <c:pt idx="26">
                  <c:v>248.37111111111108</c:v>
                </c:pt>
                <c:pt idx="27">
                  <c:v>239.22013888888875</c:v>
                </c:pt>
                <c:pt idx="28">
                  <c:v>220.80652777777772</c:v>
                </c:pt>
                <c:pt idx="29">
                  <c:v>200.09909722222218</c:v>
                </c:pt>
                <c:pt idx="30">
                  <c:v>179.22645833333328</c:v>
                </c:pt>
                <c:pt idx="31">
                  <c:v>160.73451388888887</c:v>
                </c:pt>
                <c:pt idx="32">
                  <c:v>151.10194444444446</c:v>
                </c:pt>
                <c:pt idx="33">
                  <c:v>144.9875694444444</c:v>
                </c:pt>
                <c:pt idx="34">
                  <c:v>139.02097222222221</c:v>
                </c:pt>
                <c:pt idx="35">
                  <c:v>137.16611111111106</c:v>
                </c:pt>
                <c:pt idx="36">
                  <c:v>134.31819444444443</c:v>
                </c:pt>
                <c:pt idx="37">
                  <c:v>133.23083333333332</c:v>
                </c:pt>
                <c:pt idx="38">
                  <c:v>132.58847222222224</c:v>
                </c:pt>
                <c:pt idx="39">
                  <c:v>128.74729166666668</c:v>
                </c:pt>
                <c:pt idx="40">
                  <c:v>120.06201388888888</c:v>
                </c:pt>
                <c:pt idx="41">
                  <c:v>115.22347222222226</c:v>
                </c:pt>
                <c:pt idx="42">
                  <c:v>106.56625000000004</c:v>
                </c:pt>
                <c:pt idx="43">
                  <c:v>101.03229166666671</c:v>
                </c:pt>
                <c:pt idx="44">
                  <c:v>89.950486111111132</c:v>
                </c:pt>
                <c:pt idx="45">
                  <c:v>83.281180555555579</c:v>
                </c:pt>
                <c:pt idx="46">
                  <c:v>73.302569444444472</c:v>
                </c:pt>
                <c:pt idx="47">
                  <c:v>65.766597222222245</c:v>
                </c:pt>
                <c:pt idx="48">
                  <c:v>61.132986111111123</c:v>
                </c:pt>
                <c:pt idx="49">
                  <c:v>58.278472222222227</c:v>
                </c:pt>
                <c:pt idx="50">
                  <c:v>56.52152777777777</c:v>
                </c:pt>
                <c:pt idx="51">
                  <c:v>54.165277777777774</c:v>
                </c:pt>
                <c:pt idx="52">
                  <c:v>50.012222222222221</c:v>
                </c:pt>
                <c:pt idx="53">
                  <c:v>45.744722222222222</c:v>
                </c:pt>
                <c:pt idx="54">
                  <c:v>44.516805555555543</c:v>
                </c:pt>
                <c:pt idx="55">
                  <c:v>44.840208333333322</c:v>
                </c:pt>
                <c:pt idx="56">
                  <c:v>46.581666666666656</c:v>
                </c:pt>
                <c:pt idx="57">
                  <c:v>48.138333333333328</c:v>
                </c:pt>
                <c:pt idx="58">
                  <c:v>49.735486111111101</c:v>
                </c:pt>
                <c:pt idx="59">
                  <c:v>51.270208333333329</c:v>
                </c:pt>
                <c:pt idx="60">
                  <c:v>53.760833333333331</c:v>
                </c:pt>
                <c:pt idx="61">
                  <c:v>56.085902777777768</c:v>
                </c:pt>
                <c:pt idx="62">
                  <c:v>58.458680555555553</c:v>
                </c:pt>
                <c:pt idx="63">
                  <c:v>59.680763888888883</c:v>
                </c:pt>
                <c:pt idx="64">
                  <c:v>60.105902777777764</c:v>
                </c:pt>
                <c:pt idx="65">
                  <c:v>61.599027777777764</c:v>
                </c:pt>
                <c:pt idx="66">
                  <c:v>64.379861111111097</c:v>
                </c:pt>
                <c:pt idx="67">
                  <c:v>68.718125000000001</c:v>
                </c:pt>
                <c:pt idx="68">
                  <c:v>81.853263888888875</c:v>
                </c:pt>
                <c:pt idx="69">
                  <c:v>85.576666666666654</c:v>
                </c:pt>
                <c:pt idx="70">
                  <c:v>87.488819444444445</c:v>
                </c:pt>
                <c:pt idx="71">
                  <c:v>87.845208333333332</c:v>
                </c:pt>
                <c:pt idx="72">
                  <c:v>87.535138888888881</c:v>
                </c:pt>
                <c:pt idx="73">
                  <c:v>85.348611111111097</c:v>
                </c:pt>
                <c:pt idx="74">
                  <c:v>86.128124999999997</c:v>
                </c:pt>
                <c:pt idx="75">
                  <c:v>86.662222222222226</c:v>
                </c:pt>
                <c:pt idx="76">
                  <c:v>87.088611111111106</c:v>
                </c:pt>
                <c:pt idx="77">
                  <c:v>87.517152777777767</c:v>
                </c:pt>
                <c:pt idx="78">
                  <c:v>87.227291666666673</c:v>
                </c:pt>
                <c:pt idx="79">
                  <c:v>87.31750000000001</c:v>
                </c:pt>
                <c:pt idx="80">
                  <c:v>87.542777777777786</c:v>
                </c:pt>
                <c:pt idx="81">
                  <c:v>88.344861111111129</c:v>
                </c:pt>
                <c:pt idx="82">
                  <c:v>89.745000000000019</c:v>
                </c:pt>
                <c:pt idx="83">
                  <c:v>91.538541666666688</c:v>
                </c:pt>
                <c:pt idx="84">
                  <c:v>94.142430555555578</c:v>
                </c:pt>
                <c:pt idx="85">
                  <c:v>96.238611111111126</c:v>
                </c:pt>
                <c:pt idx="86">
                  <c:v>97.571180555555586</c:v>
                </c:pt>
                <c:pt idx="87">
                  <c:v>98.06673611111114</c:v>
                </c:pt>
                <c:pt idx="88">
                  <c:v>98.182013888888903</c:v>
                </c:pt>
                <c:pt idx="89">
                  <c:v>97.740902777777805</c:v>
                </c:pt>
                <c:pt idx="90">
                  <c:v>96.594444444444477</c:v>
                </c:pt>
                <c:pt idx="91">
                  <c:v>96.701527777777812</c:v>
                </c:pt>
                <c:pt idx="92">
                  <c:v>95.123819444444479</c:v>
                </c:pt>
                <c:pt idx="93">
                  <c:v>92.958194444444473</c:v>
                </c:pt>
                <c:pt idx="94">
                  <c:v>90.897291666666703</c:v>
                </c:pt>
                <c:pt idx="95">
                  <c:v>89.192222222222256</c:v>
                </c:pt>
                <c:pt idx="96">
                  <c:v>86.918125000000046</c:v>
                </c:pt>
                <c:pt idx="97">
                  <c:v>84.921250000000043</c:v>
                </c:pt>
                <c:pt idx="98">
                  <c:v>82.696875000000048</c:v>
                </c:pt>
                <c:pt idx="99">
                  <c:v>81.246805555555596</c:v>
                </c:pt>
                <c:pt idx="100">
                  <c:v>81.46569444444448</c:v>
                </c:pt>
                <c:pt idx="101">
                  <c:v>80.647916666666703</c:v>
                </c:pt>
                <c:pt idx="102">
                  <c:v>77.792013888888903</c:v>
                </c:pt>
                <c:pt idx="103">
                  <c:v>72.640000000000015</c:v>
                </c:pt>
                <c:pt idx="104">
                  <c:v>59.225833333333334</c:v>
                </c:pt>
                <c:pt idx="105">
                  <c:v>54.049722222222236</c:v>
                </c:pt>
                <c:pt idx="106">
                  <c:v>49.424166666666672</c:v>
                </c:pt>
                <c:pt idx="107">
                  <c:v>44.445000000000007</c:v>
                </c:pt>
                <c:pt idx="108">
                  <c:v>40.808819444444431</c:v>
                </c:pt>
                <c:pt idx="109">
                  <c:v>40.175416666666649</c:v>
                </c:pt>
                <c:pt idx="110">
                  <c:v>37.312708333333319</c:v>
                </c:pt>
                <c:pt idx="111">
                  <c:v>35.390833333333312</c:v>
                </c:pt>
                <c:pt idx="112">
                  <c:v>34.586527777777754</c:v>
                </c:pt>
                <c:pt idx="113">
                  <c:v>34.056180555555528</c:v>
                </c:pt>
                <c:pt idx="114">
                  <c:v>34.083958333333307</c:v>
                </c:pt>
                <c:pt idx="115">
                  <c:v>34.111736111111085</c:v>
                </c:pt>
                <c:pt idx="116">
                  <c:v>36.04819444444442</c:v>
                </c:pt>
                <c:pt idx="117">
                  <c:v>35.554861111111094</c:v>
                </c:pt>
                <c:pt idx="118">
                  <c:v>34.468958333333333</c:v>
                </c:pt>
                <c:pt idx="119">
                  <c:v>32.901041666666671</c:v>
                </c:pt>
                <c:pt idx="120">
                  <c:v>30.347986111111123</c:v>
                </c:pt>
                <c:pt idx="121">
                  <c:v>28.255486111111122</c:v>
                </c:pt>
                <c:pt idx="122">
                  <c:v>26.492777777777786</c:v>
                </c:pt>
                <c:pt idx="123">
                  <c:v>25.362361111111113</c:v>
                </c:pt>
                <c:pt idx="124">
                  <c:v>24.570625</c:v>
                </c:pt>
                <c:pt idx="125">
                  <c:v>24.73142857142857</c:v>
                </c:pt>
                <c:pt idx="126">
                  <c:v>24.530367647058821</c:v>
                </c:pt>
                <c:pt idx="127">
                  <c:v>23.845909090909082</c:v>
                </c:pt>
                <c:pt idx="128">
                  <c:v>23.843437499999986</c:v>
                </c:pt>
                <c:pt idx="129">
                  <c:v>23.999758064516115</c:v>
                </c:pt>
                <c:pt idx="130">
                  <c:v>23.837916666666654</c:v>
                </c:pt>
                <c:pt idx="131">
                  <c:v>23.591551724137918</c:v>
                </c:pt>
                <c:pt idx="132">
                  <c:v>23.436785714285701</c:v>
                </c:pt>
                <c:pt idx="133">
                  <c:v>23.174907407407403</c:v>
                </c:pt>
                <c:pt idx="134">
                  <c:v>22.976153846153842</c:v>
                </c:pt>
                <c:pt idx="135">
                  <c:v>22.952500000000001</c:v>
                </c:pt>
                <c:pt idx="136">
                  <c:v>22.2221875</c:v>
                </c:pt>
                <c:pt idx="137">
                  <c:v>21.600869565217394</c:v>
                </c:pt>
                <c:pt idx="138">
                  <c:v>21.65352272727273</c:v>
                </c:pt>
                <c:pt idx="139">
                  <c:v>21.803928571428575</c:v>
                </c:pt>
                <c:pt idx="140">
                  <c:v>21.977625000000003</c:v>
                </c:pt>
                <c:pt idx="141">
                  <c:v>22.15592105263158</c:v>
                </c:pt>
                <c:pt idx="142">
                  <c:v>22.35402777777778</c:v>
                </c:pt>
                <c:pt idx="143">
                  <c:v>22.568382352941178</c:v>
                </c:pt>
                <c:pt idx="144">
                  <c:v>22.817031250000003</c:v>
                </c:pt>
                <c:pt idx="145">
                  <c:v>23.098833333333335</c:v>
                </c:pt>
                <c:pt idx="146">
                  <c:v>23.42089285714286</c:v>
                </c:pt>
                <c:pt idx="147">
                  <c:v>23.7925</c:v>
                </c:pt>
                <c:pt idx="148">
                  <c:v>24.226041666666671</c:v>
                </c:pt>
                <c:pt idx="149">
                  <c:v>24.738409090909091</c:v>
                </c:pt>
                <c:pt idx="150">
                  <c:v>25.353249999999996</c:v>
                </c:pt>
                <c:pt idx="151">
                  <c:v>26.104722222222222</c:v>
                </c:pt>
                <c:pt idx="152">
                  <c:v>18.026249999999997</c:v>
                </c:pt>
                <c:pt idx="153">
                  <c:v>16.683571428571426</c:v>
                </c:pt>
                <c:pt idx="154">
                  <c:v>14.860416666666666</c:v>
                </c:pt>
                <c:pt idx="155">
                  <c:v>12.946000000000002</c:v>
                </c:pt>
                <c:pt idx="156">
                  <c:v>11.647499999999999</c:v>
                </c:pt>
                <c:pt idx="157">
                  <c:v>10.049166666666666</c:v>
                </c:pt>
                <c:pt idx="158">
                  <c:v>8.8212499999999991</c:v>
                </c:pt>
                <c:pt idx="159">
                  <c:v>6.7924999999999995</c:v>
                </c:pt>
              </c:numCache>
            </c:numRef>
          </c:yVal>
          <c:smooth val="0"/>
          <c:extLst xmlns:c16r2="http://schemas.microsoft.com/office/drawing/2015/06/chart">
            <c:ext xmlns:c16="http://schemas.microsoft.com/office/drawing/2014/chart" uri="{C3380CC4-5D6E-409C-BE32-E72D297353CC}">
              <c16:uniqueId val="{00000003-8664-4CD6-BC5A-874502DAA02A}"/>
            </c:ext>
          </c:extLst>
        </c:ser>
        <c:dLbls>
          <c:showLegendKey val="0"/>
          <c:showVal val="0"/>
          <c:showCatName val="0"/>
          <c:showSerName val="0"/>
          <c:showPercent val="0"/>
          <c:showBubbleSize val="0"/>
        </c:dLbls>
        <c:axId val="263006080"/>
        <c:axId val="204472320"/>
      </c:scatterChart>
      <c:valAx>
        <c:axId val="263006080"/>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72320"/>
        <c:crosses val="autoZero"/>
        <c:crossBetween val="midCat"/>
      </c:valAx>
      <c:valAx>
        <c:axId val="20447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0060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1807F4FDEE883488AE29D74CC16911E" ma:contentTypeVersion="0" ma:contentTypeDescription="A content type to manage public (operations) IDB documents" ma:contentTypeScope="" ma:versionID="52fa0ce5cdd8a8c344a957f8b73ff40c">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40661106</IDBDocs_x0020_Number>
    <Document_x0020_Author xmlns="9c571b2f-e523-4ab2-ba2e-09e151a03ef4">Netto de A. C. Schneider, Maria E.</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BR-L1442,BR-O0001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Whole&lt;/APPROVAL_DESC&gt;&lt;PD_OBJ_TYPE&gt;0&lt;/PD_OBJ_TYPE&gt;&lt;DTAPPROVAL&gt;Dec 12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CM-BAN</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081A252E-984D-4161-915D-21C3CD6A508E}"/>
</file>

<file path=customXml/itemProps2.xml><?xml version="1.0" encoding="utf-8"?>
<ds:datastoreItem xmlns:ds="http://schemas.openxmlformats.org/officeDocument/2006/customXml" ds:itemID="{3677F4A9-1115-409B-9867-F3BBBD989929}"/>
</file>

<file path=customXml/itemProps3.xml><?xml version="1.0" encoding="utf-8"?>
<ds:datastoreItem xmlns:ds="http://schemas.openxmlformats.org/officeDocument/2006/customXml" ds:itemID="{23AE4294-A7A3-493B-A3E7-CC35F6D774E5}"/>
</file>

<file path=customXml/itemProps4.xml><?xml version="1.0" encoding="utf-8"?>
<ds:datastoreItem xmlns:ds="http://schemas.openxmlformats.org/officeDocument/2006/customXml" ds:itemID="{FC456B3C-6C24-4610-8979-8D4956CD4388}"/>
</file>

<file path=customXml/itemProps5.xml><?xml version="1.0" encoding="utf-8"?>
<ds:datastoreItem xmlns:ds="http://schemas.openxmlformats.org/officeDocument/2006/customXml" ds:itemID="{F55DF49C-68F7-44C2-A6DA-446C8A18D0DF}"/>
</file>

<file path=customXml/itemProps6.xml><?xml version="1.0" encoding="utf-8"?>
<ds:datastoreItem xmlns:ds="http://schemas.openxmlformats.org/officeDocument/2006/customXml" ds:itemID="{4B03E109-4225-4B87-9A83-BC2C045E786B}"/>
</file>

<file path=docProps/app.xml><?xml version="1.0" encoding="utf-8"?>
<Properties xmlns="http://schemas.openxmlformats.org/officeDocument/2006/extended-properties" xmlns:vt="http://schemas.openxmlformats.org/officeDocument/2006/docPropsVTypes">
  <Template>Normal.dotm</Template>
  <TotalTime>8</TotalTime>
  <Pages>20</Pages>
  <Words>6308</Words>
  <Characters>35962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 ELink Opcional - Economic Analysis - BR-L1442</dc:title>
  <dc:creator>IADB</dc:creator>
  <cp:lastModifiedBy>Test</cp:lastModifiedBy>
  <cp:revision>7</cp:revision>
  <cp:lastPrinted>2012-07-26T21:28:00Z</cp:lastPrinted>
  <dcterms:created xsi:type="dcterms:W3CDTF">2016-09-29T14:36:00Z</dcterms:created>
  <dcterms:modified xsi:type="dcterms:W3CDTF">2016-11-14T16:42:00Z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0x01010046CF21643EE8D14686A648AA6DAD08920091807F4FDEE883488AE29D74CC16911E</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