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196B" w14:textId="7BD4F098" w:rsidR="00F97199" w:rsidRPr="00C535A0" w:rsidRDefault="00E713A3" w:rsidP="00E713A3">
      <w:pPr>
        <w:pStyle w:val="Title"/>
        <w:rPr>
          <w:rFonts w:ascii="Arial" w:hAnsi="Arial" w:cs="Arial"/>
          <w:lang w:val="en-US"/>
        </w:rPr>
      </w:pPr>
      <w:r w:rsidRPr="00C535A0">
        <w:rPr>
          <w:rFonts w:ascii="Arial" w:hAnsi="Arial" w:cs="Arial"/>
          <w:lang w:val="en-US"/>
        </w:rPr>
        <w:t xml:space="preserve">Report 1: </w:t>
      </w:r>
      <w:r w:rsidR="00AB2E91" w:rsidRPr="00C535A0">
        <w:rPr>
          <w:rFonts w:ascii="Arial" w:hAnsi="Arial" w:cs="Arial"/>
          <w:lang w:val="en-US"/>
        </w:rPr>
        <w:t>P</w:t>
      </w:r>
      <w:r w:rsidR="004824B4" w:rsidRPr="00C535A0">
        <w:rPr>
          <w:rFonts w:ascii="Arial" w:hAnsi="Arial" w:cs="Arial"/>
          <w:lang w:val="en-US"/>
        </w:rPr>
        <w:t>roductivity</w:t>
      </w:r>
      <w:r w:rsidR="00FF25CD" w:rsidRPr="00C535A0">
        <w:rPr>
          <w:rFonts w:ascii="Arial" w:hAnsi="Arial" w:cs="Arial"/>
          <w:lang w:val="en-US"/>
        </w:rPr>
        <w:t xml:space="preserve"> an</w:t>
      </w:r>
      <w:bookmarkStart w:id="0" w:name="_GoBack"/>
      <w:bookmarkEnd w:id="0"/>
      <w:r w:rsidR="00FF25CD" w:rsidRPr="00C535A0">
        <w:rPr>
          <w:rFonts w:ascii="Arial" w:hAnsi="Arial" w:cs="Arial"/>
          <w:lang w:val="en-US"/>
        </w:rPr>
        <w:t>d Economic Growth</w:t>
      </w:r>
    </w:p>
    <w:p w14:paraId="1DF57660" w14:textId="77777777" w:rsidR="004033F0" w:rsidRPr="0055320E" w:rsidRDefault="004033F0" w:rsidP="004033F0">
      <w:pPr>
        <w:pStyle w:val="p-01"/>
        <w:jc w:val="right"/>
        <w:rPr>
          <w:lang w:val="en-US"/>
        </w:rPr>
      </w:pPr>
      <w:r w:rsidRPr="0055320E">
        <w:rPr>
          <w:lang w:val="en-US"/>
        </w:rPr>
        <w:t>Fernanda De Negri</w:t>
      </w:r>
      <w:r w:rsidRPr="0055320E">
        <w:rPr>
          <w:rStyle w:val="FootnoteReference"/>
          <w:lang w:val="en-US"/>
        </w:rPr>
        <w:footnoteReference w:customMarkFollows="1" w:id="1"/>
        <w:t>*</w:t>
      </w:r>
      <w:r w:rsidRPr="0055320E">
        <w:rPr>
          <w:lang w:val="en-US"/>
        </w:rPr>
        <w:br/>
        <w:t>Luiz Ricardo Cavalcante</w:t>
      </w:r>
      <w:r w:rsidRPr="0055320E">
        <w:rPr>
          <w:rStyle w:val="FootnoteReference"/>
          <w:lang w:val="en-US"/>
        </w:rPr>
        <w:footnoteReference w:customMarkFollows="1" w:id="2"/>
        <w:t>**</w:t>
      </w:r>
    </w:p>
    <w:p w14:paraId="41730725" w14:textId="56CB9CAD" w:rsidR="004824B4" w:rsidRPr="00C535A0" w:rsidRDefault="004824B4" w:rsidP="00C535A0">
      <w:pPr>
        <w:pStyle w:val="Heading1"/>
        <w:spacing w:before="240" w:line="240" w:lineRule="auto"/>
        <w:rPr>
          <w:rFonts w:ascii="Arial" w:hAnsi="Arial" w:cs="Arial"/>
          <w:lang w:val="en-US"/>
        </w:rPr>
      </w:pPr>
      <w:r w:rsidRPr="00C535A0">
        <w:rPr>
          <w:rFonts w:ascii="Arial" w:hAnsi="Arial" w:cs="Arial"/>
          <w:lang w:val="en-US"/>
        </w:rPr>
        <w:t xml:space="preserve">Introduction </w:t>
      </w:r>
    </w:p>
    <w:p w14:paraId="6D26CAF2" w14:textId="4C44B862" w:rsidR="00AB2E91" w:rsidRPr="00C535A0" w:rsidRDefault="00DA4F69" w:rsidP="00C535A0">
      <w:pPr>
        <w:spacing w:line="240" w:lineRule="auto"/>
        <w:jc w:val="both"/>
        <w:rPr>
          <w:rFonts w:ascii="Arial" w:hAnsi="Arial" w:cs="Arial"/>
          <w:lang w:val="en-US"/>
        </w:rPr>
      </w:pPr>
      <w:r w:rsidRPr="00C535A0">
        <w:rPr>
          <w:rFonts w:ascii="Arial" w:hAnsi="Arial" w:cs="Arial"/>
          <w:lang w:val="en-US"/>
        </w:rPr>
        <w:t xml:space="preserve">Productivity </w:t>
      </w:r>
      <w:r w:rsidR="0040046F" w:rsidRPr="00C535A0">
        <w:rPr>
          <w:rFonts w:ascii="Arial" w:hAnsi="Arial" w:cs="Arial"/>
          <w:lang w:val="en-US"/>
        </w:rPr>
        <w:t xml:space="preserve">in Brazil </w:t>
      </w:r>
      <w:r w:rsidRPr="00C535A0">
        <w:rPr>
          <w:rFonts w:ascii="Arial" w:hAnsi="Arial" w:cs="Arial"/>
          <w:lang w:val="en-US"/>
        </w:rPr>
        <w:t xml:space="preserve">has not grown – rather, it has grown very little – since the </w:t>
      </w:r>
      <w:r w:rsidR="003C21AB" w:rsidRPr="00C535A0">
        <w:rPr>
          <w:rFonts w:ascii="Arial" w:hAnsi="Arial" w:cs="Arial"/>
          <w:lang w:val="en-US"/>
        </w:rPr>
        <w:t>late 19</w:t>
      </w:r>
      <w:r w:rsidRPr="00C535A0">
        <w:rPr>
          <w:rFonts w:ascii="Arial" w:hAnsi="Arial" w:cs="Arial"/>
          <w:lang w:val="en-US"/>
        </w:rPr>
        <w:t xml:space="preserve">70s. This finding is as true as it is discouraging. Regardless of the indicators analyzed, the outlook remains very much the same and, despite a slight upward movement in the early 2000s, there </w:t>
      </w:r>
      <w:r w:rsidR="003C21AB" w:rsidRPr="00C535A0">
        <w:rPr>
          <w:rFonts w:ascii="Arial" w:hAnsi="Arial" w:cs="Arial"/>
          <w:lang w:val="en-US"/>
        </w:rPr>
        <w:t xml:space="preserve">have </w:t>
      </w:r>
      <w:r w:rsidRPr="00C535A0">
        <w:rPr>
          <w:rFonts w:ascii="Arial" w:hAnsi="Arial" w:cs="Arial"/>
          <w:lang w:val="en-US"/>
        </w:rPr>
        <w:t>not been many significant advances</w:t>
      </w:r>
      <w:r w:rsidR="003C21AB" w:rsidRPr="00C535A0">
        <w:rPr>
          <w:rFonts w:ascii="Arial" w:hAnsi="Arial" w:cs="Arial"/>
          <w:lang w:val="en-US"/>
        </w:rPr>
        <w:t>.</w:t>
      </w:r>
      <w:r w:rsidRPr="00C535A0">
        <w:rPr>
          <w:rStyle w:val="FootnoteReference"/>
          <w:rFonts w:ascii="Arial" w:hAnsi="Arial" w:cs="Arial"/>
          <w:lang w:val="en-US"/>
        </w:rPr>
        <w:footnoteReference w:id="3"/>
      </w:r>
      <w:r w:rsidR="00BE67DF" w:rsidRPr="00C535A0">
        <w:rPr>
          <w:rFonts w:ascii="Arial" w:hAnsi="Arial" w:cs="Arial"/>
          <w:lang w:val="en-US"/>
        </w:rPr>
        <w:t xml:space="preserve"> </w:t>
      </w:r>
      <w:r w:rsidR="003C21AB" w:rsidRPr="00C535A0">
        <w:rPr>
          <w:rFonts w:ascii="Arial" w:hAnsi="Arial" w:cs="Arial"/>
          <w:lang w:val="en-US"/>
        </w:rPr>
        <w:t>Considering</w:t>
      </w:r>
      <w:r w:rsidR="00AB2E91" w:rsidRPr="00C535A0">
        <w:rPr>
          <w:rFonts w:ascii="Arial" w:hAnsi="Arial" w:cs="Arial"/>
          <w:lang w:val="en-US"/>
        </w:rPr>
        <w:t xml:space="preserve"> that long-term economic growth is a consequence of the countries’ ability to produce more using the same amount of work</w:t>
      </w:r>
      <w:r w:rsidR="003C21AB" w:rsidRPr="00C535A0">
        <w:rPr>
          <w:rFonts w:ascii="Arial" w:hAnsi="Arial" w:cs="Arial"/>
          <w:lang w:val="en-US"/>
        </w:rPr>
        <w:t>,</w:t>
      </w:r>
      <w:r w:rsidR="00AB2E91" w:rsidRPr="00C535A0">
        <w:rPr>
          <w:rStyle w:val="FootnoteReference"/>
          <w:rFonts w:ascii="Arial" w:hAnsi="Arial" w:cs="Arial"/>
          <w:lang w:val="en-US"/>
        </w:rPr>
        <w:footnoteReference w:id="4"/>
      </w:r>
      <w:r w:rsidR="00AB2E91" w:rsidRPr="00C535A0">
        <w:rPr>
          <w:rFonts w:ascii="Arial" w:hAnsi="Arial" w:cs="Arial"/>
          <w:lang w:val="en-US"/>
        </w:rPr>
        <w:t xml:space="preserve"> </w:t>
      </w:r>
      <w:r w:rsidR="003C21AB" w:rsidRPr="00C535A0">
        <w:rPr>
          <w:rFonts w:ascii="Arial" w:hAnsi="Arial" w:cs="Arial"/>
          <w:lang w:val="en-US"/>
        </w:rPr>
        <w:t>the</w:t>
      </w:r>
      <w:r w:rsidR="00AB2E91" w:rsidRPr="00C535A0">
        <w:rPr>
          <w:rFonts w:ascii="Arial" w:hAnsi="Arial" w:cs="Arial"/>
          <w:lang w:val="en-US"/>
        </w:rPr>
        <w:t xml:space="preserve"> weak productivity performance has </w:t>
      </w:r>
      <w:r w:rsidR="003C21AB" w:rsidRPr="00C535A0">
        <w:rPr>
          <w:rFonts w:ascii="Arial" w:hAnsi="Arial" w:cs="Arial"/>
          <w:lang w:val="en-US"/>
        </w:rPr>
        <w:t xml:space="preserve">limited the </w:t>
      </w:r>
      <w:r w:rsidR="00AB2E91" w:rsidRPr="00C535A0">
        <w:rPr>
          <w:rFonts w:ascii="Arial" w:hAnsi="Arial" w:cs="Arial"/>
          <w:lang w:val="en-US"/>
        </w:rPr>
        <w:t xml:space="preserve">country’s </w:t>
      </w:r>
      <w:r w:rsidR="00BE67DF" w:rsidRPr="00C535A0">
        <w:rPr>
          <w:rFonts w:ascii="Arial" w:hAnsi="Arial" w:cs="Arial"/>
          <w:lang w:val="en-US"/>
        </w:rPr>
        <w:t xml:space="preserve">growth </w:t>
      </w:r>
      <w:r w:rsidR="00AB2E91" w:rsidRPr="00C535A0">
        <w:rPr>
          <w:rFonts w:ascii="Arial" w:hAnsi="Arial" w:cs="Arial"/>
          <w:lang w:val="en-US"/>
        </w:rPr>
        <w:t xml:space="preserve">during the last decades. Even during Brazil’s last economic growth period, between the early 2000s </w:t>
      </w:r>
      <w:r w:rsidR="003C21AB" w:rsidRPr="00C535A0">
        <w:rPr>
          <w:rFonts w:ascii="Arial" w:hAnsi="Arial" w:cs="Arial"/>
          <w:lang w:val="en-US"/>
        </w:rPr>
        <w:t xml:space="preserve">and </w:t>
      </w:r>
      <w:r w:rsidR="00AB2E91" w:rsidRPr="00C535A0">
        <w:rPr>
          <w:rFonts w:ascii="Arial" w:hAnsi="Arial" w:cs="Arial"/>
          <w:lang w:val="en-US"/>
        </w:rPr>
        <w:t xml:space="preserve">the 2008 crisis, productivity did not grow significantly. Most of the economic growth during this period was due not to productivity gains, but to the positive </w:t>
      </w:r>
      <w:r w:rsidR="003C21AB" w:rsidRPr="00C535A0">
        <w:rPr>
          <w:rFonts w:ascii="Arial" w:hAnsi="Arial" w:cs="Arial"/>
          <w:lang w:val="en-US"/>
        </w:rPr>
        <w:t>performance of the labor market</w:t>
      </w:r>
      <w:r w:rsidR="00AB2E91" w:rsidRPr="00C535A0">
        <w:rPr>
          <w:rFonts w:ascii="Arial" w:hAnsi="Arial" w:cs="Arial"/>
          <w:lang w:val="en-US"/>
        </w:rPr>
        <w:t xml:space="preserve">, expressed as better employment and labor </w:t>
      </w:r>
      <w:r w:rsidR="003C21AB" w:rsidRPr="00C535A0">
        <w:rPr>
          <w:rFonts w:ascii="Arial" w:hAnsi="Arial" w:cs="Arial"/>
          <w:lang w:val="en-US"/>
        </w:rPr>
        <w:t>participation</w:t>
      </w:r>
      <w:r w:rsidR="00AB2E91" w:rsidRPr="00C535A0">
        <w:rPr>
          <w:rFonts w:ascii="Arial" w:hAnsi="Arial" w:cs="Arial"/>
          <w:lang w:val="en-US"/>
        </w:rPr>
        <w:t xml:space="preserve"> rates. </w:t>
      </w:r>
    </w:p>
    <w:p w14:paraId="35707E1F" w14:textId="6BEF9459" w:rsidR="00F874B4" w:rsidRPr="00C535A0" w:rsidRDefault="00AB2E91" w:rsidP="00C535A0">
      <w:pPr>
        <w:spacing w:line="240" w:lineRule="auto"/>
        <w:jc w:val="both"/>
        <w:rPr>
          <w:rFonts w:ascii="Arial" w:hAnsi="Arial" w:cs="Arial"/>
          <w:lang w:val="en-US"/>
        </w:rPr>
      </w:pPr>
      <w:r w:rsidRPr="00C535A0">
        <w:rPr>
          <w:rFonts w:ascii="Arial" w:hAnsi="Arial" w:cs="Arial"/>
          <w:lang w:val="en-US"/>
        </w:rPr>
        <w:t xml:space="preserve">The growth in labor productivity is largely derived from the increase in capital stock in the economy. The low level </w:t>
      </w:r>
      <w:r w:rsidR="00BE67DF" w:rsidRPr="00C535A0">
        <w:rPr>
          <w:rFonts w:ascii="Arial" w:hAnsi="Arial" w:cs="Arial"/>
          <w:lang w:val="en-US"/>
        </w:rPr>
        <w:t xml:space="preserve">of </w:t>
      </w:r>
      <w:r w:rsidRPr="00C535A0">
        <w:rPr>
          <w:rFonts w:ascii="Arial" w:hAnsi="Arial" w:cs="Arial"/>
          <w:lang w:val="en-US"/>
        </w:rPr>
        <w:t xml:space="preserve">investment and the </w:t>
      </w:r>
      <w:r w:rsidR="00BE67DF" w:rsidRPr="00C535A0">
        <w:rPr>
          <w:rFonts w:ascii="Arial" w:hAnsi="Arial" w:cs="Arial"/>
          <w:lang w:val="en-US"/>
        </w:rPr>
        <w:t xml:space="preserve">reduced </w:t>
      </w:r>
      <w:r w:rsidRPr="00C535A0">
        <w:rPr>
          <w:rFonts w:ascii="Arial" w:hAnsi="Arial" w:cs="Arial"/>
          <w:lang w:val="en-US"/>
        </w:rPr>
        <w:t xml:space="preserve">capital/labor ratio existing in </w:t>
      </w:r>
      <w:r w:rsidR="008E197E" w:rsidRPr="00C535A0">
        <w:rPr>
          <w:rFonts w:ascii="Arial" w:hAnsi="Arial" w:cs="Arial"/>
          <w:lang w:val="en-US"/>
        </w:rPr>
        <w:t xml:space="preserve">Brazil </w:t>
      </w:r>
      <w:r w:rsidRPr="00C535A0">
        <w:rPr>
          <w:rFonts w:ascii="Arial" w:hAnsi="Arial" w:cs="Arial"/>
          <w:lang w:val="en-US"/>
        </w:rPr>
        <w:t xml:space="preserve">are, therefore, key variables in explaining </w:t>
      </w:r>
      <w:r w:rsidR="008E197E" w:rsidRPr="00C535A0">
        <w:rPr>
          <w:rFonts w:ascii="Arial" w:hAnsi="Arial" w:cs="Arial"/>
          <w:lang w:val="en-US"/>
        </w:rPr>
        <w:t xml:space="preserve">its low levels of </w:t>
      </w:r>
      <w:r w:rsidRPr="00C535A0">
        <w:rPr>
          <w:rFonts w:ascii="Arial" w:hAnsi="Arial" w:cs="Arial"/>
          <w:lang w:val="en-US"/>
        </w:rPr>
        <w:t xml:space="preserve">productivity and its insufficient growth in recent years. But, </w:t>
      </w:r>
      <w:r w:rsidR="008E197E" w:rsidRPr="00C535A0">
        <w:rPr>
          <w:rFonts w:ascii="Arial" w:hAnsi="Arial" w:cs="Arial"/>
          <w:lang w:val="en-US"/>
        </w:rPr>
        <w:t xml:space="preserve">these variables </w:t>
      </w:r>
      <w:r w:rsidRPr="00C535A0">
        <w:rPr>
          <w:rFonts w:ascii="Arial" w:hAnsi="Arial" w:cs="Arial"/>
          <w:lang w:val="en-US"/>
        </w:rPr>
        <w:t xml:space="preserve">are not the only ones. </w:t>
      </w:r>
      <w:r w:rsidR="00554C42" w:rsidRPr="00C535A0">
        <w:rPr>
          <w:rFonts w:ascii="Arial" w:hAnsi="Arial" w:cs="Arial"/>
          <w:lang w:val="en-US"/>
        </w:rPr>
        <w:t>Aspects such as human capital, innovation, and business climate are strongly correlated with productivity levels. In Brazil, infrastructure d</w:t>
      </w:r>
      <w:r w:rsidRPr="00C535A0">
        <w:rPr>
          <w:rFonts w:ascii="Arial" w:hAnsi="Arial" w:cs="Arial"/>
          <w:lang w:val="en-US"/>
        </w:rPr>
        <w:t xml:space="preserve">eficiencies and the persistence of productive disparities between regions </w:t>
      </w:r>
      <w:r w:rsidR="00B426A7" w:rsidRPr="00C535A0">
        <w:rPr>
          <w:rFonts w:ascii="Arial" w:hAnsi="Arial" w:cs="Arial"/>
          <w:lang w:val="en-US"/>
        </w:rPr>
        <w:t xml:space="preserve">or between </w:t>
      </w:r>
      <w:r w:rsidRPr="00C535A0">
        <w:rPr>
          <w:rFonts w:ascii="Arial" w:hAnsi="Arial" w:cs="Arial"/>
          <w:lang w:val="en-US"/>
        </w:rPr>
        <w:t>groups of companies entail</w:t>
      </w:r>
      <w:r w:rsidR="00554C42" w:rsidRPr="00C535A0">
        <w:rPr>
          <w:rFonts w:ascii="Arial" w:hAnsi="Arial" w:cs="Arial"/>
          <w:lang w:val="en-US"/>
        </w:rPr>
        <w:t xml:space="preserve"> an</w:t>
      </w:r>
      <w:r w:rsidRPr="00C535A0">
        <w:rPr>
          <w:rFonts w:ascii="Arial" w:hAnsi="Arial" w:cs="Arial"/>
          <w:lang w:val="en-US"/>
        </w:rPr>
        <w:t xml:space="preserve"> element of complexity in this scenario.</w:t>
      </w:r>
    </w:p>
    <w:p w14:paraId="27C21F75" w14:textId="07FD39FC" w:rsidR="00AB2E91" w:rsidRPr="00C535A0" w:rsidRDefault="00AB2E91" w:rsidP="00C535A0">
      <w:pPr>
        <w:spacing w:line="240" w:lineRule="auto"/>
        <w:jc w:val="both"/>
        <w:rPr>
          <w:rFonts w:ascii="Arial" w:hAnsi="Arial" w:cs="Arial"/>
          <w:lang w:val="en-US"/>
        </w:rPr>
      </w:pPr>
      <w:r w:rsidRPr="00C535A0">
        <w:rPr>
          <w:rFonts w:ascii="Arial" w:hAnsi="Arial" w:cs="Arial"/>
          <w:lang w:val="en-US"/>
        </w:rPr>
        <w:t xml:space="preserve">Therefore, creating conditions to restore economic growth requires public policies explicitly aimed at increasing the country’s productivity. Among the policy instruments available, credit from the </w:t>
      </w:r>
      <w:r w:rsidR="008E197E" w:rsidRPr="00C535A0">
        <w:rPr>
          <w:rFonts w:ascii="Arial" w:hAnsi="Arial" w:cs="Arial"/>
          <w:lang w:val="en-US"/>
        </w:rPr>
        <w:t>National Economic and Social Development Bank (</w:t>
      </w:r>
      <w:r w:rsidRPr="00C535A0">
        <w:rPr>
          <w:rFonts w:ascii="Arial" w:hAnsi="Arial" w:cs="Arial"/>
          <w:lang w:val="en-US"/>
        </w:rPr>
        <w:t>BNDES</w:t>
      </w:r>
      <w:r w:rsidR="008E197E" w:rsidRPr="00C535A0">
        <w:rPr>
          <w:rFonts w:ascii="Arial" w:hAnsi="Arial" w:cs="Arial"/>
          <w:lang w:val="en-US"/>
        </w:rPr>
        <w:t>)</w:t>
      </w:r>
      <w:r w:rsidRPr="00C535A0">
        <w:rPr>
          <w:rFonts w:ascii="Arial" w:hAnsi="Arial" w:cs="Arial"/>
          <w:lang w:val="en-US"/>
        </w:rPr>
        <w:t xml:space="preserve"> may be the most powerful, both in terms of the volume of resources available and in terms </w:t>
      </w:r>
      <w:r w:rsidR="00D85A86" w:rsidRPr="00C535A0">
        <w:rPr>
          <w:rFonts w:ascii="Arial" w:hAnsi="Arial" w:cs="Arial"/>
          <w:lang w:val="en-US"/>
        </w:rPr>
        <w:t>of</w:t>
      </w:r>
      <w:r w:rsidRPr="00C535A0">
        <w:rPr>
          <w:rFonts w:ascii="Arial" w:hAnsi="Arial" w:cs="Arial"/>
          <w:lang w:val="en-US"/>
        </w:rPr>
        <w:t xml:space="preserve"> the cost</w:t>
      </w:r>
      <w:r w:rsidR="00994640" w:rsidRPr="00C535A0">
        <w:rPr>
          <w:rFonts w:ascii="Arial" w:hAnsi="Arial" w:cs="Arial"/>
          <w:lang w:val="en-US"/>
        </w:rPr>
        <w:t xml:space="preserve">s </w:t>
      </w:r>
      <w:r w:rsidR="00D85A86" w:rsidRPr="00C535A0">
        <w:rPr>
          <w:rFonts w:ascii="Arial" w:hAnsi="Arial" w:cs="Arial"/>
          <w:lang w:val="en-US"/>
        </w:rPr>
        <w:t>and</w:t>
      </w:r>
      <w:r w:rsidR="00994640" w:rsidRPr="00C535A0">
        <w:rPr>
          <w:rFonts w:ascii="Arial" w:hAnsi="Arial" w:cs="Arial"/>
          <w:lang w:val="en-US"/>
        </w:rPr>
        <w:t xml:space="preserve"> terms</w:t>
      </w:r>
      <w:r w:rsidRPr="00C535A0">
        <w:rPr>
          <w:rFonts w:ascii="Arial" w:hAnsi="Arial" w:cs="Arial"/>
          <w:lang w:val="en-US"/>
        </w:rPr>
        <w:t xml:space="preserve"> of its lines of credit. Thus, it is crucial that this instrument be increasingly geared toward </w:t>
      </w:r>
      <w:r w:rsidR="00994640" w:rsidRPr="00C535A0">
        <w:rPr>
          <w:rFonts w:ascii="Arial" w:hAnsi="Arial" w:cs="Arial"/>
          <w:lang w:val="en-US"/>
        </w:rPr>
        <w:t xml:space="preserve">investments that allow </w:t>
      </w:r>
      <w:r w:rsidRPr="00C535A0">
        <w:rPr>
          <w:rFonts w:ascii="Arial" w:hAnsi="Arial" w:cs="Arial"/>
          <w:lang w:val="en-US"/>
        </w:rPr>
        <w:t xml:space="preserve">the expansion of economic productivity. </w:t>
      </w:r>
    </w:p>
    <w:p w14:paraId="5BE8D507" w14:textId="7ADFD614" w:rsidR="00AB2E91" w:rsidRPr="00C535A0" w:rsidRDefault="00AB2E91" w:rsidP="00C535A0">
      <w:pPr>
        <w:pStyle w:val="p-01"/>
        <w:spacing w:line="240" w:lineRule="auto"/>
        <w:rPr>
          <w:rFonts w:ascii="Arial" w:hAnsi="Arial" w:cs="Arial"/>
          <w:lang w:val="en-US"/>
        </w:rPr>
      </w:pPr>
      <w:r w:rsidRPr="00C535A0">
        <w:rPr>
          <w:rFonts w:ascii="Arial" w:hAnsi="Arial" w:cs="Arial"/>
          <w:lang w:val="en-US"/>
        </w:rPr>
        <w:t>Therefore, the</w:t>
      </w:r>
      <w:r w:rsidR="004824B4" w:rsidRPr="00C535A0">
        <w:rPr>
          <w:rFonts w:ascii="Arial" w:hAnsi="Arial" w:cs="Arial"/>
          <w:lang w:val="en-US"/>
        </w:rPr>
        <w:t xml:space="preserve"> overall objective of thi</w:t>
      </w:r>
      <w:r w:rsidR="00E713A3" w:rsidRPr="00C535A0">
        <w:rPr>
          <w:rFonts w:ascii="Arial" w:hAnsi="Arial" w:cs="Arial"/>
          <w:lang w:val="en-US"/>
        </w:rPr>
        <w:t>s</w:t>
      </w:r>
      <w:r w:rsidR="004824B4" w:rsidRPr="00C535A0">
        <w:rPr>
          <w:rFonts w:ascii="Arial" w:hAnsi="Arial" w:cs="Arial"/>
          <w:lang w:val="en-US"/>
        </w:rPr>
        <w:t xml:space="preserve"> study is to contribute to the </w:t>
      </w:r>
      <w:r w:rsidR="00EB0FCE" w:rsidRPr="00C535A0">
        <w:rPr>
          <w:rFonts w:ascii="Arial" w:hAnsi="Arial" w:cs="Arial"/>
          <w:lang w:val="en-US"/>
        </w:rPr>
        <w:t xml:space="preserve">development </w:t>
      </w:r>
      <w:r w:rsidR="00E713A3" w:rsidRPr="00C535A0">
        <w:rPr>
          <w:rFonts w:ascii="Arial" w:hAnsi="Arial" w:cs="Arial"/>
          <w:lang w:val="en-US"/>
        </w:rPr>
        <w:t xml:space="preserve">of documentation to support </w:t>
      </w:r>
      <w:r w:rsidRPr="00C535A0">
        <w:rPr>
          <w:rFonts w:ascii="Arial" w:hAnsi="Arial" w:cs="Arial"/>
          <w:lang w:val="en-US"/>
        </w:rPr>
        <w:t>a</w:t>
      </w:r>
      <w:r w:rsidR="00EB0FCE" w:rsidRPr="00C535A0">
        <w:rPr>
          <w:rFonts w:ascii="Arial" w:hAnsi="Arial" w:cs="Arial"/>
          <w:lang w:val="en-US"/>
        </w:rPr>
        <w:t xml:space="preserve"> lending operation from the </w:t>
      </w:r>
      <w:r w:rsidR="00CB3338" w:rsidRPr="00C535A0">
        <w:rPr>
          <w:rFonts w:ascii="Arial" w:hAnsi="Arial" w:cs="Arial"/>
          <w:lang w:val="en-US"/>
        </w:rPr>
        <w:t>Inter-American Development Bank (</w:t>
      </w:r>
      <w:r w:rsidR="00EB0FCE" w:rsidRPr="00C535A0">
        <w:rPr>
          <w:rFonts w:ascii="Arial" w:hAnsi="Arial" w:cs="Arial"/>
          <w:lang w:val="en-US"/>
        </w:rPr>
        <w:t>IDB</w:t>
      </w:r>
      <w:r w:rsidR="00CB3338" w:rsidRPr="00C535A0">
        <w:rPr>
          <w:rFonts w:ascii="Arial" w:hAnsi="Arial" w:cs="Arial"/>
          <w:lang w:val="en-US"/>
        </w:rPr>
        <w:t>)</w:t>
      </w:r>
      <w:r w:rsidR="00EB0FCE" w:rsidRPr="00C535A0">
        <w:rPr>
          <w:rFonts w:ascii="Arial" w:hAnsi="Arial" w:cs="Arial"/>
          <w:lang w:val="en-US"/>
        </w:rPr>
        <w:t xml:space="preserve"> for BNDES (operation BR-L1442), whose objective is </w:t>
      </w:r>
      <w:r w:rsidR="00D81480" w:rsidRPr="00C535A0">
        <w:rPr>
          <w:rFonts w:ascii="Arial" w:hAnsi="Arial" w:cs="Arial"/>
          <w:lang w:val="en-US"/>
        </w:rPr>
        <w:t>to provide financing</w:t>
      </w:r>
      <w:r w:rsidR="00D85A86" w:rsidRPr="00C535A0">
        <w:rPr>
          <w:rFonts w:ascii="Arial" w:hAnsi="Arial" w:cs="Arial"/>
          <w:lang w:val="en-US"/>
        </w:rPr>
        <w:t xml:space="preserve"> for specific segments, in order to </w:t>
      </w:r>
      <w:r w:rsidR="00D81480" w:rsidRPr="00C535A0">
        <w:rPr>
          <w:rFonts w:ascii="Arial" w:hAnsi="Arial" w:cs="Arial"/>
          <w:lang w:val="en-US"/>
        </w:rPr>
        <w:t xml:space="preserve">stimulate the </w:t>
      </w:r>
      <w:r w:rsidR="00EB0FCE" w:rsidRPr="00C535A0">
        <w:rPr>
          <w:rFonts w:ascii="Arial" w:hAnsi="Arial" w:cs="Arial"/>
          <w:lang w:val="en-US"/>
        </w:rPr>
        <w:t xml:space="preserve">Brazilian economy’s productivity growth. </w:t>
      </w:r>
      <w:r w:rsidRPr="00C535A0">
        <w:rPr>
          <w:rFonts w:ascii="Arial" w:hAnsi="Arial" w:cs="Arial"/>
          <w:lang w:val="en-US"/>
        </w:rPr>
        <w:t xml:space="preserve">To do this, </w:t>
      </w:r>
      <w:r w:rsidR="00EB0FCE" w:rsidRPr="00C535A0">
        <w:rPr>
          <w:rFonts w:ascii="Arial" w:hAnsi="Arial" w:cs="Arial"/>
          <w:lang w:val="en-US"/>
        </w:rPr>
        <w:t xml:space="preserve">we have collected </w:t>
      </w:r>
      <w:r w:rsidR="00D50A4C" w:rsidRPr="00C535A0">
        <w:rPr>
          <w:rFonts w:ascii="Arial" w:hAnsi="Arial" w:cs="Arial"/>
          <w:lang w:val="en-US"/>
        </w:rPr>
        <w:t>information</w:t>
      </w:r>
      <w:r w:rsidR="00EB0FCE" w:rsidRPr="00C535A0">
        <w:rPr>
          <w:rFonts w:ascii="Arial" w:hAnsi="Arial" w:cs="Arial"/>
          <w:lang w:val="en-US"/>
        </w:rPr>
        <w:t xml:space="preserve"> </w:t>
      </w:r>
      <w:r w:rsidR="00D85A86" w:rsidRPr="00C535A0">
        <w:rPr>
          <w:rFonts w:ascii="Arial" w:hAnsi="Arial" w:cs="Arial"/>
          <w:lang w:val="en-US"/>
        </w:rPr>
        <w:t xml:space="preserve">and analyses </w:t>
      </w:r>
      <w:r w:rsidR="00EB0FCE" w:rsidRPr="00C535A0">
        <w:rPr>
          <w:rFonts w:ascii="Arial" w:hAnsi="Arial" w:cs="Arial"/>
          <w:lang w:val="en-US"/>
        </w:rPr>
        <w:t xml:space="preserve">about </w:t>
      </w:r>
      <w:r w:rsidR="00D85A86" w:rsidRPr="00C535A0">
        <w:rPr>
          <w:rFonts w:ascii="Arial" w:hAnsi="Arial" w:cs="Arial"/>
          <w:lang w:val="en-US"/>
        </w:rPr>
        <w:t>the relationship between productivity growth and the increase of investments in segments of interest, namely</w:t>
      </w:r>
      <w:r w:rsidR="00EB0FCE" w:rsidRPr="00C535A0">
        <w:rPr>
          <w:rFonts w:ascii="Arial" w:hAnsi="Arial" w:cs="Arial"/>
          <w:lang w:val="en-US"/>
        </w:rPr>
        <w:t xml:space="preserve">: </w:t>
      </w:r>
      <w:r w:rsidR="00EB0FCE" w:rsidRPr="00C535A0">
        <w:rPr>
          <w:rFonts w:ascii="Arial" w:hAnsi="Arial" w:cs="Arial"/>
          <w:i/>
          <w:lang w:val="en-US"/>
        </w:rPr>
        <w:t>i)</w:t>
      </w:r>
      <w:r w:rsidR="00EB0FCE" w:rsidRPr="00C535A0">
        <w:rPr>
          <w:rFonts w:ascii="Arial" w:hAnsi="Arial" w:cs="Arial"/>
          <w:lang w:val="en-US"/>
        </w:rPr>
        <w:t xml:space="preserve"> Micro</w:t>
      </w:r>
      <w:r w:rsidR="00CB3338" w:rsidRPr="00C535A0">
        <w:rPr>
          <w:rFonts w:ascii="Arial" w:hAnsi="Arial" w:cs="Arial"/>
          <w:lang w:val="en-US"/>
        </w:rPr>
        <w:t>,</w:t>
      </w:r>
      <w:r w:rsidR="00EB0FCE" w:rsidRPr="00C535A0">
        <w:rPr>
          <w:rFonts w:ascii="Arial" w:hAnsi="Arial" w:cs="Arial"/>
          <w:lang w:val="en-US"/>
        </w:rPr>
        <w:t xml:space="preserve"> small </w:t>
      </w:r>
      <w:r w:rsidR="00CB3338" w:rsidRPr="00C535A0">
        <w:rPr>
          <w:rFonts w:ascii="Arial" w:hAnsi="Arial" w:cs="Arial"/>
          <w:lang w:val="en-US"/>
        </w:rPr>
        <w:t xml:space="preserve">and medium </w:t>
      </w:r>
      <w:r w:rsidR="00EB0FCE" w:rsidRPr="00C535A0">
        <w:rPr>
          <w:rFonts w:ascii="Arial" w:hAnsi="Arial" w:cs="Arial"/>
          <w:lang w:val="en-US"/>
        </w:rPr>
        <w:t>enterprises (MS</w:t>
      </w:r>
      <w:r w:rsidR="00CB3338" w:rsidRPr="00C535A0">
        <w:rPr>
          <w:rFonts w:ascii="Arial" w:hAnsi="Arial" w:cs="Arial"/>
          <w:lang w:val="en-US"/>
        </w:rPr>
        <w:t>M</w:t>
      </w:r>
      <w:r w:rsidR="00EB0FCE" w:rsidRPr="00C535A0">
        <w:rPr>
          <w:rFonts w:ascii="Arial" w:hAnsi="Arial" w:cs="Arial"/>
          <w:lang w:val="en-US"/>
        </w:rPr>
        <w:t xml:space="preserve">Es); </w:t>
      </w:r>
      <w:r w:rsidR="00EB0FCE" w:rsidRPr="00C535A0">
        <w:rPr>
          <w:rFonts w:ascii="Arial" w:hAnsi="Arial" w:cs="Arial"/>
          <w:i/>
          <w:lang w:val="en-US"/>
        </w:rPr>
        <w:t>ii)</w:t>
      </w:r>
      <w:r w:rsidR="00EB0FCE" w:rsidRPr="00C535A0">
        <w:rPr>
          <w:rFonts w:ascii="Arial" w:hAnsi="Arial" w:cs="Arial"/>
          <w:lang w:val="en-US"/>
        </w:rPr>
        <w:t xml:space="preserve"> Infrastructure; and </w:t>
      </w:r>
      <w:r w:rsidR="00EB0FCE" w:rsidRPr="00C535A0">
        <w:rPr>
          <w:rFonts w:ascii="Arial" w:hAnsi="Arial" w:cs="Arial"/>
          <w:i/>
          <w:lang w:val="en-US"/>
        </w:rPr>
        <w:t>iii)</w:t>
      </w:r>
      <w:r w:rsidR="00EB0FCE" w:rsidRPr="00C535A0">
        <w:rPr>
          <w:rFonts w:ascii="Arial" w:hAnsi="Arial" w:cs="Arial"/>
          <w:lang w:val="en-US"/>
        </w:rPr>
        <w:t xml:space="preserve"> Renewable energy. </w:t>
      </w:r>
      <w:r w:rsidRPr="00C535A0">
        <w:rPr>
          <w:rFonts w:ascii="Arial" w:hAnsi="Arial" w:cs="Arial"/>
          <w:lang w:val="en-US"/>
        </w:rPr>
        <w:t xml:space="preserve">The emphasis of the study </w:t>
      </w:r>
      <w:r w:rsidR="00554C42" w:rsidRPr="00C535A0">
        <w:rPr>
          <w:rFonts w:ascii="Arial" w:hAnsi="Arial" w:cs="Arial"/>
          <w:lang w:val="en-US"/>
        </w:rPr>
        <w:t>lies in</w:t>
      </w:r>
      <w:r w:rsidRPr="00C535A0">
        <w:rPr>
          <w:rFonts w:ascii="Arial" w:hAnsi="Arial" w:cs="Arial"/>
          <w:lang w:val="en-US"/>
        </w:rPr>
        <w:t xml:space="preserve"> </w:t>
      </w:r>
      <w:r w:rsidR="00BE67DF" w:rsidRPr="00C535A0">
        <w:rPr>
          <w:rFonts w:ascii="Arial" w:hAnsi="Arial" w:cs="Arial"/>
          <w:lang w:val="en-US"/>
        </w:rPr>
        <w:t xml:space="preserve">the </w:t>
      </w:r>
      <w:r w:rsidRPr="00C535A0">
        <w:rPr>
          <w:rFonts w:ascii="Arial" w:hAnsi="Arial" w:cs="Arial"/>
          <w:lang w:val="en-US"/>
        </w:rPr>
        <w:t xml:space="preserve">potential impacts </w:t>
      </w:r>
      <w:r w:rsidR="00D85A86" w:rsidRPr="00C535A0">
        <w:rPr>
          <w:rFonts w:ascii="Arial" w:hAnsi="Arial" w:cs="Arial"/>
          <w:lang w:val="en-US"/>
        </w:rPr>
        <w:t>of these activities and economic segments</w:t>
      </w:r>
      <w:r w:rsidRPr="00C535A0">
        <w:rPr>
          <w:rFonts w:ascii="Arial" w:hAnsi="Arial" w:cs="Arial"/>
          <w:lang w:val="en-US"/>
        </w:rPr>
        <w:t xml:space="preserve"> </w:t>
      </w:r>
      <w:r w:rsidR="00BE67DF" w:rsidRPr="00C535A0">
        <w:rPr>
          <w:rFonts w:ascii="Arial" w:hAnsi="Arial" w:cs="Arial"/>
          <w:lang w:val="en-US"/>
        </w:rPr>
        <w:t>o</w:t>
      </w:r>
      <w:r w:rsidRPr="00C535A0">
        <w:rPr>
          <w:rFonts w:ascii="Arial" w:hAnsi="Arial" w:cs="Arial"/>
          <w:lang w:val="en-US"/>
        </w:rPr>
        <w:t>n the country’s aggregate productivity. In addition, it seeks to develop indicators that can be used by the IDB to monitor and evaluate this operation</w:t>
      </w:r>
      <w:r w:rsidR="00CB3338" w:rsidRPr="00C535A0">
        <w:rPr>
          <w:rFonts w:ascii="Arial" w:hAnsi="Arial" w:cs="Arial"/>
          <w:lang w:val="en-US"/>
        </w:rPr>
        <w:t>.</w:t>
      </w:r>
      <w:r w:rsidRPr="00C535A0">
        <w:rPr>
          <w:rStyle w:val="FootnoteReference"/>
          <w:rFonts w:ascii="Arial" w:hAnsi="Arial" w:cs="Arial"/>
          <w:lang w:val="en-US"/>
        </w:rPr>
        <w:footnoteReference w:id="5"/>
      </w:r>
    </w:p>
    <w:p w14:paraId="0B546281" w14:textId="77777777" w:rsidR="004824B4" w:rsidRPr="00C535A0" w:rsidRDefault="004824B4" w:rsidP="00C535A0">
      <w:pPr>
        <w:pStyle w:val="Heading1"/>
        <w:spacing w:line="240" w:lineRule="auto"/>
        <w:rPr>
          <w:rFonts w:ascii="Arial" w:hAnsi="Arial" w:cs="Arial"/>
          <w:lang w:val="en-US"/>
        </w:rPr>
      </w:pPr>
      <w:r w:rsidRPr="00C535A0">
        <w:rPr>
          <w:rFonts w:ascii="Arial" w:hAnsi="Arial" w:cs="Arial"/>
          <w:lang w:val="en-US"/>
        </w:rPr>
        <w:lastRenderedPageBreak/>
        <w:t xml:space="preserve">Productivity in Brazil: Developments and Bottlenecks </w:t>
      </w:r>
    </w:p>
    <w:p w14:paraId="1CF850B6" w14:textId="4ADA3FFD" w:rsidR="00164777" w:rsidRPr="00C535A0" w:rsidRDefault="00164777" w:rsidP="00C535A0">
      <w:pPr>
        <w:pStyle w:val="p-01"/>
        <w:spacing w:line="240" w:lineRule="auto"/>
        <w:rPr>
          <w:rFonts w:ascii="Arial" w:hAnsi="Arial" w:cs="Arial"/>
          <w:lang w:val="en-US"/>
        </w:rPr>
      </w:pPr>
      <w:r w:rsidRPr="00C535A0">
        <w:rPr>
          <w:rFonts w:ascii="Arial" w:hAnsi="Arial" w:cs="Arial"/>
          <w:lang w:val="en-US"/>
        </w:rPr>
        <w:t>One of the main results shown in the book “Productivity in Brazil: performance and determinants” (“Produtividade no Brasil: desempenho e determinantes” by Negri; Cavalcante, 2014</w:t>
      </w:r>
      <w:r w:rsidR="00BE67DF" w:rsidRPr="00C535A0">
        <w:rPr>
          <w:rFonts w:ascii="Arial" w:hAnsi="Arial" w:cs="Arial"/>
          <w:lang w:val="en-US"/>
        </w:rPr>
        <w:t>, 2015)</w:t>
      </w:r>
      <w:r w:rsidRPr="00C535A0">
        <w:rPr>
          <w:rFonts w:ascii="Arial" w:hAnsi="Arial" w:cs="Arial"/>
          <w:lang w:val="en-US"/>
        </w:rPr>
        <w:t xml:space="preserve"> is that, regardless of the measurement method of the indicator </w:t>
      </w:r>
      <w:r w:rsidR="00554C42" w:rsidRPr="00C535A0">
        <w:rPr>
          <w:rFonts w:ascii="Arial" w:hAnsi="Arial" w:cs="Arial"/>
          <w:lang w:val="en-US"/>
        </w:rPr>
        <w:t>, the</w:t>
      </w:r>
      <w:r w:rsidRPr="00C535A0">
        <w:rPr>
          <w:rFonts w:ascii="Arial" w:hAnsi="Arial" w:cs="Arial"/>
          <w:lang w:val="en-US"/>
        </w:rPr>
        <w:t xml:space="preserve"> aggregation level used, or even the reference country for </w:t>
      </w:r>
      <w:r w:rsidR="00E50355" w:rsidRPr="00C535A0">
        <w:rPr>
          <w:rFonts w:ascii="Arial" w:hAnsi="Arial" w:cs="Arial"/>
          <w:lang w:val="en-US"/>
        </w:rPr>
        <w:t>comparison</w:t>
      </w:r>
      <w:r w:rsidRPr="00C535A0">
        <w:rPr>
          <w:rFonts w:ascii="Arial" w:hAnsi="Arial" w:cs="Arial"/>
          <w:lang w:val="en-US"/>
        </w:rPr>
        <w:t xml:space="preserve">, the country’s </w:t>
      </w:r>
      <w:r w:rsidR="00BE67DF" w:rsidRPr="00C535A0">
        <w:rPr>
          <w:rFonts w:ascii="Arial" w:hAnsi="Arial" w:cs="Arial"/>
          <w:lang w:val="en-US"/>
        </w:rPr>
        <w:t xml:space="preserve"> productivity </w:t>
      </w:r>
      <w:r w:rsidRPr="00C535A0">
        <w:rPr>
          <w:rFonts w:ascii="Arial" w:hAnsi="Arial" w:cs="Arial"/>
          <w:lang w:val="en-US"/>
        </w:rPr>
        <w:t xml:space="preserve"> has had a very weak performance in recent decades. In fact, the general sign of the </w:t>
      </w:r>
      <w:r w:rsidR="00BE67DF" w:rsidRPr="00C535A0">
        <w:rPr>
          <w:rFonts w:ascii="Arial" w:hAnsi="Arial" w:cs="Arial"/>
          <w:lang w:val="en-US"/>
        </w:rPr>
        <w:t>total productivity factors (TPF)</w:t>
      </w:r>
      <w:r w:rsidRPr="00C535A0">
        <w:rPr>
          <w:rFonts w:ascii="Arial" w:hAnsi="Arial" w:cs="Arial"/>
          <w:lang w:val="en-US"/>
        </w:rPr>
        <w:t xml:space="preserve"> or </w:t>
      </w:r>
      <w:r w:rsidR="00BE67DF" w:rsidRPr="00C535A0">
        <w:rPr>
          <w:rFonts w:ascii="Arial" w:hAnsi="Arial" w:cs="Arial"/>
          <w:lang w:val="en-US"/>
        </w:rPr>
        <w:t xml:space="preserve">labor </w:t>
      </w:r>
      <w:r w:rsidRPr="00C535A0">
        <w:rPr>
          <w:rFonts w:ascii="Arial" w:hAnsi="Arial" w:cs="Arial"/>
          <w:lang w:val="en-US"/>
        </w:rPr>
        <w:t>productivity indicators point in this direction.</w:t>
      </w:r>
    </w:p>
    <w:p w14:paraId="7D3D2829" w14:textId="7824B440" w:rsidR="00164777" w:rsidRPr="00C535A0" w:rsidRDefault="00164777" w:rsidP="00C535A0">
      <w:pPr>
        <w:pStyle w:val="p-01"/>
        <w:spacing w:line="240" w:lineRule="auto"/>
        <w:rPr>
          <w:rFonts w:ascii="Arial" w:hAnsi="Arial" w:cs="Arial"/>
          <w:lang w:val="en-US"/>
        </w:rPr>
      </w:pPr>
      <w:r w:rsidRPr="00C535A0">
        <w:rPr>
          <w:rFonts w:ascii="Arial" w:hAnsi="Arial" w:cs="Arial"/>
          <w:lang w:val="en-US"/>
        </w:rPr>
        <w:t xml:space="preserve">Ellery Jr (2014) calculates the TFP for the period between 1970 and 2011 based on different combinations of deflators, labor quantity and human capital measurements, and adjustments for use of installed capacity, concludes that, for any combination thereof, productivity increased slightly during this period in Brazil. According to the author, “the TFP trajectory </w:t>
      </w:r>
      <w:r w:rsidR="00BE67DF" w:rsidRPr="00C535A0">
        <w:rPr>
          <w:rFonts w:ascii="Arial" w:hAnsi="Arial" w:cs="Arial"/>
          <w:lang w:val="en-US"/>
        </w:rPr>
        <w:t>[</w:t>
      </w:r>
      <w:r w:rsidRPr="00C535A0">
        <w:rPr>
          <w:rFonts w:ascii="Arial" w:hAnsi="Arial" w:cs="Arial"/>
          <w:lang w:val="en-US"/>
        </w:rPr>
        <w:t>…</w:t>
      </w:r>
      <w:r w:rsidR="00BE67DF" w:rsidRPr="00C535A0">
        <w:rPr>
          <w:rFonts w:ascii="Arial" w:hAnsi="Arial" w:cs="Arial"/>
          <w:lang w:val="en-US"/>
        </w:rPr>
        <w:t>]</w:t>
      </w:r>
      <w:r w:rsidR="00CE78AE" w:rsidRPr="00C535A0">
        <w:rPr>
          <w:rFonts w:ascii="Arial" w:hAnsi="Arial" w:cs="Arial"/>
          <w:lang w:val="en-US"/>
        </w:rPr>
        <w:t xml:space="preserve"> </w:t>
      </w:r>
      <w:r w:rsidRPr="00C535A0">
        <w:rPr>
          <w:rFonts w:ascii="Arial" w:hAnsi="Arial" w:cs="Arial"/>
          <w:lang w:val="en-US"/>
        </w:rPr>
        <w:t>consists of growth during the first half of the 1970s, irregular growth in the second half of the 1970s, a fall in the 1980s, and a recovery beginning in the 1990s, which was insufficient for recovering the losses experienced in the 1980s.”</w:t>
      </w:r>
    </w:p>
    <w:p w14:paraId="2E3AA921" w14:textId="5B83690E" w:rsidR="00164777" w:rsidRPr="00C535A0" w:rsidRDefault="00164777" w:rsidP="00C535A0">
      <w:pPr>
        <w:pStyle w:val="p-01"/>
        <w:spacing w:line="240" w:lineRule="auto"/>
        <w:rPr>
          <w:rFonts w:ascii="Arial" w:hAnsi="Arial" w:cs="Arial"/>
          <w:lang w:val="en-US"/>
        </w:rPr>
      </w:pPr>
      <w:r w:rsidRPr="00C535A0">
        <w:rPr>
          <w:rFonts w:ascii="Arial" w:hAnsi="Arial" w:cs="Arial"/>
          <w:lang w:val="en-US"/>
        </w:rPr>
        <w:t>Meanwhile, the average annual rate of aggregate labor productivity growth in Brazil</w:t>
      </w:r>
      <w:r w:rsidR="00BE67DF" w:rsidRPr="00C535A0">
        <w:rPr>
          <w:rFonts w:ascii="Arial" w:hAnsi="Arial" w:cs="Arial"/>
          <w:lang w:val="en-US"/>
        </w:rPr>
        <w:t>,</w:t>
      </w:r>
      <w:r w:rsidRPr="00C535A0">
        <w:rPr>
          <w:rFonts w:ascii="Arial" w:hAnsi="Arial" w:cs="Arial"/>
          <w:lang w:val="en-US"/>
        </w:rPr>
        <w:t xml:space="preserve"> defined as the ratio between </w:t>
      </w:r>
      <w:r w:rsidR="00BE67DF" w:rsidRPr="00C535A0">
        <w:rPr>
          <w:rFonts w:ascii="Arial" w:hAnsi="Arial" w:cs="Arial"/>
          <w:lang w:val="en-US"/>
        </w:rPr>
        <w:t>gross domestic product (</w:t>
      </w:r>
      <w:r w:rsidRPr="00C535A0">
        <w:rPr>
          <w:rFonts w:ascii="Arial" w:hAnsi="Arial" w:cs="Arial"/>
          <w:lang w:val="en-US"/>
        </w:rPr>
        <w:t>GDP</w:t>
      </w:r>
      <w:r w:rsidR="00BE67DF" w:rsidRPr="00C535A0">
        <w:rPr>
          <w:rFonts w:ascii="Arial" w:hAnsi="Arial" w:cs="Arial"/>
          <w:lang w:val="en-US"/>
        </w:rPr>
        <w:t>)</w:t>
      </w:r>
      <w:r w:rsidRPr="00C535A0">
        <w:rPr>
          <w:rFonts w:ascii="Arial" w:hAnsi="Arial" w:cs="Arial"/>
          <w:lang w:val="en-US"/>
        </w:rPr>
        <w:t xml:space="preserve"> and total employed population</w:t>
      </w:r>
      <w:r w:rsidR="00BE67DF" w:rsidRPr="00C535A0">
        <w:rPr>
          <w:rFonts w:ascii="Arial" w:hAnsi="Arial" w:cs="Arial"/>
          <w:lang w:val="en-US"/>
        </w:rPr>
        <w:t>,</w:t>
      </w:r>
      <w:r w:rsidRPr="00C535A0">
        <w:rPr>
          <w:rFonts w:ascii="Arial" w:hAnsi="Arial" w:cs="Arial"/>
          <w:lang w:val="en-US"/>
        </w:rPr>
        <w:t xml:space="preserve"> was 1.09% from 1992 to 2001 and 1.17% from 2001 to 2009. Although the different methods used to adjust the series of the employed population – and, sometimes, the different time period aggregations – may lead to slightly different results, it can be said that the labor productivity maintained, during the 1990s and 2000s, a steady, though reduced, growth trajectory (around 1% per year).</w:t>
      </w:r>
      <w:r w:rsidRPr="00C535A0">
        <w:rPr>
          <w:rStyle w:val="FootnoteReference"/>
          <w:rFonts w:ascii="Arial" w:hAnsi="Arial" w:cs="Arial"/>
          <w:lang w:val="en-US"/>
        </w:rPr>
        <w:footnoteReference w:id="6"/>
      </w:r>
    </w:p>
    <w:p w14:paraId="1B77109C" w14:textId="70AEF7AF" w:rsidR="00164777" w:rsidRPr="00C535A0" w:rsidRDefault="00164777" w:rsidP="00C535A0">
      <w:pPr>
        <w:pStyle w:val="p-01"/>
        <w:spacing w:line="240" w:lineRule="auto"/>
        <w:rPr>
          <w:rFonts w:ascii="Arial" w:hAnsi="Arial" w:cs="Arial"/>
          <w:lang w:val="en-US" w:eastAsia="pt-BR"/>
        </w:rPr>
      </w:pPr>
      <w:r w:rsidRPr="00C535A0">
        <w:rPr>
          <w:rFonts w:ascii="Arial" w:hAnsi="Arial" w:cs="Arial"/>
          <w:lang w:val="en-US"/>
        </w:rPr>
        <w:t xml:space="preserve">As can be seen in </w:t>
      </w:r>
      <w:r w:rsidR="00166DCA" w:rsidRPr="00C535A0">
        <w:rPr>
          <w:rFonts w:ascii="Arial" w:hAnsi="Arial" w:cs="Arial"/>
          <w:lang w:val="en-US"/>
        </w:rPr>
        <w:t>Chart</w:t>
      </w:r>
      <w:r w:rsidRPr="00C535A0">
        <w:rPr>
          <w:rFonts w:ascii="Arial" w:hAnsi="Arial" w:cs="Arial"/>
          <w:lang w:val="en-US"/>
        </w:rPr>
        <w:t xml:space="preserve"> 1, in the 1990s, growth rates for productivity and GDP per capita remained at similar levels. However, in the following decade, d</w:t>
      </w:r>
      <w:r w:rsidRPr="00C535A0">
        <w:rPr>
          <w:rFonts w:ascii="Arial" w:hAnsi="Arial" w:cs="Arial"/>
          <w:lang w:val="en-US" w:eastAsia="pt-BR"/>
        </w:rPr>
        <w:t>espite the reduced growth in labor productivity, the growth rates for the GDP per capita observed were reasonable.</w:t>
      </w:r>
    </w:p>
    <w:p w14:paraId="41C4FE4C" w14:textId="3323E62C" w:rsidR="00164777" w:rsidRPr="00C535A0" w:rsidRDefault="00164777" w:rsidP="00C535A0">
      <w:pPr>
        <w:pStyle w:val="p-01"/>
        <w:keepNext/>
        <w:spacing w:after="0" w:line="240" w:lineRule="auto"/>
        <w:jc w:val="center"/>
        <w:rPr>
          <w:rFonts w:ascii="Arial" w:hAnsi="Arial" w:cs="Arial"/>
          <w:b/>
          <w:lang w:val="en-US" w:eastAsia="pt-BR"/>
        </w:rPr>
      </w:pPr>
      <w:r w:rsidRPr="00C535A0">
        <w:rPr>
          <w:rFonts w:ascii="Arial" w:hAnsi="Arial" w:cs="Arial"/>
          <w:b/>
          <w:lang w:val="en-US" w:eastAsia="pt-BR"/>
        </w:rPr>
        <w:t xml:space="preserve">Chart 1: GDP per capita and Labor Productivity – </w:t>
      </w:r>
      <w:r w:rsidR="00CA3458" w:rsidRPr="00C535A0">
        <w:rPr>
          <w:rFonts w:ascii="Arial" w:hAnsi="Arial" w:cs="Arial"/>
          <w:b/>
          <w:lang w:val="en-US" w:eastAsia="pt-BR"/>
        </w:rPr>
        <w:t>Brazil</w:t>
      </w:r>
      <w:r w:rsidRPr="00C535A0">
        <w:rPr>
          <w:rFonts w:ascii="Arial" w:hAnsi="Arial" w:cs="Arial"/>
          <w:b/>
          <w:lang w:val="en-US" w:eastAsia="pt-BR"/>
        </w:rPr>
        <w:t xml:space="preserve"> (1992-2011) (1992 = 100)</w:t>
      </w:r>
    </w:p>
    <w:p w14:paraId="3D5C8A58" w14:textId="4C854791" w:rsidR="00164777" w:rsidRPr="00C535A0" w:rsidRDefault="00164777" w:rsidP="00C535A0">
      <w:pPr>
        <w:pStyle w:val="p-01"/>
        <w:spacing w:after="0" w:line="240" w:lineRule="auto"/>
        <w:rPr>
          <w:rFonts w:ascii="Arial" w:hAnsi="Arial" w:cs="Arial"/>
          <w:lang w:val="en-US" w:eastAsia="pt-BR"/>
        </w:rPr>
      </w:pPr>
      <w:r w:rsidRPr="00C535A0">
        <w:rPr>
          <w:rFonts w:ascii="Arial" w:hAnsi="Arial" w:cs="Arial"/>
          <w:noProof/>
          <w:lang w:val="en-US"/>
        </w:rPr>
        <w:drawing>
          <wp:inline distT="0" distB="0" distL="0" distR="0" wp14:anchorId="12C7FB17" wp14:editId="70B6F21A">
            <wp:extent cx="5149901" cy="2979998"/>
            <wp:effectExtent l="0" t="0" r="0" b="0"/>
            <wp:docPr id="5" name="Imagem 5" descr="img_235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img_2357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0038" cy="2980077"/>
                    </a:xfrm>
                    <a:prstGeom prst="rect">
                      <a:avLst/>
                    </a:prstGeom>
                    <a:noFill/>
                    <a:ln>
                      <a:noFill/>
                    </a:ln>
                  </pic:spPr>
                </pic:pic>
              </a:graphicData>
            </a:graphic>
          </wp:inline>
        </w:drawing>
      </w:r>
    </w:p>
    <w:p w14:paraId="2234188E" w14:textId="77777777" w:rsidR="00164777" w:rsidRPr="00C535A0" w:rsidRDefault="00164777" w:rsidP="00C535A0">
      <w:pPr>
        <w:pStyle w:val="p-01"/>
        <w:spacing w:after="0" w:line="240" w:lineRule="auto"/>
        <w:jc w:val="center"/>
        <w:rPr>
          <w:rFonts w:ascii="Arial" w:hAnsi="Arial" w:cs="Arial"/>
          <w:sz w:val="18"/>
          <w:lang w:val="en-US" w:eastAsia="pt-BR"/>
        </w:rPr>
      </w:pPr>
      <w:r w:rsidRPr="00C535A0">
        <w:rPr>
          <w:rFonts w:ascii="Arial" w:hAnsi="Arial" w:cs="Arial"/>
          <w:sz w:val="18"/>
          <w:lang w:val="en-US" w:eastAsia="pt-BR"/>
        </w:rPr>
        <w:t>Source: De Negri and Cavalcante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E78AE" w:rsidRPr="00C535A0" w14:paraId="6C7C261C" w14:textId="77777777" w:rsidTr="002A7D0B">
        <w:tc>
          <w:tcPr>
            <w:tcW w:w="4675" w:type="dxa"/>
          </w:tcPr>
          <w:p w14:paraId="4A666CB1" w14:textId="77777777" w:rsidR="00CE78AE" w:rsidRPr="00C535A0" w:rsidRDefault="00CE78AE" w:rsidP="00C535A0">
            <w:pPr>
              <w:spacing w:after="0" w:line="240" w:lineRule="auto"/>
              <w:rPr>
                <w:rFonts w:ascii="Arial" w:hAnsi="Arial" w:cs="Arial"/>
              </w:rPr>
            </w:pPr>
            <w:r w:rsidRPr="00C535A0">
              <w:rPr>
                <w:rFonts w:ascii="Arial" w:hAnsi="Arial" w:cs="Arial"/>
              </w:rPr>
              <w:t>PIB per capita (1992=100)</w:t>
            </w:r>
          </w:p>
        </w:tc>
        <w:tc>
          <w:tcPr>
            <w:tcW w:w="4675" w:type="dxa"/>
          </w:tcPr>
          <w:p w14:paraId="56649A31" w14:textId="77777777" w:rsidR="00CE78AE" w:rsidRPr="00C535A0" w:rsidRDefault="00CE78AE" w:rsidP="00C535A0">
            <w:pPr>
              <w:spacing w:after="0" w:line="240" w:lineRule="auto"/>
              <w:rPr>
                <w:rFonts w:ascii="Arial" w:hAnsi="Arial" w:cs="Arial"/>
              </w:rPr>
            </w:pPr>
            <w:r w:rsidRPr="00C535A0">
              <w:rPr>
                <w:rFonts w:ascii="Arial" w:hAnsi="Arial" w:cs="Arial"/>
              </w:rPr>
              <w:t>GDP per capita (1992=100)</w:t>
            </w:r>
          </w:p>
        </w:tc>
      </w:tr>
      <w:tr w:rsidR="00CE78AE" w:rsidRPr="00C535A0" w14:paraId="6D774470" w14:textId="77777777" w:rsidTr="002A7D0B">
        <w:tc>
          <w:tcPr>
            <w:tcW w:w="4675" w:type="dxa"/>
          </w:tcPr>
          <w:p w14:paraId="71CEF7FB" w14:textId="77777777" w:rsidR="00CE78AE" w:rsidRPr="00C535A0" w:rsidRDefault="00CE78AE" w:rsidP="00C535A0">
            <w:pPr>
              <w:spacing w:after="0" w:line="240" w:lineRule="auto"/>
              <w:rPr>
                <w:rFonts w:ascii="Arial" w:hAnsi="Arial" w:cs="Arial"/>
              </w:rPr>
            </w:pPr>
            <w:r w:rsidRPr="00C535A0">
              <w:rPr>
                <w:rFonts w:ascii="Arial" w:hAnsi="Arial" w:cs="Arial"/>
              </w:rPr>
              <w:t>PIB / população ocupada (1992=100)</w:t>
            </w:r>
          </w:p>
        </w:tc>
        <w:tc>
          <w:tcPr>
            <w:tcW w:w="4675" w:type="dxa"/>
          </w:tcPr>
          <w:p w14:paraId="2C0C431C" w14:textId="77777777" w:rsidR="00CE78AE" w:rsidRPr="00C535A0" w:rsidRDefault="00CE78AE" w:rsidP="00C535A0">
            <w:pPr>
              <w:spacing w:after="0" w:line="240" w:lineRule="auto"/>
              <w:rPr>
                <w:rFonts w:ascii="Arial" w:hAnsi="Arial" w:cs="Arial"/>
              </w:rPr>
            </w:pPr>
            <w:r w:rsidRPr="00C535A0">
              <w:rPr>
                <w:rFonts w:ascii="Arial" w:hAnsi="Arial" w:cs="Arial"/>
              </w:rPr>
              <w:t>GDP / employed population (1992=100)</w:t>
            </w:r>
          </w:p>
        </w:tc>
      </w:tr>
    </w:tbl>
    <w:p w14:paraId="439EB71C" w14:textId="35683869" w:rsidR="00164777" w:rsidRPr="00C535A0" w:rsidRDefault="00164777" w:rsidP="00C535A0">
      <w:pPr>
        <w:pStyle w:val="p-01"/>
        <w:spacing w:line="240" w:lineRule="auto"/>
        <w:rPr>
          <w:rFonts w:ascii="Arial" w:hAnsi="Arial" w:cs="Arial"/>
          <w:lang w:val="en-US" w:eastAsia="pt-BR"/>
        </w:rPr>
      </w:pPr>
      <w:r w:rsidRPr="00C535A0">
        <w:rPr>
          <w:rFonts w:ascii="Arial" w:hAnsi="Arial" w:cs="Arial"/>
          <w:lang w:val="en-US" w:eastAsia="pt-BR"/>
        </w:rPr>
        <w:lastRenderedPageBreak/>
        <w:t xml:space="preserve">One way to explain the reasons for this disconnect is through the algebraic identity </w:t>
      </w:r>
      <w:r w:rsidRPr="00C535A0">
        <w:rPr>
          <w:rFonts w:ascii="Arial" w:hAnsi="Arial" w:cs="Arial"/>
          <w:i/>
          <w:lang w:val="en-US" w:eastAsia="pt-BR"/>
        </w:rPr>
        <w:t>GDP</w:t>
      </w:r>
      <w:r w:rsidRPr="00C535A0">
        <w:rPr>
          <w:rFonts w:ascii="Arial" w:hAnsi="Arial" w:cs="Arial"/>
          <w:lang w:val="en-US" w:eastAsia="pt-BR"/>
        </w:rPr>
        <w:t xml:space="preserve"> = (</w:t>
      </w:r>
      <w:r w:rsidRPr="00C535A0">
        <w:rPr>
          <w:rFonts w:ascii="Arial" w:hAnsi="Arial" w:cs="Arial"/>
          <w:i/>
          <w:lang w:val="en-US" w:eastAsia="pt-BR"/>
        </w:rPr>
        <w:t>GDP</w:t>
      </w:r>
      <w:r w:rsidRPr="00C535A0">
        <w:rPr>
          <w:rFonts w:ascii="Arial" w:hAnsi="Arial" w:cs="Arial"/>
          <w:lang w:val="en-US" w:eastAsia="pt-BR"/>
        </w:rPr>
        <w:t xml:space="preserve"> / </w:t>
      </w:r>
      <w:r w:rsidRPr="00C535A0">
        <w:rPr>
          <w:rFonts w:ascii="Arial" w:hAnsi="Arial" w:cs="Arial"/>
          <w:i/>
          <w:lang w:val="en-US" w:eastAsia="pt-BR"/>
        </w:rPr>
        <w:t>PO</w:t>
      </w:r>
      <w:r w:rsidRPr="00C535A0">
        <w:rPr>
          <w:rFonts w:ascii="Arial" w:hAnsi="Arial" w:cs="Arial"/>
          <w:lang w:val="en-US" w:eastAsia="pt-BR"/>
        </w:rPr>
        <w:t xml:space="preserve">) x </w:t>
      </w:r>
      <w:r w:rsidRPr="00C535A0">
        <w:rPr>
          <w:rFonts w:ascii="Arial" w:hAnsi="Arial" w:cs="Arial"/>
          <w:i/>
          <w:lang w:val="en-US" w:eastAsia="pt-BR"/>
        </w:rPr>
        <w:t>PO</w:t>
      </w:r>
      <w:r w:rsidRPr="00C535A0">
        <w:rPr>
          <w:rFonts w:ascii="Arial" w:hAnsi="Arial" w:cs="Arial"/>
          <w:lang w:val="en-US" w:eastAsia="pt-BR"/>
        </w:rPr>
        <w:t xml:space="preserve">, in which </w:t>
      </w:r>
      <w:r w:rsidRPr="00C535A0">
        <w:rPr>
          <w:rFonts w:ascii="Arial" w:hAnsi="Arial" w:cs="Arial"/>
          <w:i/>
          <w:lang w:val="en-US" w:eastAsia="pt-BR"/>
        </w:rPr>
        <w:t>GDP</w:t>
      </w:r>
      <w:r w:rsidRPr="00C535A0">
        <w:rPr>
          <w:rFonts w:ascii="Arial" w:hAnsi="Arial" w:cs="Arial"/>
          <w:lang w:val="en-US" w:eastAsia="pt-BR"/>
        </w:rPr>
        <w:t xml:space="preserve"> is the gross domestic product and </w:t>
      </w:r>
      <w:r w:rsidRPr="00C535A0">
        <w:rPr>
          <w:rFonts w:ascii="Arial" w:hAnsi="Arial" w:cs="Arial"/>
          <w:i/>
          <w:lang w:val="en-US" w:eastAsia="pt-BR"/>
        </w:rPr>
        <w:t>PO</w:t>
      </w:r>
      <w:r w:rsidRPr="00C535A0">
        <w:rPr>
          <w:rFonts w:ascii="Arial" w:hAnsi="Arial" w:cs="Arial"/>
          <w:lang w:val="en-US" w:eastAsia="pt-BR"/>
        </w:rPr>
        <w:t xml:space="preserve"> represents the employed population. The algebraic manipulation of this identify allows us to conclude that the growth rate of the GDP corresponds to the sum of the labor productivity growth rate and the employed population growth rate.</w:t>
      </w:r>
      <w:r w:rsidRPr="00C535A0">
        <w:rPr>
          <w:rStyle w:val="FootnoteReference"/>
          <w:rFonts w:ascii="Arial" w:eastAsia="Times New Roman" w:hAnsi="Arial" w:cs="Arial"/>
          <w:color w:val="666666"/>
          <w:sz w:val="18"/>
          <w:szCs w:val="18"/>
          <w:lang w:val="en-US" w:eastAsia="pt-BR"/>
        </w:rPr>
        <w:footnoteReference w:id="7"/>
      </w:r>
      <w:r w:rsidRPr="00C535A0">
        <w:rPr>
          <w:rFonts w:ascii="Arial" w:hAnsi="Arial" w:cs="Arial"/>
          <w:lang w:val="en-US" w:eastAsia="pt-BR"/>
        </w:rPr>
        <w:t xml:space="preserve"> In the first decade of the 2000s, the growth of the employed population at rates higher than the total population growth explains why the GDP </w:t>
      </w:r>
      <w:r w:rsidRPr="00C535A0">
        <w:rPr>
          <w:rFonts w:ascii="Arial" w:hAnsi="Arial" w:cs="Arial"/>
          <w:i/>
          <w:iCs/>
          <w:lang w:val="en-US" w:eastAsia="pt-BR"/>
        </w:rPr>
        <w:t xml:space="preserve">per capita </w:t>
      </w:r>
      <w:r w:rsidRPr="00C535A0">
        <w:rPr>
          <w:rFonts w:ascii="Arial" w:hAnsi="Arial" w:cs="Arial"/>
          <w:iCs/>
          <w:lang w:val="en-US" w:eastAsia="pt-BR"/>
        </w:rPr>
        <w:t xml:space="preserve">is </w:t>
      </w:r>
      <w:r w:rsidRPr="00C535A0">
        <w:rPr>
          <w:rFonts w:ascii="Arial" w:hAnsi="Arial" w:cs="Arial"/>
          <w:lang w:val="en-US" w:eastAsia="pt-BR"/>
        </w:rPr>
        <w:t xml:space="preserve">separate from the labor productivity when their trajectories are shown in a </w:t>
      </w:r>
      <w:r w:rsidR="00166DCA" w:rsidRPr="00C535A0">
        <w:rPr>
          <w:rFonts w:ascii="Arial" w:hAnsi="Arial" w:cs="Arial"/>
          <w:lang w:val="en-US" w:eastAsia="pt-BR"/>
        </w:rPr>
        <w:t>chart</w:t>
      </w:r>
      <w:r w:rsidRPr="00C535A0">
        <w:rPr>
          <w:rFonts w:ascii="Arial" w:hAnsi="Arial" w:cs="Arial"/>
          <w:lang w:val="en-US" w:eastAsia="pt-BR"/>
        </w:rPr>
        <w:t xml:space="preserve">. Thus, it was the incorporation of a large portion of the population into the labor market and the reduced unemployment rate that explain a significant portion of the growth in GDP </w:t>
      </w:r>
      <w:r w:rsidRPr="00C535A0">
        <w:rPr>
          <w:rFonts w:ascii="Arial" w:hAnsi="Arial" w:cs="Arial"/>
          <w:i/>
          <w:lang w:val="en-US" w:eastAsia="pt-BR"/>
        </w:rPr>
        <w:t>per capita</w:t>
      </w:r>
      <w:r w:rsidRPr="00C535A0">
        <w:rPr>
          <w:rFonts w:ascii="Arial" w:hAnsi="Arial" w:cs="Arial"/>
          <w:lang w:val="en-US" w:eastAsia="pt-BR"/>
        </w:rPr>
        <w:t xml:space="preserve"> between 2001 and 2009. However, this disconnect is sustained for only a short period of time. In fact, the weak performance of the labor market in Brazil as of 2014 makes productivity a key variable in restoring the country’s economic growth process. </w:t>
      </w:r>
    </w:p>
    <w:p w14:paraId="2495887B" w14:textId="37EDC511" w:rsidR="00720BC1" w:rsidRPr="00C535A0" w:rsidRDefault="00720BC1" w:rsidP="00C535A0">
      <w:pPr>
        <w:pStyle w:val="p-01"/>
        <w:spacing w:line="240" w:lineRule="auto"/>
        <w:rPr>
          <w:rFonts w:ascii="Arial" w:hAnsi="Arial" w:cs="Arial"/>
          <w:lang w:val="en-US"/>
        </w:rPr>
      </w:pPr>
      <w:r w:rsidRPr="00C535A0">
        <w:rPr>
          <w:rFonts w:ascii="Arial" w:hAnsi="Arial" w:cs="Arial"/>
          <w:lang w:val="en-US"/>
        </w:rPr>
        <w:t xml:space="preserve">The low aggregate productivity growth in Brazil is, therefore, the result of a wide set of factors ranging from the quality of education to an extremely harsh business climate, creating a non-competitive economy that is not very open to international competition and our low capacity for innovation. </w:t>
      </w:r>
    </w:p>
    <w:p w14:paraId="0ADE556D" w14:textId="2911917C" w:rsidR="00720BC1" w:rsidRPr="00C535A0" w:rsidRDefault="00720BC1" w:rsidP="00C535A0">
      <w:pPr>
        <w:pStyle w:val="p-01"/>
        <w:spacing w:line="240" w:lineRule="auto"/>
        <w:rPr>
          <w:rFonts w:ascii="Arial" w:hAnsi="Arial" w:cs="Arial"/>
          <w:lang w:val="en-US"/>
        </w:rPr>
      </w:pPr>
      <w:r w:rsidRPr="00C535A0">
        <w:rPr>
          <w:rFonts w:ascii="Arial" w:hAnsi="Arial" w:cs="Arial"/>
          <w:lang w:val="en-US"/>
        </w:rPr>
        <w:t>Despite all of these factors, the low labor productivity growth, in particular, is strongly related to the low</w:t>
      </w:r>
      <w:r w:rsidR="00E32C8A" w:rsidRPr="00C535A0">
        <w:rPr>
          <w:rFonts w:ascii="Arial" w:hAnsi="Arial" w:cs="Arial"/>
          <w:lang w:val="en-US"/>
        </w:rPr>
        <w:t xml:space="preserve"> </w:t>
      </w:r>
      <w:r w:rsidRPr="00C535A0">
        <w:rPr>
          <w:rFonts w:ascii="Arial" w:hAnsi="Arial" w:cs="Arial"/>
          <w:lang w:val="en-US"/>
        </w:rPr>
        <w:t>capital/labor ratio (and, therefore, investments) in the Brazilian economy.</w:t>
      </w:r>
      <w:r w:rsidR="00CA3458" w:rsidRPr="00C535A0">
        <w:rPr>
          <w:rFonts w:ascii="Arial" w:hAnsi="Arial" w:cs="Arial"/>
          <w:lang w:val="en-US"/>
        </w:rPr>
        <w:t xml:space="preserve"> </w:t>
      </w:r>
      <w:r w:rsidRPr="00C535A0">
        <w:rPr>
          <w:rFonts w:ascii="Arial" w:hAnsi="Arial" w:cs="Arial"/>
          <w:lang w:val="en-US"/>
        </w:rPr>
        <w:t xml:space="preserve">Increasing the capital stock in the economy would, therefore, be one short-term method of increasing labor productivity in the country, making the increase in investment rates one of the key variables </w:t>
      </w:r>
      <w:r w:rsidR="00FF3E88" w:rsidRPr="00C535A0">
        <w:rPr>
          <w:rFonts w:ascii="Arial" w:hAnsi="Arial" w:cs="Arial"/>
          <w:lang w:val="en-US"/>
        </w:rPr>
        <w:t xml:space="preserve">for restoring short-term economic growth in the country. </w:t>
      </w:r>
    </w:p>
    <w:p w14:paraId="2670B52A" w14:textId="4308ECD2" w:rsidR="004824B4" w:rsidRPr="00C535A0" w:rsidRDefault="00720BC1" w:rsidP="00C535A0">
      <w:pPr>
        <w:pStyle w:val="Heading1"/>
        <w:spacing w:line="240" w:lineRule="auto"/>
        <w:rPr>
          <w:rFonts w:ascii="Arial" w:hAnsi="Arial" w:cs="Arial"/>
          <w:lang w:val="en-US"/>
        </w:rPr>
      </w:pPr>
      <w:r w:rsidRPr="00C535A0">
        <w:rPr>
          <w:rFonts w:ascii="Arial" w:hAnsi="Arial" w:cs="Arial"/>
          <w:lang w:val="en-US"/>
        </w:rPr>
        <w:t>Strategic Issues and their Effects on Productivity</w:t>
      </w:r>
    </w:p>
    <w:p w14:paraId="07C9A6AB" w14:textId="0A251BA2" w:rsidR="00376E36" w:rsidRPr="00C535A0" w:rsidRDefault="00376E36" w:rsidP="00C535A0">
      <w:pPr>
        <w:pStyle w:val="p-01"/>
        <w:spacing w:line="240" w:lineRule="auto"/>
        <w:rPr>
          <w:rFonts w:ascii="Arial" w:hAnsi="Arial" w:cs="Arial"/>
          <w:lang w:val="en-US"/>
        </w:rPr>
      </w:pPr>
      <w:r w:rsidRPr="00C535A0">
        <w:rPr>
          <w:rFonts w:ascii="Arial" w:hAnsi="Arial" w:cs="Arial"/>
          <w:lang w:val="en-US"/>
        </w:rPr>
        <w:t xml:space="preserve">This section presents data and empirical evidence to show the relationship between </w:t>
      </w:r>
      <w:r w:rsidR="00075753" w:rsidRPr="00C535A0">
        <w:rPr>
          <w:rFonts w:ascii="Arial" w:hAnsi="Arial" w:cs="Arial"/>
          <w:lang w:val="en-US"/>
        </w:rPr>
        <w:t xml:space="preserve">certain activities and selected segments and the aggregate productivity in the economy. Thus, we seek to obtain more </w:t>
      </w:r>
      <w:r w:rsidR="009A0F2C" w:rsidRPr="00C535A0">
        <w:rPr>
          <w:rFonts w:ascii="Arial" w:hAnsi="Arial" w:cs="Arial"/>
          <w:lang w:val="en-US"/>
        </w:rPr>
        <w:t xml:space="preserve">elements that allow anticipating the probable effects that stimulating investment in these sectors </w:t>
      </w:r>
      <w:r w:rsidR="00912831" w:rsidRPr="00C535A0">
        <w:rPr>
          <w:rFonts w:ascii="Arial" w:hAnsi="Arial" w:cs="Arial"/>
          <w:lang w:val="en-US"/>
        </w:rPr>
        <w:t>could</w:t>
      </w:r>
      <w:r w:rsidR="009A0F2C" w:rsidRPr="00C535A0">
        <w:rPr>
          <w:rFonts w:ascii="Arial" w:hAnsi="Arial" w:cs="Arial"/>
          <w:lang w:val="en-US"/>
        </w:rPr>
        <w:t xml:space="preserve"> have on the economy’s aggregate productivity. We also seek to list indicators that allow for more accurate monitoring</w:t>
      </w:r>
      <w:r w:rsidR="00912831" w:rsidRPr="00C535A0">
        <w:rPr>
          <w:rFonts w:ascii="Arial" w:hAnsi="Arial" w:cs="Arial"/>
          <w:lang w:val="en-US"/>
        </w:rPr>
        <w:t xml:space="preserve"> of the IDB operation with BNDES.</w:t>
      </w:r>
      <w:r w:rsidR="009A0F2C" w:rsidRPr="00C535A0">
        <w:rPr>
          <w:rFonts w:ascii="Arial" w:hAnsi="Arial" w:cs="Arial"/>
          <w:lang w:val="en-US"/>
        </w:rPr>
        <w:t xml:space="preserve"> </w:t>
      </w:r>
    </w:p>
    <w:p w14:paraId="25D90977" w14:textId="3FD496B4" w:rsidR="00912831" w:rsidRPr="00C535A0" w:rsidRDefault="00FF3E88" w:rsidP="00C535A0">
      <w:pPr>
        <w:pStyle w:val="p-01"/>
        <w:spacing w:line="240" w:lineRule="auto"/>
        <w:rPr>
          <w:rFonts w:ascii="Arial" w:hAnsi="Arial" w:cs="Arial"/>
          <w:lang w:val="en-US"/>
        </w:rPr>
      </w:pPr>
      <w:r w:rsidRPr="00C535A0">
        <w:rPr>
          <w:rFonts w:ascii="Arial" w:hAnsi="Arial" w:cs="Arial"/>
          <w:lang w:val="en-US"/>
        </w:rPr>
        <w:t xml:space="preserve">Both </w:t>
      </w:r>
      <w:r w:rsidR="00912831" w:rsidRPr="00C535A0">
        <w:rPr>
          <w:rFonts w:ascii="Arial" w:hAnsi="Arial" w:cs="Arial"/>
          <w:lang w:val="en-US"/>
        </w:rPr>
        <w:t>because of its potential to increase the capital stock in the economy</w:t>
      </w:r>
      <w:r w:rsidRPr="00C535A0">
        <w:rPr>
          <w:rFonts w:ascii="Arial" w:hAnsi="Arial" w:cs="Arial"/>
          <w:lang w:val="en-US"/>
        </w:rPr>
        <w:t xml:space="preserve"> and because of its direct impacts on economic efficiency, increasing investments in infrastructure could be one of the main drivers of productivity growth in the short term in Brazil. </w:t>
      </w:r>
      <w:r w:rsidR="00E26F17" w:rsidRPr="00C535A0">
        <w:rPr>
          <w:rFonts w:ascii="Arial" w:hAnsi="Arial" w:cs="Arial"/>
          <w:lang w:val="en-US"/>
        </w:rPr>
        <w:t>In particular, matters related to energy supply and diversification of energy sources can have relevant impacts on the country’s productivity levels</w:t>
      </w:r>
      <w:r w:rsidR="00912831" w:rsidRPr="00C535A0">
        <w:rPr>
          <w:rFonts w:ascii="Arial" w:hAnsi="Arial" w:cs="Arial"/>
          <w:lang w:val="en-US"/>
        </w:rPr>
        <w:t xml:space="preserve">, for reasons that will be discussed in the following sections. </w:t>
      </w:r>
      <w:r w:rsidR="00B426A7" w:rsidRPr="00C535A0">
        <w:rPr>
          <w:rFonts w:ascii="Arial" w:hAnsi="Arial" w:cs="Arial"/>
          <w:lang w:val="en-US"/>
        </w:rPr>
        <w:t xml:space="preserve"> </w:t>
      </w:r>
    </w:p>
    <w:p w14:paraId="4CE2C846" w14:textId="124CD08E" w:rsidR="00D50A4C" w:rsidRPr="00C535A0" w:rsidRDefault="00B426A7" w:rsidP="00C535A0">
      <w:pPr>
        <w:pStyle w:val="p-01"/>
        <w:spacing w:line="240" w:lineRule="auto"/>
        <w:rPr>
          <w:rFonts w:ascii="Arial" w:hAnsi="Arial" w:cs="Arial"/>
          <w:lang w:val="en-US"/>
        </w:rPr>
      </w:pPr>
      <w:r w:rsidRPr="00C535A0">
        <w:rPr>
          <w:rFonts w:ascii="Arial" w:hAnsi="Arial" w:cs="Arial"/>
          <w:lang w:val="en-US"/>
        </w:rPr>
        <w:t>The proportionately lower productivity levels in some groups of companies or in some specific regions may, in turn, affect the aggregate indicators and, therefore, require specific interventions. This is the case, for example, of the MSMEs, which play a key role in generating jobs and which require public policies that support productivity gains with features specifically</w:t>
      </w:r>
      <w:r w:rsidR="00A843DB" w:rsidRPr="00C535A0">
        <w:rPr>
          <w:rFonts w:ascii="Arial" w:hAnsi="Arial" w:cs="Arial"/>
          <w:lang w:val="en-US"/>
        </w:rPr>
        <w:t xml:space="preserve"> designed for this segment.</w:t>
      </w:r>
      <w:r w:rsidR="009B4CCB" w:rsidRPr="00C535A0">
        <w:rPr>
          <w:rFonts w:ascii="Arial" w:hAnsi="Arial" w:cs="Arial"/>
          <w:lang w:val="en-US"/>
        </w:rPr>
        <w:t xml:space="preserve"> T</w:t>
      </w:r>
      <w:r w:rsidR="00E54FC3" w:rsidRPr="00C535A0">
        <w:rPr>
          <w:rFonts w:ascii="Arial" w:hAnsi="Arial" w:cs="Arial"/>
          <w:lang w:val="en-US"/>
        </w:rPr>
        <w:t xml:space="preserve">hus, in order to support this analysis, this section contains specific </w:t>
      </w:r>
      <w:r w:rsidR="00AB2E91" w:rsidRPr="00C535A0">
        <w:rPr>
          <w:rFonts w:ascii="Arial" w:hAnsi="Arial" w:cs="Arial"/>
          <w:lang w:val="en-US"/>
        </w:rPr>
        <w:t xml:space="preserve">information and </w:t>
      </w:r>
      <w:r w:rsidR="00527E7A" w:rsidRPr="00C535A0">
        <w:rPr>
          <w:rFonts w:ascii="Arial" w:hAnsi="Arial" w:cs="Arial"/>
          <w:lang w:val="en-US"/>
        </w:rPr>
        <w:t xml:space="preserve">indicators concerning </w:t>
      </w:r>
      <w:r w:rsidR="00AB2E91" w:rsidRPr="00C535A0">
        <w:rPr>
          <w:rFonts w:ascii="Arial" w:hAnsi="Arial" w:cs="Arial"/>
          <w:lang w:val="en-US"/>
        </w:rPr>
        <w:t>the impact of the MS</w:t>
      </w:r>
      <w:r w:rsidRPr="00C535A0">
        <w:rPr>
          <w:rFonts w:ascii="Arial" w:hAnsi="Arial" w:cs="Arial"/>
          <w:lang w:val="en-US"/>
        </w:rPr>
        <w:t>M</w:t>
      </w:r>
      <w:r w:rsidR="00AB2E91" w:rsidRPr="00C535A0">
        <w:rPr>
          <w:rFonts w:ascii="Arial" w:hAnsi="Arial" w:cs="Arial"/>
          <w:lang w:val="en-US"/>
        </w:rPr>
        <w:t>Es</w:t>
      </w:r>
      <w:r w:rsidR="00E54FC3" w:rsidRPr="00C535A0">
        <w:rPr>
          <w:rFonts w:ascii="Arial" w:hAnsi="Arial" w:cs="Arial"/>
          <w:lang w:val="en-US"/>
        </w:rPr>
        <w:t xml:space="preserve"> and </w:t>
      </w:r>
      <w:r w:rsidR="00AB2E91" w:rsidRPr="00C535A0">
        <w:rPr>
          <w:rFonts w:ascii="Arial" w:hAnsi="Arial" w:cs="Arial"/>
          <w:lang w:val="en-US"/>
        </w:rPr>
        <w:t>t</w:t>
      </w:r>
      <w:r w:rsidR="00527E7A" w:rsidRPr="00C535A0">
        <w:rPr>
          <w:rFonts w:ascii="Arial" w:hAnsi="Arial" w:cs="Arial"/>
          <w:lang w:val="en-US"/>
        </w:rPr>
        <w:t>he investments in infrastructure and in renewable energy</w:t>
      </w:r>
      <w:r w:rsidR="00AB2E91" w:rsidRPr="00C535A0">
        <w:rPr>
          <w:rFonts w:ascii="Arial" w:hAnsi="Arial" w:cs="Arial"/>
          <w:lang w:val="en-US"/>
        </w:rPr>
        <w:t xml:space="preserve"> on the country’s aggregate productivity.</w:t>
      </w:r>
    </w:p>
    <w:p w14:paraId="332A123A" w14:textId="5D014556" w:rsidR="00527E7A" w:rsidRPr="00C535A0" w:rsidRDefault="00527E7A" w:rsidP="00C535A0">
      <w:pPr>
        <w:pStyle w:val="Heading2"/>
        <w:spacing w:line="240" w:lineRule="auto"/>
        <w:rPr>
          <w:rFonts w:ascii="Arial" w:hAnsi="Arial" w:cs="Arial"/>
          <w:lang w:val="en-US"/>
        </w:rPr>
      </w:pPr>
      <w:r w:rsidRPr="00C535A0">
        <w:rPr>
          <w:rFonts w:ascii="Arial" w:hAnsi="Arial" w:cs="Arial"/>
          <w:lang w:val="en-US"/>
        </w:rPr>
        <w:t>Micro</w:t>
      </w:r>
      <w:r w:rsidR="00163859" w:rsidRPr="00C535A0">
        <w:rPr>
          <w:rFonts w:ascii="Arial" w:hAnsi="Arial" w:cs="Arial"/>
          <w:lang w:val="en-US"/>
        </w:rPr>
        <w:t xml:space="preserve">, </w:t>
      </w:r>
      <w:r w:rsidRPr="00C535A0">
        <w:rPr>
          <w:rFonts w:ascii="Arial" w:hAnsi="Arial" w:cs="Arial"/>
          <w:lang w:val="en-US"/>
        </w:rPr>
        <w:t xml:space="preserve">Small </w:t>
      </w:r>
      <w:r w:rsidR="00163859" w:rsidRPr="00C535A0">
        <w:rPr>
          <w:rFonts w:ascii="Arial" w:hAnsi="Arial" w:cs="Arial"/>
          <w:lang w:val="en-US"/>
        </w:rPr>
        <w:t>and M</w:t>
      </w:r>
      <w:r w:rsidR="00E54FC3" w:rsidRPr="00C535A0">
        <w:rPr>
          <w:rFonts w:ascii="Arial" w:hAnsi="Arial" w:cs="Arial"/>
          <w:lang w:val="en-US"/>
        </w:rPr>
        <w:t>e</w:t>
      </w:r>
      <w:r w:rsidR="00163859" w:rsidRPr="00C535A0">
        <w:rPr>
          <w:rFonts w:ascii="Arial" w:hAnsi="Arial" w:cs="Arial"/>
          <w:lang w:val="en-US"/>
        </w:rPr>
        <w:t xml:space="preserve">dium </w:t>
      </w:r>
      <w:r w:rsidRPr="00C535A0">
        <w:rPr>
          <w:rFonts w:ascii="Arial" w:hAnsi="Arial" w:cs="Arial"/>
          <w:lang w:val="en-US"/>
        </w:rPr>
        <w:t>Enterprises</w:t>
      </w:r>
    </w:p>
    <w:p w14:paraId="3FCDF697" w14:textId="688D352C" w:rsidR="00AB2E91" w:rsidRPr="00C535A0" w:rsidRDefault="00AB2E91" w:rsidP="00C535A0">
      <w:pPr>
        <w:pStyle w:val="p-01"/>
        <w:tabs>
          <w:tab w:val="left" w:pos="993"/>
        </w:tabs>
        <w:spacing w:line="240" w:lineRule="auto"/>
        <w:rPr>
          <w:rFonts w:ascii="Arial" w:hAnsi="Arial" w:cs="Arial"/>
          <w:lang w:val="en-US"/>
        </w:rPr>
      </w:pPr>
      <w:r w:rsidRPr="00C535A0">
        <w:rPr>
          <w:rFonts w:ascii="Arial" w:hAnsi="Arial" w:cs="Arial"/>
          <w:lang w:val="en-US"/>
        </w:rPr>
        <w:t xml:space="preserve">One of the main characteristics of less developed countries is the persistence of </w:t>
      </w:r>
      <w:r w:rsidR="00E54FC3" w:rsidRPr="00C535A0">
        <w:rPr>
          <w:rFonts w:ascii="Arial" w:hAnsi="Arial" w:cs="Arial"/>
          <w:lang w:val="en-US"/>
        </w:rPr>
        <w:t xml:space="preserve">high </w:t>
      </w:r>
      <w:r w:rsidRPr="00C535A0">
        <w:rPr>
          <w:rFonts w:ascii="Arial" w:hAnsi="Arial" w:cs="Arial"/>
          <w:lang w:val="en-US"/>
        </w:rPr>
        <w:t xml:space="preserve">productivity disparity among different groups of companies, economic activities, or regions. </w:t>
      </w:r>
      <w:r w:rsidRPr="00C535A0">
        <w:rPr>
          <w:rFonts w:ascii="Arial" w:hAnsi="Arial" w:cs="Arial"/>
          <w:lang w:val="en-US"/>
        </w:rPr>
        <w:lastRenderedPageBreak/>
        <w:t xml:space="preserve">This disparity is particularly relevant among efficiency indicators for smaller and larger </w:t>
      </w:r>
      <w:r w:rsidR="00E54FC3" w:rsidRPr="00C535A0">
        <w:rPr>
          <w:rFonts w:ascii="Arial" w:hAnsi="Arial" w:cs="Arial"/>
          <w:lang w:val="en-US"/>
        </w:rPr>
        <w:t>companies</w:t>
      </w:r>
      <w:r w:rsidRPr="00C535A0">
        <w:rPr>
          <w:rFonts w:ascii="Arial" w:hAnsi="Arial" w:cs="Arial"/>
          <w:lang w:val="en-US"/>
        </w:rPr>
        <w:t>. Figure 1 shows the productivity differences among groups of companies, according to size ranges, in the Brazilian industry. Companies with up to 50 employees, which accounts for approximately 30% of employment in the industry, have a labor productivity that is about four times lower than the productivity of large companies (with more than 500 employees). Furthermore, in the group of companies with 250 to 499 employees, the productivity level is a little over half of that seen in the large companies (more than 500 employees)</w:t>
      </w:r>
      <w:r w:rsidR="00E54FC3" w:rsidRPr="00C535A0">
        <w:rPr>
          <w:rFonts w:ascii="Arial" w:hAnsi="Arial" w:cs="Arial"/>
          <w:lang w:val="en-US"/>
        </w:rPr>
        <w:t>.</w:t>
      </w:r>
    </w:p>
    <w:p w14:paraId="2236353F" w14:textId="78687C67" w:rsidR="00AB2E91" w:rsidRPr="00C535A0" w:rsidRDefault="00E32C8A" w:rsidP="00C535A0">
      <w:pPr>
        <w:pStyle w:val="p-01"/>
        <w:keepNext/>
        <w:spacing w:after="120" w:line="240" w:lineRule="auto"/>
        <w:jc w:val="center"/>
        <w:rPr>
          <w:rFonts w:ascii="Arial" w:hAnsi="Arial" w:cs="Arial"/>
          <w:b/>
          <w:sz w:val="20"/>
          <w:szCs w:val="20"/>
          <w:lang w:val="en-US"/>
        </w:rPr>
      </w:pPr>
      <w:r w:rsidRPr="00C535A0">
        <w:rPr>
          <w:rFonts w:ascii="Arial" w:hAnsi="Arial" w:cs="Arial"/>
          <w:b/>
          <w:sz w:val="20"/>
          <w:szCs w:val="20"/>
          <w:lang w:val="en-US"/>
        </w:rPr>
        <w:t>Chart</w:t>
      </w:r>
      <w:r w:rsidR="00AB2E91" w:rsidRPr="00C535A0">
        <w:rPr>
          <w:rFonts w:ascii="Arial" w:hAnsi="Arial" w:cs="Arial"/>
          <w:b/>
          <w:sz w:val="20"/>
          <w:szCs w:val="20"/>
          <w:lang w:val="en-US"/>
        </w:rPr>
        <w:t xml:space="preserve"> </w:t>
      </w:r>
      <w:r w:rsidR="005C0E56" w:rsidRPr="00C535A0">
        <w:rPr>
          <w:rFonts w:ascii="Arial" w:hAnsi="Arial" w:cs="Arial"/>
          <w:b/>
          <w:sz w:val="20"/>
          <w:szCs w:val="20"/>
          <w:lang w:val="en-US"/>
        </w:rPr>
        <w:t>2</w:t>
      </w:r>
      <w:r w:rsidR="00AB2E91" w:rsidRPr="00C535A0">
        <w:rPr>
          <w:rFonts w:ascii="Arial" w:hAnsi="Arial" w:cs="Arial"/>
          <w:b/>
          <w:sz w:val="20"/>
          <w:szCs w:val="20"/>
          <w:lang w:val="en-US"/>
        </w:rPr>
        <w:t>: Labor productivity</w:t>
      </w:r>
      <w:r w:rsidR="00994640" w:rsidRPr="00C535A0">
        <w:rPr>
          <w:rFonts w:ascii="Arial" w:hAnsi="Arial" w:cs="Arial"/>
          <w:b/>
          <w:sz w:val="20"/>
          <w:szCs w:val="20"/>
          <w:lang w:val="en-US"/>
        </w:rPr>
        <w:t xml:space="preserve"> (bars)</w:t>
      </w:r>
      <w:r w:rsidR="00AB2E91" w:rsidRPr="00C535A0">
        <w:rPr>
          <w:rFonts w:ascii="Arial" w:hAnsi="Arial" w:cs="Arial"/>
          <w:b/>
          <w:sz w:val="20"/>
          <w:szCs w:val="20"/>
          <w:lang w:val="en-US"/>
        </w:rPr>
        <w:t xml:space="preserve"> and participation in the employment population</w:t>
      </w:r>
      <w:r w:rsidR="00994640" w:rsidRPr="00C535A0">
        <w:rPr>
          <w:rFonts w:ascii="Arial" w:hAnsi="Arial" w:cs="Arial"/>
          <w:b/>
          <w:sz w:val="20"/>
          <w:szCs w:val="20"/>
          <w:lang w:val="en-US"/>
        </w:rPr>
        <w:t xml:space="preserve"> (line)</w:t>
      </w:r>
      <w:r w:rsidR="00AB2E91" w:rsidRPr="00C535A0">
        <w:rPr>
          <w:rFonts w:ascii="Arial" w:hAnsi="Arial" w:cs="Arial"/>
          <w:b/>
          <w:sz w:val="20"/>
          <w:szCs w:val="20"/>
          <w:lang w:val="en-US"/>
        </w:rPr>
        <w:t xml:space="preserve"> of industrial companies with one or</w:t>
      </w:r>
      <w:r w:rsidR="00BF5028" w:rsidRPr="00C535A0">
        <w:rPr>
          <w:rFonts w:ascii="Arial" w:hAnsi="Arial" w:cs="Arial"/>
          <w:b/>
          <w:sz w:val="20"/>
          <w:szCs w:val="20"/>
          <w:lang w:val="en-US"/>
        </w:rPr>
        <w:t xml:space="preserve"> </w:t>
      </w:r>
      <w:r w:rsidR="00AB2E91" w:rsidRPr="00C535A0">
        <w:rPr>
          <w:rFonts w:ascii="Arial" w:hAnsi="Arial" w:cs="Arial"/>
          <w:b/>
          <w:sz w:val="20"/>
          <w:szCs w:val="20"/>
          <w:lang w:val="en-US"/>
        </w:rPr>
        <w:t>more employed persons, according to the employment population range, 2014</w:t>
      </w:r>
    </w:p>
    <w:p w14:paraId="14A5801D" w14:textId="77777777" w:rsidR="00AB2E91" w:rsidRPr="00C535A0" w:rsidRDefault="00AB2E91" w:rsidP="00C535A0">
      <w:pPr>
        <w:pStyle w:val="p-01"/>
        <w:spacing w:after="0" w:line="240" w:lineRule="auto"/>
        <w:jc w:val="center"/>
        <w:rPr>
          <w:rFonts w:ascii="Arial" w:hAnsi="Arial" w:cs="Arial"/>
          <w:lang w:val="en-US"/>
        </w:rPr>
      </w:pPr>
      <w:r w:rsidRPr="00C535A0">
        <w:rPr>
          <w:rFonts w:ascii="Arial" w:hAnsi="Arial" w:cs="Arial"/>
          <w:noProof/>
          <w:lang w:val="en-US"/>
        </w:rPr>
        <w:drawing>
          <wp:inline distT="0" distB="0" distL="0" distR="0" wp14:anchorId="611B76DC" wp14:editId="01576ADF">
            <wp:extent cx="5259628" cy="2867559"/>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30A44A" w14:textId="77777777" w:rsidR="00AB2E91" w:rsidRPr="00C535A0" w:rsidRDefault="00AB2E91" w:rsidP="00C535A0">
      <w:pPr>
        <w:pStyle w:val="p-01"/>
        <w:spacing w:before="120" w:line="240" w:lineRule="auto"/>
        <w:jc w:val="center"/>
        <w:rPr>
          <w:rFonts w:ascii="Arial" w:hAnsi="Arial" w:cs="Arial"/>
          <w:sz w:val="18"/>
          <w:lang w:val="en-US"/>
        </w:rPr>
      </w:pPr>
      <w:r w:rsidRPr="00C535A0">
        <w:rPr>
          <w:rFonts w:ascii="Arial" w:hAnsi="Arial" w:cs="Arial"/>
          <w:sz w:val="18"/>
          <w:lang w:val="fr-FR"/>
        </w:rPr>
        <w:t xml:space="preserve">Source: AIS/IBGE (SIDRA table 1839). </w:t>
      </w:r>
      <w:r w:rsidRPr="00C535A0">
        <w:rPr>
          <w:rFonts w:ascii="Arial" w:hAnsi="Arial" w:cs="Arial"/>
          <w:sz w:val="18"/>
          <w:lang w:val="en-US"/>
        </w:rPr>
        <w:t xml:space="preserve">Available at </w:t>
      </w:r>
      <w:hyperlink r:id="rId11" w:history="1">
        <w:r w:rsidRPr="00C535A0">
          <w:rPr>
            <w:rStyle w:val="Hyperlink"/>
            <w:rFonts w:ascii="Arial" w:hAnsi="Arial" w:cs="Arial"/>
            <w:sz w:val="18"/>
            <w:lang w:val="en-US"/>
          </w:rPr>
          <w:t>http://goo.gl/hXiL1Y</w:t>
        </w:r>
      </w:hyperlink>
      <w:r w:rsidRPr="00C535A0">
        <w:rPr>
          <w:rFonts w:ascii="Arial" w:hAnsi="Arial" w:cs="Arial"/>
          <w:sz w:val="18"/>
          <w:lang w:val="en-US"/>
        </w:rPr>
        <w:t>. Accessed on July 29, 2016.</w:t>
      </w:r>
    </w:p>
    <w:p w14:paraId="19114771" w14:textId="604AB3D1" w:rsidR="00AB2E91" w:rsidRPr="00C535A0" w:rsidRDefault="00AB2E91" w:rsidP="00C535A0">
      <w:pPr>
        <w:pStyle w:val="p-01"/>
        <w:spacing w:line="240" w:lineRule="auto"/>
        <w:rPr>
          <w:rFonts w:ascii="Arial" w:hAnsi="Arial" w:cs="Arial"/>
          <w:lang w:val="en-US"/>
        </w:rPr>
      </w:pPr>
      <w:r w:rsidRPr="00C535A0">
        <w:rPr>
          <w:rFonts w:ascii="Arial" w:hAnsi="Arial" w:cs="Arial"/>
          <w:lang w:val="en-US"/>
        </w:rPr>
        <w:t xml:space="preserve">In the commercial sector, the disparity of productivity levels is slightly lower among different groups of companies. </w:t>
      </w:r>
      <w:r w:rsidR="00A10F57" w:rsidRPr="00C535A0">
        <w:rPr>
          <w:rFonts w:ascii="Arial" w:hAnsi="Arial" w:cs="Arial"/>
          <w:lang w:val="en-US"/>
        </w:rPr>
        <w:t xml:space="preserve">The productivity of the smallest companies, with up to 19 employees, is nearly half of that seen in the large companies (over 500 employees). However, </w:t>
      </w:r>
      <w:r w:rsidR="00BF5028" w:rsidRPr="00C535A0">
        <w:rPr>
          <w:rFonts w:ascii="Arial" w:hAnsi="Arial" w:cs="Arial"/>
          <w:lang w:val="en-US"/>
        </w:rPr>
        <w:t xml:space="preserve">upon reaching 50 employees, the productivity level among different groups of companies stays quite homogenous, reflecting lower economies of scale in the commercial sector versus the industrial sector. Yet, in the commercial sector, 54% of the employment is in companies with up to 19 employees, which are the least productive companies. The productivity growth of this group of companies could have an important impact on the productivity of the sector as a whole. </w:t>
      </w:r>
    </w:p>
    <w:p w14:paraId="1292162D" w14:textId="68A4E59F" w:rsidR="00AB2E91" w:rsidRPr="00C535A0" w:rsidRDefault="00E32C8A" w:rsidP="00C535A0">
      <w:pPr>
        <w:pStyle w:val="p-01"/>
        <w:keepNext/>
        <w:spacing w:after="120" w:line="240" w:lineRule="auto"/>
        <w:jc w:val="center"/>
        <w:rPr>
          <w:rFonts w:ascii="Arial" w:hAnsi="Arial" w:cs="Arial"/>
          <w:b/>
          <w:sz w:val="20"/>
          <w:szCs w:val="20"/>
          <w:lang w:val="en-US"/>
        </w:rPr>
      </w:pPr>
      <w:r w:rsidRPr="00C535A0">
        <w:rPr>
          <w:rFonts w:ascii="Arial" w:hAnsi="Arial" w:cs="Arial"/>
          <w:b/>
          <w:sz w:val="20"/>
          <w:szCs w:val="20"/>
          <w:lang w:val="en-US"/>
        </w:rPr>
        <w:lastRenderedPageBreak/>
        <w:t>Chart 3</w:t>
      </w:r>
      <w:r w:rsidR="00AB2E91" w:rsidRPr="00C535A0">
        <w:rPr>
          <w:rFonts w:ascii="Arial" w:hAnsi="Arial" w:cs="Arial"/>
          <w:b/>
          <w:sz w:val="20"/>
          <w:szCs w:val="20"/>
          <w:lang w:val="en-US"/>
        </w:rPr>
        <w:t>: Labor productivity and participation in the employed population of commercial companies, according to the employment population range, 2013</w:t>
      </w:r>
    </w:p>
    <w:p w14:paraId="51E9F697" w14:textId="5C95254B" w:rsidR="00AB2E91" w:rsidRPr="00C535A0" w:rsidRDefault="00AB2E91" w:rsidP="00C535A0">
      <w:pPr>
        <w:pStyle w:val="p-01"/>
        <w:spacing w:line="240" w:lineRule="auto"/>
        <w:jc w:val="center"/>
        <w:rPr>
          <w:rFonts w:ascii="Arial" w:hAnsi="Arial" w:cs="Arial"/>
          <w:lang w:val="en-US"/>
        </w:rPr>
      </w:pPr>
      <w:r w:rsidRPr="00C535A0">
        <w:rPr>
          <w:rFonts w:ascii="Arial" w:hAnsi="Arial" w:cs="Arial"/>
          <w:noProof/>
          <w:lang w:val="en-US"/>
        </w:rPr>
        <w:drawing>
          <wp:inline distT="0" distB="0" distL="0" distR="0" wp14:anchorId="60C484F0" wp14:editId="37CCC756">
            <wp:extent cx="5171846" cy="2999232"/>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7844BD" w14:textId="371C99CF" w:rsidR="00AB2E91" w:rsidRPr="00C535A0" w:rsidRDefault="00AB2E91" w:rsidP="00C535A0">
      <w:pPr>
        <w:pStyle w:val="p-01"/>
        <w:spacing w:before="120" w:line="240" w:lineRule="auto"/>
        <w:jc w:val="center"/>
        <w:rPr>
          <w:rFonts w:ascii="Arial" w:hAnsi="Arial" w:cs="Arial"/>
          <w:sz w:val="18"/>
          <w:lang w:val="en-US"/>
        </w:rPr>
      </w:pPr>
      <w:r w:rsidRPr="00C535A0">
        <w:rPr>
          <w:rFonts w:ascii="Arial" w:hAnsi="Arial" w:cs="Arial"/>
          <w:sz w:val="18"/>
          <w:lang w:val="en-US"/>
        </w:rPr>
        <w:t>Source: PAC/IBGE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2"/>
      </w:tblGrid>
      <w:tr w:rsidR="00CE78AE" w:rsidRPr="00C535A0" w14:paraId="33215F93" w14:textId="77777777" w:rsidTr="00166DCA">
        <w:tc>
          <w:tcPr>
            <w:tcW w:w="4644" w:type="dxa"/>
          </w:tcPr>
          <w:p w14:paraId="25AD0FD7" w14:textId="77777777" w:rsidR="00CE78AE" w:rsidRPr="00C535A0" w:rsidRDefault="00CE78AE" w:rsidP="00C535A0">
            <w:pPr>
              <w:spacing w:after="0" w:line="240" w:lineRule="auto"/>
              <w:rPr>
                <w:rFonts w:ascii="Arial" w:hAnsi="Arial" w:cs="Arial"/>
              </w:rPr>
            </w:pPr>
            <w:r w:rsidRPr="00C535A0">
              <w:rPr>
                <w:rFonts w:ascii="Arial" w:hAnsi="Arial" w:cs="Arial"/>
              </w:rPr>
              <w:t xml:space="preserve">Produtividade (R$ 1000) </w:t>
            </w:r>
          </w:p>
        </w:tc>
        <w:tc>
          <w:tcPr>
            <w:tcW w:w="4642" w:type="dxa"/>
          </w:tcPr>
          <w:p w14:paraId="7B457834" w14:textId="77777777" w:rsidR="00CE78AE" w:rsidRPr="00C535A0" w:rsidRDefault="00CE78AE" w:rsidP="00C535A0">
            <w:pPr>
              <w:spacing w:after="0" w:line="240" w:lineRule="auto"/>
              <w:rPr>
                <w:rFonts w:ascii="Arial" w:hAnsi="Arial" w:cs="Arial"/>
              </w:rPr>
            </w:pPr>
            <w:r w:rsidRPr="00C535A0">
              <w:rPr>
                <w:rFonts w:ascii="Arial" w:hAnsi="Arial" w:cs="Arial"/>
              </w:rPr>
              <w:t xml:space="preserve">Productivity (R$ 1000) </w:t>
            </w:r>
          </w:p>
        </w:tc>
      </w:tr>
      <w:tr w:rsidR="00CE78AE" w:rsidRPr="00C535A0" w14:paraId="1D04318B" w14:textId="77777777" w:rsidTr="00166DCA">
        <w:tc>
          <w:tcPr>
            <w:tcW w:w="4644" w:type="dxa"/>
          </w:tcPr>
          <w:p w14:paraId="225C4779" w14:textId="77777777" w:rsidR="00CE78AE" w:rsidRPr="00C535A0" w:rsidRDefault="00CE78AE" w:rsidP="00C535A0">
            <w:pPr>
              <w:spacing w:after="0" w:line="240" w:lineRule="auto"/>
              <w:rPr>
                <w:rFonts w:ascii="Arial" w:hAnsi="Arial" w:cs="Arial"/>
              </w:rPr>
            </w:pPr>
            <w:r w:rsidRPr="00C535A0">
              <w:rPr>
                <w:rFonts w:ascii="Arial" w:hAnsi="Arial" w:cs="Arial"/>
              </w:rPr>
              <w:t xml:space="preserve">Participação  no emprego </w:t>
            </w:r>
          </w:p>
        </w:tc>
        <w:tc>
          <w:tcPr>
            <w:tcW w:w="4642" w:type="dxa"/>
          </w:tcPr>
          <w:p w14:paraId="492EA1DB" w14:textId="77777777" w:rsidR="00CE78AE" w:rsidRPr="00C535A0" w:rsidRDefault="00CE78AE" w:rsidP="00C535A0">
            <w:pPr>
              <w:spacing w:after="0" w:line="240" w:lineRule="auto"/>
              <w:rPr>
                <w:rFonts w:ascii="Arial" w:hAnsi="Arial" w:cs="Arial"/>
              </w:rPr>
            </w:pPr>
            <w:r w:rsidRPr="00C535A0">
              <w:rPr>
                <w:rFonts w:ascii="Arial" w:hAnsi="Arial" w:cs="Arial"/>
              </w:rPr>
              <w:t xml:space="preserve">Employment Participation </w:t>
            </w:r>
          </w:p>
        </w:tc>
      </w:tr>
      <w:tr w:rsidR="00CE78AE" w:rsidRPr="00C535A0" w14:paraId="4D41EE54" w14:textId="77777777" w:rsidTr="00166DCA">
        <w:tc>
          <w:tcPr>
            <w:tcW w:w="4644" w:type="dxa"/>
          </w:tcPr>
          <w:p w14:paraId="44ED52F3" w14:textId="77777777" w:rsidR="00CE78AE" w:rsidRPr="00C535A0" w:rsidRDefault="00CE78AE" w:rsidP="00C535A0">
            <w:pPr>
              <w:spacing w:after="0" w:line="240" w:lineRule="auto"/>
              <w:rPr>
                <w:rFonts w:ascii="Arial" w:hAnsi="Arial" w:cs="Arial"/>
              </w:rPr>
            </w:pPr>
            <w:r w:rsidRPr="00C535A0">
              <w:rPr>
                <w:rFonts w:ascii="Arial" w:hAnsi="Arial" w:cs="Arial"/>
              </w:rPr>
              <w:t>Total</w:t>
            </w:r>
          </w:p>
        </w:tc>
        <w:tc>
          <w:tcPr>
            <w:tcW w:w="4642" w:type="dxa"/>
          </w:tcPr>
          <w:p w14:paraId="5F94099E" w14:textId="77777777" w:rsidR="00CE78AE" w:rsidRPr="00C535A0" w:rsidRDefault="00CE78AE" w:rsidP="00C535A0">
            <w:pPr>
              <w:spacing w:after="0" w:line="240" w:lineRule="auto"/>
              <w:rPr>
                <w:rFonts w:ascii="Arial" w:hAnsi="Arial" w:cs="Arial"/>
              </w:rPr>
            </w:pPr>
            <w:r w:rsidRPr="00C535A0">
              <w:rPr>
                <w:rFonts w:ascii="Arial" w:hAnsi="Arial" w:cs="Arial"/>
              </w:rPr>
              <w:t>Total</w:t>
            </w:r>
          </w:p>
        </w:tc>
      </w:tr>
      <w:tr w:rsidR="00CE78AE" w:rsidRPr="00C535A0" w14:paraId="4EEF6D0D" w14:textId="77777777" w:rsidTr="00166DCA">
        <w:tc>
          <w:tcPr>
            <w:tcW w:w="4644" w:type="dxa"/>
          </w:tcPr>
          <w:p w14:paraId="7560F6FC" w14:textId="77777777" w:rsidR="00CE78AE" w:rsidRPr="00C535A0" w:rsidRDefault="00CE78AE" w:rsidP="00C535A0">
            <w:pPr>
              <w:spacing w:after="0" w:line="240" w:lineRule="auto"/>
              <w:ind w:left="720" w:hanging="720"/>
              <w:rPr>
                <w:rFonts w:ascii="Arial" w:hAnsi="Arial" w:cs="Arial"/>
              </w:rPr>
            </w:pPr>
            <w:r w:rsidRPr="00C535A0">
              <w:rPr>
                <w:rFonts w:ascii="Arial" w:hAnsi="Arial" w:cs="Arial"/>
              </w:rPr>
              <w:t>Até 19 pessoas</w:t>
            </w:r>
          </w:p>
        </w:tc>
        <w:tc>
          <w:tcPr>
            <w:tcW w:w="4642" w:type="dxa"/>
          </w:tcPr>
          <w:p w14:paraId="23F02606" w14:textId="77777777" w:rsidR="00CE78AE" w:rsidRPr="00C535A0" w:rsidRDefault="00CE78AE" w:rsidP="00C535A0">
            <w:pPr>
              <w:spacing w:after="0" w:line="240" w:lineRule="auto"/>
              <w:ind w:left="720" w:hanging="720"/>
              <w:rPr>
                <w:rFonts w:ascii="Arial" w:hAnsi="Arial" w:cs="Arial"/>
              </w:rPr>
            </w:pPr>
            <w:r w:rsidRPr="00C535A0">
              <w:rPr>
                <w:rFonts w:ascii="Arial" w:hAnsi="Arial" w:cs="Arial"/>
              </w:rPr>
              <w:t>Up to 19 people</w:t>
            </w:r>
          </w:p>
        </w:tc>
      </w:tr>
      <w:tr w:rsidR="00CE78AE" w:rsidRPr="00C535A0" w14:paraId="26C4107C" w14:textId="77777777" w:rsidTr="00166DCA">
        <w:tc>
          <w:tcPr>
            <w:tcW w:w="4644" w:type="dxa"/>
          </w:tcPr>
          <w:p w14:paraId="52376064" w14:textId="77777777" w:rsidR="00CE78AE" w:rsidRPr="00C535A0" w:rsidRDefault="00CE78AE" w:rsidP="00C535A0">
            <w:pPr>
              <w:spacing w:after="0" w:line="240" w:lineRule="auto"/>
              <w:rPr>
                <w:rFonts w:ascii="Arial" w:hAnsi="Arial" w:cs="Arial"/>
              </w:rPr>
            </w:pPr>
            <w:r w:rsidRPr="00C535A0">
              <w:rPr>
                <w:rFonts w:ascii="Arial" w:hAnsi="Arial" w:cs="Arial"/>
              </w:rPr>
              <w:t xml:space="preserve">De 20 a 49 pessoas </w:t>
            </w:r>
          </w:p>
        </w:tc>
        <w:tc>
          <w:tcPr>
            <w:tcW w:w="4642" w:type="dxa"/>
          </w:tcPr>
          <w:p w14:paraId="3179BFE9" w14:textId="77777777" w:rsidR="00CE78AE" w:rsidRPr="00C535A0" w:rsidRDefault="00CE78AE" w:rsidP="00C535A0">
            <w:pPr>
              <w:spacing w:after="0" w:line="240" w:lineRule="auto"/>
              <w:rPr>
                <w:rFonts w:ascii="Arial" w:hAnsi="Arial" w:cs="Arial"/>
              </w:rPr>
            </w:pPr>
            <w:r w:rsidRPr="00C535A0">
              <w:rPr>
                <w:rFonts w:ascii="Arial" w:hAnsi="Arial" w:cs="Arial"/>
              </w:rPr>
              <w:t xml:space="preserve">20 to 49 people </w:t>
            </w:r>
          </w:p>
        </w:tc>
      </w:tr>
      <w:tr w:rsidR="00CE78AE" w:rsidRPr="00C535A0" w14:paraId="3D8AB2C6" w14:textId="77777777" w:rsidTr="00166DCA">
        <w:tc>
          <w:tcPr>
            <w:tcW w:w="4644" w:type="dxa"/>
          </w:tcPr>
          <w:p w14:paraId="4AB9196C" w14:textId="77777777" w:rsidR="00CE78AE" w:rsidRPr="00C535A0" w:rsidRDefault="00CE78AE" w:rsidP="00C535A0">
            <w:pPr>
              <w:spacing w:after="0" w:line="240" w:lineRule="auto"/>
              <w:rPr>
                <w:rFonts w:ascii="Arial" w:hAnsi="Arial" w:cs="Arial"/>
              </w:rPr>
            </w:pPr>
            <w:r w:rsidRPr="00C535A0">
              <w:rPr>
                <w:rFonts w:ascii="Arial" w:hAnsi="Arial" w:cs="Arial"/>
              </w:rPr>
              <w:t>De 50 a 99 pessoas</w:t>
            </w:r>
          </w:p>
        </w:tc>
        <w:tc>
          <w:tcPr>
            <w:tcW w:w="4642" w:type="dxa"/>
          </w:tcPr>
          <w:p w14:paraId="3A111CCD" w14:textId="77777777" w:rsidR="00CE78AE" w:rsidRPr="00C535A0" w:rsidRDefault="00CE78AE" w:rsidP="00C535A0">
            <w:pPr>
              <w:spacing w:after="0" w:line="240" w:lineRule="auto"/>
              <w:rPr>
                <w:rFonts w:ascii="Arial" w:hAnsi="Arial" w:cs="Arial"/>
              </w:rPr>
            </w:pPr>
            <w:r w:rsidRPr="00C535A0">
              <w:rPr>
                <w:rFonts w:ascii="Arial" w:hAnsi="Arial" w:cs="Arial"/>
              </w:rPr>
              <w:t>50 to 99 people</w:t>
            </w:r>
          </w:p>
        </w:tc>
      </w:tr>
      <w:tr w:rsidR="00CE78AE" w:rsidRPr="00C535A0" w14:paraId="0E9933F1" w14:textId="77777777" w:rsidTr="00166DCA">
        <w:tc>
          <w:tcPr>
            <w:tcW w:w="4644" w:type="dxa"/>
          </w:tcPr>
          <w:p w14:paraId="0CF928A7" w14:textId="77777777" w:rsidR="00CE78AE" w:rsidRPr="00C535A0" w:rsidRDefault="00CE78AE" w:rsidP="00C535A0">
            <w:pPr>
              <w:spacing w:after="0" w:line="240" w:lineRule="auto"/>
              <w:rPr>
                <w:rFonts w:ascii="Arial" w:hAnsi="Arial" w:cs="Arial"/>
              </w:rPr>
            </w:pPr>
            <w:r w:rsidRPr="00C535A0">
              <w:rPr>
                <w:rFonts w:ascii="Arial" w:hAnsi="Arial" w:cs="Arial"/>
              </w:rPr>
              <w:t>De 100 a 249 pessoas</w:t>
            </w:r>
          </w:p>
        </w:tc>
        <w:tc>
          <w:tcPr>
            <w:tcW w:w="4642" w:type="dxa"/>
          </w:tcPr>
          <w:p w14:paraId="4D995686" w14:textId="77777777" w:rsidR="00CE78AE" w:rsidRPr="00C535A0" w:rsidRDefault="00CE78AE" w:rsidP="00C535A0">
            <w:pPr>
              <w:spacing w:after="0" w:line="240" w:lineRule="auto"/>
              <w:rPr>
                <w:rFonts w:ascii="Arial" w:hAnsi="Arial" w:cs="Arial"/>
              </w:rPr>
            </w:pPr>
            <w:r w:rsidRPr="00C535A0">
              <w:rPr>
                <w:rFonts w:ascii="Arial" w:hAnsi="Arial" w:cs="Arial"/>
              </w:rPr>
              <w:t>100 to 249 people</w:t>
            </w:r>
          </w:p>
        </w:tc>
      </w:tr>
      <w:tr w:rsidR="00CE78AE" w:rsidRPr="00C535A0" w14:paraId="7E150645" w14:textId="77777777" w:rsidTr="00166DCA">
        <w:tc>
          <w:tcPr>
            <w:tcW w:w="4644" w:type="dxa"/>
          </w:tcPr>
          <w:p w14:paraId="266A4F30" w14:textId="77777777" w:rsidR="00CE78AE" w:rsidRPr="00C535A0" w:rsidRDefault="00CE78AE" w:rsidP="00C535A0">
            <w:pPr>
              <w:spacing w:after="0" w:line="240" w:lineRule="auto"/>
              <w:rPr>
                <w:rFonts w:ascii="Arial" w:hAnsi="Arial" w:cs="Arial"/>
              </w:rPr>
            </w:pPr>
            <w:r w:rsidRPr="00C535A0">
              <w:rPr>
                <w:rFonts w:ascii="Arial" w:hAnsi="Arial" w:cs="Arial"/>
              </w:rPr>
              <w:t>De 250 a 499 pessoas</w:t>
            </w:r>
          </w:p>
        </w:tc>
        <w:tc>
          <w:tcPr>
            <w:tcW w:w="4642" w:type="dxa"/>
          </w:tcPr>
          <w:p w14:paraId="576CA579" w14:textId="77777777" w:rsidR="00CE78AE" w:rsidRPr="00C535A0" w:rsidRDefault="00CE78AE" w:rsidP="00C535A0">
            <w:pPr>
              <w:spacing w:after="0" w:line="240" w:lineRule="auto"/>
              <w:rPr>
                <w:rFonts w:ascii="Arial" w:hAnsi="Arial" w:cs="Arial"/>
              </w:rPr>
            </w:pPr>
            <w:r w:rsidRPr="00C535A0">
              <w:rPr>
                <w:rFonts w:ascii="Arial" w:hAnsi="Arial" w:cs="Arial"/>
              </w:rPr>
              <w:t>250 to 499 people</w:t>
            </w:r>
          </w:p>
        </w:tc>
      </w:tr>
      <w:tr w:rsidR="00CE78AE" w:rsidRPr="00C535A0" w14:paraId="43198044" w14:textId="77777777" w:rsidTr="00166DCA">
        <w:tc>
          <w:tcPr>
            <w:tcW w:w="4644" w:type="dxa"/>
          </w:tcPr>
          <w:p w14:paraId="079E73D0" w14:textId="77777777" w:rsidR="00CE78AE" w:rsidRPr="00C535A0" w:rsidRDefault="00CE78AE" w:rsidP="00C535A0">
            <w:pPr>
              <w:spacing w:after="0" w:line="240" w:lineRule="auto"/>
              <w:rPr>
                <w:rFonts w:ascii="Arial" w:hAnsi="Arial" w:cs="Arial"/>
              </w:rPr>
            </w:pPr>
            <w:r w:rsidRPr="00C535A0">
              <w:rPr>
                <w:rFonts w:ascii="Arial" w:hAnsi="Arial" w:cs="Arial"/>
              </w:rPr>
              <w:t>500 ou mais pessoas</w:t>
            </w:r>
          </w:p>
        </w:tc>
        <w:tc>
          <w:tcPr>
            <w:tcW w:w="4642" w:type="dxa"/>
          </w:tcPr>
          <w:p w14:paraId="64CDB805" w14:textId="77777777" w:rsidR="00CE78AE" w:rsidRPr="00C535A0" w:rsidRDefault="00CE78AE" w:rsidP="00C535A0">
            <w:pPr>
              <w:spacing w:after="0" w:line="240" w:lineRule="auto"/>
              <w:rPr>
                <w:rFonts w:ascii="Arial" w:hAnsi="Arial" w:cs="Arial"/>
              </w:rPr>
            </w:pPr>
            <w:r w:rsidRPr="00C535A0">
              <w:rPr>
                <w:rFonts w:ascii="Arial" w:hAnsi="Arial" w:cs="Arial"/>
              </w:rPr>
              <w:t>500 or more people</w:t>
            </w:r>
          </w:p>
        </w:tc>
      </w:tr>
    </w:tbl>
    <w:p w14:paraId="7DB7EE60" w14:textId="77777777" w:rsidR="00CE78AE" w:rsidRPr="00C535A0" w:rsidRDefault="00CE78AE" w:rsidP="00C535A0">
      <w:pPr>
        <w:pStyle w:val="p-01"/>
        <w:spacing w:line="240" w:lineRule="auto"/>
        <w:rPr>
          <w:rFonts w:ascii="Arial" w:hAnsi="Arial" w:cs="Arial"/>
          <w:lang w:val="en-US"/>
        </w:rPr>
      </w:pPr>
    </w:p>
    <w:p w14:paraId="434A98B4" w14:textId="3D682496" w:rsidR="00AB2E91" w:rsidRPr="00C535A0" w:rsidRDefault="00AB2E91" w:rsidP="00C535A0">
      <w:pPr>
        <w:pStyle w:val="p-01"/>
        <w:spacing w:line="240" w:lineRule="auto"/>
        <w:rPr>
          <w:rFonts w:ascii="Arial" w:hAnsi="Arial" w:cs="Arial"/>
          <w:lang w:val="en-US"/>
        </w:rPr>
      </w:pPr>
      <w:r w:rsidRPr="00C535A0">
        <w:rPr>
          <w:rFonts w:ascii="Arial" w:hAnsi="Arial" w:cs="Arial"/>
          <w:lang w:val="en-US"/>
        </w:rPr>
        <w:t xml:space="preserve">This phenomenon, which the structure-based literature generally refers to as “productive homogeneity,” limits the aggregate productivity growth potential as a result of several factors. </w:t>
      </w:r>
    </w:p>
    <w:p w14:paraId="4D7B77ED" w14:textId="64020C7B" w:rsidR="00AB2E91" w:rsidRPr="00C535A0" w:rsidRDefault="00AB2E91" w:rsidP="00C535A0">
      <w:pPr>
        <w:pStyle w:val="p-01"/>
        <w:spacing w:line="240" w:lineRule="auto"/>
        <w:rPr>
          <w:rFonts w:ascii="Arial" w:hAnsi="Arial" w:cs="Arial"/>
          <w:lang w:val="en-US"/>
        </w:rPr>
      </w:pPr>
      <w:r w:rsidRPr="00C535A0">
        <w:rPr>
          <w:rFonts w:ascii="Arial" w:hAnsi="Arial" w:cs="Arial"/>
          <w:lang w:val="en-US"/>
        </w:rPr>
        <w:t>First of all, there is a clear selection problem</w:t>
      </w:r>
      <w:r w:rsidR="00DD4905" w:rsidRPr="00C535A0">
        <w:rPr>
          <w:rFonts w:ascii="Arial" w:hAnsi="Arial" w:cs="Arial"/>
          <w:lang w:val="en-US"/>
        </w:rPr>
        <w:t xml:space="preserve">: </w:t>
      </w:r>
      <w:r w:rsidRPr="00C535A0">
        <w:rPr>
          <w:rFonts w:ascii="Arial" w:hAnsi="Arial" w:cs="Arial"/>
          <w:lang w:val="en-US"/>
        </w:rPr>
        <w:t xml:space="preserve">low levels of competition in the domestic market enable the survival of companies with </w:t>
      </w:r>
      <w:r w:rsidR="00DD4905" w:rsidRPr="00C535A0">
        <w:rPr>
          <w:rFonts w:ascii="Arial" w:hAnsi="Arial" w:cs="Arial"/>
          <w:lang w:val="en-US"/>
        </w:rPr>
        <w:t xml:space="preserve">low </w:t>
      </w:r>
      <w:r w:rsidRPr="00C535A0">
        <w:rPr>
          <w:rFonts w:ascii="Arial" w:hAnsi="Arial" w:cs="Arial"/>
          <w:lang w:val="en-US"/>
        </w:rPr>
        <w:t xml:space="preserve">efficiency levels. On the other hand, </w:t>
      </w:r>
      <w:r w:rsidR="00DD4905" w:rsidRPr="00C535A0">
        <w:rPr>
          <w:rFonts w:ascii="Arial" w:hAnsi="Arial" w:cs="Arial"/>
          <w:lang w:val="en-US"/>
        </w:rPr>
        <w:t xml:space="preserve">micro, </w:t>
      </w:r>
      <w:r w:rsidRPr="00C535A0">
        <w:rPr>
          <w:rFonts w:ascii="Arial" w:hAnsi="Arial" w:cs="Arial"/>
          <w:lang w:val="en-US"/>
        </w:rPr>
        <w:t>small, and medium enterprises encounter other types of problems that affect their productivity indicators and the growth potential of these indicators. Among these problems</w:t>
      </w:r>
      <w:r w:rsidR="00DD4905" w:rsidRPr="00C535A0">
        <w:rPr>
          <w:rFonts w:ascii="Arial" w:hAnsi="Arial" w:cs="Arial"/>
          <w:lang w:val="en-US"/>
        </w:rPr>
        <w:t xml:space="preserve"> are</w:t>
      </w:r>
      <w:r w:rsidRPr="00C535A0">
        <w:rPr>
          <w:rFonts w:ascii="Arial" w:hAnsi="Arial" w:cs="Arial"/>
          <w:lang w:val="en-US"/>
        </w:rPr>
        <w:t>:</w:t>
      </w:r>
    </w:p>
    <w:p w14:paraId="0BF3330E" w14:textId="18BF022C" w:rsidR="00AB2E91" w:rsidRPr="00C535A0" w:rsidRDefault="00AB2E91" w:rsidP="00C535A0">
      <w:pPr>
        <w:pStyle w:val="p-02"/>
        <w:spacing w:line="240" w:lineRule="auto"/>
        <w:rPr>
          <w:rFonts w:ascii="Arial" w:hAnsi="Arial" w:cs="Arial"/>
          <w:lang w:val="en-US"/>
        </w:rPr>
      </w:pPr>
      <w:r w:rsidRPr="00C535A0">
        <w:rPr>
          <w:rFonts w:ascii="Arial" w:hAnsi="Arial" w:cs="Arial"/>
          <w:lang w:val="en-US"/>
        </w:rPr>
        <w:t xml:space="preserve">Management problems, more common in smaller companies, </w:t>
      </w:r>
      <w:r w:rsidR="00DD4905" w:rsidRPr="00C535A0">
        <w:rPr>
          <w:rFonts w:ascii="Arial" w:hAnsi="Arial" w:cs="Arial"/>
          <w:lang w:val="en-US"/>
        </w:rPr>
        <w:t xml:space="preserve">in which </w:t>
      </w:r>
      <w:r w:rsidRPr="00C535A0">
        <w:rPr>
          <w:rFonts w:ascii="Arial" w:hAnsi="Arial" w:cs="Arial"/>
          <w:lang w:val="en-US"/>
        </w:rPr>
        <w:t>modern management methods are not always implemented</w:t>
      </w:r>
      <w:r w:rsidR="00DD4905" w:rsidRPr="00C535A0">
        <w:rPr>
          <w:rFonts w:ascii="Arial" w:hAnsi="Arial" w:cs="Arial"/>
          <w:lang w:val="en-US"/>
        </w:rPr>
        <w:t>;</w:t>
      </w:r>
    </w:p>
    <w:p w14:paraId="21ACFAF4" w14:textId="50516C6F" w:rsidR="00DD4905" w:rsidRPr="00C535A0" w:rsidRDefault="00DD4905" w:rsidP="00C535A0">
      <w:pPr>
        <w:pStyle w:val="p-02"/>
        <w:spacing w:line="240" w:lineRule="auto"/>
        <w:rPr>
          <w:rFonts w:ascii="Arial" w:hAnsi="Arial" w:cs="Arial"/>
          <w:lang w:val="en-US"/>
        </w:rPr>
      </w:pPr>
      <w:r w:rsidRPr="00C535A0">
        <w:rPr>
          <w:rFonts w:ascii="Arial" w:hAnsi="Arial" w:cs="Arial"/>
          <w:lang w:val="en-US"/>
        </w:rPr>
        <w:t>Difficulties with bureaucracy and the business climate, which more strongly affect smaller companies. and</w:t>
      </w:r>
      <w:r w:rsidRPr="00C535A0" w:rsidDel="00DD4905">
        <w:rPr>
          <w:rFonts w:ascii="Arial" w:hAnsi="Arial" w:cs="Arial"/>
          <w:lang w:val="en-US"/>
        </w:rPr>
        <w:t xml:space="preserve"> </w:t>
      </w:r>
    </w:p>
    <w:p w14:paraId="7994154C" w14:textId="3E327063" w:rsidR="00AB2E91" w:rsidRPr="00C535A0" w:rsidRDefault="00AB2E91" w:rsidP="00C535A0">
      <w:pPr>
        <w:pStyle w:val="p-02"/>
        <w:spacing w:line="240" w:lineRule="auto"/>
        <w:rPr>
          <w:rFonts w:ascii="Arial" w:hAnsi="Arial" w:cs="Arial"/>
          <w:lang w:val="en-US"/>
        </w:rPr>
      </w:pPr>
      <w:r w:rsidRPr="00C535A0">
        <w:rPr>
          <w:rFonts w:ascii="Arial" w:hAnsi="Arial" w:cs="Arial"/>
          <w:lang w:val="en-US"/>
        </w:rPr>
        <w:t>Access to credit, less available for small companies</w:t>
      </w:r>
      <w:r w:rsidR="00514591" w:rsidRPr="00C535A0">
        <w:rPr>
          <w:rFonts w:ascii="Arial" w:hAnsi="Arial" w:cs="Arial"/>
          <w:lang w:val="en-US"/>
        </w:rPr>
        <w:t>, since aspects related to the reduced scale of operations</w:t>
      </w:r>
      <w:r w:rsidR="00FE5597" w:rsidRPr="00C535A0">
        <w:rPr>
          <w:rFonts w:ascii="Arial" w:hAnsi="Arial" w:cs="Arial"/>
          <w:lang w:val="en-US"/>
        </w:rPr>
        <w:t xml:space="preserve">, </w:t>
      </w:r>
      <w:r w:rsidR="00514591" w:rsidRPr="00C535A0">
        <w:rPr>
          <w:rFonts w:ascii="Arial" w:hAnsi="Arial" w:cs="Arial"/>
          <w:lang w:val="en-US"/>
        </w:rPr>
        <w:t xml:space="preserve">the asymmetry of information </w:t>
      </w:r>
      <w:r w:rsidR="00FE5597" w:rsidRPr="00C535A0">
        <w:rPr>
          <w:rFonts w:ascii="Arial" w:hAnsi="Arial" w:cs="Arial"/>
          <w:lang w:val="en-US"/>
        </w:rPr>
        <w:t xml:space="preserve">and the lack of real </w:t>
      </w:r>
      <w:r w:rsidR="00FE5597" w:rsidRPr="00C535A0">
        <w:rPr>
          <w:rFonts w:ascii="Arial" w:hAnsi="Arial" w:cs="Arial"/>
          <w:lang w:val="en-US"/>
        </w:rPr>
        <w:lastRenderedPageBreak/>
        <w:t xml:space="preserve">guarantees </w:t>
      </w:r>
      <w:r w:rsidR="00514591" w:rsidRPr="00C535A0">
        <w:rPr>
          <w:rFonts w:ascii="Arial" w:hAnsi="Arial" w:cs="Arial"/>
          <w:lang w:val="en-US"/>
        </w:rPr>
        <w:t>can inhibit the presence of private agents in the financing of these companies</w:t>
      </w:r>
      <w:r w:rsidR="004879C7" w:rsidRPr="00C535A0">
        <w:rPr>
          <w:rStyle w:val="FootnoteReference"/>
          <w:rFonts w:ascii="Arial" w:hAnsi="Arial" w:cs="Arial"/>
          <w:lang w:val="en-US"/>
        </w:rPr>
        <w:footnoteReference w:id="8"/>
      </w:r>
      <w:r w:rsidRPr="00C535A0">
        <w:rPr>
          <w:rFonts w:ascii="Arial" w:hAnsi="Arial" w:cs="Arial"/>
          <w:lang w:val="en-US"/>
        </w:rPr>
        <w:t>.</w:t>
      </w:r>
    </w:p>
    <w:p w14:paraId="590BA45F" w14:textId="60DBD54E" w:rsidR="00AB2E91" w:rsidRPr="00C535A0" w:rsidRDefault="00AB2E91" w:rsidP="00C535A0">
      <w:pPr>
        <w:pStyle w:val="p-01"/>
        <w:spacing w:line="240" w:lineRule="auto"/>
        <w:rPr>
          <w:rFonts w:ascii="Arial" w:hAnsi="Arial" w:cs="Arial"/>
          <w:lang w:val="en-US"/>
        </w:rPr>
      </w:pPr>
      <w:r w:rsidRPr="00C535A0">
        <w:rPr>
          <w:rFonts w:ascii="Arial" w:hAnsi="Arial" w:cs="Arial"/>
          <w:lang w:val="en-US"/>
        </w:rPr>
        <w:t xml:space="preserve">These difficulties may contribute significantly to </w:t>
      </w:r>
      <w:r w:rsidR="00BF5028" w:rsidRPr="00C535A0">
        <w:rPr>
          <w:rFonts w:ascii="Arial" w:hAnsi="Arial" w:cs="Arial"/>
          <w:lang w:val="en-US"/>
        </w:rPr>
        <w:t>the growing efficiency levels of these companies and, consequently, an increase in the aggregate productivity indictors. In fact, g</w:t>
      </w:r>
      <w:r w:rsidRPr="00C535A0">
        <w:rPr>
          <w:rFonts w:ascii="Arial" w:hAnsi="Arial" w:cs="Arial"/>
          <w:lang w:val="en-US"/>
        </w:rPr>
        <w:t xml:space="preserve">iven the weight of these companies in total employment, it is easy to see that a small increase in the productivity of this group of companies could generate significant gains in the aggregate productivity of the economy. </w:t>
      </w:r>
    </w:p>
    <w:p w14:paraId="7D855A62" w14:textId="0C3DBED1" w:rsidR="00E50355" w:rsidRPr="00C535A0" w:rsidRDefault="00E50355" w:rsidP="00C535A0">
      <w:pPr>
        <w:spacing w:line="240" w:lineRule="auto"/>
        <w:jc w:val="both"/>
        <w:rPr>
          <w:rFonts w:ascii="Arial" w:hAnsi="Arial" w:cs="Arial"/>
          <w:lang w:val="en-US"/>
        </w:rPr>
      </w:pPr>
      <w:r w:rsidRPr="00C535A0">
        <w:rPr>
          <w:rFonts w:ascii="Arial" w:hAnsi="Arial" w:cs="Arial"/>
          <w:lang w:val="en-US"/>
        </w:rPr>
        <w:t>Upon analyzing the economies of scale and the scope of the Brazilian manufacturing industry, Esteves (201</w:t>
      </w:r>
      <w:r w:rsidR="00A21921" w:rsidRPr="00C535A0">
        <w:rPr>
          <w:rFonts w:ascii="Arial" w:hAnsi="Arial" w:cs="Arial"/>
          <w:lang w:val="en-US"/>
        </w:rPr>
        <w:t>5</w:t>
      </w:r>
      <w:r w:rsidRPr="00C535A0">
        <w:rPr>
          <w:rFonts w:ascii="Arial" w:hAnsi="Arial" w:cs="Arial"/>
          <w:lang w:val="en-US"/>
        </w:rPr>
        <w:t>)</w:t>
      </w:r>
      <w:r w:rsidR="00802CE4" w:rsidRPr="00C535A0">
        <w:rPr>
          <w:rFonts w:ascii="Arial" w:hAnsi="Arial" w:cs="Arial"/>
          <w:lang w:val="en-US"/>
        </w:rPr>
        <w:t xml:space="preserve">, </w:t>
      </w:r>
      <w:r w:rsidRPr="00C535A0">
        <w:rPr>
          <w:rFonts w:ascii="Arial" w:hAnsi="Arial" w:cs="Arial"/>
          <w:lang w:val="en-US"/>
        </w:rPr>
        <w:t xml:space="preserve">argues that productivity gains could occur through the reallocation of resources and also the implementation of measures that reduce the dispersion of technical efficiency indices, more related to institutional factors or technical progress. In this sense, the author suggests that factors such as benchmarking the best corporate practices and local public administrations could be as significant in determining and increasing productivity as macroeconomic factors. </w:t>
      </w:r>
      <w:r w:rsidR="00FE5597" w:rsidRPr="00C535A0">
        <w:rPr>
          <w:rFonts w:ascii="Arial" w:hAnsi="Arial" w:cs="Arial"/>
          <w:lang w:val="en-US"/>
        </w:rPr>
        <w:t>Additionally, the removal of barriers that hinder access to credit – through the actions of development banks – may contribute to these companies achieving higher productivity levels</w:t>
      </w:r>
      <w:r w:rsidR="004879C7" w:rsidRPr="00C535A0">
        <w:rPr>
          <w:rFonts w:ascii="Arial" w:hAnsi="Arial" w:cs="Arial"/>
          <w:lang w:val="en-US"/>
        </w:rPr>
        <w:t xml:space="preserve">, through investments in modernization or the expansion of production capacity. </w:t>
      </w:r>
    </w:p>
    <w:p w14:paraId="4C559163" w14:textId="77777777" w:rsidR="004824B4" w:rsidRPr="00C535A0" w:rsidRDefault="00DC1F87" w:rsidP="00C535A0">
      <w:pPr>
        <w:pStyle w:val="Heading2"/>
        <w:spacing w:line="240" w:lineRule="auto"/>
        <w:rPr>
          <w:rFonts w:ascii="Arial" w:hAnsi="Arial" w:cs="Arial"/>
          <w:lang w:val="en-US"/>
        </w:rPr>
      </w:pPr>
      <w:r w:rsidRPr="00C535A0">
        <w:rPr>
          <w:rFonts w:ascii="Arial" w:hAnsi="Arial" w:cs="Arial"/>
          <w:lang w:val="en-US"/>
        </w:rPr>
        <w:t>Infrastructure</w:t>
      </w:r>
    </w:p>
    <w:p w14:paraId="7C9C5917" w14:textId="197F3C4A" w:rsidR="00E50355" w:rsidRPr="00C535A0" w:rsidRDefault="004772E9" w:rsidP="00C535A0">
      <w:pPr>
        <w:spacing w:line="240" w:lineRule="auto"/>
        <w:jc w:val="both"/>
        <w:rPr>
          <w:rFonts w:ascii="Arial" w:hAnsi="Arial" w:cs="Arial"/>
          <w:lang w:val="en-US"/>
        </w:rPr>
      </w:pPr>
      <w:r w:rsidRPr="00C535A0">
        <w:rPr>
          <w:rFonts w:ascii="Arial" w:hAnsi="Arial" w:cs="Arial"/>
          <w:lang w:val="en-US"/>
        </w:rPr>
        <w:t xml:space="preserve">Investments in infrastructure involve projects in the areas of </w:t>
      </w:r>
      <w:r w:rsidRPr="00C535A0">
        <w:rPr>
          <w:rFonts w:ascii="Arial" w:hAnsi="Arial" w:cs="Arial"/>
          <w:i/>
          <w:lang w:val="en-US"/>
        </w:rPr>
        <w:t>i)</w:t>
      </w:r>
      <w:r w:rsidRPr="00C535A0">
        <w:rPr>
          <w:rFonts w:ascii="Arial" w:hAnsi="Arial" w:cs="Arial"/>
          <w:lang w:val="en-US"/>
        </w:rPr>
        <w:t xml:space="preserve"> water, sewage and garbage; </w:t>
      </w:r>
      <w:r w:rsidRPr="00C535A0">
        <w:rPr>
          <w:rFonts w:ascii="Arial" w:hAnsi="Arial" w:cs="Arial"/>
          <w:i/>
          <w:lang w:val="en-US"/>
        </w:rPr>
        <w:t>ii)</w:t>
      </w:r>
      <w:r w:rsidRPr="00C535A0">
        <w:rPr>
          <w:rFonts w:ascii="Arial" w:hAnsi="Arial" w:cs="Arial"/>
          <w:lang w:val="en-US"/>
        </w:rPr>
        <w:t xml:space="preserve"> electricity and gas; </w:t>
      </w:r>
      <w:r w:rsidRPr="00C535A0">
        <w:rPr>
          <w:rFonts w:ascii="Arial" w:hAnsi="Arial" w:cs="Arial"/>
          <w:i/>
          <w:lang w:val="en-US"/>
        </w:rPr>
        <w:t>iii)</w:t>
      </w:r>
      <w:r w:rsidRPr="00C535A0">
        <w:rPr>
          <w:rFonts w:ascii="Arial" w:hAnsi="Arial" w:cs="Arial"/>
          <w:lang w:val="en-US"/>
        </w:rPr>
        <w:t xml:space="preserve"> telecommunications; and </w:t>
      </w:r>
      <w:r w:rsidRPr="00C535A0">
        <w:rPr>
          <w:rFonts w:ascii="Arial" w:hAnsi="Arial" w:cs="Arial"/>
          <w:i/>
          <w:lang w:val="en-US"/>
        </w:rPr>
        <w:t>iv)</w:t>
      </w:r>
      <w:r w:rsidRPr="00C535A0">
        <w:rPr>
          <w:rFonts w:ascii="Arial" w:hAnsi="Arial" w:cs="Arial"/>
          <w:lang w:val="en-US"/>
        </w:rPr>
        <w:t xml:space="preserve"> transportation (air, water and ground). </w:t>
      </w:r>
      <w:r w:rsidR="00753360" w:rsidRPr="00C535A0">
        <w:rPr>
          <w:rFonts w:ascii="Arial" w:hAnsi="Arial" w:cs="Arial"/>
          <w:lang w:val="en-US"/>
        </w:rPr>
        <w:t xml:space="preserve">The relationship between </w:t>
      </w:r>
      <w:r w:rsidR="00A77840" w:rsidRPr="00C535A0">
        <w:rPr>
          <w:rFonts w:ascii="Arial" w:hAnsi="Arial" w:cs="Arial"/>
          <w:lang w:val="en-US"/>
        </w:rPr>
        <w:t xml:space="preserve">the investments in these segments </w:t>
      </w:r>
      <w:r w:rsidR="00753360" w:rsidRPr="00C535A0">
        <w:rPr>
          <w:rFonts w:ascii="Arial" w:hAnsi="Arial" w:cs="Arial"/>
          <w:lang w:val="en-US"/>
        </w:rPr>
        <w:t xml:space="preserve">and economic growth are </w:t>
      </w:r>
      <w:r w:rsidR="00FE5597" w:rsidRPr="00C535A0">
        <w:rPr>
          <w:rFonts w:ascii="Arial" w:hAnsi="Arial" w:cs="Arial"/>
          <w:lang w:val="en-US"/>
        </w:rPr>
        <w:t>highly</w:t>
      </w:r>
      <w:r w:rsidR="00753360" w:rsidRPr="00C535A0">
        <w:rPr>
          <w:rFonts w:ascii="Arial" w:hAnsi="Arial" w:cs="Arial"/>
          <w:lang w:val="en-US"/>
        </w:rPr>
        <w:t xml:space="preserve"> documented in economic literature, although it is difficult to econometrically</w:t>
      </w:r>
      <w:r w:rsidR="00466474" w:rsidRPr="00C535A0">
        <w:rPr>
          <w:rFonts w:ascii="Arial" w:hAnsi="Arial" w:cs="Arial"/>
          <w:lang w:val="en-US"/>
        </w:rPr>
        <w:t xml:space="preserve"> </w:t>
      </w:r>
      <w:r w:rsidR="00753360" w:rsidRPr="00C535A0">
        <w:rPr>
          <w:rFonts w:ascii="Arial" w:hAnsi="Arial" w:cs="Arial"/>
          <w:lang w:val="en-US"/>
        </w:rPr>
        <w:t>estimate their impacts. P</w:t>
      </w:r>
      <w:r w:rsidR="00E50355" w:rsidRPr="00C535A0">
        <w:rPr>
          <w:rFonts w:ascii="Arial" w:hAnsi="Arial" w:cs="Arial"/>
          <w:lang w:val="en-US"/>
        </w:rPr>
        <w:t xml:space="preserve">erhaps one of the main bottlenecks for productivity growth in Brazil are the </w:t>
      </w:r>
      <w:r w:rsidR="00753360" w:rsidRPr="00C535A0">
        <w:rPr>
          <w:rFonts w:ascii="Arial" w:hAnsi="Arial" w:cs="Arial"/>
          <w:lang w:val="en-US"/>
        </w:rPr>
        <w:t xml:space="preserve">poor </w:t>
      </w:r>
      <w:r w:rsidR="00E50355" w:rsidRPr="00C535A0">
        <w:rPr>
          <w:rFonts w:ascii="Arial" w:hAnsi="Arial" w:cs="Arial"/>
          <w:lang w:val="en-US"/>
        </w:rPr>
        <w:t xml:space="preserve">conditions of the </w:t>
      </w:r>
      <w:r w:rsidR="00E32C8A" w:rsidRPr="00C535A0">
        <w:rPr>
          <w:rFonts w:ascii="Arial" w:hAnsi="Arial" w:cs="Arial"/>
          <w:lang w:val="en-US"/>
        </w:rPr>
        <w:t>infrastructure,</w:t>
      </w:r>
      <w:r w:rsidR="00753360" w:rsidRPr="00C535A0">
        <w:rPr>
          <w:rFonts w:ascii="Arial" w:hAnsi="Arial" w:cs="Arial"/>
          <w:lang w:val="en-US"/>
        </w:rPr>
        <w:t xml:space="preserve"> which affect productivity through various channels, namely:</w:t>
      </w:r>
      <w:r w:rsidR="00E50355" w:rsidRPr="00C535A0">
        <w:rPr>
          <w:rFonts w:ascii="Arial" w:hAnsi="Arial" w:cs="Arial"/>
          <w:lang w:val="en-US"/>
        </w:rPr>
        <w:t xml:space="preserve"> </w:t>
      </w:r>
    </w:p>
    <w:p w14:paraId="0DC35C03" w14:textId="527ED8B3" w:rsidR="00E50355" w:rsidRPr="00C535A0" w:rsidRDefault="00E50355" w:rsidP="00C535A0">
      <w:pPr>
        <w:pStyle w:val="p-02"/>
        <w:spacing w:line="240" w:lineRule="auto"/>
        <w:rPr>
          <w:rFonts w:ascii="Arial" w:hAnsi="Arial" w:cs="Arial"/>
          <w:lang w:val="en-US"/>
        </w:rPr>
      </w:pPr>
      <w:r w:rsidRPr="00C535A0">
        <w:rPr>
          <w:rFonts w:ascii="Arial" w:hAnsi="Arial" w:cs="Arial"/>
          <w:lang w:val="en-US"/>
        </w:rPr>
        <w:t>Increased transportation and logistics costs;</w:t>
      </w:r>
    </w:p>
    <w:p w14:paraId="012F90AC" w14:textId="674C2D68" w:rsidR="00E50355" w:rsidRPr="00C535A0" w:rsidRDefault="00E50355" w:rsidP="00C535A0">
      <w:pPr>
        <w:pStyle w:val="p-02"/>
        <w:spacing w:line="240" w:lineRule="auto"/>
        <w:rPr>
          <w:rFonts w:ascii="Arial" w:hAnsi="Arial" w:cs="Arial"/>
          <w:lang w:val="en-US"/>
        </w:rPr>
      </w:pPr>
      <w:r w:rsidRPr="00C535A0">
        <w:rPr>
          <w:rFonts w:ascii="Arial" w:hAnsi="Arial" w:cs="Arial"/>
          <w:lang w:val="en-US"/>
        </w:rPr>
        <w:t>The impacts that the issues of urban mobility and sanitation have on workers’ productivity due to absenteeism, delays, fatigue, etc.;</w:t>
      </w:r>
    </w:p>
    <w:p w14:paraId="7D246112" w14:textId="07C25527" w:rsidR="00E50355" w:rsidRPr="00C535A0" w:rsidRDefault="00E44E54" w:rsidP="00C535A0">
      <w:pPr>
        <w:pStyle w:val="p-02"/>
        <w:spacing w:line="240" w:lineRule="auto"/>
        <w:rPr>
          <w:rFonts w:ascii="Arial" w:hAnsi="Arial" w:cs="Arial"/>
          <w:lang w:val="en-US"/>
        </w:rPr>
      </w:pPr>
      <w:r w:rsidRPr="00C535A0">
        <w:rPr>
          <w:rFonts w:ascii="Arial" w:hAnsi="Arial" w:cs="Arial"/>
          <w:lang w:val="en-US"/>
        </w:rPr>
        <w:t>The impacts that a deficient communications i</w:t>
      </w:r>
      <w:r w:rsidR="00E50355" w:rsidRPr="00C535A0">
        <w:rPr>
          <w:rFonts w:ascii="Arial" w:hAnsi="Arial" w:cs="Arial"/>
          <w:lang w:val="en-US"/>
        </w:rPr>
        <w:t>nfrastruc</w:t>
      </w:r>
      <w:r w:rsidRPr="00C535A0">
        <w:rPr>
          <w:rFonts w:ascii="Arial" w:hAnsi="Arial" w:cs="Arial"/>
          <w:lang w:val="en-US"/>
        </w:rPr>
        <w:t>ture has on companies’ transaction costs;</w:t>
      </w:r>
      <w:r w:rsidR="00E50355" w:rsidRPr="00C535A0">
        <w:rPr>
          <w:rFonts w:ascii="Arial" w:hAnsi="Arial" w:cs="Arial"/>
          <w:lang w:val="en-US"/>
        </w:rPr>
        <w:t xml:space="preserve"> </w:t>
      </w:r>
      <w:r w:rsidR="00FE5597" w:rsidRPr="00C535A0">
        <w:rPr>
          <w:rFonts w:ascii="Arial" w:hAnsi="Arial" w:cs="Arial"/>
          <w:lang w:val="en-US"/>
        </w:rPr>
        <w:t>and</w:t>
      </w:r>
    </w:p>
    <w:p w14:paraId="1032D95C" w14:textId="7076DB93" w:rsidR="00E50355" w:rsidRPr="00C535A0" w:rsidRDefault="00E50355" w:rsidP="00C535A0">
      <w:pPr>
        <w:pStyle w:val="p-02"/>
        <w:spacing w:line="240" w:lineRule="auto"/>
        <w:rPr>
          <w:rFonts w:ascii="Arial" w:hAnsi="Arial" w:cs="Arial"/>
          <w:lang w:val="en-US"/>
        </w:rPr>
      </w:pPr>
      <w:r w:rsidRPr="00C535A0">
        <w:rPr>
          <w:rFonts w:ascii="Arial" w:hAnsi="Arial" w:cs="Arial"/>
          <w:lang w:val="en-US"/>
        </w:rPr>
        <w:t>The price, supply, and security of energy supply.</w:t>
      </w:r>
    </w:p>
    <w:p w14:paraId="7239B4D5" w14:textId="02A153C2" w:rsidR="00802CE4" w:rsidRPr="00C535A0" w:rsidRDefault="00E50355" w:rsidP="00C535A0">
      <w:pPr>
        <w:spacing w:line="240" w:lineRule="auto"/>
        <w:jc w:val="both"/>
        <w:rPr>
          <w:rFonts w:ascii="Arial" w:hAnsi="Arial" w:cs="Arial"/>
          <w:lang w:val="en-US"/>
        </w:rPr>
      </w:pPr>
      <w:r w:rsidRPr="00C535A0">
        <w:rPr>
          <w:rFonts w:ascii="Arial" w:hAnsi="Arial" w:cs="Arial"/>
          <w:lang w:val="en-US"/>
        </w:rPr>
        <w:t>Additionally, increasing investments in infrastructure is one of the main avenues to restoring Brazilian economic growth and increasing the capital stock in the economy. Thus, Campos Neto et al</w:t>
      </w:r>
      <w:r w:rsidR="00A77840" w:rsidRPr="00C535A0">
        <w:rPr>
          <w:rFonts w:ascii="Arial" w:hAnsi="Arial" w:cs="Arial"/>
          <w:lang w:val="en-US"/>
        </w:rPr>
        <w:t>.</w:t>
      </w:r>
      <w:r w:rsidRPr="00C535A0">
        <w:rPr>
          <w:rFonts w:ascii="Arial" w:hAnsi="Arial" w:cs="Arial"/>
          <w:lang w:val="en-US"/>
        </w:rPr>
        <w:t xml:space="preserve"> (201</w:t>
      </w:r>
      <w:r w:rsidR="00A77840" w:rsidRPr="00C535A0">
        <w:rPr>
          <w:rFonts w:ascii="Arial" w:hAnsi="Arial" w:cs="Arial"/>
          <w:lang w:val="en-US"/>
        </w:rPr>
        <w:t>5</w:t>
      </w:r>
      <w:r w:rsidRPr="00C535A0">
        <w:rPr>
          <w:rFonts w:ascii="Arial" w:hAnsi="Arial" w:cs="Arial"/>
          <w:lang w:val="en-US"/>
        </w:rPr>
        <w:t xml:space="preserve">) estimated the impact of public investment in transportation on the Brazilian GDP, using an </w:t>
      </w:r>
      <w:r w:rsidR="00753360" w:rsidRPr="00C535A0">
        <w:rPr>
          <w:rFonts w:ascii="Arial" w:hAnsi="Arial" w:cs="Arial"/>
          <w:lang w:val="en-US"/>
        </w:rPr>
        <w:t>auto</w:t>
      </w:r>
      <w:r w:rsidR="00A77840" w:rsidRPr="00C535A0">
        <w:rPr>
          <w:rFonts w:ascii="Arial" w:hAnsi="Arial" w:cs="Arial"/>
          <w:lang w:val="en-US"/>
        </w:rPr>
        <w:t>r</w:t>
      </w:r>
      <w:r w:rsidR="00753360" w:rsidRPr="00C535A0">
        <w:rPr>
          <w:rFonts w:ascii="Arial" w:hAnsi="Arial" w:cs="Arial"/>
          <w:lang w:val="en-US"/>
        </w:rPr>
        <w:t>egressive</w:t>
      </w:r>
      <w:r w:rsidRPr="00C535A0">
        <w:rPr>
          <w:rFonts w:ascii="Arial" w:hAnsi="Arial" w:cs="Arial"/>
          <w:lang w:val="en-US"/>
        </w:rPr>
        <w:t xml:space="preserve"> model. </w:t>
      </w:r>
      <w:r w:rsidR="00802CE4" w:rsidRPr="00C535A0">
        <w:rPr>
          <w:rFonts w:ascii="Arial" w:hAnsi="Arial" w:cs="Arial"/>
          <w:lang w:val="en-US"/>
        </w:rPr>
        <w:t xml:space="preserve">The study’s primary conclusion is that investments in transportation infrastructure are, in fact, significantly important </w:t>
      </w:r>
      <w:r w:rsidR="00A77840" w:rsidRPr="00C535A0">
        <w:rPr>
          <w:rFonts w:ascii="Arial" w:hAnsi="Arial" w:cs="Arial"/>
          <w:lang w:val="en-US"/>
        </w:rPr>
        <w:t>to</w:t>
      </w:r>
      <w:r w:rsidR="00802CE4" w:rsidRPr="00C535A0">
        <w:rPr>
          <w:rFonts w:ascii="Arial" w:hAnsi="Arial" w:cs="Arial"/>
          <w:lang w:val="en-US"/>
        </w:rPr>
        <w:t xml:space="preserve"> the economic growth of Brazil. Additionally, in the estimated model, the impact of public investments in transportation is growing over time. The authors show that, in the first year, the elasticity of the public </w:t>
      </w:r>
      <w:r w:rsidR="00A77840" w:rsidRPr="00C535A0">
        <w:rPr>
          <w:rFonts w:ascii="Arial" w:hAnsi="Arial" w:cs="Arial"/>
          <w:lang w:val="en-US"/>
        </w:rPr>
        <w:t>i</w:t>
      </w:r>
      <w:r w:rsidR="00802CE4" w:rsidRPr="00C535A0">
        <w:rPr>
          <w:rFonts w:ascii="Arial" w:hAnsi="Arial" w:cs="Arial"/>
          <w:lang w:val="en-US"/>
        </w:rPr>
        <w:t xml:space="preserve">nvestment in transportation infrastructure, with regard to the GDP, is 0.012, that is, for each 1% increase in public investment, there is a 0.012% increase in GDP. In the fourth year, the elasticity rises to 0.023 and, in the long term, it reaches 0.032. Moreover, the authors also noted that public investments in transportation and private investments in transportation have a high positive correlation. This leads them to reaffirm the complementarity between </w:t>
      </w:r>
      <w:r w:rsidRPr="00C535A0">
        <w:rPr>
          <w:rFonts w:ascii="Arial" w:hAnsi="Arial" w:cs="Arial"/>
          <w:lang w:val="en-US"/>
        </w:rPr>
        <w:t>the two</w:t>
      </w:r>
      <w:r w:rsidR="00802CE4" w:rsidRPr="00C535A0">
        <w:rPr>
          <w:rFonts w:ascii="Arial" w:hAnsi="Arial" w:cs="Arial"/>
          <w:lang w:val="en-US"/>
        </w:rPr>
        <w:t>.</w:t>
      </w:r>
    </w:p>
    <w:p w14:paraId="6DDFB536" w14:textId="1C6739DE" w:rsidR="00E50355" w:rsidRPr="00C535A0" w:rsidRDefault="00802CE4" w:rsidP="00C535A0">
      <w:pPr>
        <w:spacing w:line="240" w:lineRule="auto"/>
        <w:jc w:val="both"/>
        <w:rPr>
          <w:rFonts w:ascii="Arial" w:hAnsi="Arial" w:cs="Arial"/>
          <w:lang w:val="en-US"/>
        </w:rPr>
      </w:pPr>
      <w:r w:rsidRPr="00C535A0">
        <w:rPr>
          <w:rFonts w:ascii="Arial" w:hAnsi="Arial" w:cs="Arial"/>
          <w:lang w:val="en-US"/>
        </w:rPr>
        <w:t xml:space="preserve">Schettini </w:t>
      </w:r>
      <w:r w:rsidR="00E50355" w:rsidRPr="00C535A0">
        <w:rPr>
          <w:rFonts w:ascii="Arial" w:hAnsi="Arial" w:cs="Arial"/>
          <w:lang w:val="en-US"/>
        </w:rPr>
        <w:t>and</w:t>
      </w:r>
      <w:r w:rsidRPr="00C535A0">
        <w:rPr>
          <w:rFonts w:ascii="Arial" w:hAnsi="Arial" w:cs="Arial"/>
          <w:lang w:val="en-US"/>
        </w:rPr>
        <w:t xml:space="preserve"> Azzoni</w:t>
      </w:r>
      <w:r w:rsidR="00E32C8A" w:rsidRPr="00C535A0">
        <w:rPr>
          <w:rFonts w:ascii="Arial" w:hAnsi="Arial" w:cs="Arial"/>
          <w:lang w:val="en-US"/>
        </w:rPr>
        <w:t xml:space="preserve"> </w:t>
      </w:r>
      <w:r w:rsidR="00E50355" w:rsidRPr="00C535A0">
        <w:rPr>
          <w:rFonts w:ascii="Arial" w:hAnsi="Arial" w:cs="Arial"/>
          <w:lang w:val="en-US"/>
        </w:rPr>
        <w:t>(201</w:t>
      </w:r>
      <w:r w:rsidR="00071ACD" w:rsidRPr="00C535A0">
        <w:rPr>
          <w:rFonts w:ascii="Arial" w:hAnsi="Arial" w:cs="Arial"/>
          <w:lang w:val="en-US"/>
        </w:rPr>
        <w:t>5</w:t>
      </w:r>
      <w:r w:rsidR="00E50355" w:rsidRPr="00C535A0">
        <w:rPr>
          <w:rFonts w:ascii="Arial" w:hAnsi="Arial" w:cs="Arial"/>
          <w:lang w:val="en-US"/>
        </w:rPr>
        <w:t xml:space="preserve">), on the other hand, </w:t>
      </w:r>
      <w:r w:rsidR="00753360" w:rsidRPr="00C535A0">
        <w:rPr>
          <w:rFonts w:ascii="Arial" w:hAnsi="Arial" w:cs="Arial"/>
          <w:lang w:val="en-US"/>
        </w:rPr>
        <w:t>relate the productivity of companies to the availability of infrastructure in the region</w:t>
      </w:r>
      <w:r w:rsidR="00071ACD" w:rsidRPr="00C535A0">
        <w:rPr>
          <w:rFonts w:ascii="Arial" w:hAnsi="Arial" w:cs="Arial"/>
          <w:lang w:val="en-US"/>
        </w:rPr>
        <w:t xml:space="preserve"> in which they are established</w:t>
      </w:r>
      <w:r w:rsidR="00753360" w:rsidRPr="00C535A0">
        <w:rPr>
          <w:rFonts w:ascii="Arial" w:hAnsi="Arial" w:cs="Arial"/>
          <w:lang w:val="en-US"/>
        </w:rPr>
        <w:t xml:space="preserve">, using a panel data on </w:t>
      </w:r>
      <w:r w:rsidR="00753360" w:rsidRPr="00C535A0">
        <w:rPr>
          <w:rFonts w:ascii="Arial" w:hAnsi="Arial" w:cs="Arial"/>
          <w:lang w:val="en-US"/>
        </w:rPr>
        <w:lastRenderedPageBreak/>
        <w:t xml:space="preserve">productivity in the manufacturing industry by Brazilian mesoregions between 2000 and 2010. </w:t>
      </w:r>
      <w:r w:rsidR="00A22926" w:rsidRPr="00C535A0">
        <w:rPr>
          <w:rFonts w:ascii="Arial" w:hAnsi="Arial" w:cs="Arial"/>
          <w:lang w:val="en-US"/>
        </w:rPr>
        <w:t xml:space="preserve">The authors </w:t>
      </w:r>
      <w:r w:rsidR="00753360" w:rsidRPr="00C535A0">
        <w:rPr>
          <w:rFonts w:ascii="Arial" w:hAnsi="Arial" w:cs="Arial"/>
          <w:lang w:val="en-US"/>
        </w:rPr>
        <w:t>conclude, among other things, that a 1% increase in regional highway coverage leads to an increase in the regional production efficiency indicator (which varies between zero and one) of around 0.1289 points and 0.121% in the regional industrial product. A similar increase in urban infrastructure (composed of water, sewage disposal, and public lighting supply) leads to an increase in efficiency of around 0.2801 points and 0.247% in the product. Regarding telephony</w:t>
      </w:r>
      <w:r w:rsidR="004879C7" w:rsidRPr="00C535A0">
        <w:rPr>
          <w:rStyle w:val="FootnoteReference"/>
          <w:rFonts w:ascii="Arial" w:hAnsi="Arial" w:cs="Arial"/>
          <w:lang w:val="en-US"/>
        </w:rPr>
        <w:footnoteReference w:id="9"/>
      </w:r>
      <w:r w:rsidR="00753360" w:rsidRPr="00C535A0">
        <w:rPr>
          <w:rFonts w:ascii="Arial" w:hAnsi="Arial" w:cs="Arial"/>
          <w:lang w:val="en-US"/>
        </w:rPr>
        <w:t>, which appeared to be only marginally significant, the result is an increase of 0.152 points in the efficiency index and 0.142% in the product.</w:t>
      </w:r>
    </w:p>
    <w:p w14:paraId="5D907674" w14:textId="5C629E0F" w:rsidR="009B4CCB" w:rsidRPr="00C535A0" w:rsidRDefault="009B4CCB" w:rsidP="00C535A0">
      <w:pPr>
        <w:spacing w:line="240" w:lineRule="auto"/>
        <w:jc w:val="both"/>
        <w:rPr>
          <w:rFonts w:ascii="Arial" w:hAnsi="Arial" w:cs="Arial"/>
          <w:lang w:val="en-US"/>
        </w:rPr>
      </w:pPr>
      <w:r w:rsidRPr="00C535A0">
        <w:rPr>
          <w:rFonts w:ascii="Arial" w:hAnsi="Arial" w:cs="Arial"/>
          <w:lang w:val="en-US"/>
        </w:rPr>
        <w:t xml:space="preserve">However, investments in infrastructure may face restrictions </w:t>
      </w:r>
      <w:r w:rsidR="00071ACD" w:rsidRPr="00C535A0">
        <w:rPr>
          <w:rFonts w:ascii="Arial" w:hAnsi="Arial" w:cs="Arial"/>
          <w:lang w:val="en-US"/>
        </w:rPr>
        <w:t>to</w:t>
      </w:r>
      <w:r w:rsidRPr="00C535A0">
        <w:rPr>
          <w:rFonts w:ascii="Arial" w:hAnsi="Arial" w:cs="Arial"/>
          <w:lang w:val="en-US"/>
        </w:rPr>
        <w:t xml:space="preserve"> adequate access to financing sources</w:t>
      </w:r>
      <w:r w:rsidR="00BE0401" w:rsidRPr="00C535A0">
        <w:rPr>
          <w:rFonts w:ascii="Arial" w:hAnsi="Arial" w:cs="Arial"/>
          <w:lang w:val="en-US"/>
        </w:rPr>
        <w:t xml:space="preserve"> with respect to volume and terms</w:t>
      </w:r>
      <w:r w:rsidRPr="00C535A0">
        <w:rPr>
          <w:rFonts w:ascii="Arial" w:hAnsi="Arial" w:cs="Arial"/>
          <w:lang w:val="en-US"/>
        </w:rPr>
        <w:t xml:space="preserve"> in developing countries. This is because the long-term nature of the projects </w:t>
      </w:r>
      <w:r w:rsidR="00B10171" w:rsidRPr="00C535A0">
        <w:rPr>
          <w:rFonts w:ascii="Arial" w:hAnsi="Arial" w:cs="Arial"/>
          <w:lang w:val="en-US"/>
        </w:rPr>
        <w:t>and their prolonged life are</w:t>
      </w:r>
      <w:r w:rsidRPr="00C535A0">
        <w:rPr>
          <w:rFonts w:ascii="Arial" w:hAnsi="Arial" w:cs="Arial"/>
          <w:lang w:val="en-US"/>
        </w:rPr>
        <w:t xml:space="preserve"> often incompatib</w:t>
      </w:r>
      <w:r w:rsidR="00071ACD" w:rsidRPr="00C535A0">
        <w:rPr>
          <w:rFonts w:ascii="Arial" w:hAnsi="Arial" w:cs="Arial"/>
          <w:lang w:val="en-US"/>
        </w:rPr>
        <w:t>le</w:t>
      </w:r>
      <w:r w:rsidRPr="00C535A0">
        <w:rPr>
          <w:rFonts w:ascii="Arial" w:hAnsi="Arial" w:cs="Arial"/>
          <w:lang w:val="en-US"/>
        </w:rPr>
        <w:t xml:space="preserve"> with the credit supply in these countries, which is mostly focused on the short-term. Thus, development banks may be required to incentivize investments in this sector in countries such as Brazil.</w:t>
      </w:r>
    </w:p>
    <w:p w14:paraId="0AD7D596" w14:textId="77777777" w:rsidR="004824B4" w:rsidRPr="00C535A0" w:rsidRDefault="005E55F4" w:rsidP="00C535A0">
      <w:pPr>
        <w:pStyle w:val="Heading2"/>
        <w:spacing w:line="240" w:lineRule="auto"/>
        <w:rPr>
          <w:rFonts w:ascii="Arial" w:hAnsi="Arial" w:cs="Arial"/>
          <w:lang w:val="en-US"/>
        </w:rPr>
      </w:pPr>
      <w:r w:rsidRPr="00C535A0">
        <w:rPr>
          <w:rFonts w:ascii="Arial" w:hAnsi="Arial" w:cs="Arial"/>
          <w:lang w:val="en-US"/>
        </w:rPr>
        <w:t>Renewable energy</w:t>
      </w:r>
    </w:p>
    <w:p w14:paraId="45ED9052" w14:textId="77777777" w:rsidR="004879C7" w:rsidRPr="00C535A0" w:rsidRDefault="009B4CCB" w:rsidP="00C535A0">
      <w:pPr>
        <w:pStyle w:val="p-01"/>
        <w:spacing w:line="240" w:lineRule="auto"/>
        <w:rPr>
          <w:rFonts w:ascii="Arial" w:hAnsi="Arial" w:cs="Arial"/>
          <w:lang w:val="en-US"/>
        </w:rPr>
      </w:pPr>
      <w:r w:rsidRPr="00C535A0">
        <w:rPr>
          <w:rFonts w:ascii="Arial" w:hAnsi="Arial" w:cs="Arial"/>
          <w:lang w:val="en-US" w:eastAsia="pt-BR"/>
        </w:rPr>
        <w:t xml:space="preserve">For all </w:t>
      </w:r>
      <w:r w:rsidR="004772E9" w:rsidRPr="00C535A0">
        <w:rPr>
          <w:rFonts w:ascii="Arial" w:hAnsi="Arial" w:cs="Arial"/>
          <w:lang w:val="en-US" w:eastAsia="pt-BR"/>
        </w:rPr>
        <w:t xml:space="preserve">investments in infrastructure, projects aimed at generating, transmitting, and distributing electricity play an especially important role </w:t>
      </w:r>
      <w:r w:rsidR="00875C35" w:rsidRPr="00C535A0">
        <w:rPr>
          <w:rFonts w:ascii="Arial" w:hAnsi="Arial" w:cs="Arial"/>
          <w:lang w:val="en-US" w:eastAsia="pt-BR"/>
        </w:rPr>
        <w:t>in</w:t>
      </w:r>
      <w:r w:rsidR="004772E9" w:rsidRPr="00C535A0">
        <w:rPr>
          <w:rFonts w:ascii="Arial" w:hAnsi="Arial" w:cs="Arial"/>
          <w:lang w:val="en-US" w:eastAsia="pt-BR"/>
        </w:rPr>
        <w:t xml:space="preserve"> determining the productivity levels. In fact, </w:t>
      </w:r>
      <w:r w:rsidR="00875C35" w:rsidRPr="00C535A0">
        <w:rPr>
          <w:rFonts w:ascii="Arial" w:hAnsi="Arial" w:cs="Arial"/>
          <w:lang w:val="en-US" w:eastAsia="pt-BR"/>
        </w:rPr>
        <w:t xml:space="preserve">the price, </w:t>
      </w:r>
      <w:r w:rsidR="004772E9" w:rsidRPr="00C535A0">
        <w:rPr>
          <w:rFonts w:ascii="Arial" w:hAnsi="Arial" w:cs="Arial"/>
          <w:lang w:val="en-US"/>
        </w:rPr>
        <w:t xml:space="preserve">supply, and security of the energy supply </w:t>
      </w:r>
      <w:r w:rsidR="00875C35" w:rsidRPr="00C535A0">
        <w:rPr>
          <w:rFonts w:ascii="Arial" w:hAnsi="Arial" w:cs="Arial"/>
          <w:lang w:val="en-US"/>
        </w:rPr>
        <w:t>form</w:t>
      </w:r>
      <w:r w:rsidR="004772E9" w:rsidRPr="00C535A0">
        <w:rPr>
          <w:rFonts w:ascii="Arial" w:hAnsi="Arial" w:cs="Arial"/>
          <w:lang w:val="en-US"/>
        </w:rPr>
        <w:t xml:space="preserve"> one of the pillars for sustaining economic growth. </w:t>
      </w:r>
    </w:p>
    <w:p w14:paraId="04D2C71F" w14:textId="209C6C2E" w:rsidR="004879C7" w:rsidRPr="00C535A0" w:rsidRDefault="004879C7" w:rsidP="00C535A0">
      <w:pPr>
        <w:pStyle w:val="p-01"/>
        <w:spacing w:line="240" w:lineRule="auto"/>
        <w:rPr>
          <w:rFonts w:ascii="Arial" w:hAnsi="Arial" w:cs="Arial"/>
          <w:lang w:val="en-US"/>
        </w:rPr>
      </w:pPr>
      <w:r w:rsidRPr="00C535A0">
        <w:rPr>
          <w:rFonts w:ascii="Arial" w:hAnsi="Arial" w:cs="Arial"/>
          <w:lang w:val="en-US"/>
        </w:rPr>
        <w:t xml:space="preserve">The Energy Research Company (EPE) estimates a growth in energy demand </w:t>
      </w:r>
      <w:r w:rsidR="005C0E56" w:rsidRPr="00C535A0">
        <w:rPr>
          <w:rFonts w:ascii="Arial" w:hAnsi="Arial" w:cs="Arial"/>
          <w:lang w:val="en-US"/>
        </w:rPr>
        <w:t>in</w:t>
      </w:r>
      <w:r w:rsidR="00466474" w:rsidRPr="00C535A0">
        <w:rPr>
          <w:rFonts w:ascii="Arial" w:hAnsi="Arial" w:cs="Arial"/>
          <w:lang w:val="en-US"/>
        </w:rPr>
        <w:t xml:space="preserve"> </w:t>
      </w:r>
      <w:r w:rsidRPr="00C535A0">
        <w:rPr>
          <w:rFonts w:ascii="Arial" w:hAnsi="Arial" w:cs="Arial"/>
          <w:lang w:val="en-US"/>
        </w:rPr>
        <w:t xml:space="preserve">Brazil, from the current </w:t>
      </w:r>
      <w:r w:rsidR="005C0E56" w:rsidRPr="00C535A0">
        <w:rPr>
          <w:rFonts w:ascii="Arial" w:hAnsi="Arial" w:cs="Arial"/>
          <w:lang w:val="en-US"/>
        </w:rPr>
        <w:t xml:space="preserve">(in 2013) </w:t>
      </w:r>
      <w:r w:rsidRPr="00C535A0">
        <w:rPr>
          <w:rFonts w:ascii="Arial" w:hAnsi="Arial" w:cs="Arial"/>
          <w:lang w:val="en-US"/>
        </w:rPr>
        <w:t xml:space="preserve">267 million tons of oil equivalent (TOE) </w:t>
      </w:r>
      <w:r w:rsidR="005C0E56" w:rsidRPr="00C535A0">
        <w:rPr>
          <w:rFonts w:ascii="Arial" w:hAnsi="Arial" w:cs="Arial"/>
          <w:lang w:val="en-US"/>
        </w:rPr>
        <w:t xml:space="preserve">to nearly 605 million TOE in 2050, representing a growth of over 120% during the period, which equals close to 2.2% per year. </w:t>
      </w:r>
    </w:p>
    <w:p w14:paraId="37FE29CF" w14:textId="33F3B366" w:rsidR="005C0E56" w:rsidRPr="00C535A0" w:rsidRDefault="005C0E56" w:rsidP="00C535A0">
      <w:pPr>
        <w:pStyle w:val="p-01"/>
        <w:spacing w:after="0" w:line="240" w:lineRule="auto"/>
        <w:jc w:val="center"/>
        <w:rPr>
          <w:rFonts w:ascii="Arial" w:hAnsi="Arial" w:cs="Arial"/>
          <w:sz w:val="20"/>
          <w:szCs w:val="20"/>
          <w:lang w:val="en-US"/>
        </w:rPr>
      </w:pPr>
      <w:r w:rsidRPr="00C535A0">
        <w:rPr>
          <w:rFonts w:ascii="Arial" w:hAnsi="Arial" w:cs="Arial"/>
          <w:sz w:val="20"/>
          <w:szCs w:val="20"/>
          <w:lang w:val="en-US"/>
        </w:rPr>
        <w:t>Figure 1. Evolution of total energy demand by source (projection): 2013 to 2050.</w:t>
      </w:r>
    </w:p>
    <w:p w14:paraId="6B15EDCC" w14:textId="1E59EBE1" w:rsidR="004879C7" w:rsidRPr="00C535A0" w:rsidRDefault="004879C7" w:rsidP="00C535A0">
      <w:pPr>
        <w:pStyle w:val="p-01"/>
        <w:spacing w:line="240" w:lineRule="auto"/>
        <w:jc w:val="center"/>
        <w:rPr>
          <w:rFonts w:ascii="Arial" w:hAnsi="Arial" w:cs="Arial"/>
          <w:lang w:val="en-US"/>
        </w:rPr>
      </w:pPr>
      <w:r w:rsidRPr="00C535A0">
        <w:rPr>
          <w:rFonts w:ascii="Arial" w:hAnsi="Arial" w:cs="Arial"/>
          <w:noProof/>
          <w:lang w:val="en-US"/>
        </w:rPr>
        <w:drawing>
          <wp:inline distT="0" distB="0" distL="0" distR="0" wp14:anchorId="7ABADAB2" wp14:editId="55C72C24">
            <wp:extent cx="4804012" cy="2547681"/>
            <wp:effectExtent l="0" t="0" r="0" b="50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05680" cy="2548566"/>
                    </a:xfrm>
                    <a:prstGeom prst="rect">
                      <a:avLst/>
                    </a:prstGeom>
                  </pic:spPr>
                </pic:pic>
              </a:graphicData>
            </a:graphic>
          </wp:inline>
        </w:drawing>
      </w:r>
    </w:p>
    <w:p w14:paraId="16EBFA91" w14:textId="6ED45F20" w:rsidR="004879C7" w:rsidRPr="00C535A0" w:rsidRDefault="005C0E56" w:rsidP="00C535A0">
      <w:pPr>
        <w:pStyle w:val="p-01"/>
        <w:spacing w:after="0" w:line="240" w:lineRule="auto"/>
        <w:rPr>
          <w:rFonts w:ascii="Arial" w:hAnsi="Arial" w:cs="Arial"/>
          <w:sz w:val="16"/>
          <w:szCs w:val="16"/>
          <w:lang w:val="en-US"/>
        </w:rPr>
      </w:pPr>
      <w:r w:rsidRPr="00C535A0">
        <w:rPr>
          <w:rFonts w:ascii="Arial" w:hAnsi="Arial" w:cs="Arial"/>
          <w:sz w:val="16"/>
          <w:szCs w:val="16"/>
          <w:lang w:val="en-US"/>
        </w:rPr>
        <w:t>Source: Extracted from the Energy Research Company – EPE, Technical Note DEA 13/14. Available at: (</w:t>
      </w:r>
      <w:hyperlink r:id="rId14" w:history="1">
        <w:r w:rsidRPr="00C535A0">
          <w:rPr>
            <w:rStyle w:val="Hyperlink"/>
            <w:rFonts w:ascii="Arial" w:hAnsi="Arial" w:cs="Arial"/>
            <w:sz w:val="16"/>
            <w:szCs w:val="16"/>
            <w:lang w:val="en-US"/>
          </w:rPr>
          <w:t>http://www.epe.gov.br/Estudos/Documents/DEA%2013-14%20Demanda%20de%20Energia%202050.pdf</w:t>
        </w:r>
      </w:hyperlink>
      <w:r w:rsidRPr="00C535A0">
        <w:rPr>
          <w:rFonts w:ascii="Arial" w:hAnsi="Arial" w:cs="Arial"/>
          <w:sz w:val="16"/>
          <w:szCs w:val="1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E78AE" w:rsidRPr="00C535A0" w14:paraId="1E7DA5FC" w14:textId="77777777" w:rsidTr="002A7D0B">
        <w:tc>
          <w:tcPr>
            <w:tcW w:w="4675" w:type="dxa"/>
          </w:tcPr>
          <w:p w14:paraId="4C5D6EBE"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Milhões de tep</w:t>
            </w:r>
          </w:p>
        </w:tc>
        <w:tc>
          <w:tcPr>
            <w:tcW w:w="4675" w:type="dxa"/>
          </w:tcPr>
          <w:p w14:paraId="376E5347"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Million TOE</w:t>
            </w:r>
          </w:p>
        </w:tc>
      </w:tr>
      <w:tr w:rsidR="00CE78AE" w:rsidRPr="00C535A0" w14:paraId="1C23A66B" w14:textId="77777777" w:rsidTr="002A7D0B">
        <w:tc>
          <w:tcPr>
            <w:tcW w:w="4675" w:type="dxa"/>
          </w:tcPr>
          <w:p w14:paraId="55556A32"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Carvão Mineral e Derivados</w:t>
            </w:r>
          </w:p>
        </w:tc>
        <w:tc>
          <w:tcPr>
            <w:tcW w:w="4675" w:type="dxa"/>
          </w:tcPr>
          <w:p w14:paraId="48D7DC1A"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Coal and Derivatives</w:t>
            </w:r>
          </w:p>
        </w:tc>
      </w:tr>
      <w:tr w:rsidR="00CE78AE" w:rsidRPr="00C535A0" w14:paraId="037B3EDA" w14:textId="77777777" w:rsidTr="002A7D0B">
        <w:tc>
          <w:tcPr>
            <w:tcW w:w="4675" w:type="dxa"/>
          </w:tcPr>
          <w:p w14:paraId="1EB4099A"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Gás Natural </w:t>
            </w:r>
          </w:p>
        </w:tc>
        <w:tc>
          <w:tcPr>
            <w:tcW w:w="4675" w:type="dxa"/>
          </w:tcPr>
          <w:p w14:paraId="7BE10B4B"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Natural Gas </w:t>
            </w:r>
          </w:p>
        </w:tc>
      </w:tr>
      <w:tr w:rsidR="00CE78AE" w:rsidRPr="00C535A0" w14:paraId="3D68B23A" w14:textId="77777777" w:rsidTr="002A7D0B">
        <w:tc>
          <w:tcPr>
            <w:tcW w:w="4675" w:type="dxa"/>
          </w:tcPr>
          <w:p w14:paraId="2A26D563"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Derivados de Petróleo</w:t>
            </w:r>
          </w:p>
        </w:tc>
        <w:tc>
          <w:tcPr>
            <w:tcW w:w="4675" w:type="dxa"/>
          </w:tcPr>
          <w:p w14:paraId="2ED5068A"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Oil Derivatives</w:t>
            </w:r>
          </w:p>
        </w:tc>
      </w:tr>
      <w:tr w:rsidR="00CE78AE" w:rsidRPr="00C535A0" w14:paraId="5AB6A766" w14:textId="77777777" w:rsidTr="002A7D0B">
        <w:tc>
          <w:tcPr>
            <w:tcW w:w="4675" w:type="dxa"/>
          </w:tcPr>
          <w:p w14:paraId="748A2998"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Eletricidade </w:t>
            </w:r>
          </w:p>
        </w:tc>
        <w:tc>
          <w:tcPr>
            <w:tcW w:w="4675" w:type="dxa"/>
          </w:tcPr>
          <w:p w14:paraId="736A93D7"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Electricity </w:t>
            </w:r>
          </w:p>
        </w:tc>
      </w:tr>
      <w:tr w:rsidR="00CE78AE" w:rsidRPr="00C535A0" w14:paraId="1CC94FEF" w14:textId="77777777" w:rsidTr="002A7D0B">
        <w:tc>
          <w:tcPr>
            <w:tcW w:w="4675" w:type="dxa"/>
          </w:tcPr>
          <w:p w14:paraId="2C40DD7B"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Outras Fontes Primarias</w:t>
            </w:r>
          </w:p>
        </w:tc>
        <w:tc>
          <w:tcPr>
            <w:tcW w:w="4675" w:type="dxa"/>
          </w:tcPr>
          <w:p w14:paraId="4F7D80F6"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Other Primary Sources</w:t>
            </w:r>
          </w:p>
        </w:tc>
      </w:tr>
      <w:tr w:rsidR="00CE78AE" w:rsidRPr="00C535A0" w14:paraId="564B1A9F" w14:textId="77777777" w:rsidTr="002A7D0B">
        <w:tc>
          <w:tcPr>
            <w:tcW w:w="4675" w:type="dxa"/>
          </w:tcPr>
          <w:p w14:paraId="720C533F"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Lenha e Carvão Vegetal </w:t>
            </w:r>
          </w:p>
        </w:tc>
        <w:tc>
          <w:tcPr>
            <w:tcW w:w="4675" w:type="dxa"/>
          </w:tcPr>
          <w:p w14:paraId="5DE28668"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Firewood and Charcoal </w:t>
            </w:r>
          </w:p>
        </w:tc>
      </w:tr>
      <w:tr w:rsidR="00CE78AE" w:rsidRPr="00C535A0" w14:paraId="0EE97F99" w14:textId="77777777" w:rsidTr="002A7D0B">
        <w:tc>
          <w:tcPr>
            <w:tcW w:w="4675" w:type="dxa"/>
          </w:tcPr>
          <w:p w14:paraId="1A49339C"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Derivados da cana-de-açúcar </w:t>
            </w:r>
          </w:p>
        </w:tc>
        <w:tc>
          <w:tcPr>
            <w:tcW w:w="4675" w:type="dxa"/>
          </w:tcPr>
          <w:p w14:paraId="054DA617" w14:textId="77777777" w:rsidR="00CE78AE" w:rsidRPr="00C535A0" w:rsidRDefault="00CE78AE" w:rsidP="00C535A0">
            <w:pPr>
              <w:spacing w:after="0" w:line="200" w:lineRule="exact"/>
              <w:rPr>
                <w:rFonts w:ascii="Arial" w:hAnsi="Arial" w:cs="Arial"/>
                <w:sz w:val="20"/>
                <w:szCs w:val="20"/>
              </w:rPr>
            </w:pPr>
            <w:r w:rsidRPr="00C535A0">
              <w:rPr>
                <w:rFonts w:ascii="Arial" w:hAnsi="Arial" w:cs="Arial"/>
                <w:sz w:val="20"/>
                <w:szCs w:val="20"/>
              </w:rPr>
              <w:t xml:space="preserve">Sugarcane Derivatives </w:t>
            </w:r>
          </w:p>
        </w:tc>
      </w:tr>
    </w:tbl>
    <w:p w14:paraId="5AE54470" w14:textId="75BAEA0C" w:rsidR="00AE5BB0" w:rsidRPr="00C535A0" w:rsidRDefault="00AE5BB0" w:rsidP="00C535A0">
      <w:pPr>
        <w:pStyle w:val="p-01"/>
        <w:spacing w:line="240" w:lineRule="auto"/>
        <w:rPr>
          <w:rFonts w:ascii="Arial" w:hAnsi="Arial" w:cs="Arial"/>
          <w:lang w:val="en-US"/>
        </w:rPr>
      </w:pPr>
      <w:r w:rsidRPr="00C535A0">
        <w:rPr>
          <w:rFonts w:ascii="Arial" w:hAnsi="Arial" w:cs="Arial"/>
          <w:lang w:val="en-US"/>
        </w:rPr>
        <w:lastRenderedPageBreak/>
        <w:t xml:space="preserve">Also according to the EPE, the share that oil products represent in meeting this demand will rise from 43.7% of the total to nearly 39.4% of the total, while the electricity share will rise from 16.6% to 23.1% of the total energy demand in 2050. </w:t>
      </w:r>
      <w:r w:rsidR="00EB6172" w:rsidRPr="00C535A0">
        <w:rPr>
          <w:rFonts w:ascii="Arial" w:hAnsi="Arial" w:cs="Arial"/>
          <w:lang w:val="en-US"/>
        </w:rPr>
        <w:t>The share of renewable energy sources in the national energy matrix is one of the highest in the world, at nearly 40%</w:t>
      </w:r>
      <w:r w:rsidR="00637BD9" w:rsidRPr="00C535A0">
        <w:rPr>
          <w:rFonts w:ascii="Arial" w:hAnsi="Arial" w:cs="Arial"/>
          <w:lang w:val="en-US"/>
        </w:rPr>
        <w:t xml:space="preserve"> (and more than 75% in the energy matrix)</w:t>
      </w:r>
      <w:r w:rsidR="00EB6172" w:rsidRPr="00C535A0">
        <w:rPr>
          <w:rStyle w:val="FootnoteReference"/>
          <w:rFonts w:ascii="Arial" w:hAnsi="Arial" w:cs="Arial"/>
          <w:lang w:val="en-US"/>
        </w:rPr>
        <w:footnoteReference w:id="10"/>
      </w:r>
      <w:r w:rsidR="00EB6172" w:rsidRPr="00C535A0">
        <w:rPr>
          <w:rFonts w:ascii="Arial" w:hAnsi="Arial" w:cs="Arial"/>
          <w:lang w:val="en-US"/>
        </w:rPr>
        <w:t>. However</w:t>
      </w:r>
      <w:r w:rsidR="003A31CC" w:rsidRPr="00C535A0">
        <w:rPr>
          <w:rFonts w:ascii="Arial" w:hAnsi="Arial" w:cs="Arial"/>
          <w:lang w:val="en-US"/>
        </w:rPr>
        <w:t>, there is</w:t>
      </w:r>
      <w:r w:rsidR="00EB6172" w:rsidRPr="00C535A0">
        <w:rPr>
          <w:rFonts w:ascii="Arial" w:hAnsi="Arial" w:cs="Arial"/>
          <w:lang w:val="en-US"/>
        </w:rPr>
        <w:t xml:space="preserve"> ample space for diversifying the country’s renewable energy sources, given that the majority of these sources come from the sugarcane biomass (16.9%) and hydraulic sources (11.3%). Only 4.7% of the country’s total energy supply </w:t>
      </w:r>
      <w:r w:rsidR="003A31CC" w:rsidRPr="00C535A0">
        <w:rPr>
          <w:rFonts w:ascii="Arial" w:hAnsi="Arial" w:cs="Arial"/>
          <w:lang w:val="en-US"/>
        </w:rPr>
        <w:t>comes</w:t>
      </w:r>
      <w:r w:rsidR="00EB6172" w:rsidRPr="00C535A0">
        <w:rPr>
          <w:rFonts w:ascii="Arial" w:hAnsi="Arial" w:cs="Arial"/>
          <w:lang w:val="en-US"/>
        </w:rPr>
        <w:t xml:space="preserve"> from other renewable sources, which includes lixivium, wind, and </w:t>
      </w:r>
      <w:r w:rsidR="003A31CC" w:rsidRPr="00C535A0">
        <w:rPr>
          <w:rFonts w:ascii="Arial" w:hAnsi="Arial" w:cs="Arial"/>
          <w:lang w:val="en-US"/>
        </w:rPr>
        <w:t>solar power. Despite the low share, other renewables experienced a much higher supply growth than other sources between 2014 and 2015; 14.9% versus 5.1% of sugarcane biomass and compared to a 3.2% decrease in hydraulic energy and 7.2% decrease in oil products</w:t>
      </w:r>
      <w:r w:rsidR="003A31CC" w:rsidRPr="00C535A0">
        <w:rPr>
          <w:rStyle w:val="FootnoteReference"/>
          <w:rFonts w:ascii="Arial" w:hAnsi="Arial" w:cs="Arial"/>
          <w:lang w:val="en-US"/>
        </w:rPr>
        <w:footnoteReference w:id="11"/>
      </w:r>
      <w:r w:rsidR="003A31CC" w:rsidRPr="00C535A0">
        <w:rPr>
          <w:rFonts w:ascii="Arial" w:hAnsi="Arial" w:cs="Arial"/>
          <w:lang w:val="en-US"/>
        </w:rPr>
        <w:t xml:space="preserve">. </w:t>
      </w:r>
    </w:p>
    <w:p w14:paraId="435C64CE" w14:textId="7594ED3D" w:rsidR="00A10F57" w:rsidRPr="00C535A0" w:rsidRDefault="00637BD9" w:rsidP="00C535A0">
      <w:pPr>
        <w:pStyle w:val="p-01"/>
        <w:spacing w:line="240" w:lineRule="auto"/>
        <w:rPr>
          <w:rFonts w:ascii="Arial" w:hAnsi="Arial" w:cs="Arial"/>
          <w:lang w:val="en-US"/>
        </w:rPr>
      </w:pPr>
      <w:r w:rsidRPr="00C535A0">
        <w:rPr>
          <w:rFonts w:ascii="Arial" w:hAnsi="Arial" w:cs="Arial"/>
          <w:lang w:val="en-US"/>
        </w:rPr>
        <w:t xml:space="preserve">Industry accounts for over 30% of energy consumption in Brazil. </w:t>
      </w:r>
      <w:r w:rsidR="00C968E7" w:rsidRPr="00C535A0">
        <w:rPr>
          <w:rFonts w:ascii="Arial" w:hAnsi="Arial" w:cs="Arial"/>
          <w:lang w:val="en-US"/>
        </w:rPr>
        <w:t xml:space="preserve">Annual Industrial Survey data (AIS) from the Brazilian Institute of Geography and Statistics (IBGE) reveal the importance of electricity in the industry’s cost structure and productivity levels in Brazil. According to the data for </w:t>
      </w:r>
      <w:r w:rsidR="00A10F57" w:rsidRPr="00C535A0">
        <w:rPr>
          <w:rFonts w:ascii="Arial" w:hAnsi="Arial" w:cs="Arial"/>
          <w:lang w:val="en-US"/>
        </w:rPr>
        <w:t>2014, the cost of purchasing electricity used for production represents, on average, 1.13% of the total costs and expenses of industrial companies with thirty or more employees in Brazil. This percentage comes from 1.00% for the mining industry and 1.14% for the manufacturing industry. Given the segment’s share, the direct cost of purchasing electricity used solely for production, the estimated percentage reaches 17.32% on average. This ratio consists of about 5.55% for the mining industry and 19.16% for the manufacturing industry. As such, reductions in the price of energy may have significant impacts on the direct production costs and on the total costs and expenses of the industry in Brazil and, consequently, on its productivity indicators, which are measured based on the added value.</w:t>
      </w:r>
    </w:p>
    <w:p w14:paraId="47CFEB99" w14:textId="5C7DF75B" w:rsidR="00BF5028" w:rsidRPr="00C535A0" w:rsidRDefault="00E32C8A" w:rsidP="00C535A0">
      <w:pPr>
        <w:pStyle w:val="p-01"/>
        <w:keepNext/>
        <w:spacing w:after="120" w:line="240" w:lineRule="auto"/>
        <w:jc w:val="center"/>
        <w:rPr>
          <w:rFonts w:ascii="Arial" w:hAnsi="Arial" w:cs="Arial"/>
          <w:b/>
          <w:sz w:val="20"/>
          <w:szCs w:val="20"/>
          <w:lang w:val="en-US"/>
        </w:rPr>
      </w:pPr>
      <w:r w:rsidRPr="00C535A0">
        <w:rPr>
          <w:rFonts w:ascii="Arial" w:hAnsi="Arial" w:cs="Arial"/>
          <w:b/>
          <w:sz w:val="20"/>
          <w:szCs w:val="20"/>
          <w:lang w:val="en-US"/>
        </w:rPr>
        <w:t>Chart 3</w:t>
      </w:r>
      <w:r w:rsidR="00BF5028" w:rsidRPr="00C535A0">
        <w:rPr>
          <w:rFonts w:ascii="Arial" w:hAnsi="Arial" w:cs="Arial"/>
          <w:b/>
          <w:sz w:val="20"/>
          <w:szCs w:val="20"/>
          <w:lang w:val="en-US"/>
        </w:rPr>
        <w:t xml:space="preserve">: </w:t>
      </w:r>
      <w:r w:rsidRPr="00C535A0">
        <w:rPr>
          <w:rFonts w:ascii="Arial" w:hAnsi="Arial" w:cs="Arial"/>
          <w:b/>
          <w:sz w:val="20"/>
          <w:szCs w:val="20"/>
          <w:lang w:val="en-US"/>
        </w:rPr>
        <w:t>Share of</w:t>
      </w:r>
      <w:r w:rsidR="00753360" w:rsidRPr="00C535A0">
        <w:rPr>
          <w:rFonts w:ascii="Arial" w:hAnsi="Arial" w:cs="Arial"/>
          <w:b/>
          <w:sz w:val="20"/>
          <w:szCs w:val="20"/>
          <w:lang w:val="en-US"/>
        </w:rPr>
        <w:t xml:space="preserve"> electricity expenses in the total costs and costs directly linked to the companies’ production. </w:t>
      </w:r>
    </w:p>
    <w:p w14:paraId="14E79AA9" w14:textId="158151DF" w:rsidR="00BF5028" w:rsidRPr="00C535A0" w:rsidRDefault="00753360" w:rsidP="00C535A0">
      <w:pPr>
        <w:pStyle w:val="p-01"/>
        <w:spacing w:line="240" w:lineRule="auto"/>
        <w:rPr>
          <w:rFonts w:ascii="Arial" w:hAnsi="Arial" w:cs="Arial"/>
          <w:color w:val="FF0000"/>
          <w:lang w:val="en-US"/>
        </w:rPr>
      </w:pPr>
      <w:r w:rsidRPr="00C535A0">
        <w:rPr>
          <w:rFonts w:ascii="Arial" w:hAnsi="Arial" w:cs="Arial"/>
          <w:noProof/>
          <w:lang w:val="en-US"/>
        </w:rPr>
        <w:drawing>
          <wp:inline distT="0" distB="0" distL="0" distR="0" wp14:anchorId="1D2E947B" wp14:editId="2EF86F08">
            <wp:extent cx="5618073" cy="2684679"/>
            <wp:effectExtent l="0" t="0" r="1905" b="19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02ADC8" w14:textId="106BE0D9" w:rsidR="00753360" w:rsidRPr="00C535A0" w:rsidRDefault="00753360" w:rsidP="00C535A0">
      <w:pPr>
        <w:pStyle w:val="p-01"/>
        <w:spacing w:after="0" w:line="240" w:lineRule="auto"/>
        <w:jc w:val="center"/>
        <w:rPr>
          <w:rFonts w:ascii="Arial" w:hAnsi="Arial" w:cs="Arial"/>
          <w:sz w:val="18"/>
          <w:lang w:val="en-US"/>
        </w:rPr>
      </w:pPr>
      <w:r w:rsidRPr="00C535A0">
        <w:rPr>
          <w:rFonts w:ascii="Arial" w:hAnsi="Arial" w:cs="Arial"/>
          <w:sz w:val="18"/>
          <w:lang w:val="en-US"/>
        </w:rPr>
        <w:t>Source: Annual Industrial Survey (AIS) / IBGE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E78AE" w:rsidRPr="00C535A0" w14:paraId="5BC601C5" w14:textId="77777777" w:rsidTr="002A7D0B">
        <w:tc>
          <w:tcPr>
            <w:tcW w:w="4675" w:type="dxa"/>
          </w:tcPr>
          <w:p w14:paraId="71A5242C" w14:textId="77777777" w:rsidR="00CE78AE" w:rsidRPr="00C535A0" w:rsidRDefault="00CE78AE" w:rsidP="00C535A0">
            <w:pPr>
              <w:spacing w:after="0" w:line="240" w:lineRule="auto"/>
              <w:rPr>
                <w:rFonts w:ascii="Arial" w:hAnsi="Arial" w:cs="Arial"/>
              </w:rPr>
            </w:pPr>
            <w:r w:rsidRPr="00C535A0">
              <w:rPr>
                <w:rFonts w:ascii="Arial" w:hAnsi="Arial" w:cs="Arial"/>
              </w:rPr>
              <w:t xml:space="preserve">Energia / custos ligados á produção </w:t>
            </w:r>
          </w:p>
        </w:tc>
        <w:tc>
          <w:tcPr>
            <w:tcW w:w="4675" w:type="dxa"/>
          </w:tcPr>
          <w:p w14:paraId="6769AAB0" w14:textId="77777777" w:rsidR="00CE78AE" w:rsidRPr="00C535A0" w:rsidRDefault="00CE78AE" w:rsidP="00C535A0">
            <w:pPr>
              <w:spacing w:after="0" w:line="240" w:lineRule="auto"/>
              <w:rPr>
                <w:rFonts w:ascii="Arial" w:hAnsi="Arial" w:cs="Arial"/>
              </w:rPr>
            </w:pPr>
            <w:r w:rsidRPr="00C535A0">
              <w:rPr>
                <w:rFonts w:ascii="Arial" w:hAnsi="Arial" w:cs="Arial"/>
              </w:rPr>
              <w:t xml:space="preserve">Energy / production-related costs </w:t>
            </w:r>
          </w:p>
        </w:tc>
      </w:tr>
      <w:tr w:rsidR="00CE78AE" w:rsidRPr="00C535A0" w14:paraId="2E9CAEB6" w14:textId="77777777" w:rsidTr="002A7D0B">
        <w:tc>
          <w:tcPr>
            <w:tcW w:w="4675" w:type="dxa"/>
          </w:tcPr>
          <w:p w14:paraId="563EC89E" w14:textId="77777777" w:rsidR="00CE78AE" w:rsidRPr="00C535A0" w:rsidRDefault="00CE78AE" w:rsidP="00C535A0">
            <w:pPr>
              <w:spacing w:after="0" w:line="240" w:lineRule="auto"/>
              <w:rPr>
                <w:rFonts w:ascii="Arial" w:hAnsi="Arial" w:cs="Arial"/>
              </w:rPr>
            </w:pPr>
            <w:r w:rsidRPr="00C535A0">
              <w:rPr>
                <w:rFonts w:ascii="Arial" w:hAnsi="Arial" w:cs="Arial"/>
              </w:rPr>
              <w:t>Energia /custos totais</w:t>
            </w:r>
          </w:p>
        </w:tc>
        <w:tc>
          <w:tcPr>
            <w:tcW w:w="4675" w:type="dxa"/>
          </w:tcPr>
          <w:p w14:paraId="41A33E60" w14:textId="77777777" w:rsidR="00CE78AE" w:rsidRPr="00C535A0" w:rsidRDefault="00CE78AE" w:rsidP="00C535A0">
            <w:pPr>
              <w:spacing w:after="0" w:line="240" w:lineRule="auto"/>
              <w:rPr>
                <w:rFonts w:ascii="Arial" w:hAnsi="Arial" w:cs="Arial"/>
              </w:rPr>
            </w:pPr>
            <w:r w:rsidRPr="00C535A0">
              <w:rPr>
                <w:rFonts w:ascii="Arial" w:hAnsi="Arial" w:cs="Arial"/>
              </w:rPr>
              <w:t>Energy / total costs</w:t>
            </w:r>
          </w:p>
        </w:tc>
      </w:tr>
      <w:tr w:rsidR="00CE78AE" w:rsidRPr="00C535A0" w14:paraId="57995B09" w14:textId="77777777" w:rsidTr="002A7D0B">
        <w:tc>
          <w:tcPr>
            <w:tcW w:w="4675" w:type="dxa"/>
          </w:tcPr>
          <w:p w14:paraId="4BE73AAF" w14:textId="77777777" w:rsidR="00CE78AE" w:rsidRPr="00C535A0" w:rsidRDefault="00CE78AE" w:rsidP="00C535A0">
            <w:pPr>
              <w:spacing w:after="0" w:line="240" w:lineRule="auto"/>
              <w:rPr>
                <w:rFonts w:ascii="Arial" w:hAnsi="Arial" w:cs="Arial"/>
              </w:rPr>
            </w:pPr>
            <w:r w:rsidRPr="00C535A0">
              <w:rPr>
                <w:rFonts w:ascii="Arial" w:hAnsi="Arial" w:cs="Arial"/>
              </w:rPr>
              <w:t>Indústria total</w:t>
            </w:r>
          </w:p>
        </w:tc>
        <w:tc>
          <w:tcPr>
            <w:tcW w:w="4675" w:type="dxa"/>
          </w:tcPr>
          <w:p w14:paraId="00C318C1" w14:textId="77777777" w:rsidR="00CE78AE" w:rsidRPr="00C535A0" w:rsidRDefault="00CE78AE" w:rsidP="00C535A0">
            <w:pPr>
              <w:spacing w:after="0" w:line="240" w:lineRule="auto"/>
              <w:rPr>
                <w:rFonts w:ascii="Arial" w:hAnsi="Arial" w:cs="Arial"/>
              </w:rPr>
            </w:pPr>
            <w:r w:rsidRPr="00C535A0">
              <w:rPr>
                <w:rFonts w:ascii="Arial" w:hAnsi="Arial" w:cs="Arial"/>
              </w:rPr>
              <w:t>Industry Total</w:t>
            </w:r>
          </w:p>
        </w:tc>
      </w:tr>
      <w:tr w:rsidR="00CE78AE" w:rsidRPr="00C535A0" w14:paraId="377D1F17" w14:textId="77777777" w:rsidTr="002A7D0B">
        <w:tc>
          <w:tcPr>
            <w:tcW w:w="4675" w:type="dxa"/>
          </w:tcPr>
          <w:p w14:paraId="31464795" w14:textId="77777777" w:rsidR="00CE78AE" w:rsidRPr="00C535A0" w:rsidRDefault="00CE78AE" w:rsidP="00C535A0">
            <w:pPr>
              <w:spacing w:after="0" w:line="240" w:lineRule="auto"/>
              <w:rPr>
                <w:rFonts w:ascii="Arial" w:hAnsi="Arial" w:cs="Arial"/>
              </w:rPr>
            </w:pPr>
            <w:r w:rsidRPr="00C535A0">
              <w:rPr>
                <w:rFonts w:ascii="Arial" w:hAnsi="Arial" w:cs="Arial"/>
              </w:rPr>
              <w:t xml:space="preserve">Indústrias Extrativas </w:t>
            </w:r>
          </w:p>
        </w:tc>
        <w:tc>
          <w:tcPr>
            <w:tcW w:w="4675" w:type="dxa"/>
          </w:tcPr>
          <w:p w14:paraId="7034DFDD" w14:textId="77777777" w:rsidR="00CE78AE" w:rsidRPr="00C535A0" w:rsidRDefault="00CE78AE" w:rsidP="00C535A0">
            <w:pPr>
              <w:spacing w:after="0" w:line="240" w:lineRule="auto"/>
              <w:rPr>
                <w:rFonts w:ascii="Arial" w:hAnsi="Arial" w:cs="Arial"/>
              </w:rPr>
            </w:pPr>
            <w:r w:rsidRPr="00C535A0">
              <w:rPr>
                <w:rFonts w:ascii="Arial" w:hAnsi="Arial" w:cs="Arial"/>
              </w:rPr>
              <w:t xml:space="preserve">Extractive Industries </w:t>
            </w:r>
          </w:p>
        </w:tc>
      </w:tr>
      <w:tr w:rsidR="00CE78AE" w:rsidRPr="00C535A0" w14:paraId="288BEE72" w14:textId="77777777" w:rsidTr="002A7D0B">
        <w:tc>
          <w:tcPr>
            <w:tcW w:w="4675" w:type="dxa"/>
          </w:tcPr>
          <w:p w14:paraId="561E8E4B" w14:textId="77777777" w:rsidR="00CE78AE" w:rsidRPr="00C535A0" w:rsidRDefault="00CE78AE" w:rsidP="00C535A0">
            <w:pPr>
              <w:spacing w:after="0" w:line="240" w:lineRule="auto"/>
              <w:rPr>
                <w:rFonts w:ascii="Arial" w:hAnsi="Arial" w:cs="Arial"/>
              </w:rPr>
            </w:pPr>
            <w:r w:rsidRPr="00C535A0">
              <w:rPr>
                <w:rFonts w:ascii="Arial" w:hAnsi="Arial" w:cs="Arial"/>
              </w:rPr>
              <w:t xml:space="preserve">Indústrias de transformação </w:t>
            </w:r>
          </w:p>
        </w:tc>
        <w:tc>
          <w:tcPr>
            <w:tcW w:w="4675" w:type="dxa"/>
          </w:tcPr>
          <w:p w14:paraId="6D45C463" w14:textId="77777777" w:rsidR="00CE78AE" w:rsidRPr="00C535A0" w:rsidRDefault="00CE78AE" w:rsidP="00C535A0">
            <w:pPr>
              <w:spacing w:after="0" w:line="240" w:lineRule="auto"/>
              <w:rPr>
                <w:rFonts w:ascii="Arial" w:hAnsi="Arial" w:cs="Arial"/>
              </w:rPr>
            </w:pPr>
            <w:r w:rsidRPr="00C535A0">
              <w:rPr>
                <w:rFonts w:ascii="Arial" w:hAnsi="Arial" w:cs="Arial"/>
              </w:rPr>
              <w:t xml:space="preserve">Manufacturing Industries </w:t>
            </w:r>
          </w:p>
        </w:tc>
      </w:tr>
    </w:tbl>
    <w:p w14:paraId="4A93FF56" w14:textId="77777777" w:rsidR="00A10F57" w:rsidRPr="00C535A0" w:rsidRDefault="00A10F57" w:rsidP="00C535A0">
      <w:pPr>
        <w:pStyle w:val="p-01"/>
        <w:spacing w:line="240" w:lineRule="auto"/>
        <w:rPr>
          <w:rFonts w:ascii="Arial" w:hAnsi="Arial" w:cs="Arial"/>
          <w:lang w:val="en-US"/>
        </w:rPr>
      </w:pPr>
      <w:r w:rsidRPr="00C535A0">
        <w:rPr>
          <w:rFonts w:ascii="Arial" w:hAnsi="Arial" w:cs="Arial"/>
          <w:lang w:val="en-US"/>
        </w:rPr>
        <w:lastRenderedPageBreak/>
        <w:t>There are some energy-intensive sectors, however, in which the aforementioned percentages reach much higher values. In the case of metallurgy of non-ferrous metals, for example, the cost of purchasing electricity used for production, when compared to the total costs and expenses and the direct production costs represents 5.30% and 37.37%, respectively. For metallurgy of aluminum and its alloys, these percentages reach 7.66% and 43.66%.  Some groups that comprise the “chemical product manufacturing” division in the National Classification of Economic Activities (CNAE), whose average percentages are around 1.24% and 26.36% (slightly higher than the average for the manufacturing industry) may also be heavily affected by the reduced price of electricity. This is the case of industrial gas manufacturing (16.60% and 73.36%) and chlorine and alkalis manufacturing (12.82% and 65.26%). Some industrial sectors in which the presence of smaller companies is more remarkable, may also obtain significant productivity gains with reduced energy costs. The relative share of the cost of purchasing electricity, compared to the total costs and expenses and direct production costs in the manufacturing sector of laminated wood and plywood, pressed wood and particleboard sheet reach 3.95% and 35.43%, respectively. Additionally, smaller companies – for which the cost of raw materials is often particularly important to their cost structure – may indirectly benefit from reduced electricity prices. This tends to occur if the productivity gains of the upstream industries are partially transferred to the products used as inputs by micro, small and medium enterprises.</w:t>
      </w:r>
    </w:p>
    <w:p w14:paraId="3A828A40" w14:textId="79103814" w:rsidR="00C968E7" w:rsidRPr="00C535A0" w:rsidRDefault="00C968E7" w:rsidP="00C535A0">
      <w:pPr>
        <w:pStyle w:val="p-01"/>
        <w:spacing w:line="240" w:lineRule="auto"/>
        <w:rPr>
          <w:rFonts w:ascii="Arial" w:hAnsi="Arial" w:cs="Arial"/>
          <w:lang w:val="en-US"/>
        </w:rPr>
      </w:pPr>
      <w:r w:rsidRPr="00C535A0">
        <w:rPr>
          <w:rFonts w:ascii="Arial" w:hAnsi="Arial" w:cs="Arial"/>
          <w:lang w:val="en-US"/>
        </w:rPr>
        <w:t xml:space="preserve">The example of Brazil’s 2001 </w:t>
      </w:r>
      <w:r w:rsidR="003A31CC" w:rsidRPr="00C535A0">
        <w:rPr>
          <w:rFonts w:ascii="Arial" w:hAnsi="Arial" w:cs="Arial"/>
          <w:lang w:val="en-US"/>
        </w:rPr>
        <w:t>energy</w:t>
      </w:r>
      <w:r w:rsidRPr="00C535A0">
        <w:rPr>
          <w:rFonts w:ascii="Arial" w:hAnsi="Arial" w:cs="Arial"/>
          <w:lang w:val="en-US"/>
        </w:rPr>
        <w:t xml:space="preserve"> crisis shows how energy </w:t>
      </w:r>
      <w:r w:rsidR="003A31CC" w:rsidRPr="00C535A0">
        <w:rPr>
          <w:rFonts w:ascii="Arial" w:hAnsi="Arial" w:cs="Arial"/>
          <w:lang w:val="en-US"/>
        </w:rPr>
        <w:t xml:space="preserve">supply restrictions </w:t>
      </w:r>
      <w:r w:rsidRPr="00C535A0">
        <w:rPr>
          <w:rFonts w:ascii="Arial" w:hAnsi="Arial" w:cs="Arial"/>
          <w:lang w:val="en-US"/>
        </w:rPr>
        <w:t>can significantly impact the country’s economic growth. Estimates by the Central Bank of Brazil indicate that “the impacts of the energy crisis on the evolution of the GDP range between one and two negative percentage points.”</w:t>
      </w:r>
      <w:r w:rsidRPr="00C535A0">
        <w:rPr>
          <w:rStyle w:val="FootnoteReference"/>
          <w:rFonts w:ascii="Arial" w:hAnsi="Arial" w:cs="Arial"/>
          <w:lang w:val="en-US"/>
        </w:rPr>
        <w:footnoteReference w:id="12"/>
      </w:r>
      <w:r w:rsidRPr="00C535A0">
        <w:rPr>
          <w:rFonts w:ascii="Arial" w:hAnsi="Arial" w:cs="Arial"/>
          <w:lang w:val="en-US"/>
        </w:rPr>
        <w:t xml:space="preserve"> Results such as these indicate that the insufficient supply of energy can be more costly than investments in this segment.</w:t>
      </w:r>
    </w:p>
    <w:p w14:paraId="0D01AF2B" w14:textId="01B7B4DF" w:rsidR="00C968E7" w:rsidRPr="00C535A0" w:rsidRDefault="00C968E7" w:rsidP="00C535A0">
      <w:pPr>
        <w:pStyle w:val="p-01"/>
        <w:spacing w:line="240" w:lineRule="auto"/>
        <w:rPr>
          <w:rFonts w:ascii="Arial" w:hAnsi="Arial" w:cs="Arial"/>
          <w:lang w:val="en-US"/>
        </w:rPr>
      </w:pPr>
      <w:r w:rsidRPr="00C535A0">
        <w:rPr>
          <w:rFonts w:ascii="Arial" w:hAnsi="Arial" w:cs="Arial"/>
          <w:lang w:val="en-US" w:eastAsia="pt-BR"/>
        </w:rPr>
        <w:t xml:space="preserve">The price, </w:t>
      </w:r>
      <w:r w:rsidRPr="00C535A0">
        <w:rPr>
          <w:rFonts w:ascii="Arial" w:hAnsi="Arial" w:cs="Arial"/>
          <w:lang w:val="en-US"/>
        </w:rPr>
        <w:t xml:space="preserve">supply, and security of the energy supply are linked not only to the investments stock in the sector, but also to its composition. In fact, a more diversified matrix is less vulnerable to events capable of affecting the energy supply. These events involve, for example, prolonged droughts, in the case of hydroelectric power, or increases in </w:t>
      </w:r>
      <w:r w:rsidR="005759B9" w:rsidRPr="00C535A0">
        <w:rPr>
          <w:rFonts w:ascii="Arial" w:hAnsi="Arial" w:cs="Arial"/>
          <w:lang w:val="en-US"/>
        </w:rPr>
        <w:t>fuel prices</w:t>
      </w:r>
      <w:r w:rsidRPr="00C535A0">
        <w:rPr>
          <w:rFonts w:ascii="Arial" w:hAnsi="Arial" w:cs="Arial"/>
          <w:lang w:val="en-US"/>
        </w:rPr>
        <w:t>, in the case of thermoelectric power. In Brazil, the energy matrix’s concentration in hydroelectric power has attracted attention, especially after the rationing threats that occurred in early 2010, when low reservoir levels and a lack of new investments resulted in supply constraints.</w:t>
      </w:r>
      <w:r w:rsidR="00A0545B" w:rsidRPr="00C535A0">
        <w:rPr>
          <w:rFonts w:ascii="Arial" w:hAnsi="Arial" w:cs="Arial"/>
          <w:lang w:val="en-US"/>
        </w:rPr>
        <w:t xml:space="preserve"> On the other hand, the high cost associated with thermoelectric power generation and its vulnerability to international oil and gas prices (which the country has limited ability to manage) strengthen the option for increasing investments in renewable energy in Brazil.</w:t>
      </w:r>
      <w:r w:rsidRPr="00C535A0">
        <w:rPr>
          <w:rFonts w:ascii="Arial" w:hAnsi="Arial" w:cs="Arial"/>
          <w:lang w:val="en-US"/>
        </w:rPr>
        <w:t xml:space="preserve"> </w:t>
      </w:r>
      <w:r w:rsidR="005F055D" w:rsidRPr="00C535A0">
        <w:rPr>
          <w:rFonts w:ascii="Arial" w:hAnsi="Arial" w:cs="Arial"/>
          <w:lang w:val="en-US"/>
        </w:rPr>
        <w:t xml:space="preserve">The incentive to invest in </w:t>
      </w:r>
      <w:r w:rsidR="005759B9" w:rsidRPr="00C535A0">
        <w:rPr>
          <w:rFonts w:ascii="Arial" w:hAnsi="Arial" w:cs="Arial"/>
          <w:lang w:val="en-US"/>
        </w:rPr>
        <w:t>this energy generation modality may</w:t>
      </w:r>
      <w:r w:rsidR="005F055D" w:rsidRPr="00C535A0">
        <w:rPr>
          <w:rFonts w:ascii="Arial" w:hAnsi="Arial" w:cs="Arial"/>
          <w:lang w:val="en-US"/>
        </w:rPr>
        <w:t>, then,</w:t>
      </w:r>
      <w:r w:rsidRPr="00C535A0">
        <w:rPr>
          <w:rFonts w:ascii="Arial" w:hAnsi="Arial" w:cs="Arial"/>
          <w:lang w:val="en-US"/>
        </w:rPr>
        <w:t xml:space="preserve"> contribute to increasing the energy supply and guaranteeing a more secure supply. </w:t>
      </w:r>
    </w:p>
    <w:p w14:paraId="3C06D704" w14:textId="1EB1B22B" w:rsidR="00B9726D" w:rsidRPr="00C535A0" w:rsidRDefault="00B9726D" w:rsidP="00C535A0">
      <w:pPr>
        <w:pStyle w:val="p-01"/>
        <w:spacing w:line="240" w:lineRule="auto"/>
        <w:rPr>
          <w:rFonts w:ascii="Arial" w:hAnsi="Arial" w:cs="Arial"/>
          <w:lang w:val="en-US"/>
        </w:rPr>
      </w:pPr>
      <w:r w:rsidRPr="00C535A0">
        <w:rPr>
          <w:rFonts w:ascii="Arial" w:hAnsi="Arial" w:cs="Arial"/>
          <w:lang w:val="en-US"/>
        </w:rPr>
        <w:t>Given the demand projections made by the EPE, already mentioned at the start of this section, the company estimates</w:t>
      </w:r>
      <w:r w:rsidRPr="00C535A0">
        <w:rPr>
          <w:rStyle w:val="FootnoteReference"/>
          <w:rFonts w:ascii="Arial" w:hAnsi="Arial" w:cs="Arial"/>
          <w:lang w:val="en-US"/>
        </w:rPr>
        <w:footnoteReference w:id="13"/>
      </w:r>
      <w:r w:rsidRPr="00C535A0">
        <w:rPr>
          <w:rFonts w:ascii="Arial" w:hAnsi="Arial" w:cs="Arial"/>
          <w:lang w:val="en-US"/>
        </w:rPr>
        <w:t xml:space="preserve"> that a 3.7% growth in the energy supply per year is needed to respond to the growing demand and to avoid supply shortages, especially in the northern, northeastern, and southern regions where, between 2013 and 2014, electricity consumption has grown more than the national average. </w:t>
      </w:r>
    </w:p>
    <w:p w14:paraId="76C04D5E" w14:textId="60214760" w:rsidR="008F17CD" w:rsidRPr="00C535A0" w:rsidRDefault="00753360" w:rsidP="00C535A0">
      <w:pPr>
        <w:pStyle w:val="p-01"/>
        <w:spacing w:line="240" w:lineRule="auto"/>
        <w:rPr>
          <w:rFonts w:ascii="Arial" w:hAnsi="Arial" w:cs="Arial"/>
          <w:lang w:val="en-US"/>
        </w:rPr>
      </w:pPr>
      <w:r w:rsidRPr="00C535A0">
        <w:rPr>
          <w:rFonts w:ascii="Arial" w:hAnsi="Arial" w:cs="Arial"/>
          <w:lang w:val="en-US"/>
        </w:rPr>
        <w:t>Tolmasquim (2016) shows how hydroelectricity production costs are lower than the gas and coal thermoelectricity sources, which are lower than the production costs of some renewable sources, such as wind and solar. However, there are costs not directly associated with hydroelectricity production, which have become increasingly important over the last few years. Among them</w:t>
      </w:r>
      <w:r w:rsidR="005759B9" w:rsidRPr="00C535A0">
        <w:rPr>
          <w:rFonts w:ascii="Arial" w:hAnsi="Arial" w:cs="Arial"/>
          <w:lang w:val="en-US"/>
        </w:rPr>
        <w:t>,</w:t>
      </w:r>
      <w:r w:rsidR="00466474" w:rsidRPr="00C535A0">
        <w:rPr>
          <w:rFonts w:ascii="Arial" w:hAnsi="Arial" w:cs="Arial"/>
          <w:lang w:val="en-US"/>
        </w:rPr>
        <w:t xml:space="preserve"> </w:t>
      </w:r>
      <w:r w:rsidRPr="00C535A0">
        <w:rPr>
          <w:rFonts w:ascii="Arial" w:hAnsi="Arial" w:cs="Arial"/>
          <w:lang w:val="en-US"/>
        </w:rPr>
        <w:t xml:space="preserve">the cost of transmission, given the installation of hydroelectric </w:t>
      </w:r>
      <w:r w:rsidR="005759B9" w:rsidRPr="00C535A0">
        <w:rPr>
          <w:rFonts w:ascii="Arial" w:hAnsi="Arial" w:cs="Arial"/>
          <w:lang w:val="en-US"/>
        </w:rPr>
        <w:t xml:space="preserve">power plants </w:t>
      </w:r>
      <w:r w:rsidRPr="00C535A0">
        <w:rPr>
          <w:rFonts w:ascii="Arial" w:hAnsi="Arial" w:cs="Arial"/>
          <w:lang w:val="en-US"/>
        </w:rPr>
        <w:t xml:space="preserve">in increasingly remote regions, in addition to environmental costs, which tend to be </w:t>
      </w:r>
      <w:r w:rsidRPr="00C535A0">
        <w:rPr>
          <w:rFonts w:ascii="Arial" w:hAnsi="Arial" w:cs="Arial"/>
          <w:lang w:val="en-US"/>
        </w:rPr>
        <w:lastRenderedPageBreak/>
        <w:t xml:space="preserve">much higher at thermal sources. Over the long term, however, the trend indicates increasing costs for traditional sources while technological innovations tend to reduce the cost of wind and solar power, for example, through the maturity of these technologies. In this sense, investing in these sources is essential so that, in the future, energy costs do not outweigh technical efficiency gains possibly obtained by the Brazilian industry. </w:t>
      </w:r>
    </w:p>
    <w:p w14:paraId="1E396D6A" w14:textId="37733C2F" w:rsidR="008F17CD" w:rsidRPr="00C535A0" w:rsidRDefault="00753360" w:rsidP="00C535A0">
      <w:pPr>
        <w:pStyle w:val="p-01"/>
        <w:spacing w:line="240" w:lineRule="auto"/>
        <w:rPr>
          <w:rFonts w:ascii="Arial" w:hAnsi="Arial" w:cs="Arial"/>
          <w:lang w:val="en-US"/>
        </w:rPr>
      </w:pPr>
      <w:r w:rsidRPr="00C535A0">
        <w:rPr>
          <w:rFonts w:ascii="Arial" w:hAnsi="Arial" w:cs="Arial"/>
          <w:lang w:val="en-US"/>
        </w:rPr>
        <w:t xml:space="preserve">Some studies have also estimated the direct effects of renewable energy on productivity. </w:t>
      </w:r>
      <w:r w:rsidR="008F17CD" w:rsidRPr="00C535A0">
        <w:rPr>
          <w:rFonts w:ascii="Arial" w:hAnsi="Arial" w:cs="Arial"/>
          <w:lang w:val="en-US"/>
        </w:rPr>
        <w:t>Chien and Hu (2007)</w:t>
      </w:r>
      <w:r w:rsidRPr="00C535A0">
        <w:rPr>
          <w:rFonts w:ascii="Arial" w:hAnsi="Arial" w:cs="Arial"/>
          <w:lang w:val="en-US"/>
        </w:rPr>
        <w:t>, for example,</w:t>
      </w:r>
      <w:r w:rsidR="008F17CD" w:rsidRPr="00C535A0">
        <w:rPr>
          <w:rFonts w:ascii="Arial" w:hAnsi="Arial" w:cs="Arial"/>
          <w:lang w:val="en-US"/>
        </w:rPr>
        <w:t xml:space="preserve"> analyzed the effects of renewable energy on techni</w:t>
      </w:r>
      <w:r w:rsidR="005759B9" w:rsidRPr="00C535A0">
        <w:rPr>
          <w:rFonts w:ascii="Arial" w:hAnsi="Arial" w:cs="Arial"/>
          <w:lang w:val="en-US"/>
        </w:rPr>
        <w:t>cal</w:t>
      </w:r>
      <w:r w:rsidR="008F17CD" w:rsidRPr="00C535A0">
        <w:rPr>
          <w:rFonts w:ascii="Arial" w:hAnsi="Arial" w:cs="Arial"/>
          <w:lang w:val="en-US"/>
        </w:rPr>
        <w:t xml:space="preserve"> efficiency indicators for 45 countries, between 2001 and 2002, using the DEA method (</w:t>
      </w:r>
      <w:r w:rsidR="005759B9" w:rsidRPr="00C535A0">
        <w:rPr>
          <w:rFonts w:ascii="Arial" w:hAnsi="Arial" w:cs="Arial"/>
          <w:lang w:val="en-US"/>
        </w:rPr>
        <w:t>“</w:t>
      </w:r>
      <w:r w:rsidR="008F17CD" w:rsidRPr="00C535A0">
        <w:rPr>
          <w:rFonts w:ascii="Arial" w:hAnsi="Arial" w:cs="Arial"/>
          <w:i/>
          <w:lang w:val="en-US"/>
        </w:rPr>
        <w:t>Data Envelopment Analysis</w:t>
      </w:r>
      <w:r w:rsidR="005759B9" w:rsidRPr="00C535A0">
        <w:rPr>
          <w:rFonts w:ascii="Arial" w:hAnsi="Arial" w:cs="Arial"/>
          <w:lang w:val="en-US"/>
        </w:rPr>
        <w:t>”</w:t>
      </w:r>
      <w:r w:rsidR="008F17CD" w:rsidRPr="00C535A0">
        <w:rPr>
          <w:rFonts w:ascii="Arial" w:hAnsi="Arial" w:cs="Arial"/>
          <w:lang w:val="en-US"/>
        </w:rPr>
        <w:t xml:space="preserve">). Although the authors do not elaborate on the transmission channels between the consumption of renewable energy and technical efficiency </w:t>
      </w:r>
      <w:r w:rsidRPr="00C535A0">
        <w:rPr>
          <w:rFonts w:ascii="Arial" w:hAnsi="Arial" w:cs="Arial"/>
          <w:lang w:val="en-US"/>
        </w:rPr>
        <w:t xml:space="preserve">and even though the period under analysis (only </w:t>
      </w:r>
      <w:r w:rsidR="005759B9" w:rsidRPr="00C535A0">
        <w:rPr>
          <w:rFonts w:ascii="Arial" w:hAnsi="Arial" w:cs="Arial"/>
          <w:lang w:val="en-US"/>
        </w:rPr>
        <w:t xml:space="preserve">two </w:t>
      </w:r>
      <w:r w:rsidRPr="00C535A0">
        <w:rPr>
          <w:rFonts w:ascii="Arial" w:hAnsi="Arial" w:cs="Arial"/>
          <w:lang w:val="en-US"/>
        </w:rPr>
        <w:t xml:space="preserve">years) is very short, the authors found that the increase </w:t>
      </w:r>
      <w:r w:rsidR="005759B9" w:rsidRPr="00C535A0">
        <w:rPr>
          <w:rFonts w:ascii="Arial" w:hAnsi="Arial" w:cs="Arial"/>
          <w:lang w:val="en-US"/>
        </w:rPr>
        <w:t xml:space="preserve">in </w:t>
      </w:r>
      <w:r w:rsidRPr="00C535A0">
        <w:rPr>
          <w:rFonts w:ascii="Arial" w:hAnsi="Arial" w:cs="Arial"/>
          <w:lang w:val="en-US"/>
        </w:rPr>
        <w:t xml:space="preserve">the use of renewable energy sources has </w:t>
      </w:r>
      <w:r w:rsidR="005759B9" w:rsidRPr="00C535A0">
        <w:rPr>
          <w:rFonts w:ascii="Arial" w:hAnsi="Arial" w:cs="Arial"/>
          <w:lang w:val="en-US"/>
        </w:rPr>
        <w:t xml:space="preserve">increased </w:t>
      </w:r>
      <w:r w:rsidRPr="00C535A0">
        <w:rPr>
          <w:rFonts w:ascii="Arial" w:hAnsi="Arial" w:cs="Arial"/>
          <w:lang w:val="en-US"/>
        </w:rPr>
        <w:t>the economies’ technical efficiency levels.</w:t>
      </w:r>
    </w:p>
    <w:p w14:paraId="00233161" w14:textId="5AD8B64F" w:rsidR="004824B4" w:rsidRPr="00C535A0" w:rsidRDefault="004824B4" w:rsidP="00C535A0">
      <w:pPr>
        <w:pStyle w:val="Heading1"/>
        <w:spacing w:line="240" w:lineRule="auto"/>
        <w:rPr>
          <w:rFonts w:ascii="Arial" w:hAnsi="Arial" w:cs="Arial"/>
          <w:lang w:val="en-US"/>
        </w:rPr>
      </w:pPr>
      <w:r w:rsidRPr="00C535A0">
        <w:rPr>
          <w:rFonts w:ascii="Arial" w:hAnsi="Arial" w:cs="Arial"/>
          <w:lang w:val="en-US"/>
        </w:rPr>
        <w:t xml:space="preserve">Final Considerations </w:t>
      </w:r>
    </w:p>
    <w:p w14:paraId="5AAFC05C" w14:textId="337DB8B9" w:rsidR="00DA6D7D" w:rsidRPr="00C535A0" w:rsidRDefault="005C0AAF" w:rsidP="00C535A0">
      <w:pPr>
        <w:pStyle w:val="p-01"/>
        <w:spacing w:line="240" w:lineRule="auto"/>
        <w:rPr>
          <w:rFonts w:ascii="Arial" w:hAnsi="Arial" w:cs="Arial"/>
          <w:lang w:val="en-US"/>
        </w:rPr>
      </w:pPr>
      <w:r w:rsidRPr="00C535A0">
        <w:rPr>
          <w:rFonts w:ascii="Arial" w:hAnsi="Arial" w:cs="Arial"/>
          <w:lang w:val="en-US"/>
        </w:rPr>
        <w:t xml:space="preserve">In this document, we have gathered information about </w:t>
      </w:r>
      <w:r w:rsidRPr="00C535A0">
        <w:rPr>
          <w:rFonts w:ascii="Arial" w:hAnsi="Arial" w:cs="Arial"/>
          <w:i/>
          <w:lang w:val="en-US"/>
        </w:rPr>
        <w:t>i)</w:t>
      </w:r>
      <w:r w:rsidRPr="00C535A0">
        <w:rPr>
          <w:rFonts w:ascii="Arial" w:hAnsi="Arial" w:cs="Arial"/>
          <w:lang w:val="en-US"/>
        </w:rPr>
        <w:t xml:space="preserve"> micro, small, and medium </w:t>
      </w:r>
      <w:r w:rsidR="005759B9" w:rsidRPr="00C535A0">
        <w:rPr>
          <w:rFonts w:ascii="Arial" w:hAnsi="Arial" w:cs="Arial"/>
          <w:lang w:val="en-US"/>
        </w:rPr>
        <w:t>enterprises</w:t>
      </w:r>
      <w:r w:rsidRPr="00C535A0">
        <w:rPr>
          <w:rFonts w:ascii="Arial" w:hAnsi="Arial" w:cs="Arial"/>
          <w:lang w:val="en-US"/>
        </w:rPr>
        <w:t xml:space="preserve">; </w:t>
      </w:r>
      <w:r w:rsidRPr="00C535A0">
        <w:rPr>
          <w:rFonts w:ascii="Arial" w:hAnsi="Arial" w:cs="Arial"/>
          <w:i/>
          <w:lang w:val="en-US"/>
        </w:rPr>
        <w:t>ii)</w:t>
      </w:r>
      <w:r w:rsidRPr="00C535A0">
        <w:rPr>
          <w:rFonts w:ascii="Arial" w:hAnsi="Arial" w:cs="Arial"/>
          <w:lang w:val="en-US"/>
        </w:rPr>
        <w:t xml:space="preserve"> Infrastructure; and </w:t>
      </w:r>
      <w:r w:rsidRPr="00C535A0">
        <w:rPr>
          <w:rFonts w:ascii="Arial" w:hAnsi="Arial" w:cs="Arial"/>
          <w:i/>
          <w:lang w:val="en-US"/>
        </w:rPr>
        <w:t>iii)</w:t>
      </w:r>
      <w:r w:rsidRPr="00C535A0">
        <w:rPr>
          <w:rFonts w:ascii="Arial" w:hAnsi="Arial" w:cs="Arial"/>
          <w:lang w:val="en-US"/>
        </w:rPr>
        <w:t xml:space="preserve"> renewable energy </w:t>
      </w:r>
      <w:r w:rsidR="005759B9" w:rsidRPr="00C535A0">
        <w:rPr>
          <w:rFonts w:ascii="Arial" w:hAnsi="Arial" w:cs="Arial"/>
          <w:lang w:val="en-US"/>
        </w:rPr>
        <w:t xml:space="preserve">with the aim of </w:t>
      </w:r>
      <w:r w:rsidR="00DA6D7D" w:rsidRPr="00C535A0">
        <w:rPr>
          <w:rFonts w:ascii="Arial" w:hAnsi="Arial" w:cs="Arial"/>
          <w:lang w:val="en-US"/>
        </w:rPr>
        <w:t xml:space="preserve">contributing to the development of supporting documentation for the loan operation from IDB to BNDES. In line with the focus of this operation, we have gathered some indicators that may be used by the IDB in its evaluation of the actions to be taken. </w:t>
      </w:r>
      <w:r w:rsidR="00930622" w:rsidRPr="00C535A0">
        <w:rPr>
          <w:rFonts w:ascii="Arial" w:hAnsi="Arial" w:cs="Arial"/>
          <w:lang w:val="en-US"/>
        </w:rPr>
        <w:t>Those aspects related to the financing are discussed in another document referred to in this work.</w:t>
      </w:r>
    </w:p>
    <w:p w14:paraId="612A1567" w14:textId="7E6576E6" w:rsidR="004824B4" w:rsidRPr="00C535A0" w:rsidRDefault="00930622" w:rsidP="00C535A0">
      <w:pPr>
        <w:pStyle w:val="p-01"/>
        <w:spacing w:line="240" w:lineRule="auto"/>
        <w:rPr>
          <w:rFonts w:ascii="Arial" w:hAnsi="Arial" w:cs="Arial"/>
          <w:lang w:val="en-US"/>
        </w:rPr>
      </w:pPr>
      <w:r w:rsidRPr="00C535A0">
        <w:rPr>
          <w:rFonts w:ascii="Arial" w:hAnsi="Arial" w:cs="Arial"/>
          <w:lang w:val="en-US"/>
        </w:rPr>
        <w:t>In general, the information collected about MSMEs in Brazil indicates that their productivity levels are lower than those of the larger companies. Aspects related to the competition pattern, management problems, business climate and access to credit under conditions consistent with the characteristics of this segment were indicated as the main reasons for the lower productivity levels in the MSME. In this sense, strengthening the lines of credit specifically offered to this segment by BNDES, could contribute to increasing their productivity levels.</w:t>
      </w:r>
    </w:p>
    <w:p w14:paraId="51922C76" w14:textId="668ADBB4" w:rsidR="00930622" w:rsidRPr="00C535A0" w:rsidRDefault="00930622" w:rsidP="00C535A0">
      <w:pPr>
        <w:pStyle w:val="p-01"/>
        <w:spacing w:line="240" w:lineRule="auto"/>
        <w:rPr>
          <w:rFonts w:ascii="Arial" w:hAnsi="Arial" w:cs="Arial"/>
          <w:lang w:val="en-US"/>
        </w:rPr>
      </w:pPr>
      <w:r w:rsidRPr="00C535A0">
        <w:rPr>
          <w:rFonts w:ascii="Arial" w:hAnsi="Arial" w:cs="Arial"/>
          <w:lang w:val="en-US"/>
        </w:rPr>
        <w:t xml:space="preserve">With regard to the infrastructure, we have shown the main transmission channels that associate it with aggregate productivity indicators in the country, and we have indicated the results obtained in specific studies that relate </w:t>
      </w:r>
      <w:r w:rsidR="009667CC" w:rsidRPr="00C535A0">
        <w:rPr>
          <w:rFonts w:ascii="Arial" w:hAnsi="Arial" w:cs="Arial"/>
          <w:lang w:val="en-US"/>
        </w:rPr>
        <w:t xml:space="preserve">it to the GDP growth </w:t>
      </w:r>
      <w:r w:rsidRPr="00C535A0">
        <w:rPr>
          <w:rFonts w:ascii="Arial" w:hAnsi="Arial" w:cs="Arial"/>
          <w:lang w:val="en-US"/>
        </w:rPr>
        <w:t xml:space="preserve">rate. </w:t>
      </w:r>
      <w:r w:rsidR="00B10171" w:rsidRPr="00C535A0">
        <w:rPr>
          <w:rFonts w:ascii="Arial" w:hAnsi="Arial" w:cs="Arial"/>
          <w:lang w:val="en-US"/>
        </w:rPr>
        <w:t xml:space="preserve">It is further stated that infrastructure projects – characterized by long-term maturity and a prolonged life – are not compatible with the credit markets, which mostly focus on the short-term. As such, in </w:t>
      </w:r>
      <w:r w:rsidR="009667CC" w:rsidRPr="00C535A0">
        <w:rPr>
          <w:rFonts w:ascii="Arial" w:hAnsi="Arial" w:cs="Arial"/>
          <w:lang w:val="en-US"/>
        </w:rPr>
        <w:t>Brazil</w:t>
      </w:r>
      <w:r w:rsidR="00B10171" w:rsidRPr="00C535A0">
        <w:rPr>
          <w:rFonts w:ascii="Arial" w:hAnsi="Arial" w:cs="Arial"/>
          <w:lang w:val="en-US"/>
        </w:rPr>
        <w:t xml:space="preserve">, the incentive </w:t>
      </w:r>
      <w:r w:rsidR="00DC30E0" w:rsidRPr="00C535A0">
        <w:rPr>
          <w:rFonts w:ascii="Arial" w:hAnsi="Arial" w:cs="Arial"/>
          <w:lang w:val="en-US"/>
        </w:rPr>
        <w:t>to invest in these projects may require actions by the development banks.</w:t>
      </w:r>
    </w:p>
    <w:p w14:paraId="77BD2332" w14:textId="317E83F4" w:rsidR="0040046F" w:rsidRPr="00C535A0" w:rsidRDefault="00DC30E0" w:rsidP="00C535A0">
      <w:pPr>
        <w:pStyle w:val="p-01"/>
        <w:spacing w:line="240" w:lineRule="auto"/>
        <w:rPr>
          <w:rFonts w:ascii="Arial" w:hAnsi="Arial" w:cs="Arial"/>
          <w:lang w:val="en-US"/>
        </w:rPr>
      </w:pPr>
      <w:r w:rsidRPr="00C535A0">
        <w:rPr>
          <w:rFonts w:ascii="Arial" w:hAnsi="Arial" w:cs="Arial"/>
          <w:lang w:val="en-US"/>
        </w:rPr>
        <w:t>Finally</w:t>
      </w:r>
      <w:r w:rsidR="00A21921" w:rsidRPr="00C535A0">
        <w:rPr>
          <w:rFonts w:ascii="Arial" w:hAnsi="Arial" w:cs="Arial"/>
          <w:lang w:val="en-US"/>
        </w:rPr>
        <w:t>,</w:t>
      </w:r>
      <w:r w:rsidRPr="00C535A0">
        <w:rPr>
          <w:rFonts w:ascii="Arial" w:hAnsi="Arial" w:cs="Arial"/>
          <w:lang w:val="en-US"/>
        </w:rPr>
        <w:t xml:space="preserve"> we noted the </w:t>
      </w:r>
      <w:r w:rsidR="00A21921" w:rsidRPr="00C535A0">
        <w:rPr>
          <w:rFonts w:ascii="Arial" w:hAnsi="Arial" w:cs="Arial"/>
          <w:lang w:val="en-US"/>
        </w:rPr>
        <w:t xml:space="preserve">relationship between investments in the </w:t>
      </w:r>
      <w:r w:rsidR="00A21921" w:rsidRPr="00C535A0">
        <w:rPr>
          <w:rFonts w:ascii="Arial" w:hAnsi="Arial" w:cs="Arial"/>
          <w:lang w:val="en-US" w:eastAsia="pt-BR"/>
        </w:rPr>
        <w:t xml:space="preserve">generation, transmission, and distribution of electricity </w:t>
      </w:r>
      <w:r w:rsidR="009667CC" w:rsidRPr="00C535A0">
        <w:rPr>
          <w:rFonts w:ascii="Arial" w:hAnsi="Arial" w:cs="Arial"/>
          <w:lang w:val="en-US" w:eastAsia="pt-BR"/>
        </w:rPr>
        <w:t>and</w:t>
      </w:r>
      <w:r w:rsidR="00A21921" w:rsidRPr="00C535A0">
        <w:rPr>
          <w:rFonts w:ascii="Arial" w:hAnsi="Arial" w:cs="Arial"/>
          <w:lang w:val="en-US" w:eastAsia="pt-BR"/>
        </w:rPr>
        <w:t xml:space="preserve"> the productivity levels of the Brazilian economy. Data calculated based on the AIS indicated the relative share of electricity costs compared to the total costs and expenses of the industry in Brazil. </w:t>
      </w:r>
      <w:r w:rsidR="0040046F" w:rsidRPr="00C535A0">
        <w:rPr>
          <w:rFonts w:ascii="Arial" w:hAnsi="Arial" w:cs="Arial"/>
          <w:lang w:val="en-US" w:eastAsia="pt-BR"/>
        </w:rPr>
        <w:t xml:space="preserve">In particular, it was argued that </w:t>
      </w:r>
      <w:r w:rsidR="00A85930" w:rsidRPr="00C535A0">
        <w:rPr>
          <w:rFonts w:ascii="Arial" w:hAnsi="Arial" w:cs="Arial"/>
          <w:lang w:val="en-US"/>
        </w:rPr>
        <w:t xml:space="preserve">the concentration of the energy matrix on hydroelectricity production </w:t>
      </w:r>
      <w:r w:rsidR="0040046F" w:rsidRPr="00C535A0">
        <w:rPr>
          <w:rFonts w:ascii="Arial" w:hAnsi="Arial" w:cs="Arial"/>
          <w:lang w:val="en-US"/>
        </w:rPr>
        <w:t xml:space="preserve">could make the supply vulnerable to climate events and the incentive to invest in renewable energy could contribute to mitigating any problems related to the price, </w:t>
      </w:r>
      <w:r w:rsidR="0040046F" w:rsidRPr="00C535A0">
        <w:rPr>
          <w:rFonts w:ascii="Arial" w:hAnsi="Arial" w:cs="Arial"/>
          <w:lang w:val="en-US" w:eastAsia="pt-BR"/>
        </w:rPr>
        <w:t>supply,</w:t>
      </w:r>
      <w:r w:rsidR="0040046F" w:rsidRPr="00C535A0">
        <w:rPr>
          <w:rFonts w:ascii="Arial" w:hAnsi="Arial" w:cs="Arial"/>
          <w:lang w:val="en-US"/>
        </w:rPr>
        <w:t xml:space="preserve"> and security of energy supply in Brazil.</w:t>
      </w:r>
    </w:p>
    <w:p w14:paraId="2683EEFB" w14:textId="77777777" w:rsidR="008F17CD" w:rsidRPr="00C535A0" w:rsidRDefault="008F17CD" w:rsidP="00C535A0">
      <w:pPr>
        <w:pStyle w:val="Heading1"/>
        <w:spacing w:line="240" w:lineRule="auto"/>
        <w:rPr>
          <w:rFonts w:ascii="Arial" w:hAnsi="Arial" w:cs="Arial"/>
          <w:lang w:val="en-US"/>
        </w:rPr>
      </w:pPr>
      <w:r w:rsidRPr="00C535A0">
        <w:rPr>
          <w:rFonts w:ascii="Arial" w:hAnsi="Arial" w:cs="Arial"/>
          <w:lang w:val="en-US"/>
        </w:rPr>
        <w:t xml:space="preserve">References </w:t>
      </w:r>
    </w:p>
    <w:p w14:paraId="0BF75295" w14:textId="77777777" w:rsidR="00A85930" w:rsidRPr="00C535A0" w:rsidRDefault="00A85930" w:rsidP="00C535A0">
      <w:pPr>
        <w:pStyle w:val="p-01"/>
        <w:spacing w:line="240" w:lineRule="auto"/>
        <w:rPr>
          <w:rFonts w:ascii="Arial" w:hAnsi="Arial" w:cs="Arial"/>
          <w:shd w:val="clear" w:color="auto" w:fill="FFFFFF"/>
          <w:lang w:val="es-ES"/>
        </w:rPr>
      </w:pPr>
      <w:r w:rsidRPr="00C535A0">
        <w:rPr>
          <w:rFonts w:ascii="Arial" w:hAnsi="Arial" w:cs="Arial"/>
          <w:shd w:val="clear" w:color="auto" w:fill="FFFFFF"/>
          <w:lang w:val="es-ES"/>
        </w:rPr>
        <w:t xml:space="preserve">BONELLI, R. Produtividade e armadilha do lento crescimento. </w:t>
      </w:r>
      <w:r w:rsidRPr="00C535A0">
        <w:rPr>
          <w:rFonts w:ascii="Arial" w:hAnsi="Arial" w:cs="Arial"/>
          <w:lang w:val="es-ES"/>
        </w:rPr>
        <w:t xml:space="preserve">In: </w:t>
      </w:r>
      <w:r w:rsidRPr="00C535A0">
        <w:rPr>
          <w:rFonts w:ascii="Arial" w:hAnsi="Arial" w:cs="Arial"/>
          <w:shd w:val="clear" w:color="auto" w:fill="FFFFFF"/>
          <w:lang w:val="es-ES"/>
        </w:rPr>
        <w:t xml:space="preserve">DE NEGRI, F.; CAVALCANTE, L. R. (Eds.). </w:t>
      </w:r>
      <w:r w:rsidRPr="00C535A0">
        <w:rPr>
          <w:rFonts w:ascii="Arial" w:hAnsi="Arial" w:cs="Arial"/>
          <w:i/>
          <w:shd w:val="clear" w:color="auto" w:fill="FFFFFF"/>
          <w:lang w:val="es-ES"/>
        </w:rPr>
        <w:t>Produtividade no Brasil</w:t>
      </w:r>
      <w:r w:rsidRPr="00C535A0">
        <w:rPr>
          <w:rFonts w:ascii="Arial" w:hAnsi="Arial" w:cs="Arial"/>
          <w:shd w:val="clear" w:color="auto" w:fill="FFFFFF"/>
          <w:lang w:val="es-ES"/>
        </w:rPr>
        <w:t>: desempenho e determinantes. Brasília: Ipea, 2014. v. 1.</w:t>
      </w:r>
    </w:p>
    <w:p w14:paraId="2A27E1B7" w14:textId="77777777" w:rsidR="00A85930" w:rsidRPr="00C535A0" w:rsidRDefault="00A85930" w:rsidP="00C535A0">
      <w:pPr>
        <w:pStyle w:val="p-01"/>
        <w:spacing w:line="240" w:lineRule="auto"/>
        <w:rPr>
          <w:rFonts w:ascii="Arial" w:hAnsi="Arial" w:cs="Arial"/>
          <w:lang w:val="en-US"/>
        </w:rPr>
      </w:pPr>
      <w:r w:rsidRPr="00C535A0">
        <w:rPr>
          <w:rFonts w:ascii="Arial" w:hAnsi="Arial" w:cs="Arial"/>
          <w:lang w:val="es-ES"/>
        </w:rPr>
        <w:lastRenderedPageBreak/>
        <w:t xml:space="preserve">CAMPOS NETO, C. A. S.; CONCEIÇÃO, J. C. P. R.; ROMMINGER, A. E. Impacto da infraestrutura de transportes sobre o desenvolvimento e a produtividade no Brasil. In: </w:t>
      </w:r>
      <w:r w:rsidRPr="00C535A0">
        <w:rPr>
          <w:rFonts w:ascii="Arial" w:hAnsi="Arial" w:cs="Arial"/>
          <w:shd w:val="clear" w:color="auto" w:fill="FFFFFF"/>
          <w:lang w:val="es-ES"/>
        </w:rPr>
        <w:t xml:space="preserve">DE NEGRI, F.; CAVALCANTE, L. R. (Eds.). </w:t>
      </w:r>
      <w:r w:rsidRPr="00C535A0">
        <w:rPr>
          <w:rFonts w:ascii="Arial" w:hAnsi="Arial" w:cs="Arial"/>
          <w:i/>
          <w:shd w:val="clear" w:color="auto" w:fill="FFFFFF"/>
          <w:lang w:val="es-ES"/>
        </w:rPr>
        <w:t>Produtividade no Brasil</w:t>
      </w:r>
      <w:r w:rsidRPr="00C535A0">
        <w:rPr>
          <w:rFonts w:ascii="Arial" w:hAnsi="Arial" w:cs="Arial"/>
          <w:shd w:val="clear" w:color="auto" w:fill="FFFFFF"/>
          <w:lang w:val="es-ES"/>
        </w:rPr>
        <w:t xml:space="preserve">: desempenho e determinantes. </w:t>
      </w:r>
      <w:r w:rsidRPr="00C535A0">
        <w:rPr>
          <w:rFonts w:ascii="Arial" w:hAnsi="Arial" w:cs="Arial"/>
          <w:shd w:val="clear" w:color="auto" w:fill="FFFFFF"/>
          <w:lang w:val="en-US"/>
        </w:rPr>
        <w:t>Brasília: Ipea, 2015. v. 2.</w:t>
      </w:r>
    </w:p>
    <w:p w14:paraId="570AFD2D" w14:textId="2C6834A9" w:rsidR="00A85930" w:rsidRPr="00C535A0" w:rsidRDefault="00A85930" w:rsidP="00C535A0">
      <w:pPr>
        <w:pStyle w:val="p-01"/>
        <w:spacing w:line="240" w:lineRule="auto"/>
        <w:rPr>
          <w:rFonts w:ascii="Arial" w:hAnsi="Arial" w:cs="Arial"/>
          <w:shd w:val="clear" w:color="auto" w:fill="FFFFFF"/>
          <w:lang w:val="es-ES"/>
        </w:rPr>
      </w:pPr>
      <w:r w:rsidRPr="00C535A0">
        <w:rPr>
          <w:rFonts w:ascii="Arial" w:hAnsi="Arial" w:cs="Arial"/>
          <w:shd w:val="clear" w:color="auto" w:fill="FFFFFF"/>
          <w:lang w:val="en-US"/>
        </w:rPr>
        <w:t>CHIEN, T.; HU, J. L. Renewable energy and macroeconomic efficiency of OECD and non-OECD economies.</w:t>
      </w:r>
      <w:r w:rsidRPr="00C535A0">
        <w:rPr>
          <w:rFonts w:ascii="Arial" w:hAnsi="Arial" w:cs="Arial"/>
          <w:lang w:val="en-US"/>
        </w:rPr>
        <w:t xml:space="preserve"> </w:t>
      </w:r>
      <w:r w:rsidRPr="00C535A0">
        <w:rPr>
          <w:rFonts w:ascii="Arial" w:hAnsi="Arial" w:cs="Arial"/>
          <w:i/>
          <w:shd w:val="clear" w:color="auto" w:fill="FFFFFF"/>
          <w:lang w:val="es-ES"/>
        </w:rPr>
        <w:t>Energy Policy</w:t>
      </w:r>
      <w:r w:rsidRPr="00C535A0">
        <w:rPr>
          <w:rFonts w:ascii="Arial" w:hAnsi="Arial" w:cs="Arial"/>
          <w:shd w:val="clear" w:color="auto" w:fill="FFFFFF"/>
          <w:lang w:val="es-ES"/>
        </w:rPr>
        <w:t>, v. 35, n. 7</w:t>
      </w:r>
      <w:r w:rsidR="005759B9" w:rsidRPr="00C535A0">
        <w:rPr>
          <w:rFonts w:ascii="Arial" w:hAnsi="Arial" w:cs="Arial"/>
          <w:shd w:val="clear" w:color="auto" w:fill="FFFFFF"/>
          <w:lang w:val="es-ES"/>
        </w:rPr>
        <w:t xml:space="preserve">, p. </w:t>
      </w:r>
      <w:r w:rsidRPr="00C535A0">
        <w:rPr>
          <w:rFonts w:ascii="Arial" w:hAnsi="Arial" w:cs="Arial"/>
          <w:shd w:val="clear" w:color="auto" w:fill="FFFFFF"/>
          <w:lang w:val="es-ES"/>
        </w:rPr>
        <w:t>3606-3615, 2007.</w:t>
      </w:r>
      <w:r w:rsidRPr="00C535A0" w:rsidDel="00A21921">
        <w:rPr>
          <w:rFonts w:ascii="Arial" w:hAnsi="Arial" w:cs="Arial"/>
          <w:shd w:val="clear" w:color="auto" w:fill="FFFFFF"/>
          <w:lang w:val="es-ES"/>
        </w:rPr>
        <w:t xml:space="preserve"> </w:t>
      </w:r>
    </w:p>
    <w:p w14:paraId="5B9F7D10" w14:textId="77777777" w:rsidR="00A85930" w:rsidRPr="00C535A0" w:rsidRDefault="00A85930" w:rsidP="00C535A0">
      <w:pPr>
        <w:pStyle w:val="p-01"/>
        <w:spacing w:line="240" w:lineRule="auto"/>
        <w:rPr>
          <w:rFonts w:ascii="Arial" w:hAnsi="Arial" w:cs="Arial"/>
          <w:shd w:val="clear" w:color="auto" w:fill="FFFFFF"/>
          <w:lang w:val="es-ES"/>
        </w:rPr>
      </w:pPr>
      <w:r w:rsidRPr="00C535A0">
        <w:rPr>
          <w:rFonts w:ascii="Arial" w:hAnsi="Arial" w:cs="Arial"/>
          <w:shd w:val="clear" w:color="auto" w:fill="FFFFFF"/>
          <w:lang w:val="es-ES"/>
        </w:rPr>
        <w:t xml:space="preserve">DE NEGRI, F.; CAVALCANTE, L. R. (Eds.). </w:t>
      </w:r>
      <w:r w:rsidRPr="00C535A0">
        <w:rPr>
          <w:rFonts w:ascii="Arial" w:hAnsi="Arial" w:cs="Arial"/>
          <w:i/>
          <w:shd w:val="clear" w:color="auto" w:fill="FFFFFF"/>
          <w:lang w:val="es-ES"/>
        </w:rPr>
        <w:t>Produtividade no Brasil</w:t>
      </w:r>
      <w:r w:rsidRPr="00C535A0">
        <w:rPr>
          <w:rFonts w:ascii="Arial" w:hAnsi="Arial" w:cs="Arial"/>
          <w:shd w:val="clear" w:color="auto" w:fill="FFFFFF"/>
          <w:lang w:val="es-ES"/>
        </w:rPr>
        <w:t>: desempenho e determinantes. Brasília: Ipea, 2014. v. 1.</w:t>
      </w:r>
    </w:p>
    <w:p w14:paraId="51493D63" w14:textId="77777777" w:rsidR="00BE67DF" w:rsidRPr="00C535A0" w:rsidRDefault="00BE67DF" w:rsidP="00C535A0">
      <w:pPr>
        <w:pStyle w:val="p-01"/>
        <w:spacing w:line="240" w:lineRule="auto"/>
        <w:rPr>
          <w:rFonts w:ascii="Arial" w:hAnsi="Arial" w:cs="Arial"/>
          <w:shd w:val="clear" w:color="auto" w:fill="FFFFFF"/>
          <w:lang w:val="es-ES"/>
        </w:rPr>
      </w:pPr>
      <w:r w:rsidRPr="00C535A0">
        <w:rPr>
          <w:rFonts w:ascii="Arial" w:hAnsi="Arial" w:cs="Arial"/>
          <w:shd w:val="clear" w:color="auto" w:fill="FFFFFF"/>
          <w:lang w:val="es-ES"/>
        </w:rPr>
        <w:t xml:space="preserve">DE NEGRI, F.; CAVALCANTE, L. R. (Eds.). </w:t>
      </w:r>
      <w:r w:rsidRPr="00C535A0">
        <w:rPr>
          <w:rFonts w:ascii="Arial" w:hAnsi="Arial" w:cs="Arial"/>
          <w:i/>
          <w:shd w:val="clear" w:color="auto" w:fill="FFFFFF"/>
          <w:lang w:val="es-ES"/>
        </w:rPr>
        <w:t>Produtividade no Brasil</w:t>
      </w:r>
      <w:r w:rsidRPr="00C535A0">
        <w:rPr>
          <w:rFonts w:ascii="Arial" w:hAnsi="Arial" w:cs="Arial"/>
          <w:shd w:val="clear" w:color="auto" w:fill="FFFFFF"/>
          <w:lang w:val="es-ES"/>
        </w:rPr>
        <w:t>: desempenho e determinantes. Brasília: Ipea, 2015. v. 2.</w:t>
      </w:r>
    </w:p>
    <w:p w14:paraId="108DC73A" w14:textId="01C4DFA0" w:rsidR="00A85930" w:rsidRPr="00C535A0" w:rsidRDefault="00A85930" w:rsidP="00C535A0">
      <w:pPr>
        <w:pStyle w:val="p-01"/>
        <w:spacing w:line="240" w:lineRule="auto"/>
        <w:rPr>
          <w:rFonts w:ascii="Arial" w:hAnsi="Arial" w:cs="Arial"/>
          <w:shd w:val="clear" w:color="auto" w:fill="FFFFFF"/>
          <w:lang w:val="es-ES"/>
        </w:rPr>
      </w:pPr>
      <w:r w:rsidRPr="00C535A0">
        <w:rPr>
          <w:rFonts w:ascii="Arial" w:hAnsi="Arial" w:cs="Arial"/>
          <w:lang w:val="es-ES"/>
        </w:rPr>
        <w:t xml:space="preserve">ELLERY JR., R. Desafios para o cálculo da produtividade total dos fatores. In: </w:t>
      </w:r>
      <w:r w:rsidRPr="00C535A0">
        <w:rPr>
          <w:rFonts w:ascii="Arial" w:hAnsi="Arial" w:cs="Arial"/>
          <w:shd w:val="clear" w:color="auto" w:fill="FFFFFF"/>
          <w:lang w:val="es-ES"/>
        </w:rPr>
        <w:t xml:space="preserve">DE NEGRI, F.; CAVALCANTE, L. R. (Eds.). </w:t>
      </w:r>
      <w:r w:rsidRPr="00C535A0">
        <w:rPr>
          <w:rFonts w:ascii="Arial" w:hAnsi="Arial" w:cs="Arial"/>
          <w:i/>
          <w:shd w:val="clear" w:color="auto" w:fill="FFFFFF"/>
          <w:lang w:val="es-ES"/>
        </w:rPr>
        <w:t>Produtividade no Brasil</w:t>
      </w:r>
      <w:r w:rsidRPr="00C535A0">
        <w:rPr>
          <w:rFonts w:ascii="Arial" w:hAnsi="Arial" w:cs="Arial"/>
          <w:shd w:val="clear" w:color="auto" w:fill="FFFFFF"/>
          <w:lang w:val="es-ES"/>
        </w:rPr>
        <w:t>: desempenho e determinantes. Brasília: Ipea, 2014. v. 1.</w:t>
      </w:r>
    </w:p>
    <w:p w14:paraId="2912CA6C" w14:textId="43F228E8" w:rsidR="00EB6172" w:rsidRPr="00C535A0" w:rsidRDefault="00EB6172" w:rsidP="00C535A0">
      <w:pPr>
        <w:pStyle w:val="p-01"/>
        <w:spacing w:line="240" w:lineRule="auto"/>
        <w:rPr>
          <w:rFonts w:ascii="Arial" w:hAnsi="Arial" w:cs="Arial"/>
          <w:lang w:val="es-ES"/>
        </w:rPr>
      </w:pPr>
      <w:r w:rsidRPr="00C535A0">
        <w:rPr>
          <w:rFonts w:ascii="Arial" w:hAnsi="Arial" w:cs="Arial"/>
          <w:lang w:val="es-ES"/>
        </w:rPr>
        <w:t>EMPRESA, DE PESQUISA ENERGÉTICA. "Balanço energético nacional 2016: Ano base 2015." Rio de Janeiro: EPE (2016).</w:t>
      </w:r>
    </w:p>
    <w:p w14:paraId="2A20AB94" w14:textId="77777777" w:rsidR="00A85930" w:rsidRPr="00C535A0" w:rsidRDefault="00A85930" w:rsidP="00C535A0">
      <w:pPr>
        <w:pStyle w:val="p-01"/>
        <w:spacing w:line="240" w:lineRule="auto"/>
        <w:rPr>
          <w:rFonts w:ascii="Arial" w:hAnsi="Arial" w:cs="Arial"/>
          <w:lang w:val="en-US"/>
        </w:rPr>
      </w:pPr>
      <w:r w:rsidRPr="00C535A0">
        <w:rPr>
          <w:rFonts w:ascii="Arial" w:hAnsi="Arial" w:cs="Arial"/>
          <w:lang w:val="es-ES"/>
        </w:rPr>
        <w:t xml:space="preserve">ESTEVES, L. A. Economias de escala, economias de escopo e eficiência produtiva na indústria brasileira de transformação. In: </w:t>
      </w:r>
      <w:r w:rsidRPr="00C535A0">
        <w:rPr>
          <w:rFonts w:ascii="Arial" w:hAnsi="Arial" w:cs="Arial"/>
          <w:shd w:val="clear" w:color="auto" w:fill="FFFFFF"/>
          <w:lang w:val="es-ES"/>
        </w:rPr>
        <w:t xml:space="preserve">DE NEGRI, F.; CAVALCANTE, L. R. (Eds.). </w:t>
      </w:r>
      <w:r w:rsidRPr="00C535A0">
        <w:rPr>
          <w:rFonts w:ascii="Arial" w:hAnsi="Arial" w:cs="Arial"/>
          <w:i/>
          <w:shd w:val="clear" w:color="auto" w:fill="FFFFFF"/>
          <w:lang w:val="es-ES"/>
        </w:rPr>
        <w:t>Produtividade no Brasil</w:t>
      </w:r>
      <w:r w:rsidRPr="00C535A0">
        <w:rPr>
          <w:rFonts w:ascii="Arial" w:hAnsi="Arial" w:cs="Arial"/>
          <w:shd w:val="clear" w:color="auto" w:fill="FFFFFF"/>
          <w:lang w:val="es-ES"/>
        </w:rPr>
        <w:t xml:space="preserve">: desempenho e determinantes. </w:t>
      </w:r>
      <w:r w:rsidRPr="00C535A0">
        <w:rPr>
          <w:rFonts w:ascii="Arial" w:hAnsi="Arial" w:cs="Arial"/>
          <w:shd w:val="clear" w:color="auto" w:fill="FFFFFF"/>
          <w:lang w:val="en-US"/>
        </w:rPr>
        <w:t>Brasília: Ipea, 2015. v. 2.</w:t>
      </w:r>
    </w:p>
    <w:p w14:paraId="42630663" w14:textId="77777777" w:rsidR="00A85930" w:rsidRPr="00C535A0" w:rsidRDefault="00A85930" w:rsidP="00C535A0">
      <w:pPr>
        <w:pStyle w:val="p-01"/>
        <w:spacing w:line="240" w:lineRule="auto"/>
        <w:rPr>
          <w:rFonts w:ascii="Arial" w:hAnsi="Arial" w:cs="Arial"/>
          <w:lang w:val="es-ES"/>
        </w:rPr>
      </w:pPr>
      <w:r w:rsidRPr="00C535A0">
        <w:rPr>
          <w:rFonts w:ascii="Arial" w:hAnsi="Arial" w:cs="Arial"/>
          <w:lang w:val="en-US"/>
        </w:rPr>
        <w:t xml:space="preserve">KRUGMAN, P. R. </w:t>
      </w:r>
      <w:r w:rsidRPr="00C535A0">
        <w:rPr>
          <w:rFonts w:ascii="Arial" w:hAnsi="Arial" w:cs="Arial"/>
          <w:i/>
          <w:lang w:val="en-US"/>
        </w:rPr>
        <w:t>The age of diminished expectations</w:t>
      </w:r>
      <w:r w:rsidRPr="00C535A0">
        <w:rPr>
          <w:rFonts w:ascii="Arial" w:hAnsi="Arial" w:cs="Arial"/>
          <w:lang w:val="en-US"/>
        </w:rPr>
        <w:t xml:space="preserve">: US economic policy in the 1990s. </w:t>
      </w:r>
      <w:r w:rsidRPr="00C535A0">
        <w:rPr>
          <w:rFonts w:ascii="Arial" w:hAnsi="Arial" w:cs="Arial"/>
          <w:lang w:val="es-ES"/>
        </w:rPr>
        <w:t>MIT Press, 1997.</w:t>
      </w:r>
    </w:p>
    <w:p w14:paraId="4F4F73DB" w14:textId="5CC6FBB7" w:rsidR="00FE5597" w:rsidRPr="00C535A0" w:rsidRDefault="00A85930" w:rsidP="00C535A0">
      <w:pPr>
        <w:pStyle w:val="p-01"/>
        <w:spacing w:line="240" w:lineRule="auto"/>
        <w:rPr>
          <w:rFonts w:ascii="Arial" w:hAnsi="Arial" w:cs="Arial"/>
          <w:lang w:val="en-US"/>
        </w:rPr>
      </w:pPr>
      <w:r w:rsidRPr="00C535A0">
        <w:rPr>
          <w:rFonts w:ascii="Arial" w:hAnsi="Arial" w:cs="Arial"/>
          <w:lang w:val="es-ES"/>
        </w:rPr>
        <w:t xml:space="preserve">SCHETTINI, D.; AZZONI, C. Determinantes regionais da produtividade industrial: o papel da infraestrutura. In: </w:t>
      </w:r>
      <w:r w:rsidRPr="00C535A0">
        <w:rPr>
          <w:rFonts w:ascii="Arial" w:hAnsi="Arial" w:cs="Arial"/>
          <w:shd w:val="clear" w:color="auto" w:fill="FFFFFF"/>
          <w:lang w:val="es-ES"/>
        </w:rPr>
        <w:t xml:space="preserve">DE NEGRI, F.; CAVALCANTE, L. R. (Eds.). </w:t>
      </w:r>
      <w:r w:rsidRPr="00C535A0">
        <w:rPr>
          <w:rFonts w:ascii="Arial" w:hAnsi="Arial" w:cs="Arial"/>
          <w:i/>
          <w:shd w:val="clear" w:color="auto" w:fill="FFFFFF"/>
          <w:lang w:val="es-ES"/>
        </w:rPr>
        <w:t>Produtividade no Brasil</w:t>
      </w:r>
      <w:r w:rsidRPr="00C535A0">
        <w:rPr>
          <w:rFonts w:ascii="Arial" w:hAnsi="Arial" w:cs="Arial"/>
          <w:shd w:val="clear" w:color="auto" w:fill="FFFFFF"/>
          <w:lang w:val="es-ES"/>
        </w:rPr>
        <w:t xml:space="preserve">: desempenho e determinantes. </w:t>
      </w:r>
      <w:r w:rsidRPr="00C535A0">
        <w:rPr>
          <w:rFonts w:ascii="Arial" w:hAnsi="Arial" w:cs="Arial"/>
          <w:shd w:val="clear" w:color="auto" w:fill="FFFFFF"/>
          <w:lang w:val="en-US"/>
        </w:rPr>
        <w:t>Brasília: Ipea, 2015. v. 2.</w:t>
      </w:r>
    </w:p>
    <w:sectPr w:rsidR="00FE5597" w:rsidRPr="00C535A0" w:rsidSect="00481DEB">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DA01" w14:textId="77777777" w:rsidR="00131254" w:rsidRPr="0055320E" w:rsidRDefault="00131254" w:rsidP="00481DEB">
      <w:pPr>
        <w:spacing w:after="0" w:line="240" w:lineRule="auto"/>
        <w:rPr>
          <w:lang w:val="en-US"/>
        </w:rPr>
      </w:pPr>
      <w:r w:rsidRPr="0055320E">
        <w:rPr>
          <w:lang w:val="en-US"/>
        </w:rPr>
        <w:separator/>
      </w:r>
    </w:p>
  </w:endnote>
  <w:endnote w:type="continuationSeparator" w:id="0">
    <w:p w14:paraId="4F87C56A" w14:textId="77777777" w:rsidR="00131254" w:rsidRPr="0055320E" w:rsidRDefault="00131254" w:rsidP="00481DEB">
      <w:pPr>
        <w:spacing w:after="0" w:line="240" w:lineRule="auto"/>
        <w:rPr>
          <w:lang w:val="en-US"/>
        </w:rPr>
      </w:pPr>
      <w:r w:rsidRPr="0055320E">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0A7E" w14:textId="77777777" w:rsidR="0055320E" w:rsidRPr="0055320E" w:rsidRDefault="0055320E">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B4EB" w14:textId="77777777" w:rsidR="00481DEB" w:rsidRPr="0055320E" w:rsidRDefault="00481DEB" w:rsidP="00481DEB">
    <w:pPr>
      <w:pStyle w:val="Footer"/>
      <w:jc w:val="center"/>
      <w:rPr>
        <w:lang w:val="en-US"/>
      </w:rPr>
    </w:pPr>
  </w:p>
  <w:p w14:paraId="4FFA677F" w14:textId="6D040185" w:rsidR="00481DEB" w:rsidRPr="0055320E" w:rsidRDefault="00481DEB" w:rsidP="00481DEB">
    <w:pPr>
      <w:pStyle w:val="Footer"/>
      <w:jc w:val="center"/>
      <w:rPr>
        <w:lang w:val="en-US"/>
      </w:rPr>
    </w:pPr>
    <w:r w:rsidRPr="0055320E">
      <w:rPr>
        <w:lang w:val="en-US"/>
      </w:rPr>
      <w:fldChar w:fldCharType="begin"/>
    </w:r>
    <w:r w:rsidRPr="0055320E">
      <w:rPr>
        <w:lang w:val="en-US"/>
      </w:rPr>
      <w:instrText>PAGE   \* MERGEFORMAT</w:instrText>
    </w:r>
    <w:r w:rsidRPr="0055320E">
      <w:rPr>
        <w:lang w:val="en-US"/>
      </w:rPr>
      <w:fldChar w:fldCharType="separate"/>
    </w:r>
    <w:r w:rsidR="00C535A0">
      <w:rPr>
        <w:noProof/>
        <w:lang w:val="en-US"/>
      </w:rPr>
      <w:t>2</w:t>
    </w:r>
    <w:r w:rsidRPr="0055320E">
      <w:rPr>
        <w:lang w:val="en-US"/>
      </w:rPr>
      <w:fldChar w:fldCharType="end"/>
    </w:r>
  </w:p>
  <w:p w14:paraId="546161F4" w14:textId="77777777" w:rsidR="00481DEB" w:rsidRPr="0055320E" w:rsidRDefault="00481DEB" w:rsidP="00481DEB">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997694875"/>
      <w:docPartObj>
        <w:docPartGallery w:val="Page Numbers (Bottom of Page)"/>
        <w:docPartUnique/>
      </w:docPartObj>
    </w:sdtPr>
    <w:sdtEndPr/>
    <w:sdtContent>
      <w:p w14:paraId="5EAC9E63" w14:textId="58D87B9A" w:rsidR="00AB2E91" w:rsidRPr="0055320E" w:rsidRDefault="00AB2E91">
        <w:pPr>
          <w:pStyle w:val="Footer"/>
          <w:jc w:val="right"/>
          <w:rPr>
            <w:lang w:val="en-US"/>
          </w:rPr>
        </w:pPr>
        <w:r w:rsidRPr="0055320E">
          <w:rPr>
            <w:lang w:val="en-US"/>
          </w:rPr>
          <w:fldChar w:fldCharType="begin"/>
        </w:r>
        <w:r w:rsidRPr="0055320E">
          <w:rPr>
            <w:lang w:val="en-US"/>
          </w:rPr>
          <w:instrText>PAGE   \* MERGEFORMAT</w:instrText>
        </w:r>
        <w:r w:rsidRPr="0055320E">
          <w:rPr>
            <w:lang w:val="en-US"/>
          </w:rPr>
          <w:fldChar w:fldCharType="separate"/>
        </w:r>
        <w:r w:rsidR="00C535A0">
          <w:rPr>
            <w:noProof/>
            <w:lang w:val="en-US"/>
          </w:rPr>
          <w:t>1</w:t>
        </w:r>
        <w:r w:rsidRPr="0055320E">
          <w:rPr>
            <w:lang w:val="en-US"/>
          </w:rPr>
          <w:fldChar w:fldCharType="end"/>
        </w:r>
      </w:p>
    </w:sdtContent>
  </w:sdt>
  <w:p w14:paraId="41791F25" w14:textId="77777777" w:rsidR="00AB2E91" w:rsidRPr="0055320E" w:rsidRDefault="00AB2E9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573C" w14:textId="77777777" w:rsidR="00131254" w:rsidRPr="0055320E" w:rsidRDefault="00131254" w:rsidP="00481DEB">
      <w:pPr>
        <w:spacing w:after="0" w:line="240" w:lineRule="auto"/>
        <w:rPr>
          <w:lang w:val="en-US"/>
        </w:rPr>
      </w:pPr>
      <w:r w:rsidRPr="0055320E">
        <w:rPr>
          <w:lang w:val="en-US"/>
        </w:rPr>
        <w:separator/>
      </w:r>
    </w:p>
  </w:footnote>
  <w:footnote w:type="continuationSeparator" w:id="0">
    <w:p w14:paraId="379EF8B9" w14:textId="77777777" w:rsidR="00131254" w:rsidRPr="0055320E" w:rsidRDefault="00131254" w:rsidP="00481DEB">
      <w:pPr>
        <w:spacing w:after="0" w:line="240" w:lineRule="auto"/>
        <w:rPr>
          <w:lang w:val="en-US"/>
        </w:rPr>
      </w:pPr>
      <w:r w:rsidRPr="0055320E">
        <w:rPr>
          <w:lang w:val="en-US"/>
        </w:rPr>
        <w:continuationSeparator/>
      </w:r>
    </w:p>
  </w:footnote>
  <w:footnote w:id="1">
    <w:p w14:paraId="6CCB01D6" w14:textId="7439AEE0" w:rsidR="004033F0" w:rsidRPr="00C535A0" w:rsidRDefault="004033F0" w:rsidP="00C535A0">
      <w:pPr>
        <w:pStyle w:val="Bibliography"/>
        <w:spacing w:after="0" w:line="240" w:lineRule="auto"/>
        <w:ind w:left="170" w:hanging="170"/>
        <w:jc w:val="both"/>
        <w:rPr>
          <w:rFonts w:ascii="Arial" w:hAnsi="Arial" w:cs="Arial"/>
          <w:sz w:val="18"/>
          <w:szCs w:val="18"/>
        </w:rPr>
      </w:pPr>
      <w:r w:rsidRPr="00DC6351">
        <w:rPr>
          <w:sz w:val="16"/>
          <w:szCs w:val="20"/>
        </w:rPr>
        <w:t>*</w:t>
      </w:r>
      <w:r w:rsidRPr="00DC6351">
        <w:rPr>
          <w:sz w:val="18"/>
          <w:szCs w:val="20"/>
        </w:rPr>
        <w:t xml:space="preserve"> </w:t>
      </w:r>
      <w:r w:rsidRPr="00C535A0">
        <w:rPr>
          <w:rFonts w:ascii="Arial" w:hAnsi="Arial" w:cs="Arial"/>
          <w:sz w:val="18"/>
          <w:szCs w:val="18"/>
        </w:rPr>
        <w:t>Dire</w:t>
      </w:r>
      <w:r w:rsidR="00DC6351" w:rsidRPr="00C535A0">
        <w:rPr>
          <w:rFonts w:ascii="Arial" w:hAnsi="Arial" w:cs="Arial"/>
          <w:sz w:val="18"/>
          <w:szCs w:val="18"/>
        </w:rPr>
        <w:t>c</w:t>
      </w:r>
      <w:r w:rsidRPr="00C535A0">
        <w:rPr>
          <w:rFonts w:ascii="Arial" w:hAnsi="Arial" w:cs="Arial"/>
          <w:sz w:val="18"/>
          <w:szCs w:val="18"/>
        </w:rPr>
        <w:t xml:space="preserve">tor </w:t>
      </w:r>
      <w:r w:rsidR="00DC6351" w:rsidRPr="00C535A0">
        <w:rPr>
          <w:rFonts w:ascii="Arial" w:hAnsi="Arial" w:cs="Arial"/>
          <w:sz w:val="18"/>
          <w:szCs w:val="18"/>
        </w:rPr>
        <w:t>of</w:t>
      </w:r>
      <w:r w:rsidRPr="00C535A0">
        <w:rPr>
          <w:rFonts w:ascii="Arial" w:hAnsi="Arial" w:cs="Arial"/>
          <w:sz w:val="18"/>
          <w:szCs w:val="18"/>
        </w:rPr>
        <w:t xml:space="preserve"> DISET / Ipea.</w:t>
      </w:r>
    </w:p>
  </w:footnote>
  <w:footnote w:id="2">
    <w:p w14:paraId="43125B17" w14:textId="646C7EE6" w:rsidR="004033F0" w:rsidRPr="00C535A0" w:rsidRDefault="004033F0" w:rsidP="00C535A0">
      <w:pPr>
        <w:pStyle w:val="Bibliography"/>
        <w:spacing w:after="0" w:line="240" w:lineRule="auto"/>
        <w:ind w:left="170" w:hanging="170"/>
        <w:jc w:val="both"/>
        <w:rPr>
          <w:rFonts w:ascii="Arial" w:hAnsi="Arial" w:cs="Arial"/>
          <w:sz w:val="18"/>
          <w:szCs w:val="18"/>
        </w:rPr>
      </w:pPr>
      <w:r w:rsidRPr="00C535A0">
        <w:rPr>
          <w:rFonts w:ascii="Arial" w:hAnsi="Arial" w:cs="Arial"/>
          <w:sz w:val="18"/>
          <w:szCs w:val="18"/>
        </w:rPr>
        <w:t xml:space="preserve">** </w:t>
      </w:r>
      <w:r w:rsidR="00DC6351" w:rsidRPr="00C535A0">
        <w:rPr>
          <w:rFonts w:ascii="Arial" w:hAnsi="Arial" w:cs="Arial"/>
          <w:sz w:val="18"/>
          <w:szCs w:val="18"/>
        </w:rPr>
        <w:t>Legislative Consultant to the Federal Senate</w:t>
      </w:r>
      <w:r w:rsidRPr="00C535A0">
        <w:rPr>
          <w:rFonts w:ascii="Arial" w:hAnsi="Arial" w:cs="Arial"/>
          <w:sz w:val="18"/>
          <w:szCs w:val="18"/>
        </w:rPr>
        <w:t>.</w:t>
      </w:r>
    </w:p>
  </w:footnote>
  <w:footnote w:id="3">
    <w:p w14:paraId="45BCC542" w14:textId="6248C627" w:rsidR="00DA4F69" w:rsidRPr="00C535A0" w:rsidRDefault="00DA4F69" w:rsidP="00C535A0">
      <w:pPr>
        <w:pStyle w:val="Bibliography"/>
        <w:spacing w:after="0" w:line="240" w:lineRule="auto"/>
        <w:ind w:left="170" w:hanging="170"/>
        <w:jc w:val="both"/>
        <w:rPr>
          <w:rFonts w:ascii="Arial" w:hAnsi="Arial" w:cs="Arial"/>
          <w:sz w:val="18"/>
          <w:szCs w:val="18"/>
        </w:rPr>
      </w:pPr>
      <w:r w:rsidRPr="00C535A0">
        <w:rPr>
          <w:rStyle w:val="FootnoteReference"/>
          <w:rFonts w:ascii="Arial" w:hAnsi="Arial" w:cs="Arial"/>
          <w:sz w:val="18"/>
          <w:szCs w:val="18"/>
        </w:rPr>
        <w:footnoteRef/>
      </w:r>
      <w:r w:rsidRPr="00C535A0">
        <w:rPr>
          <w:rFonts w:ascii="Arial" w:hAnsi="Arial" w:cs="Arial"/>
          <w:sz w:val="18"/>
          <w:szCs w:val="18"/>
        </w:rPr>
        <w:t xml:space="preserve"> </w:t>
      </w:r>
      <w:r w:rsidR="00DC6351" w:rsidRPr="00C535A0">
        <w:rPr>
          <w:rFonts w:ascii="Arial" w:hAnsi="Arial" w:cs="Arial"/>
          <w:sz w:val="18"/>
          <w:szCs w:val="18"/>
        </w:rPr>
        <w:t xml:space="preserve">This conclusion was clear in </w:t>
      </w:r>
      <w:r w:rsidR="00554C42" w:rsidRPr="00C535A0">
        <w:rPr>
          <w:rFonts w:ascii="Arial" w:hAnsi="Arial" w:cs="Arial"/>
          <w:sz w:val="18"/>
          <w:szCs w:val="18"/>
        </w:rPr>
        <w:t xml:space="preserve">De Negri </w:t>
      </w:r>
      <w:r w:rsidR="00DC6351" w:rsidRPr="00C535A0">
        <w:rPr>
          <w:rFonts w:ascii="Arial" w:hAnsi="Arial" w:cs="Arial"/>
          <w:sz w:val="18"/>
          <w:szCs w:val="18"/>
        </w:rPr>
        <w:t>and</w:t>
      </w:r>
      <w:r w:rsidR="00554C42" w:rsidRPr="00C535A0">
        <w:rPr>
          <w:rFonts w:ascii="Arial" w:hAnsi="Arial" w:cs="Arial"/>
          <w:sz w:val="18"/>
          <w:szCs w:val="18"/>
        </w:rPr>
        <w:t xml:space="preserve"> Cavalcante (2014).</w:t>
      </w:r>
    </w:p>
  </w:footnote>
  <w:footnote w:id="4">
    <w:p w14:paraId="2E4BEB71" w14:textId="4860D4B6" w:rsidR="00AB2E91" w:rsidRPr="00C535A0" w:rsidRDefault="00AB2E91" w:rsidP="00C535A0">
      <w:pPr>
        <w:pStyle w:val="Bibliography"/>
        <w:spacing w:after="0" w:line="240" w:lineRule="auto"/>
        <w:ind w:left="170" w:hanging="170"/>
        <w:jc w:val="both"/>
        <w:rPr>
          <w:rFonts w:ascii="Arial" w:hAnsi="Arial" w:cs="Arial"/>
          <w:sz w:val="18"/>
          <w:szCs w:val="18"/>
        </w:rPr>
      </w:pPr>
      <w:r w:rsidRPr="00C535A0">
        <w:rPr>
          <w:rStyle w:val="FootnoteReference"/>
          <w:rFonts w:ascii="Arial" w:hAnsi="Arial" w:cs="Arial"/>
          <w:sz w:val="18"/>
          <w:szCs w:val="18"/>
        </w:rPr>
        <w:footnoteRef/>
      </w:r>
      <w:r w:rsidRPr="00C535A0">
        <w:rPr>
          <w:rFonts w:ascii="Arial" w:hAnsi="Arial" w:cs="Arial"/>
          <w:sz w:val="18"/>
          <w:szCs w:val="18"/>
        </w:rPr>
        <w:t xml:space="preserve"> “</w:t>
      </w:r>
      <w:r w:rsidRPr="00C535A0">
        <w:rPr>
          <w:rFonts w:ascii="Arial" w:hAnsi="Arial" w:cs="Arial"/>
          <w:i/>
          <w:sz w:val="18"/>
          <w:szCs w:val="18"/>
        </w:rPr>
        <w:t>A country's ability to improve its standard of living over time depends almost entirely on its ability to raise its output per worker</w:t>
      </w:r>
      <w:r w:rsidRPr="00C535A0">
        <w:rPr>
          <w:rFonts w:ascii="Arial" w:hAnsi="Arial" w:cs="Arial"/>
          <w:sz w:val="18"/>
          <w:szCs w:val="18"/>
        </w:rPr>
        <w:t>”</w:t>
      </w:r>
      <w:r w:rsidR="00554C42" w:rsidRPr="00C535A0">
        <w:rPr>
          <w:rFonts w:ascii="Arial" w:hAnsi="Arial" w:cs="Arial"/>
          <w:sz w:val="18"/>
          <w:szCs w:val="18"/>
        </w:rPr>
        <w:t xml:space="preserve"> (Krugman, 1997).</w:t>
      </w:r>
      <w:r w:rsidRPr="00C535A0">
        <w:rPr>
          <w:rFonts w:ascii="Arial" w:hAnsi="Arial" w:cs="Arial"/>
          <w:sz w:val="18"/>
          <w:szCs w:val="18"/>
        </w:rPr>
        <w:t xml:space="preserve"> </w:t>
      </w:r>
    </w:p>
  </w:footnote>
  <w:footnote w:id="5">
    <w:p w14:paraId="46346458" w14:textId="222EF43B" w:rsidR="00AB2E91" w:rsidRPr="00C535A0" w:rsidRDefault="00AB2E91" w:rsidP="00C535A0">
      <w:pPr>
        <w:pStyle w:val="Bibliography"/>
        <w:spacing w:after="0" w:line="240" w:lineRule="auto"/>
        <w:ind w:left="170" w:hanging="170"/>
        <w:jc w:val="both"/>
        <w:rPr>
          <w:rFonts w:ascii="Arial" w:hAnsi="Arial" w:cs="Arial"/>
          <w:sz w:val="18"/>
          <w:szCs w:val="18"/>
        </w:rPr>
      </w:pPr>
      <w:r w:rsidRPr="00C535A0">
        <w:rPr>
          <w:rStyle w:val="FootnoteReference"/>
          <w:rFonts w:ascii="Arial" w:hAnsi="Arial" w:cs="Arial"/>
          <w:sz w:val="18"/>
          <w:szCs w:val="18"/>
        </w:rPr>
        <w:footnoteRef/>
      </w:r>
      <w:r w:rsidRPr="00C535A0">
        <w:rPr>
          <w:rFonts w:ascii="Arial" w:hAnsi="Arial" w:cs="Arial"/>
          <w:sz w:val="18"/>
          <w:szCs w:val="18"/>
        </w:rPr>
        <w:t xml:space="preserve"> </w:t>
      </w:r>
      <w:r w:rsidR="00DC6351" w:rsidRPr="00C535A0">
        <w:rPr>
          <w:rFonts w:ascii="Arial" w:hAnsi="Arial" w:cs="Arial"/>
          <w:sz w:val="18"/>
          <w:szCs w:val="18"/>
        </w:rPr>
        <w:t>The other document referred to in this report</w:t>
      </w:r>
      <w:r w:rsidRPr="00C535A0">
        <w:rPr>
          <w:rFonts w:ascii="Arial" w:hAnsi="Arial" w:cs="Arial"/>
          <w:sz w:val="18"/>
          <w:szCs w:val="18"/>
        </w:rPr>
        <w:t xml:space="preserve"> (</w:t>
      </w:r>
      <w:r w:rsidR="00DC6351" w:rsidRPr="00C535A0">
        <w:rPr>
          <w:rFonts w:ascii="Arial" w:hAnsi="Arial" w:cs="Arial"/>
          <w:sz w:val="18"/>
          <w:szCs w:val="18"/>
        </w:rPr>
        <w:t>en</w:t>
      </w:r>
      <w:r w:rsidRPr="00C535A0">
        <w:rPr>
          <w:rFonts w:ascii="Arial" w:hAnsi="Arial" w:cs="Arial"/>
          <w:sz w:val="18"/>
          <w:szCs w:val="18"/>
        </w:rPr>
        <w:t>titl</w:t>
      </w:r>
      <w:r w:rsidR="00DC6351" w:rsidRPr="00C535A0">
        <w:rPr>
          <w:rFonts w:ascii="Arial" w:hAnsi="Arial" w:cs="Arial"/>
          <w:sz w:val="18"/>
          <w:szCs w:val="18"/>
        </w:rPr>
        <w:t>e</w:t>
      </w:r>
      <w:r w:rsidRPr="00C535A0">
        <w:rPr>
          <w:rFonts w:ascii="Arial" w:hAnsi="Arial" w:cs="Arial"/>
          <w:sz w:val="18"/>
          <w:szCs w:val="18"/>
        </w:rPr>
        <w:t>d “Re</w:t>
      </w:r>
      <w:r w:rsidR="00DC6351" w:rsidRPr="00C535A0">
        <w:rPr>
          <w:rFonts w:ascii="Arial" w:hAnsi="Arial" w:cs="Arial"/>
          <w:sz w:val="18"/>
          <w:szCs w:val="18"/>
        </w:rPr>
        <w:t>port</w:t>
      </w:r>
      <w:r w:rsidRPr="00C535A0">
        <w:rPr>
          <w:rFonts w:ascii="Arial" w:hAnsi="Arial" w:cs="Arial"/>
          <w:sz w:val="18"/>
          <w:szCs w:val="18"/>
        </w:rPr>
        <w:t xml:space="preserve"> 2: </w:t>
      </w:r>
      <w:r w:rsidR="00DC6351" w:rsidRPr="00C535A0">
        <w:rPr>
          <w:rFonts w:ascii="Arial" w:hAnsi="Arial" w:cs="Arial"/>
          <w:sz w:val="18"/>
          <w:szCs w:val="18"/>
        </w:rPr>
        <w:t>Development Financing</w:t>
      </w:r>
      <w:r w:rsidRPr="00C535A0">
        <w:rPr>
          <w:rFonts w:ascii="Arial" w:hAnsi="Arial" w:cs="Arial"/>
          <w:sz w:val="18"/>
          <w:szCs w:val="18"/>
        </w:rPr>
        <w:t xml:space="preserve">”) </w:t>
      </w:r>
      <w:r w:rsidR="00DC6351" w:rsidRPr="00C535A0">
        <w:rPr>
          <w:rFonts w:ascii="Arial" w:hAnsi="Arial" w:cs="Arial"/>
          <w:sz w:val="18"/>
          <w:szCs w:val="18"/>
        </w:rPr>
        <w:t xml:space="preserve">includes information on financing of </w:t>
      </w:r>
      <w:r w:rsidRPr="00C535A0">
        <w:rPr>
          <w:rFonts w:ascii="Arial" w:hAnsi="Arial" w:cs="Arial"/>
          <w:sz w:val="18"/>
          <w:szCs w:val="18"/>
        </w:rPr>
        <w:t>M</w:t>
      </w:r>
      <w:r w:rsidR="00DC6351" w:rsidRPr="00C535A0">
        <w:rPr>
          <w:rFonts w:ascii="Arial" w:hAnsi="Arial" w:cs="Arial"/>
          <w:sz w:val="18"/>
          <w:szCs w:val="18"/>
        </w:rPr>
        <w:t>S</w:t>
      </w:r>
      <w:r w:rsidR="00554C42" w:rsidRPr="00C535A0">
        <w:rPr>
          <w:rFonts w:ascii="Arial" w:hAnsi="Arial" w:cs="Arial"/>
          <w:sz w:val="18"/>
          <w:szCs w:val="18"/>
        </w:rPr>
        <w:t>M</w:t>
      </w:r>
      <w:r w:rsidRPr="00C535A0">
        <w:rPr>
          <w:rFonts w:ascii="Arial" w:hAnsi="Arial" w:cs="Arial"/>
          <w:sz w:val="18"/>
          <w:szCs w:val="18"/>
        </w:rPr>
        <w:t xml:space="preserve">Es, </w:t>
      </w:r>
      <w:r w:rsidR="00DC6351" w:rsidRPr="00C535A0">
        <w:rPr>
          <w:rFonts w:ascii="Arial" w:hAnsi="Arial" w:cs="Arial"/>
          <w:sz w:val="18"/>
          <w:szCs w:val="18"/>
        </w:rPr>
        <w:t>infrastructure and power generation projects from renewable sources</w:t>
      </w:r>
      <w:r w:rsidRPr="00C535A0">
        <w:rPr>
          <w:rFonts w:ascii="Arial" w:hAnsi="Arial" w:cs="Arial"/>
          <w:sz w:val="18"/>
          <w:szCs w:val="18"/>
        </w:rPr>
        <w:t>.</w:t>
      </w:r>
    </w:p>
  </w:footnote>
  <w:footnote w:id="6">
    <w:p w14:paraId="3AE37780" w14:textId="74B6E1AD" w:rsidR="00164777" w:rsidRPr="00C535A0" w:rsidRDefault="00164777" w:rsidP="00C535A0">
      <w:pPr>
        <w:pStyle w:val="Bibliography"/>
        <w:spacing w:after="0" w:line="240" w:lineRule="auto"/>
        <w:ind w:left="170" w:hanging="170"/>
        <w:jc w:val="both"/>
        <w:rPr>
          <w:rFonts w:ascii="Arial" w:hAnsi="Arial" w:cs="Arial"/>
          <w:sz w:val="18"/>
          <w:szCs w:val="18"/>
        </w:rPr>
      </w:pPr>
      <w:r w:rsidRPr="00C535A0">
        <w:rPr>
          <w:rStyle w:val="FootnoteReference"/>
          <w:rFonts w:ascii="Arial" w:hAnsi="Arial" w:cs="Arial"/>
          <w:sz w:val="18"/>
          <w:szCs w:val="18"/>
        </w:rPr>
        <w:footnoteRef/>
      </w:r>
      <w:r w:rsidRPr="00C535A0">
        <w:rPr>
          <w:rFonts w:ascii="Arial" w:hAnsi="Arial" w:cs="Arial"/>
          <w:sz w:val="18"/>
          <w:szCs w:val="18"/>
        </w:rPr>
        <w:t xml:space="preserve"> </w:t>
      </w:r>
      <w:r w:rsidR="00DC6351" w:rsidRPr="00C535A0">
        <w:rPr>
          <w:rFonts w:ascii="Arial" w:hAnsi="Arial" w:cs="Arial"/>
          <w:sz w:val="18"/>
          <w:szCs w:val="18"/>
        </w:rPr>
        <w:t>The sector performance, however, varies greatly, with clear signs of decline in labor productivity in the manufacturing industry.</w:t>
      </w:r>
      <w:r w:rsidRPr="00C535A0">
        <w:rPr>
          <w:rFonts w:ascii="Arial" w:hAnsi="Arial" w:cs="Arial"/>
          <w:sz w:val="18"/>
          <w:szCs w:val="18"/>
        </w:rPr>
        <w:t xml:space="preserve"> </w:t>
      </w:r>
      <w:r w:rsidR="00DC6351" w:rsidRPr="00C535A0">
        <w:rPr>
          <w:rFonts w:ascii="Arial" w:hAnsi="Arial" w:cs="Arial"/>
          <w:sz w:val="18"/>
          <w:szCs w:val="18"/>
        </w:rPr>
        <w:t>While the agriculture and the mining industries showed labor productivity growth rates of 3.8% and 2.0% over the past decade.</w:t>
      </w:r>
    </w:p>
  </w:footnote>
  <w:footnote w:id="7">
    <w:p w14:paraId="436C4A88" w14:textId="4503D33C" w:rsidR="00164777" w:rsidRPr="00C535A0" w:rsidRDefault="00164777" w:rsidP="00C535A0">
      <w:pPr>
        <w:pStyle w:val="Bibliography"/>
        <w:spacing w:after="0" w:line="240" w:lineRule="auto"/>
        <w:ind w:left="170" w:hanging="170"/>
        <w:jc w:val="both"/>
        <w:rPr>
          <w:rFonts w:ascii="Arial" w:hAnsi="Arial" w:cs="Arial"/>
          <w:sz w:val="18"/>
          <w:szCs w:val="18"/>
        </w:rPr>
      </w:pPr>
      <w:r w:rsidRPr="00C535A0">
        <w:rPr>
          <w:rStyle w:val="FootnoteReference"/>
          <w:rFonts w:ascii="Arial" w:hAnsi="Arial" w:cs="Arial"/>
          <w:sz w:val="18"/>
          <w:szCs w:val="18"/>
        </w:rPr>
        <w:footnoteRef/>
      </w:r>
      <w:r w:rsidR="00E32C8A" w:rsidRPr="00C535A0">
        <w:rPr>
          <w:rFonts w:ascii="Arial" w:hAnsi="Arial" w:cs="Arial"/>
          <w:sz w:val="18"/>
          <w:szCs w:val="18"/>
        </w:rPr>
        <w:t xml:space="preserve"> Bonelli (2014) presents</w:t>
      </w:r>
      <w:r w:rsidRPr="00C535A0">
        <w:rPr>
          <w:rFonts w:ascii="Arial" w:hAnsi="Arial" w:cs="Arial"/>
          <w:sz w:val="18"/>
          <w:szCs w:val="18"/>
        </w:rPr>
        <w:t xml:space="preserve"> </w:t>
      </w:r>
      <w:r w:rsidR="00E32C8A" w:rsidRPr="00C535A0">
        <w:rPr>
          <w:rFonts w:ascii="Arial" w:hAnsi="Arial" w:cs="Arial"/>
          <w:sz w:val="18"/>
          <w:szCs w:val="18"/>
        </w:rPr>
        <w:t>a more detailed breakdown</w:t>
      </w:r>
      <w:r w:rsidRPr="00C535A0">
        <w:rPr>
          <w:rFonts w:ascii="Arial" w:hAnsi="Arial" w:cs="Arial"/>
          <w:sz w:val="18"/>
          <w:szCs w:val="18"/>
        </w:rPr>
        <w:t>.</w:t>
      </w:r>
    </w:p>
  </w:footnote>
  <w:footnote w:id="8">
    <w:p w14:paraId="300E5BFC" w14:textId="5154DA99" w:rsidR="004879C7" w:rsidRPr="00C535A0" w:rsidRDefault="004879C7" w:rsidP="00C535A0">
      <w:pPr>
        <w:pStyle w:val="FootnoteText"/>
        <w:rPr>
          <w:rFonts w:ascii="Arial" w:hAnsi="Arial" w:cs="Arial"/>
          <w:sz w:val="18"/>
          <w:szCs w:val="18"/>
          <w:lang w:val="en-US"/>
        </w:rPr>
      </w:pPr>
      <w:r w:rsidRPr="00C535A0">
        <w:rPr>
          <w:rStyle w:val="FootnoteReference"/>
          <w:rFonts w:ascii="Arial" w:hAnsi="Arial" w:cs="Arial"/>
          <w:sz w:val="18"/>
          <w:szCs w:val="18"/>
          <w:lang w:val="en-US"/>
        </w:rPr>
        <w:footnoteRef/>
      </w:r>
      <w:r w:rsidRPr="00C535A0">
        <w:rPr>
          <w:rFonts w:ascii="Arial" w:hAnsi="Arial" w:cs="Arial"/>
          <w:sz w:val="18"/>
          <w:szCs w:val="18"/>
          <w:lang w:val="en-US"/>
        </w:rPr>
        <w:t xml:space="preserve"> </w:t>
      </w:r>
      <w:r w:rsidR="00E32C8A" w:rsidRPr="00C535A0">
        <w:rPr>
          <w:rFonts w:ascii="Arial" w:hAnsi="Arial" w:cs="Arial"/>
          <w:sz w:val="18"/>
          <w:szCs w:val="18"/>
          <w:lang w:val="en-US"/>
        </w:rPr>
        <w:t xml:space="preserve">Detailed information about access to credit for micro, small and medium enterprises in Brazil </w:t>
      </w:r>
      <w:r w:rsidR="005300A5" w:rsidRPr="00C535A0">
        <w:rPr>
          <w:rFonts w:ascii="Arial" w:hAnsi="Arial" w:cs="Arial"/>
          <w:sz w:val="18"/>
          <w:szCs w:val="18"/>
          <w:lang w:val="en-US"/>
        </w:rPr>
        <w:t xml:space="preserve">is </w:t>
      </w:r>
      <w:r w:rsidR="00E32C8A" w:rsidRPr="00C535A0">
        <w:rPr>
          <w:rFonts w:ascii="Arial" w:hAnsi="Arial" w:cs="Arial"/>
          <w:sz w:val="18"/>
          <w:szCs w:val="18"/>
          <w:lang w:val="en-US"/>
        </w:rPr>
        <w:t>presented in the second report, which deals specifically with financing.</w:t>
      </w:r>
    </w:p>
  </w:footnote>
  <w:footnote w:id="9">
    <w:p w14:paraId="683642DF" w14:textId="6C6D1856" w:rsidR="004879C7" w:rsidRPr="00C535A0" w:rsidRDefault="004879C7" w:rsidP="00C535A0">
      <w:pPr>
        <w:pStyle w:val="FootnoteText"/>
        <w:rPr>
          <w:rFonts w:ascii="Arial" w:hAnsi="Arial" w:cs="Arial"/>
          <w:sz w:val="18"/>
          <w:szCs w:val="18"/>
          <w:lang w:val="en-US"/>
        </w:rPr>
      </w:pPr>
      <w:r w:rsidRPr="00C535A0">
        <w:rPr>
          <w:rStyle w:val="FootnoteReference"/>
          <w:rFonts w:ascii="Arial" w:hAnsi="Arial" w:cs="Arial"/>
          <w:sz w:val="18"/>
          <w:szCs w:val="18"/>
          <w:lang w:val="en-US"/>
        </w:rPr>
        <w:footnoteRef/>
      </w:r>
      <w:r w:rsidRPr="00C535A0">
        <w:rPr>
          <w:rFonts w:ascii="Arial" w:hAnsi="Arial" w:cs="Arial"/>
          <w:sz w:val="18"/>
          <w:szCs w:val="18"/>
          <w:lang w:val="en-US"/>
        </w:rPr>
        <w:t xml:space="preserve"> </w:t>
      </w:r>
      <w:r w:rsidR="00E32C8A" w:rsidRPr="00C535A0">
        <w:rPr>
          <w:rFonts w:ascii="Arial" w:hAnsi="Arial" w:cs="Arial"/>
          <w:sz w:val="18"/>
          <w:szCs w:val="18"/>
          <w:lang w:val="en-US"/>
        </w:rPr>
        <w:t>Does not include Internet access (dial-up or broadband), which was addressed separately.</w:t>
      </w:r>
    </w:p>
  </w:footnote>
  <w:footnote w:id="10">
    <w:p w14:paraId="281E731F" w14:textId="6981E579" w:rsidR="00EB6172" w:rsidRPr="00C535A0" w:rsidRDefault="00EB6172" w:rsidP="00C535A0">
      <w:pPr>
        <w:pStyle w:val="FootnoteText"/>
        <w:rPr>
          <w:rFonts w:ascii="Arial" w:hAnsi="Arial" w:cs="Arial"/>
          <w:sz w:val="18"/>
          <w:szCs w:val="18"/>
          <w:lang w:val="en-US"/>
        </w:rPr>
      </w:pPr>
      <w:r w:rsidRPr="00C535A0">
        <w:rPr>
          <w:rStyle w:val="FootnoteReference"/>
          <w:rFonts w:ascii="Arial" w:hAnsi="Arial" w:cs="Arial"/>
          <w:sz w:val="18"/>
          <w:szCs w:val="18"/>
          <w:lang w:val="en-US"/>
        </w:rPr>
        <w:footnoteRef/>
      </w:r>
      <w:r w:rsidRPr="00C535A0">
        <w:rPr>
          <w:rFonts w:ascii="Arial" w:hAnsi="Arial" w:cs="Arial"/>
          <w:sz w:val="18"/>
          <w:szCs w:val="18"/>
          <w:lang w:val="en-US"/>
        </w:rPr>
        <w:t xml:space="preserve"> </w:t>
      </w:r>
      <w:r w:rsidR="00E32C8A" w:rsidRPr="00C535A0">
        <w:rPr>
          <w:rFonts w:ascii="Arial" w:hAnsi="Arial" w:cs="Arial"/>
          <w:sz w:val="18"/>
          <w:szCs w:val="18"/>
          <w:lang w:val="en-US"/>
        </w:rPr>
        <w:t>According to the 2016 National Energy Balance of the Energy Research Company.</w:t>
      </w:r>
    </w:p>
  </w:footnote>
  <w:footnote w:id="11">
    <w:p w14:paraId="03C171E5" w14:textId="4F2C3186" w:rsidR="003A31CC" w:rsidRPr="00C535A0" w:rsidRDefault="003A31CC" w:rsidP="00C535A0">
      <w:pPr>
        <w:pStyle w:val="FootnoteText"/>
        <w:rPr>
          <w:rFonts w:ascii="Arial" w:hAnsi="Arial" w:cs="Arial"/>
          <w:sz w:val="18"/>
          <w:szCs w:val="18"/>
          <w:lang w:val="en-US"/>
        </w:rPr>
      </w:pPr>
      <w:r w:rsidRPr="00C535A0">
        <w:rPr>
          <w:rStyle w:val="FootnoteReference"/>
          <w:rFonts w:ascii="Arial" w:hAnsi="Arial" w:cs="Arial"/>
          <w:sz w:val="18"/>
          <w:szCs w:val="18"/>
          <w:lang w:val="en-US"/>
        </w:rPr>
        <w:footnoteRef/>
      </w:r>
      <w:r w:rsidRPr="00C535A0">
        <w:rPr>
          <w:rFonts w:ascii="Arial" w:hAnsi="Arial" w:cs="Arial"/>
          <w:sz w:val="18"/>
          <w:szCs w:val="18"/>
          <w:lang w:val="en-US"/>
        </w:rPr>
        <w:t xml:space="preserve"> Idem.</w:t>
      </w:r>
    </w:p>
  </w:footnote>
  <w:footnote w:id="12">
    <w:p w14:paraId="1D9D3D42" w14:textId="388C4960" w:rsidR="00C968E7" w:rsidRPr="00C535A0" w:rsidRDefault="00C968E7" w:rsidP="00C535A0">
      <w:pPr>
        <w:pStyle w:val="Bibliography"/>
        <w:spacing w:after="0" w:line="240" w:lineRule="auto"/>
        <w:ind w:left="170" w:hanging="170"/>
        <w:jc w:val="both"/>
        <w:rPr>
          <w:rFonts w:ascii="Arial" w:hAnsi="Arial" w:cs="Arial"/>
          <w:sz w:val="18"/>
          <w:szCs w:val="18"/>
        </w:rPr>
      </w:pPr>
      <w:r w:rsidRPr="00C535A0">
        <w:rPr>
          <w:rStyle w:val="FootnoteReference"/>
          <w:rFonts w:ascii="Arial" w:hAnsi="Arial" w:cs="Arial"/>
          <w:sz w:val="18"/>
          <w:szCs w:val="18"/>
        </w:rPr>
        <w:footnoteRef/>
      </w:r>
      <w:r w:rsidRPr="00C535A0">
        <w:rPr>
          <w:rFonts w:ascii="Arial" w:hAnsi="Arial" w:cs="Arial"/>
          <w:sz w:val="18"/>
          <w:szCs w:val="18"/>
        </w:rPr>
        <w:t xml:space="preserve"> </w:t>
      </w:r>
      <w:r w:rsidR="00E32C8A" w:rsidRPr="00C535A0">
        <w:rPr>
          <w:rFonts w:ascii="Arial" w:hAnsi="Arial" w:cs="Arial"/>
          <w:sz w:val="18"/>
          <w:szCs w:val="18"/>
        </w:rPr>
        <w:t>Available at</w:t>
      </w:r>
      <w:r w:rsidRPr="00C535A0">
        <w:rPr>
          <w:rFonts w:ascii="Arial" w:hAnsi="Arial" w:cs="Arial"/>
          <w:sz w:val="18"/>
          <w:szCs w:val="18"/>
        </w:rPr>
        <w:t xml:space="preserve">: </w:t>
      </w:r>
      <w:hyperlink r:id="rId1" w:history="1">
        <w:r w:rsidRPr="00C535A0">
          <w:rPr>
            <w:rStyle w:val="Hyperlink"/>
            <w:rFonts w:ascii="Arial" w:hAnsi="Arial" w:cs="Arial"/>
            <w:sz w:val="18"/>
            <w:szCs w:val="18"/>
          </w:rPr>
          <w:t>http://goo.gl/dIh8YS</w:t>
        </w:r>
      </w:hyperlink>
      <w:r w:rsidRPr="00C535A0">
        <w:rPr>
          <w:rFonts w:ascii="Arial" w:hAnsi="Arial" w:cs="Arial"/>
          <w:color w:val="444444"/>
          <w:sz w:val="18"/>
          <w:szCs w:val="18"/>
        </w:rPr>
        <w:t xml:space="preserve">. </w:t>
      </w:r>
      <w:r w:rsidR="00E32C8A" w:rsidRPr="00C535A0">
        <w:rPr>
          <w:rFonts w:ascii="Arial" w:hAnsi="Arial" w:cs="Arial"/>
          <w:color w:val="444444"/>
          <w:sz w:val="18"/>
          <w:szCs w:val="18"/>
        </w:rPr>
        <w:t>Accessed on</w:t>
      </w:r>
      <w:r w:rsidRPr="00C535A0">
        <w:rPr>
          <w:rFonts w:ascii="Arial" w:hAnsi="Arial" w:cs="Arial"/>
          <w:color w:val="444444"/>
          <w:sz w:val="18"/>
          <w:szCs w:val="18"/>
        </w:rPr>
        <w:t xml:space="preserve">: </w:t>
      </w:r>
      <w:r w:rsidR="00E32C8A" w:rsidRPr="00C535A0">
        <w:rPr>
          <w:rFonts w:ascii="Arial" w:hAnsi="Arial" w:cs="Arial"/>
          <w:color w:val="444444"/>
          <w:sz w:val="18"/>
          <w:szCs w:val="18"/>
        </w:rPr>
        <w:t xml:space="preserve">August 24, </w:t>
      </w:r>
      <w:r w:rsidRPr="00C535A0">
        <w:rPr>
          <w:rFonts w:ascii="Arial" w:hAnsi="Arial" w:cs="Arial"/>
          <w:color w:val="444444"/>
          <w:sz w:val="18"/>
          <w:szCs w:val="18"/>
        </w:rPr>
        <w:t>2016.</w:t>
      </w:r>
    </w:p>
  </w:footnote>
  <w:footnote w:id="13">
    <w:p w14:paraId="7580F4A2" w14:textId="4A617B47" w:rsidR="00B9726D" w:rsidRPr="0055320E" w:rsidRDefault="00B9726D" w:rsidP="00C535A0">
      <w:pPr>
        <w:pStyle w:val="FootnoteText"/>
        <w:rPr>
          <w:lang w:val="en-US"/>
        </w:rPr>
      </w:pPr>
      <w:r w:rsidRPr="00C535A0">
        <w:rPr>
          <w:rStyle w:val="FootnoteReference"/>
          <w:rFonts w:ascii="Arial" w:hAnsi="Arial" w:cs="Arial"/>
          <w:sz w:val="18"/>
          <w:szCs w:val="18"/>
          <w:lang w:val="en-US"/>
        </w:rPr>
        <w:footnoteRef/>
      </w:r>
      <w:r w:rsidRPr="00C535A0">
        <w:rPr>
          <w:rFonts w:ascii="Arial" w:hAnsi="Arial" w:cs="Arial"/>
          <w:sz w:val="18"/>
          <w:szCs w:val="18"/>
          <w:lang w:val="en-US"/>
        </w:rPr>
        <w:t xml:space="preserve"> </w:t>
      </w:r>
      <w:hyperlink r:id="rId2" w:history="1">
        <w:r w:rsidRPr="00C535A0">
          <w:rPr>
            <w:rStyle w:val="Hyperlink"/>
            <w:rFonts w:ascii="Arial" w:hAnsi="Arial" w:cs="Arial"/>
            <w:sz w:val="18"/>
            <w:szCs w:val="18"/>
            <w:lang w:val="en-US"/>
          </w:rPr>
          <w:t>http://www.epe.gov.br/mercado/Documents/DEA%2003-2015-%20Proje%C3%A7%C3%B5es%20da%20Demanda%20de%20Energia%20El%C3%A9trica%202015-2024.pdf</w:t>
        </w:r>
      </w:hyperlink>
      <w:r w:rsidRPr="0055320E">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9BAC" w14:textId="77777777" w:rsidR="0055320E" w:rsidRPr="0055320E" w:rsidRDefault="0055320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2333" w14:textId="77777777" w:rsidR="0055320E" w:rsidRPr="0055320E" w:rsidRDefault="0055320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323B" w14:textId="77777777" w:rsidR="0055320E" w:rsidRPr="0055320E" w:rsidRDefault="0055320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1C1"/>
    <w:multiLevelType w:val="hybridMultilevel"/>
    <w:tmpl w:val="7FDA30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FF0351"/>
    <w:multiLevelType w:val="hybridMultilevel"/>
    <w:tmpl w:val="C826F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101D"/>
    <w:multiLevelType w:val="hybridMultilevel"/>
    <w:tmpl w:val="3A0071A8"/>
    <w:lvl w:ilvl="0" w:tplc="5184B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9115A"/>
    <w:multiLevelType w:val="hybridMultilevel"/>
    <w:tmpl w:val="FF2CE4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4E5A3E"/>
    <w:multiLevelType w:val="hybridMultilevel"/>
    <w:tmpl w:val="60865934"/>
    <w:lvl w:ilvl="0" w:tplc="90DA8B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B8F2D3A"/>
    <w:multiLevelType w:val="hybridMultilevel"/>
    <w:tmpl w:val="890E5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987F80"/>
    <w:multiLevelType w:val="hybridMultilevel"/>
    <w:tmpl w:val="40AEC3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6D7DF2"/>
    <w:multiLevelType w:val="hybridMultilevel"/>
    <w:tmpl w:val="B3242144"/>
    <w:lvl w:ilvl="0" w:tplc="F0080B6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7F2AB7"/>
    <w:multiLevelType w:val="hybridMultilevel"/>
    <w:tmpl w:val="975AD61C"/>
    <w:lvl w:ilvl="0" w:tplc="2A125B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83C3A0E"/>
    <w:multiLevelType w:val="hybridMultilevel"/>
    <w:tmpl w:val="C860893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CA47F0"/>
    <w:multiLevelType w:val="hybridMultilevel"/>
    <w:tmpl w:val="BC7C7D04"/>
    <w:lvl w:ilvl="0" w:tplc="840A0C74">
      <w:start w:val="1"/>
      <w:numFmt w:val="bullet"/>
      <w:pStyle w:val="p-0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5111A1"/>
    <w:multiLevelType w:val="hybridMultilevel"/>
    <w:tmpl w:val="BDEC8A52"/>
    <w:lvl w:ilvl="0" w:tplc="D07016F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38C00EC"/>
    <w:multiLevelType w:val="hybridMultilevel"/>
    <w:tmpl w:val="0CA6B004"/>
    <w:lvl w:ilvl="0" w:tplc="2D5C7D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C551CF"/>
    <w:multiLevelType w:val="multilevel"/>
    <w:tmpl w:val="80FE2A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FDD1E39"/>
    <w:multiLevelType w:val="hybridMultilevel"/>
    <w:tmpl w:val="4B9E78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8"/>
  </w:num>
  <w:num w:numId="6">
    <w:abstractNumId w:val="12"/>
  </w:num>
  <w:num w:numId="7">
    <w:abstractNumId w:val="1"/>
  </w:num>
  <w:num w:numId="8">
    <w:abstractNumId w:val="13"/>
  </w:num>
  <w:num w:numId="9">
    <w:abstractNumId w:val="10"/>
  </w:num>
  <w:num w:numId="10">
    <w:abstractNumId w:val="7"/>
  </w:num>
  <w:num w:numId="11">
    <w:abstractNumId w:val="11"/>
  </w:num>
  <w:num w:numId="12">
    <w:abstractNumId w:val="5"/>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B4"/>
    <w:rsid w:val="000076E3"/>
    <w:rsid w:val="00020C69"/>
    <w:rsid w:val="00020DC5"/>
    <w:rsid w:val="00045BAF"/>
    <w:rsid w:val="00071ACD"/>
    <w:rsid w:val="00075753"/>
    <w:rsid w:val="000B7C15"/>
    <w:rsid w:val="00131254"/>
    <w:rsid w:val="00163859"/>
    <w:rsid w:val="00164777"/>
    <w:rsid w:val="00166DCA"/>
    <w:rsid w:val="001809AB"/>
    <w:rsid w:val="001B1B82"/>
    <w:rsid w:val="001C565E"/>
    <w:rsid w:val="001C7C15"/>
    <w:rsid w:val="00281CD9"/>
    <w:rsid w:val="002C3377"/>
    <w:rsid w:val="00332BD4"/>
    <w:rsid w:val="003414E2"/>
    <w:rsid w:val="0035246E"/>
    <w:rsid w:val="00376E36"/>
    <w:rsid w:val="003A31CC"/>
    <w:rsid w:val="003B0A25"/>
    <w:rsid w:val="003C21AB"/>
    <w:rsid w:val="003C4D84"/>
    <w:rsid w:val="003F13E0"/>
    <w:rsid w:val="0040046F"/>
    <w:rsid w:val="00402EE9"/>
    <w:rsid w:val="004033F0"/>
    <w:rsid w:val="004405EC"/>
    <w:rsid w:val="00466474"/>
    <w:rsid w:val="004772E9"/>
    <w:rsid w:val="00481DEB"/>
    <w:rsid w:val="004824B4"/>
    <w:rsid w:val="004879C7"/>
    <w:rsid w:val="00492C79"/>
    <w:rsid w:val="00494973"/>
    <w:rsid w:val="004C02AF"/>
    <w:rsid w:val="00514591"/>
    <w:rsid w:val="00527E7A"/>
    <w:rsid w:val="005300A5"/>
    <w:rsid w:val="0054410E"/>
    <w:rsid w:val="0055320E"/>
    <w:rsid w:val="00554C42"/>
    <w:rsid w:val="005759B9"/>
    <w:rsid w:val="005C0AAF"/>
    <w:rsid w:val="005C0E56"/>
    <w:rsid w:val="005E55F4"/>
    <w:rsid w:val="005F055D"/>
    <w:rsid w:val="005F2EE6"/>
    <w:rsid w:val="00604F9F"/>
    <w:rsid w:val="00637BD9"/>
    <w:rsid w:val="00660A27"/>
    <w:rsid w:val="00660E7C"/>
    <w:rsid w:val="00720BC1"/>
    <w:rsid w:val="00753360"/>
    <w:rsid w:val="007B2A22"/>
    <w:rsid w:val="00802CE4"/>
    <w:rsid w:val="00875C35"/>
    <w:rsid w:val="008A7AF2"/>
    <w:rsid w:val="008D203A"/>
    <w:rsid w:val="008E197E"/>
    <w:rsid w:val="008E1A3E"/>
    <w:rsid w:val="008F17CD"/>
    <w:rsid w:val="008F25D0"/>
    <w:rsid w:val="00901C72"/>
    <w:rsid w:val="00912831"/>
    <w:rsid w:val="009132CF"/>
    <w:rsid w:val="00930622"/>
    <w:rsid w:val="00962565"/>
    <w:rsid w:val="009667CC"/>
    <w:rsid w:val="009841A8"/>
    <w:rsid w:val="00994566"/>
    <w:rsid w:val="00994640"/>
    <w:rsid w:val="009A0F2C"/>
    <w:rsid w:val="009B4CCB"/>
    <w:rsid w:val="009E672D"/>
    <w:rsid w:val="00A0545B"/>
    <w:rsid w:val="00A10F57"/>
    <w:rsid w:val="00A21921"/>
    <w:rsid w:val="00A22926"/>
    <w:rsid w:val="00A77840"/>
    <w:rsid w:val="00A84148"/>
    <w:rsid w:val="00A843DB"/>
    <w:rsid w:val="00A85930"/>
    <w:rsid w:val="00AB2E91"/>
    <w:rsid w:val="00AB5F82"/>
    <w:rsid w:val="00AE5BB0"/>
    <w:rsid w:val="00AF640D"/>
    <w:rsid w:val="00B10171"/>
    <w:rsid w:val="00B23D40"/>
    <w:rsid w:val="00B426A7"/>
    <w:rsid w:val="00B903DB"/>
    <w:rsid w:val="00B9726D"/>
    <w:rsid w:val="00BC5A47"/>
    <w:rsid w:val="00BE0401"/>
    <w:rsid w:val="00BE67DF"/>
    <w:rsid w:val="00BF5028"/>
    <w:rsid w:val="00C535A0"/>
    <w:rsid w:val="00C76755"/>
    <w:rsid w:val="00C84FAE"/>
    <w:rsid w:val="00C875A4"/>
    <w:rsid w:val="00C968E7"/>
    <w:rsid w:val="00CA3458"/>
    <w:rsid w:val="00CB3338"/>
    <w:rsid w:val="00CE78AE"/>
    <w:rsid w:val="00CF22DE"/>
    <w:rsid w:val="00CF2B53"/>
    <w:rsid w:val="00D50A4C"/>
    <w:rsid w:val="00D81480"/>
    <w:rsid w:val="00D847AC"/>
    <w:rsid w:val="00D85A86"/>
    <w:rsid w:val="00DA4F69"/>
    <w:rsid w:val="00DA6D7D"/>
    <w:rsid w:val="00DC1F87"/>
    <w:rsid w:val="00DC30E0"/>
    <w:rsid w:val="00DC6351"/>
    <w:rsid w:val="00DD4905"/>
    <w:rsid w:val="00DE3D35"/>
    <w:rsid w:val="00E26F17"/>
    <w:rsid w:val="00E32C8A"/>
    <w:rsid w:val="00E44E54"/>
    <w:rsid w:val="00E50355"/>
    <w:rsid w:val="00E54FC3"/>
    <w:rsid w:val="00E713A3"/>
    <w:rsid w:val="00EB0FCE"/>
    <w:rsid w:val="00EB6172"/>
    <w:rsid w:val="00EE66E1"/>
    <w:rsid w:val="00F20133"/>
    <w:rsid w:val="00F874B4"/>
    <w:rsid w:val="00F93EDE"/>
    <w:rsid w:val="00F97199"/>
    <w:rsid w:val="00FE5597"/>
    <w:rsid w:val="00FF25CD"/>
    <w:rsid w:val="00FF3E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2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AB"/>
  </w:style>
  <w:style w:type="paragraph" w:styleId="Heading1">
    <w:name w:val="heading 1"/>
    <w:basedOn w:val="Normal"/>
    <w:next w:val="Normal"/>
    <w:link w:val="Heading1Char"/>
    <w:uiPriority w:val="9"/>
    <w:qFormat/>
    <w:rsid w:val="00E713A3"/>
    <w:pPr>
      <w:keepNext/>
      <w:keepLines/>
      <w:numPr>
        <w:numId w:val="8"/>
      </w:numPr>
      <w:spacing w:before="480" w:after="24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C1F87"/>
    <w:pPr>
      <w:keepNext/>
      <w:keepLines/>
      <w:numPr>
        <w:ilvl w:val="1"/>
        <w:numId w:val="8"/>
      </w:numPr>
      <w:spacing w:before="200" w:after="240"/>
      <w:ind w:left="578" w:hanging="578"/>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527E7A"/>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E7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E7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7E7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7E7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E7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E7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B4"/>
    <w:pPr>
      <w:ind w:left="720"/>
      <w:contextualSpacing/>
    </w:pPr>
  </w:style>
  <w:style w:type="character" w:customStyle="1" w:styleId="Heading1Char">
    <w:name w:val="Heading 1 Char"/>
    <w:basedOn w:val="DefaultParagraphFont"/>
    <w:link w:val="Heading1"/>
    <w:uiPriority w:val="9"/>
    <w:rsid w:val="00E713A3"/>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E713A3"/>
    <w:pPr>
      <w:spacing w:after="48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713A3"/>
    <w:rPr>
      <w:rFonts w:asciiTheme="majorHAnsi" w:eastAsiaTheme="majorEastAsia" w:hAnsiTheme="majorHAnsi" w:cstheme="majorBidi"/>
      <w:color w:val="17365D" w:themeColor="text2" w:themeShade="BF"/>
      <w:spacing w:val="5"/>
      <w:kern w:val="28"/>
      <w:sz w:val="40"/>
      <w:szCs w:val="52"/>
    </w:rPr>
  </w:style>
  <w:style w:type="paragraph" w:customStyle="1" w:styleId="p-01">
    <w:name w:val="p-01"/>
    <w:qFormat/>
    <w:rsid w:val="00E713A3"/>
    <w:pPr>
      <w:spacing w:after="240"/>
      <w:jc w:val="both"/>
    </w:pPr>
  </w:style>
  <w:style w:type="character" w:styleId="CommentReference">
    <w:name w:val="annotation reference"/>
    <w:basedOn w:val="DefaultParagraphFont"/>
    <w:uiPriority w:val="99"/>
    <w:semiHidden/>
    <w:unhideWhenUsed/>
    <w:rsid w:val="00EB0FCE"/>
    <w:rPr>
      <w:sz w:val="16"/>
      <w:szCs w:val="16"/>
    </w:rPr>
  </w:style>
  <w:style w:type="paragraph" w:styleId="CommentText">
    <w:name w:val="annotation text"/>
    <w:basedOn w:val="Normal"/>
    <w:link w:val="CommentTextChar"/>
    <w:uiPriority w:val="99"/>
    <w:unhideWhenUsed/>
    <w:rsid w:val="00EB0FCE"/>
    <w:pPr>
      <w:spacing w:line="240" w:lineRule="auto"/>
    </w:pPr>
    <w:rPr>
      <w:sz w:val="20"/>
      <w:szCs w:val="20"/>
    </w:rPr>
  </w:style>
  <w:style w:type="character" w:customStyle="1" w:styleId="CommentTextChar">
    <w:name w:val="Comment Text Char"/>
    <w:basedOn w:val="DefaultParagraphFont"/>
    <w:link w:val="CommentText"/>
    <w:uiPriority w:val="99"/>
    <w:rsid w:val="00EB0FCE"/>
    <w:rPr>
      <w:sz w:val="20"/>
      <w:szCs w:val="20"/>
    </w:rPr>
  </w:style>
  <w:style w:type="paragraph" w:styleId="CommentSubject">
    <w:name w:val="annotation subject"/>
    <w:basedOn w:val="CommentText"/>
    <w:next w:val="CommentText"/>
    <w:link w:val="CommentSubjectChar"/>
    <w:uiPriority w:val="99"/>
    <w:semiHidden/>
    <w:unhideWhenUsed/>
    <w:rsid w:val="00EB0FCE"/>
    <w:rPr>
      <w:b/>
      <w:bCs/>
    </w:rPr>
  </w:style>
  <w:style w:type="character" w:customStyle="1" w:styleId="CommentSubjectChar">
    <w:name w:val="Comment Subject Char"/>
    <w:basedOn w:val="CommentTextChar"/>
    <w:link w:val="CommentSubject"/>
    <w:uiPriority w:val="99"/>
    <w:semiHidden/>
    <w:rsid w:val="00EB0FCE"/>
    <w:rPr>
      <w:b/>
      <w:bCs/>
      <w:sz w:val="20"/>
      <w:szCs w:val="20"/>
    </w:rPr>
  </w:style>
  <w:style w:type="paragraph" w:styleId="BalloonText">
    <w:name w:val="Balloon Text"/>
    <w:basedOn w:val="Normal"/>
    <w:link w:val="BalloonTextChar"/>
    <w:uiPriority w:val="99"/>
    <w:semiHidden/>
    <w:unhideWhenUsed/>
    <w:rsid w:val="00E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CE"/>
    <w:rPr>
      <w:rFonts w:ascii="Tahoma" w:hAnsi="Tahoma" w:cs="Tahoma"/>
      <w:sz w:val="16"/>
      <w:szCs w:val="16"/>
    </w:rPr>
  </w:style>
  <w:style w:type="character" w:customStyle="1" w:styleId="Heading2Char">
    <w:name w:val="Heading 2 Char"/>
    <w:basedOn w:val="DefaultParagraphFont"/>
    <w:link w:val="Heading2"/>
    <w:uiPriority w:val="9"/>
    <w:rsid w:val="00DC1F87"/>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semiHidden/>
    <w:rsid w:val="00527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7E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7E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7E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7E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E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E7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27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527E7A"/>
    <w:rPr>
      <w:color w:val="0000FF" w:themeColor="hyperlink"/>
      <w:u w:val="single"/>
    </w:rPr>
  </w:style>
  <w:style w:type="table" w:styleId="TableGrid">
    <w:name w:val="Table Grid"/>
    <w:basedOn w:val="TableNormal"/>
    <w:uiPriority w:val="59"/>
    <w:rsid w:val="00DC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DEB"/>
    <w:pPr>
      <w:tabs>
        <w:tab w:val="center" w:pos="4252"/>
        <w:tab w:val="right" w:pos="8504"/>
      </w:tabs>
      <w:spacing w:after="0" w:line="240" w:lineRule="auto"/>
    </w:pPr>
  </w:style>
  <w:style w:type="character" w:customStyle="1" w:styleId="HeaderChar">
    <w:name w:val="Header Char"/>
    <w:basedOn w:val="DefaultParagraphFont"/>
    <w:link w:val="Header"/>
    <w:uiPriority w:val="99"/>
    <w:rsid w:val="00481DEB"/>
  </w:style>
  <w:style w:type="paragraph" w:styleId="Footer">
    <w:name w:val="footer"/>
    <w:basedOn w:val="Normal"/>
    <w:link w:val="FooterChar"/>
    <w:uiPriority w:val="99"/>
    <w:unhideWhenUsed/>
    <w:rsid w:val="00481DE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1DEB"/>
  </w:style>
  <w:style w:type="paragraph" w:customStyle="1" w:styleId="p-02">
    <w:name w:val="p-02"/>
    <w:basedOn w:val="p-01"/>
    <w:qFormat/>
    <w:rsid w:val="00481DEB"/>
    <w:pPr>
      <w:numPr>
        <w:numId w:val="9"/>
      </w:numPr>
      <w:ind w:left="714" w:hanging="357"/>
      <w:contextualSpacing/>
    </w:pPr>
  </w:style>
  <w:style w:type="paragraph" w:styleId="Bibliography">
    <w:name w:val="Bibliography"/>
    <w:basedOn w:val="Normal"/>
    <w:next w:val="Normal"/>
    <w:uiPriority w:val="37"/>
    <w:unhideWhenUsed/>
    <w:rsid w:val="00DA4F69"/>
    <w:pPr>
      <w:spacing w:after="160" w:line="259" w:lineRule="auto"/>
    </w:pPr>
    <w:rPr>
      <w:lang w:val="en-US"/>
    </w:rPr>
  </w:style>
  <w:style w:type="character" w:styleId="FootnoteReference">
    <w:name w:val="footnote reference"/>
    <w:basedOn w:val="DefaultParagraphFont"/>
    <w:uiPriority w:val="99"/>
    <w:unhideWhenUsed/>
    <w:rsid w:val="00DA4F69"/>
    <w:rPr>
      <w:vertAlign w:val="superscript"/>
    </w:rPr>
  </w:style>
  <w:style w:type="character" w:customStyle="1" w:styleId="apple-converted-space">
    <w:name w:val="apple-converted-space"/>
    <w:basedOn w:val="DefaultParagraphFont"/>
    <w:rsid w:val="008F17CD"/>
  </w:style>
  <w:style w:type="paragraph" w:styleId="FootnoteText">
    <w:name w:val="footnote text"/>
    <w:aliases w:val="fn,Texto de nota de rodapé Char Char Char,Texto de nota de rodapé Char Char,Footnote Text Char,footnote text"/>
    <w:basedOn w:val="Normal"/>
    <w:link w:val="FootnoteTextChar1"/>
    <w:uiPriority w:val="99"/>
    <w:unhideWhenUsed/>
    <w:qFormat/>
    <w:rsid w:val="00AB2E91"/>
    <w:pPr>
      <w:spacing w:after="0" w:line="240" w:lineRule="auto"/>
    </w:pPr>
    <w:rPr>
      <w:sz w:val="20"/>
      <w:szCs w:val="20"/>
    </w:rPr>
  </w:style>
  <w:style w:type="character" w:customStyle="1" w:styleId="FootnoteTextChar1">
    <w:name w:val="Footnote Text Char1"/>
    <w:aliases w:val="fn Char,Texto de nota de rodapé Char Char Char Char,Texto de nota de rodapé Char Char Char1,Footnote Text Char Char,footnote text Char"/>
    <w:basedOn w:val="DefaultParagraphFont"/>
    <w:link w:val="FootnoteText"/>
    <w:uiPriority w:val="99"/>
    <w:rsid w:val="00AB2E91"/>
    <w:rPr>
      <w:sz w:val="20"/>
      <w:szCs w:val="20"/>
    </w:rPr>
  </w:style>
  <w:style w:type="paragraph" w:styleId="Revision">
    <w:name w:val="Revision"/>
    <w:hidden/>
    <w:uiPriority w:val="99"/>
    <w:semiHidden/>
    <w:rsid w:val="00C875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AB"/>
  </w:style>
  <w:style w:type="paragraph" w:styleId="Heading1">
    <w:name w:val="heading 1"/>
    <w:basedOn w:val="Normal"/>
    <w:next w:val="Normal"/>
    <w:link w:val="Heading1Char"/>
    <w:uiPriority w:val="9"/>
    <w:qFormat/>
    <w:rsid w:val="00E713A3"/>
    <w:pPr>
      <w:keepNext/>
      <w:keepLines/>
      <w:numPr>
        <w:numId w:val="8"/>
      </w:numPr>
      <w:spacing w:before="480" w:after="24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C1F87"/>
    <w:pPr>
      <w:keepNext/>
      <w:keepLines/>
      <w:numPr>
        <w:ilvl w:val="1"/>
        <w:numId w:val="8"/>
      </w:numPr>
      <w:spacing w:before="200" w:after="240"/>
      <w:ind w:left="578" w:hanging="578"/>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527E7A"/>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E7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E7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7E7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7E7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E7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E7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B4"/>
    <w:pPr>
      <w:ind w:left="720"/>
      <w:contextualSpacing/>
    </w:pPr>
  </w:style>
  <w:style w:type="character" w:customStyle="1" w:styleId="Heading1Char">
    <w:name w:val="Heading 1 Char"/>
    <w:basedOn w:val="DefaultParagraphFont"/>
    <w:link w:val="Heading1"/>
    <w:uiPriority w:val="9"/>
    <w:rsid w:val="00E713A3"/>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E713A3"/>
    <w:pPr>
      <w:spacing w:after="48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713A3"/>
    <w:rPr>
      <w:rFonts w:asciiTheme="majorHAnsi" w:eastAsiaTheme="majorEastAsia" w:hAnsiTheme="majorHAnsi" w:cstheme="majorBidi"/>
      <w:color w:val="17365D" w:themeColor="text2" w:themeShade="BF"/>
      <w:spacing w:val="5"/>
      <w:kern w:val="28"/>
      <w:sz w:val="40"/>
      <w:szCs w:val="52"/>
    </w:rPr>
  </w:style>
  <w:style w:type="paragraph" w:customStyle="1" w:styleId="p-01">
    <w:name w:val="p-01"/>
    <w:qFormat/>
    <w:rsid w:val="00E713A3"/>
    <w:pPr>
      <w:spacing w:after="240"/>
      <w:jc w:val="both"/>
    </w:pPr>
  </w:style>
  <w:style w:type="character" w:styleId="CommentReference">
    <w:name w:val="annotation reference"/>
    <w:basedOn w:val="DefaultParagraphFont"/>
    <w:uiPriority w:val="99"/>
    <w:semiHidden/>
    <w:unhideWhenUsed/>
    <w:rsid w:val="00EB0FCE"/>
    <w:rPr>
      <w:sz w:val="16"/>
      <w:szCs w:val="16"/>
    </w:rPr>
  </w:style>
  <w:style w:type="paragraph" w:styleId="CommentText">
    <w:name w:val="annotation text"/>
    <w:basedOn w:val="Normal"/>
    <w:link w:val="CommentTextChar"/>
    <w:uiPriority w:val="99"/>
    <w:unhideWhenUsed/>
    <w:rsid w:val="00EB0FCE"/>
    <w:pPr>
      <w:spacing w:line="240" w:lineRule="auto"/>
    </w:pPr>
    <w:rPr>
      <w:sz w:val="20"/>
      <w:szCs w:val="20"/>
    </w:rPr>
  </w:style>
  <w:style w:type="character" w:customStyle="1" w:styleId="CommentTextChar">
    <w:name w:val="Comment Text Char"/>
    <w:basedOn w:val="DefaultParagraphFont"/>
    <w:link w:val="CommentText"/>
    <w:uiPriority w:val="99"/>
    <w:rsid w:val="00EB0FCE"/>
    <w:rPr>
      <w:sz w:val="20"/>
      <w:szCs w:val="20"/>
    </w:rPr>
  </w:style>
  <w:style w:type="paragraph" w:styleId="CommentSubject">
    <w:name w:val="annotation subject"/>
    <w:basedOn w:val="CommentText"/>
    <w:next w:val="CommentText"/>
    <w:link w:val="CommentSubjectChar"/>
    <w:uiPriority w:val="99"/>
    <w:semiHidden/>
    <w:unhideWhenUsed/>
    <w:rsid w:val="00EB0FCE"/>
    <w:rPr>
      <w:b/>
      <w:bCs/>
    </w:rPr>
  </w:style>
  <w:style w:type="character" w:customStyle="1" w:styleId="CommentSubjectChar">
    <w:name w:val="Comment Subject Char"/>
    <w:basedOn w:val="CommentTextChar"/>
    <w:link w:val="CommentSubject"/>
    <w:uiPriority w:val="99"/>
    <w:semiHidden/>
    <w:rsid w:val="00EB0FCE"/>
    <w:rPr>
      <w:b/>
      <w:bCs/>
      <w:sz w:val="20"/>
      <w:szCs w:val="20"/>
    </w:rPr>
  </w:style>
  <w:style w:type="paragraph" w:styleId="BalloonText">
    <w:name w:val="Balloon Text"/>
    <w:basedOn w:val="Normal"/>
    <w:link w:val="BalloonTextChar"/>
    <w:uiPriority w:val="99"/>
    <w:semiHidden/>
    <w:unhideWhenUsed/>
    <w:rsid w:val="00E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CE"/>
    <w:rPr>
      <w:rFonts w:ascii="Tahoma" w:hAnsi="Tahoma" w:cs="Tahoma"/>
      <w:sz w:val="16"/>
      <w:szCs w:val="16"/>
    </w:rPr>
  </w:style>
  <w:style w:type="character" w:customStyle="1" w:styleId="Heading2Char">
    <w:name w:val="Heading 2 Char"/>
    <w:basedOn w:val="DefaultParagraphFont"/>
    <w:link w:val="Heading2"/>
    <w:uiPriority w:val="9"/>
    <w:rsid w:val="00DC1F87"/>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semiHidden/>
    <w:rsid w:val="00527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7E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7E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7E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7E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E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E7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27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527E7A"/>
    <w:rPr>
      <w:color w:val="0000FF" w:themeColor="hyperlink"/>
      <w:u w:val="single"/>
    </w:rPr>
  </w:style>
  <w:style w:type="table" w:styleId="TableGrid">
    <w:name w:val="Table Grid"/>
    <w:basedOn w:val="TableNormal"/>
    <w:uiPriority w:val="59"/>
    <w:rsid w:val="00DC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DEB"/>
    <w:pPr>
      <w:tabs>
        <w:tab w:val="center" w:pos="4252"/>
        <w:tab w:val="right" w:pos="8504"/>
      </w:tabs>
      <w:spacing w:after="0" w:line="240" w:lineRule="auto"/>
    </w:pPr>
  </w:style>
  <w:style w:type="character" w:customStyle="1" w:styleId="HeaderChar">
    <w:name w:val="Header Char"/>
    <w:basedOn w:val="DefaultParagraphFont"/>
    <w:link w:val="Header"/>
    <w:uiPriority w:val="99"/>
    <w:rsid w:val="00481DEB"/>
  </w:style>
  <w:style w:type="paragraph" w:styleId="Footer">
    <w:name w:val="footer"/>
    <w:basedOn w:val="Normal"/>
    <w:link w:val="FooterChar"/>
    <w:uiPriority w:val="99"/>
    <w:unhideWhenUsed/>
    <w:rsid w:val="00481DE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1DEB"/>
  </w:style>
  <w:style w:type="paragraph" w:customStyle="1" w:styleId="p-02">
    <w:name w:val="p-02"/>
    <w:basedOn w:val="p-01"/>
    <w:qFormat/>
    <w:rsid w:val="00481DEB"/>
    <w:pPr>
      <w:numPr>
        <w:numId w:val="9"/>
      </w:numPr>
      <w:ind w:left="714" w:hanging="357"/>
      <w:contextualSpacing/>
    </w:pPr>
  </w:style>
  <w:style w:type="paragraph" w:styleId="Bibliography">
    <w:name w:val="Bibliography"/>
    <w:basedOn w:val="Normal"/>
    <w:next w:val="Normal"/>
    <w:uiPriority w:val="37"/>
    <w:unhideWhenUsed/>
    <w:rsid w:val="00DA4F69"/>
    <w:pPr>
      <w:spacing w:after="160" w:line="259" w:lineRule="auto"/>
    </w:pPr>
    <w:rPr>
      <w:lang w:val="en-US"/>
    </w:rPr>
  </w:style>
  <w:style w:type="character" w:styleId="FootnoteReference">
    <w:name w:val="footnote reference"/>
    <w:basedOn w:val="DefaultParagraphFont"/>
    <w:uiPriority w:val="99"/>
    <w:unhideWhenUsed/>
    <w:rsid w:val="00DA4F69"/>
    <w:rPr>
      <w:vertAlign w:val="superscript"/>
    </w:rPr>
  </w:style>
  <w:style w:type="character" w:customStyle="1" w:styleId="apple-converted-space">
    <w:name w:val="apple-converted-space"/>
    <w:basedOn w:val="DefaultParagraphFont"/>
    <w:rsid w:val="008F17CD"/>
  </w:style>
  <w:style w:type="paragraph" w:styleId="FootnoteText">
    <w:name w:val="footnote text"/>
    <w:aliases w:val="fn,Texto de nota de rodapé Char Char Char,Texto de nota de rodapé Char Char,Footnote Text Char,footnote text"/>
    <w:basedOn w:val="Normal"/>
    <w:link w:val="FootnoteTextChar1"/>
    <w:uiPriority w:val="99"/>
    <w:unhideWhenUsed/>
    <w:qFormat/>
    <w:rsid w:val="00AB2E91"/>
    <w:pPr>
      <w:spacing w:after="0" w:line="240" w:lineRule="auto"/>
    </w:pPr>
    <w:rPr>
      <w:sz w:val="20"/>
      <w:szCs w:val="20"/>
    </w:rPr>
  </w:style>
  <w:style w:type="character" w:customStyle="1" w:styleId="FootnoteTextChar1">
    <w:name w:val="Footnote Text Char1"/>
    <w:aliases w:val="fn Char,Texto de nota de rodapé Char Char Char Char,Texto de nota de rodapé Char Char Char1,Footnote Text Char Char,footnote text Char"/>
    <w:basedOn w:val="DefaultParagraphFont"/>
    <w:link w:val="FootnoteText"/>
    <w:uiPriority w:val="99"/>
    <w:rsid w:val="00AB2E91"/>
    <w:rPr>
      <w:sz w:val="20"/>
      <w:szCs w:val="20"/>
    </w:rPr>
  </w:style>
  <w:style w:type="paragraph" w:styleId="Revision">
    <w:name w:val="Revision"/>
    <w:hidden/>
    <w:uiPriority w:val="99"/>
    <w:semiHidden/>
    <w:rsid w:val="00C87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6054">
      <w:bodyDiv w:val="1"/>
      <w:marLeft w:val="0"/>
      <w:marRight w:val="0"/>
      <w:marTop w:val="0"/>
      <w:marBottom w:val="0"/>
      <w:divBdr>
        <w:top w:val="none" w:sz="0" w:space="0" w:color="auto"/>
        <w:left w:val="none" w:sz="0" w:space="0" w:color="auto"/>
        <w:bottom w:val="none" w:sz="0" w:space="0" w:color="auto"/>
        <w:right w:val="none" w:sz="0" w:space="0" w:color="auto"/>
      </w:divBdr>
    </w:div>
    <w:div w:id="474446842">
      <w:bodyDiv w:val="1"/>
      <w:marLeft w:val="0"/>
      <w:marRight w:val="0"/>
      <w:marTop w:val="0"/>
      <w:marBottom w:val="0"/>
      <w:divBdr>
        <w:top w:val="none" w:sz="0" w:space="0" w:color="auto"/>
        <w:left w:val="none" w:sz="0" w:space="0" w:color="auto"/>
        <w:bottom w:val="none" w:sz="0" w:space="0" w:color="auto"/>
        <w:right w:val="none" w:sz="0" w:space="0" w:color="auto"/>
      </w:divBdr>
      <w:divsChild>
        <w:div w:id="540287944">
          <w:marLeft w:val="0"/>
          <w:marRight w:val="0"/>
          <w:marTop w:val="0"/>
          <w:marBottom w:val="0"/>
          <w:divBdr>
            <w:top w:val="none" w:sz="0" w:space="0" w:color="auto"/>
            <w:left w:val="none" w:sz="0" w:space="0" w:color="auto"/>
            <w:bottom w:val="none" w:sz="0" w:space="0" w:color="auto"/>
            <w:right w:val="none" w:sz="0" w:space="0" w:color="auto"/>
          </w:divBdr>
        </w:div>
        <w:div w:id="1119492993">
          <w:marLeft w:val="0"/>
          <w:marRight w:val="0"/>
          <w:marTop w:val="0"/>
          <w:marBottom w:val="0"/>
          <w:divBdr>
            <w:top w:val="none" w:sz="0" w:space="0" w:color="auto"/>
            <w:left w:val="none" w:sz="0" w:space="0" w:color="auto"/>
            <w:bottom w:val="none" w:sz="0" w:space="0" w:color="auto"/>
            <w:right w:val="none" w:sz="0" w:space="0" w:color="auto"/>
          </w:divBdr>
        </w:div>
        <w:div w:id="659386091">
          <w:marLeft w:val="0"/>
          <w:marRight w:val="0"/>
          <w:marTop w:val="0"/>
          <w:marBottom w:val="0"/>
          <w:divBdr>
            <w:top w:val="none" w:sz="0" w:space="0" w:color="auto"/>
            <w:left w:val="none" w:sz="0" w:space="0" w:color="auto"/>
            <w:bottom w:val="none" w:sz="0" w:space="0" w:color="auto"/>
            <w:right w:val="none" w:sz="0" w:space="0" w:color="auto"/>
          </w:divBdr>
        </w:div>
        <w:div w:id="1771386047">
          <w:marLeft w:val="0"/>
          <w:marRight w:val="0"/>
          <w:marTop w:val="0"/>
          <w:marBottom w:val="0"/>
          <w:divBdr>
            <w:top w:val="none" w:sz="0" w:space="0" w:color="auto"/>
            <w:left w:val="none" w:sz="0" w:space="0" w:color="auto"/>
            <w:bottom w:val="none" w:sz="0" w:space="0" w:color="auto"/>
            <w:right w:val="none" w:sz="0" w:space="0" w:color="auto"/>
          </w:divBdr>
        </w:div>
        <w:div w:id="461576677">
          <w:marLeft w:val="0"/>
          <w:marRight w:val="0"/>
          <w:marTop w:val="0"/>
          <w:marBottom w:val="0"/>
          <w:divBdr>
            <w:top w:val="none" w:sz="0" w:space="0" w:color="auto"/>
            <w:left w:val="none" w:sz="0" w:space="0" w:color="auto"/>
            <w:bottom w:val="none" w:sz="0" w:space="0" w:color="auto"/>
            <w:right w:val="none" w:sz="0" w:space="0" w:color="auto"/>
          </w:divBdr>
        </w:div>
        <w:div w:id="1921863966">
          <w:marLeft w:val="0"/>
          <w:marRight w:val="0"/>
          <w:marTop w:val="0"/>
          <w:marBottom w:val="0"/>
          <w:divBdr>
            <w:top w:val="none" w:sz="0" w:space="0" w:color="auto"/>
            <w:left w:val="none" w:sz="0" w:space="0" w:color="auto"/>
            <w:bottom w:val="none" w:sz="0" w:space="0" w:color="auto"/>
            <w:right w:val="none" w:sz="0" w:space="0" w:color="auto"/>
          </w:divBdr>
        </w:div>
        <w:div w:id="2121601283">
          <w:marLeft w:val="0"/>
          <w:marRight w:val="0"/>
          <w:marTop w:val="0"/>
          <w:marBottom w:val="0"/>
          <w:divBdr>
            <w:top w:val="none" w:sz="0" w:space="0" w:color="auto"/>
            <w:left w:val="none" w:sz="0" w:space="0" w:color="auto"/>
            <w:bottom w:val="none" w:sz="0" w:space="0" w:color="auto"/>
            <w:right w:val="none" w:sz="0" w:space="0" w:color="auto"/>
          </w:divBdr>
        </w:div>
        <w:div w:id="607011689">
          <w:marLeft w:val="0"/>
          <w:marRight w:val="0"/>
          <w:marTop w:val="0"/>
          <w:marBottom w:val="0"/>
          <w:divBdr>
            <w:top w:val="none" w:sz="0" w:space="0" w:color="auto"/>
            <w:left w:val="none" w:sz="0" w:space="0" w:color="auto"/>
            <w:bottom w:val="none" w:sz="0" w:space="0" w:color="auto"/>
            <w:right w:val="none" w:sz="0" w:space="0" w:color="auto"/>
          </w:divBdr>
        </w:div>
        <w:div w:id="691107192">
          <w:marLeft w:val="0"/>
          <w:marRight w:val="0"/>
          <w:marTop w:val="0"/>
          <w:marBottom w:val="0"/>
          <w:divBdr>
            <w:top w:val="none" w:sz="0" w:space="0" w:color="auto"/>
            <w:left w:val="none" w:sz="0" w:space="0" w:color="auto"/>
            <w:bottom w:val="none" w:sz="0" w:space="0" w:color="auto"/>
            <w:right w:val="none" w:sz="0" w:space="0" w:color="auto"/>
          </w:divBdr>
        </w:div>
        <w:div w:id="416246039">
          <w:marLeft w:val="0"/>
          <w:marRight w:val="0"/>
          <w:marTop w:val="0"/>
          <w:marBottom w:val="0"/>
          <w:divBdr>
            <w:top w:val="none" w:sz="0" w:space="0" w:color="auto"/>
            <w:left w:val="none" w:sz="0" w:space="0" w:color="auto"/>
            <w:bottom w:val="none" w:sz="0" w:space="0" w:color="auto"/>
            <w:right w:val="none" w:sz="0" w:space="0" w:color="auto"/>
          </w:divBdr>
        </w:div>
        <w:div w:id="851379288">
          <w:marLeft w:val="0"/>
          <w:marRight w:val="0"/>
          <w:marTop w:val="0"/>
          <w:marBottom w:val="0"/>
          <w:divBdr>
            <w:top w:val="none" w:sz="0" w:space="0" w:color="auto"/>
            <w:left w:val="none" w:sz="0" w:space="0" w:color="auto"/>
            <w:bottom w:val="none" w:sz="0" w:space="0" w:color="auto"/>
            <w:right w:val="none" w:sz="0" w:space="0" w:color="auto"/>
          </w:divBdr>
        </w:div>
        <w:div w:id="826094748">
          <w:marLeft w:val="0"/>
          <w:marRight w:val="0"/>
          <w:marTop w:val="0"/>
          <w:marBottom w:val="0"/>
          <w:divBdr>
            <w:top w:val="none" w:sz="0" w:space="0" w:color="auto"/>
            <w:left w:val="none" w:sz="0" w:space="0" w:color="auto"/>
            <w:bottom w:val="none" w:sz="0" w:space="0" w:color="auto"/>
            <w:right w:val="none" w:sz="0" w:space="0" w:color="auto"/>
          </w:divBdr>
        </w:div>
        <w:div w:id="1272468944">
          <w:marLeft w:val="0"/>
          <w:marRight w:val="0"/>
          <w:marTop w:val="0"/>
          <w:marBottom w:val="0"/>
          <w:divBdr>
            <w:top w:val="none" w:sz="0" w:space="0" w:color="auto"/>
            <w:left w:val="none" w:sz="0" w:space="0" w:color="auto"/>
            <w:bottom w:val="none" w:sz="0" w:space="0" w:color="auto"/>
            <w:right w:val="none" w:sz="0" w:space="0" w:color="auto"/>
          </w:divBdr>
        </w:div>
        <w:div w:id="671103570">
          <w:marLeft w:val="0"/>
          <w:marRight w:val="0"/>
          <w:marTop w:val="0"/>
          <w:marBottom w:val="0"/>
          <w:divBdr>
            <w:top w:val="none" w:sz="0" w:space="0" w:color="auto"/>
            <w:left w:val="none" w:sz="0" w:space="0" w:color="auto"/>
            <w:bottom w:val="none" w:sz="0" w:space="0" w:color="auto"/>
            <w:right w:val="none" w:sz="0" w:space="0" w:color="auto"/>
          </w:divBdr>
        </w:div>
        <w:div w:id="1715351848">
          <w:marLeft w:val="0"/>
          <w:marRight w:val="0"/>
          <w:marTop w:val="0"/>
          <w:marBottom w:val="0"/>
          <w:divBdr>
            <w:top w:val="none" w:sz="0" w:space="0" w:color="auto"/>
            <w:left w:val="none" w:sz="0" w:space="0" w:color="auto"/>
            <w:bottom w:val="none" w:sz="0" w:space="0" w:color="auto"/>
            <w:right w:val="none" w:sz="0" w:space="0" w:color="auto"/>
          </w:divBdr>
        </w:div>
        <w:div w:id="1863399959">
          <w:marLeft w:val="0"/>
          <w:marRight w:val="0"/>
          <w:marTop w:val="0"/>
          <w:marBottom w:val="0"/>
          <w:divBdr>
            <w:top w:val="none" w:sz="0" w:space="0" w:color="auto"/>
            <w:left w:val="none" w:sz="0" w:space="0" w:color="auto"/>
            <w:bottom w:val="none" w:sz="0" w:space="0" w:color="auto"/>
            <w:right w:val="none" w:sz="0" w:space="0" w:color="auto"/>
          </w:divBdr>
        </w:div>
        <w:div w:id="689599502">
          <w:marLeft w:val="0"/>
          <w:marRight w:val="0"/>
          <w:marTop w:val="0"/>
          <w:marBottom w:val="0"/>
          <w:divBdr>
            <w:top w:val="none" w:sz="0" w:space="0" w:color="auto"/>
            <w:left w:val="none" w:sz="0" w:space="0" w:color="auto"/>
            <w:bottom w:val="none" w:sz="0" w:space="0" w:color="auto"/>
            <w:right w:val="none" w:sz="0" w:space="0" w:color="auto"/>
          </w:divBdr>
        </w:div>
        <w:div w:id="1502742109">
          <w:marLeft w:val="0"/>
          <w:marRight w:val="0"/>
          <w:marTop w:val="0"/>
          <w:marBottom w:val="0"/>
          <w:divBdr>
            <w:top w:val="none" w:sz="0" w:space="0" w:color="auto"/>
            <w:left w:val="none" w:sz="0" w:space="0" w:color="auto"/>
            <w:bottom w:val="none" w:sz="0" w:space="0" w:color="auto"/>
            <w:right w:val="none" w:sz="0" w:space="0" w:color="auto"/>
          </w:divBdr>
        </w:div>
        <w:div w:id="648555375">
          <w:marLeft w:val="0"/>
          <w:marRight w:val="0"/>
          <w:marTop w:val="0"/>
          <w:marBottom w:val="0"/>
          <w:divBdr>
            <w:top w:val="none" w:sz="0" w:space="0" w:color="auto"/>
            <w:left w:val="none" w:sz="0" w:space="0" w:color="auto"/>
            <w:bottom w:val="none" w:sz="0" w:space="0" w:color="auto"/>
            <w:right w:val="none" w:sz="0" w:space="0" w:color="auto"/>
          </w:divBdr>
        </w:div>
        <w:div w:id="1748847570">
          <w:marLeft w:val="0"/>
          <w:marRight w:val="0"/>
          <w:marTop w:val="0"/>
          <w:marBottom w:val="0"/>
          <w:divBdr>
            <w:top w:val="none" w:sz="0" w:space="0" w:color="auto"/>
            <w:left w:val="none" w:sz="0" w:space="0" w:color="auto"/>
            <w:bottom w:val="none" w:sz="0" w:space="0" w:color="auto"/>
            <w:right w:val="none" w:sz="0" w:space="0" w:color="auto"/>
          </w:divBdr>
        </w:div>
        <w:div w:id="1576551953">
          <w:marLeft w:val="0"/>
          <w:marRight w:val="0"/>
          <w:marTop w:val="0"/>
          <w:marBottom w:val="0"/>
          <w:divBdr>
            <w:top w:val="none" w:sz="0" w:space="0" w:color="auto"/>
            <w:left w:val="none" w:sz="0" w:space="0" w:color="auto"/>
            <w:bottom w:val="none" w:sz="0" w:space="0" w:color="auto"/>
            <w:right w:val="none" w:sz="0" w:space="0" w:color="auto"/>
          </w:divBdr>
        </w:div>
      </w:divsChild>
    </w:div>
    <w:div w:id="508372199">
      <w:bodyDiv w:val="1"/>
      <w:marLeft w:val="0"/>
      <w:marRight w:val="0"/>
      <w:marTop w:val="0"/>
      <w:marBottom w:val="0"/>
      <w:divBdr>
        <w:top w:val="none" w:sz="0" w:space="0" w:color="auto"/>
        <w:left w:val="none" w:sz="0" w:space="0" w:color="auto"/>
        <w:bottom w:val="none" w:sz="0" w:space="0" w:color="auto"/>
        <w:right w:val="none" w:sz="0" w:space="0" w:color="auto"/>
      </w:divBdr>
    </w:div>
    <w:div w:id="1075667855">
      <w:bodyDiv w:val="1"/>
      <w:marLeft w:val="0"/>
      <w:marRight w:val="0"/>
      <w:marTop w:val="0"/>
      <w:marBottom w:val="0"/>
      <w:divBdr>
        <w:top w:val="none" w:sz="0" w:space="0" w:color="auto"/>
        <w:left w:val="none" w:sz="0" w:space="0" w:color="auto"/>
        <w:bottom w:val="none" w:sz="0" w:space="0" w:color="auto"/>
        <w:right w:val="none" w:sz="0" w:space="0" w:color="auto"/>
      </w:divBdr>
    </w:div>
    <w:div w:id="1280914153">
      <w:bodyDiv w:val="1"/>
      <w:marLeft w:val="0"/>
      <w:marRight w:val="0"/>
      <w:marTop w:val="0"/>
      <w:marBottom w:val="0"/>
      <w:divBdr>
        <w:top w:val="none" w:sz="0" w:space="0" w:color="auto"/>
        <w:left w:val="none" w:sz="0" w:space="0" w:color="auto"/>
        <w:bottom w:val="none" w:sz="0" w:space="0" w:color="auto"/>
        <w:right w:val="none" w:sz="0" w:space="0" w:color="auto"/>
      </w:divBdr>
    </w:div>
    <w:div w:id="1412585055">
      <w:bodyDiv w:val="1"/>
      <w:marLeft w:val="0"/>
      <w:marRight w:val="0"/>
      <w:marTop w:val="0"/>
      <w:marBottom w:val="0"/>
      <w:divBdr>
        <w:top w:val="none" w:sz="0" w:space="0" w:color="auto"/>
        <w:left w:val="none" w:sz="0" w:space="0" w:color="auto"/>
        <w:bottom w:val="none" w:sz="0" w:space="0" w:color="auto"/>
        <w:right w:val="none" w:sz="0" w:space="0" w:color="auto"/>
      </w:divBdr>
    </w:div>
    <w:div w:id="1851990013">
      <w:bodyDiv w:val="1"/>
      <w:marLeft w:val="0"/>
      <w:marRight w:val="0"/>
      <w:marTop w:val="0"/>
      <w:marBottom w:val="0"/>
      <w:divBdr>
        <w:top w:val="none" w:sz="0" w:space="0" w:color="auto"/>
        <w:left w:val="none" w:sz="0" w:space="0" w:color="auto"/>
        <w:bottom w:val="none" w:sz="0" w:space="0" w:color="auto"/>
        <w:right w:val="none" w:sz="0" w:space="0" w:color="auto"/>
      </w:divBdr>
    </w:div>
    <w:div w:id="1865899162">
      <w:bodyDiv w:val="1"/>
      <w:marLeft w:val="0"/>
      <w:marRight w:val="0"/>
      <w:marTop w:val="0"/>
      <w:marBottom w:val="0"/>
      <w:divBdr>
        <w:top w:val="none" w:sz="0" w:space="0" w:color="auto"/>
        <w:left w:val="none" w:sz="0" w:space="0" w:color="auto"/>
        <w:bottom w:val="none" w:sz="0" w:space="0" w:color="auto"/>
        <w:right w:val="none" w:sz="0" w:space="0" w:color="auto"/>
      </w:divBdr>
    </w:div>
    <w:div w:id="2022470591">
      <w:bodyDiv w:val="1"/>
      <w:marLeft w:val="0"/>
      <w:marRight w:val="0"/>
      <w:marTop w:val="0"/>
      <w:marBottom w:val="0"/>
      <w:divBdr>
        <w:top w:val="none" w:sz="0" w:space="0" w:color="auto"/>
        <w:left w:val="none" w:sz="0" w:space="0" w:color="auto"/>
        <w:bottom w:val="none" w:sz="0" w:space="0" w:color="auto"/>
        <w:right w:val="none" w:sz="0" w:space="0" w:color="auto"/>
      </w:divBdr>
    </w:div>
    <w:div w:id="2085032019">
      <w:bodyDiv w:val="1"/>
      <w:marLeft w:val="0"/>
      <w:marRight w:val="0"/>
      <w:marTop w:val="0"/>
      <w:marBottom w:val="0"/>
      <w:divBdr>
        <w:top w:val="none" w:sz="0" w:space="0" w:color="auto"/>
        <w:left w:val="none" w:sz="0" w:space="0" w:color="auto"/>
        <w:bottom w:val="none" w:sz="0" w:space="0" w:color="auto"/>
        <w:right w:val="none" w:sz="0" w:space="0" w:color="auto"/>
      </w:divBdr>
    </w:div>
    <w:div w:id="21471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hXiL1Y"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e.gov.br/Estudos/Documents/DEA%2013-14%20Demanda%20de%20Energia%202050.pdf"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epe.gov.br/mercado/Documents/DEA%2003-2015-%20Proje%C3%A7%C3%B5es%20da%20Demanda%20de%20Energia%20El%C3%A9trica%202015-2024.pdf" TargetMode="External"/><Relationship Id="rId1" Type="http://schemas.openxmlformats.org/officeDocument/2006/relationships/hyperlink" Target="http://goo.gl/dIh8Y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01%20Ricardo\Downloads\1-1127.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53653871\Documents\BID_BNDES\PAC%20por%20porte%20de%20empresa%20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53653871\AppData\Local\Microsoft\Windows\INetCache\Content.Outlook\U87YWEOL\Custos%20de%20energ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'BID produtividade 1.0'!$B$6:$B$13</c:f>
              <c:strCache>
                <c:ptCount val="8"/>
                <c:pt idx="0">
                  <c:v>Total</c:v>
                </c:pt>
                <c:pt idx="1">
                  <c:v>Até 4</c:v>
                </c:pt>
                <c:pt idx="2">
                  <c:v>5 a 29</c:v>
                </c:pt>
                <c:pt idx="3">
                  <c:v>30 a 49</c:v>
                </c:pt>
                <c:pt idx="4">
                  <c:v>50 a 99</c:v>
                </c:pt>
                <c:pt idx="5">
                  <c:v>100 a 249</c:v>
                </c:pt>
                <c:pt idx="6">
                  <c:v>250 a 499</c:v>
                </c:pt>
                <c:pt idx="7">
                  <c:v>500 ou mais</c:v>
                </c:pt>
              </c:strCache>
            </c:strRef>
          </c:cat>
          <c:val>
            <c:numRef>
              <c:f>'BID produtividade 1.0'!$E$6:$E$13</c:f>
              <c:numCache>
                <c:formatCode>#,##0.00</c:formatCode>
                <c:ptCount val="8"/>
                <c:pt idx="0">
                  <c:v>126.95228768970043</c:v>
                </c:pt>
                <c:pt idx="1">
                  <c:v>65.991178875848092</c:v>
                </c:pt>
                <c:pt idx="2">
                  <c:v>46.364439836244031</c:v>
                </c:pt>
                <c:pt idx="3">
                  <c:v>56.545900785317443</c:v>
                </c:pt>
                <c:pt idx="4">
                  <c:v>66.082832607280551</c:v>
                </c:pt>
                <c:pt idx="5">
                  <c:v>90.188241757896094</c:v>
                </c:pt>
                <c:pt idx="6">
                  <c:v>119.55304491747253</c:v>
                </c:pt>
                <c:pt idx="7">
                  <c:v>206.35347304503782</c:v>
                </c:pt>
              </c:numCache>
            </c:numRef>
          </c:val>
          <c:extLst xmlns:c16r2="http://schemas.microsoft.com/office/drawing/2015/06/chart">
            <c:ext xmlns:c16="http://schemas.microsoft.com/office/drawing/2014/chart" uri="{C3380CC4-5D6E-409C-BE32-E72D297353CC}">
              <c16:uniqueId val="{00000000-E50D-4B06-A89F-0F4C95CAAC2F}"/>
            </c:ext>
          </c:extLst>
        </c:ser>
        <c:dLbls>
          <c:showLegendKey val="0"/>
          <c:showVal val="0"/>
          <c:showCatName val="0"/>
          <c:showSerName val="0"/>
          <c:showPercent val="0"/>
          <c:showBubbleSize val="0"/>
        </c:dLbls>
        <c:gapWidth val="50"/>
        <c:axId val="204355072"/>
        <c:axId val="204356992"/>
      </c:barChart>
      <c:lineChart>
        <c:grouping val="standard"/>
        <c:varyColors val="0"/>
        <c:ser>
          <c:idx val="1"/>
          <c:order val="1"/>
          <c:marker>
            <c:symbol val="none"/>
          </c:marker>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'BID produtividade 1.0'!$B$6:$B$13</c:f>
              <c:strCache>
                <c:ptCount val="8"/>
                <c:pt idx="0">
                  <c:v>Total</c:v>
                </c:pt>
                <c:pt idx="1">
                  <c:v>Até 4</c:v>
                </c:pt>
                <c:pt idx="2">
                  <c:v>5 a 29</c:v>
                </c:pt>
                <c:pt idx="3">
                  <c:v>30 a 49</c:v>
                </c:pt>
                <c:pt idx="4">
                  <c:v>50 a 99</c:v>
                </c:pt>
                <c:pt idx="5">
                  <c:v>100 a 249</c:v>
                </c:pt>
                <c:pt idx="6">
                  <c:v>250 a 499</c:v>
                </c:pt>
                <c:pt idx="7">
                  <c:v>500 ou mais</c:v>
                </c:pt>
              </c:strCache>
            </c:strRef>
          </c:cat>
          <c:val>
            <c:numRef>
              <c:f>'BID produtividade 1.0'!$F$6:$F$13</c:f>
              <c:numCache>
                <c:formatCode>0.00%</c:formatCode>
                <c:ptCount val="8"/>
                <c:pt idx="0">
                  <c:v>1</c:v>
                </c:pt>
                <c:pt idx="1">
                  <c:v>3.508646380464784E-2</c:v>
                </c:pt>
                <c:pt idx="2">
                  <c:v>0.19721586515010284</c:v>
                </c:pt>
                <c:pt idx="3">
                  <c:v>7.0099436465829057E-2</c:v>
                </c:pt>
                <c:pt idx="4">
                  <c:v>9.0598248529128067E-2</c:v>
                </c:pt>
                <c:pt idx="5">
                  <c:v>0.10816478665056062</c:v>
                </c:pt>
                <c:pt idx="6">
                  <c:v>8.2364858803439425E-2</c:v>
                </c:pt>
                <c:pt idx="7">
                  <c:v>0.41647034059629218</c:v>
                </c:pt>
              </c:numCache>
            </c:numRef>
          </c:val>
          <c:smooth val="0"/>
          <c:extLst xmlns:c16r2="http://schemas.microsoft.com/office/drawing/2015/06/chart">
            <c:ext xmlns:c16="http://schemas.microsoft.com/office/drawing/2014/chart" uri="{C3380CC4-5D6E-409C-BE32-E72D297353CC}">
              <c16:uniqueId val="{00000001-E50D-4B06-A89F-0F4C95CAAC2F}"/>
            </c:ext>
          </c:extLst>
        </c:ser>
        <c:dLbls>
          <c:showLegendKey val="0"/>
          <c:showVal val="0"/>
          <c:showCatName val="0"/>
          <c:showSerName val="0"/>
          <c:showPercent val="0"/>
          <c:showBubbleSize val="0"/>
        </c:dLbls>
        <c:marker val="1"/>
        <c:smooth val="0"/>
        <c:axId val="211737600"/>
        <c:axId val="209783040"/>
      </c:lineChart>
      <c:catAx>
        <c:axId val="204355072"/>
        <c:scaling>
          <c:orientation val="minMax"/>
        </c:scaling>
        <c:delete val="0"/>
        <c:axPos val="b"/>
        <c:numFmt formatCode="General" sourceLinked="0"/>
        <c:majorTickMark val="out"/>
        <c:minorTickMark val="none"/>
        <c:tickLblPos val="nextTo"/>
        <c:crossAx val="204356992"/>
        <c:crosses val="autoZero"/>
        <c:auto val="1"/>
        <c:lblAlgn val="ctr"/>
        <c:lblOffset val="100"/>
        <c:noMultiLvlLbl val="0"/>
      </c:catAx>
      <c:valAx>
        <c:axId val="204356992"/>
        <c:scaling>
          <c:orientation val="minMax"/>
        </c:scaling>
        <c:delete val="0"/>
        <c:axPos val="l"/>
        <c:majorGridlines/>
        <c:numFmt formatCode="#,##0.00" sourceLinked="1"/>
        <c:majorTickMark val="out"/>
        <c:minorTickMark val="none"/>
        <c:tickLblPos val="nextTo"/>
        <c:crossAx val="204355072"/>
        <c:crosses val="autoZero"/>
        <c:crossBetween val="between"/>
      </c:valAx>
      <c:valAx>
        <c:axId val="209783040"/>
        <c:scaling>
          <c:orientation val="minMax"/>
        </c:scaling>
        <c:delete val="0"/>
        <c:axPos val="r"/>
        <c:numFmt formatCode="0.00%" sourceLinked="1"/>
        <c:majorTickMark val="out"/>
        <c:minorTickMark val="none"/>
        <c:tickLblPos val="nextTo"/>
        <c:crossAx val="211737600"/>
        <c:crosses val="max"/>
        <c:crossBetween val="between"/>
      </c:valAx>
      <c:catAx>
        <c:axId val="211737600"/>
        <c:scaling>
          <c:orientation val="minMax"/>
        </c:scaling>
        <c:delete val="1"/>
        <c:axPos val="b"/>
        <c:numFmt formatCode="General" sourceLinked="1"/>
        <c:majorTickMark val="out"/>
        <c:minorTickMark val="none"/>
        <c:tickLblPos val="nextTo"/>
        <c:crossAx val="209783040"/>
        <c:crosses val="autoZero"/>
        <c:auto val="1"/>
        <c:lblAlgn val="ctr"/>
        <c:lblOffset val="100"/>
        <c:noMultiLvlLbl val="0"/>
      </c:catAx>
    </c:plotArea>
    <c:plotVisOnly val="1"/>
    <c:dispBlanksAs val="gap"/>
    <c:showDLblsOverMax val="0"/>
  </c:chart>
  <c:spPr>
    <a:ln>
      <a:noFill/>
    </a:ln>
  </c:spPr>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88923959398082E-2"/>
          <c:y val="3.2534856219895589E-2"/>
          <c:w val="0.87375709990602102"/>
          <c:h val="0.82252233855383461"/>
        </c:manualLayout>
      </c:layout>
      <c:barChart>
        <c:barDir val="col"/>
        <c:grouping val="clustered"/>
        <c:varyColors val="0"/>
        <c:ser>
          <c:idx val="0"/>
          <c:order val="0"/>
          <c:tx>
            <c:strRef>
              <c:f>TAB03A!$P$7</c:f>
              <c:strCache>
                <c:ptCount val="1"/>
                <c:pt idx="0">
                  <c:v>produtividade (R$ 1000 )</c:v>
                </c:pt>
              </c:strCache>
            </c:strRef>
          </c:tx>
          <c:spPr>
            <a:solidFill>
              <a:schemeClr val="tx2">
                <a:lumMod val="20000"/>
                <a:lumOff val="8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TAB03A!$O$8:$O$14</c:f>
              <c:strCache>
                <c:ptCount val="7"/>
                <c:pt idx="0">
                  <c:v>           Total</c:v>
                </c:pt>
                <c:pt idx="1">
                  <c:v>    Até 19 pessoas</c:v>
                </c:pt>
                <c:pt idx="2">
                  <c:v>    De    20  a    49 pessoas</c:v>
                </c:pt>
                <c:pt idx="3">
                  <c:v>    De    50  a    99 pessoas </c:v>
                </c:pt>
                <c:pt idx="4">
                  <c:v>    De  100  a  249 pessoas</c:v>
                </c:pt>
                <c:pt idx="5">
                  <c:v>    De  250  a  499 pessoas </c:v>
                </c:pt>
                <c:pt idx="6">
                  <c:v>    500 ou mais pessoas</c:v>
                </c:pt>
              </c:strCache>
            </c:strRef>
          </c:cat>
          <c:val>
            <c:numRef>
              <c:f>TAB03A!$P$8:$P$14</c:f>
              <c:numCache>
                <c:formatCode>#\ ###\ ###\ ###</c:formatCode>
                <c:ptCount val="7"/>
                <c:pt idx="0">
                  <c:v>41.38372383198115</c:v>
                </c:pt>
                <c:pt idx="1">
                  <c:v>30.600562363924169</c:v>
                </c:pt>
                <c:pt idx="2">
                  <c:v>45.706474195385113</c:v>
                </c:pt>
                <c:pt idx="3">
                  <c:v>59.306995054738096</c:v>
                </c:pt>
                <c:pt idx="4">
                  <c:v>59.220034904673696</c:v>
                </c:pt>
                <c:pt idx="5">
                  <c:v>56.833747515582537</c:v>
                </c:pt>
                <c:pt idx="6">
                  <c:v>56.11040735185798</c:v>
                </c:pt>
              </c:numCache>
            </c:numRef>
          </c:val>
          <c:extLst xmlns:c16r2="http://schemas.microsoft.com/office/drawing/2015/06/chart">
            <c:ext xmlns:c16="http://schemas.microsoft.com/office/drawing/2014/chart" uri="{C3380CC4-5D6E-409C-BE32-E72D297353CC}">
              <c16:uniqueId val="{00000000-7344-4600-BB13-F2672E2DA710}"/>
            </c:ext>
          </c:extLst>
        </c:ser>
        <c:dLbls>
          <c:showLegendKey val="0"/>
          <c:showVal val="0"/>
          <c:showCatName val="0"/>
          <c:showSerName val="0"/>
          <c:showPercent val="0"/>
          <c:showBubbleSize val="0"/>
        </c:dLbls>
        <c:gapWidth val="150"/>
        <c:axId val="50346240"/>
        <c:axId val="51605504"/>
      </c:barChart>
      <c:lineChart>
        <c:grouping val="standard"/>
        <c:varyColors val="0"/>
        <c:ser>
          <c:idx val="1"/>
          <c:order val="1"/>
          <c:tx>
            <c:strRef>
              <c:f>TAB03A!$Q$7</c:f>
              <c:strCache>
                <c:ptCount val="1"/>
                <c:pt idx="0">
                  <c:v>Parcicipação no emprego</c:v>
                </c:pt>
              </c:strCache>
            </c:strRef>
          </c:tx>
          <c:marker>
            <c:symbol val="none"/>
          </c:marker>
          <c:dLbls>
            <c:dLbl>
              <c:idx val="2"/>
              <c:layout>
                <c:manualLayout>
                  <c:x val="2.4556028930482012E-3"/>
                  <c:y val="-2.11720867208672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344-4600-BB13-F2672E2DA710}"/>
                </c:ext>
              </c:extLst>
            </c:dLbl>
            <c:dLbl>
              <c:idx val="3"/>
              <c:layout>
                <c:manualLayout>
                  <c:x val="1.7190569744597251E-2"/>
                  <c:y val="-4.23459665466864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344-4600-BB13-F2672E2DA710}"/>
                </c:ext>
              </c:extLst>
            </c:dLbl>
            <c:dLbl>
              <c:idx val="4"/>
              <c:layout>
                <c:manualLayout>
                  <c:x val="1.4733617358289387E-2"/>
                  <c:y val="-4.23441734417344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344-4600-BB13-F2672E2DA710}"/>
                </c:ext>
              </c:extLst>
            </c:dLbl>
            <c:dLbl>
              <c:idx val="5"/>
              <c:layout>
                <c:manualLayout>
                  <c:x val="7.366808679144738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344-4600-BB13-F2672E2DA71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TAB03A!$O$8:$O$14</c:f>
              <c:strCache>
                <c:ptCount val="7"/>
                <c:pt idx="0">
                  <c:v>           Total</c:v>
                </c:pt>
                <c:pt idx="1">
                  <c:v>    Até 19 pessoas</c:v>
                </c:pt>
                <c:pt idx="2">
                  <c:v>    De    20  a    49 pessoas</c:v>
                </c:pt>
                <c:pt idx="3">
                  <c:v>    De    50  a    99 pessoas </c:v>
                </c:pt>
                <c:pt idx="4">
                  <c:v>    De  100  a  249 pessoas</c:v>
                </c:pt>
                <c:pt idx="5">
                  <c:v>    De  250  a  499 pessoas </c:v>
                </c:pt>
                <c:pt idx="6">
                  <c:v>    500 ou mais pessoas</c:v>
                </c:pt>
              </c:strCache>
            </c:strRef>
          </c:cat>
          <c:val>
            <c:numRef>
              <c:f>TAB03A!$Q$8:$Q$14</c:f>
              <c:numCache>
                <c:formatCode>0%</c:formatCode>
                <c:ptCount val="7"/>
                <c:pt idx="0">
                  <c:v>1</c:v>
                </c:pt>
                <c:pt idx="1">
                  <c:v>0.5434989124446391</c:v>
                </c:pt>
                <c:pt idx="2">
                  <c:v>0.12213509861042264</c:v>
                </c:pt>
                <c:pt idx="3">
                  <c:v>5.7645437140420815E-2</c:v>
                </c:pt>
                <c:pt idx="4">
                  <c:v>6.3525480454521902E-2</c:v>
                </c:pt>
                <c:pt idx="5">
                  <c:v>3.7002797886006106E-2</c:v>
                </c:pt>
                <c:pt idx="6">
                  <c:v>0.17619227346398941</c:v>
                </c:pt>
              </c:numCache>
            </c:numRef>
          </c:val>
          <c:smooth val="0"/>
          <c:extLst xmlns:c16r2="http://schemas.microsoft.com/office/drawing/2015/06/chart">
            <c:ext xmlns:c16="http://schemas.microsoft.com/office/drawing/2014/chart" uri="{C3380CC4-5D6E-409C-BE32-E72D297353CC}">
              <c16:uniqueId val="{00000005-7344-4600-BB13-F2672E2DA710}"/>
            </c:ext>
          </c:extLst>
        </c:ser>
        <c:dLbls>
          <c:showLegendKey val="0"/>
          <c:showVal val="0"/>
          <c:showCatName val="0"/>
          <c:showSerName val="0"/>
          <c:showPercent val="0"/>
          <c:showBubbleSize val="0"/>
        </c:dLbls>
        <c:marker val="1"/>
        <c:smooth val="0"/>
        <c:axId val="51608576"/>
        <c:axId val="51607040"/>
      </c:lineChart>
      <c:catAx>
        <c:axId val="50346240"/>
        <c:scaling>
          <c:orientation val="minMax"/>
        </c:scaling>
        <c:delete val="0"/>
        <c:axPos val="b"/>
        <c:numFmt formatCode="General" sourceLinked="0"/>
        <c:majorTickMark val="out"/>
        <c:minorTickMark val="none"/>
        <c:tickLblPos val="nextTo"/>
        <c:txPr>
          <a:bodyPr/>
          <a:lstStyle/>
          <a:p>
            <a:pPr>
              <a:defRPr sz="900"/>
            </a:pPr>
            <a:endParaRPr lang="en-US"/>
          </a:p>
        </c:txPr>
        <c:crossAx val="51605504"/>
        <c:crosses val="autoZero"/>
        <c:auto val="1"/>
        <c:lblAlgn val="ctr"/>
        <c:lblOffset val="100"/>
        <c:noMultiLvlLbl val="0"/>
      </c:catAx>
      <c:valAx>
        <c:axId val="51605504"/>
        <c:scaling>
          <c:orientation val="minMax"/>
          <c:min val="10"/>
        </c:scaling>
        <c:delete val="0"/>
        <c:axPos val="l"/>
        <c:majorGridlines/>
        <c:numFmt formatCode="#\ ###\ ###\ ###" sourceLinked="1"/>
        <c:majorTickMark val="out"/>
        <c:minorTickMark val="none"/>
        <c:tickLblPos val="nextTo"/>
        <c:crossAx val="50346240"/>
        <c:crosses val="autoZero"/>
        <c:crossBetween val="between"/>
      </c:valAx>
      <c:valAx>
        <c:axId val="51607040"/>
        <c:scaling>
          <c:orientation val="minMax"/>
        </c:scaling>
        <c:delete val="0"/>
        <c:axPos val="r"/>
        <c:numFmt formatCode="0%" sourceLinked="1"/>
        <c:majorTickMark val="out"/>
        <c:minorTickMark val="none"/>
        <c:tickLblPos val="nextTo"/>
        <c:crossAx val="51608576"/>
        <c:crosses val="max"/>
        <c:crossBetween val="between"/>
      </c:valAx>
      <c:catAx>
        <c:axId val="51608576"/>
        <c:scaling>
          <c:orientation val="minMax"/>
        </c:scaling>
        <c:delete val="1"/>
        <c:axPos val="b"/>
        <c:numFmt formatCode="General" sourceLinked="1"/>
        <c:majorTickMark val="out"/>
        <c:minorTickMark val="none"/>
        <c:tickLblPos val="nextTo"/>
        <c:crossAx val="51607040"/>
        <c:crosses val="autoZero"/>
        <c:auto val="1"/>
        <c:lblAlgn val="ctr"/>
        <c:lblOffset val="100"/>
        <c:noMultiLvlLbl val="0"/>
      </c:catAx>
    </c:plotArea>
    <c:legend>
      <c:legendPos val="r"/>
      <c:layout>
        <c:manualLayout>
          <c:xMode val="edge"/>
          <c:yMode val="edge"/>
          <c:x val="6.5323211481755392E-2"/>
          <c:y val="2.9306363835427195E-2"/>
          <c:w val="0.47325898466218291"/>
          <c:h val="0.10598044475209829"/>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10584138024386"/>
          <c:y val="5.125947468872126E-2"/>
          <c:w val="0.81663712107204556"/>
          <c:h val="0.84615537913115824"/>
        </c:manualLayout>
      </c:layout>
      <c:barChart>
        <c:barDir val="col"/>
        <c:grouping val="clustered"/>
        <c:varyColors val="0"/>
        <c:ser>
          <c:idx val="0"/>
          <c:order val="0"/>
          <c:tx>
            <c:strRef>
              <c:f>'[Custos de energia.xlsx]Plan1'!$B$2</c:f>
              <c:strCache>
                <c:ptCount val="1"/>
                <c:pt idx="0">
                  <c:v>Energia / custos ligados à produção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'[Custos de energia.xlsx]Plan1'!$A$3:$A$5</c:f>
              <c:strCache>
                <c:ptCount val="3"/>
                <c:pt idx="0">
                  <c:v>Indústria total</c:v>
                </c:pt>
                <c:pt idx="1">
                  <c:v>Indústrias Extrativas</c:v>
                </c:pt>
                <c:pt idx="2">
                  <c:v>Indústrias de transformação                      </c:v>
                </c:pt>
              </c:strCache>
            </c:strRef>
          </c:cat>
          <c:val>
            <c:numRef>
              <c:f>'[Custos de energia.xlsx]Plan1'!$B$3:$B$5</c:f>
              <c:numCache>
                <c:formatCode>0.00%</c:formatCode>
                <c:ptCount val="3"/>
                <c:pt idx="0">
                  <c:v>0.17323660680978148</c:v>
                </c:pt>
                <c:pt idx="1">
                  <c:v>5.5534932981656668E-2</c:v>
                </c:pt>
                <c:pt idx="2">
                  <c:v>0.19156035171877311</c:v>
                </c:pt>
              </c:numCache>
            </c:numRef>
          </c:val>
          <c:extLst xmlns:c16r2="http://schemas.microsoft.com/office/drawing/2015/06/chart">
            <c:ext xmlns:c16="http://schemas.microsoft.com/office/drawing/2014/chart" uri="{C3380CC4-5D6E-409C-BE32-E72D297353CC}">
              <c16:uniqueId val="{00000000-0A93-4287-8BE1-DF88CD40CD81}"/>
            </c:ext>
          </c:extLst>
        </c:ser>
        <c:ser>
          <c:idx val="1"/>
          <c:order val="1"/>
          <c:tx>
            <c:strRef>
              <c:f>'[Custos de energia.xlsx]Plan1'!$C$2</c:f>
              <c:strCache>
                <c:ptCount val="1"/>
                <c:pt idx="0">
                  <c:v>Energia /custos totais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'[Custos de energia.xlsx]Plan1'!$A$3:$A$5</c:f>
              <c:strCache>
                <c:ptCount val="3"/>
                <c:pt idx="0">
                  <c:v>Indústria total</c:v>
                </c:pt>
                <c:pt idx="1">
                  <c:v>Indústrias Extrativas</c:v>
                </c:pt>
                <c:pt idx="2">
                  <c:v>Indústrias de transformação                      </c:v>
                </c:pt>
              </c:strCache>
            </c:strRef>
          </c:cat>
          <c:val>
            <c:numRef>
              <c:f>'[Custos de energia.xlsx]Plan1'!$C$3:$C$5</c:f>
              <c:numCache>
                <c:formatCode>0.00%</c:formatCode>
                <c:ptCount val="3"/>
                <c:pt idx="0">
                  <c:v>1.1348480854053588E-2</c:v>
                </c:pt>
                <c:pt idx="1">
                  <c:v>1.0039262770211908E-2</c:v>
                </c:pt>
                <c:pt idx="2">
                  <c:v>1.1415670728863198E-2</c:v>
                </c:pt>
              </c:numCache>
            </c:numRef>
          </c:val>
          <c:extLst xmlns:c16r2="http://schemas.microsoft.com/office/drawing/2015/06/chart">
            <c:ext xmlns:c16="http://schemas.microsoft.com/office/drawing/2014/chart" uri="{C3380CC4-5D6E-409C-BE32-E72D297353CC}">
              <c16:uniqueId val="{00000001-0A93-4287-8BE1-DF88CD40CD81}"/>
            </c:ext>
          </c:extLst>
        </c:ser>
        <c:dLbls>
          <c:showLegendKey val="0"/>
          <c:showVal val="0"/>
          <c:showCatName val="0"/>
          <c:showSerName val="0"/>
          <c:showPercent val="0"/>
          <c:showBubbleSize val="0"/>
        </c:dLbls>
        <c:gapWidth val="150"/>
        <c:axId val="53032832"/>
        <c:axId val="53034368"/>
      </c:barChart>
      <c:catAx>
        <c:axId val="53032832"/>
        <c:scaling>
          <c:orientation val="minMax"/>
        </c:scaling>
        <c:delete val="0"/>
        <c:axPos val="b"/>
        <c:numFmt formatCode="@" sourceLinked="0"/>
        <c:majorTickMark val="out"/>
        <c:minorTickMark val="none"/>
        <c:tickLblPos val="low"/>
        <c:spPr>
          <a:noFill/>
        </c:spPr>
        <c:txPr>
          <a:bodyPr rot="0"/>
          <a:lstStyle/>
          <a:p>
            <a:pPr>
              <a:defRPr sz="900"/>
            </a:pPr>
            <a:endParaRPr lang="en-US"/>
          </a:p>
        </c:txPr>
        <c:crossAx val="53034368"/>
        <c:crosses val="autoZero"/>
        <c:auto val="0"/>
        <c:lblAlgn val="ctr"/>
        <c:lblOffset val="100"/>
        <c:noMultiLvlLbl val="0"/>
      </c:catAx>
      <c:valAx>
        <c:axId val="53034368"/>
        <c:scaling>
          <c:orientation val="minMax"/>
        </c:scaling>
        <c:delete val="0"/>
        <c:axPos val="l"/>
        <c:majorGridlines/>
        <c:numFmt formatCode="0.00%" sourceLinked="1"/>
        <c:majorTickMark val="out"/>
        <c:minorTickMark val="none"/>
        <c:tickLblPos val="nextTo"/>
        <c:crossAx val="53032832"/>
        <c:crosses val="autoZero"/>
        <c:crossBetween val="between"/>
      </c:valAx>
    </c:plotArea>
    <c:legend>
      <c:legendPos val="r"/>
      <c:layout>
        <c:manualLayout>
          <c:xMode val="edge"/>
          <c:yMode val="edge"/>
          <c:x val="0.18391475398865528"/>
          <c:y val="4.6247327961993739E-2"/>
          <c:w val="0.49599771080486632"/>
          <c:h val="0.1766312456900421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1807F4FDEE883488AE29D74CC16911E" ma:contentTypeVersion="0" ma:contentTypeDescription="A content type to manage public (operations) IDB documents" ma:contentTypeScope="" ma:versionID="52fa0ce5cdd8a8c344a957f8b73ff40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40661007</IDBDocs_x0020_Number>
    <Document_x0020_Author xmlns="9c571b2f-e523-4ab2-ba2e-09e151a03ef4">Netto de A. C. Schneider, Maria E.</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BR-L1442,BR-O0001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Whole&lt;/APPROVAL_DESC&gt;&lt;PD_OBJ_TYPE&gt;0&lt;/PD_OBJ_TYPE&gt;&lt;DTAPPROVAL&gt;Dec 12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721AB845-4322-48FD-8034-2CF49227DE6D}"/>
</file>

<file path=customXml/itemProps2.xml><?xml version="1.0" encoding="utf-8"?>
<ds:datastoreItem xmlns:ds="http://schemas.openxmlformats.org/officeDocument/2006/customXml" ds:itemID="{1753C0BD-AF82-44D4-A266-C27244187A69}"/>
</file>

<file path=customXml/itemProps3.xml><?xml version="1.0" encoding="utf-8"?>
<ds:datastoreItem xmlns:ds="http://schemas.openxmlformats.org/officeDocument/2006/customXml" ds:itemID="{7A998CA2-EC41-4AAC-9312-A84C2D0F6D51}"/>
</file>

<file path=customXml/itemProps4.xml><?xml version="1.0" encoding="utf-8"?>
<ds:datastoreItem xmlns:ds="http://schemas.openxmlformats.org/officeDocument/2006/customXml" ds:itemID="{47FB6327-6F43-41F0-9012-6962541AD73B}"/>
</file>

<file path=customXml/itemProps5.xml><?xml version="1.0" encoding="utf-8"?>
<ds:datastoreItem xmlns:ds="http://schemas.openxmlformats.org/officeDocument/2006/customXml" ds:itemID="{B4749489-C7ED-4F82-A1FF-DC2AC0024A68}"/>
</file>

<file path=customXml/itemProps6.xml><?xml version="1.0" encoding="utf-8"?>
<ds:datastoreItem xmlns:ds="http://schemas.openxmlformats.org/officeDocument/2006/customXml" ds:itemID="{F53E97E2-6CEB-43E4-BA4B-283C54172B42}"/>
</file>

<file path=docProps/app.xml><?xml version="1.0" encoding="utf-8"?>
<Properties xmlns="http://schemas.openxmlformats.org/officeDocument/2006/extended-properties" xmlns:vt="http://schemas.openxmlformats.org/officeDocument/2006/docPropsVTypes">
  <Template>Normal.dotm</Template>
  <TotalTime>2</TotalTime>
  <Pages>11</Pages>
  <Words>4458</Words>
  <Characters>25411</Characters>
  <Application>Microsoft Office Word</Application>
  <DocSecurity>4</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 ELink Opcional - Informe 1 - Productivity and Economic Growth- BR-L1442Luiz Ricardo Cavalcante__- BR-L1442</dc:title>
  <dc:creator>Fernanda De Negri</dc:creator>
  <cp:lastModifiedBy>Test</cp:lastModifiedBy>
  <cp:revision>2</cp:revision>
  <dcterms:created xsi:type="dcterms:W3CDTF">2016-09-27T17:33:00Z</dcterms:created>
  <dcterms:modified xsi:type="dcterms:W3CDTF">2016-09-27T17:33:00Z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0x01010046CF21643EE8D14686A648AA6DAD08920091807F4FDEE883488AE29D74CC16911E</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