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E8" w:rsidRPr="00BE345D" w:rsidRDefault="008C548E" w:rsidP="008C548E">
      <w:pPr>
        <w:pStyle w:val="Default"/>
        <w:jc w:val="center"/>
        <w:rPr>
          <w:rFonts w:ascii="Arial" w:hAnsi="Arial" w:cs="Arial"/>
          <w:b/>
          <w:sz w:val="22"/>
          <w:szCs w:val="22"/>
        </w:rPr>
      </w:pPr>
      <w:bookmarkStart w:id="0" w:name="_GoBack"/>
      <w:bookmarkEnd w:id="0"/>
      <w:r w:rsidRPr="00BE345D">
        <w:rPr>
          <w:rFonts w:ascii="Arial" w:hAnsi="Arial" w:cs="Arial"/>
          <w:b/>
          <w:sz w:val="22"/>
          <w:szCs w:val="22"/>
        </w:rPr>
        <w:t>Compliance analysis of the</w:t>
      </w:r>
      <w:r w:rsidR="00C00A0E">
        <w:rPr>
          <w:rFonts w:ascii="Arial" w:hAnsi="Arial" w:cs="Arial"/>
          <w:b/>
          <w:sz w:val="22"/>
          <w:szCs w:val="22"/>
        </w:rPr>
        <w:t xml:space="preserve"> </w:t>
      </w:r>
      <w:r w:rsidR="00C726BF">
        <w:rPr>
          <w:rFonts w:ascii="Arial" w:hAnsi="Arial" w:cs="Arial"/>
          <w:b/>
          <w:sz w:val="22"/>
          <w:szCs w:val="22"/>
        </w:rPr>
        <w:t xml:space="preserve">Energy Sector projects of the </w:t>
      </w:r>
      <w:r w:rsidR="00C00A0E" w:rsidRPr="00C00A0E">
        <w:rPr>
          <w:rFonts w:ascii="Arial" w:hAnsi="Arial" w:cs="Arial"/>
          <w:b/>
          <w:sz w:val="22"/>
          <w:szCs w:val="22"/>
        </w:rPr>
        <w:t>Municipal Efficiency Program (Pro-</w:t>
      </w:r>
      <w:proofErr w:type="spellStart"/>
      <w:r w:rsidR="00C00A0E" w:rsidRPr="00C00A0E">
        <w:rPr>
          <w:rFonts w:ascii="Arial" w:hAnsi="Arial" w:cs="Arial"/>
          <w:b/>
          <w:sz w:val="22"/>
          <w:szCs w:val="22"/>
        </w:rPr>
        <w:t>Eficiencia</w:t>
      </w:r>
      <w:proofErr w:type="spellEnd"/>
      <w:r w:rsidR="00C00A0E" w:rsidRPr="00C00A0E">
        <w:rPr>
          <w:rFonts w:ascii="Arial" w:hAnsi="Arial" w:cs="Arial"/>
          <w:b/>
          <w:sz w:val="22"/>
          <w:szCs w:val="22"/>
        </w:rPr>
        <w:t xml:space="preserve">) </w:t>
      </w:r>
      <w:r w:rsidR="00504714" w:rsidRPr="00BE345D">
        <w:rPr>
          <w:rFonts w:ascii="Arial" w:hAnsi="Arial" w:cs="Arial"/>
          <w:b/>
          <w:sz w:val="22"/>
          <w:szCs w:val="22"/>
        </w:rPr>
        <w:t>(BR-L1</w:t>
      </w:r>
      <w:r w:rsidR="00C00A0E">
        <w:rPr>
          <w:rFonts w:ascii="Arial" w:hAnsi="Arial" w:cs="Arial"/>
          <w:b/>
          <w:sz w:val="22"/>
          <w:szCs w:val="22"/>
        </w:rPr>
        <w:t>503</w:t>
      </w:r>
      <w:r w:rsidR="00504714" w:rsidRPr="00BE345D">
        <w:rPr>
          <w:rFonts w:ascii="Arial" w:hAnsi="Arial" w:cs="Arial"/>
          <w:b/>
          <w:sz w:val="22"/>
          <w:szCs w:val="22"/>
        </w:rPr>
        <w:t>) with the Strategies, Policies, Sector Frameworks and Guidelines at the IDB (</w:t>
      </w:r>
      <w:r w:rsidRPr="00BE345D">
        <w:rPr>
          <w:rFonts w:ascii="Arial" w:hAnsi="Arial" w:cs="Arial"/>
          <w:b/>
          <w:sz w:val="22"/>
          <w:szCs w:val="22"/>
        </w:rPr>
        <w:t>GN-2716</w:t>
      </w:r>
      <w:r w:rsidR="00504714" w:rsidRPr="00BE345D">
        <w:rPr>
          <w:rFonts w:ascii="Arial" w:hAnsi="Arial" w:cs="Arial"/>
          <w:b/>
          <w:sz w:val="22"/>
          <w:szCs w:val="22"/>
        </w:rPr>
        <w:t xml:space="preserve">) – Public Utilities Policy </w:t>
      </w:r>
      <w:r w:rsidR="00C726BF">
        <w:rPr>
          <w:rFonts w:ascii="Arial" w:hAnsi="Arial" w:cs="Arial"/>
          <w:b/>
          <w:sz w:val="22"/>
          <w:szCs w:val="22"/>
        </w:rPr>
        <w:t xml:space="preserve"> </w:t>
      </w:r>
      <w:r w:rsidR="00504714" w:rsidRPr="00BE345D">
        <w:rPr>
          <w:rFonts w:ascii="Arial" w:hAnsi="Arial" w:cs="Arial"/>
          <w:b/>
          <w:sz w:val="22"/>
          <w:szCs w:val="22"/>
        </w:rPr>
        <w:br/>
        <w:t xml:space="preserve">(the “Policy”) </w:t>
      </w:r>
      <w:r w:rsidRPr="00BE345D">
        <w:rPr>
          <w:rFonts w:ascii="Arial" w:hAnsi="Arial" w:cs="Arial"/>
          <w:b/>
          <w:sz w:val="22"/>
          <w:szCs w:val="22"/>
        </w:rPr>
        <w:t>(</w:t>
      </w:r>
      <w:r w:rsidR="00504714" w:rsidRPr="00BE345D">
        <w:rPr>
          <w:rFonts w:ascii="Arial" w:hAnsi="Arial" w:cs="Arial"/>
          <w:b/>
          <w:sz w:val="22"/>
          <w:szCs w:val="22"/>
        </w:rPr>
        <w:t>approved Nov. 20</w:t>
      </w:r>
      <w:r w:rsidRPr="00BE345D">
        <w:rPr>
          <w:rFonts w:ascii="Arial" w:hAnsi="Arial" w:cs="Arial"/>
          <w:b/>
          <w:sz w:val="22"/>
          <w:szCs w:val="22"/>
        </w:rPr>
        <w:t>13)</w:t>
      </w:r>
    </w:p>
    <w:p w:rsidR="008C548E" w:rsidRPr="00BE345D" w:rsidRDefault="008C548E" w:rsidP="008C548E">
      <w:pPr>
        <w:pStyle w:val="Default"/>
        <w:jc w:val="center"/>
        <w:rPr>
          <w:rFonts w:ascii="Arial" w:hAnsi="Arial" w:cs="Arial"/>
          <w:b/>
          <w:sz w:val="22"/>
          <w:szCs w:val="22"/>
        </w:rPr>
      </w:pPr>
    </w:p>
    <w:p w:rsidR="008C548E" w:rsidRPr="00BE345D" w:rsidRDefault="008C548E" w:rsidP="008C548E">
      <w:pPr>
        <w:pStyle w:val="Default"/>
        <w:rPr>
          <w:rFonts w:ascii="Arial" w:hAnsi="Arial" w:cs="Arial"/>
          <w:b/>
          <w:sz w:val="22"/>
          <w:szCs w:val="22"/>
        </w:rPr>
      </w:pPr>
    </w:p>
    <w:p w:rsidR="0021558B" w:rsidRPr="00BE345D" w:rsidRDefault="008C548E" w:rsidP="0021558B">
      <w:pPr>
        <w:jc w:val="both"/>
        <w:rPr>
          <w:rFonts w:ascii="Arial" w:hAnsi="Arial" w:cs="Arial"/>
          <w:bCs/>
          <w:sz w:val="22"/>
          <w:szCs w:val="22"/>
        </w:rPr>
      </w:pPr>
      <w:r w:rsidRPr="00BE345D">
        <w:rPr>
          <w:rFonts w:ascii="Arial" w:hAnsi="Arial" w:cs="Arial"/>
          <w:sz w:val="22"/>
          <w:szCs w:val="22"/>
        </w:rPr>
        <w:t>This document present</w:t>
      </w:r>
      <w:r w:rsidR="00D61282" w:rsidRPr="00BE345D">
        <w:rPr>
          <w:rFonts w:ascii="Arial" w:hAnsi="Arial" w:cs="Arial"/>
          <w:sz w:val="22"/>
          <w:szCs w:val="22"/>
        </w:rPr>
        <w:t>s</w:t>
      </w:r>
      <w:r w:rsidRPr="00BE345D">
        <w:rPr>
          <w:rFonts w:ascii="Arial" w:hAnsi="Arial" w:cs="Arial"/>
          <w:sz w:val="22"/>
          <w:szCs w:val="22"/>
        </w:rPr>
        <w:t xml:space="preserve"> an analysis of the </w:t>
      </w:r>
      <w:r w:rsidR="00C726BF">
        <w:rPr>
          <w:rFonts w:ascii="Arial" w:hAnsi="Arial" w:cs="Arial"/>
          <w:sz w:val="22"/>
          <w:szCs w:val="22"/>
        </w:rPr>
        <w:t xml:space="preserve">energy sector projects of the </w:t>
      </w:r>
      <w:r w:rsidR="00C726BF" w:rsidRPr="00C726BF">
        <w:rPr>
          <w:rFonts w:ascii="Arial" w:hAnsi="Arial" w:cs="Arial"/>
          <w:sz w:val="22"/>
          <w:szCs w:val="22"/>
        </w:rPr>
        <w:t>Municipal Efficiency Program (Pro-</w:t>
      </w:r>
      <w:proofErr w:type="spellStart"/>
      <w:r w:rsidR="00C726BF" w:rsidRPr="00C726BF">
        <w:rPr>
          <w:rFonts w:ascii="Arial" w:hAnsi="Arial" w:cs="Arial"/>
          <w:sz w:val="22"/>
          <w:szCs w:val="22"/>
        </w:rPr>
        <w:t>Eficiencia</w:t>
      </w:r>
      <w:proofErr w:type="spellEnd"/>
      <w:r w:rsidR="00C726BF" w:rsidRPr="00C726BF">
        <w:rPr>
          <w:rFonts w:ascii="Arial" w:hAnsi="Arial" w:cs="Arial"/>
          <w:sz w:val="22"/>
          <w:szCs w:val="22"/>
        </w:rPr>
        <w:t>)</w:t>
      </w:r>
      <w:r w:rsidRPr="00BE345D">
        <w:rPr>
          <w:rFonts w:ascii="Arial" w:hAnsi="Arial" w:cs="Arial"/>
          <w:sz w:val="22"/>
          <w:szCs w:val="22"/>
        </w:rPr>
        <w:t xml:space="preserve"> regarding the issues raised in the Public Utilities Policy</w:t>
      </w:r>
      <w:r w:rsidR="0021558B" w:rsidRPr="00BE345D">
        <w:rPr>
          <w:rFonts w:ascii="Arial" w:hAnsi="Arial" w:cs="Arial"/>
          <w:sz w:val="22"/>
          <w:szCs w:val="22"/>
        </w:rPr>
        <w:t xml:space="preserve"> </w:t>
      </w:r>
      <w:r w:rsidR="0021558B" w:rsidRPr="00BE345D">
        <w:rPr>
          <w:rFonts w:ascii="Arial" w:hAnsi="Arial" w:cs="Arial"/>
          <w:bCs/>
          <w:sz w:val="22"/>
          <w:szCs w:val="22"/>
        </w:rPr>
        <w:t>(GN-2716-6).</w:t>
      </w:r>
      <w:r w:rsidR="00E13A4B" w:rsidRPr="00BE345D">
        <w:rPr>
          <w:rFonts w:ascii="Arial" w:hAnsi="Arial" w:cs="Arial"/>
          <w:bCs/>
          <w:sz w:val="22"/>
          <w:szCs w:val="22"/>
        </w:rPr>
        <w:t xml:space="preserve"> </w:t>
      </w:r>
    </w:p>
    <w:p w:rsidR="00730B3A" w:rsidRPr="00BE345D" w:rsidRDefault="008C548E" w:rsidP="008C548E">
      <w:pPr>
        <w:tabs>
          <w:tab w:val="left" w:pos="2850"/>
        </w:tabs>
        <w:jc w:val="both"/>
        <w:rPr>
          <w:rFonts w:ascii="Arial" w:hAnsi="Arial" w:cs="Arial"/>
          <w:sz w:val="22"/>
          <w:szCs w:val="22"/>
        </w:rPr>
      </w:pPr>
      <w:r w:rsidRPr="00BE345D">
        <w:rPr>
          <w:rFonts w:ascii="Arial" w:hAnsi="Arial" w:cs="Arial"/>
          <w:sz w:val="22"/>
          <w:szCs w:val="22"/>
        </w:rPr>
        <w:tab/>
      </w:r>
    </w:p>
    <w:p w:rsidR="00FC17F8" w:rsidRPr="00BE345D" w:rsidRDefault="00DE758D" w:rsidP="0021558B">
      <w:pPr>
        <w:jc w:val="both"/>
        <w:rPr>
          <w:rFonts w:ascii="Arial" w:hAnsi="Arial" w:cs="Arial"/>
          <w:sz w:val="22"/>
          <w:szCs w:val="22"/>
        </w:rPr>
      </w:pPr>
      <w:r w:rsidRPr="00BE345D">
        <w:rPr>
          <w:rFonts w:ascii="Arial" w:hAnsi="Arial" w:cs="Arial"/>
          <w:sz w:val="22"/>
          <w:szCs w:val="22"/>
        </w:rPr>
        <w:t xml:space="preserve">The following table includes the objectives of the Public Utilities Policy </w:t>
      </w:r>
      <w:r w:rsidR="0021558B" w:rsidRPr="00BE345D">
        <w:rPr>
          <w:rFonts w:ascii="Arial" w:hAnsi="Arial" w:cs="Arial"/>
          <w:bCs/>
          <w:sz w:val="22"/>
          <w:szCs w:val="22"/>
        </w:rPr>
        <w:t xml:space="preserve">(GN-2716-6), </w:t>
      </w:r>
      <w:r w:rsidRPr="00BE345D">
        <w:rPr>
          <w:rFonts w:ascii="Arial" w:hAnsi="Arial" w:cs="Arial"/>
          <w:bCs/>
          <w:sz w:val="22"/>
          <w:szCs w:val="22"/>
        </w:rPr>
        <w:t xml:space="preserve">description and comments summarized highlighting aspects that meets the </w:t>
      </w:r>
      <w:r w:rsidR="007672E3" w:rsidRPr="00BE345D">
        <w:rPr>
          <w:rFonts w:ascii="Arial" w:hAnsi="Arial" w:cs="Arial"/>
          <w:bCs/>
          <w:sz w:val="22"/>
          <w:szCs w:val="22"/>
        </w:rPr>
        <w:t>Program</w:t>
      </w:r>
      <w:r w:rsidR="00E13A4B" w:rsidRPr="00BE345D">
        <w:rPr>
          <w:rFonts w:ascii="Arial" w:hAnsi="Arial" w:cs="Arial"/>
          <w:bCs/>
          <w:sz w:val="22"/>
          <w:szCs w:val="22"/>
        </w:rPr>
        <w:t>.</w:t>
      </w:r>
    </w:p>
    <w:p w:rsidR="00FC17F8" w:rsidRPr="00BE345D" w:rsidRDefault="00FC17F8" w:rsidP="0021558B">
      <w:pPr>
        <w:jc w:val="both"/>
        <w:rPr>
          <w:rFonts w:ascii="Arial" w:hAnsi="Arial" w:cs="Arial"/>
          <w:sz w:val="22"/>
          <w:szCs w:val="22"/>
        </w:rPr>
      </w:pPr>
    </w:p>
    <w:p w:rsidR="00E47BEE" w:rsidRPr="00BE345D" w:rsidRDefault="00E47BEE" w:rsidP="0021558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4432"/>
        <w:gridCol w:w="25"/>
        <w:gridCol w:w="4742"/>
      </w:tblGrid>
      <w:tr w:rsidR="001C7FB5" w:rsidRPr="00BE345D" w:rsidTr="009333AB">
        <w:trPr>
          <w:trHeight w:val="890"/>
          <w:tblHeader/>
          <w:jc w:val="center"/>
        </w:trPr>
        <w:tc>
          <w:tcPr>
            <w:tcW w:w="2855" w:type="dxa"/>
            <w:tcBorders>
              <w:bottom w:val="single" w:sz="4" w:space="0" w:color="auto"/>
            </w:tcBorders>
            <w:shd w:val="clear" w:color="auto" w:fill="4F81BD"/>
            <w:vAlign w:val="center"/>
          </w:tcPr>
          <w:p w:rsidR="00E13A4B" w:rsidRPr="00BE345D" w:rsidRDefault="00E13A4B" w:rsidP="00BD2BE8">
            <w:pPr>
              <w:jc w:val="center"/>
              <w:rPr>
                <w:rFonts w:ascii="Arial" w:hAnsi="Arial" w:cs="Arial"/>
                <w:b/>
                <w:color w:val="FFFFFF"/>
                <w:sz w:val="22"/>
                <w:szCs w:val="22"/>
              </w:rPr>
            </w:pPr>
          </w:p>
          <w:p w:rsidR="001B48E1" w:rsidRPr="00BE345D" w:rsidRDefault="00845E20" w:rsidP="00BD2BE8">
            <w:pPr>
              <w:jc w:val="center"/>
              <w:rPr>
                <w:rFonts w:ascii="Arial" w:hAnsi="Arial" w:cs="Arial"/>
                <w:b/>
                <w:color w:val="FFFFFF"/>
                <w:sz w:val="22"/>
                <w:szCs w:val="22"/>
              </w:rPr>
            </w:pPr>
            <w:r w:rsidRPr="00BE345D">
              <w:rPr>
                <w:rFonts w:ascii="Arial" w:hAnsi="Arial" w:cs="Arial"/>
                <w:b/>
                <w:color w:val="FFFFFF"/>
                <w:sz w:val="22"/>
                <w:szCs w:val="22"/>
              </w:rPr>
              <w:t>Policy objectives</w:t>
            </w:r>
          </w:p>
          <w:p w:rsidR="006C5C09" w:rsidRPr="00BE345D" w:rsidRDefault="00730B3A" w:rsidP="00BD2BE8">
            <w:pPr>
              <w:jc w:val="center"/>
              <w:rPr>
                <w:rFonts w:ascii="Arial" w:hAnsi="Arial" w:cs="Arial"/>
                <w:color w:val="FFFFFF"/>
                <w:sz w:val="22"/>
                <w:szCs w:val="22"/>
              </w:rPr>
            </w:pPr>
            <w:r w:rsidRPr="00BE345D">
              <w:rPr>
                <w:rFonts w:ascii="Arial" w:hAnsi="Arial" w:cs="Arial"/>
                <w:b/>
                <w:color w:val="FFFFFF"/>
                <w:sz w:val="22"/>
                <w:szCs w:val="22"/>
              </w:rPr>
              <w:t>(GN-2716-6)</w:t>
            </w:r>
          </w:p>
          <w:p w:rsidR="001B48E1" w:rsidRPr="00BE345D" w:rsidRDefault="001B48E1" w:rsidP="00BD2BE8">
            <w:pPr>
              <w:jc w:val="center"/>
              <w:rPr>
                <w:rFonts w:ascii="Arial" w:hAnsi="Arial" w:cs="Arial"/>
                <w:b/>
                <w:color w:val="FFFFFF"/>
                <w:sz w:val="22"/>
                <w:szCs w:val="22"/>
              </w:rPr>
            </w:pPr>
          </w:p>
        </w:tc>
        <w:tc>
          <w:tcPr>
            <w:tcW w:w="4432" w:type="dxa"/>
            <w:tcBorders>
              <w:bottom w:val="single" w:sz="4" w:space="0" w:color="auto"/>
            </w:tcBorders>
            <w:shd w:val="clear" w:color="auto" w:fill="4F81BD"/>
            <w:vAlign w:val="center"/>
          </w:tcPr>
          <w:p w:rsidR="001B48E1" w:rsidRPr="00BE345D" w:rsidRDefault="00845E20" w:rsidP="00BD2BE8">
            <w:pPr>
              <w:jc w:val="center"/>
              <w:rPr>
                <w:rFonts w:ascii="Arial" w:hAnsi="Arial" w:cs="Arial"/>
                <w:b/>
                <w:color w:val="FFFFFF"/>
                <w:sz w:val="22"/>
                <w:szCs w:val="22"/>
              </w:rPr>
            </w:pPr>
            <w:r w:rsidRPr="00BE345D">
              <w:rPr>
                <w:rFonts w:ascii="Arial" w:hAnsi="Arial" w:cs="Arial"/>
                <w:b/>
                <w:color w:val="FFFFFF"/>
                <w:sz w:val="22"/>
                <w:szCs w:val="22"/>
              </w:rPr>
              <w:t>Description</w:t>
            </w:r>
          </w:p>
        </w:tc>
        <w:tc>
          <w:tcPr>
            <w:tcW w:w="4767" w:type="dxa"/>
            <w:gridSpan w:val="2"/>
            <w:tcBorders>
              <w:bottom w:val="single" w:sz="4" w:space="0" w:color="auto"/>
            </w:tcBorders>
            <w:shd w:val="clear" w:color="auto" w:fill="4F81BD"/>
            <w:vAlign w:val="center"/>
          </w:tcPr>
          <w:p w:rsidR="001B48E1" w:rsidRPr="00BE345D" w:rsidRDefault="00845E20" w:rsidP="00BD2BE8">
            <w:pPr>
              <w:jc w:val="center"/>
              <w:rPr>
                <w:rFonts w:ascii="Arial" w:hAnsi="Arial" w:cs="Arial"/>
                <w:b/>
                <w:color w:val="FFFFFF"/>
                <w:sz w:val="22"/>
                <w:szCs w:val="22"/>
              </w:rPr>
            </w:pPr>
            <w:r w:rsidRPr="00BE345D">
              <w:rPr>
                <w:rFonts w:ascii="Arial" w:hAnsi="Arial" w:cs="Arial"/>
                <w:b/>
                <w:color w:val="FFFFFF"/>
                <w:sz w:val="22"/>
                <w:szCs w:val="22"/>
              </w:rPr>
              <w:t>Comments</w:t>
            </w:r>
          </w:p>
        </w:tc>
      </w:tr>
      <w:tr w:rsidR="006E5B3A" w:rsidRPr="00BE345D" w:rsidTr="006E5B3A">
        <w:trPr>
          <w:trHeight w:val="458"/>
          <w:jc w:val="center"/>
        </w:trPr>
        <w:tc>
          <w:tcPr>
            <w:tcW w:w="12054" w:type="dxa"/>
            <w:gridSpan w:val="4"/>
            <w:tcBorders>
              <w:bottom w:val="single" w:sz="4" w:space="0" w:color="auto"/>
            </w:tcBorders>
            <w:shd w:val="clear" w:color="auto" w:fill="4F81BD"/>
            <w:vAlign w:val="center"/>
          </w:tcPr>
          <w:p w:rsidR="006E5B3A" w:rsidRPr="00BE345D" w:rsidRDefault="006E5B3A" w:rsidP="00526927">
            <w:pPr>
              <w:rPr>
                <w:rFonts w:ascii="Arial" w:hAnsi="Arial" w:cs="Arial"/>
                <w:b/>
                <w:color w:val="FFFFFF"/>
                <w:sz w:val="22"/>
                <w:szCs w:val="22"/>
              </w:rPr>
            </w:pPr>
            <w:r>
              <w:rPr>
                <w:rFonts w:ascii="Arial" w:hAnsi="Arial" w:cs="Arial"/>
                <w:b/>
                <w:color w:val="FFFFFF"/>
                <w:sz w:val="22"/>
                <w:szCs w:val="22"/>
              </w:rPr>
              <w:t>Objectives</w:t>
            </w:r>
          </w:p>
        </w:tc>
      </w:tr>
      <w:tr w:rsidR="000A6980" w:rsidRPr="006E5B3A" w:rsidTr="00526927">
        <w:trPr>
          <w:jc w:val="center"/>
        </w:trPr>
        <w:tc>
          <w:tcPr>
            <w:tcW w:w="12054" w:type="dxa"/>
            <w:gridSpan w:val="4"/>
            <w:shd w:val="clear" w:color="auto" w:fill="BFBFBF"/>
          </w:tcPr>
          <w:p w:rsidR="00845E20" w:rsidRPr="006E5B3A" w:rsidRDefault="00E8570D" w:rsidP="00845E20">
            <w:pPr>
              <w:jc w:val="both"/>
              <w:rPr>
                <w:rFonts w:ascii="Arial" w:hAnsi="Arial" w:cs="Arial"/>
                <w:b/>
                <w:sz w:val="22"/>
                <w:szCs w:val="22"/>
              </w:rPr>
            </w:pPr>
            <w:r w:rsidRPr="006E5B3A">
              <w:rPr>
                <w:rFonts w:ascii="Arial" w:hAnsi="Arial" w:cs="Arial"/>
                <w:b/>
                <w:sz w:val="22"/>
                <w:szCs w:val="22"/>
              </w:rPr>
              <w:t xml:space="preserve">2.2  </w:t>
            </w:r>
            <w:r w:rsidR="00845E20" w:rsidRPr="006E5B3A">
              <w:rPr>
                <w:rFonts w:ascii="Arial" w:hAnsi="Arial" w:cs="Arial"/>
                <w:b/>
                <w:sz w:val="22"/>
                <w:szCs w:val="22"/>
              </w:rPr>
              <w:t xml:space="preserve">The promotion of access to and the increased efficiency and quality of public utilities will require that the Bank’s actions aim to: </w:t>
            </w:r>
          </w:p>
        </w:tc>
      </w:tr>
      <w:tr w:rsidR="001B48E1" w:rsidRPr="00BE345D" w:rsidTr="006E5B3A">
        <w:trPr>
          <w:jc w:val="center"/>
        </w:trPr>
        <w:tc>
          <w:tcPr>
            <w:tcW w:w="2855" w:type="dxa"/>
            <w:shd w:val="clear" w:color="auto" w:fill="auto"/>
          </w:tcPr>
          <w:p w:rsidR="00730B3A" w:rsidRPr="00BE345D" w:rsidRDefault="00845E20" w:rsidP="00E47BEE">
            <w:pPr>
              <w:numPr>
                <w:ilvl w:val="0"/>
                <w:numId w:val="5"/>
              </w:numPr>
              <w:ind w:left="339"/>
              <w:rPr>
                <w:rFonts w:ascii="Arial" w:hAnsi="Arial" w:cs="Arial"/>
                <w:b/>
                <w:sz w:val="22"/>
                <w:szCs w:val="22"/>
              </w:rPr>
            </w:pPr>
            <w:r w:rsidRPr="00BE345D">
              <w:rPr>
                <w:rFonts w:ascii="Arial" w:hAnsi="Arial" w:cs="Arial"/>
                <w:b/>
                <w:sz w:val="22"/>
                <w:szCs w:val="22"/>
              </w:rPr>
              <w:t>Promote access to the service by the entire population</w:t>
            </w:r>
          </w:p>
        </w:tc>
        <w:tc>
          <w:tcPr>
            <w:tcW w:w="4432" w:type="dxa"/>
            <w:shd w:val="clear" w:color="auto" w:fill="auto"/>
          </w:tcPr>
          <w:p w:rsidR="00845E20" w:rsidRPr="00BE345D" w:rsidRDefault="00845E20" w:rsidP="00E47BEE">
            <w:pPr>
              <w:pStyle w:val="Default"/>
              <w:rPr>
                <w:rFonts w:ascii="Arial" w:hAnsi="Arial" w:cs="Arial"/>
                <w:sz w:val="22"/>
                <w:szCs w:val="22"/>
              </w:rPr>
            </w:pPr>
            <w:r w:rsidRPr="00BE345D">
              <w:rPr>
                <w:rFonts w:ascii="Arial" w:hAnsi="Arial" w:cs="Arial"/>
                <w:sz w:val="22"/>
                <w:szCs w:val="22"/>
              </w:rPr>
              <w:t xml:space="preserve">Promote Access to the Service by the entire population, including the most disadvantaged communities and groups, in both urban and rural areas. </w:t>
            </w:r>
          </w:p>
          <w:p w:rsidR="00730B3A" w:rsidRPr="00BE345D" w:rsidRDefault="00730B3A" w:rsidP="00E47BEE">
            <w:pPr>
              <w:rPr>
                <w:rFonts w:ascii="Arial" w:hAnsi="Arial" w:cs="Arial"/>
                <w:sz w:val="22"/>
                <w:szCs w:val="22"/>
              </w:rPr>
            </w:pPr>
          </w:p>
          <w:p w:rsidR="00730B3A" w:rsidRPr="00BE345D" w:rsidRDefault="00730B3A" w:rsidP="00E47BEE">
            <w:pPr>
              <w:rPr>
                <w:rFonts w:ascii="Arial" w:hAnsi="Arial" w:cs="Arial"/>
                <w:sz w:val="22"/>
                <w:szCs w:val="22"/>
              </w:rPr>
            </w:pPr>
          </w:p>
        </w:tc>
        <w:tc>
          <w:tcPr>
            <w:tcW w:w="4767" w:type="dxa"/>
            <w:gridSpan w:val="2"/>
            <w:shd w:val="clear" w:color="auto" w:fill="auto"/>
          </w:tcPr>
          <w:p w:rsidR="00CD3F53" w:rsidRDefault="00F24B93" w:rsidP="00E47BEE">
            <w:pPr>
              <w:rPr>
                <w:rFonts w:ascii="Arial" w:hAnsi="Arial" w:cs="Arial"/>
                <w:bCs/>
                <w:sz w:val="22"/>
                <w:szCs w:val="22"/>
              </w:rPr>
            </w:pPr>
            <w:r w:rsidRPr="00BE345D">
              <w:rPr>
                <w:rFonts w:ascii="Arial" w:hAnsi="Arial" w:cs="Arial"/>
                <w:bCs/>
                <w:sz w:val="22"/>
                <w:szCs w:val="22"/>
              </w:rPr>
              <w:t>Brazil has 99</w:t>
            </w:r>
            <w:r w:rsidR="00E13A4B" w:rsidRPr="00BE345D">
              <w:rPr>
                <w:rFonts w:ascii="Arial" w:hAnsi="Arial" w:cs="Arial"/>
                <w:bCs/>
                <w:sz w:val="22"/>
                <w:szCs w:val="22"/>
              </w:rPr>
              <w:t>.</w:t>
            </w:r>
            <w:r w:rsidRPr="00BE345D">
              <w:rPr>
                <w:rFonts w:ascii="Arial" w:hAnsi="Arial" w:cs="Arial"/>
                <w:bCs/>
                <w:sz w:val="22"/>
                <w:szCs w:val="22"/>
              </w:rPr>
              <w:t>6% of the population attended with electricity service</w:t>
            </w:r>
            <w:r w:rsidR="00C77672" w:rsidRPr="00BE345D">
              <w:rPr>
                <w:rFonts w:ascii="Arial" w:hAnsi="Arial" w:cs="Arial"/>
                <w:bCs/>
                <w:sz w:val="22"/>
                <w:szCs w:val="22"/>
              </w:rPr>
              <w:t xml:space="preserve">. </w:t>
            </w:r>
            <w:r w:rsidR="002C297E" w:rsidRPr="00BE345D">
              <w:rPr>
                <w:rFonts w:ascii="Arial" w:hAnsi="Arial" w:cs="Arial"/>
                <w:sz w:val="22"/>
                <w:szCs w:val="22"/>
              </w:rPr>
              <w:t>Each distribution compan</w:t>
            </w:r>
            <w:r w:rsidR="00C77672" w:rsidRPr="00BE345D">
              <w:rPr>
                <w:rFonts w:ascii="Arial" w:hAnsi="Arial" w:cs="Arial"/>
                <w:sz w:val="22"/>
                <w:szCs w:val="22"/>
              </w:rPr>
              <w:t>y has</w:t>
            </w:r>
            <w:r w:rsidR="002C297E" w:rsidRPr="00BE345D">
              <w:rPr>
                <w:rFonts w:ascii="Arial" w:hAnsi="Arial" w:cs="Arial"/>
                <w:sz w:val="22"/>
                <w:szCs w:val="22"/>
              </w:rPr>
              <w:t xml:space="preserve"> a target for universal access; most of them have met their targets</w:t>
            </w:r>
            <w:r w:rsidR="00C77672" w:rsidRPr="00BE345D">
              <w:rPr>
                <w:rFonts w:ascii="Arial" w:hAnsi="Arial" w:cs="Arial"/>
                <w:sz w:val="22"/>
                <w:szCs w:val="22"/>
              </w:rPr>
              <w:t>.</w:t>
            </w:r>
            <w:r w:rsidR="002C297E" w:rsidRPr="00BE345D">
              <w:rPr>
                <w:rFonts w:ascii="Arial" w:hAnsi="Arial" w:cs="Arial"/>
                <w:sz w:val="22"/>
                <w:szCs w:val="22"/>
              </w:rPr>
              <w:t xml:space="preserve"> </w:t>
            </w:r>
            <w:r w:rsidR="007672E3" w:rsidRPr="00BE345D">
              <w:rPr>
                <w:rFonts w:ascii="Arial" w:hAnsi="Arial" w:cs="Arial"/>
                <w:bCs/>
                <w:sz w:val="22"/>
                <w:szCs w:val="22"/>
              </w:rPr>
              <w:t>The remaining 0</w:t>
            </w:r>
            <w:r w:rsidR="00E47BEE" w:rsidRPr="00BE345D">
              <w:rPr>
                <w:rFonts w:ascii="Arial" w:hAnsi="Arial" w:cs="Arial"/>
                <w:bCs/>
                <w:sz w:val="22"/>
                <w:szCs w:val="22"/>
              </w:rPr>
              <w:t>.</w:t>
            </w:r>
            <w:r w:rsidR="007672E3" w:rsidRPr="00BE345D">
              <w:rPr>
                <w:rFonts w:ascii="Arial" w:hAnsi="Arial" w:cs="Arial"/>
                <w:bCs/>
                <w:sz w:val="22"/>
                <w:szCs w:val="22"/>
              </w:rPr>
              <w:t>4% demands large investments, as they are located in isolated areas far from the gr</w:t>
            </w:r>
            <w:r w:rsidR="006E5B3A">
              <w:rPr>
                <w:rFonts w:ascii="Arial" w:hAnsi="Arial" w:cs="Arial"/>
                <w:bCs/>
                <w:sz w:val="22"/>
                <w:szCs w:val="22"/>
              </w:rPr>
              <w:t>i</w:t>
            </w:r>
            <w:r w:rsidR="007672E3" w:rsidRPr="00BE345D">
              <w:rPr>
                <w:rFonts w:ascii="Arial" w:hAnsi="Arial" w:cs="Arial"/>
                <w:bCs/>
                <w:sz w:val="22"/>
                <w:szCs w:val="22"/>
              </w:rPr>
              <w:t>d, and access roads.</w:t>
            </w:r>
          </w:p>
          <w:p w:rsidR="00E970C9" w:rsidRPr="00BE345D" w:rsidRDefault="00E970C9" w:rsidP="00E47BEE">
            <w:pPr>
              <w:rPr>
                <w:rFonts w:ascii="Arial" w:hAnsi="Arial" w:cs="Arial"/>
                <w:sz w:val="22"/>
                <w:szCs w:val="22"/>
              </w:rPr>
            </w:pPr>
          </w:p>
          <w:p w:rsidR="00550491" w:rsidRDefault="00CD3F53" w:rsidP="00E47BEE">
            <w:pPr>
              <w:rPr>
                <w:rFonts w:ascii="Arial" w:hAnsi="Arial" w:cs="Arial"/>
                <w:bCs/>
                <w:sz w:val="22"/>
                <w:szCs w:val="22"/>
              </w:rPr>
            </w:pPr>
            <w:r w:rsidRPr="00BE345D">
              <w:rPr>
                <w:rFonts w:ascii="Arial" w:hAnsi="Arial" w:cs="Arial"/>
                <w:sz w:val="22"/>
                <w:szCs w:val="22"/>
              </w:rPr>
              <w:t xml:space="preserve">The </w:t>
            </w:r>
            <w:r w:rsidR="00287D32">
              <w:rPr>
                <w:rFonts w:ascii="Arial" w:hAnsi="Arial" w:cs="Arial"/>
                <w:sz w:val="22"/>
                <w:szCs w:val="22"/>
              </w:rPr>
              <w:t>Program</w:t>
            </w:r>
            <w:r w:rsidR="00E970C9">
              <w:rPr>
                <w:rFonts w:ascii="Arial" w:hAnsi="Arial" w:cs="Arial"/>
                <w:sz w:val="22"/>
                <w:szCs w:val="22"/>
              </w:rPr>
              <w:t xml:space="preserve"> do not act directly in increasing energy access</w:t>
            </w:r>
            <w:r w:rsidR="002D1379">
              <w:rPr>
                <w:rFonts w:ascii="Arial" w:hAnsi="Arial" w:cs="Arial"/>
                <w:sz w:val="22"/>
                <w:szCs w:val="22"/>
              </w:rPr>
              <w:t xml:space="preserve"> at homes</w:t>
            </w:r>
            <w:r w:rsidR="0051360D" w:rsidRPr="00BE345D">
              <w:rPr>
                <w:rFonts w:ascii="Arial" w:hAnsi="Arial" w:cs="Arial"/>
                <w:bCs/>
                <w:sz w:val="22"/>
                <w:szCs w:val="22"/>
              </w:rPr>
              <w:t>.</w:t>
            </w:r>
            <w:r w:rsidR="00E970C9">
              <w:rPr>
                <w:rFonts w:ascii="Arial" w:hAnsi="Arial" w:cs="Arial"/>
                <w:bCs/>
                <w:sz w:val="22"/>
                <w:szCs w:val="22"/>
              </w:rPr>
              <w:t xml:space="preserve"> Nonetheless, </w:t>
            </w:r>
            <w:r w:rsidR="002D1379">
              <w:rPr>
                <w:rFonts w:ascii="Arial" w:hAnsi="Arial" w:cs="Arial"/>
                <w:bCs/>
                <w:sz w:val="22"/>
                <w:szCs w:val="22"/>
              </w:rPr>
              <w:t xml:space="preserve">access to public lighting will be improved and/or increased. There is a relationship between public lighting and better life conditions, including security, productivity, night activities (education and recreation). </w:t>
            </w:r>
          </w:p>
          <w:p w:rsidR="00E970C9" w:rsidRPr="00BE345D" w:rsidRDefault="00E970C9" w:rsidP="00E47BEE">
            <w:pPr>
              <w:rPr>
                <w:rFonts w:ascii="Arial" w:hAnsi="Arial" w:cs="Arial"/>
                <w:sz w:val="22"/>
                <w:szCs w:val="22"/>
              </w:rPr>
            </w:pPr>
          </w:p>
        </w:tc>
      </w:tr>
      <w:tr w:rsidR="001B48E1" w:rsidRPr="00BE345D" w:rsidTr="006E5B3A">
        <w:trPr>
          <w:jc w:val="center"/>
        </w:trPr>
        <w:tc>
          <w:tcPr>
            <w:tcW w:w="2855" w:type="dxa"/>
            <w:shd w:val="clear" w:color="auto" w:fill="auto"/>
          </w:tcPr>
          <w:p w:rsidR="001B48E1" w:rsidRPr="00BE345D" w:rsidRDefault="00594737" w:rsidP="00E47BEE">
            <w:pPr>
              <w:numPr>
                <w:ilvl w:val="0"/>
                <w:numId w:val="5"/>
              </w:numPr>
              <w:ind w:left="339"/>
              <w:rPr>
                <w:rFonts w:ascii="Arial" w:hAnsi="Arial" w:cs="Arial"/>
                <w:sz w:val="22"/>
                <w:szCs w:val="22"/>
              </w:rPr>
            </w:pPr>
            <w:r w:rsidRPr="00BE345D">
              <w:rPr>
                <w:rFonts w:ascii="Arial" w:hAnsi="Arial" w:cs="Arial"/>
                <w:b/>
                <w:bCs/>
                <w:sz w:val="22"/>
                <w:szCs w:val="22"/>
              </w:rPr>
              <w:lastRenderedPageBreak/>
              <w:t>Deliver a reliable, quality Service</w:t>
            </w:r>
          </w:p>
        </w:tc>
        <w:tc>
          <w:tcPr>
            <w:tcW w:w="4432" w:type="dxa"/>
            <w:shd w:val="clear" w:color="auto" w:fill="auto"/>
          </w:tcPr>
          <w:p w:rsidR="00594737" w:rsidRPr="00BE345D" w:rsidRDefault="00820D0E" w:rsidP="00E47BEE">
            <w:pPr>
              <w:pStyle w:val="Default"/>
              <w:rPr>
                <w:rFonts w:ascii="Arial" w:hAnsi="Arial" w:cs="Arial"/>
                <w:sz w:val="22"/>
                <w:szCs w:val="22"/>
              </w:rPr>
            </w:pPr>
            <w:r w:rsidRPr="00BE345D">
              <w:rPr>
                <w:rFonts w:ascii="Arial" w:hAnsi="Arial" w:cs="Arial"/>
                <w:sz w:val="22"/>
                <w:szCs w:val="22"/>
              </w:rPr>
              <w:t>E</w:t>
            </w:r>
            <w:r w:rsidR="00594737" w:rsidRPr="00BE345D">
              <w:rPr>
                <w:rFonts w:ascii="Arial" w:hAnsi="Arial" w:cs="Arial"/>
                <w:sz w:val="22"/>
                <w:szCs w:val="22"/>
              </w:rPr>
              <w:t>nsuring that the service provided to the user meets minimum quality and reliability standards that are viable and consistent with a cost-benefit or cost-efficiency analysis, in keeping with the nature of the service and the supply conditions.</w:t>
            </w:r>
          </w:p>
          <w:p w:rsidR="001B48E1" w:rsidRPr="00BE345D" w:rsidRDefault="001B48E1" w:rsidP="00E47BEE">
            <w:pPr>
              <w:rPr>
                <w:rFonts w:ascii="Arial" w:hAnsi="Arial" w:cs="Arial"/>
                <w:sz w:val="22"/>
                <w:szCs w:val="22"/>
              </w:rPr>
            </w:pPr>
          </w:p>
        </w:tc>
        <w:tc>
          <w:tcPr>
            <w:tcW w:w="4767" w:type="dxa"/>
            <w:gridSpan w:val="2"/>
            <w:shd w:val="clear" w:color="auto" w:fill="auto"/>
          </w:tcPr>
          <w:p w:rsidR="00EE4F48" w:rsidRPr="00BE345D" w:rsidRDefault="0051360D" w:rsidP="00E47BEE">
            <w:pPr>
              <w:rPr>
                <w:rFonts w:ascii="Arial" w:hAnsi="Arial" w:cs="Arial"/>
                <w:color w:val="222222"/>
                <w:sz w:val="22"/>
                <w:szCs w:val="22"/>
              </w:rPr>
            </w:pPr>
            <w:r w:rsidRPr="00BE345D">
              <w:rPr>
                <w:rFonts w:ascii="Arial" w:hAnsi="Arial" w:cs="Arial"/>
                <w:sz w:val="22"/>
                <w:szCs w:val="22"/>
              </w:rPr>
              <w:t xml:space="preserve">The </w:t>
            </w:r>
            <w:r w:rsidR="00DF2D6E" w:rsidRPr="00BE345D">
              <w:rPr>
                <w:rFonts w:ascii="Arial" w:hAnsi="Arial" w:cs="Arial"/>
                <w:sz w:val="22"/>
                <w:szCs w:val="22"/>
              </w:rPr>
              <w:t xml:space="preserve">electric sector </w:t>
            </w:r>
            <w:r w:rsidR="00E13A4B" w:rsidRPr="00BE345D">
              <w:rPr>
                <w:rFonts w:ascii="Arial" w:hAnsi="Arial" w:cs="Arial"/>
                <w:sz w:val="22"/>
                <w:szCs w:val="22"/>
              </w:rPr>
              <w:t xml:space="preserve">in Brazil </w:t>
            </w:r>
            <w:r w:rsidR="00DF2D6E" w:rsidRPr="00BE345D">
              <w:rPr>
                <w:rFonts w:ascii="Arial" w:hAnsi="Arial" w:cs="Arial"/>
                <w:sz w:val="22"/>
                <w:szCs w:val="22"/>
              </w:rPr>
              <w:t xml:space="preserve">is regulated. </w:t>
            </w:r>
            <w:r w:rsidR="00E13A4B" w:rsidRPr="00BE345D">
              <w:rPr>
                <w:rFonts w:ascii="Arial" w:hAnsi="Arial" w:cs="Arial"/>
                <w:color w:val="222222"/>
                <w:sz w:val="22"/>
                <w:szCs w:val="22"/>
              </w:rPr>
              <w:t>Normative Resolution Number</w:t>
            </w:r>
            <w:r w:rsidR="00EE4F48" w:rsidRPr="00BE345D">
              <w:rPr>
                <w:rFonts w:ascii="Arial" w:hAnsi="Arial" w:cs="Arial"/>
                <w:color w:val="222222"/>
                <w:sz w:val="22"/>
                <w:szCs w:val="22"/>
              </w:rPr>
              <w:t xml:space="preserve"> 414 of September 9, 2010 presents the general rules for the supply of electricity. Defines the responsibilities of distributor and also the consumer </w:t>
            </w:r>
            <w:r w:rsidR="00DF2D6E" w:rsidRPr="00BE345D">
              <w:rPr>
                <w:rFonts w:ascii="Arial" w:hAnsi="Arial" w:cs="Arial"/>
                <w:sz w:val="22"/>
                <w:szCs w:val="22"/>
              </w:rPr>
              <w:t xml:space="preserve">The </w:t>
            </w:r>
            <w:r w:rsidRPr="00BE345D">
              <w:rPr>
                <w:rFonts w:ascii="Arial" w:hAnsi="Arial" w:cs="Arial"/>
                <w:sz w:val="22"/>
                <w:szCs w:val="22"/>
              </w:rPr>
              <w:t xml:space="preserve">regulator, </w:t>
            </w:r>
            <w:r w:rsidR="00336FA1" w:rsidRPr="00BE345D">
              <w:rPr>
                <w:rFonts w:ascii="Arial" w:hAnsi="Arial" w:cs="Arial"/>
                <w:i/>
                <w:sz w:val="22"/>
                <w:szCs w:val="22"/>
              </w:rPr>
              <w:t>Agencia Nacional de Energí</w:t>
            </w:r>
            <w:r w:rsidR="00DF2D6E" w:rsidRPr="00BE345D">
              <w:rPr>
                <w:rFonts w:ascii="Arial" w:hAnsi="Arial" w:cs="Arial"/>
                <w:i/>
                <w:sz w:val="22"/>
                <w:szCs w:val="22"/>
              </w:rPr>
              <w:t>a El</w:t>
            </w:r>
            <w:r w:rsidR="00336FA1" w:rsidRPr="00BE345D">
              <w:rPr>
                <w:rFonts w:ascii="Arial" w:hAnsi="Arial" w:cs="Arial"/>
                <w:i/>
                <w:sz w:val="22"/>
                <w:szCs w:val="22"/>
              </w:rPr>
              <w:t>é</w:t>
            </w:r>
            <w:r w:rsidR="00DF2D6E" w:rsidRPr="00BE345D">
              <w:rPr>
                <w:rFonts w:ascii="Arial" w:hAnsi="Arial" w:cs="Arial"/>
                <w:i/>
                <w:sz w:val="22"/>
                <w:szCs w:val="22"/>
              </w:rPr>
              <w:t>ctrica</w:t>
            </w:r>
            <w:r w:rsidR="00DF2D6E" w:rsidRPr="00BE345D">
              <w:rPr>
                <w:rFonts w:ascii="Arial" w:hAnsi="Arial" w:cs="Arial"/>
                <w:sz w:val="22"/>
                <w:szCs w:val="22"/>
              </w:rPr>
              <w:t xml:space="preserve"> (</w:t>
            </w:r>
            <w:r w:rsidRPr="00BE345D">
              <w:rPr>
                <w:rFonts w:ascii="Arial" w:hAnsi="Arial" w:cs="Arial"/>
                <w:sz w:val="22"/>
                <w:szCs w:val="22"/>
              </w:rPr>
              <w:t>ANEEL</w:t>
            </w:r>
            <w:r w:rsidR="00DF2D6E" w:rsidRPr="00BE345D">
              <w:rPr>
                <w:rFonts w:ascii="Arial" w:hAnsi="Arial" w:cs="Arial"/>
                <w:sz w:val="22"/>
                <w:szCs w:val="22"/>
              </w:rPr>
              <w:t>)</w:t>
            </w:r>
            <w:r w:rsidRPr="00BE345D">
              <w:rPr>
                <w:rFonts w:ascii="Arial" w:hAnsi="Arial" w:cs="Arial"/>
                <w:sz w:val="22"/>
                <w:szCs w:val="22"/>
              </w:rPr>
              <w:t>,</w:t>
            </w:r>
            <w:r w:rsidR="007672E3" w:rsidRPr="00BE345D">
              <w:rPr>
                <w:rFonts w:ascii="Arial" w:hAnsi="Arial" w:cs="Arial"/>
                <w:sz w:val="22"/>
                <w:szCs w:val="22"/>
              </w:rPr>
              <w:t xml:space="preserve"> </w:t>
            </w:r>
            <w:r w:rsidR="00EE4F48" w:rsidRPr="00BE345D">
              <w:rPr>
                <w:rFonts w:ascii="Arial" w:hAnsi="Arial" w:cs="Arial"/>
                <w:sz w:val="22"/>
                <w:szCs w:val="22"/>
              </w:rPr>
              <w:t xml:space="preserve">is the </w:t>
            </w:r>
            <w:r w:rsidR="00EE4F48" w:rsidRPr="00BE345D">
              <w:rPr>
                <w:rFonts w:ascii="Arial" w:hAnsi="Arial" w:cs="Arial"/>
                <w:color w:val="222222"/>
                <w:sz w:val="22"/>
                <w:szCs w:val="22"/>
              </w:rPr>
              <w:t>local authority under the Ministry of Mines and Energy, was created to regulate the Brazilian electricity sector,</w:t>
            </w:r>
            <w:r w:rsidR="00C57FF3" w:rsidRPr="00BE345D">
              <w:rPr>
                <w:rFonts w:ascii="Arial" w:hAnsi="Arial" w:cs="Arial"/>
                <w:color w:val="222222"/>
                <w:sz w:val="22"/>
                <w:szCs w:val="22"/>
              </w:rPr>
              <w:t xml:space="preserve"> through Law Number 9,427 / 1996 and Decree Number</w:t>
            </w:r>
            <w:r w:rsidR="00EE4F48" w:rsidRPr="00BE345D">
              <w:rPr>
                <w:rFonts w:ascii="Arial" w:hAnsi="Arial" w:cs="Arial"/>
                <w:color w:val="222222"/>
                <w:sz w:val="22"/>
                <w:szCs w:val="22"/>
              </w:rPr>
              <w:t xml:space="preserve"> 2,335 / 1997. </w:t>
            </w:r>
          </w:p>
          <w:p w:rsidR="002D1379" w:rsidRDefault="00EE4F48" w:rsidP="00E47BEE">
            <w:pPr>
              <w:rPr>
                <w:rFonts w:ascii="Arial" w:hAnsi="Arial" w:cs="Arial"/>
                <w:sz w:val="22"/>
                <w:szCs w:val="22"/>
              </w:rPr>
            </w:pPr>
            <w:r w:rsidRPr="00BE345D">
              <w:rPr>
                <w:rFonts w:ascii="Arial" w:hAnsi="Arial" w:cs="Arial"/>
                <w:color w:val="222222"/>
                <w:sz w:val="22"/>
                <w:szCs w:val="22"/>
              </w:rPr>
              <w:t xml:space="preserve">ANEEL </w:t>
            </w:r>
            <w:r w:rsidR="007672E3" w:rsidRPr="00BE345D">
              <w:rPr>
                <w:rFonts w:ascii="Arial" w:hAnsi="Arial" w:cs="Arial"/>
                <w:sz w:val="22"/>
                <w:szCs w:val="22"/>
              </w:rPr>
              <w:t xml:space="preserve">sets annual targets of technical and financial indicators for each </w:t>
            </w:r>
            <w:r w:rsidR="0051360D" w:rsidRPr="00BE345D">
              <w:rPr>
                <w:rFonts w:ascii="Arial" w:hAnsi="Arial" w:cs="Arial"/>
                <w:sz w:val="22"/>
                <w:szCs w:val="22"/>
              </w:rPr>
              <w:t>of the 64 distribution companies (utilities)</w:t>
            </w:r>
            <w:r w:rsidR="007672E3" w:rsidRPr="00BE345D">
              <w:rPr>
                <w:rFonts w:ascii="Arial" w:hAnsi="Arial" w:cs="Arial"/>
                <w:sz w:val="22"/>
                <w:szCs w:val="22"/>
              </w:rPr>
              <w:t xml:space="preserve">. These parameters include quality </w:t>
            </w:r>
            <w:r w:rsidR="0051360D" w:rsidRPr="00BE345D">
              <w:rPr>
                <w:rFonts w:ascii="Arial" w:hAnsi="Arial" w:cs="Arial"/>
                <w:sz w:val="22"/>
                <w:szCs w:val="22"/>
              </w:rPr>
              <w:t>indicators</w:t>
            </w:r>
            <w:r w:rsidR="007672E3" w:rsidRPr="00BE345D">
              <w:rPr>
                <w:rFonts w:ascii="Arial" w:hAnsi="Arial" w:cs="Arial"/>
                <w:sz w:val="22"/>
                <w:szCs w:val="22"/>
              </w:rPr>
              <w:t xml:space="preserve">, </w:t>
            </w:r>
            <w:r w:rsidR="0051360D" w:rsidRPr="00BE345D">
              <w:rPr>
                <w:rFonts w:ascii="Arial" w:hAnsi="Arial" w:cs="Arial"/>
                <w:sz w:val="22"/>
                <w:szCs w:val="22"/>
              </w:rPr>
              <w:t>such</w:t>
            </w:r>
            <w:r w:rsidR="007672E3" w:rsidRPr="00BE345D">
              <w:rPr>
                <w:rFonts w:ascii="Arial" w:hAnsi="Arial" w:cs="Arial"/>
                <w:sz w:val="22"/>
                <w:szCs w:val="22"/>
              </w:rPr>
              <w:t xml:space="preserve"> as technical losses, </w:t>
            </w:r>
            <w:r w:rsidR="00D84B85" w:rsidRPr="00BE345D">
              <w:rPr>
                <w:rFonts w:ascii="Arial" w:hAnsi="Arial" w:cs="Arial"/>
                <w:sz w:val="22"/>
                <w:szCs w:val="22"/>
              </w:rPr>
              <w:t>reliability</w:t>
            </w:r>
            <w:r w:rsidR="0051360D" w:rsidRPr="00BE345D">
              <w:rPr>
                <w:rFonts w:ascii="Arial" w:hAnsi="Arial" w:cs="Arial"/>
                <w:sz w:val="22"/>
                <w:szCs w:val="22"/>
              </w:rPr>
              <w:t xml:space="preserve"> of service</w:t>
            </w:r>
            <w:r w:rsidR="00D84B85" w:rsidRPr="00BE345D">
              <w:rPr>
                <w:rFonts w:ascii="Arial" w:hAnsi="Arial" w:cs="Arial"/>
                <w:sz w:val="22"/>
                <w:szCs w:val="22"/>
              </w:rPr>
              <w:t>, and financial return.</w:t>
            </w:r>
            <w:r w:rsidR="00DF2D6E" w:rsidRPr="00BE345D">
              <w:rPr>
                <w:rFonts w:ascii="Arial" w:hAnsi="Arial" w:cs="Arial"/>
                <w:sz w:val="22"/>
                <w:szCs w:val="22"/>
              </w:rPr>
              <w:t xml:space="preserve"> </w:t>
            </w:r>
          </w:p>
          <w:p w:rsidR="002D1379" w:rsidRDefault="002D1379" w:rsidP="00E47BEE">
            <w:pPr>
              <w:rPr>
                <w:rFonts w:ascii="Arial" w:hAnsi="Arial" w:cs="Arial"/>
                <w:sz w:val="22"/>
                <w:szCs w:val="22"/>
              </w:rPr>
            </w:pPr>
          </w:p>
          <w:p w:rsidR="000471AC" w:rsidRDefault="00D84B85" w:rsidP="00E47BEE">
            <w:pPr>
              <w:rPr>
                <w:rFonts w:ascii="Arial" w:hAnsi="Arial" w:cs="Arial"/>
                <w:color w:val="222222"/>
                <w:sz w:val="22"/>
                <w:szCs w:val="22"/>
              </w:rPr>
            </w:pPr>
            <w:r w:rsidRPr="00BE345D">
              <w:rPr>
                <w:rFonts w:ascii="Arial" w:hAnsi="Arial" w:cs="Arial"/>
                <w:sz w:val="22"/>
                <w:szCs w:val="22"/>
              </w:rPr>
              <w:t xml:space="preserve">Moreover, </w:t>
            </w:r>
            <w:r w:rsidRPr="00BE345D">
              <w:rPr>
                <w:rFonts w:ascii="Arial" w:hAnsi="Arial" w:cs="Arial"/>
                <w:color w:val="222222"/>
                <w:sz w:val="22"/>
                <w:szCs w:val="22"/>
              </w:rPr>
              <w:t xml:space="preserve">the need for a reliable and quality electrical service comprises promoting the use of renewable sources and more efficient technologies for sustainable power generation, in order to increase the reliability and safety of the electrical system to respond to the natural growth demand and infrastructure requirements. </w:t>
            </w:r>
          </w:p>
          <w:p w:rsidR="000471AC" w:rsidRDefault="000471AC" w:rsidP="00E47BEE">
            <w:pPr>
              <w:rPr>
                <w:rFonts w:ascii="Arial" w:hAnsi="Arial" w:cs="Arial"/>
                <w:color w:val="222222"/>
                <w:sz w:val="22"/>
                <w:szCs w:val="22"/>
              </w:rPr>
            </w:pPr>
          </w:p>
          <w:p w:rsidR="00FC17F8" w:rsidRPr="00BE345D" w:rsidRDefault="00D84B85" w:rsidP="00E47BEE">
            <w:pPr>
              <w:rPr>
                <w:rFonts w:ascii="Arial" w:hAnsi="Arial" w:cs="Arial"/>
                <w:sz w:val="22"/>
                <w:szCs w:val="22"/>
              </w:rPr>
            </w:pPr>
            <w:r w:rsidRPr="00BE345D">
              <w:rPr>
                <w:rFonts w:ascii="Arial" w:hAnsi="Arial" w:cs="Arial"/>
                <w:color w:val="222222"/>
                <w:sz w:val="22"/>
                <w:szCs w:val="22"/>
              </w:rPr>
              <w:t>Th</w:t>
            </w:r>
            <w:r w:rsidR="00BF377F" w:rsidRPr="00BE345D">
              <w:rPr>
                <w:rFonts w:ascii="Arial" w:hAnsi="Arial" w:cs="Arial"/>
                <w:color w:val="222222"/>
                <w:sz w:val="22"/>
                <w:szCs w:val="22"/>
              </w:rPr>
              <w:t xml:space="preserve">e proposed </w:t>
            </w:r>
            <w:r w:rsidR="0051360D" w:rsidRPr="00BE345D">
              <w:rPr>
                <w:rFonts w:ascii="Arial" w:hAnsi="Arial" w:cs="Arial"/>
                <w:color w:val="222222"/>
                <w:sz w:val="22"/>
                <w:szCs w:val="22"/>
              </w:rPr>
              <w:t xml:space="preserve">program will </w:t>
            </w:r>
            <w:r w:rsidR="002D1379">
              <w:rPr>
                <w:rFonts w:ascii="Arial" w:hAnsi="Arial" w:cs="Arial"/>
                <w:color w:val="222222"/>
                <w:sz w:val="22"/>
                <w:szCs w:val="22"/>
              </w:rPr>
              <w:t>help to increase the efficiency of energy use at a municipal level</w:t>
            </w:r>
            <w:r w:rsidRPr="00BE345D">
              <w:rPr>
                <w:rFonts w:ascii="Arial" w:hAnsi="Arial" w:cs="Arial"/>
                <w:color w:val="222222"/>
                <w:sz w:val="22"/>
                <w:szCs w:val="22"/>
              </w:rPr>
              <w:t>.</w:t>
            </w:r>
            <w:r w:rsidR="002D1379">
              <w:rPr>
                <w:rFonts w:ascii="Arial" w:hAnsi="Arial" w:cs="Arial"/>
                <w:color w:val="222222"/>
                <w:sz w:val="22"/>
                <w:szCs w:val="22"/>
              </w:rPr>
              <w:t xml:space="preserve"> All the sub-projects to be implemented will be cost efficient, and will help to improve financial efficiency at a municipal level.   </w:t>
            </w:r>
            <w:r w:rsidRPr="00BE345D">
              <w:rPr>
                <w:rFonts w:ascii="Arial" w:hAnsi="Arial" w:cs="Arial"/>
                <w:color w:val="222222"/>
                <w:sz w:val="22"/>
                <w:szCs w:val="22"/>
              </w:rPr>
              <w:t xml:space="preserve"> </w:t>
            </w:r>
            <w:r w:rsidR="007672E3" w:rsidRPr="00BE345D">
              <w:rPr>
                <w:rFonts w:ascii="Arial" w:hAnsi="Arial" w:cs="Arial"/>
                <w:sz w:val="22"/>
                <w:szCs w:val="22"/>
              </w:rPr>
              <w:t xml:space="preserve">  </w:t>
            </w:r>
          </w:p>
        </w:tc>
      </w:tr>
      <w:tr w:rsidR="001B48E1" w:rsidRPr="00BE345D" w:rsidTr="006E5B3A">
        <w:trPr>
          <w:jc w:val="center"/>
        </w:trPr>
        <w:tc>
          <w:tcPr>
            <w:tcW w:w="2855" w:type="dxa"/>
            <w:shd w:val="clear" w:color="auto" w:fill="auto"/>
          </w:tcPr>
          <w:p w:rsidR="001B48E1" w:rsidRPr="00BE345D" w:rsidRDefault="00594737" w:rsidP="00E47BEE">
            <w:pPr>
              <w:numPr>
                <w:ilvl w:val="0"/>
                <w:numId w:val="5"/>
              </w:numPr>
              <w:ind w:left="339"/>
              <w:rPr>
                <w:rFonts w:ascii="Arial" w:hAnsi="Arial" w:cs="Arial"/>
                <w:b/>
                <w:bCs/>
                <w:sz w:val="22"/>
                <w:szCs w:val="22"/>
              </w:rPr>
            </w:pPr>
            <w:r w:rsidRPr="00BE345D">
              <w:rPr>
                <w:rFonts w:ascii="Arial" w:hAnsi="Arial" w:cs="Arial"/>
                <w:b/>
                <w:bCs/>
                <w:sz w:val="22"/>
                <w:szCs w:val="22"/>
              </w:rPr>
              <w:lastRenderedPageBreak/>
              <w:t xml:space="preserve">Deliver a </w:t>
            </w:r>
            <w:r w:rsidR="00A3271D" w:rsidRPr="00BE345D">
              <w:rPr>
                <w:rFonts w:ascii="Arial" w:hAnsi="Arial" w:cs="Arial"/>
                <w:b/>
                <w:bCs/>
                <w:sz w:val="22"/>
                <w:szCs w:val="22"/>
              </w:rPr>
              <w:t>s</w:t>
            </w:r>
            <w:r w:rsidRPr="00BE345D">
              <w:rPr>
                <w:rFonts w:ascii="Arial" w:hAnsi="Arial" w:cs="Arial"/>
                <w:b/>
                <w:bCs/>
                <w:sz w:val="22"/>
                <w:szCs w:val="22"/>
              </w:rPr>
              <w:t xml:space="preserve">ervice efficiently </w:t>
            </w:r>
          </w:p>
        </w:tc>
        <w:tc>
          <w:tcPr>
            <w:tcW w:w="4432" w:type="dxa"/>
            <w:shd w:val="clear" w:color="auto" w:fill="auto"/>
          </w:tcPr>
          <w:p w:rsidR="001B48E1" w:rsidRPr="00BE345D" w:rsidRDefault="00594737" w:rsidP="00E47BEE">
            <w:pPr>
              <w:rPr>
                <w:rFonts w:ascii="Arial" w:hAnsi="Arial" w:cs="Arial"/>
                <w:sz w:val="22"/>
                <w:szCs w:val="22"/>
              </w:rPr>
            </w:pPr>
            <w:r w:rsidRPr="00BE345D">
              <w:rPr>
                <w:rFonts w:ascii="Arial" w:hAnsi="Arial" w:cs="Arial"/>
                <w:sz w:val="22"/>
                <w:szCs w:val="22"/>
              </w:rPr>
              <w:t>Deliver a service efficiently in terms of supply, while seeking to deliver the</w:t>
            </w:r>
            <w:r w:rsidR="002B64A7" w:rsidRPr="00BE345D">
              <w:rPr>
                <w:rFonts w:ascii="Arial" w:hAnsi="Arial" w:cs="Arial"/>
                <w:sz w:val="22"/>
                <w:szCs w:val="22"/>
              </w:rPr>
              <w:t xml:space="preserve"> s</w:t>
            </w:r>
            <w:r w:rsidRPr="00BE345D">
              <w:rPr>
                <w:rFonts w:ascii="Arial" w:hAnsi="Arial" w:cs="Arial"/>
                <w:sz w:val="22"/>
                <w:szCs w:val="22"/>
              </w:rPr>
              <w:t>ervice at the least possible cost.</w:t>
            </w:r>
          </w:p>
        </w:tc>
        <w:tc>
          <w:tcPr>
            <w:tcW w:w="4767" w:type="dxa"/>
            <w:gridSpan w:val="2"/>
            <w:shd w:val="clear" w:color="auto" w:fill="auto"/>
          </w:tcPr>
          <w:p w:rsidR="00D84B85" w:rsidRDefault="00A10E07" w:rsidP="00E47BEE">
            <w:pPr>
              <w:rPr>
                <w:rFonts w:ascii="Arial" w:hAnsi="Arial" w:cs="Arial"/>
                <w:sz w:val="22"/>
                <w:szCs w:val="22"/>
              </w:rPr>
            </w:pPr>
            <w:r w:rsidRPr="00A10E07">
              <w:rPr>
                <w:rFonts w:ascii="Arial" w:hAnsi="Arial" w:cs="Arial"/>
                <w:b/>
                <w:sz w:val="22"/>
                <w:szCs w:val="22"/>
              </w:rPr>
              <w:t>Regarding electricity tariffs.</w:t>
            </w:r>
            <w:r>
              <w:rPr>
                <w:rFonts w:ascii="Arial" w:hAnsi="Arial" w:cs="Arial"/>
                <w:sz w:val="22"/>
                <w:szCs w:val="22"/>
              </w:rPr>
              <w:t xml:space="preserve"> </w:t>
            </w:r>
            <w:r w:rsidR="00D84B85" w:rsidRPr="00BE345D">
              <w:rPr>
                <w:rFonts w:ascii="Arial" w:hAnsi="Arial" w:cs="Arial"/>
                <w:sz w:val="22"/>
                <w:szCs w:val="22"/>
              </w:rPr>
              <w:t>Generation projects in Bra</w:t>
            </w:r>
            <w:r w:rsidR="00BF377F" w:rsidRPr="00BE345D">
              <w:rPr>
                <w:rFonts w:ascii="Arial" w:hAnsi="Arial" w:cs="Arial"/>
                <w:sz w:val="22"/>
                <w:szCs w:val="22"/>
              </w:rPr>
              <w:t>z</w:t>
            </w:r>
            <w:r w:rsidR="00D84B85" w:rsidRPr="00BE345D">
              <w:rPr>
                <w:rFonts w:ascii="Arial" w:hAnsi="Arial" w:cs="Arial"/>
                <w:sz w:val="22"/>
                <w:szCs w:val="22"/>
              </w:rPr>
              <w:t xml:space="preserve">il are awarded in </w:t>
            </w:r>
            <w:r w:rsidR="00F429F9">
              <w:rPr>
                <w:rFonts w:ascii="Arial" w:hAnsi="Arial" w:cs="Arial"/>
                <w:sz w:val="22"/>
                <w:szCs w:val="22"/>
              </w:rPr>
              <w:t xml:space="preserve">competitive </w:t>
            </w:r>
            <w:r w:rsidR="00D84B85" w:rsidRPr="00BE345D">
              <w:rPr>
                <w:rFonts w:ascii="Arial" w:hAnsi="Arial" w:cs="Arial"/>
                <w:sz w:val="22"/>
                <w:szCs w:val="22"/>
              </w:rPr>
              <w:t xml:space="preserve">annual bidding process, where the regulator aims to guarantee the supply for </w:t>
            </w:r>
            <w:r w:rsidR="00F429F9">
              <w:rPr>
                <w:rFonts w:ascii="Arial" w:hAnsi="Arial" w:cs="Arial"/>
                <w:sz w:val="22"/>
                <w:szCs w:val="22"/>
              </w:rPr>
              <w:t>the</w:t>
            </w:r>
            <w:r w:rsidR="00D84B85" w:rsidRPr="00BE345D">
              <w:rPr>
                <w:rFonts w:ascii="Arial" w:hAnsi="Arial" w:cs="Arial"/>
                <w:sz w:val="22"/>
                <w:szCs w:val="22"/>
              </w:rPr>
              <w:t xml:space="preserve"> projected demand. Projects are awarded based on offered price, and as such, a least cost expansion of generation is guaranteed.</w:t>
            </w:r>
            <w:r>
              <w:rPr>
                <w:rFonts w:ascii="Arial" w:hAnsi="Arial" w:cs="Arial"/>
                <w:sz w:val="22"/>
                <w:szCs w:val="22"/>
              </w:rPr>
              <w:t xml:space="preserve"> </w:t>
            </w:r>
            <w:r w:rsidR="00C57FF3" w:rsidRPr="00BE345D">
              <w:rPr>
                <w:rFonts w:ascii="Arial" w:hAnsi="Arial" w:cs="Arial"/>
                <w:sz w:val="22"/>
                <w:szCs w:val="22"/>
              </w:rPr>
              <w:t>C</w:t>
            </w:r>
            <w:r w:rsidR="0051360D" w:rsidRPr="00BE345D">
              <w:rPr>
                <w:rFonts w:ascii="Arial" w:hAnsi="Arial" w:cs="Arial"/>
                <w:sz w:val="22"/>
                <w:szCs w:val="22"/>
              </w:rPr>
              <w:t>oncessions</w:t>
            </w:r>
            <w:r w:rsidR="00C57FF3" w:rsidRPr="00BE345D">
              <w:rPr>
                <w:rFonts w:ascii="Arial" w:hAnsi="Arial" w:cs="Arial"/>
                <w:sz w:val="22"/>
                <w:szCs w:val="22"/>
              </w:rPr>
              <w:t xml:space="preserve"> of electricity transmission</w:t>
            </w:r>
            <w:r w:rsidR="0051360D" w:rsidRPr="00BE345D">
              <w:rPr>
                <w:rFonts w:ascii="Arial" w:hAnsi="Arial" w:cs="Arial"/>
                <w:sz w:val="22"/>
                <w:szCs w:val="22"/>
              </w:rPr>
              <w:t xml:space="preserve"> </w:t>
            </w:r>
            <w:r w:rsidR="00C57FF3" w:rsidRPr="00BE345D">
              <w:rPr>
                <w:rFonts w:ascii="Arial" w:hAnsi="Arial" w:cs="Arial"/>
                <w:sz w:val="22"/>
                <w:szCs w:val="22"/>
              </w:rPr>
              <w:t xml:space="preserve">are </w:t>
            </w:r>
            <w:r w:rsidR="00D84B85" w:rsidRPr="00BE345D">
              <w:rPr>
                <w:rFonts w:ascii="Arial" w:hAnsi="Arial" w:cs="Arial"/>
                <w:sz w:val="22"/>
                <w:szCs w:val="22"/>
              </w:rPr>
              <w:t xml:space="preserve">also awarded by </w:t>
            </w:r>
            <w:r w:rsidR="00654A3D">
              <w:rPr>
                <w:rFonts w:ascii="Arial" w:hAnsi="Arial" w:cs="Arial"/>
                <w:sz w:val="22"/>
                <w:szCs w:val="22"/>
              </w:rPr>
              <w:t xml:space="preserve">competitive </w:t>
            </w:r>
            <w:r w:rsidR="00D84B85" w:rsidRPr="00BE345D">
              <w:rPr>
                <w:rFonts w:ascii="Arial" w:hAnsi="Arial" w:cs="Arial"/>
                <w:sz w:val="22"/>
                <w:szCs w:val="22"/>
              </w:rPr>
              <w:t xml:space="preserve">bidding processes, in which the winner </w:t>
            </w:r>
            <w:r w:rsidR="00336FA1" w:rsidRPr="00BE345D">
              <w:rPr>
                <w:rFonts w:ascii="Arial" w:hAnsi="Arial" w:cs="Arial"/>
                <w:sz w:val="22"/>
                <w:szCs w:val="22"/>
              </w:rPr>
              <w:t>developer guarantees</w:t>
            </w:r>
            <w:r w:rsidR="00D84B85" w:rsidRPr="00BE345D">
              <w:rPr>
                <w:rFonts w:ascii="Arial" w:hAnsi="Arial" w:cs="Arial"/>
                <w:sz w:val="22"/>
                <w:szCs w:val="22"/>
              </w:rPr>
              <w:t xml:space="preserve"> a set return on </w:t>
            </w:r>
            <w:r w:rsidR="0051360D" w:rsidRPr="00BE345D">
              <w:rPr>
                <w:rFonts w:ascii="Arial" w:hAnsi="Arial" w:cs="Arial"/>
                <w:sz w:val="22"/>
                <w:szCs w:val="22"/>
              </w:rPr>
              <w:t>investments</w:t>
            </w:r>
            <w:r w:rsidR="00D84B85" w:rsidRPr="00BE345D">
              <w:rPr>
                <w:rFonts w:ascii="Arial" w:hAnsi="Arial" w:cs="Arial"/>
                <w:sz w:val="22"/>
                <w:szCs w:val="22"/>
              </w:rPr>
              <w:t>.</w:t>
            </w:r>
            <w:r>
              <w:rPr>
                <w:rFonts w:ascii="Arial" w:hAnsi="Arial" w:cs="Arial"/>
                <w:sz w:val="22"/>
                <w:szCs w:val="22"/>
              </w:rPr>
              <w:t xml:space="preserve"> </w:t>
            </w:r>
            <w:r w:rsidR="00D84B85" w:rsidRPr="00BE345D">
              <w:rPr>
                <w:rFonts w:ascii="Arial" w:hAnsi="Arial" w:cs="Arial"/>
                <w:sz w:val="22"/>
                <w:szCs w:val="22"/>
              </w:rPr>
              <w:t xml:space="preserve">Distribution </w:t>
            </w:r>
            <w:r w:rsidR="0051360D" w:rsidRPr="00BE345D">
              <w:rPr>
                <w:rFonts w:ascii="Arial" w:hAnsi="Arial" w:cs="Arial"/>
                <w:sz w:val="22"/>
                <w:szCs w:val="22"/>
              </w:rPr>
              <w:t>concessions</w:t>
            </w:r>
            <w:r w:rsidR="00D84B85" w:rsidRPr="00BE345D">
              <w:rPr>
                <w:rFonts w:ascii="Arial" w:hAnsi="Arial" w:cs="Arial"/>
                <w:sz w:val="22"/>
                <w:szCs w:val="22"/>
              </w:rPr>
              <w:t xml:space="preserve"> have </w:t>
            </w:r>
            <w:r w:rsidR="0051360D" w:rsidRPr="00BE345D">
              <w:rPr>
                <w:rFonts w:ascii="Arial" w:hAnsi="Arial" w:cs="Arial"/>
                <w:sz w:val="22"/>
                <w:szCs w:val="22"/>
              </w:rPr>
              <w:t>regulated tariffs</w:t>
            </w:r>
            <w:r w:rsidR="00D84B85" w:rsidRPr="00BE345D">
              <w:rPr>
                <w:rFonts w:ascii="Arial" w:hAnsi="Arial" w:cs="Arial"/>
                <w:sz w:val="22"/>
                <w:szCs w:val="22"/>
              </w:rPr>
              <w:t xml:space="preserve">, with incentives for technical quality. </w:t>
            </w:r>
            <w:r w:rsidR="0051360D" w:rsidRPr="00BE345D">
              <w:rPr>
                <w:rFonts w:ascii="Arial" w:hAnsi="Arial" w:cs="Arial"/>
                <w:sz w:val="22"/>
                <w:szCs w:val="22"/>
              </w:rPr>
              <w:t>Electricity rates</w:t>
            </w:r>
            <w:r w:rsidR="00D84B85" w:rsidRPr="00BE345D">
              <w:rPr>
                <w:rFonts w:ascii="Arial" w:hAnsi="Arial" w:cs="Arial"/>
                <w:sz w:val="22"/>
                <w:szCs w:val="22"/>
              </w:rPr>
              <w:t xml:space="preserve"> are designed to reflect the costs of the distribution service.</w:t>
            </w:r>
          </w:p>
          <w:p w:rsidR="00303CB0" w:rsidRDefault="00303CB0" w:rsidP="00E47BEE">
            <w:pPr>
              <w:rPr>
                <w:rFonts w:ascii="Arial" w:hAnsi="Arial" w:cs="Arial"/>
                <w:sz w:val="22"/>
                <w:szCs w:val="22"/>
              </w:rPr>
            </w:pPr>
          </w:p>
          <w:p w:rsidR="00303CB0" w:rsidRDefault="00303CB0" w:rsidP="00E47BEE">
            <w:pPr>
              <w:rPr>
                <w:rFonts w:ascii="Arial" w:hAnsi="Arial" w:cs="Arial"/>
                <w:sz w:val="22"/>
                <w:szCs w:val="22"/>
              </w:rPr>
            </w:pPr>
          </w:p>
          <w:p w:rsidR="00A10E07" w:rsidRPr="0086139D" w:rsidRDefault="00A10E07" w:rsidP="00A10E07">
            <w:pPr>
              <w:rPr>
                <w:rFonts w:ascii="Arial" w:hAnsi="Arial" w:cs="Arial"/>
                <w:sz w:val="22"/>
                <w:szCs w:val="22"/>
              </w:rPr>
            </w:pPr>
            <w:r w:rsidRPr="00A10E07">
              <w:rPr>
                <w:rFonts w:ascii="Arial" w:hAnsi="Arial" w:cs="Arial"/>
                <w:b/>
                <w:sz w:val="22"/>
                <w:szCs w:val="22"/>
              </w:rPr>
              <w:t>Regarding public lighting.</w:t>
            </w:r>
            <w:r>
              <w:rPr>
                <w:rFonts w:ascii="Arial" w:hAnsi="Arial" w:cs="Arial"/>
                <w:sz w:val="22"/>
                <w:szCs w:val="22"/>
              </w:rPr>
              <w:t xml:space="preserve"> </w:t>
            </w:r>
            <w:r w:rsidRPr="00A10E07">
              <w:rPr>
                <w:rFonts w:ascii="Arial" w:hAnsi="Arial" w:cs="Arial"/>
                <w:sz w:val="22"/>
                <w:szCs w:val="22"/>
              </w:rPr>
              <w:t xml:space="preserve">In 2013, ANEEL determined that at the end of 2014 all public lighting sources that previously were </w:t>
            </w:r>
            <w:r>
              <w:rPr>
                <w:rFonts w:ascii="Arial" w:hAnsi="Arial" w:cs="Arial"/>
                <w:sz w:val="22"/>
                <w:szCs w:val="22"/>
              </w:rPr>
              <w:t xml:space="preserve">responsibility of the distribution companies </w:t>
            </w:r>
            <w:r w:rsidRPr="00A10E07">
              <w:rPr>
                <w:rFonts w:ascii="Arial" w:hAnsi="Arial" w:cs="Arial"/>
                <w:sz w:val="22"/>
                <w:szCs w:val="22"/>
              </w:rPr>
              <w:t>will be transferred to the municipalities.</w:t>
            </w:r>
            <w:r>
              <w:rPr>
                <w:rFonts w:ascii="Arial" w:hAnsi="Arial" w:cs="Arial"/>
                <w:sz w:val="22"/>
                <w:szCs w:val="22"/>
              </w:rPr>
              <w:t xml:space="preserve"> </w:t>
            </w:r>
          </w:p>
          <w:p w:rsidR="00303CB0" w:rsidRPr="00303CB0" w:rsidRDefault="00A10E07" w:rsidP="00303CB0">
            <w:pPr>
              <w:pStyle w:val="Pr-formataoHTML"/>
              <w:shd w:val="clear" w:color="auto" w:fill="FFFFFF"/>
              <w:rPr>
                <w:rFonts w:ascii="Arial" w:hAnsi="Arial" w:cs="Arial"/>
                <w:sz w:val="22"/>
                <w:szCs w:val="22"/>
              </w:rPr>
            </w:pPr>
            <w:r w:rsidRPr="00A10E07">
              <w:rPr>
                <w:rFonts w:ascii="Arial" w:hAnsi="Arial" w:cs="Arial"/>
                <w:sz w:val="22"/>
                <w:szCs w:val="22"/>
              </w:rPr>
              <w:t xml:space="preserve">According to the legislation, all public lighting services must be </w:t>
            </w:r>
            <w:r>
              <w:rPr>
                <w:rFonts w:ascii="Arial" w:hAnsi="Arial" w:cs="Arial"/>
                <w:sz w:val="22"/>
                <w:szCs w:val="22"/>
              </w:rPr>
              <w:t>provided directly by municipalities</w:t>
            </w:r>
            <w:r w:rsidRPr="00A10E07">
              <w:rPr>
                <w:rFonts w:ascii="Arial" w:hAnsi="Arial" w:cs="Arial"/>
                <w:sz w:val="22"/>
                <w:szCs w:val="22"/>
              </w:rPr>
              <w:t xml:space="preserve"> or by means of </w:t>
            </w:r>
            <w:r>
              <w:rPr>
                <w:rFonts w:ascii="Arial" w:hAnsi="Arial" w:cs="Arial"/>
                <w:sz w:val="22"/>
                <w:szCs w:val="22"/>
              </w:rPr>
              <w:t>private concessions</w:t>
            </w:r>
            <w:r w:rsidRPr="00A10E07">
              <w:rPr>
                <w:rFonts w:ascii="Arial" w:hAnsi="Arial" w:cs="Arial"/>
                <w:sz w:val="22"/>
                <w:szCs w:val="22"/>
              </w:rPr>
              <w:t xml:space="preserve">. </w:t>
            </w:r>
            <w:r w:rsidR="00303CB0" w:rsidRPr="00303CB0">
              <w:rPr>
                <w:rFonts w:ascii="Arial" w:hAnsi="Arial" w:cs="Arial"/>
                <w:sz w:val="22"/>
                <w:szCs w:val="22"/>
              </w:rPr>
              <w:t>According to article 149-A of the Federal Constitution, modified in 2002, municipalities have the right to create</w:t>
            </w:r>
            <w:r w:rsidR="0086139D">
              <w:rPr>
                <w:rFonts w:ascii="Arial" w:hAnsi="Arial" w:cs="Arial"/>
                <w:sz w:val="22"/>
                <w:szCs w:val="22"/>
              </w:rPr>
              <w:t>,</w:t>
            </w:r>
            <w:r w:rsidR="00303CB0" w:rsidRPr="00303CB0">
              <w:rPr>
                <w:rFonts w:ascii="Arial" w:hAnsi="Arial" w:cs="Arial"/>
                <w:sz w:val="22"/>
                <w:szCs w:val="22"/>
              </w:rPr>
              <w:t xml:space="preserve"> by local law</w:t>
            </w:r>
            <w:r w:rsidR="0086139D">
              <w:rPr>
                <w:rFonts w:ascii="Arial" w:hAnsi="Arial" w:cs="Arial"/>
                <w:sz w:val="22"/>
                <w:szCs w:val="22"/>
              </w:rPr>
              <w:t>,</w:t>
            </w:r>
            <w:r w:rsidR="00303CB0" w:rsidRPr="00303CB0">
              <w:rPr>
                <w:rFonts w:ascii="Arial" w:hAnsi="Arial" w:cs="Arial"/>
                <w:sz w:val="22"/>
                <w:szCs w:val="22"/>
              </w:rPr>
              <w:t xml:space="preserve"> a tax called Contribution for the Custodian of the Public Lighting Service, COSIP (Contribution to Public Lighting Services) with the exclusive purpose of financing public </w:t>
            </w:r>
            <w:r w:rsidR="00303CB0" w:rsidRPr="00303CB0">
              <w:rPr>
                <w:rFonts w:ascii="Arial" w:hAnsi="Arial" w:cs="Arial"/>
                <w:sz w:val="22"/>
                <w:szCs w:val="22"/>
              </w:rPr>
              <w:lastRenderedPageBreak/>
              <w:t>lighting services. The municipalities have the right to adopt a local law to allow the collection of the COSIP and the cash flows necessary for the payment of the investment in the new infrastructure</w:t>
            </w:r>
            <w:r w:rsidR="00654A3D">
              <w:rPr>
                <w:rFonts w:ascii="Arial" w:hAnsi="Arial" w:cs="Arial"/>
                <w:sz w:val="22"/>
                <w:szCs w:val="22"/>
              </w:rPr>
              <w:t xml:space="preserve">. Moreover, given these structure, municipalities have the incentive of making the public lighting service as efficient as possible. </w:t>
            </w:r>
          </w:p>
          <w:p w:rsidR="00303CB0" w:rsidRDefault="00303CB0" w:rsidP="00A10E07">
            <w:pPr>
              <w:rPr>
                <w:rFonts w:ascii="Arial" w:hAnsi="Arial" w:cs="Arial"/>
                <w:sz w:val="22"/>
                <w:szCs w:val="22"/>
              </w:rPr>
            </w:pPr>
          </w:p>
          <w:p w:rsidR="003C5CC7" w:rsidRPr="003C5CC7" w:rsidRDefault="003C5CC7" w:rsidP="00A10E07">
            <w:pPr>
              <w:rPr>
                <w:rFonts w:ascii="Arial" w:hAnsi="Arial" w:cs="Arial"/>
                <w:b/>
                <w:sz w:val="22"/>
                <w:szCs w:val="22"/>
              </w:rPr>
            </w:pPr>
            <w:r w:rsidRPr="003C5CC7">
              <w:rPr>
                <w:rFonts w:ascii="Arial" w:hAnsi="Arial" w:cs="Arial"/>
                <w:b/>
                <w:sz w:val="22"/>
                <w:szCs w:val="22"/>
              </w:rPr>
              <w:t xml:space="preserve">The program. </w:t>
            </w:r>
            <w:r w:rsidRPr="003C5CC7">
              <w:rPr>
                <w:rFonts w:ascii="Arial" w:hAnsi="Arial" w:cs="Arial"/>
                <w:sz w:val="22"/>
                <w:szCs w:val="22"/>
              </w:rPr>
              <w:t xml:space="preserve">The program </w:t>
            </w:r>
            <w:r>
              <w:rPr>
                <w:rFonts w:ascii="Arial" w:hAnsi="Arial" w:cs="Arial"/>
                <w:sz w:val="22"/>
                <w:szCs w:val="22"/>
              </w:rPr>
              <w:t>(</w:t>
            </w:r>
            <w:r w:rsidRPr="003C5CC7">
              <w:rPr>
                <w:rFonts w:ascii="Arial" w:hAnsi="Arial" w:cs="Arial"/>
                <w:sz w:val="22"/>
                <w:szCs w:val="22"/>
              </w:rPr>
              <w:t>BR-L1503</w:t>
            </w:r>
            <w:r>
              <w:rPr>
                <w:rFonts w:ascii="Arial" w:hAnsi="Arial" w:cs="Arial"/>
                <w:sz w:val="22"/>
                <w:szCs w:val="22"/>
              </w:rPr>
              <w:t>)</w:t>
            </w:r>
            <w:r w:rsidRPr="003C5CC7">
              <w:rPr>
                <w:rFonts w:ascii="Arial" w:hAnsi="Arial" w:cs="Arial"/>
                <w:sz w:val="22"/>
                <w:szCs w:val="22"/>
              </w:rPr>
              <w:t xml:space="preserve"> will support the improvement of public lighting services</w:t>
            </w:r>
            <w:r>
              <w:rPr>
                <w:rFonts w:ascii="Arial" w:hAnsi="Arial" w:cs="Arial"/>
                <w:sz w:val="22"/>
                <w:szCs w:val="22"/>
              </w:rPr>
              <w:t>, increasing its efficiency</w:t>
            </w:r>
            <w:r w:rsidR="00AC460D">
              <w:rPr>
                <w:rFonts w:ascii="Arial" w:hAnsi="Arial" w:cs="Arial"/>
                <w:sz w:val="22"/>
                <w:szCs w:val="22"/>
              </w:rPr>
              <w:t>, and hence supporting a more cost effective service</w:t>
            </w:r>
            <w:r w:rsidRPr="003C5CC7">
              <w:rPr>
                <w:rFonts w:ascii="Arial" w:hAnsi="Arial" w:cs="Arial"/>
                <w:sz w:val="22"/>
                <w:szCs w:val="22"/>
              </w:rPr>
              <w:t>.</w:t>
            </w:r>
            <w:r>
              <w:rPr>
                <w:rFonts w:ascii="Arial" w:hAnsi="Arial" w:cs="Arial"/>
                <w:b/>
                <w:sz w:val="22"/>
                <w:szCs w:val="22"/>
              </w:rPr>
              <w:t xml:space="preserve">  </w:t>
            </w:r>
          </w:p>
          <w:p w:rsidR="00303CB0" w:rsidRPr="00BE345D" w:rsidRDefault="00303CB0" w:rsidP="00E47BEE">
            <w:pPr>
              <w:rPr>
                <w:rFonts w:ascii="Arial" w:hAnsi="Arial" w:cs="Arial"/>
                <w:sz w:val="22"/>
                <w:szCs w:val="22"/>
              </w:rPr>
            </w:pPr>
          </w:p>
        </w:tc>
      </w:tr>
      <w:tr w:rsidR="001B48E1" w:rsidRPr="00BE345D" w:rsidTr="006E5B3A">
        <w:trPr>
          <w:jc w:val="center"/>
        </w:trPr>
        <w:tc>
          <w:tcPr>
            <w:tcW w:w="2855" w:type="dxa"/>
            <w:tcBorders>
              <w:bottom w:val="single" w:sz="4" w:space="0" w:color="auto"/>
            </w:tcBorders>
            <w:shd w:val="clear" w:color="auto" w:fill="auto"/>
          </w:tcPr>
          <w:p w:rsidR="001B48E1" w:rsidRPr="00BE345D" w:rsidRDefault="00A3271D" w:rsidP="00E47BEE">
            <w:pPr>
              <w:numPr>
                <w:ilvl w:val="0"/>
                <w:numId w:val="5"/>
              </w:numPr>
              <w:ind w:left="339"/>
              <w:rPr>
                <w:rFonts w:ascii="Arial" w:hAnsi="Arial" w:cs="Arial"/>
                <w:b/>
                <w:bCs/>
                <w:sz w:val="22"/>
                <w:szCs w:val="22"/>
              </w:rPr>
            </w:pPr>
            <w:r w:rsidRPr="00BE345D">
              <w:rPr>
                <w:rFonts w:ascii="Arial" w:hAnsi="Arial" w:cs="Arial"/>
                <w:b/>
                <w:bCs/>
                <w:sz w:val="22"/>
                <w:szCs w:val="22"/>
              </w:rPr>
              <w:lastRenderedPageBreak/>
              <w:t xml:space="preserve">Create suitable incentives for service </w:t>
            </w:r>
            <w:r w:rsidR="00E43FB0" w:rsidRPr="00BE345D">
              <w:rPr>
                <w:rFonts w:ascii="Arial" w:hAnsi="Arial" w:cs="Arial"/>
                <w:b/>
                <w:bCs/>
                <w:sz w:val="22"/>
                <w:szCs w:val="22"/>
              </w:rPr>
              <w:t xml:space="preserve"> demand</w:t>
            </w:r>
          </w:p>
        </w:tc>
        <w:tc>
          <w:tcPr>
            <w:tcW w:w="4432" w:type="dxa"/>
            <w:tcBorders>
              <w:bottom w:val="single" w:sz="4" w:space="0" w:color="auto"/>
            </w:tcBorders>
            <w:shd w:val="clear" w:color="auto" w:fill="auto"/>
          </w:tcPr>
          <w:p w:rsidR="00A3271D" w:rsidRPr="00BE345D" w:rsidRDefault="00A3271D" w:rsidP="00E47BEE">
            <w:pPr>
              <w:rPr>
                <w:rFonts w:ascii="Arial" w:hAnsi="Arial" w:cs="Arial"/>
                <w:sz w:val="22"/>
                <w:szCs w:val="22"/>
              </w:rPr>
            </w:pPr>
            <w:r w:rsidRPr="00BE345D">
              <w:rPr>
                <w:rFonts w:ascii="Arial" w:hAnsi="Arial" w:cs="Arial"/>
                <w:sz w:val="22"/>
                <w:szCs w:val="22"/>
              </w:rPr>
              <w:t xml:space="preserve">Create suitable incentives for service demand, so users make use of the services in a manner consistent with their economic, financial, and environmental sustainability </w:t>
            </w:r>
          </w:p>
        </w:tc>
        <w:tc>
          <w:tcPr>
            <w:tcW w:w="4767" w:type="dxa"/>
            <w:gridSpan w:val="2"/>
            <w:tcBorders>
              <w:bottom w:val="single" w:sz="4" w:space="0" w:color="auto"/>
            </w:tcBorders>
            <w:shd w:val="clear" w:color="auto" w:fill="auto"/>
          </w:tcPr>
          <w:p w:rsidR="00BF377F" w:rsidRPr="00BE345D" w:rsidRDefault="008014CC" w:rsidP="00E47BEE">
            <w:pPr>
              <w:rPr>
                <w:rFonts w:ascii="Arial" w:hAnsi="Arial" w:cs="Arial"/>
                <w:sz w:val="22"/>
                <w:szCs w:val="22"/>
              </w:rPr>
            </w:pPr>
            <w:r w:rsidRPr="00BE345D">
              <w:rPr>
                <w:rFonts w:ascii="Arial" w:hAnsi="Arial" w:cs="Arial"/>
                <w:sz w:val="22"/>
                <w:szCs w:val="22"/>
              </w:rPr>
              <w:t>Law 10.848</w:t>
            </w:r>
            <w:r w:rsidR="00C57FF3" w:rsidRPr="00BE345D">
              <w:rPr>
                <w:rFonts w:ascii="Arial" w:hAnsi="Arial" w:cs="Arial"/>
                <w:sz w:val="22"/>
                <w:szCs w:val="22"/>
              </w:rPr>
              <w:t xml:space="preserve"> </w:t>
            </w:r>
            <w:r w:rsidR="00BF377F" w:rsidRPr="00BE345D">
              <w:rPr>
                <w:rFonts w:ascii="Arial" w:hAnsi="Arial" w:cs="Arial"/>
                <w:sz w:val="22"/>
                <w:szCs w:val="22"/>
              </w:rPr>
              <w:t>of M</w:t>
            </w:r>
            <w:r w:rsidRPr="00BE345D">
              <w:rPr>
                <w:rFonts w:ascii="Arial" w:hAnsi="Arial" w:cs="Arial"/>
                <w:sz w:val="22"/>
                <w:szCs w:val="22"/>
              </w:rPr>
              <w:t>arch 15 2004 establishes that electricity supply should guarantee/ensure the proper balance between supply reliability and reasonableness of rates and prices.</w:t>
            </w:r>
            <w:r w:rsidR="00BF377F" w:rsidRPr="00BE345D">
              <w:rPr>
                <w:rFonts w:ascii="Arial" w:hAnsi="Arial" w:cs="Arial"/>
                <w:sz w:val="22"/>
                <w:szCs w:val="22"/>
              </w:rPr>
              <w:t xml:space="preserve"> </w:t>
            </w:r>
            <w:r w:rsidR="0051360D" w:rsidRPr="00BE345D">
              <w:rPr>
                <w:rFonts w:ascii="Arial" w:hAnsi="Arial" w:cs="Arial"/>
                <w:sz w:val="22"/>
                <w:szCs w:val="22"/>
              </w:rPr>
              <w:t>All the electricity projects are based on competitive bids that guarantee the lowest cost.</w:t>
            </w:r>
          </w:p>
        </w:tc>
      </w:tr>
      <w:tr w:rsidR="006C5C09" w:rsidRPr="00BE345D" w:rsidTr="006E5B3A">
        <w:trPr>
          <w:trHeight w:val="287"/>
          <w:jc w:val="center"/>
        </w:trPr>
        <w:tc>
          <w:tcPr>
            <w:tcW w:w="12054" w:type="dxa"/>
            <w:gridSpan w:val="4"/>
            <w:tcBorders>
              <w:bottom w:val="single" w:sz="4" w:space="0" w:color="auto"/>
            </w:tcBorders>
            <w:shd w:val="clear" w:color="auto" w:fill="C0C0C0"/>
          </w:tcPr>
          <w:p w:rsidR="006C5C09" w:rsidRPr="006E5B3A" w:rsidRDefault="00E8570D" w:rsidP="001E5F9D">
            <w:pPr>
              <w:jc w:val="both"/>
              <w:rPr>
                <w:rFonts w:ascii="Arial" w:hAnsi="Arial" w:cs="Arial"/>
                <w:b/>
                <w:sz w:val="22"/>
                <w:szCs w:val="22"/>
              </w:rPr>
            </w:pPr>
            <w:r w:rsidRPr="006E5B3A">
              <w:rPr>
                <w:rFonts w:ascii="Arial" w:hAnsi="Arial" w:cs="Arial"/>
                <w:b/>
                <w:sz w:val="22"/>
                <w:szCs w:val="22"/>
              </w:rPr>
              <w:t xml:space="preserve">2.3  </w:t>
            </w:r>
            <w:r w:rsidR="00A3271D" w:rsidRPr="006E5B3A">
              <w:rPr>
                <w:rFonts w:ascii="Arial" w:hAnsi="Arial" w:cs="Arial"/>
                <w:b/>
                <w:sz w:val="22"/>
                <w:szCs w:val="22"/>
              </w:rPr>
              <w:t>The scope</w:t>
            </w:r>
            <w:r w:rsidR="001E5F9D" w:rsidRPr="006E5B3A">
              <w:rPr>
                <w:rFonts w:ascii="Arial" w:hAnsi="Arial" w:cs="Arial"/>
                <w:b/>
                <w:sz w:val="22"/>
                <w:szCs w:val="22"/>
              </w:rPr>
              <w:t xml:space="preserve"> </w:t>
            </w:r>
            <w:r w:rsidR="00A13230" w:rsidRPr="006E5B3A">
              <w:rPr>
                <w:rFonts w:ascii="Arial" w:hAnsi="Arial" w:cs="Arial"/>
                <w:b/>
                <w:sz w:val="22"/>
                <w:szCs w:val="22"/>
              </w:rPr>
              <w:t>of the sustainability of the public utilities will be promoted based on three pillars:</w:t>
            </w:r>
            <w:r w:rsidR="00A3271D" w:rsidRPr="006E5B3A">
              <w:rPr>
                <w:rFonts w:ascii="Arial" w:hAnsi="Arial" w:cs="Arial"/>
                <w:b/>
                <w:sz w:val="22"/>
                <w:szCs w:val="22"/>
              </w:rPr>
              <w:t xml:space="preserve"> </w:t>
            </w:r>
          </w:p>
        </w:tc>
      </w:tr>
      <w:tr w:rsidR="00315055" w:rsidRPr="00BE345D" w:rsidTr="006E5B3A">
        <w:trPr>
          <w:jc w:val="center"/>
        </w:trPr>
        <w:tc>
          <w:tcPr>
            <w:tcW w:w="2855" w:type="dxa"/>
            <w:tcBorders>
              <w:bottom w:val="single" w:sz="4" w:space="0" w:color="auto"/>
            </w:tcBorders>
            <w:shd w:val="clear" w:color="auto" w:fill="auto"/>
          </w:tcPr>
          <w:p w:rsidR="00315055" w:rsidRPr="009333AB" w:rsidRDefault="009333AB" w:rsidP="009333AB">
            <w:pPr>
              <w:ind w:right="-40"/>
              <w:rPr>
                <w:rFonts w:ascii="Arial" w:hAnsi="Arial" w:cs="Arial"/>
                <w:b/>
                <w:bCs/>
                <w:sz w:val="22"/>
                <w:szCs w:val="22"/>
              </w:rPr>
            </w:pPr>
            <w:r w:rsidRPr="009333AB">
              <w:rPr>
                <w:rFonts w:ascii="Arial" w:hAnsi="Arial" w:cs="Arial"/>
                <w:b/>
                <w:sz w:val="22"/>
                <w:szCs w:val="22"/>
              </w:rPr>
              <w:t xml:space="preserve">a. </w:t>
            </w:r>
            <w:r w:rsidR="008014CC" w:rsidRPr="009333AB">
              <w:rPr>
                <w:rFonts w:ascii="Arial" w:hAnsi="Arial" w:cs="Arial"/>
                <w:b/>
                <w:sz w:val="22"/>
                <w:szCs w:val="22"/>
              </w:rPr>
              <w:t>Financial sustainability</w:t>
            </w:r>
            <w:r w:rsidR="00315055" w:rsidRPr="009333AB">
              <w:rPr>
                <w:rFonts w:ascii="Arial" w:hAnsi="Arial" w:cs="Arial"/>
                <w:sz w:val="22"/>
                <w:szCs w:val="22"/>
              </w:rPr>
              <w:t xml:space="preserve"> </w:t>
            </w:r>
          </w:p>
        </w:tc>
        <w:tc>
          <w:tcPr>
            <w:tcW w:w="4432" w:type="dxa"/>
            <w:tcBorders>
              <w:bottom w:val="single" w:sz="4" w:space="0" w:color="auto"/>
            </w:tcBorders>
            <w:shd w:val="clear" w:color="auto" w:fill="auto"/>
          </w:tcPr>
          <w:p w:rsidR="007768A1" w:rsidRPr="00BE345D" w:rsidRDefault="007768A1" w:rsidP="00E47BEE">
            <w:pPr>
              <w:pStyle w:val="Default"/>
              <w:rPr>
                <w:rFonts w:ascii="Arial" w:hAnsi="Arial" w:cs="Arial"/>
                <w:color w:val="auto"/>
                <w:sz w:val="22"/>
                <w:szCs w:val="22"/>
              </w:rPr>
            </w:pPr>
            <w:r w:rsidRPr="00BE345D">
              <w:rPr>
                <w:rFonts w:ascii="Arial" w:hAnsi="Arial" w:cs="Arial"/>
                <w:color w:val="auto"/>
                <w:sz w:val="22"/>
                <w:szCs w:val="22"/>
              </w:rPr>
              <w:t xml:space="preserve">Ensuring that there are sufficient revenues from provision of the service to the user, with the community contributions and direct contributions from the government, to cover the efficient costs of service delivery. </w:t>
            </w:r>
          </w:p>
          <w:p w:rsidR="003C625B" w:rsidRPr="00BE345D" w:rsidRDefault="003C625B" w:rsidP="00E47BEE">
            <w:pPr>
              <w:rPr>
                <w:rFonts w:ascii="Arial" w:hAnsi="Arial" w:cs="Arial"/>
                <w:sz w:val="22"/>
                <w:szCs w:val="22"/>
              </w:rPr>
            </w:pPr>
          </w:p>
        </w:tc>
        <w:tc>
          <w:tcPr>
            <w:tcW w:w="4767" w:type="dxa"/>
            <w:gridSpan w:val="2"/>
            <w:tcBorders>
              <w:bottom w:val="single" w:sz="4" w:space="0" w:color="auto"/>
            </w:tcBorders>
            <w:shd w:val="clear" w:color="auto" w:fill="auto"/>
          </w:tcPr>
          <w:p w:rsidR="004504C9" w:rsidRPr="00BE345D" w:rsidRDefault="0051360D" w:rsidP="00E47BEE">
            <w:pPr>
              <w:rPr>
                <w:rFonts w:ascii="Arial" w:hAnsi="Arial" w:cs="Arial"/>
                <w:sz w:val="22"/>
                <w:szCs w:val="22"/>
              </w:rPr>
            </w:pPr>
            <w:r w:rsidRPr="00BE345D">
              <w:rPr>
                <w:rFonts w:ascii="Arial" w:hAnsi="Arial" w:cs="Arial"/>
                <w:sz w:val="22"/>
                <w:szCs w:val="22"/>
              </w:rPr>
              <w:t xml:space="preserve">The </w:t>
            </w:r>
            <w:r w:rsidR="00C57FF3" w:rsidRPr="00BE345D">
              <w:rPr>
                <w:rFonts w:ascii="Arial" w:hAnsi="Arial" w:cs="Arial"/>
                <w:sz w:val="22"/>
                <w:szCs w:val="22"/>
              </w:rPr>
              <w:t xml:space="preserve">electricity regulation in Brazil states that </w:t>
            </w:r>
            <w:r w:rsidR="006E5B3A">
              <w:rPr>
                <w:rFonts w:ascii="Arial" w:hAnsi="Arial" w:cs="Arial"/>
                <w:sz w:val="22"/>
                <w:szCs w:val="22"/>
              </w:rPr>
              <w:t>the cost of electricity shall be</w:t>
            </w:r>
            <w:r w:rsidR="00C57FF3" w:rsidRPr="00BE345D">
              <w:rPr>
                <w:rFonts w:ascii="Arial" w:hAnsi="Arial" w:cs="Arial"/>
                <w:sz w:val="22"/>
                <w:szCs w:val="22"/>
              </w:rPr>
              <w:t xml:space="preserve"> governed by the principle of efficiency requiring the optimal allocation and use of resources in the supply of electricity at a minimum cost. </w:t>
            </w:r>
            <w:r w:rsidR="007B27A4">
              <w:rPr>
                <w:rFonts w:ascii="Arial" w:hAnsi="Arial" w:cs="Arial"/>
                <w:sz w:val="22"/>
                <w:szCs w:val="22"/>
              </w:rPr>
              <w:t xml:space="preserve">The tariff structure in Brazil is designed to cover all costs of the electricity service, promoting cost-efficiency in the provision of electricity. </w:t>
            </w:r>
          </w:p>
          <w:p w:rsidR="004504C9" w:rsidRPr="00BE345D" w:rsidRDefault="004504C9" w:rsidP="00E47BEE">
            <w:pPr>
              <w:rPr>
                <w:rFonts w:ascii="Arial" w:hAnsi="Arial" w:cs="Arial"/>
                <w:sz w:val="22"/>
                <w:szCs w:val="22"/>
              </w:rPr>
            </w:pPr>
          </w:p>
          <w:p w:rsidR="00EE46D2" w:rsidRDefault="00EB4330" w:rsidP="00EB4330">
            <w:pPr>
              <w:rPr>
                <w:rFonts w:ascii="Arial" w:hAnsi="Arial" w:cs="Arial"/>
                <w:sz w:val="22"/>
                <w:szCs w:val="22"/>
              </w:rPr>
            </w:pPr>
            <w:r>
              <w:rPr>
                <w:rFonts w:ascii="Arial" w:hAnsi="Arial" w:cs="Arial"/>
                <w:sz w:val="22"/>
                <w:szCs w:val="22"/>
              </w:rPr>
              <w:t xml:space="preserve">Regarding public lighting, the costs of the service are covered by the municipalities, by </w:t>
            </w:r>
            <w:r>
              <w:rPr>
                <w:rFonts w:ascii="Arial" w:hAnsi="Arial" w:cs="Arial"/>
                <w:sz w:val="22"/>
                <w:szCs w:val="22"/>
              </w:rPr>
              <w:lastRenderedPageBreak/>
              <w:t>means of a tax (</w:t>
            </w:r>
            <w:proofErr w:type="spellStart"/>
            <w:r w:rsidRPr="00EB4330">
              <w:rPr>
                <w:rFonts w:ascii="Arial" w:hAnsi="Arial" w:cs="Arial"/>
                <w:sz w:val="22"/>
                <w:szCs w:val="22"/>
              </w:rPr>
              <w:t>Custeio</w:t>
            </w:r>
            <w:proofErr w:type="spellEnd"/>
            <w:r w:rsidRPr="00EB4330">
              <w:rPr>
                <w:rFonts w:ascii="Arial" w:hAnsi="Arial" w:cs="Arial"/>
                <w:sz w:val="22"/>
                <w:szCs w:val="22"/>
              </w:rPr>
              <w:t xml:space="preserve"> do </w:t>
            </w:r>
            <w:proofErr w:type="spellStart"/>
            <w:r w:rsidRPr="00EB4330">
              <w:rPr>
                <w:rFonts w:ascii="Arial" w:hAnsi="Arial" w:cs="Arial"/>
                <w:sz w:val="22"/>
                <w:szCs w:val="22"/>
              </w:rPr>
              <w:t>Serviço</w:t>
            </w:r>
            <w:proofErr w:type="spellEnd"/>
            <w:r w:rsidRPr="00EB4330">
              <w:rPr>
                <w:rFonts w:ascii="Arial" w:hAnsi="Arial" w:cs="Arial"/>
                <w:sz w:val="22"/>
                <w:szCs w:val="22"/>
              </w:rPr>
              <w:t xml:space="preserve"> de </w:t>
            </w:r>
            <w:proofErr w:type="spellStart"/>
            <w:r w:rsidRPr="00EB4330">
              <w:rPr>
                <w:rFonts w:ascii="Arial" w:hAnsi="Arial" w:cs="Arial"/>
                <w:sz w:val="22"/>
                <w:szCs w:val="22"/>
              </w:rPr>
              <w:t>Iluminação</w:t>
            </w:r>
            <w:proofErr w:type="spellEnd"/>
            <w:r w:rsidRPr="00EB4330">
              <w:rPr>
                <w:rFonts w:ascii="Arial" w:hAnsi="Arial" w:cs="Arial"/>
                <w:sz w:val="22"/>
                <w:szCs w:val="22"/>
              </w:rPr>
              <w:t xml:space="preserve"> </w:t>
            </w:r>
            <w:proofErr w:type="spellStart"/>
            <w:r w:rsidRPr="00EB4330">
              <w:rPr>
                <w:rFonts w:ascii="Arial" w:hAnsi="Arial" w:cs="Arial"/>
                <w:sz w:val="22"/>
                <w:szCs w:val="22"/>
              </w:rPr>
              <w:t>Pública</w:t>
            </w:r>
            <w:proofErr w:type="spellEnd"/>
            <w:r w:rsidRPr="00EB4330">
              <w:rPr>
                <w:rFonts w:ascii="Arial" w:hAnsi="Arial" w:cs="Arial"/>
                <w:sz w:val="22"/>
                <w:szCs w:val="22"/>
              </w:rPr>
              <w:t xml:space="preserve"> - </w:t>
            </w:r>
            <w:r>
              <w:rPr>
                <w:rFonts w:ascii="Arial" w:hAnsi="Arial" w:cs="Arial"/>
                <w:sz w:val="22"/>
                <w:szCs w:val="22"/>
              </w:rPr>
              <w:t xml:space="preserve"> COSIP). This program will support a more efficient public lighting, hence supporting the financial sustainability of the service. </w:t>
            </w:r>
          </w:p>
          <w:p w:rsidR="00EB4330" w:rsidRPr="00BE345D" w:rsidRDefault="00EB4330" w:rsidP="00EB4330">
            <w:pPr>
              <w:rPr>
                <w:rFonts w:ascii="Arial" w:hAnsi="Arial" w:cs="Arial"/>
                <w:sz w:val="22"/>
                <w:szCs w:val="22"/>
              </w:rPr>
            </w:pPr>
          </w:p>
        </w:tc>
      </w:tr>
      <w:tr w:rsidR="00315055" w:rsidRPr="00BE345D" w:rsidTr="006E5B3A">
        <w:trPr>
          <w:jc w:val="center"/>
        </w:trPr>
        <w:tc>
          <w:tcPr>
            <w:tcW w:w="2855" w:type="dxa"/>
            <w:tcBorders>
              <w:bottom w:val="single" w:sz="4" w:space="0" w:color="auto"/>
            </w:tcBorders>
            <w:shd w:val="clear" w:color="auto" w:fill="auto"/>
          </w:tcPr>
          <w:p w:rsidR="00315055" w:rsidRPr="00BE345D" w:rsidRDefault="009333AB" w:rsidP="009333AB">
            <w:pPr>
              <w:rPr>
                <w:rFonts w:ascii="Arial" w:hAnsi="Arial" w:cs="Arial"/>
                <w:b/>
                <w:bCs/>
                <w:sz w:val="22"/>
                <w:szCs w:val="22"/>
              </w:rPr>
            </w:pPr>
            <w:r>
              <w:rPr>
                <w:rFonts w:ascii="Arial" w:hAnsi="Arial" w:cs="Arial"/>
                <w:b/>
                <w:spacing w:val="1"/>
                <w:sz w:val="22"/>
                <w:szCs w:val="22"/>
              </w:rPr>
              <w:lastRenderedPageBreak/>
              <w:t xml:space="preserve">b. </w:t>
            </w:r>
            <w:r w:rsidR="007768A1" w:rsidRPr="00BE345D">
              <w:rPr>
                <w:rFonts w:ascii="Arial" w:hAnsi="Arial" w:cs="Arial"/>
                <w:b/>
                <w:spacing w:val="1"/>
                <w:sz w:val="22"/>
                <w:szCs w:val="22"/>
              </w:rPr>
              <w:t>Environmental sustainability</w:t>
            </w:r>
          </w:p>
        </w:tc>
        <w:tc>
          <w:tcPr>
            <w:tcW w:w="4432" w:type="dxa"/>
            <w:tcBorders>
              <w:bottom w:val="single" w:sz="4" w:space="0" w:color="auto"/>
            </w:tcBorders>
            <w:shd w:val="clear" w:color="auto" w:fill="auto"/>
          </w:tcPr>
          <w:p w:rsidR="007768A1" w:rsidRPr="00BE345D" w:rsidRDefault="007768A1" w:rsidP="00E47BEE">
            <w:pPr>
              <w:pStyle w:val="Default"/>
              <w:rPr>
                <w:rFonts w:ascii="Arial" w:hAnsi="Arial" w:cs="Arial"/>
                <w:color w:val="auto"/>
                <w:spacing w:val="-1"/>
                <w:sz w:val="22"/>
                <w:szCs w:val="22"/>
              </w:rPr>
            </w:pPr>
            <w:r w:rsidRPr="00BE345D">
              <w:rPr>
                <w:rFonts w:ascii="Arial" w:hAnsi="Arial" w:cs="Arial"/>
                <w:color w:val="auto"/>
                <w:spacing w:val="-1"/>
                <w:sz w:val="22"/>
                <w:szCs w:val="22"/>
              </w:rPr>
              <w:t xml:space="preserve">Helping ensure that the selection, execution, operation, and maintenance of the service delivery projects comply with the Bank’s environmental safeguards and contribute to the development of resilient infrastructure, considering viable alternatives to mitigate climate change. </w:t>
            </w:r>
          </w:p>
          <w:p w:rsidR="007768A1" w:rsidRPr="00BE345D" w:rsidRDefault="007768A1" w:rsidP="00E47BEE">
            <w:pPr>
              <w:rPr>
                <w:rFonts w:ascii="Arial" w:hAnsi="Arial" w:cs="Arial"/>
                <w:sz w:val="22"/>
                <w:szCs w:val="22"/>
              </w:rPr>
            </w:pPr>
          </w:p>
        </w:tc>
        <w:tc>
          <w:tcPr>
            <w:tcW w:w="4767" w:type="dxa"/>
            <w:gridSpan w:val="2"/>
            <w:tcBorders>
              <w:bottom w:val="single" w:sz="4" w:space="0" w:color="auto"/>
            </w:tcBorders>
            <w:shd w:val="clear" w:color="auto" w:fill="auto"/>
          </w:tcPr>
          <w:p w:rsidR="00EB4330" w:rsidRPr="00EB4330" w:rsidRDefault="00EB4330" w:rsidP="00EB4330">
            <w:pPr>
              <w:pStyle w:val="Pr-formataoHTML"/>
              <w:shd w:val="clear" w:color="auto" w:fill="FFFFFF"/>
              <w:rPr>
                <w:rFonts w:ascii="Arial" w:hAnsi="Arial" w:cs="Arial"/>
                <w:spacing w:val="-1"/>
                <w:sz w:val="22"/>
                <w:szCs w:val="22"/>
              </w:rPr>
            </w:pPr>
            <w:r>
              <w:rPr>
                <w:rFonts w:ascii="Arial" w:hAnsi="Arial" w:cs="Arial"/>
                <w:spacing w:val="-1"/>
                <w:sz w:val="22"/>
                <w:szCs w:val="22"/>
              </w:rPr>
              <w:t>T</w:t>
            </w:r>
            <w:r w:rsidRPr="00EB4330">
              <w:rPr>
                <w:rFonts w:ascii="Arial" w:hAnsi="Arial" w:cs="Arial"/>
                <w:spacing w:val="-1"/>
                <w:sz w:val="22"/>
                <w:szCs w:val="22"/>
              </w:rPr>
              <w:t>he program does not generate physical or economic resettlement, impacts on indigenous peoples or traditional communities, or construction impacts associated with civil works.</w:t>
            </w:r>
          </w:p>
          <w:p w:rsidR="00FC17F8" w:rsidRPr="00BE345D" w:rsidRDefault="00EB4330" w:rsidP="00EB4330">
            <w:pPr>
              <w:pStyle w:val="Default"/>
              <w:rPr>
                <w:rFonts w:ascii="Arial" w:hAnsi="Arial" w:cs="Arial"/>
                <w:sz w:val="22"/>
                <w:szCs w:val="22"/>
              </w:rPr>
            </w:pPr>
            <w:r>
              <w:rPr>
                <w:rFonts w:ascii="Arial" w:hAnsi="Arial" w:cs="Arial"/>
                <w:color w:val="auto"/>
                <w:spacing w:val="-1"/>
                <w:sz w:val="22"/>
                <w:szCs w:val="22"/>
              </w:rPr>
              <w:t>Nonetheless, t</w:t>
            </w:r>
            <w:r w:rsidR="001536C7" w:rsidRPr="00BE345D">
              <w:rPr>
                <w:rFonts w:ascii="Arial" w:hAnsi="Arial" w:cs="Arial"/>
                <w:color w:val="auto"/>
                <w:spacing w:val="-1"/>
                <w:sz w:val="22"/>
                <w:szCs w:val="22"/>
              </w:rPr>
              <w:t>he IDB will define an Environmental and Social Management System (ESMS) that will enable the identification of potential impacts and risks and ensure that the beneficiaries of the financing will implement environmental and social assessment, prevention, mitigation and management measures consistent with IDB safeguard policies. IDB Safeguard policies will apply to each individual project</w:t>
            </w:r>
            <w:r w:rsidR="006E5B3A">
              <w:rPr>
                <w:rFonts w:ascii="Arial" w:hAnsi="Arial" w:cs="Arial"/>
                <w:color w:val="auto"/>
                <w:spacing w:val="-1"/>
                <w:sz w:val="22"/>
                <w:szCs w:val="22"/>
              </w:rPr>
              <w:t>, in the terms defined in the OR</w:t>
            </w:r>
            <w:r w:rsidR="00167612" w:rsidRPr="00BE345D">
              <w:rPr>
                <w:rFonts w:ascii="Arial" w:hAnsi="Arial" w:cs="Arial"/>
                <w:color w:val="auto"/>
                <w:spacing w:val="-1"/>
                <w:sz w:val="22"/>
                <w:szCs w:val="22"/>
              </w:rPr>
              <w:t>.</w:t>
            </w:r>
          </w:p>
        </w:tc>
      </w:tr>
      <w:tr w:rsidR="00315055" w:rsidRPr="00BE345D" w:rsidTr="006E5B3A">
        <w:trPr>
          <w:jc w:val="center"/>
        </w:trPr>
        <w:tc>
          <w:tcPr>
            <w:tcW w:w="2855" w:type="dxa"/>
            <w:tcBorders>
              <w:bottom w:val="single" w:sz="4" w:space="0" w:color="auto"/>
            </w:tcBorders>
            <w:shd w:val="clear" w:color="auto" w:fill="auto"/>
          </w:tcPr>
          <w:p w:rsidR="00315055" w:rsidRPr="00BE345D" w:rsidRDefault="009333AB" w:rsidP="009333AB">
            <w:pPr>
              <w:rPr>
                <w:rFonts w:ascii="Arial" w:hAnsi="Arial" w:cs="Arial"/>
                <w:b/>
                <w:bCs/>
                <w:sz w:val="22"/>
                <w:szCs w:val="22"/>
              </w:rPr>
            </w:pPr>
            <w:r>
              <w:rPr>
                <w:rFonts w:ascii="Arial" w:hAnsi="Arial" w:cs="Arial"/>
                <w:b/>
                <w:sz w:val="22"/>
                <w:szCs w:val="22"/>
              </w:rPr>
              <w:t xml:space="preserve">c. </w:t>
            </w:r>
            <w:r w:rsidR="007768A1" w:rsidRPr="00BE345D">
              <w:rPr>
                <w:rFonts w:ascii="Arial" w:hAnsi="Arial" w:cs="Arial"/>
                <w:b/>
                <w:sz w:val="22"/>
                <w:szCs w:val="22"/>
              </w:rPr>
              <w:t>S</w:t>
            </w:r>
            <w:r w:rsidR="00315055" w:rsidRPr="00BE345D">
              <w:rPr>
                <w:rFonts w:ascii="Arial" w:hAnsi="Arial" w:cs="Arial"/>
                <w:b/>
                <w:sz w:val="22"/>
                <w:szCs w:val="22"/>
              </w:rPr>
              <w:t>o</w:t>
            </w:r>
            <w:r w:rsidR="00315055" w:rsidRPr="00BE345D">
              <w:rPr>
                <w:rFonts w:ascii="Arial" w:hAnsi="Arial" w:cs="Arial"/>
                <w:b/>
                <w:spacing w:val="-1"/>
                <w:sz w:val="22"/>
                <w:szCs w:val="22"/>
              </w:rPr>
              <w:t>c</w:t>
            </w:r>
            <w:r w:rsidR="00315055" w:rsidRPr="00BE345D">
              <w:rPr>
                <w:rFonts w:ascii="Arial" w:hAnsi="Arial" w:cs="Arial"/>
                <w:b/>
                <w:sz w:val="22"/>
                <w:szCs w:val="22"/>
              </w:rPr>
              <w:t>ial</w:t>
            </w:r>
            <w:r w:rsidR="007768A1" w:rsidRPr="00BE345D">
              <w:rPr>
                <w:rFonts w:ascii="Arial" w:hAnsi="Arial" w:cs="Arial"/>
                <w:b/>
                <w:sz w:val="22"/>
                <w:szCs w:val="22"/>
              </w:rPr>
              <w:t xml:space="preserve"> sustainability</w:t>
            </w:r>
            <w:r w:rsidR="00315055" w:rsidRPr="00BE345D">
              <w:rPr>
                <w:rFonts w:ascii="Arial" w:hAnsi="Arial" w:cs="Arial"/>
                <w:spacing w:val="39"/>
                <w:sz w:val="22"/>
                <w:szCs w:val="22"/>
              </w:rPr>
              <w:t xml:space="preserve"> </w:t>
            </w:r>
          </w:p>
        </w:tc>
        <w:tc>
          <w:tcPr>
            <w:tcW w:w="4432" w:type="dxa"/>
            <w:tcBorders>
              <w:bottom w:val="single" w:sz="4" w:space="0" w:color="auto"/>
            </w:tcBorders>
            <w:shd w:val="clear" w:color="auto" w:fill="auto"/>
          </w:tcPr>
          <w:p w:rsidR="007768A1" w:rsidRPr="00BE345D" w:rsidRDefault="007768A1" w:rsidP="00E47BEE">
            <w:pPr>
              <w:pStyle w:val="Default"/>
              <w:rPr>
                <w:rFonts w:ascii="Arial" w:hAnsi="Arial" w:cs="Arial"/>
                <w:color w:val="auto"/>
                <w:spacing w:val="-3"/>
                <w:sz w:val="22"/>
                <w:szCs w:val="22"/>
              </w:rPr>
            </w:pPr>
            <w:r w:rsidRPr="00BE345D">
              <w:rPr>
                <w:rFonts w:ascii="Arial" w:hAnsi="Arial" w:cs="Arial"/>
                <w:color w:val="auto"/>
                <w:spacing w:val="-3"/>
                <w:sz w:val="22"/>
                <w:szCs w:val="22"/>
              </w:rPr>
              <w:t xml:space="preserve">Helping increase access to the service and providing mechanisms to consult with the community on pertinent aspects of service delivery. </w:t>
            </w:r>
          </w:p>
          <w:p w:rsidR="007768A1" w:rsidRPr="00BE345D" w:rsidRDefault="007768A1" w:rsidP="00E47BEE">
            <w:pPr>
              <w:rPr>
                <w:rFonts w:ascii="Arial" w:hAnsi="Arial" w:cs="Arial"/>
                <w:sz w:val="22"/>
                <w:szCs w:val="22"/>
              </w:rPr>
            </w:pPr>
          </w:p>
        </w:tc>
        <w:tc>
          <w:tcPr>
            <w:tcW w:w="4767" w:type="dxa"/>
            <w:gridSpan w:val="2"/>
            <w:tcBorders>
              <w:bottom w:val="single" w:sz="4" w:space="0" w:color="auto"/>
            </w:tcBorders>
            <w:shd w:val="clear" w:color="auto" w:fill="auto"/>
          </w:tcPr>
          <w:p w:rsidR="00AA1156" w:rsidRPr="00BE345D" w:rsidRDefault="00BD2BE8" w:rsidP="00E47BEE">
            <w:pPr>
              <w:rPr>
                <w:rFonts w:ascii="Arial" w:hAnsi="Arial" w:cs="Arial"/>
                <w:color w:val="FF0000"/>
                <w:sz w:val="22"/>
                <w:szCs w:val="22"/>
              </w:rPr>
            </w:pPr>
            <w:r w:rsidRPr="00BE345D">
              <w:rPr>
                <w:rFonts w:ascii="Arial" w:hAnsi="Arial" w:cs="Arial"/>
                <w:sz w:val="22"/>
                <w:szCs w:val="22"/>
              </w:rPr>
              <w:t xml:space="preserve">The Environmental and Social Management Report (ESMR) will have a dedicated strategy to manage environmental and social risks. </w:t>
            </w:r>
            <w:r w:rsidR="002033D8" w:rsidRPr="00BE345D">
              <w:rPr>
                <w:rFonts w:ascii="Arial" w:hAnsi="Arial" w:cs="Arial"/>
                <w:sz w:val="22"/>
                <w:szCs w:val="22"/>
              </w:rPr>
              <w:t>The Bank will ensure that pro</w:t>
            </w:r>
            <w:r w:rsidR="00F477F2" w:rsidRPr="00BE345D">
              <w:rPr>
                <w:rFonts w:ascii="Arial" w:hAnsi="Arial" w:cs="Arial"/>
                <w:sz w:val="22"/>
                <w:szCs w:val="22"/>
              </w:rPr>
              <w:t xml:space="preserve">per </w:t>
            </w:r>
            <w:r w:rsidR="00F477F2" w:rsidRPr="00BE345D">
              <w:rPr>
                <w:rFonts w:ascii="Arial" w:hAnsi="Arial" w:cs="Arial"/>
                <w:spacing w:val="-3"/>
                <w:sz w:val="22"/>
                <w:szCs w:val="22"/>
              </w:rPr>
              <w:t xml:space="preserve">consultation with the community on pertinent aspects of service delivery </w:t>
            </w:r>
            <w:r w:rsidR="002033D8" w:rsidRPr="00BE345D">
              <w:rPr>
                <w:rFonts w:ascii="Arial" w:hAnsi="Arial" w:cs="Arial"/>
                <w:spacing w:val="-3"/>
                <w:sz w:val="22"/>
                <w:szCs w:val="22"/>
              </w:rPr>
              <w:t>takes place for every project.</w:t>
            </w:r>
            <w:r w:rsidR="00F477F2" w:rsidRPr="00BE345D">
              <w:rPr>
                <w:rFonts w:ascii="Arial" w:hAnsi="Arial" w:cs="Arial"/>
                <w:spacing w:val="-3"/>
                <w:sz w:val="22"/>
                <w:szCs w:val="22"/>
              </w:rPr>
              <w:t xml:space="preserve"> </w:t>
            </w:r>
          </w:p>
        </w:tc>
      </w:tr>
      <w:tr w:rsidR="006E5B3A" w:rsidRPr="00BE345D" w:rsidTr="006E5B3A">
        <w:trPr>
          <w:trHeight w:val="530"/>
          <w:jc w:val="center"/>
        </w:trPr>
        <w:tc>
          <w:tcPr>
            <w:tcW w:w="12054" w:type="dxa"/>
            <w:gridSpan w:val="4"/>
            <w:shd w:val="clear" w:color="auto" w:fill="C0C0C0"/>
          </w:tcPr>
          <w:p w:rsidR="006E5B3A" w:rsidRPr="00BE345D" w:rsidRDefault="006E5B3A" w:rsidP="006E5B3A">
            <w:pPr>
              <w:jc w:val="both"/>
              <w:rPr>
                <w:rFonts w:ascii="Arial" w:hAnsi="Arial" w:cs="Arial"/>
                <w:b/>
                <w:sz w:val="22"/>
                <w:szCs w:val="22"/>
              </w:rPr>
            </w:pPr>
            <w:r w:rsidRPr="00BE345D">
              <w:rPr>
                <w:rFonts w:ascii="Arial" w:hAnsi="Arial" w:cs="Arial"/>
                <w:b/>
                <w:bCs/>
                <w:sz w:val="22"/>
                <w:szCs w:val="22"/>
              </w:rPr>
              <w:t xml:space="preserve">3.2 </w:t>
            </w:r>
            <w:r w:rsidRPr="00BE345D">
              <w:rPr>
                <w:rFonts w:ascii="Arial" w:hAnsi="Arial" w:cs="Arial"/>
                <w:b/>
                <w:sz w:val="22"/>
                <w:szCs w:val="22"/>
              </w:rPr>
              <w:t>The Policy is based on the following principles that will guide the design and supervision of the Bank’s Operations.</w:t>
            </w:r>
          </w:p>
        </w:tc>
      </w:tr>
      <w:tr w:rsidR="001B48E1" w:rsidRPr="00BE345D" w:rsidTr="006E5B3A">
        <w:trPr>
          <w:jc w:val="center"/>
        </w:trPr>
        <w:tc>
          <w:tcPr>
            <w:tcW w:w="2855" w:type="dxa"/>
            <w:tcBorders>
              <w:bottom w:val="single" w:sz="4" w:space="0" w:color="auto"/>
            </w:tcBorders>
            <w:shd w:val="clear" w:color="auto" w:fill="auto"/>
          </w:tcPr>
          <w:p w:rsidR="00103304" w:rsidRPr="00BE345D" w:rsidRDefault="006E5B3A" w:rsidP="00E47BEE">
            <w:pPr>
              <w:rPr>
                <w:rFonts w:ascii="Arial" w:hAnsi="Arial" w:cs="Arial"/>
                <w:sz w:val="22"/>
                <w:szCs w:val="22"/>
              </w:rPr>
            </w:pPr>
            <w:r>
              <w:rPr>
                <w:rFonts w:ascii="Arial" w:hAnsi="Arial" w:cs="Arial"/>
                <w:b/>
                <w:bCs/>
                <w:sz w:val="22"/>
                <w:szCs w:val="22"/>
              </w:rPr>
              <w:t xml:space="preserve">a. </w:t>
            </w:r>
            <w:r w:rsidR="00103304" w:rsidRPr="00BE345D">
              <w:rPr>
                <w:rFonts w:ascii="Arial" w:hAnsi="Arial" w:cs="Arial"/>
                <w:b/>
                <w:bCs/>
                <w:sz w:val="22"/>
                <w:szCs w:val="22"/>
              </w:rPr>
              <w:t xml:space="preserve">Supporting the countries to address </w:t>
            </w:r>
            <w:r w:rsidR="00103304" w:rsidRPr="00BE345D">
              <w:rPr>
                <w:rFonts w:ascii="Arial" w:hAnsi="Arial" w:cs="Arial"/>
                <w:b/>
                <w:bCs/>
                <w:sz w:val="22"/>
                <w:szCs w:val="22"/>
              </w:rPr>
              <w:lastRenderedPageBreak/>
              <w:t xml:space="preserve">basic access needs </w:t>
            </w:r>
          </w:p>
          <w:p w:rsidR="00103304" w:rsidRPr="00BE345D" w:rsidRDefault="00103304" w:rsidP="00E47BEE">
            <w:pPr>
              <w:rPr>
                <w:rFonts w:ascii="Arial" w:hAnsi="Arial" w:cs="Arial"/>
                <w:b/>
                <w:bCs/>
                <w:sz w:val="22"/>
                <w:szCs w:val="22"/>
              </w:rPr>
            </w:pPr>
          </w:p>
        </w:tc>
        <w:tc>
          <w:tcPr>
            <w:tcW w:w="4457" w:type="dxa"/>
            <w:gridSpan w:val="2"/>
            <w:tcBorders>
              <w:bottom w:val="single" w:sz="4" w:space="0" w:color="auto"/>
            </w:tcBorders>
            <w:shd w:val="clear" w:color="auto" w:fill="auto"/>
          </w:tcPr>
          <w:p w:rsidR="00315055" w:rsidRPr="00BE345D" w:rsidRDefault="00103304" w:rsidP="00E47BEE">
            <w:pPr>
              <w:pStyle w:val="Default"/>
              <w:rPr>
                <w:rFonts w:ascii="Arial" w:hAnsi="Arial" w:cs="Arial"/>
                <w:sz w:val="22"/>
                <w:szCs w:val="22"/>
              </w:rPr>
            </w:pPr>
            <w:r w:rsidRPr="00BE345D">
              <w:rPr>
                <w:rFonts w:ascii="Arial" w:hAnsi="Arial" w:cs="Arial"/>
                <w:color w:val="auto"/>
                <w:sz w:val="22"/>
                <w:szCs w:val="22"/>
              </w:rPr>
              <w:lastRenderedPageBreak/>
              <w:t xml:space="preserve">The expansion of access to public utilities at affordable prices is necessary in the </w:t>
            </w:r>
            <w:r w:rsidRPr="00BE345D">
              <w:rPr>
                <w:rFonts w:ascii="Arial" w:hAnsi="Arial" w:cs="Arial"/>
                <w:color w:val="auto"/>
                <w:sz w:val="22"/>
                <w:szCs w:val="22"/>
              </w:rPr>
              <w:lastRenderedPageBreak/>
              <w:t xml:space="preserve">region, especially in less developed countries and rural areas in all countries. Access to public utilities is essential to contribute to poverty reduction and promote inclusive development. The Bank will support the development of sustainable systems that use the combination of cost-efficiency and the most appropriate technology solutions, given the characteristics of the demand and the public utility, to address the access needs of the population, both urban and rural. </w:t>
            </w:r>
          </w:p>
        </w:tc>
        <w:tc>
          <w:tcPr>
            <w:tcW w:w="4742" w:type="dxa"/>
            <w:tcBorders>
              <w:bottom w:val="single" w:sz="4" w:space="0" w:color="auto"/>
            </w:tcBorders>
            <w:shd w:val="clear" w:color="auto" w:fill="auto"/>
          </w:tcPr>
          <w:p w:rsidR="004A57F1" w:rsidRDefault="004A57F1" w:rsidP="004A57F1">
            <w:pPr>
              <w:rPr>
                <w:rFonts w:ascii="Arial" w:hAnsi="Arial" w:cs="Arial"/>
                <w:bCs/>
                <w:sz w:val="22"/>
                <w:szCs w:val="22"/>
              </w:rPr>
            </w:pPr>
            <w:r w:rsidRPr="00BE345D">
              <w:rPr>
                <w:rFonts w:ascii="Arial" w:hAnsi="Arial" w:cs="Arial"/>
                <w:sz w:val="22"/>
                <w:szCs w:val="22"/>
              </w:rPr>
              <w:lastRenderedPageBreak/>
              <w:t xml:space="preserve">The </w:t>
            </w:r>
            <w:r w:rsidR="007B27A4">
              <w:rPr>
                <w:rFonts w:ascii="Arial" w:hAnsi="Arial" w:cs="Arial"/>
                <w:sz w:val="22"/>
                <w:szCs w:val="22"/>
              </w:rPr>
              <w:t>Program BR-L1503</w:t>
            </w:r>
            <w:r>
              <w:rPr>
                <w:rFonts w:ascii="Arial" w:hAnsi="Arial" w:cs="Arial"/>
                <w:sz w:val="22"/>
                <w:szCs w:val="22"/>
              </w:rPr>
              <w:t xml:space="preserve"> do not act directly in increasing energy access at homes</w:t>
            </w:r>
            <w:r w:rsidRPr="00BE345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lastRenderedPageBreak/>
              <w:t xml:space="preserve">Nonetheless, access to public lighting will be improved and/or increased. There is a relationship between public lighting and better life conditions, including security, productivity, night activities (education and recreation). </w:t>
            </w:r>
          </w:p>
          <w:p w:rsidR="004A57F1" w:rsidRPr="004A57F1" w:rsidRDefault="004A57F1" w:rsidP="00E47BEE">
            <w:pPr>
              <w:rPr>
                <w:rFonts w:ascii="Arial" w:hAnsi="Arial" w:cs="Arial"/>
                <w:bCs/>
                <w:sz w:val="22"/>
                <w:szCs w:val="22"/>
              </w:rPr>
            </w:pPr>
          </w:p>
          <w:p w:rsidR="00F37058" w:rsidRPr="004A57F1" w:rsidRDefault="002033D8" w:rsidP="00E47BEE">
            <w:pPr>
              <w:rPr>
                <w:rFonts w:ascii="Arial" w:hAnsi="Arial" w:cs="Arial"/>
                <w:bCs/>
                <w:sz w:val="22"/>
                <w:szCs w:val="22"/>
              </w:rPr>
            </w:pPr>
            <w:r w:rsidRPr="004A57F1">
              <w:rPr>
                <w:rFonts w:ascii="Arial" w:hAnsi="Arial" w:cs="Arial"/>
                <w:bCs/>
                <w:sz w:val="22"/>
                <w:szCs w:val="22"/>
              </w:rPr>
              <w:t>The project</w:t>
            </w:r>
            <w:r w:rsidR="00BD2BE8" w:rsidRPr="004A57F1">
              <w:rPr>
                <w:rFonts w:ascii="Arial" w:hAnsi="Arial" w:cs="Arial"/>
                <w:bCs/>
                <w:sz w:val="22"/>
                <w:szCs w:val="22"/>
              </w:rPr>
              <w:t>s</w:t>
            </w:r>
            <w:r w:rsidRPr="004A57F1">
              <w:rPr>
                <w:rFonts w:ascii="Arial" w:hAnsi="Arial" w:cs="Arial"/>
                <w:bCs/>
                <w:sz w:val="22"/>
                <w:szCs w:val="22"/>
              </w:rPr>
              <w:t xml:space="preserve"> to be financed under this </w:t>
            </w:r>
            <w:r w:rsidR="007B27A4">
              <w:rPr>
                <w:rFonts w:ascii="Arial" w:hAnsi="Arial" w:cs="Arial"/>
                <w:bCs/>
                <w:sz w:val="22"/>
                <w:szCs w:val="22"/>
              </w:rPr>
              <w:t>P</w:t>
            </w:r>
            <w:r w:rsidRPr="004A57F1">
              <w:rPr>
                <w:rFonts w:ascii="Arial" w:hAnsi="Arial" w:cs="Arial"/>
                <w:bCs/>
                <w:sz w:val="22"/>
                <w:szCs w:val="22"/>
              </w:rPr>
              <w:t xml:space="preserve">rogram will be </w:t>
            </w:r>
            <w:r w:rsidR="00047207" w:rsidRPr="004A57F1">
              <w:rPr>
                <w:rFonts w:ascii="Arial" w:hAnsi="Arial" w:cs="Arial"/>
                <w:bCs/>
                <w:sz w:val="22"/>
                <w:szCs w:val="22"/>
              </w:rPr>
              <w:t>energy efficiency projects</w:t>
            </w:r>
            <w:r w:rsidR="00F37058" w:rsidRPr="004A57F1">
              <w:rPr>
                <w:rFonts w:ascii="Arial" w:hAnsi="Arial" w:cs="Arial"/>
                <w:bCs/>
                <w:sz w:val="22"/>
                <w:szCs w:val="22"/>
              </w:rPr>
              <w:t xml:space="preserve">, which will contribute to meet Brazil’s goal of diversifying its energy matrix and efficient use of energy, supporting </w:t>
            </w:r>
            <w:r w:rsidRPr="004A57F1">
              <w:rPr>
                <w:rFonts w:ascii="Arial" w:hAnsi="Arial" w:cs="Arial"/>
                <w:bCs/>
                <w:sz w:val="22"/>
                <w:szCs w:val="22"/>
              </w:rPr>
              <w:t xml:space="preserve">at the same time </w:t>
            </w:r>
            <w:r w:rsidR="00F37058" w:rsidRPr="004A57F1">
              <w:rPr>
                <w:rFonts w:ascii="Arial" w:hAnsi="Arial" w:cs="Arial"/>
                <w:bCs/>
                <w:sz w:val="22"/>
                <w:szCs w:val="22"/>
              </w:rPr>
              <w:t>the achievement of the country’s INDC goals.</w:t>
            </w:r>
          </w:p>
          <w:p w:rsidR="00E47BEE" w:rsidRPr="004A57F1" w:rsidRDefault="002033D8" w:rsidP="009333AB">
            <w:pPr>
              <w:rPr>
                <w:rFonts w:ascii="Arial" w:hAnsi="Arial" w:cs="Arial"/>
                <w:bCs/>
                <w:sz w:val="22"/>
                <w:szCs w:val="22"/>
              </w:rPr>
            </w:pPr>
            <w:r w:rsidRPr="004A57F1">
              <w:rPr>
                <w:rFonts w:ascii="Arial" w:hAnsi="Arial" w:cs="Arial"/>
                <w:bCs/>
                <w:sz w:val="22"/>
                <w:szCs w:val="22"/>
              </w:rPr>
              <w:t>The projects</w:t>
            </w:r>
            <w:r w:rsidR="0051360D" w:rsidRPr="004A57F1">
              <w:rPr>
                <w:rFonts w:ascii="Arial" w:hAnsi="Arial" w:cs="Arial"/>
                <w:bCs/>
                <w:sz w:val="22"/>
                <w:szCs w:val="22"/>
              </w:rPr>
              <w:t xml:space="preserve"> will </w:t>
            </w:r>
            <w:r w:rsidR="00047207" w:rsidRPr="004A57F1">
              <w:rPr>
                <w:rFonts w:ascii="Arial" w:hAnsi="Arial" w:cs="Arial"/>
                <w:bCs/>
                <w:sz w:val="22"/>
                <w:szCs w:val="22"/>
              </w:rPr>
              <w:t xml:space="preserve">help to </w:t>
            </w:r>
            <w:r w:rsidR="0051360D" w:rsidRPr="004A57F1">
              <w:rPr>
                <w:rFonts w:ascii="Arial" w:hAnsi="Arial" w:cs="Arial"/>
                <w:bCs/>
                <w:sz w:val="22"/>
                <w:szCs w:val="22"/>
              </w:rPr>
              <w:t xml:space="preserve">reduce the vulnerability of the energy matrix to climate change, since it </w:t>
            </w:r>
            <w:r w:rsidRPr="004A57F1">
              <w:rPr>
                <w:rFonts w:ascii="Arial" w:hAnsi="Arial" w:cs="Arial"/>
                <w:bCs/>
                <w:sz w:val="22"/>
                <w:szCs w:val="22"/>
              </w:rPr>
              <w:t>will</w:t>
            </w:r>
            <w:r w:rsidR="0051360D" w:rsidRPr="004A57F1">
              <w:rPr>
                <w:rFonts w:ascii="Arial" w:hAnsi="Arial" w:cs="Arial"/>
                <w:bCs/>
                <w:sz w:val="22"/>
                <w:szCs w:val="22"/>
              </w:rPr>
              <w:t xml:space="preserve"> </w:t>
            </w:r>
            <w:r w:rsidR="004A57F1" w:rsidRPr="004A57F1">
              <w:rPr>
                <w:rFonts w:ascii="Arial" w:hAnsi="Arial" w:cs="Arial"/>
                <w:bCs/>
                <w:sz w:val="22"/>
                <w:szCs w:val="22"/>
              </w:rPr>
              <w:t>increase</w:t>
            </w:r>
            <w:r w:rsidR="0051360D" w:rsidRPr="004A57F1">
              <w:rPr>
                <w:rFonts w:ascii="Arial" w:hAnsi="Arial" w:cs="Arial"/>
                <w:bCs/>
                <w:sz w:val="22"/>
                <w:szCs w:val="22"/>
              </w:rPr>
              <w:t xml:space="preserve"> the </w:t>
            </w:r>
            <w:r w:rsidR="004A57F1" w:rsidRPr="004A57F1">
              <w:rPr>
                <w:rFonts w:ascii="Arial" w:hAnsi="Arial" w:cs="Arial"/>
                <w:bCs/>
                <w:sz w:val="22"/>
                <w:szCs w:val="22"/>
              </w:rPr>
              <w:t xml:space="preserve">efficiency of the </w:t>
            </w:r>
            <w:r w:rsidR="0051360D" w:rsidRPr="004A57F1">
              <w:rPr>
                <w:rFonts w:ascii="Arial" w:hAnsi="Arial" w:cs="Arial"/>
                <w:bCs/>
                <w:sz w:val="22"/>
                <w:szCs w:val="22"/>
              </w:rPr>
              <w:t>energy matrix</w:t>
            </w:r>
            <w:r w:rsidR="007E2002" w:rsidRPr="004A57F1">
              <w:rPr>
                <w:rFonts w:ascii="Arial" w:hAnsi="Arial" w:cs="Arial"/>
                <w:bCs/>
                <w:sz w:val="22"/>
                <w:szCs w:val="22"/>
              </w:rPr>
              <w:t>, currently based mainly in hydro power generation and thermal power generation</w:t>
            </w:r>
            <w:r w:rsidR="0051360D" w:rsidRPr="004A57F1">
              <w:rPr>
                <w:rFonts w:ascii="Arial" w:hAnsi="Arial" w:cs="Arial"/>
                <w:bCs/>
                <w:sz w:val="22"/>
                <w:szCs w:val="22"/>
              </w:rPr>
              <w:t>.</w:t>
            </w:r>
            <w:r w:rsidRPr="004A57F1" w:rsidDel="002033D8">
              <w:rPr>
                <w:rFonts w:ascii="Arial" w:hAnsi="Arial" w:cs="Arial"/>
                <w:bCs/>
                <w:sz w:val="22"/>
                <w:szCs w:val="22"/>
              </w:rPr>
              <w:t xml:space="preserve"> </w:t>
            </w:r>
          </w:p>
          <w:p w:rsidR="009333AB" w:rsidRPr="00047207" w:rsidRDefault="009333AB" w:rsidP="009333AB">
            <w:pPr>
              <w:rPr>
                <w:rFonts w:ascii="Arial" w:hAnsi="Arial" w:cs="Arial"/>
                <w:sz w:val="22"/>
                <w:szCs w:val="22"/>
                <w:highlight w:val="yellow"/>
              </w:rPr>
            </w:pPr>
          </w:p>
        </w:tc>
      </w:tr>
      <w:tr w:rsidR="00EC251D" w:rsidRPr="00BE345D" w:rsidTr="006E5B3A">
        <w:trPr>
          <w:jc w:val="center"/>
        </w:trPr>
        <w:tc>
          <w:tcPr>
            <w:tcW w:w="12054" w:type="dxa"/>
            <w:gridSpan w:val="4"/>
            <w:shd w:val="clear" w:color="auto" w:fill="BFBFBF"/>
          </w:tcPr>
          <w:p w:rsidR="00103304" w:rsidRPr="00BE345D" w:rsidRDefault="00103304" w:rsidP="00103304">
            <w:pPr>
              <w:jc w:val="both"/>
              <w:rPr>
                <w:rFonts w:ascii="Arial" w:hAnsi="Arial" w:cs="Arial"/>
                <w:sz w:val="22"/>
                <w:szCs w:val="22"/>
              </w:rPr>
            </w:pPr>
            <w:r w:rsidRPr="00BE345D">
              <w:rPr>
                <w:rFonts w:ascii="Arial" w:hAnsi="Arial" w:cs="Arial"/>
                <w:b/>
                <w:bCs/>
                <w:sz w:val="22"/>
                <w:szCs w:val="22"/>
              </w:rPr>
              <w:lastRenderedPageBreak/>
              <w:t xml:space="preserve">3.3  Continual improvements in the governance of public utilities will be key for increasing efficiency in service delivery and satisfactorily protecting the interests of users </w:t>
            </w:r>
          </w:p>
          <w:p w:rsidR="00EC251D" w:rsidRPr="00BE345D" w:rsidRDefault="00103304" w:rsidP="00103304">
            <w:pPr>
              <w:pStyle w:val="Default"/>
              <w:rPr>
                <w:rFonts w:ascii="Arial" w:hAnsi="Arial" w:cs="Arial"/>
                <w:sz w:val="22"/>
                <w:szCs w:val="22"/>
              </w:rPr>
            </w:pPr>
            <w:r w:rsidRPr="00BE345D">
              <w:rPr>
                <w:rFonts w:ascii="Arial" w:hAnsi="Arial" w:cs="Arial"/>
                <w:sz w:val="22"/>
                <w:szCs w:val="22"/>
              </w:rPr>
              <w:t xml:space="preserve">The Policy holds that governance for decision-making in public utilities management, as well as the policy and/or regulatory framework that regulates and supervises the utilities are the primary factors determining their performance, quality, and sustainability. This requires the following: </w:t>
            </w:r>
          </w:p>
        </w:tc>
      </w:tr>
      <w:tr w:rsidR="001B48E1" w:rsidRPr="00BE345D" w:rsidTr="006E5B3A">
        <w:trPr>
          <w:jc w:val="center"/>
        </w:trPr>
        <w:tc>
          <w:tcPr>
            <w:tcW w:w="2855" w:type="dxa"/>
            <w:shd w:val="clear" w:color="auto" w:fill="auto"/>
          </w:tcPr>
          <w:p w:rsidR="001B48E1" w:rsidRPr="00BE345D" w:rsidRDefault="00103304" w:rsidP="00E47BEE">
            <w:pPr>
              <w:numPr>
                <w:ilvl w:val="0"/>
                <w:numId w:val="4"/>
              </w:numPr>
              <w:ind w:left="386" w:hanging="450"/>
              <w:rPr>
                <w:rFonts w:ascii="Arial" w:hAnsi="Arial" w:cs="Arial"/>
                <w:b/>
                <w:bCs/>
                <w:sz w:val="22"/>
                <w:szCs w:val="22"/>
              </w:rPr>
            </w:pPr>
            <w:r w:rsidRPr="00BE345D">
              <w:rPr>
                <w:rFonts w:ascii="Arial" w:hAnsi="Arial" w:cs="Arial"/>
                <w:b/>
                <w:sz w:val="22"/>
                <w:szCs w:val="22"/>
              </w:rPr>
              <w:t>Promoting integrity, transparency, and accountability.</w:t>
            </w:r>
          </w:p>
        </w:tc>
        <w:tc>
          <w:tcPr>
            <w:tcW w:w="4457" w:type="dxa"/>
            <w:gridSpan w:val="2"/>
            <w:shd w:val="clear" w:color="auto" w:fill="auto"/>
          </w:tcPr>
          <w:p w:rsidR="00315055" w:rsidRPr="00BE345D" w:rsidRDefault="00103304" w:rsidP="00E47BEE">
            <w:pPr>
              <w:rPr>
                <w:rFonts w:ascii="Arial" w:hAnsi="Arial" w:cs="Arial"/>
                <w:sz w:val="22"/>
                <w:szCs w:val="22"/>
              </w:rPr>
            </w:pPr>
            <w:r w:rsidRPr="00BE345D">
              <w:rPr>
                <w:rFonts w:ascii="Arial" w:hAnsi="Arial" w:cs="Arial"/>
                <w:sz w:val="22"/>
                <w:szCs w:val="22"/>
              </w:rPr>
              <w:t xml:space="preserve">Bank-financed operations will drive basic institutional arrangements so the region’s countries adopt measures that promote integrity and increase transparency in the delivery of public utilities services, in order to improve accountability and strengthen the observance of users’ rights. To this end, the Bank will make greater efforts to </w:t>
            </w:r>
            <w:r w:rsidRPr="00BE345D">
              <w:rPr>
                <w:rFonts w:ascii="Arial" w:hAnsi="Arial" w:cs="Arial"/>
                <w:sz w:val="22"/>
                <w:szCs w:val="22"/>
              </w:rPr>
              <w:lastRenderedPageBreak/>
              <w:t xml:space="preserve">have its operations contribute to the development of good governance systems among public and private stakeholders. Moreover, this Policy recognizes that the weakness of public statistical data and the scarcity of private statistical data are factors that often hinder adequate responses to basic questions on infrastructure investment needs, service provider performance, and rate structure and evolution. Therefore, the Bank will promote targeted transparency, considering users’ information needs, the most effective way in which information should be made available, and the best channels for its distribution. </w:t>
            </w:r>
          </w:p>
        </w:tc>
        <w:tc>
          <w:tcPr>
            <w:tcW w:w="4742" w:type="dxa"/>
            <w:shd w:val="clear" w:color="auto" w:fill="auto"/>
          </w:tcPr>
          <w:p w:rsidR="00AA6083" w:rsidRPr="00BE345D" w:rsidRDefault="002033D8" w:rsidP="00E47BEE">
            <w:pPr>
              <w:rPr>
                <w:rFonts w:ascii="Arial" w:hAnsi="Arial" w:cs="Arial"/>
                <w:sz w:val="22"/>
                <w:szCs w:val="22"/>
              </w:rPr>
            </w:pPr>
            <w:r w:rsidRPr="00BE345D">
              <w:rPr>
                <w:rFonts w:ascii="Arial" w:hAnsi="Arial" w:cs="Arial"/>
                <w:sz w:val="22"/>
                <w:szCs w:val="22"/>
              </w:rPr>
              <w:lastRenderedPageBreak/>
              <w:t>G</w:t>
            </w:r>
            <w:r w:rsidR="00AA6083" w:rsidRPr="00BE345D">
              <w:rPr>
                <w:rFonts w:ascii="Arial" w:hAnsi="Arial" w:cs="Arial"/>
                <w:sz w:val="22"/>
                <w:szCs w:val="22"/>
              </w:rPr>
              <w:t>eneration, transmission</w:t>
            </w:r>
            <w:r w:rsidR="00BB4CB5" w:rsidRPr="00BE345D">
              <w:rPr>
                <w:rFonts w:ascii="Arial" w:hAnsi="Arial" w:cs="Arial"/>
                <w:sz w:val="22"/>
                <w:szCs w:val="22"/>
              </w:rPr>
              <w:t xml:space="preserve"> and</w:t>
            </w:r>
            <w:r w:rsidR="00AA6083" w:rsidRPr="00BE345D">
              <w:rPr>
                <w:rFonts w:ascii="Arial" w:hAnsi="Arial" w:cs="Arial"/>
                <w:sz w:val="22"/>
                <w:szCs w:val="22"/>
              </w:rPr>
              <w:t xml:space="preserve"> distribution are governed by principles of transparency, efficiency and quality.</w:t>
            </w:r>
            <w:r w:rsidRPr="00BE345D">
              <w:rPr>
                <w:rFonts w:ascii="Arial" w:hAnsi="Arial" w:cs="Arial"/>
                <w:sz w:val="22"/>
                <w:szCs w:val="22"/>
              </w:rPr>
              <w:t xml:space="preserve"> </w:t>
            </w:r>
            <w:r w:rsidR="00AA6083" w:rsidRPr="00BE345D">
              <w:rPr>
                <w:rFonts w:ascii="Arial" w:hAnsi="Arial" w:cs="Arial"/>
                <w:sz w:val="22"/>
                <w:szCs w:val="22"/>
              </w:rPr>
              <w:t xml:space="preserve">The </w:t>
            </w:r>
            <w:r w:rsidRPr="00BE345D">
              <w:rPr>
                <w:rFonts w:ascii="Arial" w:hAnsi="Arial" w:cs="Arial"/>
                <w:sz w:val="22"/>
                <w:szCs w:val="22"/>
              </w:rPr>
              <w:t xml:space="preserve">Brazilian </w:t>
            </w:r>
            <w:r w:rsidR="00AA6083" w:rsidRPr="00BE345D">
              <w:rPr>
                <w:rFonts w:ascii="Arial" w:hAnsi="Arial" w:cs="Arial"/>
                <w:sz w:val="22"/>
                <w:szCs w:val="22"/>
              </w:rPr>
              <w:t>law guarantees good governance of the sector through an appropriate institutional structure a clear definition of functions and accountability.</w:t>
            </w:r>
          </w:p>
          <w:p w:rsidR="000E5A43" w:rsidRPr="00BE345D" w:rsidRDefault="002033D8" w:rsidP="00E47BEE">
            <w:pPr>
              <w:rPr>
                <w:rFonts w:ascii="Arial" w:hAnsi="Arial" w:cs="Arial"/>
                <w:sz w:val="22"/>
                <w:szCs w:val="22"/>
              </w:rPr>
            </w:pPr>
            <w:r w:rsidRPr="00BE345D">
              <w:rPr>
                <w:rFonts w:ascii="Arial" w:hAnsi="Arial" w:cs="Arial"/>
                <w:sz w:val="22"/>
                <w:szCs w:val="22"/>
              </w:rPr>
              <w:t>ANEEL</w:t>
            </w:r>
            <w:r w:rsidR="00BD2BE8" w:rsidRPr="00BE345D">
              <w:rPr>
                <w:rFonts w:ascii="Arial" w:hAnsi="Arial" w:cs="Arial"/>
                <w:sz w:val="22"/>
                <w:szCs w:val="22"/>
              </w:rPr>
              <w:t xml:space="preserve"> provides through its </w:t>
            </w:r>
            <w:r w:rsidRPr="00BE345D">
              <w:rPr>
                <w:rFonts w:ascii="Arial" w:hAnsi="Arial" w:cs="Arial"/>
                <w:sz w:val="22"/>
                <w:szCs w:val="22"/>
              </w:rPr>
              <w:t xml:space="preserve">website a section to answer questions, submit complaints, </w:t>
            </w:r>
            <w:r w:rsidR="00336FA1" w:rsidRPr="00BE345D">
              <w:rPr>
                <w:rFonts w:ascii="Arial" w:hAnsi="Arial" w:cs="Arial"/>
                <w:sz w:val="22"/>
                <w:szCs w:val="22"/>
              </w:rPr>
              <w:t xml:space="preserve">and </w:t>
            </w:r>
            <w:r w:rsidR="00336FA1" w:rsidRPr="00BE345D">
              <w:rPr>
                <w:rFonts w:ascii="Arial" w:hAnsi="Arial" w:cs="Arial"/>
                <w:sz w:val="22"/>
                <w:szCs w:val="22"/>
              </w:rPr>
              <w:lastRenderedPageBreak/>
              <w:t>help</w:t>
            </w:r>
            <w:r w:rsidRPr="00BE345D">
              <w:rPr>
                <w:rFonts w:ascii="Arial" w:hAnsi="Arial" w:cs="Arial"/>
                <w:sz w:val="22"/>
                <w:szCs w:val="22"/>
              </w:rPr>
              <w:t xml:space="preserve"> resolve problems with the final objective to promote accountability and quality of service to the end users</w:t>
            </w:r>
            <w:r w:rsidR="00BD2BE8" w:rsidRPr="00BE345D">
              <w:rPr>
                <w:rFonts w:ascii="Arial" w:hAnsi="Arial" w:cs="Arial"/>
                <w:sz w:val="22"/>
                <w:szCs w:val="22"/>
              </w:rPr>
              <w:t xml:space="preserve"> among others</w:t>
            </w:r>
            <w:r w:rsidRPr="00BE345D">
              <w:rPr>
                <w:rFonts w:ascii="Arial" w:hAnsi="Arial" w:cs="Arial"/>
                <w:sz w:val="22"/>
                <w:szCs w:val="22"/>
              </w:rPr>
              <w:t>.</w:t>
            </w:r>
            <w:r w:rsidR="000E5A43" w:rsidRPr="00BE345D">
              <w:rPr>
                <w:rFonts w:ascii="Arial" w:hAnsi="Arial" w:cs="Arial"/>
                <w:sz w:val="22"/>
                <w:szCs w:val="22"/>
              </w:rPr>
              <w:t xml:space="preserve"> </w:t>
            </w:r>
          </w:p>
          <w:p w:rsidR="003A51FB" w:rsidRPr="00BE345D" w:rsidRDefault="000E5A43" w:rsidP="00E47BEE">
            <w:pPr>
              <w:rPr>
                <w:rFonts w:ascii="Arial" w:hAnsi="Arial" w:cs="Arial"/>
                <w:sz w:val="22"/>
                <w:szCs w:val="22"/>
              </w:rPr>
            </w:pPr>
            <w:r w:rsidRPr="00BE345D">
              <w:rPr>
                <w:rFonts w:ascii="Arial" w:hAnsi="Arial" w:cs="Arial"/>
                <w:sz w:val="22"/>
                <w:szCs w:val="22"/>
              </w:rPr>
              <w:t>Additionally ANEEL provides information</w:t>
            </w:r>
            <w:r w:rsidR="00EE4F48" w:rsidRPr="00BE345D">
              <w:rPr>
                <w:rFonts w:ascii="Arial" w:hAnsi="Arial" w:cs="Arial"/>
                <w:sz w:val="22"/>
                <w:szCs w:val="22"/>
              </w:rPr>
              <w:t xml:space="preserve"> </w:t>
            </w:r>
            <w:r w:rsidRPr="00BE345D">
              <w:rPr>
                <w:rFonts w:ascii="Arial" w:hAnsi="Arial" w:cs="Arial"/>
                <w:sz w:val="22"/>
                <w:szCs w:val="22"/>
              </w:rPr>
              <w:t>on its website</w:t>
            </w:r>
            <w:r w:rsidR="00EE4F48" w:rsidRPr="00BE345D">
              <w:rPr>
                <w:rFonts w:ascii="Arial" w:hAnsi="Arial" w:cs="Arial"/>
                <w:sz w:val="22"/>
                <w:szCs w:val="22"/>
              </w:rPr>
              <w:t xml:space="preserve"> to the end users, such as</w:t>
            </w:r>
            <w:r w:rsidRPr="00BE345D">
              <w:rPr>
                <w:rFonts w:ascii="Arial" w:hAnsi="Arial" w:cs="Arial"/>
                <w:sz w:val="22"/>
                <w:szCs w:val="22"/>
              </w:rPr>
              <w:t>: (i) how the tariffs are set up: in order to fulfill its commitment to provide electrical power quality, the distributor’s cost have to be included in the tariffs; (ii) ranking continuity: each year ANEEL publishes the ranking of all the distributors, and how they were ranked compared to each other; (iii) performance of the electricity distributors, key indicators about the performance of the distributor are published regularly.</w:t>
            </w:r>
          </w:p>
          <w:p w:rsidR="000A1958" w:rsidRDefault="000A1958" w:rsidP="00E47BEE">
            <w:pPr>
              <w:rPr>
                <w:rFonts w:ascii="Arial" w:hAnsi="Arial" w:cs="Arial"/>
                <w:spacing w:val="-4"/>
                <w:sz w:val="22"/>
                <w:szCs w:val="22"/>
              </w:rPr>
            </w:pPr>
            <w:r w:rsidRPr="00BE345D">
              <w:rPr>
                <w:rFonts w:ascii="Arial" w:hAnsi="Arial" w:cs="Arial"/>
                <w:sz w:val="22"/>
                <w:szCs w:val="22"/>
              </w:rPr>
              <w:t xml:space="preserve">ABRADEE, the Brazilian Association of </w:t>
            </w:r>
            <w:r w:rsidRPr="00BE345D">
              <w:rPr>
                <w:rFonts w:ascii="Arial" w:hAnsi="Arial" w:cs="Arial"/>
                <w:spacing w:val="-4"/>
                <w:sz w:val="22"/>
                <w:szCs w:val="22"/>
              </w:rPr>
              <w:t>Electricity Distributors publishes information about the distribution companies in order to pro</w:t>
            </w:r>
            <w:r w:rsidR="007E2002" w:rsidRPr="00BE345D">
              <w:rPr>
                <w:rFonts w:ascii="Arial" w:hAnsi="Arial" w:cs="Arial"/>
                <w:spacing w:val="-4"/>
                <w:sz w:val="22"/>
                <w:szCs w:val="22"/>
              </w:rPr>
              <w:t xml:space="preserve">mote transparency in the </w:t>
            </w:r>
            <w:r w:rsidR="00336FA1" w:rsidRPr="00BE345D">
              <w:rPr>
                <w:rFonts w:ascii="Arial" w:hAnsi="Arial" w:cs="Arial"/>
                <w:spacing w:val="-4"/>
                <w:sz w:val="22"/>
                <w:szCs w:val="22"/>
              </w:rPr>
              <w:t>sector;</w:t>
            </w:r>
            <w:r w:rsidRPr="00BE345D">
              <w:rPr>
                <w:rFonts w:ascii="Arial" w:hAnsi="Arial" w:cs="Arial"/>
                <w:spacing w:val="-4"/>
                <w:sz w:val="22"/>
                <w:szCs w:val="22"/>
              </w:rPr>
              <w:t xml:space="preserve"> it also provides a good overview of how the electricity distribution sector is structured in the country in terms of the nature of corporate control.</w:t>
            </w:r>
          </w:p>
          <w:p w:rsidR="009333AB" w:rsidRPr="00BE345D" w:rsidRDefault="009333AB" w:rsidP="00E47BEE">
            <w:pPr>
              <w:rPr>
                <w:rFonts w:ascii="Arial" w:hAnsi="Arial" w:cs="Arial"/>
                <w:sz w:val="22"/>
                <w:szCs w:val="22"/>
              </w:rPr>
            </w:pPr>
          </w:p>
        </w:tc>
      </w:tr>
      <w:tr w:rsidR="00EC251D" w:rsidRPr="00BE345D" w:rsidTr="006E5B3A">
        <w:trPr>
          <w:jc w:val="center"/>
        </w:trPr>
        <w:tc>
          <w:tcPr>
            <w:tcW w:w="2855" w:type="dxa"/>
            <w:shd w:val="clear" w:color="auto" w:fill="auto"/>
          </w:tcPr>
          <w:p w:rsidR="00EC251D" w:rsidRPr="00BE345D" w:rsidRDefault="00EC251D" w:rsidP="00E47BEE">
            <w:pPr>
              <w:numPr>
                <w:ilvl w:val="0"/>
                <w:numId w:val="4"/>
              </w:numPr>
              <w:ind w:left="386" w:hanging="450"/>
              <w:rPr>
                <w:rFonts w:ascii="Arial" w:hAnsi="Arial" w:cs="Arial"/>
                <w:sz w:val="22"/>
                <w:szCs w:val="22"/>
              </w:rPr>
            </w:pPr>
            <w:r w:rsidRPr="00BE345D">
              <w:rPr>
                <w:rFonts w:ascii="Arial" w:hAnsi="Arial" w:cs="Arial"/>
                <w:b/>
                <w:sz w:val="22"/>
                <w:szCs w:val="22"/>
              </w:rPr>
              <w:lastRenderedPageBreak/>
              <w:t>A</w:t>
            </w:r>
            <w:r w:rsidRPr="00BE345D">
              <w:rPr>
                <w:rFonts w:ascii="Arial" w:hAnsi="Arial" w:cs="Arial"/>
                <w:b/>
                <w:spacing w:val="1"/>
                <w:sz w:val="22"/>
                <w:szCs w:val="22"/>
              </w:rPr>
              <w:t>n</w:t>
            </w:r>
            <w:r w:rsidRPr="00BE345D">
              <w:rPr>
                <w:rFonts w:ascii="Arial" w:hAnsi="Arial" w:cs="Arial"/>
                <w:b/>
                <w:sz w:val="22"/>
                <w:szCs w:val="22"/>
              </w:rPr>
              <w:t>al</w:t>
            </w:r>
            <w:r w:rsidR="00103304" w:rsidRPr="00BE345D">
              <w:rPr>
                <w:rFonts w:ascii="Arial" w:hAnsi="Arial" w:cs="Arial"/>
                <w:b/>
                <w:sz w:val="22"/>
                <w:szCs w:val="22"/>
              </w:rPr>
              <w:t>yzing the characteristics and impacts of subsidies</w:t>
            </w:r>
            <w:r w:rsidRPr="00BE345D">
              <w:rPr>
                <w:rFonts w:ascii="Arial" w:hAnsi="Arial" w:cs="Arial"/>
                <w:sz w:val="22"/>
                <w:szCs w:val="22"/>
              </w:rPr>
              <w:t>.</w:t>
            </w:r>
            <w:r w:rsidRPr="00BE345D">
              <w:rPr>
                <w:rFonts w:ascii="Arial" w:hAnsi="Arial" w:cs="Arial"/>
                <w:spacing w:val="38"/>
                <w:sz w:val="22"/>
                <w:szCs w:val="22"/>
              </w:rPr>
              <w:t xml:space="preserve"> </w:t>
            </w:r>
          </w:p>
          <w:p w:rsidR="00EC251D" w:rsidRPr="00BE345D" w:rsidRDefault="00EC251D" w:rsidP="00E47BEE">
            <w:pPr>
              <w:ind w:left="330" w:hanging="150"/>
              <w:rPr>
                <w:rFonts w:ascii="Arial" w:hAnsi="Arial" w:cs="Arial"/>
                <w:b/>
                <w:bCs/>
                <w:i/>
                <w:sz w:val="22"/>
                <w:szCs w:val="22"/>
              </w:rPr>
            </w:pPr>
          </w:p>
        </w:tc>
        <w:tc>
          <w:tcPr>
            <w:tcW w:w="4457" w:type="dxa"/>
            <w:gridSpan w:val="2"/>
            <w:shd w:val="clear" w:color="auto" w:fill="auto"/>
          </w:tcPr>
          <w:p w:rsidR="00EC251D" w:rsidRPr="00BE345D" w:rsidRDefault="00103304" w:rsidP="00E47BEE">
            <w:pPr>
              <w:pStyle w:val="Default"/>
              <w:rPr>
                <w:rFonts w:ascii="Arial" w:hAnsi="Arial" w:cs="Arial"/>
                <w:sz w:val="22"/>
                <w:szCs w:val="22"/>
              </w:rPr>
            </w:pPr>
            <w:r w:rsidRPr="00BE345D">
              <w:rPr>
                <w:rFonts w:ascii="Arial" w:hAnsi="Arial" w:cs="Arial"/>
                <w:color w:val="auto"/>
                <w:sz w:val="22"/>
                <w:szCs w:val="22"/>
              </w:rPr>
              <w:t xml:space="preserve">The operation and financing of the services addressed by this Policy should efficiently recover service delivery costs through rates charged to users. However, this Policy acknowledges that, occasionally, financial sustainability can be achieved by supplementing the revenues earned through rates charged to users for the service with contributions from the </w:t>
            </w:r>
            <w:r w:rsidRPr="00BE345D">
              <w:rPr>
                <w:rFonts w:ascii="Arial" w:hAnsi="Arial" w:cs="Arial"/>
                <w:color w:val="auto"/>
                <w:sz w:val="22"/>
                <w:szCs w:val="22"/>
              </w:rPr>
              <w:lastRenderedPageBreak/>
              <w:t xml:space="preserve">community and direct government contributions. Where subsidies are granted, the Bank will promote both their transparent allocation and use, subject to frequent, effective accountability mechanisms. Such mechanisms will include: (i) identification and analysis of sources and beneficiaries of the subsidies; (ii) analysis of the distributive incidence of the subsidies; and (iii) quantification of the subsidy relative to macroeconomic indicators (for example, gross domestic product, total public sector expenditures) used by the Bank or by the level of government granting the subsidies to report on their fiscal sustainability. In cases where rate subsidies are granted, the Bank will promote their targeting toward the most vulnerable and lowest-income groups. In addition, to the extent possible, the Bank will help countries replace rate subsidies for public utilities with income transfer mechanisms that are more direct and targeted toward the lowest-income population segments. </w:t>
            </w:r>
          </w:p>
        </w:tc>
        <w:tc>
          <w:tcPr>
            <w:tcW w:w="4742" w:type="dxa"/>
            <w:shd w:val="clear" w:color="auto" w:fill="auto"/>
          </w:tcPr>
          <w:p w:rsidR="00F938C5" w:rsidRPr="00BE345D" w:rsidRDefault="00F938C5" w:rsidP="00E47BEE">
            <w:pPr>
              <w:rPr>
                <w:rFonts w:ascii="Arial" w:hAnsi="Arial" w:cs="Arial"/>
                <w:sz w:val="22"/>
                <w:szCs w:val="22"/>
              </w:rPr>
            </w:pPr>
            <w:r w:rsidRPr="00BE345D">
              <w:rPr>
                <w:rFonts w:ascii="Arial" w:hAnsi="Arial" w:cs="Arial"/>
                <w:sz w:val="22"/>
                <w:szCs w:val="22"/>
              </w:rPr>
              <w:lastRenderedPageBreak/>
              <w:t>Electricity services are based in a tariff structure that aims to recover all the costs, including distribution, transmission and generation</w:t>
            </w:r>
            <w:r w:rsidR="00FC1504" w:rsidRPr="00BE345D">
              <w:rPr>
                <w:rFonts w:ascii="Arial" w:hAnsi="Arial" w:cs="Arial"/>
                <w:sz w:val="22"/>
                <w:szCs w:val="22"/>
              </w:rPr>
              <w:t xml:space="preserve"> costs</w:t>
            </w:r>
            <w:r w:rsidRPr="00BE345D">
              <w:rPr>
                <w:rFonts w:ascii="Arial" w:hAnsi="Arial" w:cs="Arial"/>
                <w:sz w:val="22"/>
                <w:szCs w:val="22"/>
              </w:rPr>
              <w:t>. Tariffs are reviewed on a yearly basis, in order to take into account changes in the costs structure, as well as new investments and transmission and generation costs.</w:t>
            </w:r>
          </w:p>
          <w:p w:rsidR="00F938C5" w:rsidRPr="00BE345D" w:rsidRDefault="00F938C5" w:rsidP="00E47BEE">
            <w:pPr>
              <w:rPr>
                <w:rFonts w:ascii="Arial" w:hAnsi="Arial" w:cs="Arial"/>
                <w:sz w:val="22"/>
                <w:szCs w:val="22"/>
              </w:rPr>
            </w:pPr>
          </w:p>
          <w:p w:rsidR="00E02914" w:rsidRDefault="00F938C5" w:rsidP="00E47BEE">
            <w:pPr>
              <w:rPr>
                <w:rFonts w:ascii="Arial" w:hAnsi="Arial" w:cs="Arial"/>
                <w:sz w:val="22"/>
                <w:szCs w:val="22"/>
              </w:rPr>
            </w:pPr>
            <w:r w:rsidRPr="00BE345D">
              <w:rPr>
                <w:rFonts w:ascii="Arial" w:hAnsi="Arial" w:cs="Arial"/>
                <w:sz w:val="22"/>
                <w:szCs w:val="22"/>
              </w:rPr>
              <w:lastRenderedPageBreak/>
              <w:t>The market is based on a regulated market where captive consumers (residential consumers of distribution companies) have their demand ensure</w:t>
            </w:r>
            <w:r w:rsidR="00FC1504" w:rsidRPr="00BE345D">
              <w:rPr>
                <w:rFonts w:ascii="Arial" w:hAnsi="Arial" w:cs="Arial"/>
                <w:sz w:val="22"/>
                <w:szCs w:val="22"/>
              </w:rPr>
              <w:t>d</w:t>
            </w:r>
            <w:r w:rsidRPr="00BE345D">
              <w:rPr>
                <w:rFonts w:ascii="Arial" w:hAnsi="Arial" w:cs="Arial"/>
                <w:sz w:val="22"/>
                <w:szCs w:val="22"/>
              </w:rPr>
              <w:t xml:space="preserve"> by means of </w:t>
            </w:r>
            <w:r w:rsidR="00FC1504" w:rsidRPr="00BE345D">
              <w:rPr>
                <w:rFonts w:ascii="Arial" w:hAnsi="Arial" w:cs="Arial"/>
                <w:sz w:val="22"/>
                <w:szCs w:val="22"/>
              </w:rPr>
              <w:t xml:space="preserve">long term </w:t>
            </w:r>
            <w:r w:rsidRPr="00BE345D">
              <w:rPr>
                <w:rFonts w:ascii="Arial" w:hAnsi="Arial" w:cs="Arial"/>
                <w:sz w:val="22"/>
                <w:szCs w:val="22"/>
              </w:rPr>
              <w:t xml:space="preserve">generation contracts, and a </w:t>
            </w:r>
            <w:r w:rsidR="00FC1504" w:rsidRPr="00BE345D">
              <w:rPr>
                <w:rFonts w:ascii="Arial" w:hAnsi="Arial" w:cs="Arial"/>
                <w:sz w:val="22"/>
                <w:szCs w:val="22"/>
              </w:rPr>
              <w:t xml:space="preserve">parallel </w:t>
            </w:r>
            <w:r w:rsidRPr="00BE345D">
              <w:rPr>
                <w:rFonts w:ascii="Arial" w:hAnsi="Arial" w:cs="Arial"/>
                <w:sz w:val="22"/>
                <w:szCs w:val="22"/>
              </w:rPr>
              <w:t>free market of contracts</w:t>
            </w:r>
            <w:r w:rsidR="00FC1504" w:rsidRPr="00BE345D">
              <w:rPr>
                <w:rFonts w:ascii="Arial" w:hAnsi="Arial" w:cs="Arial"/>
                <w:sz w:val="22"/>
                <w:szCs w:val="22"/>
              </w:rPr>
              <w:t xml:space="preserve"> for larger consumers</w:t>
            </w:r>
            <w:r w:rsidRPr="00BE345D">
              <w:rPr>
                <w:rFonts w:ascii="Arial" w:hAnsi="Arial" w:cs="Arial"/>
                <w:sz w:val="22"/>
                <w:szCs w:val="22"/>
              </w:rPr>
              <w:t>.</w:t>
            </w:r>
          </w:p>
          <w:p w:rsidR="00E02914" w:rsidRDefault="00E02914" w:rsidP="00E47BEE">
            <w:pPr>
              <w:rPr>
                <w:rFonts w:ascii="Arial" w:hAnsi="Arial" w:cs="Arial"/>
                <w:sz w:val="22"/>
                <w:szCs w:val="22"/>
              </w:rPr>
            </w:pPr>
          </w:p>
          <w:p w:rsidR="00E02914" w:rsidRDefault="00E02914" w:rsidP="00E02914">
            <w:pPr>
              <w:rPr>
                <w:rFonts w:ascii="Arial" w:hAnsi="Arial" w:cs="Arial"/>
                <w:sz w:val="22"/>
                <w:szCs w:val="22"/>
              </w:rPr>
            </w:pPr>
            <w:r>
              <w:rPr>
                <w:rFonts w:ascii="Arial" w:hAnsi="Arial" w:cs="Arial"/>
                <w:sz w:val="22"/>
                <w:szCs w:val="22"/>
              </w:rPr>
              <w:t>Regarding public lighting, the costs of the service are covered by the municipalities, by means of a tax (</w:t>
            </w:r>
            <w:proofErr w:type="spellStart"/>
            <w:r w:rsidRPr="00EB4330">
              <w:rPr>
                <w:rFonts w:ascii="Arial" w:hAnsi="Arial" w:cs="Arial"/>
                <w:sz w:val="22"/>
                <w:szCs w:val="22"/>
              </w:rPr>
              <w:t>Custeio</w:t>
            </w:r>
            <w:proofErr w:type="spellEnd"/>
            <w:r w:rsidRPr="00EB4330">
              <w:rPr>
                <w:rFonts w:ascii="Arial" w:hAnsi="Arial" w:cs="Arial"/>
                <w:sz w:val="22"/>
                <w:szCs w:val="22"/>
              </w:rPr>
              <w:t xml:space="preserve"> do </w:t>
            </w:r>
            <w:proofErr w:type="spellStart"/>
            <w:r w:rsidRPr="00EB4330">
              <w:rPr>
                <w:rFonts w:ascii="Arial" w:hAnsi="Arial" w:cs="Arial"/>
                <w:sz w:val="22"/>
                <w:szCs w:val="22"/>
              </w:rPr>
              <w:t>Serviço</w:t>
            </w:r>
            <w:proofErr w:type="spellEnd"/>
            <w:r w:rsidRPr="00EB4330">
              <w:rPr>
                <w:rFonts w:ascii="Arial" w:hAnsi="Arial" w:cs="Arial"/>
                <w:sz w:val="22"/>
                <w:szCs w:val="22"/>
              </w:rPr>
              <w:t xml:space="preserve"> de </w:t>
            </w:r>
            <w:proofErr w:type="spellStart"/>
            <w:r w:rsidRPr="00EB4330">
              <w:rPr>
                <w:rFonts w:ascii="Arial" w:hAnsi="Arial" w:cs="Arial"/>
                <w:sz w:val="22"/>
                <w:szCs w:val="22"/>
              </w:rPr>
              <w:t>Iluminação</w:t>
            </w:r>
            <w:proofErr w:type="spellEnd"/>
            <w:r w:rsidRPr="00EB4330">
              <w:rPr>
                <w:rFonts w:ascii="Arial" w:hAnsi="Arial" w:cs="Arial"/>
                <w:sz w:val="22"/>
                <w:szCs w:val="22"/>
              </w:rPr>
              <w:t xml:space="preserve"> </w:t>
            </w:r>
            <w:proofErr w:type="spellStart"/>
            <w:r w:rsidRPr="00EB4330">
              <w:rPr>
                <w:rFonts w:ascii="Arial" w:hAnsi="Arial" w:cs="Arial"/>
                <w:sz w:val="22"/>
                <w:szCs w:val="22"/>
              </w:rPr>
              <w:t>Pública</w:t>
            </w:r>
            <w:proofErr w:type="spellEnd"/>
            <w:r w:rsidRPr="00EB4330">
              <w:rPr>
                <w:rFonts w:ascii="Arial" w:hAnsi="Arial" w:cs="Arial"/>
                <w:sz w:val="22"/>
                <w:szCs w:val="22"/>
              </w:rPr>
              <w:t xml:space="preserve"> - </w:t>
            </w:r>
            <w:r>
              <w:rPr>
                <w:rFonts w:ascii="Arial" w:hAnsi="Arial" w:cs="Arial"/>
                <w:sz w:val="22"/>
                <w:szCs w:val="22"/>
              </w:rPr>
              <w:t xml:space="preserve"> COSIP). This program will support a more efficient public lighting, hence supporting the financial sustainability of the service. </w:t>
            </w:r>
          </w:p>
          <w:p w:rsidR="00F938C5" w:rsidRPr="00BE345D" w:rsidRDefault="00F938C5" w:rsidP="00E47BEE">
            <w:pPr>
              <w:rPr>
                <w:rFonts w:ascii="Arial" w:hAnsi="Arial" w:cs="Arial"/>
                <w:sz w:val="22"/>
                <w:szCs w:val="22"/>
              </w:rPr>
            </w:pPr>
          </w:p>
          <w:p w:rsidR="00CC2555" w:rsidRPr="00BE345D" w:rsidRDefault="00F938C5" w:rsidP="00E47BEE">
            <w:pPr>
              <w:rPr>
                <w:rFonts w:ascii="Arial" w:hAnsi="Arial" w:cs="Arial"/>
                <w:sz w:val="22"/>
                <w:szCs w:val="22"/>
              </w:rPr>
            </w:pPr>
            <w:r w:rsidRPr="00BE345D">
              <w:rPr>
                <w:rFonts w:ascii="Arial" w:hAnsi="Arial" w:cs="Arial"/>
                <w:sz w:val="22"/>
                <w:szCs w:val="22"/>
              </w:rPr>
              <w:t xml:space="preserve">In recent years, given droughts, thermal power plants had to be included in the generation market to provide energy to the regulated market, at higher prices than the regulated market (short term prices). As such, distribution companies were exposed </w:t>
            </w:r>
            <w:r w:rsidR="00336FA1" w:rsidRPr="00BE345D">
              <w:rPr>
                <w:rFonts w:ascii="Arial" w:hAnsi="Arial" w:cs="Arial"/>
                <w:sz w:val="22"/>
                <w:szCs w:val="22"/>
              </w:rPr>
              <w:t>to high</w:t>
            </w:r>
            <w:r w:rsidRPr="00BE345D">
              <w:rPr>
                <w:rFonts w:ascii="Arial" w:hAnsi="Arial" w:cs="Arial"/>
                <w:sz w:val="22"/>
                <w:szCs w:val="22"/>
              </w:rPr>
              <w:t xml:space="preserve"> short term prices, which were not included in the tariff (given the yearly tariff review). This caused both: an increase in tariff (creating yellow and red flags, that were included as an additional charge), and also the necessity of transfers from the central government, to enable distribution companies to cover the cost of thermal generation during the droughts. These transfers were subsidized loans. The situation has now stabilized, with rain patters coming back to normal.</w:t>
            </w:r>
          </w:p>
          <w:p w:rsidR="00F938C5" w:rsidRPr="00BE345D" w:rsidRDefault="00F938C5" w:rsidP="00E47BEE">
            <w:pPr>
              <w:rPr>
                <w:rFonts w:ascii="Arial" w:hAnsi="Arial" w:cs="Arial"/>
                <w:sz w:val="22"/>
                <w:szCs w:val="22"/>
              </w:rPr>
            </w:pPr>
          </w:p>
          <w:p w:rsidR="00CC2555" w:rsidRPr="00BE345D" w:rsidRDefault="00F938C5" w:rsidP="00E47BEE">
            <w:pPr>
              <w:rPr>
                <w:rFonts w:ascii="Arial" w:hAnsi="Arial" w:cs="Arial"/>
                <w:sz w:val="22"/>
                <w:szCs w:val="22"/>
              </w:rPr>
            </w:pPr>
            <w:r w:rsidRPr="00BE345D">
              <w:rPr>
                <w:rFonts w:ascii="Arial" w:hAnsi="Arial" w:cs="Arial"/>
                <w:sz w:val="22"/>
                <w:szCs w:val="22"/>
              </w:rPr>
              <w:t xml:space="preserve">The current operation will help to reduce the vulnerability to this type of events, as it will </w:t>
            </w:r>
            <w:r w:rsidR="00E02914">
              <w:rPr>
                <w:rFonts w:ascii="Arial" w:hAnsi="Arial" w:cs="Arial"/>
                <w:sz w:val="22"/>
                <w:szCs w:val="22"/>
              </w:rPr>
              <w:t xml:space="preserve">support </w:t>
            </w:r>
            <w:r w:rsidR="007A4746">
              <w:rPr>
                <w:rFonts w:ascii="Arial" w:hAnsi="Arial" w:cs="Arial"/>
                <w:sz w:val="22"/>
                <w:szCs w:val="22"/>
              </w:rPr>
              <w:t>energy efficiency measures</w:t>
            </w:r>
            <w:r w:rsidR="00E02914">
              <w:rPr>
                <w:rFonts w:ascii="Arial" w:hAnsi="Arial" w:cs="Arial"/>
                <w:sz w:val="22"/>
                <w:szCs w:val="22"/>
              </w:rPr>
              <w:t>, which reduce the use of energy.</w:t>
            </w:r>
            <w:r w:rsidRPr="00BE345D">
              <w:rPr>
                <w:rFonts w:ascii="Arial" w:hAnsi="Arial" w:cs="Arial"/>
                <w:sz w:val="22"/>
                <w:szCs w:val="22"/>
              </w:rPr>
              <w:t xml:space="preserve"> </w:t>
            </w:r>
          </w:p>
        </w:tc>
      </w:tr>
      <w:tr w:rsidR="00EC251D" w:rsidRPr="00BE345D" w:rsidTr="006E5B3A">
        <w:trPr>
          <w:jc w:val="center"/>
        </w:trPr>
        <w:tc>
          <w:tcPr>
            <w:tcW w:w="2855" w:type="dxa"/>
            <w:shd w:val="clear" w:color="auto" w:fill="auto"/>
          </w:tcPr>
          <w:p w:rsidR="00EC251D" w:rsidRPr="00BE345D" w:rsidRDefault="00103304" w:rsidP="00E47BEE">
            <w:pPr>
              <w:numPr>
                <w:ilvl w:val="0"/>
                <w:numId w:val="4"/>
              </w:numPr>
              <w:ind w:left="386" w:hanging="450"/>
              <w:rPr>
                <w:rFonts w:ascii="Arial" w:hAnsi="Arial" w:cs="Arial"/>
                <w:bCs/>
                <w:sz w:val="22"/>
                <w:szCs w:val="22"/>
              </w:rPr>
            </w:pPr>
            <w:r w:rsidRPr="00BE345D">
              <w:rPr>
                <w:rFonts w:ascii="Arial" w:hAnsi="Arial" w:cs="Arial"/>
                <w:b/>
                <w:sz w:val="22"/>
                <w:szCs w:val="22"/>
              </w:rPr>
              <w:lastRenderedPageBreak/>
              <w:t>Separating institutional roles to improve sector governance.</w:t>
            </w:r>
          </w:p>
          <w:p w:rsidR="00EC251D" w:rsidRPr="00BE345D" w:rsidRDefault="00EC251D" w:rsidP="00E47BEE">
            <w:pPr>
              <w:ind w:left="330" w:hanging="150"/>
              <w:rPr>
                <w:rFonts w:ascii="Arial" w:hAnsi="Arial" w:cs="Arial"/>
                <w:b/>
                <w:bCs/>
                <w:i/>
                <w:sz w:val="22"/>
                <w:szCs w:val="22"/>
              </w:rPr>
            </w:pPr>
          </w:p>
          <w:p w:rsidR="00EC251D" w:rsidRPr="00BE345D" w:rsidRDefault="00EC251D" w:rsidP="00E47BEE">
            <w:pPr>
              <w:ind w:left="330" w:hanging="150"/>
              <w:rPr>
                <w:rFonts w:ascii="Arial" w:hAnsi="Arial" w:cs="Arial"/>
                <w:b/>
                <w:bCs/>
                <w:i/>
                <w:sz w:val="22"/>
                <w:szCs w:val="22"/>
              </w:rPr>
            </w:pPr>
          </w:p>
        </w:tc>
        <w:tc>
          <w:tcPr>
            <w:tcW w:w="4457" w:type="dxa"/>
            <w:gridSpan w:val="2"/>
            <w:shd w:val="clear" w:color="auto" w:fill="auto"/>
          </w:tcPr>
          <w:p w:rsidR="00EC251D" w:rsidRPr="00BE345D" w:rsidRDefault="00103304" w:rsidP="00E47BEE">
            <w:pPr>
              <w:pStyle w:val="Default"/>
              <w:rPr>
                <w:rFonts w:ascii="Arial" w:hAnsi="Arial" w:cs="Arial"/>
                <w:sz w:val="22"/>
                <w:szCs w:val="22"/>
              </w:rPr>
            </w:pPr>
            <w:r w:rsidRPr="00BE345D">
              <w:rPr>
                <w:rFonts w:ascii="Arial" w:hAnsi="Arial" w:cs="Arial"/>
                <w:color w:val="auto"/>
                <w:spacing w:val="-1"/>
                <w:sz w:val="22"/>
                <w:szCs w:val="22"/>
              </w:rPr>
              <w:t xml:space="preserve">Experience shows that the most effective organization for the sectors to achieve this Policy’s objective is the separation of the roles of policy-maker, regulator, and service provider. In this context, the sector authority retains responsibility for policy-making and planning, the public agencies determine and oversee compliance with the regulatory system, and public or private entities are assigned responsibility for providing the service. This Policy recognizes, nonetheless, that the institutional organization cannot follow a single model, but must be adapted to the specific features of each sector and country. In several of the region’s countries, responsibility for policy-making, regulation, and delivery of public utilities is based at the local (provincial or municipal) level. In these cases, where it is not necessarily optimal to separate the roles of policy-making and regulation, the Bank will promote homogeneous regulation, with adequate minimum quality parameters, rate-setting principles </w:t>
            </w:r>
            <w:r w:rsidRPr="00BE345D">
              <w:rPr>
                <w:rFonts w:ascii="Arial" w:hAnsi="Arial" w:cs="Arial"/>
                <w:sz w:val="22"/>
                <w:szCs w:val="22"/>
              </w:rPr>
              <w:t xml:space="preserve">supervision and control mechanisms. It will also help develop institutional mechanisms that strengthen appropriate management in the </w:t>
            </w:r>
            <w:r w:rsidRPr="00BE345D">
              <w:rPr>
                <w:rFonts w:ascii="Arial" w:hAnsi="Arial" w:cs="Arial"/>
                <w:sz w:val="22"/>
                <w:szCs w:val="22"/>
              </w:rPr>
              <w:lastRenderedPageBreak/>
              <w:t xml:space="preserve">framework of local legislation. </w:t>
            </w:r>
          </w:p>
        </w:tc>
        <w:tc>
          <w:tcPr>
            <w:tcW w:w="4742" w:type="dxa"/>
            <w:shd w:val="clear" w:color="auto" w:fill="auto"/>
          </w:tcPr>
          <w:p w:rsidR="003825A2" w:rsidRPr="00BE345D" w:rsidRDefault="003825A2" w:rsidP="00E47BEE">
            <w:pPr>
              <w:pStyle w:val="Default"/>
              <w:rPr>
                <w:rFonts w:ascii="Arial" w:hAnsi="Arial" w:cs="Arial"/>
                <w:color w:val="auto"/>
                <w:spacing w:val="-1"/>
                <w:sz w:val="22"/>
                <w:szCs w:val="22"/>
              </w:rPr>
            </w:pPr>
            <w:r w:rsidRPr="00BE345D">
              <w:rPr>
                <w:rFonts w:ascii="Arial" w:hAnsi="Arial" w:cs="Arial"/>
                <w:color w:val="auto"/>
                <w:spacing w:val="-1"/>
                <w:sz w:val="22"/>
                <w:szCs w:val="22"/>
              </w:rPr>
              <w:lastRenderedPageBreak/>
              <w:t>Brazil has a sophisticated and well-defined institutional framework in the energy sector, with policy-setting government authorities, regulatory agencies, state-owned enterprises, and private sector companies all operating in a dynamic market. Most of the existing energy laws and policies were put in place recently, following larger economic reforms introduced by the federal government in the 1990s and 2000s.</w:t>
            </w:r>
          </w:p>
          <w:p w:rsidR="00504714" w:rsidRPr="00BE345D" w:rsidRDefault="00504714" w:rsidP="00E47BEE">
            <w:pPr>
              <w:pStyle w:val="Default"/>
              <w:rPr>
                <w:rFonts w:ascii="Arial" w:hAnsi="Arial" w:cs="Arial"/>
                <w:color w:val="auto"/>
                <w:spacing w:val="-1"/>
                <w:sz w:val="22"/>
                <w:szCs w:val="22"/>
              </w:rPr>
            </w:pPr>
            <w:r w:rsidRPr="00BE345D">
              <w:rPr>
                <w:rFonts w:ascii="Arial" w:hAnsi="Arial" w:cs="Arial"/>
                <w:color w:val="auto"/>
                <w:spacing w:val="-1"/>
                <w:sz w:val="22"/>
                <w:szCs w:val="22"/>
              </w:rPr>
              <w:t>The National Council for Energy Policy (CNPE) is the highest-level body in charge of setting energy policy in Brazil. The Ministry of Mines and Energy (MME) has the overall policy-making responsibility for the electricity sector while ANEEL is responsible for regulating and controlling electricity generation, transmission and distribution in compliance with existing legislation.</w:t>
            </w:r>
          </w:p>
          <w:p w:rsidR="003825A2" w:rsidRPr="00BE345D" w:rsidRDefault="008968C5" w:rsidP="00E47BEE">
            <w:pPr>
              <w:spacing w:after="200" w:line="276" w:lineRule="auto"/>
              <w:rPr>
                <w:rFonts w:ascii="Arial" w:hAnsi="Arial" w:cs="Arial"/>
                <w:sz w:val="22"/>
                <w:szCs w:val="22"/>
              </w:rPr>
            </w:pPr>
            <w:r w:rsidRPr="00BE345D">
              <w:rPr>
                <w:rFonts w:ascii="Arial" w:hAnsi="Arial" w:cs="Arial"/>
                <w:sz w:val="22"/>
                <w:szCs w:val="22"/>
              </w:rPr>
              <w:t>After the market reform in Brazil, there is an Independent Regulatory Agency</w:t>
            </w:r>
            <w:r w:rsidR="00875B5D" w:rsidRPr="00BE345D">
              <w:rPr>
                <w:rFonts w:ascii="Arial" w:hAnsi="Arial" w:cs="Arial"/>
                <w:sz w:val="22"/>
                <w:szCs w:val="22"/>
              </w:rPr>
              <w:t xml:space="preserve"> (ANEEL)</w:t>
            </w:r>
            <w:r w:rsidRPr="00BE345D">
              <w:rPr>
                <w:rFonts w:ascii="Arial" w:hAnsi="Arial" w:cs="Arial"/>
                <w:sz w:val="22"/>
                <w:szCs w:val="22"/>
              </w:rPr>
              <w:t>, an Independent System Operator</w:t>
            </w:r>
            <w:r w:rsidR="00875B5D" w:rsidRPr="00BE345D">
              <w:rPr>
                <w:rFonts w:ascii="Arial" w:hAnsi="Arial" w:cs="Arial"/>
                <w:sz w:val="22"/>
                <w:szCs w:val="22"/>
              </w:rPr>
              <w:t xml:space="preserve"> (ONS) </w:t>
            </w:r>
            <w:r w:rsidRPr="00BE345D">
              <w:rPr>
                <w:rFonts w:ascii="Arial" w:hAnsi="Arial" w:cs="Arial"/>
                <w:sz w:val="22"/>
                <w:szCs w:val="22"/>
              </w:rPr>
              <w:t>and an Independent Clearing House</w:t>
            </w:r>
            <w:r w:rsidR="00875B5D" w:rsidRPr="00BE345D">
              <w:rPr>
                <w:rFonts w:ascii="Arial" w:hAnsi="Arial" w:cs="Arial"/>
                <w:sz w:val="22"/>
                <w:szCs w:val="22"/>
              </w:rPr>
              <w:t xml:space="preserve"> (CCEE)</w:t>
            </w:r>
            <w:r w:rsidRPr="00BE345D">
              <w:rPr>
                <w:rFonts w:ascii="Arial" w:hAnsi="Arial" w:cs="Arial"/>
                <w:sz w:val="22"/>
                <w:szCs w:val="22"/>
              </w:rPr>
              <w:t xml:space="preserve">. </w:t>
            </w:r>
            <w:r w:rsidR="00875B5D" w:rsidRPr="00BE345D">
              <w:rPr>
                <w:rFonts w:ascii="Arial" w:hAnsi="Arial" w:cs="Arial"/>
                <w:sz w:val="22"/>
                <w:szCs w:val="22"/>
              </w:rPr>
              <w:t xml:space="preserve">There is also a separated planning agency, in charge of producing the indicative plans for the sector (EPE). </w:t>
            </w:r>
            <w:r w:rsidRPr="00BE345D">
              <w:rPr>
                <w:rFonts w:ascii="Arial" w:hAnsi="Arial" w:cs="Arial"/>
                <w:sz w:val="22"/>
                <w:szCs w:val="22"/>
              </w:rPr>
              <w:t xml:space="preserve">There is competition on </w:t>
            </w:r>
            <w:r w:rsidRPr="00BE345D">
              <w:rPr>
                <w:rFonts w:ascii="Arial" w:hAnsi="Arial" w:cs="Arial"/>
                <w:sz w:val="22"/>
                <w:szCs w:val="22"/>
              </w:rPr>
              <w:lastRenderedPageBreak/>
              <w:t xml:space="preserve">generation, independent power producers and free commercialization and pricing for electricity. </w:t>
            </w:r>
            <w:r w:rsidR="00875B5D" w:rsidRPr="00BE345D">
              <w:rPr>
                <w:rFonts w:ascii="Arial" w:hAnsi="Arial" w:cs="Arial"/>
                <w:sz w:val="22"/>
                <w:szCs w:val="22"/>
              </w:rPr>
              <w:t>Transmission and distribution tariffs are regulated.</w:t>
            </w:r>
            <w:r w:rsidR="002033D8" w:rsidRPr="00BE345D">
              <w:rPr>
                <w:rFonts w:ascii="Arial" w:hAnsi="Arial" w:cs="Arial"/>
                <w:sz w:val="22"/>
                <w:szCs w:val="22"/>
              </w:rPr>
              <w:t xml:space="preserve"> </w:t>
            </w:r>
            <w:r w:rsidR="00875B5D" w:rsidRPr="00BE345D">
              <w:rPr>
                <w:rFonts w:ascii="Arial" w:hAnsi="Arial" w:cs="Arial"/>
                <w:sz w:val="22"/>
                <w:szCs w:val="22"/>
              </w:rPr>
              <w:t xml:space="preserve">There are also public companies, which operate under the rules of the market. </w:t>
            </w:r>
          </w:p>
        </w:tc>
      </w:tr>
      <w:tr w:rsidR="00EC251D" w:rsidRPr="00BE345D" w:rsidTr="006E5B3A">
        <w:trPr>
          <w:jc w:val="center"/>
        </w:trPr>
        <w:tc>
          <w:tcPr>
            <w:tcW w:w="2855" w:type="dxa"/>
            <w:shd w:val="clear" w:color="auto" w:fill="auto"/>
          </w:tcPr>
          <w:p w:rsidR="00EC251D" w:rsidRPr="00BE345D" w:rsidRDefault="00EC251D" w:rsidP="00E47BEE">
            <w:pPr>
              <w:numPr>
                <w:ilvl w:val="0"/>
                <w:numId w:val="4"/>
              </w:numPr>
              <w:ind w:left="386" w:hanging="450"/>
              <w:rPr>
                <w:rFonts w:ascii="Arial" w:hAnsi="Arial" w:cs="Arial"/>
                <w:b/>
                <w:bCs/>
                <w:sz w:val="22"/>
                <w:szCs w:val="22"/>
              </w:rPr>
            </w:pPr>
            <w:r w:rsidRPr="00BE345D">
              <w:rPr>
                <w:rFonts w:ascii="Arial" w:hAnsi="Arial" w:cs="Arial"/>
                <w:b/>
                <w:spacing w:val="1"/>
                <w:sz w:val="22"/>
                <w:szCs w:val="22"/>
              </w:rPr>
              <w:lastRenderedPageBreak/>
              <w:t>E</w:t>
            </w:r>
            <w:r w:rsidRPr="00BE345D">
              <w:rPr>
                <w:rFonts w:ascii="Arial" w:hAnsi="Arial" w:cs="Arial"/>
                <w:b/>
                <w:sz w:val="22"/>
                <w:szCs w:val="22"/>
              </w:rPr>
              <w:t>s</w:t>
            </w:r>
            <w:r w:rsidRPr="00BE345D">
              <w:rPr>
                <w:rFonts w:ascii="Arial" w:hAnsi="Arial" w:cs="Arial"/>
                <w:b/>
                <w:spacing w:val="-1"/>
                <w:sz w:val="22"/>
                <w:szCs w:val="22"/>
              </w:rPr>
              <w:t>t</w:t>
            </w:r>
            <w:r w:rsidRPr="00BE345D">
              <w:rPr>
                <w:rFonts w:ascii="Arial" w:hAnsi="Arial" w:cs="Arial"/>
                <w:b/>
                <w:sz w:val="22"/>
                <w:szCs w:val="22"/>
              </w:rPr>
              <w:t>a</w:t>
            </w:r>
            <w:r w:rsidRPr="00BE345D">
              <w:rPr>
                <w:rFonts w:ascii="Arial" w:hAnsi="Arial" w:cs="Arial"/>
                <w:b/>
                <w:spacing w:val="1"/>
                <w:sz w:val="22"/>
                <w:szCs w:val="22"/>
              </w:rPr>
              <w:t>b</w:t>
            </w:r>
            <w:r w:rsidRPr="00BE345D">
              <w:rPr>
                <w:rFonts w:ascii="Arial" w:hAnsi="Arial" w:cs="Arial"/>
                <w:b/>
                <w:sz w:val="22"/>
                <w:szCs w:val="22"/>
              </w:rPr>
              <w:t>l</w:t>
            </w:r>
            <w:r w:rsidR="00103304" w:rsidRPr="00BE345D">
              <w:rPr>
                <w:rFonts w:ascii="Arial" w:hAnsi="Arial" w:cs="Arial"/>
                <w:b/>
                <w:spacing w:val="-1"/>
                <w:sz w:val="22"/>
                <w:szCs w:val="22"/>
              </w:rPr>
              <w:t>ishing the most appropriate sector structure given the characteristics of the Service and the objective of the Policy.</w:t>
            </w:r>
          </w:p>
        </w:tc>
        <w:tc>
          <w:tcPr>
            <w:tcW w:w="4457" w:type="dxa"/>
            <w:gridSpan w:val="2"/>
            <w:shd w:val="clear" w:color="auto" w:fill="auto"/>
          </w:tcPr>
          <w:p w:rsidR="00CC5989" w:rsidRPr="00BE345D" w:rsidRDefault="00CC5989" w:rsidP="00E47BEE">
            <w:pPr>
              <w:pStyle w:val="Default"/>
              <w:rPr>
                <w:rFonts w:ascii="Arial" w:hAnsi="Arial" w:cs="Arial"/>
                <w:sz w:val="22"/>
                <w:szCs w:val="22"/>
              </w:rPr>
            </w:pPr>
            <w:r w:rsidRPr="00BE345D">
              <w:rPr>
                <w:rFonts w:ascii="Arial" w:hAnsi="Arial" w:cs="Arial"/>
                <w:color w:val="auto"/>
                <w:sz w:val="22"/>
                <w:szCs w:val="22"/>
              </w:rPr>
              <w:t xml:space="preserve">Experience in reform processes and management changes in Latin America and the Caribbean shows that good or bad performance by public utilities providers is not necessarily explained by the type of ownership (public or private), or by the sector’s structure (monopoly or competitive). For that reason, and considering the heterogeneity of markets and services in the region, this Policy does not promote a single sector industrial organization for the delivery of public utilities, and emphasizes that regardless of the management model </w:t>
            </w:r>
            <w:r w:rsidR="00336FA1" w:rsidRPr="00BE345D">
              <w:rPr>
                <w:rFonts w:ascii="Arial" w:hAnsi="Arial" w:cs="Arial"/>
                <w:color w:val="auto"/>
                <w:sz w:val="22"/>
                <w:szCs w:val="22"/>
              </w:rPr>
              <w:t>used;</w:t>
            </w:r>
            <w:r w:rsidRPr="00BE345D">
              <w:rPr>
                <w:rFonts w:ascii="Arial" w:hAnsi="Arial" w:cs="Arial"/>
                <w:color w:val="auto"/>
                <w:sz w:val="22"/>
                <w:szCs w:val="22"/>
              </w:rPr>
              <w:t xml:space="preserve"> there must be good governance practices and a clear,</w:t>
            </w:r>
            <w:r w:rsidRPr="00BE345D">
              <w:rPr>
                <w:rFonts w:ascii="Arial" w:hAnsi="Arial" w:cs="Arial"/>
                <w:sz w:val="22"/>
                <w:szCs w:val="22"/>
              </w:rPr>
              <w:t xml:space="preserve"> predictable, stable regulatory framework that encourages efficiency and investment. </w:t>
            </w:r>
          </w:p>
        </w:tc>
        <w:tc>
          <w:tcPr>
            <w:tcW w:w="4742" w:type="dxa"/>
            <w:shd w:val="clear" w:color="auto" w:fill="auto"/>
          </w:tcPr>
          <w:p w:rsidR="00EC251D" w:rsidRPr="00BE345D" w:rsidRDefault="00FC1504" w:rsidP="00E47BEE">
            <w:pPr>
              <w:rPr>
                <w:rFonts w:ascii="Arial" w:hAnsi="Arial" w:cs="Arial"/>
                <w:sz w:val="22"/>
                <w:szCs w:val="22"/>
              </w:rPr>
            </w:pPr>
            <w:r w:rsidRPr="00BE345D">
              <w:rPr>
                <w:rFonts w:ascii="Arial" w:hAnsi="Arial" w:cs="Arial"/>
                <w:sz w:val="22"/>
                <w:szCs w:val="22"/>
              </w:rPr>
              <w:t>The Brazilian electricity sector is based on a competitive market in the generation segment, where generation contracts are awarded by yearly bids, based on projected demand. The transmission sector is based also on concessions awarded also by bids. The distribution sector is a regulated monopoly, with the participation of 64 companies, which have their tariffs regulated by a central regulated. There is separation of the generation, transmission and distribution segments. While there is public and private participation, public companies operate under the same set of rules and conditions than private companies.</w:t>
            </w:r>
          </w:p>
          <w:p w:rsidR="00FC1504" w:rsidRDefault="00FC1504" w:rsidP="00E47BEE">
            <w:pPr>
              <w:rPr>
                <w:rFonts w:ascii="Arial" w:hAnsi="Arial" w:cs="Arial"/>
                <w:sz w:val="22"/>
                <w:szCs w:val="22"/>
              </w:rPr>
            </w:pPr>
            <w:r w:rsidRPr="00BE345D">
              <w:rPr>
                <w:rFonts w:ascii="Arial" w:hAnsi="Arial" w:cs="Arial"/>
                <w:sz w:val="22"/>
                <w:szCs w:val="22"/>
              </w:rPr>
              <w:t xml:space="preserve">The current regulatory framework was established in the 90’s, and was improved following the electricity sector crisis of 2001. As such, it can be considered a stable regulatory </w:t>
            </w:r>
            <w:r w:rsidR="00336FA1" w:rsidRPr="00BE345D">
              <w:rPr>
                <w:rFonts w:ascii="Arial" w:hAnsi="Arial" w:cs="Arial"/>
                <w:sz w:val="22"/>
                <w:szCs w:val="22"/>
              </w:rPr>
              <w:t>framework that</w:t>
            </w:r>
            <w:r w:rsidRPr="00BE345D">
              <w:rPr>
                <w:rFonts w:ascii="Arial" w:hAnsi="Arial" w:cs="Arial"/>
                <w:sz w:val="22"/>
                <w:szCs w:val="22"/>
              </w:rPr>
              <w:t xml:space="preserve"> provides clear, predictable, and stable rules to encourage efficiency and investment.</w:t>
            </w:r>
          </w:p>
          <w:p w:rsidR="00E02914" w:rsidRDefault="00E02914" w:rsidP="00E47BEE">
            <w:pPr>
              <w:rPr>
                <w:rFonts w:ascii="Arial" w:hAnsi="Arial" w:cs="Arial"/>
                <w:sz w:val="22"/>
                <w:szCs w:val="22"/>
              </w:rPr>
            </w:pPr>
          </w:p>
          <w:p w:rsidR="00E02914" w:rsidRDefault="00E02914" w:rsidP="00E47BEE">
            <w:pPr>
              <w:rPr>
                <w:rFonts w:ascii="Arial" w:hAnsi="Arial" w:cs="Arial"/>
                <w:sz w:val="22"/>
                <w:szCs w:val="22"/>
              </w:rPr>
            </w:pPr>
            <w:r>
              <w:rPr>
                <w:rFonts w:ascii="Arial" w:hAnsi="Arial" w:cs="Arial"/>
                <w:sz w:val="22"/>
                <w:szCs w:val="22"/>
              </w:rPr>
              <w:t>Regarding public lighting, municipalities are in</w:t>
            </w:r>
          </w:p>
          <w:p w:rsidR="00E02914" w:rsidRPr="00BE345D" w:rsidRDefault="00E02914" w:rsidP="00E47BEE">
            <w:pPr>
              <w:rPr>
                <w:rFonts w:ascii="Arial" w:hAnsi="Arial" w:cs="Arial"/>
                <w:sz w:val="22"/>
                <w:szCs w:val="22"/>
              </w:rPr>
            </w:pPr>
            <w:r>
              <w:rPr>
                <w:rFonts w:ascii="Arial" w:hAnsi="Arial" w:cs="Arial"/>
                <w:sz w:val="22"/>
                <w:szCs w:val="22"/>
              </w:rPr>
              <w:t xml:space="preserve">charge of this service. They can performed by </w:t>
            </w:r>
            <w:r>
              <w:rPr>
                <w:rFonts w:ascii="Arial" w:hAnsi="Arial" w:cs="Arial"/>
                <w:sz w:val="22"/>
                <w:szCs w:val="22"/>
              </w:rPr>
              <w:lastRenderedPageBreak/>
              <w:t xml:space="preserve">themselves or contract third-parties to do it. The Program will support small and medium size municipalities to implement efficient public lighting.   </w:t>
            </w:r>
          </w:p>
        </w:tc>
      </w:tr>
      <w:tr w:rsidR="00EC251D" w:rsidRPr="00BE345D" w:rsidTr="006E5B3A">
        <w:trPr>
          <w:jc w:val="center"/>
        </w:trPr>
        <w:tc>
          <w:tcPr>
            <w:tcW w:w="2855" w:type="dxa"/>
            <w:shd w:val="clear" w:color="auto" w:fill="auto"/>
          </w:tcPr>
          <w:p w:rsidR="00EC251D" w:rsidRPr="00BE345D" w:rsidRDefault="00CC5989" w:rsidP="00E47BEE">
            <w:pPr>
              <w:numPr>
                <w:ilvl w:val="0"/>
                <w:numId w:val="4"/>
              </w:numPr>
              <w:ind w:left="386" w:hanging="450"/>
              <w:rPr>
                <w:rFonts w:ascii="Arial" w:hAnsi="Arial" w:cs="Arial"/>
                <w:b/>
                <w:bCs/>
                <w:sz w:val="22"/>
                <w:szCs w:val="22"/>
              </w:rPr>
            </w:pPr>
            <w:r w:rsidRPr="00BE345D">
              <w:rPr>
                <w:rFonts w:ascii="Arial" w:hAnsi="Arial" w:cs="Arial"/>
                <w:b/>
                <w:spacing w:val="1"/>
                <w:sz w:val="22"/>
                <w:szCs w:val="22"/>
              </w:rPr>
              <w:lastRenderedPageBreak/>
              <w:t xml:space="preserve">The role of economic regulation in creating incentives for efficient, investment, and protection of users’ rights. </w:t>
            </w:r>
          </w:p>
        </w:tc>
        <w:tc>
          <w:tcPr>
            <w:tcW w:w="4457" w:type="dxa"/>
            <w:gridSpan w:val="2"/>
            <w:shd w:val="clear" w:color="auto" w:fill="auto"/>
          </w:tcPr>
          <w:p w:rsidR="00CC5989" w:rsidRPr="00BE345D" w:rsidRDefault="00CC5989" w:rsidP="00E47BEE">
            <w:pPr>
              <w:pStyle w:val="Default"/>
              <w:rPr>
                <w:rFonts w:ascii="Arial" w:hAnsi="Arial" w:cs="Arial"/>
                <w:color w:val="auto"/>
                <w:sz w:val="22"/>
                <w:szCs w:val="22"/>
              </w:rPr>
            </w:pPr>
            <w:r w:rsidRPr="00BE345D">
              <w:rPr>
                <w:rFonts w:ascii="Arial" w:hAnsi="Arial" w:cs="Arial"/>
                <w:color w:val="auto"/>
                <w:sz w:val="22"/>
                <w:szCs w:val="22"/>
              </w:rPr>
              <w:t xml:space="preserve">The adoption of an effective regulatory system tailored to the specific conditions of each sector in each country is a key factor for achieving the Policy’s objectives. A regulatory system should help reduce the capital cost of service providers, encourage investment, set service quality standards, and allow service providers to obtain sufficient revenues to be financially sustainable. The selection of the most appropriate institutional instrument for the specific conditions of the country and the service is of the utmost importance for the effectiveness and sustainability of the regulatory process. This instrument may take various forms, from regulation by contract to more complex methods that require the creation of a multisector regulatory body or even a specific one for each service. The probability that economic regulation will contribute to achieving the Policy’s objectives increases with the degree of independence, autonomy, and transparency of the regulatory institutions and processes. </w:t>
            </w:r>
          </w:p>
          <w:p w:rsidR="00EC251D" w:rsidRPr="00BE345D" w:rsidRDefault="00CC5989" w:rsidP="00E47BEE">
            <w:pPr>
              <w:pStyle w:val="Default"/>
              <w:rPr>
                <w:rFonts w:ascii="Arial" w:hAnsi="Arial" w:cs="Arial"/>
                <w:sz w:val="22"/>
                <w:szCs w:val="22"/>
              </w:rPr>
            </w:pPr>
            <w:r w:rsidRPr="00BE345D">
              <w:rPr>
                <w:rFonts w:ascii="Arial" w:hAnsi="Arial" w:cs="Arial"/>
                <w:color w:val="auto"/>
                <w:sz w:val="22"/>
                <w:szCs w:val="22"/>
              </w:rPr>
              <w:t xml:space="preserve">The promotion of users’ rights should be a core objective of the service regulation process. Thus, regulation should ensure </w:t>
            </w:r>
            <w:r w:rsidRPr="00BE345D">
              <w:rPr>
                <w:rFonts w:ascii="Arial" w:hAnsi="Arial" w:cs="Arial"/>
                <w:color w:val="auto"/>
                <w:sz w:val="22"/>
                <w:szCs w:val="22"/>
              </w:rPr>
              <w:lastRenderedPageBreak/>
              <w:t xml:space="preserve">that the efficiency gains achieved over time by the service providers are passed on to the users through rate reductions or improvements in service quality. For this to happen, it is essential to prevent the abuse of dominant market power by the provider and strictly apply the standards for quality of service. Regardless of the sector structure and institutional regulation model selected by each country, the Bank will provide assistance in developing information systems that show policy-makers and users the structure and cost and rate levels at all stages of service production. </w:t>
            </w:r>
          </w:p>
        </w:tc>
        <w:tc>
          <w:tcPr>
            <w:tcW w:w="4742" w:type="dxa"/>
            <w:shd w:val="clear" w:color="auto" w:fill="auto"/>
          </w:tcPr>
          <w:p w:rsidR="00BD2BE8" w:rsidRPr="00BE345D" w:rsidRDefault="00BD2BE8" w:rsidP="00E47BEE">
            <w:pPr>
              <w:rPr>
                <w:rFonts w:ascii="Arial" w:hAnsi="Arial" w:cs="Arial"/>
                <w:color w:val="222222"/>
                <w:sz w:val="22"/>
                <w:szCs w:val="22"/>
              </w:rPr>
            </w:pPr>
            <w:r w:rsidRPr="00BE345D">
              <w:rPr>
                <w:rFonts w:ascii="Arial" w:hAnsi="Arial" w:cs="Arial"/>
                <w:color w:val="222222"/>
                <w:sz w:val="22"/>
                <w:szCs w:val="22"/>
              </w:rPr>
              <w:lastRenderedPageBreak/>
              <w:t>ANEEL main tasks include: (i) regulate generation (production), transmission, distribution</w:t>
            </w:r>
            <w:r w:rsidR="00E47BEE" w:rsidRPr="00BE345D">
              <w:rPr>
                <w:rFonts w:ascii="Arial" w:hAnsi="Arial" w:cs="Arial"/>
                <w:color w:val="222222"/>
                <w:sz w:val="22"/>
                <w:szCs w:val="22"/>
              </w:rPr>
              <w:t xml:space="preserve"> and sale of electricity; (ii) </w:t>
            </w:r>
            <w:r w:rsidRPr="00BE345D">
              <w:rPr>
                <w:rFonts w:ascii="Arial" w:hAnsi="Arial" w:cs="Arial"/>
                <w:color w:val="222222"/>
                <w:sz w:val="22"/>
                <w:szCs w:val="22"/>
              </w:rPr>
              <w:t>overseeing, directly or through agreements with state agencies, concessions, permissions and electricity services; (iii) implements policies and guidelines of the federal government regarding the exploitation of electricity and the use of hydraulic potential; (iv) establishes tariffs; (v) settles disagreements at the administrative level, between agents and between these agents and consumers;</w:t>
            </w:r>
            <w:r w:rsidR="00E47BEE" w:rsidRPr="00BE345D">
              <w:rPr>
                <w:rFonts w:ascii="Arial" w:hAnsi="Arial" w:cs="Arial"/>
                <w:color w:val="222222"/>
                <w:sz w:val="22"/>
                <w:szCs w:val="22"/>
              </w:rPr>
              <w:t xml:space="preserve"> and</w:t>
            </w:r>
            <w:r w:rsidRPr="00BE345D">
              <w:rPr>
                <w:rFonts w:ascii="Arial" w:hAnsi="Arial" w:cs="Arial"/>
                <w:color w:val="222222"/>
                <w:sz w:val="22"/>
                <w:szCs w:val="22"/>
              </w:rPr>
              <w:t xml:space="preserve"> (vi) promotes the activities of granting concession, permission and authorization of projects and electricity services, as delegated by the Federal Government .</w:t>
            </w:r>
          </w:p>
          <w:p w:rsidR="00B54A3D" w:rsidRPr="00BE345D" w:rsidRDefault="00B54A3D" w:rsidP="00E47BEE">
            <w:pPr>
              <w:pStyle w:val="Default"/>
              <w:rPr>
                <w:rFonts w:ascii="Arial" w:hAnsi="Arial" w:cs="Arial"/>
                <w:sz w:val="22"/>
                <w:szCs w:val="22"/>
              </w:rPr>
            </w:pPr>
          </w:p>
        </w:tc>
      </w:tr>
      <w:tr w:rsidR="00EC251D" w:rsidRPr="00BE345D" w:rsidTr="006E5B3A">
        <w:trPr>
          <w:jc w:val="center"/>
        </w:trPr>
        <w:tc>
          <w:tcPr>
            <w:tcW w:w="2855" w:type="dxa"/>
            <w:shd w:val="clear" w:color="auto" w:fill="auto"/>
          </w:tcPr>
          <w:p w:rsidR="00EC251D" w:rsidRPr="00BE345D" w:rsidRDefault="00CC5989" w:rsidP="00E47BEE">
            <w:pPr>
              <w:numPr>
                <w:ilvl w:val="0"/>
                <w:numId w:val="4"/>
              </w:numPr>
              <w:ind w:left="386" w:hanging="450"/>
              <w:rPr>
                <w:rFonts w:ascii="Arial" w:hAnsi="Arial" w:cs="Arial"/>
                <w:b/>
                <w:bCs/>
                <w:sz w:val="22"/>
                <w:szCs w:val="22"/>
              </w:rPr>
            </w:pPr>
            <w:r w:rsidRPr="00BE345D">
              <w:rPr>
                <w:rFonts w:ascii="Arial" w:hAnsi="Arial" w:cs="Arial"/>
                <w:b/>
                <w:spacing w:val="1"/>
                <w:sz w:val="22"/>
                <w:szCs w:val="22"/>
              </w:rPr>
              <w:t>Creating the proper conditions so private participation in public utilities service delivery is a viable option</w:t>
            </w:r>
            <w:r w:rsidR="00745F47" w:rsidRPr="00BE345D">
              <w:rPr>
                <w:rFonts w:ascii="Arial" w:hAnsi="Arial" w:cs="Arial"/>
                <w:b/>
                <w:spacing w:val="1"/>
                <w:sz w:val="22"/>
                <w:szCs w:val="22"/>
              </w:rPr>
              <w:t>.</w:t>
            </w:r>
          </w:p>
        </w:tc>
        <w:tc>
          <w:tcPr>
            <w:tcW w:w="4457" w:type="dxa"/>
            <w:gridSpan w:val="2"/>
            <w:shd w:val="clear" w:color="auto" w:fill="auto"/>
          </w:tcPr>
          <w:p w:rsidR="00EC251D" w:rsidRPr="00BE345D" w:rsidRDefault="001D396E" w:rsidP="00E47BEE">
            <w:pPr>
              <w:pStyle w:val="Default"/>
              <w:rPr>
                <w:rFonts w:ascii="Arial" w:hAnsi="Arial" w:cs="Arial"/>
                <w:sz w:val="22"/>
                <w:szCs w:val="22"/>
              </w:rPr>
            </w:pPr>
            <w:r w:rsidRPr="00BE345D">
              <w:rPr>
                <w:rFonts w:ascii="Arial" w:hAnsi="Arial" w:cs="Arial"/>
                <w:color w:val="auto"/>
                <w:spacing w:val="1"/>
                <w:sz w:val="22"/>
                <w:szCs w:val="22"/>
              </w:rPr>
              <w:t xml:space="preserve">This Policy recognizes that competition has the potential to increase productive efficiency and quality of service. In markets where production technology does not exhibit characteristics specific to natural monopolies, market competition can be generated by allowing several companies to offer services simultaneously. When the markets are natural monopolies, competition for market can produce the same results as competition in the market, as long as the process of selection and regulation of the company providing the service is open and effective. The Policy also recognizes that private participation (in any of its manifestations, including management contracts, concessions, or </w:t>
            </w:r>
            <w:r w:rsidRPr="00BE345D">
              <w:rPr>
                <w:rFonts w:ascii="Arial" w:hAnsi="Arial" w:cs="Arial"/>
                <w:color w:val="auto"/>
                <w:spacing w:val="1"/>
                <w:sz w:val="22"/>
                <w:szCs w:val="22"/>
              </w:rPr>
              <w:lastRenderedPageBreak/>
              <w:t>mixed-ownership enterprises) is a key tool for closing gaps in the quantity and quality of utilities in the region. Attracting private participation to the services covered under this Policy and maximizing its impact on efficiency gains in service management depends on the existence of a macroeconomic context that favors investment and credit, a clear, stable institutional and regulatory framework, and economic conditions that reduce capital cost and allow for reasonable returns on investment. In those cases where the countries consider that competition and implementation of public-private partnerships are suitable mechanisms for promoting the expansion of the supply and enhancing the quality and efficiency of public utilities services,</w:t>
            </w:r>
            <w:r w:rsidRPr="00BE345D">
              <w:rPr>
                <w:rFonts w:ascii="Arial" w:hAnsi="Arial" w:cs="Arial"/>
                <w:sz w:val="22"/>
                <w:szCs w:val="22"/>
              </w:rPr>
              <w:t xml:space="preserve"> the Bank will provide assistance in strengthening the institutional and legal framework and in developing rules and mechanisms that encourage the participation of enterprises under equal conditions. </w:t>
            </w:r>
          </w:p>
        </w:tc>
        <w:tc>
          <w:tcPr>
            <w:tcW w:w="4742" w:type="dxa"/>
            <w:shd w:val="clear" w:color="auto" w:fill="auto"/>
          </w:tcPr>
          <w:p w:rsidR="00653DF5" w:rsidRPr="00BE345D" w:rsidRDefault="00653DF5" w:rsidP="00E47BEE">
            <w:pPr>
              <w:pStyle w:val="Default"/>
              <w:rPr>
                <w:rFonts w:ascii="Arial" w:hAnsi="Arial" w:cs="Arial"/>
                <w:color w:val="auto"/>
                <w:spacing w:val="1"/>
                <w:sz w:val="22"/>
                <w:szCs w:val="22"/>
              </w:rPr>
            </w:pPr>
            <w:r w:rsidRPr="00BE345D">
              <w:rPr>
                <w:rFonts w:ascii="Arial" w:hAnsi="Arial" w:cs="Arial"/>
                <w:color w:val="auto"/>
                <w:spacing w:val="1"/>
                <w:sz w:val="22"/>
                <w:szCs w:val="22"/>
              </w:rPr>
              <w:lastRenderedPageBreak/>
              <w:t>Brazil has created various tools to stimulate private investors to invest in the energy sector in particular to develop projects related to renewable power. A wide range of initiatives have been implemented to benefit the renewable power sector, among which:</w:t>
            </w:r>
          </w:p>
          <w:p w:rsidR="00EC251D" w:rsidRPr="00BE345D" w:rsidRDefault="00653DF5" w:rsidP="00E47BEE">
            <w:pPr>
              <w:pStyle w:val="Default"/>
              <w:rPr>
                <w:rFonts w:ascii="Arial" w:hAnsi="Arial" w:cs="Arial"/>
                <w:color w:val="auto"/>
                <w:spacing w:val="1"/>
                <w:sz w:val="22"/>
                <w:szCs w:val="22"/>
              </w:rPr>
            </w:pPr>
            <w:r w:rsidRPr="00BE345D">
              <w:rPr>
                <w:rFonts w:ascii="Arial" w:hAnsi="Arial" w:cs="Arial"/>
                <w:color w:val="auto"/>
                <w:spacing w:val="1"/>
                <w:sz w:val="22"/>
                <w:szCs w:val="22"/>
              </w:rPr>
              <w:t>(</w:t>
            </w:r>
            <w:proofErr w:type="spellStart"/>
            <w:r w:rsidRPr="00BE345D">
              <w:rPr>
                <w:rFonts w:ascii="Arial" w:hAnsi="Arial" w:cs="Arial"/>
                <w:color w:val="auto"/>
                <w:spacing w:val="1"/>
                <w:sz w:val="22"/>
                <w:szCs w:val="22"/>
              </w:rPr>
              <w:t>i</w:t>
            </w:r>
            <w:proofErr w:type="spellEnd"/>
            <w:r w:rsidRPr="00BE345D">
              <w:rPr>
                <w:rFonts w:ascii="Arial" w:hAnsi="Arial" w:cs="Arial"/>
                <w:color w:val="auto"/>
                <w:spacing w:val="1"/>
                <w:sz w:val="22"/>
                <w:szCs w:val="22"/>
              </w:rPr>
              <w:t xml:space="preserve">) </w:t>
            </w:r>
            <w:r w:rsidR="006E5B3A">
              <w:rPr>
                <w:rFonts w:ascii="Arial" w:hAnsi="Arial" w:cs="Arial"/>
                <w:color w:val="auto"/>
                <w:spacing w:val="1"/>
                <w:sz w:val="22"/>
                <w:szCs w:val="22"/>
              </w:rPr>
              <w:t>s</w:t>
            </w:r>
            <w:r w:rsidRPr="00BE345D">
              <w:rPr>
                <w:rFonts w:ascii="Arial" w:hAnsi="Arial" w:cs="Arial"/>
                <w:color w:val="auto"/>
                <w:spacing w:val="1"/>
                <w:sz w:val="22"/>
                <w:szCs w:val="22"/>
              </w:rPr>
              <w:t xml:space="preserve">implified Environmental Licensing Process (Conama Resolution 279/2007): establishes a period of up to 60 days for the concession of each environmental license, with priority for the analysis and prevision of simplified studies; (ii) </w:t>
            </w:r>
            <w:r w:rsidR="00E47BEE" w:rsidRPr="00BE345D">
              <w:rPr>
                <w:rFonts w:ascii="Arial" w:hAnsi="Arial" w:cs="Arial"/>
                <w:color w:val="auto"/>
                <w:spacing w:val="1"/>
                <w:sz w:val="22"/>
                <w:szCs w:val="22"/>
              </w:rPr>
              <w:t>s</w:t>
            </w:r>
            <w:r w:rsidRPr="00BE345D">
              <w:rPr>
                <w:rFonts w:ascii="Arial" w:hAnsi="Arial" w:cs="Arial"/>
                <w:color w:val="auto"/>
                <w:spacing w:val="1"/>
                <w:sz w:val="22"/>
                <w:szCs w:val="22"/>
              </w:rPr>
              <w:t xml:space="preserve">implified grant concession process; </w:t>
            </w:r>
            <w:r w:rsidR="00E47BEE" w:rsidRPr="00BE345D">
              <w:rPr>
                <w:rFonts w:ascii="Arial" w:hAnsi="Arial" w:cs="Arial"/>
                <w:color w:val="auto"/>
                <w:spacing w:val="1"/>
                <w:sz w:val="22"/>
                <w:szCs w:val="22"/>
              </w:rPr>
              <w:t xml:space="preserve">and </w:t>
            </w:r>
            <w:r w:rsidRPr="00BE345D">
              <w:rPr>
                <w:rFonts w:ascii="Arial" w:hAnsi="Arial" w:cs="Arial"/>
                <w:color w:val="auto"/>
                <w:spacing w:val="1"/>
                <w:sz w:val="22"/>
                <w:szCs w:val="22"/>
              </w:rPr>
              <w:t xml:space="preserve">(iii) </w:t>
            </w:r>
            <w:r w:rsidR="00E47BEE" w:rsidRPr="00BE345D">
              <w:rPr>
                <w:rFonts w:ascii="Arial" w:hAnsi="Arial" w:cs="Arial"/>
                <w:color w:val="auto"/>
                <w:spacing w:val="1"/>
                <w:sz w:val="22"/>
                <w:szCs w:val="22"/>
              </w:rPr>
              <w:t>c</w:t>
            </w:r>
            <w:r w:rsidRPr="00BE345D">
              <w:rPr>
                <w:rFonts w:ascii="Arial" w:hAnsi="Arial" w:cs="Arial"/>
                <w:color w:val="auto"/>
                <w:spacing w:val="1"/>
                <w:sz w:val="22"/>
                <w:szCs w:val="22"/>
              </w:rPr>
              <w:t xml:space="preserve">reation of a market reserved for the sale of renewable power: consumers with significant demands, but that would be initially excluded from the open power market, may acquire electricity </w:t>
            </w:r>
            <w:r w:rsidRPr="00BE345D">
              <w:rPr>
                <w:rFonts w:ascii="Arial" w:hAnsi="Arial" w:cs="Arial"/>
                <w:color w:val="auto"/>
                <w:spacing w:val="1"/>
                <w:sz w:val="22"/>
                <w:szCs w:val="22"/>
              </w:rPr>
              <w:lastRenderedPageBreak/>
              <w:t>from Small Central H</w:t>
            </w:r>
            <w:r w:rsidR="00E47BEE" w:rsidRPr="00BE345D">
              <w:rPr>
                <w:rFonts w:ascii="Arial" w:hAnsi="Arial" w:cs="Arial"/>
                <w:color w:val="auto"/>
                <w:spacing w:val="1"/>
                <w:sz w:val="22"/>
                <w:szCs w:val="22"/>
              </w:rPr>
              <w:t>ydroelectric Power Plants; and (iv) </w:t>
            </w:r>
            <w:r w:rsidRPr="00BE345D">
              <w:rPr>
                <w:rFonts w:ascii="Arial" w:hAnsi="Arial" w:cs="Arial"/>
                <w:color w:val="auto"/>
                <w:spacing w:val="1"/>
                <w:sz w:val="22"/>
                <w:szCs w:val="22"/>
              </w:rPr>
              <w:t>50% reduction on the Electricity Use and Distribution Fees for power originating from renewable sources. Various other benefits are offered in order to attribute economic benefits to electricity projects in general.</w:t>
            </w:r>
          </w:p>
          <w:p w:rsidR="00E02914" w:rsidRDefault="00E02914" w:rsidP="00E47BEE">
            <w:pPr>
              <w:pStyle w:val="Default"/>
              <w:rPr>
                <w:rFonts w:ascii="Arial" w:hAnsi="Arial" w:cs="Arial"/>
                <w:sz w:val="22"/>
                <w:szCs w:val="22"/>
              </w:rPr>
            </w:pPr>
          </w:p>
          <w:p w:rsidR="00E02914" w:rsidRPr="0086139D" w:rsidRDefault="00E02914" w:rsidP="00E02914">
            <w:pPr>
              <w:rPr>
                <w:rFonts w:ascii="Arial" w:hAnsi="Arial" w:cs="Arial"/>
                <w:sz w:val="22"/>
                <w:szCs w:val="22"/>
              </w:rPr>
            </w:pPr>
            <w:r w:rsidRPr="00A10E07">
              <w:rPr>
                <w:rFonts w:ascii="Arial" w:hAnsi="Arial" w:cs="Arial"/>
                <w:b/>
                <w:sz w:val="22"/>
                <w:szCs w:val="22"/>
              </w:rPr>
              <w:t>Regarding public lighting.</w:t>
            </w:r>
            <w:r>
              <w:rPr>
                <w:rFonts w:ascii="Arial" w:hAnsi="Arial" w:cs="Arial"/>
                <w:sz w:val="22"/>
                <w:szCs w:val="22"/>
              </w:rPr>
              <w:t xml:space="preserve"> </w:t>
            </w:r>
            <w:r w:rsidRPr="00A10E07">
              <w:rPr>
                <w:rFonts w:ascii="Arial" w:hAnsi="Arial" w:cs="Arial"/>
                <w:sz w:val="22"/>
                <w:szCs w:val="22"/>
              </w:rPr>
              <w:t xml:space="preserve">In 2013, ANEEL determined that at the end of 2014 all public lighting sources that previously were </w:t>
            </w:r>
            <w:r>
              <w:rPr>
                <w:rFonts w:ascii="Arial" w:hAnsi="Arial" w:cs="Arial"/>
                <w:sz w:val="22"/>
                <w:szCs w:val="22"/>
              </w:rPr>
              <w:t xml:space="preserve">responsibility of the distribution companies </w:t>
            </w:r>
            <w:r w:rsidRPr="00A10E07">
              <w:rPr>
                <w:rFonts w:ascii="Arial" w:hAnsi="Arial" w:cs="Arial"/>
                <w:sz w:val="22"/>
                <w:szCs w:val="22"/>
              </w:rPr>
              <w:t>will be transferred to the municipalities.</w:t>
            </w:r>
            <w:r>
              <w:rPr>
                <w:rFonts w:ascii="Arial" w:hAnsi="Arial" w:cs="Arial"/>
                <w:sz w:val="22"/>
                <w:szCs w:val="22"/>
              </w:rPr>
              <w:t xml:space="preserve"> </w:t>
            </w:r>
          </w:p>
          <w:p w:rsidR="00E02914" w:rsidRDefault="00E02914" w:rsidP="00E02914">
            <w:pPr>
              <w:pStyle w:val="Default"/>
              <w:rPr>
                <w:rFonts w:ascii="Arial" w:hAnsi="Arial" w:cs="Arial"/>
                <w:sz w:val="22"/>
                <w:szCs w:val="22"/>
              </w:rPr>
            </w:pPr>
            <w:r w:rsidRPr="00A10E07">
              <w:rPr>
                <w:rFonts w:ascii="Arial" w:hAnsi="Arial" w:cs="Arial"/>
                <w:sz w:val="22"/>
                <w:szCs w:val="22"/>
              </w:rPr>
              <w:t xml:space="preserve">According to the legislation, all public lighting services must be </w:t>
            </w:r>
            <w:r>
              <w:rPr>
                <w:rFonts w:ascii="Arial" w:hAnsi="Arial" w:cs="Arial"/>
                <w:sz w:val="22"/>
                <w:szCs w:val="22"/>
              </w:rPr>
              <w:t>provided directly by municipalities</w:t>
            </w:r>
            <w:r w:rsidRPr="00A10E07">
              <w:rPr>
                <w:rFonts w:ascii="Arial" w:hAnsi="Arial" w:cs="Arial"/>
                <w:sz w:val="22"/>
                <w:szCs w:val="22"/>
              </w:rPr>
              <w:t xml:space="preserve"> or by means of </w:t>
            </w:r>
            <w:r>
              <w:rPr>
                <w:rFonts w:ascii="Arial" w:hAnsi="Arial" w:cs="Arial"/>
                <w:sz w:val="22"/>
                <w:szCs w:val="22"/>
              </w:rPr>
              <w:t>private concessions</w:t>
            </w:r>
            <w:r w:rsidRPr="00A10E07">
              <w:rPr>
                <w:rFonts w:ascii="Arial" w:hAnsi="Arial" w:cs="Arial"/>
                <w:sz w:val="22"/>
                <w:szCs w:val="22"/>
              </w:rPr>
              <w:t>.</w:t>
            </w:r>
          </w:p>
          <w:p w:rsidR="00E02914" w:rsidRPr="00BE345D" w:rsidRDefault="00E02914" w:rsidP="00E02914">
            <w:pPr>
              <w:pStyle w:val="Default"/>
              <w:rPr>
                <w:rFonts w:ascii="Arial" w:hAnsi="Arial" w:cs="Arial"/>
                <w:sz w:val="22"/>
                <w:szCs w:val="22"/>
              </w:rPr>
            </w:pPr>
          </w:p>
        </w:tc>
      </w:tr>
      <w:tr w:rsidR="00F05207" w:rsidRPr="00BE345D" w:rsidTr="006E5B3A">
        <w:trPr>
          <w:jc w:val="center"/>
        </w:trPr>
        <w:tc>
          <w:tcPr>
            <w:tcW w:w="2855" w:type="dxa"/>
            <w:shd w:val="clear" w:color="auto" w:fill="auto"/>
          </w:tcPr>
          <w:p w:rsidR="00756863" w:rsidRPr="00BE345D" w:rsidRDefault="001D396E" w:rsidP="00E47BEE">
            <w:pPr>
              <w:numPr>
                <w:ilvl w:val="0"/>
                <w:numId w:val="4"/>
              </w:numPr>
              <w:ind w:left="386" w:hanging="450"/>
              <w:rPr>
                <w:rFonts w:ascii="Arial" w:hAnsi="Arial" w:cs="Arial"/>
                <w:b/>
                <w:sz w:val="22"/>
                <w:szCs w:val="22"/>
              </w:rPr>
            </w:pPr>
            <w:r w:rsidRPr="00BE345D">
              <w:rPr>
                <w:rFonts w:ascii="Arial" w:hAnsi="Arial" w:cs="Arial"/>
                <w:b/>
                <w:sz w:val="22"/>
                <w:szCs w:val="22"/>
              </w:rPr>
              <w:lastRenderedPageBreak/>
              <w:t>S</w:t>
            </w:r>
            <w:r w:rsidR="00756863" w:rsidRPr="00BE345D">
              <w:rPr>
                <w:rFonts w:ascii="Arial" w:hAnsi="Arial" w:cs="Arial"/>
                <w:b/>
                <w:sz w:val="22"/>
                <w:szCs w:val="22"/>
              </w:rPr>
              <w:t xml:space="preserve">trengthening the management of infrastructure used for public utilities service delivery </w:t>
            </w:r>
          </w:p>
          <w:p w:rsidR="00756863" w:rsidRPr="00BE345D" w:rsidRDefault="00756863" w:rsidP="00E47BEE">
            <w:pPr>
              <w:ind w:left="-64"/>
              <w:rPr>
                <w:rFonts w:ascii="Arial" w:hAnsi="Arial" w:cs="Arial"/>
                <w:b/>
                <w:bCs/>
                <w:i/>
                <w:sz w:val="22"/>
                <w:szCs w:val="22"/>
              </w:rPr>
            </w:pPr>
          </w:p>
        </w:tc>
        <w:tc>
          <w:tcPr>
            <w:tcW w:w="4457" w:type="dxa"/>
            <w:gridSpan w:val="2"/>
            <w:shd w:val="clear" w:color="auto" w:fill="auto"/>
          </w:tcPr>
          <w:p w:rsidR="00756863" w:rsidRDefault="00756863" w:rsidP="00E47BEE">
            <w:pPr>
              <w:pStyle w:val="Default"/>
              <w:rPr>
                <w:rFonts w:ascii="Arial" w:hAnsi="Arial" w:cs="Arial"/>
                <w:color w:val="auto"/>
                <w:sz w:val="22"/>
                <w:szCs w:val="22"/>
              </w:rPr>
            </w:pPr>
            <w:r w:rsidRPr="00BE345D">
              <w:rPr>
                <w:rFonts w:ascii="Arial" w:hAnsi="Arial" w:cs="Arial"/>
                <w:color w:val="auto"/>
                <w:sz w:val="22"/>
                <w:szCs w:val="22"/>
              </w:rPr>
              <w:t xml:space="preserve">Increasing the supply of infrastructure is not always the most efficient solution in response to growing demand for public utilities. Diagnostics often encourage building more infrastructure over promoting optimal use and management of existing assets, in order to increase the supply and quality of public utilities services, thus </w:t>
            </w:r>
            <w:r w:rsidRPr="00BE345D">
              <w:rPr>
                <w:rFonts w:ascii="Arial" w:hAnsi="Arial" w:cs="Arial"/>
                <w:color w:val="auto"/>
                <w:sz w:val="22"/>
                <w:szCs w:val="22"/>
              </w:rPr>
              <w:lastRenderedPageBreak/>
              <w:t xml:space="preserve">avoiding sub-optimal investments. The most pertinent spheres of action for optimizing infrastructure management are: (i) encouraging efficiency in business management; (ii) developing and implementing appropriate, stable asset maintenance policies; and (iii) optimizing the use of the infrastructure through incentives for demand. Policies to drive demand through the setting of standards or the establishment of price incentives (including congestion charges and peak and off-peak rates) have the potential to change consumption patterns while increasing the availability of infrastructure services. Optimization of infrastructure use through price mechanisms not only allows cost savings, but can also contribute to environmental sustainability by creating incentives to conserve, and therefore reduce emissions and adverse impacts on ecosystems. When establishing price incentives and changing rates, it is highly advisable to rigorously analyze their distributive incidence among the various types of users, in order to report on possible impacts on social inclusion. </w:t>
            </w:r>
          </w:p>
          <w:p w:rsidR="009333AB" w:rsidRPr="00BE345D" w:rsidRDefault="009333AB" w:rsidP="00E47BEE">
            <w:pPr>
              <w:pStyle w:val="Default"/>
              <w:rPr>
                <w:rFonts w:ascii="Arial" w:hAnsi="Arial" w:cs="Arial"/>
                <w:color w:val="auto"/>
                <w:sz w:val="22"/>
                <w:szCs w:val="22"/>
              </w:rPr>
            </w:pPr>
          </w:p>
          <w:p w:rsidR="00756863" w:rsidRPr="00BE345D" w:rsidRDefault="00756863" w:rsidP="00E47BEE">
            <w:pPr>
              <w:rPr>
                <w:rFonts w:ascii="Arial" w:hAnsi="Arial" w:cs="Arial"/>
                <w:sz w:val="22"/>
                <w:szCs w:val="22"/>
              </w:rPr>
            </w:pPr>
          </w:p>
        </w:tc>
        <w:tc>
          <w:tcPr>
            <w:tcW w:w="4742" w:type="dxa"/>
            <w:shd w:val="clear" w:color="auto" w:fill="auto"/>
          </w:tcPr>
          <w:p w:rsidR="00F05207" w:rsidRPr="00BE345D" w:rsidRDefault="00CC3724" w:rsidP="00E47BEE">
            <w:pPr>
              <w:rPr>
                <w:rFonts w:ascii="Arial" w:hAnsi="Arial" w:cs="Arial"/>
                <w:sz w:val="22"/>
                <w:szCs w:val="22"/>
              </w:rPr>
            </w:pPr>
            <w:r w:rsidRPr="00BE345D">
              <w:rPr>
                <w:rFonts w:ascii="Arial" w:hAnsi="Arial" w:cs="Arial"/>
                <w:sz w:val="22"/>
                <w:szCs w:val="22"/>
              </w:rPr>
              <w:lastRenderedPageBreak/>
              <w:t>T</w:t>
            </w:r>
            <w:r w:rsidR="00FC1504" w:rsidRPr="00BE345D">
              <w:rPr>
                <w:rFonts w:ascii="Arial" w:hAnsi="Arial" w:cs="Arial"/>
                <w:sz w:val="22"/>
                <w:szCs w:val="22"/>
              </w:rPr>
              <w:t>he program contemplates the possibility of financing energy efficiency projects</w:t>
            </w:r>
            <w:r w:rsidRPr="00BE345D">
              <w:rPr>
                <w:rFonts w:ascii="Arial" w:hAnsi="Arial" w:cs="Arial"/>
                <w:sz w:val="22"/>
                <w:szCs w:val="22"/>
              </w:rPr>
              <w:t>, which will help to optimize the use of infrastructure.</w:t>
            </w:r>
          </w:p>
        </w:tc>
      </w:tr>
      <w:tr w:rsidR="009333AB" w:rsidRPr="00BE345D" w:rsidTr="00526927">
        <w:trPr>
          <w:trHeight w:val="530"/>
          <w:jc w:val="center"/>
        </w:trPr>
        <w:tc>
          <w:tcPr>
            <w:tcW w:w="12054" w:type="dxa"/>
            <w:gridSpan w:val="4"/>
            <w:shd w:val="clear" w:color="auto" w:fill="C0C0C0"/>
          </w:tcPr>
          <w:p w:rsidR="009333AB" w:rsidRPr="00BE345D" w:rsidRDefault="009333AB" w:rsidP="00526927">
            <w:pPr>
              <w:jc w:val="both"/>
              <w:rPr>
                <w:rFonts w:ascii="Arial" w:hAnsi="Arial" w:cs="Arial"/>
                <w:b/>
                <w:sz w:val="22"/>
                <w:szCs w:val="22"/>
              </w:rPr>
            </w:pPr>
            <w:r w:rsidRPr="00BE345D">
              <w:rPr>
                <w:rFonts w:ascii="Arial" w:hAnsi="Arial" w:cs="Arial"/>
                <w:b/>
                <w:bCs/>
                <w:sz w:val="22"/>
                <w:szCs w:val="22"/>
              </w:rPr>
              <w:t xml:space="preserve">3.2 </w:t>
            </w:r>
            <w:r w:rsidRPr="009333AB">
              <w:rPr>
                <w:rFonts w:ascii="Arial" w:hAnsi="Arial" w:cs="Arial"/>
                <w:b/>
                <w:sz w:val="22"/>
                <w:szCs w:val="22"/>
              </w:rPr>
              <w:t>Promoting innovation to foster efficiency, access, a</w:t>
            </w:r>
            <w:r>
              <w:rPr>
                <w:rFonts w:ascii="Arial" w:hAnsi="Arial" w:cs="Arial"/>
                <w:b/>
                <w:sz w:val="22"/>
                <w:szCs w:val="22"/>
              </w:rPr>
              <w:t>nd environmental sustainability</w:t>
            </w:r>
            <w:r w:rsidRPr="00BE345D">
              <w:rPr>
                <w:rFonts w:ascii="Arial" w:hAnsi="Arial" w:cs="Arial"/>
                <w:b/>
                <w:sz w:val="22"/>
                <w:szCs w:val="22"/>
              </w:rPr>
              <w:t>.</w:t>
            </w:r>
          </w:p>
        </w:tc>
      </w:tr>
      <w:tr w:rsidR="00F05207" w:rsidRPr="00BE345D" w:rsidTr="006E5B3A">
        <w:trPr>
          <w:jc w:val="center"/>
        </w:trPr>
        <w:tc>
          <w:tcPr>
            <w:tcW w:w="2855" w:type="dxa"/>
            <w:tcBorders>
              <w:bottom w:val="single" w:sz="4" w:space="0" w:color="auto"/>
            </w:tcBorders>
            <w:shd w:val="clear" w:color="auto" w:fill="auto"/>
          </w:tcPr>
          <w:p w:rsidR="00CC2555" w:rsidRPr="00BE345D" w:rsidRDefault="009333AB" w:rsidP="00E47BEE">
            <w:pPr>
              <w:rPr>
                <w:rFonts w:ascii="Arial" w:hAnsi="Arial" w:cs="Arial"/>
                <w:b/>
                <w:spacing w:val="2"/>
                <w:sz w:val="22"/>
                <w:szCs w:val="22"/>
              </w:rPr>
            </w:pPr>
            <w:r>
              <w:rPr>
                <w:rFonts w:ascii="Arial" w:hAnsi="Arial" w:cs="Arial"/>
                <w:b/>
                <w:spacing w:val="-3"/>
                <w:sz w:val="22"/>
                <w:szCs w:val="22"/>
              </w:rPr>
              <w:t>a.</w:t>
            </w:r>
            <w:r w:rsidR="00E8570D" w:rsidRPr="00BE345D">
              <w:rPr>
                <w:rFonts w:ascii="Arial" w:hAnsi="Arial" w:cs="Arial"/>
                <w:b/>
                <w:spacing w:val="-3"/>
                <w:sz w:val="22"/>
                <w:szCs w:val="22"/>
              </w:rPr>
              <w:t xml:space="preserve"> </w:t>
            </w:r>
            <w:r w:rsidR="00F05207" w:rsidRPr="00BE345D">
              <w:rPr>
                <w:rFonts w:ascii="Arial" w:hAnsi="Arial" w:cs="Arial"/>
                <w:b/>
                <w:spacing w:val="-3"/>
                <w:sz w:val="22"/>
                <w:szCs w:val="22"/>
              </w:rPr>
              <w:t>P</w:t>
            </w:r>
            <w:r w:rsidR="00F05207" w:rsidRPr="00BE345D">
              <w:rPr>
                <w:rFonts w:ascii="Arial" w:hAnsi="Arial" w:cs="Arial"/>
                <w:b/>
                <w:spacing w:val="-1"/>
                <w:sz w:val="22"/>
                <w:szCs w:val="22"/>
              </w:rPr>
              <w:t>r</w:t>
            </w:r>
            <w:r w:rsidR="00F05207" w:rsidRPr="00BE345D">
              <w:rPr>
                <w:rFonts w:ascii="Arial" w:hAnsi="Arial" w:cs="Arial"/>
                <w:b/>
                <w:spacing w:val="2"/>
                <w:sz w:val="22"/>
                <w:szCs w:val="22"/>
              </w:rPr>
              <w:t>o</w:t>
            </w:r>
            <w:r w:rsidR="00F05207" w:rsidRPr="00BE345D">
              <w:rPr>
                <w:rFonts w:ascii="Arial" w:hAnsi="Arial" w:cs="Arial"/>
                <w:b/>
                <w:spacing w:val="-1"/>
                <w:sz w:val="22"/>
                <w:szCs w:val="22"/>
              </w:rPr>
              <w:t>m</w:t>
            </w:r>
            <w:r w:rsidR="00F05207" w:rsidRPr="00BE345D">
              <w:rPr>
                <w:rFonts w:ascii="Arial" w:hAnsi="Arial" w:cs="Arial"/>
                <w:b/>
                <w:sz w:val="22"/>
                <w:szCs w:val="22"/>
              </w:rPr>
              <w:t>o</w:t>
            </w:r>
            <w:r w:rsidR="00756863" w:rsidRPr="00BE345D">
              <w:rPr>
                <w:rFonts w:ascii="Arial" w:hAnsi="Arial" w:cs="Arial"/>
                <w:b/>
                <w:sz w:val="22"/>
                <w:szCs w:val="22"/>
              </w:rPr>
              <w:t xml:space="preserve">ting innovation </w:t>
            </w:r>
            <w:r w:rsidR="00756863" w:rsidRPr="00BE345D">
              <w:rPr>
                <w:rFonts w:ascii="Arial" w:hAnsi="Arial" w:cs="Arial"/>
                <w:b/>
                <w:sz w:val="22"/>
                <w:szCs w:val="22"/>
              </w:rPr>
              <w:lastRenderedPageBreak/>
              <w:t xml:space="preserve">to </w:t>
            </w:r>
            <w:r w:rsidR="0050099D" w:rsidRPr="00BE345D">
              <w:rPr>
                <w:rFonts w:ascii="Arial" w:hAnsi="Arial" w:cs="Arial"/>
                <w:b/>
                <w:sz w:val="22"/>
                <w:szCs w:val="22"/>
              </w:rPr>
              <w:t>f</w:t>
            </w:r>
            <w:r w:rsidR="00756863" w:rsidRPr="00BE345D">
              <w:rPr>
                <w:rFonts w:ascii="Arial" w:hAnsi="Arial" w:cs="Arial"/>
                <w:b/>
                <w:sz w:val="22"/>
                <w:szCs w:val="22"/>
              </w:rPr>
              <w:t xml:space="preserve">oster efficiency, </w:t>
            </w:r>
            <w:r w:rsidR="0050099D" w:rsidRPr="00BE345D">
              <w:rPr>
                <w:rFonts w:ascii="Arial" w:hAnsi="Arial" w:cs="Arial"/>
                <w:b/>
                <w:sz w:val="22"/>
                <w:szCs w:val="22"/>
              </w:rPr>
              <w:t>a</w:t>
            </w:r>
            <w:r w:rsidR="00756863" w:rsidRPr="00BE345D">
              <w:rPr>
                <w:rFonts w:ascii="Arial" w:hAnsi="Arial" w:cs="Arial"/>
                <w:b/>
                <w:sz w:val="22"/>
                <w:szCs w:val="22"/>
              </w:rPr>
              <w:t xml:space="preserve">ccess, and environmental sustainability </w:t>
            </w:r>
            <w:r w:rsidR="00F05207" w:rsidRPr="00BE345D">
              <w:rPr>
                <w:rFonts w:ascii="Arial" w:hAnsi="Arial" w:cs="Arial"/>
                <w:b/>
                <w:sz w:val="22"/>
                <w:szCs w:val="22"/>
              </w:rPr>
              <w:t xml:space="preserve">  </w:t>
            </w:r>
            <w:r w:rsidR="00F05207" w:rsidRPr="00BE345D">
              <w:rPr>
                <w:rFonts w:ascii="Arial" w:hAnsi="Arial" w:cs="Arial"/>
                <w:b/>
                <w:spacing w:val="2"/>
                <w:sz w:val="22"/>
                <w:szCs w:val="22"/>
              </w:rPr>
              <w:t xml:space="preserve"> </w:t>
            </w:r>
          </w:p>
          <w:p w:rsidR="00F05207" w:rsidRPr="00BE345D" w:rsidRDefault="00F05207" w:rsidP="00E47BEE">
            <w:pPr>
              <w:rPr>
                <w:rFonts w:ascii="Arial" w:hAnsi="Arial" w:cs="Arial"/>
                <w:b/>
                <w:bCs/>
                <w:i/>
                <w:sz w:val="22"/>
                <w:szCs w:val="22"/>
              </w:rPr>
            </w:pPr>
          </w:p>
        </w:tc>
        <w:tc>
          <w:tcPr>
            <w:tcW w:w="4457" w:type="dxa"/>
            <w:gridSpan w:val="2"/>
            <w:tcBorders>
              <w:bottom w:val="single" w:sz="4" w:space="0" w:color="auto"/>
            </w:tcBorders>
            <w:shd w:val="clear" w:color="auto" w:fill="auto"/>
          </w:tcPr>
          <w:p w:rsidR="003A51FB" w:rsidRPr="00BE345D" w:rsidRDefault="00756863" w:rsidP="00E47BEE">
            <w:pPr>
              <w:pStyle w:val="Default"/>
              <w:rPr>
                <w:rFonts w:ascii="Arial" w:hAnsi="Arial" w:cs="Arial"/>
                <w:sz w:val="22"/>
                <w:szCs w:val="22"/>
              </w:rPr>
            </w:pPr>
            <w:r w:rsidRPr="00BE345D">
              <w:rPr>
                <w:rFonts w:ascii="Arial" w:hAnsi="Arial" w:cs="Arial"/>
                <w:color w:val="auto"/>
                <w:sz w:val="22"/>
                <w:szCs w:val="22"/>
              </w:rPr>
              <w:lastRenderedPageBreak/>
              <w:t xml:space="preserve">Technological advances make it </w:t>
            </w:r>
            <w:r w:rsidRPr="00BE345D">
              <w:rPr>
                <w:rFonts w:ascii="Arial" w:hAnsi="Arial" w:cs="Arial"/>
                <w:color w:val="auto"/>
                <w:sz w:val="22"/>
                <w:szCs w:val="22"/>
              </w:rPr>
              <w:lastRenderedPageBreak/>
              <w:t>increasingly possible to design targeted solutions to meet the demand for infrastructure services. Photovoltaic power generation, microhydroelectric generators, and waste separation plants for recycling are examples where technology fulfills the dual role of increasing the supply of services and contributing to environmental sustainability through the development of a lower-emissions offering. The adoption of the latest technologies can also help reduce service delivery costs, for example, through technical and nontechnical loss detection in water and power distribution. Moreover, technological innovations such as smart meters, have the potential to reduce utilities consumption during periods of high demand. This Policy highlights the role of technology for increasing access with cost-effective solutions, reducing maintenance costs, and managing consumption, while avoiding unnecessary investments in increased capacity. The Policy recognizes that the Bank will help disseminate information on the adoption, financing, and systems for management of the most appropriate technology solutions for each particular combination of public utility and demand characteristics</w:t>
            </w:r>
            <w:r w:rsidRPr="00BE345D">
              <w:rPr>
                <w:rFonts w:ascii="Arial" w:hAnsi="Arial" w:cs="Arial"/>
                <w:sz w:val="22"/>
                <w:szCs w:val="22"/>
              </w:rPr>
              <w:t xml:space="preserve">. </w:t>
            </w:r>
            <w:r w:rsidR="00E8570D" w:rsidRPr="00BE345D">
              <w:rPr>
                <w:rFonts w:ascii="Arial" w:hAnsi="Arial" w:cs="Arial"/>
                <w:spacing w:val="-1"/>
                <w:sz w:val="22"/>
                <w:szCs w:val="22"/>
              </w:rPr>
              <w:t>.</w:t>
            </w:r>
          </w:p>
        </w:tc>
        <w:tc>
          <w:tcPr>
            <w:tcW w:w="4742" w:type="dxa"/>
            <w:tcBorders>
              <w:bottom w:val="single" w:sz="4" w:space="0" w:color="auto"/>
            </w:tcBorders>
            <w:shd w:val="clear" w:color="auto" w:fill="auto"/>
          </w:tcPr>
          <w:p w:rsidR="00CC2555" w:rsidRPr="00BE345D" w:rsidRDefault="00F37058" w:rsidP="00E47BEE">
            <w:pPr>
              <w:rPr>
                <w:rFonts w:ascii="Arial" w:hAnsi="Arial" w:cs="Arial"/>
                <w:sz w:val="22"/>
                <w:szCs w:val="22"/>
              </w:rPr>
            </w:pPr>
            <w:r w:rsidRPr="00BE345D">
              <w:rPr>
                <w:rFonts w:ascii="Arial" w:hAnsi="Arial" w:cs="Arial"/>
                <w:color w:val="222222"/>
                <w:sz w:val="22"/>
                <w:szCs w:val="22"/>
              </w:rPr>
              <w:lastRenderedPageBreak/>
              <w:t xml:space="preserve">The operation promotes energy efficiency, </w:t>
            </w:r>
            <w:r w:rsidR="00E02914">
              <w:rPr>
                <w:rFonts w:ascii="Arial" w:hAnsi="Arial" w:cs="Arial"/>
                <w:color w:val="222222"/>
                <w:sz w:val="22"/>
                <w:szCs w:val="22"/>
              </w:rPr>
              <w:lastRenderedPageBreak/>
              <w:t xml:space="preserve">promoting the </w:t>
            </w:r>
            <w:r w:rsidRPr="00BE345D">
              <w:rPr>
                <w:rFonts w:ascii="Arial" w:hAnsi="Arial" w:cs="Arial"/>
                <w:color w:val="222222"/>
                <w:sz w:val="22"/>
                <w:szCs w:val="22"/>
              </w:rPr>
              <w:t>development and use of practices and environmentally sound technologies</w:t>
            </w:r>
            <w:r w:rsidR="00BD2BE8" w:rsidRPr="00BE345D">
              <w:rPr>
                <w:rFonts w:ascii="Arial" w:hAnsi="Arial" w:cs="Arial"/>
                <w:color w:val="222222"/>
                <w:sz w:val="22"/>
                <w:szCs w:val="22"/>
              </w:rPr>
              <w:t>.</w:t>
            </w:r>
            <w:r w:rsidRPr="00BE345D">
              <w:rPr>
                <w:rFonts w:ascii="Arial" w:hAnsi="Arial" w:cs="Arial"/>
                <w:color w:val="222222"/>
                <w:sz w:val="22"/>
                <w:szCs w:val="22"/>
              </w:rPr>
              <w:t xml:space="preserve"> </w:t>
            </w:r>
          </w:p>
          <w:p w:rsidR="00CC2555" w:rsidRPr="00BE345D" w:rsidRDefault="00CC2555" w:rsidP="00E47BEE">
            <w:pPr>
              <w:rPr>
                <w:rFonts w:ascii="Arial" w:hAnsi="Arial" w:cs="Arial"/>
                <w:color w:val="FF0000"/>
                <w:sz w:val="22"/>
                <w:szCs w:val="22"/>
              </w:rPr>
            </w:pPr>
          </w:p>
          <w:p w:rsidR="00CC2555" w:rsidRPr="00BE345D" w:rsidRDefault="00CC2555" w:rsidP="00E47BEE">
            <w:pPr>
              <w:rPr>
                <w:rFonts w:ascii="Arial" w:hAnsi="Arial" w:cs="Arial"/>
                <w:sz w:val="22"/>
                <w:szCs w:val="22"/>
              </w:rPr>
            </w:pPr>
          </w:p>
        </w:tc>
      </w:tr>
      <w:tr w:rsidR="00E13A4B" w:rsidRPr="00BE345D" w:rsidTr="009333AB">
        <w:trPr>
          <w:trHeight w:val="485"/>
          <w:jc w:val="center"/>
        </w:trPr>
        <w:tc>
          <w:tcPr>
            <w:tcW w:w="12054" w:type="dxa"/>
            <w:gridSpan w:val="4"/>
            <w:shd w:val="clear" w:color="auto" w:fill="4F81BD"/>
            <w:vAlign w:val="center"/>
          </w:tcPr>
          <w:p w:rsidR="00E13A4B" w:rsidRPr="00BE345D" w:rsidRDefault="00E13A4B" w:rsidP="00E47BEE">
            <w:pPr>
              <w:rPr>
                <w:rFonts w:ascii="Arial" w:hAnsi="Arial" w:cs="Arial"/>
                <w:b/>
                <w:color w:val="FFFFFF"/>
                <w:sz w:val="22"/>
                <w:szCs w:val="22"/>
              </w:rPr>
            </w:pPr>
            <w:r w:rsidRPr="00BE345D">
              <w:rPr>
                <w:rFonts w:ascii="Arial" w:hAnsi="Arial" w:cs="Arial"/>
                <w:b/>
                <w:color w:val="FFFFFF"/>
                <w:sz w:val="22"/>
                <w:szCs w:val="22"/>
              </w:rPr>
              <w:lastRenderedPageBreak/>
              <w:t>Conditions</w:t>
            </w:r>
          </w:p>
        </w:tc>
      </w:tr>
      <w:tr w:rsidR="00653DF5" w:rsidRPr="00BE345D" w:rsidTr="006E5B3A">
        <w:trPr>
          <w:jc w:val="center"/>
        </w:trPr>
        <w:tc>
          <w:tcPr>
            <w:tcW w:w="2855" w:type="dxa"/>
            <w:shd w:val="clear" w:color="auto" w:fill="auto"/>
          </w:tcPr>
          <w:p w:rsidR="00653DF5" w:rsidRPr="00BE345D" w:rsidRDefault="00653DF5" w:rsidP="00E47BEE">
            <w:pPr>
              <w:rPr>
                <w:rFonts w:ascii="Arial" w:hAnsi="Arial" w:cs="Arial"/>
                <w:b/>
                <w:spacing w:val="-3"/>
                <w:sz w:val="22"/>
                <w:szCs w:val="22"/>
              </w:rPr>
            </w:pPr>
            <w:r w:rsidRPr="00BE345D">
              <w:rPr>
                <w:rFonts w:ascii="Arial" w:hAnsi="Arial" w:cs="Arial"/>
                <w:b/>
                <w:bCs/>
                <w:sz w:val="22"/>
                <w:szCs w:val="22"/>
              </w:rPr>
              <w:t>Financial sustainability</w:t>
            </w:r>
          </w:p>
        </w:tc>
        <w:tc>
          <w:tcPr>
            <w:tcW w:w="4457" w:type="dxa"/>
            <w:gridSpan w:val="2"/>
            <w:shd w:val="clear" w:color="auto" w:fill="auto"/>
          </w:tcPr>
          <w:p w:rsidR="00653DF5" w:rsidRPr="00BE345D" w:rsidRDefault="00653DF5" w:rsidP="00E47BEE">
            <w:pPr>
              <w:pStyle w:val="Default"/>
              <w:rPr>
                <w:rFonts w:ascii="Arial" w:hAnsi="Arial" w:cs="Arial"/>
                <w:sz w:val="22"/>
                <w:szCs w:val="22"/>
              </w:rPr>
            </w:pPr>
            <w:r w:rsidRPr="00BE345D">
              <w:rPr>
                <w:rFonts w:ascii="Arial" w:hAnsi="Arial" w:cs="Arial"/>
                <w:sz w:val="22"/>
                <w:szCs w:val="22"/>
              </w:rPr>
              <w:t xml:space="preserve">For each operation, it will be verified that </w:t>
            </w:r>
            <w:r w:rsidRPr="00BE345D">
              <w:rPr>
                <w:rFonts w:ascii="Arial" w:hAnsi="Arial" w:cs="Arial"/>
                <w:sz w:val="22"/>
                <w:szCs w:val="22"/>
              </w:rPr>
              <w:lastRenderedPageBreak/>
              <w:t xml:space="preserve">the relevant service will generate or receive sufficient funds to meet its financial commitments and cover the operating and maintenance costs of the systems related to the operation. </w:t>
            </w:r>
          </w:p>
          <w:p w:rsidR="00E13A4B" w:rsidRPr="00BE345D" w:rsidRDefault="00E13A4B" w:rsidP="00E47BEE">
            <w:pPr>
              <w:pStyle w:val="Default"/>
              <w:rPr>
                <w:rFonts w:ascii="Arial" w:hAnsi="Arial" w:cs="Arial"/>
                <w:sz w:val="22"/>
                <w:szCs w:val="22"/>
              </w:rPr>
            </w:pPr>
            <w:r w:rsidRPr="00BE345D">
              <w:rPr>
                <w:rFonts w:ascii="Arial" w:hAnsi="Arial" w:cs="Arial"/>
                <w:sz w:val="22"/>
                <w:szCs w:val="22"/>
              </w:rPr>
              <w:t xml:space="preserve">When a Bank operation involves contributions of budgetary funds to subsidize the provision of a public utility service, it will be verified that: a. the budgetary allocation of such contributions is transparent; and </w:t>
            </w:r>
          </w:p>
          <w:p w:rsidR="00E13A4B" w:rsidRPr="00BE345D" w:rsidRDefault="00E13A4B" w:rsidP="00E47BEE">
            <w:pPr>
              <w:pStyle w:val="Default"/>
              <w:rPr>
                <w:rFonts w:ascii="Arial" w:hAnsi="Arial" w:cs="Arial"/>
                <w:sz w:val="22"/>
                <w:szCs w:val="22"/>
              </w:rPr>
            </w:pPr>
            <w:r w:rsidRPr="00BE345D">
              <w:rPr>
                <w:rFonts w:ascii="Arial" w:hAnsi="Arial" w:cs="Arial"/>
                <w:sz w:val="22"/>
                <w:szCs w:val="22"/>
              </w:rPr>
              <w:t>b. its purpose corresponds with one of the following objectives: i. Expansion of capacity to provide greater access</w:t>
            </w:r>
            <w:r w:rsidR="00BD2BE8" w:rsidRPr="00BE345D">
              <w:rPr>
                <w:rFonts w:ascii="Arial" w:hAnsi="Arial" w:cs="Arial"/>
                <w:sz w:val="22"/>
                <w:szCs w:val="22"/>
              </w:rPr>
              <w:t xml:space="preserve">; </w:t>
            </w:r>
            <w:r w:rsidRPr="00BE345D">
              <w:rPr>
                <w:rFonts w:ascii="Arial" w:hAnsi="Arial" w:cs="Arial"/>
                <w:sz w:val="22"/>
                <w:szCs w:val="22"/>
              </w:rPr>
              <w:t>ii. Increase in the q</w:t>
            </w:r>
            <w:r w:rsidR="00BD2BE8" w:rsidRPr="00BE345D">
              <w:rPr>
                <w:rFonts w:ascii="Arial" w:hAnsi="Arial" w:cs="Arial"/>
                <w:sz w:val="22"/>
                <w:szCs w:val="22"/>
              </w:rPr>
              <w:t xml:space="preserve">uality of the existing services; </w:t>
            </w:r>
            <w:r w:rsidRPr="00BE345D">
              <w:rPr>
                <w:rFonts w:ascii="Arial" w:hAnsi="Arial" w:cs="Arial"/>
                <w:sz w:val="22"/>
                <w:szCs w:val="22"/>
              </w:rPr>
              <w:t>iii. Improvement in process administration and adoption of technology for the services to contribute to climate change mitigation or to the management of natural disaster risks.</w:t>
            </w:r>
          </w:p>
          <w:p w:rsidR="00E13A4B" w:rsidRPr="00BE345D" w:rsidRDefault="00E13A4B" w:rsidP="00E47BEE">
            <w:pPr>
              <w:pStyle w:val="Default"/>
              <w:rPr>
                <w:rFonts w:ascii="Arial" w:hAnsi="Arial" w:cs="Arial"/>
                <w:color w:val="auto"/>
                <w:sz w:val="22"/>
                <w:szCs w:val="22"/>
              </w:rPr>
            </w:pPr>
            <w:r w:rsidRPr="00BE345D">
              <w:rPr>
                <w:rFonts w:ascii="Arial" w:hAnsi="Arial" w:cs="Arial"/>
                <w:sz w:val="22"/>
                <w:szCs w:val="22"/>
              </w:rPr>
              <w:t>When the budgetary funds represent rate subsidies, it will be confirmed that progress is made on the design and implementation of the subsidy targeting instruments that grant priority to the most vulnerable and lowest-income groups.</w:t>
            </w:r>
          </w:p>
        </w:tc>
        <w:tc>
          <w:tcPr>
            <w:tcW w:w="4742" w:type="dxa"/>
            <w:shd w:val="clear" w:color="auto" w:fill="auto"/>
          </w:tcPr>
          <w:p w:rsidR="000E5A43" w:rsidRPr="00BE345D" w:rsidRDefault="000E5A43" w:rsidP="00E47BEE">
            <w:pPr>
              <w:pStyle w:val="Default"/>
              <w:rPr>
                <w:rFonts w:ascii="Arial" w:hAnsi="Arial" w:cs="Arial"/>
                <w:sz w:val="22"/>
                <w:szCs w:val="22"/>
              </w:rPr>
            </w:pPr>
            <w:r w:rsidRPr="00BE345D">
              <w:rPr>
                <w:rFonts w:ascii="Arial" w:hAnsi="Arial" w:cs="Arial"/>
                <w:color w:val="222222"/>
                <w:sz w:val="22"/>
                <w:szCs w:val="22"/>
              </w:rPr>
              <w:lastRenderedPageBreak/>
              <w:t xml:space="preserve">All the projects to be funded by the program </w:t>
            </w:r>
            <w:r w:rsidR="00E13A4B" w:rsidRPr="00BE345D">
              <w:rPr>
                <w:rFonts w:ascii="Arial" w:hAnsi="Arial" w:cs="Arial"/>
                <w:sz w:val="22"/>
                <w:szCs w:val="22"/>
              </w:rPr>
              <w:lastRenderedPageBreak/>
              <w:t>are</w:t>
            </w:r>
            <w:r w:rsidR="00BD2BE8" w:rsidRPr="00BE345D">
              <w:rPr>
                <w:rFonts w:ascii="Arial" w:hAnsi="Arial" w:cs="Arial"/>
                <w:sz w:val="22"/>
                <w:szCs w:val="22"/>
              </w:rPr>
              <w:t xml:space="preserve"> expected to be</w:t>
            </w:r>
            <w:r w:rsidR="00E13A4B" w:rsidRPr="00BE345D">
              <w:rPr>
                <w:rFonts w:ascii="Arial" w:hAnsi="Arial" w:cs="Arial"/>
                <w:sz w:val="22"/>
                <w:szCs w:val="22"/>
              </w:rPr>
              <w:t xml:space="preserve"> financially sustainable, since the program  will be operated through public financial institution that will require that sub-projects are financially viable, which in turn also rely on a set of regulations on tariffs that ensure investments’ returns.</w:t>
            </w:r>
          </w:p>
          <w:p w:rsidR="00E13A4B" w:rsidRPr="00BE345D" w:rsidRDefault="00E13A4B" w:rsidP="00E47BEE">
            <w:pPr>
              <w:pStyle w:val="Default"/>
              <w:rPr>
                <w:rFonts w:ascii="Arial" w:hAnsi="Arial" w:cs="Arial"/>
                <w:color w:val="222222"/>
                <w:sz w:val="22"/>
                <w:szCs w:val="22"/>
              </w:rPr>
            </w:pPr>
            <w:r w:rsidRPr="00BE345D">
              <w:rPr>
                <w:rFonts w:ascii="Arial" w:hAnsi="Arial" w:cs="Arial"/>
                <w:color w:val="222222"/>
                <w:sz w:val="22"/>
                <w:szCs w:val="22"/>
              </w:rPr>
              <w:t>No specific subsidies to the beneficiaries of the program will be provided, and the tariff to be applied shall be those already in place by the regulatory framework.</w:t>
            </w:r>
          </w:p>
          <w:p w:rsidR="00CC3724" w:rsidRPr="00BE345D" w:rsidRDefault="00CC3724" w:rsidP="00E47BEE">
            <w:pPr>
              <w:pStyle w:val="Default"/>
              <w:rPr>
                <w:rFonts w:ascii="Arial" w:hAnsi="Arial" w:cs="Arial"/>
                <w:color w:val="222222"/>
                <w:sz w:val="22"/>
                <w:szCs w:val="22"/>
              </w:rPr>
            </w:pPr>
          </w:p>
          <w:p w:rsidR="00CC3724" w:rsidRPr="00BE345D" w:rsidRDefault="00CC3724" w:rsidP="00E47BEE">
            <w:pPr>
              <w:pStyle w:val="Default"/>
              <w:rPr>
                <w:rFonts w:ascii="Arial" w:hAnsi="Arial" w:cs="Arial"/>
                <w:color w:val="222222"/>
                <w:sz w:val="22"/>
                <w:szCs w:val="22"/>
              </w:rPr>
            </w:pPr>
            <w:r w:rsidRPr="00BE345D">
              <w:rPr>
                <w:rFonts w:ascii="Arial" w:hAnsi="Arial" w:cs="Arial"/>
                <w:color w:val="222222"/>
                <w:sz w:val="22"/>
                <w:szCs w:val="22"/>
              </w:rPr>
              <w:t>The selection of the portfolio of projects to be financed by this operation will go through a rigorous analysis of the economic-financial and technical viability of them to determine their sustainability, and a sensitivity analysis of their economic returns to changes in main parameters.</w:t>
            </w:r>
          </w:p>
        </w:tc>
      </w:tr>
      <w:tr w:rsidR="00653DF5" w:rsidRPr="00336FA1" w:rsidTr="006E5B3A">
        <w:trPr>
          <w:jc w:val="center"/>
        </w:trPr>
        <w:tc>
          <w:tcPr>
            <w:tcW w:w="2855" w:type="dxa"/>
            <w:shd w:val="clear" w:color="auto" w:fill="auto"/>
          </w:tcPr>
          <w:p w:rsidR="00653DF5" w:rsidRPr="00BE345D" w:rsidRDefault="00653DF5" w:rsidP="00E47BEE">
            <w:pPr>
              <w:rPr>
                <w:rFonts w:ascii="Arial" w:hAnsi="Arial" w:cs="Arial"/>
                <w:b/>
                <w:spacing w:val="-3"/>
                <w:sz w:val="22"/>
                <w:szCs w:val="22"/>
              </w:rPr>
            </w:pPr>
            <w:r w:rsidRPr="00BE345D">
              <w:rPr>
                <w:rFonts w:ascii="Arial" w:hAnsi="Arial" w:cs="Arial"/>
                <w:b/>
                <w:bCs/>
                <w:sz w:val="22"/>
                <w:szCs w:val="22"/>
              </w:rPr>
              <w:lastRenderedPageBreak/>
              <w:t>Economic evaluation</w:t>
            </w:r>
          </w:p>
        </w:tc>
        <w:tc>
          <w:tcPr>
            <w:tcW w:w="4457" w:type="dxa"/>
            <w:gridSpan w:val="2"/>
            <w:shd w:val="clear" w:color="auto" w:fill="auto"/>
          </w:tcPr>
          <w:p w:rsidR="00653DF5" w:rsidRPr="00BE345D" w:rsidRDefault="00653DF5" w:rsidP="00E47BEE">
            <w:pPr>
              <w:pStyle w:val="Default"/>
              <w:rPr>
                <w:rFonts w:ascii="Arial" w:hAnsi="Arial" w:cs="Arial"/>
                <w:color w:val="auto"/>
                <w:sz w:val="22"/>
                <w:szCs w:val="22"/>
              </w:rPr>
            </w:pPr>
            <w:r w:rsidRPr="00BE345D">
              <w:rPr>
                <w:rFonts w:ascii="Arial" w:hAnsi="Arial" w:cs="Arial"/>
                <w:sz w:val="22"/>
                <w:szCs w:val="22"/>
              </w:rPr>
              <w:t xml:space="preserve">Public utilities projects will be economically viable in accordance with the cost-benefit and cost-effectiveness evaluation methodologies used and accepted by the Bank. </w:t>
            </w:r>
          </w:p>
        </w:tc>
        <w:tc>
          <w:tcPr>
            <w:tcW w:w="4742" w:type="dxa"/>
            <w:shd w:val="clear" w:color="auto" w:fill="auto"/>
          </w:tcPr>
          <w:p w:rsidR="000E5A43" w:rsidRDefault="006E5B3A" w:rsidP="00591999">
            <w:pPr>
              <w:rPr>
                <w:rFonts w:ascii="Arial" w:hAnsi="Arial" w:cs="Arial"/>
                <w:color w:val="222222"/>
                <w:sz w:val="22"/>
                <w:szCs w:val="22"/>
              </w:rPr>
            </w:pPr>
            <w:r>
              <w:rPr>
                <w:rFonts w:ascii="Arial" w:hAnsi="Arial" w:cs="Arial"/>
                <w:color w:val="222222"/>
                <w:sz w:val="22"/>
                <w:szCs w:val="22"/>
              </w:rPr>
              <w:t>The p</w:t>
            </w:r>
            <w:r w:rsidR="00CC3724" w:rsidRPr="00BE345D">
              <w:rPr>
                <w:rFonts w:ascii="Arial" w:hAnsi="Arial" w:cs="Arial"/>
                <w:color w:val="222222"/>
                <w:sz w:val="22"/>
                <w:szCs w:val="22"/>
              </w:rPr>
              <w:t xml:space="preserve">rogram has a cost-benefit economic evaluation, following the bank’s procedures, that shows that it is viable, from an economic point of view. </w:t>
            </w:r>
            <w:r w:rsidR="00336FA1" w:rsidRPr="00BE345D">
              <w:rPr>
                <w:rFonts w:ascii="Arial" w:hAnsi="Arial" w:cs="Arial"/>
                <w:color w:val="222222"/>
                <w:sz w:val="22"/>
                <w:szCs w:val="22"/>
              </w:rPr>
              <w:t>Sensitivity analyses for the main parameters have</w:t>
            </w:r>
            <w:r w:rsidR="00CC3724" w:rsidRPr="00BE345D">
              <w:rPr>
                <w:rFonts w:ascii="Arial" w:hAnsi="Arial" w:cs="Arial"/>
                <w:color w:val="222222"/>
                <w:sz w:val="22"/>
                <w:szCs w:val="22"/>
              </w:rPr>
              <w:t xml:space="preserve"> been performed.</w:t>
            </w:r>
            <w:r w:rsidR="00CC3724" w:rsidRPr="00336FA1">
              <w:rPr>
                <w:rFonts w:ascii="Arial" w:hAnsi="Arial" w:cs="Arial"/>
                <w:color w:val="222222"/>
                <w:sz w:val="22"/>
                <w:szCs w:val="22"/>
              </w:rPr>
              <w:t xml:space="preserve"> </w:t>
            </w:r>
          </w:p>
          <w:p w:rsidR="00591999" w:rsidRPr="00336FA1" w:rsidRDefault="00591999" w:rsidP="00591999">
            <w:pPr>
              <w:rPr>
                <w:rFonts w:ascii="Arial" w:hAnsi="Arial" w:cs="Arial"/>
                <w:color w:val="222222"/>
                <w:sz w:val="22"/>
                <w:szCs w:val="22"/>
              </w:rPr>
            </w:pPr>
          </w:p>
        </w:tc>
      </w:tr>
    </w:tbl>
    <w:p w:rsidR="001B48E1" w:rsidRPr="00336FA1" w:rsidRDefault="001B48E1" w:rsidP="001B48E1">
      <w:pPr>
        <w:rPr>
          <w:sz w:val="22"/>
          <w:szCs w:val="22"/>
        </w:rPr>
      </w:pPr>
    </w:p>
    <w:p w:rsidR="000A7C95" w:rsidRPr="00336FA1" w:rsidRDefault="006C5955" w:rsidP="006C5955">
      <w:pPr>
        <w:rPr>
          <w:sz w:val="22"/>
          <w:szCs w:val="22"/>
        </w:rPr>
      </w:pPr>
      <w:r w:rsidRPr="00336FA1">
        <w:rPr>
          <w:sz w:val="22"/>
          <w:szCs w:val="22"/>
        </w:rPr>
        <w:t xml:space="preserve"> </w:t>
      </w:r>
    </w:p>
    <w:p w:rsidR="0051360D" w:rsidRPr="00336FA1" w:rsidRDefault="0051360D" w:rsidP="00BD2BE8">
      <w:pPr>
        <w:jc w:val="both"/>
        <w:rPr>
          <w:sz w:val="22"/>
          <w:szCs w:val="22"/>
        </w:rPr>
      </w:pPr>
      <w:r w:rsidRPr="00336FA1">
        <w:rPr>
          <w:sz w:val="22"/>
          <w:szCs w:val="22"/>
        </w:rPr>
        <w:t xml:space="preserve"> </w:t>
      </w:r>
    </w:p>
    <w:sectPr w:rsidR="0051360D" w:rsidRPr="00336FA1" w:rsidSect="001C7FB5">
      <w:headerReference w:type="default" r:id="rId13"/>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24" w:rsidRDefault="00051B24">
      <w:r>
        <w:separator/>
      </w:r>
    </w:p>
  </w:endnote>
  <w:endnote w:type="continuationSeparator" w:id="0">
    <w:p w:rsidR="00051B24" w:rsidRDefault="0005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24" w:rsidRDefault="00051B24">
      <w:r>
        <w:separator/>
      </w:r>
    </w:p>
  </w:footnote>
  <w:footnote w:type="continuationSeparator" w:id="0">
    <w:p w:rsidR="00051B24" w:rsidRDefault="0005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45B" w:rsidRPr="00E47BEE" w:rsidRDefault="00591999">
    <w:pPr>
      <w:pStyle w:val="Cabealho"/>
      <w:jc w:val="right"/>
      <w:rPr>
        <w:rFonts w:ascii="Arial" w:hAnsi="Arial" w:cs="Arial"/>
        <w:sz w:val="18"/>
        <w:szCs w:val="18"/>
        <w:lang w:val="pt-BR"/>
      </w:rPr>
    </w:pPr>
    <w:r>
      <w:rPr>
        <w:rFonts w:ascii="Arial" w:hAnsi="Arial" w:cs="Arial"/>
        <w:sz w:val="18"/>
        <w:szCs w:val="18"/>
        <w:lang w:val="pt-BR"/>
      </w:rPr>
      <w:t>BR-L1503</w:t>
    </w:r>
  </w:p>
  <w:p w:rsidR="0001145B" w:rsidRPr="00E47BEE" w:rsidRDefault="0001145B">
    <w:pPr>
      <w:pStyle w:val="Cabealho"/>
      <w:jc w:val="right"/>
      <w:rPr>
        <w:rFonts w:ascii="Arial" w:hAnsi="Arial" w:cs="Arial"/>
        <w:sz w:val="18"/>
        <w:szCs w:val="18"/>
        <w:lang w:val="pt-BR"/>
      </w:rPr>
    </w:pPr>
    <w:r w:rsidRPr="00E47BEE">
      <w:rPr>
        <w:rFonts w:ascii="Arial" w:hAnsi="Arial" w:cs="Arial"/>
        <w:sz w:val="18"/>
        <w:szCs w:val="18"/>
        <w:lang w:val="pt-BR"/>
      </w:rPr>
      <w:t xml:space="preserve">Page </w:t>
    </w:r>
    <w:r w:rsidRPr="00E47BEE">
      <w:rPr>
        <w:rFonts w:ascii="Arial" w:hAnsi="Arial" w:cs="Arial"/>
        <w:bCs/>
        <w:sz w:val="18"/>
        <w:szCs w:val="18"/>
      </w:rPr>
      <w:fldChar w:fldCharType="begin"/>
    </w:r>
    <w:r w:rsidRPr="00E47BEE">
      <w:rPr>
        <w:rFonts w:ascii="Arial" w:hAnsi="Arial" w:cs="Arial"/>
        <w:bCs/>
        <w:sz w:val="18"/>
        <w:szCs w:val="18"/>
        <w:lang w:val="pt-BR"/>
      </w:rPr>
      <w:instrText xml:space="preserve"> PAGE </w:instrText>
    </w:r>
    <w:r w:rsidRPr="00E47BEE">
      <w:rPr>
        <w:rFonts w:ascii="Arial" w:hAnsi="Arial" w:cs="Arial"/>
        <w:bCs/>
        <w:sz w:val="18"/>
        <w:szCs w:val="18"/>
      </w:rPr>
      <w:fldChar w:fldCharType="separate"/>
    </w:r>
    <w:r w:rsidR="00591999">
      <w:rPr>
        <w:rFonts w:ascii="Arial" w:hAnsi="Arial" w:cs="Arial"/>
        <w:bCs/>
        <w:noProof/>
        <w:sz w:val="18"/>
        <w:szCs w:val="18"/>
        <w:lang w:val="pt-BR"/>
      </w:rPr>
      <w:t>15</w:t>
    </w:r>
    <w:r w:rsidRPr="00E47BEE">
      <w:rPr>
        <w:rFonts w:ascii="Arial" w:hAnsi="Arial" w:cs="Arial"/>
        <w:bCs/>
        <w:sz w:val="18"/>
        <w:szCs w:val="18"/>
      </w:rPr>
      <w:fldChar w:fldCharType="end"/>
    </w:r>
    <w:r w:rsidRPr="00E47BEE">
      <w:rPr>
        <w:rFonts w:ascii="Arial" w:hAnsi="Arial" w:cs="Arial"/>
        <w:sz w:val="18"/>
        <w:szCs w:val="18"/>
        <w:lang w:val="pt-BR"/>
      </w:rPr>
      <w:t xml:space="preserve"> of </w:t>
    </w:r>
    <w:r w:rsidRPr="00E47BEE">
      <w:rPr>
        <w:rFonts w:ascii="Arial" w:hAnsi="Arial" w:cs="Arial"/>
        <w:bCs/>
        <w:sz w:val="18"/>
        <w:szCs w:val="18"/>
      </w:rPr>
      <w:fldChar w:fldCharType="begin"/>
    </w:r>
    <w:r w:rsidRPr="00E47BEE">
      <w:rPr>
        <w:rFonts w:ascii="Arial" w:hAnsi="Arial" w:cs="Arial"/>
        <w:bCs/>
        <w:sz w:val="18"/>
        <w:szCs w:val="18"/>
        <w:lang w:val="pt-BR"/>
      </w:rPr>
      <w:instrText xml:space="preserve"> NUMPAGES  </w:instrText>
    </w:r>
    <w:r w:rsidRPr="00E47BEE">
      <w:rPr>
        <w:rFonts w:ascii="Arial" w:hAnsi="Arial" w:cs="Arial"/>
        <w:bCs/>
        <w:sz w:val="18"/>
        <w:szCs w:val="18"/>
      </w:rPr>
      <w:fldChar w:fldCharType="separate"/>
    </w:r>
    <w:r w:rsidR="00591999">
      <w:rPr>
        <w:rFonts w:ascii="Arial" w:hAnsi="Arial" w:cs="Arial"/>
        <w:bCs/>
        <w:noProof/>
        <w:sz w:val="18"/>
        <w:szCs w:val="18"/>
        <w:lang w:val="pt-BR"/>
      </w:rPr>
      <w:t>17</w:t>
    </w:r>
    <w:r w:rsidRPr="00E47BEE">
      <w:rPr>
        <w:rFonts w:ascii="Arial" w:hAnsi="Arial" w:cs="Arial"/>
        <w:bCs/>
        <w:sz w:val="18"/>
        <w:szCs w:val="18"/>
      </w:rPr>
      <w:fldChar w:fldCharType="end"/>
    </w:r>
  </w:p>
  <w:p w:rsidR="0001145B" w:rsidRPr="00BD2BE8" w:rsidRDefault="0001145B" w:rsidP="006C5C09">
    <w:pPr>
      <w:pStyle w:val="Cabealho"/>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400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000B9"/>
    <w:multiLevelType w:val="multilevel"/>
    <w:tmpl w:val="31D6701C"/>
    <w:lvl w:ilvl="0">
      <w:start w:val="1"/>
      <w:numFmt w:val="decimal"/>
      <w:lvlText w:val="%1"/>
      <w:lvlJc w:val="left"/>
      <w:pPr>
        <w:ind w:left="420" w:hanging="420"/>
      </w:pPr>
      <w:rPr>
        <w:rFonts w:hint="default"/>
        <w:u w:val="single"/>
      </w:rPr>
    </w:lvl>
    <w:lvl w:ilvl="1">
      <w:start w:val="1"/>
      <w:numFmt w:val="decimal"/>
      <w:lvlText w:val="%1.%2"/>
      <w:lvlJc w:val="left"/>
      <w:pPr>
        <w:ind w:left="780" w:hanging="420"/>
      </w:pPr>
      <w:rPr>
        <w:rFonts w:hint="default"/>
        <w:b w:val="0"/>
        <w:sz w:val="24"/>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18C90815"/>
    <w:multiLevelType w:val="hybridMultilevel"/>
    <w:tmpl w:val="B1FA5958"/>
    <w:lvl w:ilvl="0" w:tplc="06F2F2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A0242"/>
    <w:multiLevelType w:val="hybridMultilevel"/>
    <w:tmpl w:val="B6068CCC"/>
    <w:lvl w:ilvl="0" w:tplc="04090019">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208E2D78"/>
    <w:multiLevelType w:val="multilevel"/>
    <w:tmpl w:val="035EA7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15FA5"/>
    <w:multiLevelType w:val="hybridMultilevel"/>
    <w:tmpl w:val="048268A8"/>
    <w:lvl w:ilvl="0" w:tplc="85A69D06">
      <w:start w:val="1"/>
      <w:numFmt w:val="bullet"/>
      <w:lvlText w:val="•"/>
      <w:lvlJc w:val="left"/>
      <w:pPr>
        <w:tabs>
          <w:tab w:val="num" w:pos="720"/>
        </w:tabs>
        <w:ind w:left="720" w:hanging="360"/>
      </w:pPr>
      <w:rPr>
        <w:rFonts w:ascii="Arial" w:hAnsi="Arial" w:hint="default"/>
      </w:rPr>
    </w:lvl>
    <w:lvl w:ilvl="1" w:tplc="979224D8" w:tentative="1">
      <w:start w:val="1"/>
      <w:numFmt w:val="bullet"/>
      <w:lvlText w:val="•"/>
      <w:lvlJc w:val="left"/>
      <w:pPr>
        <w:tabs>
          <w:tab w:val="num" w:pos="1440"/>
        </w:tabs>
        <w:ind w:left="1440" w:hanging="360"/>
      </w:pPr>
      <w:rPr>
        <w:rFonts w:ascii="Arial" w:hAnsi="Arial" w:hint="default"/>
      </w:rPr>
    </w:lvl>
    <w:lvl w:ilvl="2" w:tplc="FFC4C3AA" w:tentative="1">
      <w:start w:val="1"/>
      <w:numFmt w:val="bullet"/>
      <w:lvlText w:val="•"/>
      <w:lvlJc w:val="left"/>
      <w:pPr>
        <w:tabs>
          <w:tab w:val="num" w:pos="2160"/>
        </w:tabs>
        <w:ind w:left="2160" w:hanging="360"/>
      </w:pPr>
      <w:rPr>
        <w:rFonts w:ascii="Arial" w:hAnsi="Arial" w:hint="default"/>
      </w:rPr>
    </w:lvl>
    <w:lvl w:ilvl="3" w:tplc="04FEC1BC" w:tentative="1">
      <w:start w:val="1"/>
      <w:numFmt w:val="bullet"/>
      <w:lvlText w:val="•"/>
      <w:lvlJc w:val="left"/>
      <w:pPr>
        <w:tabs>
          <w:tab w:val="num" w:pos="2880"/>
        </w:tabs>
        <w:ind w:left="2880" w:hanging="360"/>
      </w:pPr>
      <w:rPr>
        <w:rFonts w:ascii="Arial" w:hAnsi="Arial" w:hint="default"/>
      </w:rPr>
    </w:lvl>
    <w:lvl w:ilvl="4" w:tplc="CC5451B0" w:tentative="1">
      <w:start w:val="1"/>
      <w:numFmt w:val="bullet"/>
      <w:lvlText w:val="•"/>
      <w:lvlJc w:val="left"/>
      <w:pPr>
        <w:tabs>
          <w:tab w:val="num" w:pos="3600"/>
        </w:tabs>
        <w:ind w:left="3600" w:hanging="360"/>
      </w:pPr>
      <w:rPr>
        <w:rFonts w:ascii="Arial" w:hAnsi="Arial" w:hint="default"/>
      </w:rPr>
    </w:lvl>
    <w:lvl w:ilvl="5" w:tplc="4CEEB922" w:tentative="1">
      <w:start w:val="1"/>
      <w:numFmt w:val="bullet"/>
      <w:lvlText w:val="•"/>
      <w:lvlJc w:val="left"/>
      <w:pPr>
        <w:tabs>
          <w:tab w:val="num" w:pos="4320"/>
        </w:tabs>
        <w:ind w:left="4320" w:hanging="360"/>
      </w:pPr>
      <w:rPr>
        <w:rFonts w:ascii="Arial" w:hAnsi="Arial" w:hint="default"/>
      </w:rPr>
    </w:lvl>
    <w:lvl w:ilvl="6" w:tplc="DC8EDA34" w:tentative="1">
      <w:start w:val="1"/>
      <w:numFmt w:val="bullet"/>
      <w:lvlText w:val="•"/>
      <w:lvlJc w:val="left"/>
      <w:pPr>
        <w:tabs>
          <w:tab w:val="num" w:pos="5040"/>
        </w:tabs>
        <w:ind w:left="5040" w:hanging="360"/>
      </w:pPr>
      <w:rPr>
        <w:rFonts w:ascii="Arial" w:hAnsi="Arial" w:hint="default"/>
      </w:rPr>
    </w:lvl>
    <w:lvl w:ilvl="7" w:tplc="915CF5D6" w:tentative="1">
      <w:start w:val="1"/>
      <w:numFmt w:val="bullet"/>
      <w:lvlText w:val="•"/>
      <w:lvlJc w:val="left"/>
      <w:pPr>
        <w:tabs>
          <w:tab w:val="num" w:pos="5760"/>
        </w:tabs>
        <w:ind w:left="5760" w:hanging="360"/>
      </w:pPr>
      <w:rPr>
        <w:rFonts w:ascii="Arial" w:hAnsi="Arial" w:hint="default"/>
      </w:rPr>
    </w:lvl>
    <w:lvl w:ilvl="8" w:tplc="B580A6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9D61CA"/>
    <w:multiLevelType w:val="hybridMultilevel"/>
    <w:tmpl w:val="9D34489A"/>
    <w:lvl w:ilvl="0" w:tplc="27229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55BC8"/>
    <w:multiLevelType w:val="hybridMultilevel"/>
    <w:tmpl w:val="4B42A0A4"/>
    <w:lvl w:ilvl="0" w:tplc="598A978A">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95"/>
    <w:rsid w:val="000028AD"/>
    <w:rsid w:val="00002C4C"/>
    <w:rsid w:val="000043EF"/>
    <w:rsid w:val="00006020"/>
    <w:rsid w:val="00006586"/>
    <w:rsid w:val="0001145B"/>
    <w:rsid w:val="00011823"/>
    <w:rsid w:val="00012A5A"/>
    <w:rsid w:val="00013232"/>
    <w:rsid w:val="00013FFD"/>
    <w:rsid w:val="00015202"/>
    <w:rsid w:val="00015AAE"/>
    <w:rsid w:val="0002139F"/>
    <w:rsid w:val="00022E6F"/>
    <w:rsid w:val="00024482"/>
    <w:rsid w:val="00026F59"/>
    <w:rsid w:val="0003207A"/>
    <w:rsid w:val="00037352"/>
    <w:rsid w:val="00041F63"/>
    <w:rsid w:val="000427F7"/>
    <w:rsid w:val="0004321D"/>
    <w:rsid w:val="00043446"/>
    <w:rsid w:val="00046120"/>
    <w:rsid w:val="000471AC"/>
    <w:rsid w:val="00047207"/>
    <w:rsid w:val="00047BAB"/>
    <w:rsid w:val="00050CF4"/>
    <w:rsid w:val="00051B24"/>
    <w:rsid w:val="000521B7"/>
    <w:rsid w:val="000530A6"/>
    <w:rsid w:val="00053DD5"/>
    <w:rsid w:val="0005484F"/>
    <w:rsid w:val="00054D4F"/>
    <w:rsid w:val="0005528E"/>
    <w:rsid w:val="000564B6"/>
    <w:rsid w:val="00057032"/>
    <w:rsid w:val="00061F64"/>
    <w:rsid w:val="00061FD2"/>
    <w:rsid w:val="00063DC9"/>
    <w:rsid w:val="00064C29"/>
    <w:rsid w:val="0006524A"/>
    <w:rsid w:val="0006569F"/>
    <w:rsid w:val="00065776"/>
    <w:rsid w:val="00066736"/>
    <w:rsid w:val="000710A5"/>
    <w:rsid w:val="00072ED0"/>
    <w:rsid w:val="00074294"/>
    <w:rsid w:val="00075AF8"/>
    <w:rsid w:val="0007669E"/>
    <w:rsid w:val="000767B0"/>
    <w:rsid w:val="000771EB"/>
    <w:rsid w:val="0007788E"/>
    <w:rsid w:val="000861F1"/>
    <w:rsid w:val="00087B10"/>
    <w:rsid w:val="0009445A"/>
    <w:rsid w:val="000946F5"/>
    <w:rsid w:val="0009497E"/>
    <w:rsid w:val="00094BC9"/>
    <w:rsid w:val="00094CAF"/>
    <w:rsid w:val="00097720"/>
    <w:rsid w:val="000A1958"/>
    <w:rsid w:val="000A2219"/>
    <w:rsid w:val="000A29E2"/>
    <w:rsid w:val="000A33BE"/>
    <w:rsid w:val="000A42B3"/>
    <w:rsid w:val="000A4A68"/>
    <w:rsid w:val="000A6980"/>
    <w:rsid w:val="000A7C95"/>
    <w:rsid w:val="000B237A"/>
    <w:rsid w:val="000B407C"/>
    <w:rsid w:val="000B64B4"/>
    <w:rsid w:val="000B7323"/>
    <w:rsid w:val="000C1204"/>
    <w:rsid w:val="000C503C"/>
    <w:rsid w:val="000C65F2"/>
    <w:rsid w:val="000C71B1"/>
    <w:rsid w:val="000D0E9F"/>
    <w:rsid w:val="000D30C3"/>
    <w:rsid w:val="000E0081"/>
    <w:rsid w:val="000E010C"/>
    <w:rsid w:val="000E267F"/>
    <w:rsid w:val="000E293C"/>
    <w:rsid w:val="000E451B"/>
    <w:rsid w:val="000E52F5"/>
    <w:rsid w:val="000E5A43"/>
    <w:rsid w:val="000E6186"/>
    <w:rsid w:val="000E63AE"/>
    <w:rsid w:val="000F4C66"/>
    <w:rsid w:val="000F648A"/>
    <w:rsid w:val="000F7AA7"/>
    <w:rsid w:val="00100358"/>
    <w:rsid w:val="00100B69"/>
    <w:rsid w:val="00101072"/>
    <w:rsid w:val="00102B66"/>
    <w:rsid w:val="00103304"/>
    <w:rsid w:val="00104DA2"/>
    <w:rsid w:val="001064A1"/>
    <w:rsid w:val="0011093F"/>
    <w:rsid w:val="00110C21"/>
    <w:rsid w:val="00110E22"/>
    <w:rsid w:val="00111F7F"/>
    <w:rsid w:val="00112CAA"/>
    <w:rsid w:val="00114058"/>
    <w:rsid w:val="00120394"/>
    <w:rsid w:val="00120DEC"/>
    <w:rsid w:val="00121DC7"/>
    <w:rsid w:val="001221C6"/>
    <w:rsid w:val="001226C5"/>
    <w:rsid w:val="00124BBE"/>
    <w:rsid w:val="00124C81"/>
    <w:rsid w:val="001253CD"/>
    <w:rsid w:val="00125CAD"/>
    <w:rsid w:val="00130653"/>
    <w:rsid w:val="001308D7"/>
    <w:rsid w:val="001311A5"/>
    <w:rsid w:val="0013133F"/>
    <w:rsid w:val="00131A33"/>
    <w:rsid w:val="00132FD3"/>
    <w:rsid w:val="001334B9"/>
    <w:rsid w:val="001355B0"/>
    <w:rsid w:val="00136AAB"/>
    <w:rsid w:val="00137E54"/>
    <w:rsid w:val="00140499"/>
    <w:rsid w:val="00144A81"/>
    <w:rsid w:val="00146CF7"/>
    <w:rsid w:val="00146FFD"/>
    <w:rsid w:val="00147E23"/>
    <w:rsid w:val="00150C21"/>
    <w:rsid w:val="001512DD"/>
    <w:rsid w:val="001536C7"/>
    <w:rsid w:val="0015417A"/>
    <w:rsid w:val="00154426"/>
    <w:rsid w:val="00154BCC"/>
    <w:rsid w:val="001552D2"/>
    <w:rsid w:val="00155446"/>
    <w:rsid w:val="001559F0"/>
    <w:rsid w:val="00157C65"/>
    <w:rsid w:val="0016194B"/>
    <w:rsid w:val="00161C2A"/>
    <w:rsid w:val="00162CCA"/>
    <w:rsid w:val="00167612"/>
    <w:rsid w:val="0017023F"/>
    <w:rsid w:val="001705A4"/>
    <w:rsid w:val="0017183F"/>
    <w:rsid w:val="00180197"/>
    <w:rsid w:val="00183D4E"/>
    <w:rsid w:val="001854A0"/>
    <w:rsid w:val="00185759"/>
    <w:rsid w:val="00186740"/>
    <w:rsid w:val="001868A6"/>
    <w:rsid w:val="00187204"/>
    <w:rsid w:val="001874AB"/>
    <w:rsid w:val="0019512B"/>
    <w:rsid w:val="001A0780"/>
    <w:rsid w:val="001A2DC7"/>
    <w:rsid w:val="001A4081"/>
    <w:rsid w:val="001A4485"/>
    <w:rsid w:val="001A6894"/>
    <w:rsid w:val="001B069F"/>
    <w:rsid w:val="001B2098"/>
    <w:rsid w:val="001B48E1"/>
    <w:rsid w:val="001B6610"/>
    <w:rsid w:val="001C0436"/>
    <w:rsid w:val="001C0A00"/>
    <w:rsid w:val="001C1543"/>
    <w:rsid w:val="001C50A0"/>
    <w:rsid w:val="001C7FB5"/>
    <w:rsid w:val="001D1CE9"/>
    <w:rsid w:val="001D3133"/>
    <w:rsid w:val="001D396E"/>
    <w:rsid w:val="001D6820"/>
    <w:rsid w:val="001D6FCB"/>
    <w:rsid w:val="001E267F"/>
    <w:rsid w:val="001E434D"/>
    <w:rsid w:val="001E49C9"/>
    <w:rsid w:val="001E5F9D"/>
    <w:rsid w:val="001E65F5"/>
    <w:rsid w:val="001E666F"/>
    <w:rsid w:val="001F0B5C"/>
    <w:rsid w:val="001F0F51"/>
    <w:rsid w:val="001F1853"/>
    <w:rsid w:val="001F4F74"/>
    <w:rsid w:val="001F63C2"/>
    <w:rsid w:val="001F726A"/>
    <w:rsid w:val="002010B1"/>
    <w:rsid w:val="002033D8"/>
    <w:rsid w:val="002033E2"/>
    <w:rsid w:val="002069C6"/>
    <w:rsid w:val="002072D9"/>
    <w:rsid w:val="0021013F"/>
    <w:rsid w:val="002119BC"/>
    <w:rsid w:val="00212209"/>
    <w:rsid w:val="002142B7"/>
    <w:rsid w:val="00215200"/>
    <w:rsid w:val="0021558B"/>
    <w:rsid w:val="0021649D"/>
    <w:rsid w:val="00221298"/>
    <w:rsid w:val="00221868"/>
    <w:rsid w:val="0022476A"/>
    <w:rsid w:val="0022539D"/>
    <w:rsid w:val="00225A02"/>
    <w:rsid w:val="00227C90"/>
    <w:rsid w:val="002301DC"/>
    <w:rsid w:val="00230D2F"/>
    <w:rsid w:val="002362C3"/>
    <w:rsid w:val="00237E1D"/>
    <w:rsid w:val="00240FB5"/>
    <w:rsid w:val="002410A5"/>
    <w:rsid w:val="0024164D"/>
    <w:rsid w:val="0024237F"/>
    <w:rsid w:val="002424DE"/>
    <w:rsid w:val="00244686"/>
    <w:rsid w:val="00245301"/>
    <w:rsid w:val="00251D16"/>
    <w:rsid w:val="00252DDB"/>
    <w:rsid w:val="002560FB"/>
    <w:rsid w:val="0025768B"/>
    <w:rsid w:val="002621A5"/>
    <w:rsid w:val="0026234F"/>
    <w:rsid w:val="0026382A"/>
    <w:rsid w:val="00264E4D"/>
    <w:rsid w:val="00266630"/>
    <w:rsid w:val="0027042C"/>
    <w:rsid w:val="002733F8"/>
    <w:rsid w:val="002738F8"/>
    <w:rsid w:val="002748FC"/>
    <w:rsid w:val="002759EC"/>
    <w:rsid w:val="002805FB"/>
    <w:rsid w:val="00280BEA"/>
    <w:rsid w:val="00280FF1"/>
    <w:rsid w:val="00281340"/>
    <w:rsid w:val="0028461A"/>
    <w:rsid w:val="002874BC"/>
    <w:rsid w:val="00287D32"/>
    <w:rsid w:val="00291C91"/>
    <w:rsid w:val="002A52F3"/>
    <w:rsid w:val="002B0BFD"/>
    <w:rsid w:val="002B1813"/>
    <w:rsid w:val="002B1DEB"/>
    <w:rsid w:val="002B2FA1"/>
    <w:rsid w:val="002B39E5"/>
    <w:rsid w:val="002B64A7"/>
    <w:rsid w:val="002B7A2C"/>
    <w:rsid w:val="002C297E"/>
    <w:rsid w:val="002C635A"/>
    <w:rsid w:val="002C726E"/>
    <w:rsid w:val="002D1379"/>
    <w:rsid w:val="002D2EB2"/>
    <w:rsid w:val="002D3010"/>
    <w:rsid w:val="002D4677"/>
    <w:rsid w:val="002D62B7"/>
    <w:rsid w:val="002D715A"/>
    <w:rsid w:val="002E2066"/>
    <w:rsid w:val="002F03ED"/>
    <w:rsid w:val="002F4142"/>
    <w:rsid w:val="002F48D1"/>
    <w:rsid w:val="002F766B"/>
    <w:rsid w:val="00303246"/>
    <w:rsid w:val="00303CB0"/>
    <w:rsid w:val="00303D56"/>
    <w:rsid w:val="0030447A"/>
    <w:rsid w:val="00306146"/>
    <w:rsid w:val="00312221"/>
    <w:rsid w:val="00313CFF"/>
    <w:rsid w:val="00315055"/>
    <w:rsid w:val="003159C8"/>
    <w:rsid w:val="00315B0B"/>
    <w:rsid w:val="00316B60"/>
    <w:rsid w:val="00326DDC"/>
    <w:rsid w:val="003307A4"/>
    <w:rsid w:val="003320B6"/>
    <w:rsid w:val="00332AD0"/>
    <w:rsid w:val="00333FAD"/>
    <w:rsid w:val="00333FE4"/>
    <w:rsid w:val="00334E19"/>
    <w:rsid w:val="00335363"/>
    <w:rsid w:val="00336FA1"/>
    <w:rsid w:val="00337455"/>
    <w:rsid w:val="00337ED6"/>
    <w:rsid w:val="00340DEA"/>
    <w:rsid w:val="00343E93"/>
    <w:rsid w:val="00345314"/>
    <w:rsid w:val="0035255A"/>
    <w:rsid w:val="0035453B"/>
    <w:rsid w:val="003579BB"/>
    <w:rsid w:val="00361263"/>
    <w:rsid w:val="00364F39"/>
    <w:rsid w:val="00366B82"/>
    <w:rsid w:val="00367187"/>
    <w:rsid w:val="0037192C"/>
    <w:rsid w:val="003748D2"/>
    <w:rsid w:val="00376667"/>
    <w:rsid w:val="003812E0"/>
    <w:rsid w:val="003825A2"/>
    <w:rsid w:val="00383958"/>
    <w:rsid w:val="003876D0"/>
    <w:rsid w:val="00391E7F"/>
    <w:rsid w:val="00395AF6"/>
    <w:rsid w:val="003A04DD"/>
    <w:rsid w:val="003A385D"/>
    <w:rsid w:val="003A51E9"/>
    <w:rsid w:val="003A51FB"/>
    <w:rsid w:val="003A5488"/>
    <w:rsid w:val="003B3F5E"/>
    <w:rsid w:val="003B549D"/>
    <w:rsid w:val="003B5622"/>
    <w:rsid w:val="003B562A"/>
    <w:rsid w:val="003C0A03"/>
    <w:rsid w:val="003C27D9"/>
    <w:rsid w:val="003C4266"/>
    <w:rsid w:val="003C5CC7"/>
    <w:rsid w:val="003C625B"/>
    <w:rsid w:val="003C65E7"/>
    <w:rsid w:val="003C780F"/>
    <w:rsid w:val="003D2865"/>
    <w:rsid w:val="003D2DCA"/>
    <w:rsid w:val="003D3B4C"/>
    <w:rsid w:val="003D5189"/>
    <w:rsid w:val="003D5519"/>
    <w:rsid w:val="003D6C3E"/>
    <w:rsid w:val="003D6F77"/>
    <w:rsid w:val="003E21AF"/>
    <w:rsid w:val="003F102E"/>
    <w:rsid w:val="003F2955"/>
    <w:rsid w:val="003F69C4"/>
    <w:rsid w:val="0040315D"/>
    <w:rsid w:val="004047D6"/>
    <w:rsid w:val="0040551F"/>
    <w:rsid w:val="004065FE"/>
    <w:rsid w:val="00413569"/>
    <w:rsid w:val="00415683"/>
    <w:rsid w:val="0041668D"/>
    <w:rsid w:val="004303C5"/>
    <w:rsid w:val="004335D1"/>
    <w:rsid w:val="00436023"/>
    <w:rsid w:val="004363BC"/>
    <w:rsid w:val="00442F7E"/>
    <w:rsid w:val="0044510E"/>
    <w:rsid w:val="004461FA"/>
    <w:rsid w:val="00447B6F"/>
    <w:rsid w:val="004504C9"/>
    <w:rsid w:val="00450CA7"/>
    <w:rsid w:val="00451B1A"/>
    <w:rsid w:val="004608ED"/>
    <w:rsid w:val="00461B1C"/>
    <w:rsid w:val="00462C44"/>
    <w:rsid w:val="004648CA"/>
    <w:rsid w:val="00473566"/>
    <w:rsid w:val="004736EF"/>
    <w:rsid w:val="00474517"/>
    <w:rsid w:val="00476C8D"/>
    <w:rsid w:val="004809D5"/>
    <w:rsid w:val="004835F8"/>
    <w:rsid w:val="00484A12"/>
    <w:rsid w:val="00486259"/>
    <w:rsid w:val="0049420A"/>
    <w:rsid w:val="00496999"/>
    <w:rsid w:val="004A43FB"/>
    <w:rsid w:val="004A463E"/>
    <w:rsid w:val="004A57F1"/>
    <w:rsid w:val="004A65B6"/>
    <w:rsid w:val="004A7ED6"/>
    <w:rsid w:val="004B3406"/>
    <w:rsid w:val="004B51E1"/>
    <w:rsid w:val="004C1527"/>
    <w:rsid w:val="004C1FD1"/>
    <w:rsid w:val="004C39C3"/>
    <w:rsid w:val="004C3F4A"/>
    <w:rsid w:val="004C4E77"/>
    <w:rsid w:val="004C5C02"/>
    <w:rsid w:val="004C5D22"/>
    <w:rsid w:val="004C5DA0"/>
    <w:rsid w:val="004D0C42"/>
    <w:rsid w:val="004D1C05"/>
    <w:rsid w:val="004D1CE5"/>
    <w:rsid w:val="004D53AF"/>
    <w:rsid w:val="004D6D20"/>
    <w:rsid w:val="004E0DDA"/>
    <w:rsid w:val="004E0FF4"/>
    <w:rsid w:val="004E2763"/>
    <w:rsid w:val="004E27C0"/>
    <w:rsid w:val="004E5A94"/>
    <w:rsid w:val="004E6FE8"/>
    <w:rsid w:val="004E78F9"/>
    <w:rsid w:val="004F3801"/>
    <w:rsid w:val="004F4ADF"/>
    <w:rsid w:val="004F6AC6"/>
    <w:rsid w:val="0050099D"/>
    <w:rsid w:val="00504714"/>
    <w:rsid w:val="00504C5D"/>
    <w:rsid w:val="00506457"/>
    <w:rsid w:val="00506736"/>
    <w:rsid w:val="00506F43"/>
    <w:rsid w:val="00507357"/>
    <w:rsid w:val="00511DC9"/>
    <w:rsid w:val="0051360D"/>
    <w:rsid w:val="00516760"/>
    <w:rsid w:val="005201DD"/>
    <w:rsid w:val="0052089E"/>
    <w:rsid w:val="00521737"/>
    <w:rsid w:val="00524D03"/>
    <w:rsid w:val="005254A9"/>
    <w:rsid w:val="005258E5"/>
    <w:rsid w:val="005259E6"/>
    <w:rsid w:val="00525DB3"/>
    <w:rsid w:val="00526927"/>
    <w:rsid w:val="00527108"/>
    <w:rsid w:val="00527C43"/>
    <w:rsid w:val="00530F1C"/>
    <w:rsid w:val="00535F85"/>
    <w:rsid w:val="00540E77"/>
    <w:rsid w:val="00541BFA"/>
    <w:rsid w:val="005429E3"/>
    <w:rsid w:val="00543084"/>
    <w:rsid w:val="00543166"/>
    <w:rsid w:val="00550491"/>
    <w:rsid w:val="00551146"/>
    <w:rsid w:val="00552D2E"/>
    <w:rsid w:val="00554E31"/>
    <w:rsid w:val="005576C5"/>
    <w:rsid w:val="00563B8B"/>
    <w:rsid w:val="00564A4F"/>
    <w:rsid w:val="00565630"/>
    <w:rsid w:val="005663E4"/>
    <w:rsid w:val="005664F6"/>
    <w:rsid w:val="00566680"/>
    <w:rsid w:val="005677CC"/>
    <w:rsid w:val="00570B2C"/>
    <w:rsid w:val="00571B3F"/>
    <w:rsid w:val="00581F93"/>
    <w:rsid w:val="005864B5"/>
    <w:rsid w:val="00587799"/>
    <w:rsid w:val="00587F71"/>
    <w:rsid w:val="00590885"/>
    <w:rsid w:val="00591999"/>
    <w:rsid w:val="00591D8D"/>
    <w:rsid w:val="0059405D"/>
    <w:rsid w:val="00594737"/>
    <w:rsid w:val="00595B90"/>
    <w:rsid w:val="00595ED9"/>
    <w:rsid w:val="005A0452"/>
    <w:rsid w:val="005A0D10"/>
    <w:rsid w:val="005A1BE3"/>
    <w:rsid w:val="005A1F9F"/>
    <w:rsid w:val="005A29EF"/>
    <w:rsid w:val="005A3F9A"/>
    <w:rsid w:val="005A564D"/>
    <w:rsid w:val="005A599D"/>
    <w:rsid w:val="005A5E0C"/>
    <w:rsid w:val="005A746F"/>
    <w:rsid w:val="005A7B84"/>
    <w:rsid w:val="005A7F57"/>
    <w:rsid w:val="005B4784"/>
    <w:rsid w:val="005C1F18"/>
    <w:rsid w:val="005C45F1"/>
    <w:rsid w:val="005C5867"/>
    <w:rsid w:val="005C6D13"/>
    <w:rsid w:val="005D1C3F"/>
    <w:rsid w:val="005D1F0E"/>
    <w:rsid w:val="005D20D4"/>
    <w:rsid w:val="005D27ED"/>
    <w:rsid w:val="005D2C6B"/>
    <w:rsid w:val="005E4AFA"/>
    <w:rsid w:val="005E508A"/>
    <w:rsid w:val="005F5690"/>
    <w:rsid w:val="005F6A60"/>
    <w:rsid w:val="006002CD"/>
    <w:rsid w:val="00605EA5"/>
    <w:rsid w:val="00606435"/>
    <w:rsid w:val="00612A40"/>
    <w:rsid w:val="00612B87"/>
    <w:rsid w:val="00615AC4"/>
    <w:rsid w:val="00616D63"/>
    <w:rsid w:val="006178CA"/>
    <w:rsid w:val="00617A63"/>
    <w:rsid w:val="00622BB6"/>
    <w:rsid w:val="0062460E"/>
    <w:rsid w:val="00625D1A"/>
    <w:rsid w:val="00630C2B"/>
    <w:rsid w:val="00630C35"/>
    <w:rsid w:val="00634B26"/>
    <w:rsid w:val="00642535"/>
    <w:rsid w:val="006449E3"/>
    <w:rsid w:val="00645702"/>
    <w:rsid w:val="00645C72"/>
    <w:rsid w:val="0065322D"/>
    <w:rsid w:val="00653741"/>
    <w:rsid w:val="00653DF5"/>
    <w:rsid w:val="0065481F"/>
    <w:rsid w:val="00654A3D"/>
    <w:rsid w:val="00655E9C"/>
    <w:rsid w:val="00655FE9"/>
    <w:rsid w:val="00656998"/>
    <w:rsid w:val="00660A2F"/>
    <w:rsid w:val="00661A15"/>
    <w:rsid w:val="00661D54"/>
    <w:rsid w:val="006662E6"/>
    <w:rsid w:val="00671289"/>
    <w:rsid w:val="00671BCB"/>
    <w:rsid w:val="00672803"/>
    <w:rsid w:val="00674A61"/>
    <w:rsid w:val="00675519"/>
    <w:rsid w:val="006755B0"/>
    <w:rsid w:val="00677C01"/>
    <w:rsid w:val="00683726"/>
    <w:rsid w:val="00683C10"/>
    <w:rsid w:val="00685920"/>
    <w:rsid w:val="00686859"/>
    <w:rsid w:val="0069132E"/>
    <w:rsid w:val="00696B04"/>
    <w:rsid w:val="006A3BB4"/>
    <w:rsid w:val="006A5B2C"/>
    <w:rsid w:val="006B0CB2"/>
    <w:rsid w:val="006B563A"/>
    <w:rsid w:val="006C15F7"/>
    <w:rsid w:val="006C5320"/>
    <w:rsid w:val="006C5955"/>
    <w:rsid w:val="006C5C09"/>
    <w:rsid w:val="006C60E2"/>
    <w:rsid w:val="006C63B6"/>
    <w:rsid w:val="006D08E7"/>
    <w:rsid w:val="006D423A"/>
    <w:rsid w:val="006D533F"/>
    <w:rsid w:val="006D5900"/>
    <w:rsid w:val="006E0370"/>
    <w:rsid w:val="006E037E"/>
    <w:rsid w:val="006E1BFA"/>
    <w:rsid w:val="006E21F6"/>
    <w:rsid w:val="006E2D59"/>
    <w:rsid w:val="006E2EF2"/>
    <w:rsid w:val="006E52B8"/>
    <w:rsid w:val="006E572C"/>
    <w:rsid w:val="006E5B3A"/>
    <w:rsid w:val="006E7854"/>
    <w:rsid w:val="006F0DB0"/>
    <w:rsid w:val="006F0FD1"/>
    <w:rsid w:val="006F1190"/>
    <w:rsid w:val="006F1E80"/>
    <w:rsid w:val="006F20FC"/>
    <w:rsid w:val="00700A13"/>
    <w:rsid w:val="00703C8E"/>
    <w:rsid w:val="00707F0E"/>
    <w:rsid w:val="00710C22"/>
    <w:rsid w:val="007128BD"/>
    <w:rsid w:val="00713BF9"/>
    <w:rsid w:val="00713C81"/>
    <w:rsid w:val="00713DE8"/>
    <w:rsid w:val="00714287"/>
    <w:rsid w:val="00715B50"/>
    <w:rsid w:val="007160F7"/>
    <w:rsid w:val="00720F84"/>
    <w:rsid w:val="00721CF8"/>
    <w:rsid w:val="0072217B"/>
    <w:rsid w:val="00725764"/>
    <w:rsid w:val="00726B3E"/>
    <w:rsid w:val="00730B3A"/>
    <w:rsid w:val="00732027"/>
    <w:rsid w:val="00735326"/>
    <w:rsid w:val="00735497"/>
    <w:rsid w:val="00737860"/>
    <w:rsid w:val="00740829"/>
    <w:rsid w:val="00742310"/>
    <w:rsid w:val="00745F47"/>
    <w:rsid w:val="00756863"/>
    <w:rsid w:val="00757C17"/>
    <w:rsid w:val="00760EAB"/>
    <w:rsid w:val="00765823"/>
    <w:rsid w:val="007672E3"/>
    <w:rsid w:val="0077175E"/>
    <w:rsid w:val="00772CA3"/>
    <w:rsid w:val="00775B71"/>
    <w:rsid w:val="007768A1"/>
    <w:rsid w:val="00777112"/>
    <w:rsid w:val="0077746D"/>
    <w:rsid w:val="0077797E"/>
    <w:rsid w:val="00783E0D"/>
    <w:rsid w:val="00787A7F"/>
    <w:rsid w:val="00787BE6"/>
    <w:rsid w:val="007900D1"/>
    <w:rsid w:val="00790AAB"/>
    <w:rsid w:val="007916D8"/>
    <w:rsid w:val="007916E9"/>
    <w:rsid w:val="007917DA"/>
    <w:rsid w:val="0079192F"/>
    <w:rsid w:val="00791B4C"/>
    <w:rsid w:val="007929C0"/>
    <w:rsid w:val="00793680"/>
    <w:rsid w:val="007A4746"/>
    <w:rsid w:val="007A5815"/>
    <w:rsid w:val="007B0766"/>
    <w:rsid w:val="007B1814"/>
    <w:rsid w:val="007B247C"/>
    <w:rsid w:val="007B27A4"/>
    <w:rsid w:val="007C0436"/>
    <w:rsid w:val="007C22E7"/>
    <w:rsid w:val="007C2BE7"/>
    <w:rsid w:val="007C3722"/>
    <w:rsid w:val="007C4300"/>
    <w:rsid w:val="007C4A2F"/>
    <w:rsid w:val="007C4BE0"/>
    <w:rsid w:val="007C4E61"/>
    <w:rsid w:val="007C5A77"/>
    <w:rsid w:val="007C6732"/>
    <w:rsid w:val="007C7807"/>
    <w:rsid w:val="007D0A04"/>
    <w:rsid w:val="007D1326"/>
    <w:rsid w:val="007D1D17"/>
    <w:rsid w:val="007D1E92"/>
    <w:rsid w:val="007D37AF"/>
    <w:rsid w:val="007D3DA3"/>
    <w:rsid w:val="007E0B59"/>
    <w:rsid w:val="007E1FBD"/>
    <w:rsid w:val="007E2002"/>
    <w:rsid w:val="007E4270"/>
    <w:rsid w:val="007E5539"/>
    <w:rsid w:val="007E67BF"/>
    <w:rsid w:val="007E6C32"/>
    <w:rsid w:val="007E6C33"/>
    <w:rsid w:val="007E7CE1"/>
    <w:rsid w:val="007F270F"/>
    <w:rsid w:val="007F2A08"/>
    <w:rsid w:val="007F4B8B"/>
    <w:rsid w:val="007F5052"/>
    <w:rsid w:val="008014CC"/>
    <w:rsid w:val="00802940"/>
    <w:rsid w:val="00803252"/>
    <w:rsid w:val="00803681"/>
    <w:rsid w:val="00806D73"/>
    <w:rsid w:val="00810F80"/>
    <w:rsid w:val="00813FED"/>
    <w:rsid w:val="0081517C"/>
    <w:rsid w:val="008204CB"/>
    <w:rsid w:val="00820D0E"/>
    <w:rsid w:val="008225D0"/>
    <w:rsid w:val="0082699C"/>
    <w:rsid w:val="008307DA"/>
    <w:rsid w:val="00832CB0"/>
    <w:rsid w:val="00834141"/>
    <w:rsid w:val="00834EDE"/>
    <w:rsid w:val="00842113"/>
    <w:rsid w:val="00843179"/>
    <w:rsid w:val="00845E20"/>
    <w:rsid w:val="0084779B"/>
    <w:rsid w:val="00850BE5"/>
    <w:rsid w:val="00852DA6"/>
    <w:rsid w:val="00852F91"/>
    <w:rsid w:val="008530A7"/>
    <w:rsid w:val="008541FB"/>
    <w:rsid w:val="008543AF"/>
    <w:rsid w:val="008557C8"/>
    <w:rsid w:val="00855B70"/>
    <w:rsid w:val="00857C40"/>
    <w:rsid w:val="008603BD"/>
    <w:rsid w:val="0086139D"/>
    <w:rsid w:val="00862CD1"/>
    <w:rsid w:val="00865996"/>
    <w:rsid w:val="0086739E"/>
    <w:rsid w:val="00874FFA"/>
    <w:rsid w:val="00875B5D"/>
    <w:rsid w:val="00875C40"/>
    <w:rsid w:val="00876B46"/>
    <w:rsid w:val="008773B0"/>
    <w:rsid w:val="00877DA9"/>
    <w:rsid w:val="00885F58"/>
    <w:rsid w:val="0089144E"/>
    <w:rsid w:val="0089487B"/>
    <w:rsid w:val="00895083"/>
    <w:rsid w:val="00895BA6"/>
    <w:rsid w:val="00895CB2"/>
    <w:rsid w:val="008968C5"/>
    <w:rsid w:val="00897495"/>
    <w:rsid w:val="008A0563"/>
    <w:rsid w:val="008A0B7E"/>
    <w:rsid w:val="008A1262"/>
    <w:rsid w:val="008A17A9"/>
    <w:rsid w:val="008A181B"/>
    <w:rsid w:val="008A1AF0"/>
    <w:rsid w:val="008A4C9C"/>
    <w:rsid w:val="008A54D0"/>
    <w:rsid w:val="008A6433"/>
    <w:rsid w:val="008B044B"/>
    <w:rsid w:val="008C2FE6"/>
    <w:rsid w:val="008C32AB"/>
    <w:rsid w:val="008C548E"/>
    <w:rsid w:val="008C5988"/>
    <w:rsid w:val="008D084A"/>
    <w:rsid w:val="008D0ADA"/>
    <w:rsid w:val="008D4A26"/>
    <w:rsid w:val="008D5935"/>
    <w:rsid w:val="008D5E04"/>
    <w:rsid w:val="008D616B"/>
    <w:rsid w:val="008E13AA"/>
    <w:rsid w:val="008E2E51"/>
    <w:rsid w:val="008E3D81"/>
    <w:rsid w:val="008E5CF6"/>
    <w:rsid w:val="008E7712"/>
    <w:rsid w:val="008F1F8C"/>
    <w:rsid w:val="008F2870"/>
    <w:rsid w:val="008F2925"/>
    <w:rsid w:val="008F4872"/>
    <w:rsid w:val="008F5F77"/>
    <w:rsid w:val="009057FE"/>
    <w:rsid w:val="009134A9"/>
    <w:rsid w:val="0091368F"/>
    <w:rsid w:val="009202B0"/>
    <w:rsid w:val="00922744"/>
    <w:rsid w:val="00922DFD"/>
    <w:rsid w:val="00926591"/>
    <w:rsid w:val="009333AB"/>
    <w:rsid w:val="00935318"/>
    <w:rsid w:val="00937170"/>
    <w:rsid w:val="009373DB"/>
    <w:rsid w:val="00940C27"/>
    <w:rsid w:val="00945369"/>
    <w:rsid w:val="00945439"/>
    <w:rsid w:val="009454EA"/>
    <w:rsid w:val="00946AB8"/>
    <w:rsid w:val="009504BB"/>
    <w:rsid w:val="0095274C"/>
    <w:rsid w:val="00954DD7"/>
    <w:rsid w:val="00961D7E"/>
    <w:rsid w:val="00970AFD"/>
    <w:rsid w:val="00971119"/>
    <w:rsid w:val="00971DB5"/>
    <w:rsid w:val="009764D8"/>
    <w:rsid w:val="009770B4"/>
    <w:rsid w:val="00983D47"/>
    <w:rsid w:val="00985FFF"/>
    <w:rsid w:val="00986D8A"/>
    <w:rsid w:val="00987E5D"/>
    <w:rsid w:val="009906AB"/>
    <w:rsid w:val="009908B0"/>
    <w:rsid w:val="00992016"/>
    <w:rsid w:val="00992371"/>
    <w:rsid w:val="00993879"/>
    <w:rsid w:val="0099655C"/>
    <w:rsid w:val="00996C75"/>
    <w:rsid w:val="009A0394"/>
    <w:rsid w:val="009A053E"/>
    <w:rsid w:val="009A3D18"/>
    <w:rsid w:val="009A5998"/>
    <w:rsid w:val="009A6DE6"/>
    <w:rsid w:val="009A75E5"/>
    <w:rsid w:val="009A7E5B"/>
    <w:rsid w:val="009B4D65"/>
    <w:rsid w:val="009B5D48"/>
    <w:rsid w:val="009C178C"/>
    <w:rsid w:val="009C3363"/>
    <w:rsid w:val="009C4DEC"/>
    <w:rsid w:val="009C610E"/>
    <w:rsid w:val="009D0C4C"/>
    <w:rsid w:val="009D2278"/>
    <w:rsid w:val="009D555B"/>
    <w:rsid w:val="009D5ED7"/>
    <w:rsid w:val="009D7B0A"/>
    <w:rsid w:val="009E0B9E"/>
    <w:rsid w:val="009F1634"/>
    <w:rsid w:val="009F1A56"/>
    <w:rsid w:val="009F2275"/>
    <w:rsid w:val="009F23FD"/>
    <w:rsid w:val="009F2A32"/>
    <w:rsid w:val="009F51A7"/>
    <w:rsid w:val="009F73F3"/>
    <w:rsid w:val="00A00F57"/>
    <w:rsid w:val="00A0154A"/>
    <w:rsid w:val="00A026DA"/>
    <w:rsid w:val="00A042B4"/>
    <w:rsid w:val="00A05164"/>
    <w:rsid w:val="00A10938"/>
    <w:rsid w:val="00A10E07"/>
    <w:rsid w:val="00A11088"/>
    <w:rsid w:val="00A11C26"/>
    <w:rsid w:val="00A13230"/>
    <w:rsid w:val="00A152A2"/>
    <w:rsid w:val="00A17081"/>
    <w:rsid w:val="00A2691C"/>
    <w:rsid w:val="00A30DC6"/>
    <w:rsid w:val="00A3137A"/>
    <w:rsid w:val="00A31474"/>
    <w:rsid w:val="00A31CF8"/>
    <w:rsid w:val="00A31FA5"/>
    <w:rsid w:val="00A3271D"/>
    <w:rsid w:val="00A33446"/>
    <w:rsid w:val="00A33FAF"/>
    <w:rsid w:val="00A347DE"/>
    <w:rsid w:val="00A351F9"/>
    <w:rsid w:val="00A35C7D"/>
    <w:rsid w:val="00A379DD"/>
    <w:rsid w:val="00A402A0"/>
    <w:rsid w:val="00A40AE8"/>
    <w:rsid w:val="00A428AD"/>
    <w:rsid w:val="00A50773"/>
    <w:rsid w:val="00A50AE5"/>
    <w:rsid w:val="00A51385"/>
    <w:rsid w:val="00A53B97"/>
    <w:rsid w:val="00A559EA"/>
    <w:rsid w:val="00A560F3"/>
    <w:rsid w:val="00A602F3"/>
    <w:rsid w:val="00A60585"/>
    <w:rsid w:val="00A61472"/>
    <w:rsid w:val="00A64D9E"/>
    <w:rsid w:val="00A65C12"/>
    <w:rsid w:val="00A703E8"/>
    <w:rsid w:val="00A71334"/>
    <w:rsid w:val="00A73286"/>
    <w:rsid w:val="00A81E84"/>
    <w:rsid w:val="00A837C3"/>
    <w:rsid w:val="00A8420C"/>
    <w:rsid w:val="00A86014"/>
    <w:rsid w:val="00A86AAD"/>
    <w:rsid w:val="00A90B76"/>
    <w:rsid w:val="00A93720"/>
    <w:rsid w:val="00A95AF1"/>
    <w:rsid w:val="00A96A1A"/>
    <w:rsid w:val="00A96F86"/>
    <w:rsid w:val="00AA1156"/>
    <w:rsid w:val="00AA1AA1"/>
    <w:rsid w:val="00AA1CCF"/>
    <w:rsid w:val="00AA21B9"/>
    <w:rsid w:val="00AA2D04"/>
    <w:rsid w:val="00AA51EE"/>
    <w:rsid w:val="00AA6083"/>
    <w:rsid w:val="00AB1725"/>
    <w:rsid w:val="00AB196B"/>
    <w:rsid w:val="00AB2FD0"/>
    <w:rsid w:val="00AB3FF3"/>
    <w:rsid w:val="00AB7C5D"/>
    <w:rsid w:val="00AC1BC1"/>
    <w:rsid w:val="00AC1D45"/>
    <w:rsid w:val="00AC1F31"/>
    <w:rsid w:val="00AC2530"/>
    <w:rsid w:val="00AC2CEA"/>
    <w:rsid w:val="00AC3204"/>
    <w:rsid w:val="00AC3465"/>
    <w:rsid w:val="00AC460D"/>
    <w:rsid w:val="00AC5050"/>
    <w:rsid w:val="00AC5156"/>
    <w:rsid w:val="00AC5C84"/>
    <w:rsid w:val="00AC6089"/>
    <w:rsid w:val="00AC6CE6"/>
    <w:rsid w:val="00AC6EA0"/>
    <w:rsid w:val="00AC7496"/>
    <w:rsid w:val="00AD183B"/>
    <w:rsid w:val="00AD24FB"/>
    <w:rsid w:val="00AD3B0B"/>
    <w:rsid w:val="00AE0D0D"/>
    <w:rsid w:val="00AE553C"/>
    <w:rsid w:val="00AE6F2A"/>
    <w:rsid w:val="00AE7520"/>
    <w:rsid w:val="00AE7BDB"/>
    <w:rsid w:val="00AF12FB"/>
    <w:rsid w:val="00AF3CFB"/>
    <w:rsid w:val="00AF5DDD"/>
    <w:rsid w:val="00AF7B65"/>
    <w:rsid w:val="00B05767"/>
    <w:rsid w:val="00B10246"/>
    <w:rsid w:val="00B1265E"/>
    <w:rsid w:val="00B17A27"/>
    <w:rsid w:val="00B231A8"/>
    <w:rsid w:val="00B2363B"/>
    <w:rsid w:val="00B236B7"/>
    <w:rsid w:val="00B2663A"/>
    <w:rsid w:val="00B3082A"/>
    <w:rsid w:val="00B315B1"/>
    <w:rsid w:val="00B357C4"/>
    <w:rsid w:val="00B40B5E"/>
    <w:rsid w:val="00B423FC"/>
    <w:rsid w:val="00B50353"/>
    <w:rsid w:val="00B50DB3"/>
    <w:rsid w:val="00B524D7"/>
    <w:rsid w:val="00B53AEA"/>
    <w:rsid w:val="00B54A3D"/>
    <w:rsid w:val="00B5573F"/>
    <w:rsid w:val="00B5641C"/>
    <w:rsid w:val="00B62CCD"/>
    <w:rsid w:val="00B706A8"/>
    <w:rsid w:val="00B70E53"/>
    <w:rsid w:val="00B74FC7"/>
    <w:rsid w:val="00B77538"/>
    <w:rsid w:val="00B80E97"/>
    <w:rsid w:val="00B8279B"/>
    <w:rsid w:val="00B8442C"/>
    <w:rsid w:val="00B847E7"/>
    <w:rsid w:val="00B85BBB"/>
    <w:rsid w:val="00B90218"/>
    <w:rsid w:val="00B92711"/>
    <w:rsid w:val="00B95B49"/>
    <w:rsid w:val="00B97383"/>
    <w:rsid w:val="00BA511E"/>
    <w:rsid w:val="00BA6ABB"/>
    <w:rsid w:val="00BB2166"/>
    <w:rsid w:val="00BB2485"/>
    <w:rsid w:val="00BB4CB5"/>
    <w:rsid w:val="00BB4DA9"/>
    <w:rsid w:val="00BB6895"/>
    <w:rsid w:val="00BB73EF"/>
    <w:rsid w:val="00BC6DC8"/>
    <w:rsid w:val="00BD103D"/>
    <w:rsid w:val="00BD2BE8"/>
    <w:rsid w:val="00BD3173"/>
    <w:rsid w:val="00BD41DD"/>
    <w:rsid w:val="00BD5415"/>
    <w:rsid w:val="00BD6F47"/>
    <w:rsid w:val="00BE14A8"/>
    <w:rsid w:val="00BE1B55"/>
    <w:rsid w:val="00BE345D"/>
    <w:rsid w:val="00BE46B0"/>
    <w:rsid w:val="00BE68FD"/>
    <w:rsid w:val="00BF09F0"/>
    <w:rsid w:val="00BF26C0"/>
    <w:rsid w:val="00BF377F"/>
    <w:rsid w:val="00BF4033"/>
    <w:rsid w:val="00C00A0E"/>
    <w:rsid w:val="00C05076"/>
    <w:rsid w:val="00C075AF"/>
    <w:rsid w:val="00C10005"/>
    <w:rsid w:val="00C10723"/>
    <w:rsid w:val="00C11B01"/>
    <w:rsid w:val="00C15444"/>
    <w:rsid w:val="00C174EB"/>
    <w:rsid w:val="00C2329E"/>
    <w:rsid w:val="00C25BC8"/>
    <w:rsid w:val="00C2637A"/>
    <w:rsid w:val="00C2705C"/>
    <w:rsid w:val="00C27BAB"/>
    <w:rsid w:val="00C27E3A"/>
    <w:rsid w:val="00C32684"/>
    <w:rsid w:val="00C32ADC"/>
    <w:rsid w:val="00C35641"/>
    <w:rsid w:val="00C37103"/>
    <w:rsid w:val="00C373CD"/>
    <w:rsid w:val="00C435D7"/>
    <w:rsid w:val="00C43FE7"/>
    <w:rsid w:val="00C44377"/>
    <w:rsid w:val="00C4482F"/>
    <w:rsid w:val="00C44BE5"/>
    <w:rsid w:val="00C45CFE"/>
    <w:rsid w:val="00C50FA5"/>
    <w:rsid w:val="00C52038"/>
    <w:rsid w:val="00C5315C"/>
    <w:rsid w:val="00C5538D"/>
    <w:rsid w:val="00C57FF3"/>
    <w:rsid w:val="00C63577"/>
    <w:rsid w:val="00C65A83"/>
    <w:rsid w:val="00C72303"/>
    <w:rsid w:val="00C726BF"/>
    <w:rsid w:val="00C73117"/>
    <w:rsid w:val="00C7388B"/>
    <w:rsid w:val="00C77672"/>
    <w:rsid w:val="00C81256"/>
    <w:rsid w:val="00C822A5"/>
    <w:rsid w:val="00C823D5"/>
    <w:rsid w:val="00C8391A"/>
    <w:rsid w:val="00C83C71"/>
    <w:rsid w:val="00C857C9"/>
    <w:rsid w:val="00C907FA"/>
    <w:rsid w:val="00C91CC8"/>
    <w:rsid w:val="00C94668"/>
    <w:rsid w:val="00CA030B"/>
    <w:rsid w:val="00CA6EC1"/>
    <w:rsid w:val="00CB0D61"/>
    <w:rsid w:val="00CB258D"/>
    <w:rsid w:val="00CB2D9D"/>
    <w:rsid w:val="00CB2F8B"/>
    <w:rsid w:val="00CB3C6D"/>
    <w:rsid w:val="00CB418D"/>
    <w:rsid w:val="00CB7BAD"/>
    <w:rsid w:val="00CC2555"/>
    <w:rsid w:val="00CC3724"/>
    <w:rsid w:val="00CC46CE"/>
    <w:rsid w:val="00CC5989"/>
    <w:rsid w:val="00CC6B86"/>
    <w:rsid w:val="00CD3F53"/>
    <w:rsid w:val="00CD65D8"/>
    <w:rsid w:val="00CD7616"/>
    <w:rsid w:val="00CE0F0B"/>
    <w:rsid w:val="00CE2AAA"/>
    <w:rsid w:val="00CE3D29"/>
    <w:rsid w:val="00CE5E5B"/>
    <w:rsid w:val="00CE7717"/>
    <w:rsid w:val="00CF03C1"/>
    <w:rsid w:val="00CF551B"/>
    <w:rsid w:val="00D0163C"/>
    <w:rsid w:val="00D01C43"/>
    <w:rsid w:val="00D01D0C"/>
    <w:rsid w:val="00D02FCE"/>
    <w:rsid w:val="00D03C2E"/>
    <w:rsid w:val="00D03FEF"/>
    <w:rsid w:val="00D04351"/>
    <w:rsid w:val="00D05D68"/>
    <w:rsid w:val="00D0689C"/>
    <w:rsid w:val="00D12F48"/>
    <w:rsid w:val="00D13A9A"/>
    <w:rsid w:val="00D145AF"/>
    <w:rsid w:val="00D22A6B"/>
    <w:rsid w:val="00D23250"/>
    <w:rsid w:val="00D23A98"/>
    <w:rsid w:val="00D24BA4"/>
    <w:rsid w:val="00D24CCE"/>
    <w:rsid w:val="00D25E89"/>
    <w:rsid w:val="00D314F5"/>
    <w:rsid w:val="00D352BC"/>
    <w:rsid w:val="00D364D6"/>
    <w:rsid w:val="00D37585"/>
    <w:rsid w:val="00D40A2D"/>
    <w:rsid w:val="00D413BD"/>
    <w:rsid w:val="00D423F1"/>
    <w:rsid w:val="00D43B13"/>
    <w:rsid w:val="00D44B44"/>
    <w:rsid w:val="00D50819"/>
    <w:rsid w:val="00D519AE"/>
    <w:rsid w:val="00D56664"/>
    <w:rsid w:val="00D60478"/>
    <w:rsid w:val="00D61282"/>
    <w:rsid w:val="00D63886"/>
    <w:rsid w:val="00D65B5A"/>
    <w:rsid w:val="00D72229"/>
    <w:rsid w:val="00D73941"/>
    <w:rsid w:val="00D816FA"/>
    <w:rsid w:val="00D818CE"/>
    <w:rsid w:val="00D824D9"/>
    <w:rsid w:val="00D82601"/>
    <w:rsid w:val="00D84B78"/>
    <w:rsid w:val="00D84B85"/>
    <w:rsid w:val="00D86DC3"/>
    <w:rsid w:val="00D91F81"/>
    <w:rsid w:val="00D9395C"/>
    <w:rsid w:val="00D95DDB"/>
    <w:rsid w:val="00D960FA"/>
    <w:rsid w:val="00DA15FA"/>
    <w:rsid w:val="00DA7035"/>
    <w:rsid w:val="00DB1515"/>
    <w:rsid w:val="00DB4ABF"/>
    <w:rsid w:val="00DB4D84"/>
    <w:rsid w:val="00DC277A"/>
    <w:rsid w:val="00DC49AC"/>
    <w:rsid w:val="00DC4BA7"/>
    <w:rsid w:val="00DC6173"/>
    <w:rsid w:val="00DC7F4F"/>
    <w:rsid w:val="00DD022B"/>
    <w:rsid w:val="00DE37FF"/>
    <w:rsid w:val="00DE3F6B"/>
    <w:rsid w:val="00DE758D"/>
    <w:rsid w:val="00DE7995"/>
    <w:rsid w:val="00DF2A13"/>
    <w:rsid w:val="00DF2D6E"/>
    <w:rsid w:val="00DF4482"/>
    <w:rsid w:val="00DF4F2F"/>
    <w:rsid w:val="00DF5488"/>
    <w:rsid w:val="00E01090"/>
    <w:rsid w:val="00E02914"/>
    <w:rsid w:val="00E1282F"/>
    <w:rsid w:val="00E137BF"/>
    <w:rsid w:val="00E13A4B"/>
    <w:rsid w:val="00E13B89"/>
    <w:rsid w:val="00E13EEF"/>
    <w:rsid w:val="00E15385"/>
    <w:rsid w:val="00E15471"/>
    <w:rsid w:val="00E16B3E"/>
    <w:rsid w:val="00E17CC6"/>
    <w:rsid w:val="00E206B5"/>
    <w:rsid w:val="00E20C25"/>
    <w:rsid w:val="00E24B14"/>
    <w:rsid w:val="00E24FD5"/>
    <w:rsid w:val="00E264F3"/>
    <w:rsid w:val="00E2670D"/>
    <w:rsid w:val="00E26723"/>
    <w:rsid w:val="00E26BE5"/>
    <w:rsid w:val="00E304E8"/>
    <w:rsid w:val="00E313DC"/>
    <w:rsid w:val="00E33A4F"/>
    <w:rsid w:val="00E4309F"/>
    <w:rsid w:val="00E435D7"/>
    <w:rsid w:val="00E43A2D"/>
    <w:rsid w:val="00E43FB0"/>
    <w:rsid w:val="00E47BEE"/>
    <w:rsid w:val="00E47F4A"/>
    <w:rsid w:val="00E518F0"/>
    <w:rsid w:val="00E562D9"/>
    <w:rsid w:val="00E61882"/>
    <w:rsid w:val="00E638D5"/>
    <w:rsid w:val="00E63F72"/>
    <w:rsid w:val="00E642CD"/>
    <w:rsid w:val="00E648B7"/>
    <w:rsid w:val="00E657E7"/>
    <w:rsid w:val="00E6785E"/>
    <w:rsid w:val="00E75C9E"/>
    <w:rsid w:val="00E8189D"/>
    <w:rsid w:val="00E8570D"/>
    <w:rsid w:val="00E866AE"/>
    <w:rsid w:val="00E90EB8"/>
    <w:rsid w:val="00E970C9"/>
    <w:rsid w:val="00EA0CF8"/>
    <w:rsid w:val="00EA1A7D"/>
    <w:rsid w:val="00EA1AEB"/>
    <w:rsid w:val="00EA497E"/>
    <w:rsid w:val="00EB0D82"/>
    <w:rsid w:val="00EB4330"/>
    <w:rsid w:val="00EB5EA8"/>
    <w:rsid w:val="00EC00BE"/>
    <w:rsid w:val="00EC1723"/>
    <w:rsid w:val="00EC251D"/>
    <w:rsid w:val="00EC3E7D"/>
    <w:rsid w:val="00ED00CD"/>
    <w:rsid w:val="00EE0AF9"/>
    <w:rsid w:val="00EE1FFA"/>
    <w:rsid w:val="00EE46D2"/>
    <w:rsid w:val="00EE4F48"/>
    <w:rsid w:val="00EE5464"/>
    <w:rsid w:val="00EE68B1"/>
    <w:rsid w:val="00EF5261"/>
    <w:rsid w:val="00F00A11"/>
    <w:rsid w:val="00F00EDC"/>
    <w:rsid w:val="00F01BCE"/>
    <w:rsid w:val="00F0204F"/>
    <w:rsid w:val="00F0280E"/>
    <w:rsid w:val="00F035DC"/>
    <w:rsid w:val="00F0421A"/>
    <w:rsid w:val="00F05207"/>
    <w:rsid w:val="00F10BEC"/>
    <w:rsid w:val="00F12EFA"/>
    <w:rsid w:val="00F13AD4"/>
    <w:rsid w:val="00F168F7"/>
    <w:rsid w:val="00F202A3"/>
    <w:rsid w:val="00F20B47"/>
    <w:rsid w:val="00F22A83"/>
    <w:rsid w:val="00F22FA9"/>
    <w:rsid w:val="00F24B93"/>
    <w:rsid w:val="00F26690"/>
    <w:rsid w:val="00F2678A"/>
    <w:rsid w:val="00F26907"/>
    <w:rsid w:val="00F26BDF"/>
    <w:rsid w:val="00F276B1"/>
    <w:rsid w:val="00F30E0B"/>
    <w:rsid w:val="00F312D1"/>
    <w:rsid w:val="00F33406"/>
    <w:rsid w:val="00F34377"/>
    <w:rsid w:val="00F35E4E"/>
    <w:rsid w:val="00F37058"/>
    <w:rsid w:val="00F40AFE"/>
    <w:rsid w:val="00F40BCC"/>
    <w:rsid w:val="00F426A4"/>
    <w:rsid w:val="00F429F9"/>
    <w:rsid w:val="00F45F47"/>
    <w:rsid w:val="00F477F2"/>
    <w:rsid w:val="00F510EC"/>
    <w:rsid w:val="00F52A6C"/>
    <w:rsid w:val="00F535D4"/>
    <w:rsid w:val="00F560E5"/>
    <w:rsid w:val="00F56F53"/>
    <w:rsid w:val="00F5708D"/>
    <w:rsid w:val="00F65B6E"/>
    <w:rsid w:val="00F66DA1"/>
    <w:rsid w:val="00F679B1"/>
    <w:rsid w:val="00F73A46"/>
    <w:rsid w:val="00F764A5"/>
    <w:rsid w:val="00F765F8"/>
    <w:rsid w:val="00F77DCC"/>
    <w:rsid w:val="00F87074"/>
    <w:rsid w:val="00F905C0"/>
    <w:rsid w:val="00F93680"/>
    <w:rsid w:val="00F937C0"/>
    <w:rsid w:val="00F938C5"/>
    <w:rsid w:val="00F96AEA"/>
    <w:rsid w:val="00F971DD"/>
    <w:rsid w:val="00FA1274"/>
    <w:rsid w:val="00FA3F71"/>
    <w:rsid w:val="00FA7AF9"/>
    <w:rsid w:val="00FB48DC"/>
    <w:rsid w:val="00FB6714"/>
    <w:rsid w:val="00FC101D"/>
    <w:rsid w:val="00FC1504"/>
    <w:rsid w:val="00FC17F8"/>
    <w:rsid w:val="00FC2C1F"/>
    <w:rsid w:val="00FC4B2A"/>
    <w:rsid w:val="00FD12FB"/>
    <w:rsid w:val="00FD1683"/>
    <w:rsid w:val="00FD349B"/>
    <w:rsid w:val="00FD46D9"/>
    <w:rsid w:val="00FE0335"/>
    <w:rsid w:val="00FE1AA4"/>
    <w:rsid w:val="00FE4FFF"/>
    <w:rsid w:val="00FE67B0"/>
    <w:rsid w:val="00FE6912"/>
    <w:rsid w:val="00FF01B2"/>
    <w:rsid w:val="00FF0BD1"/>
    <w:rsid w:val="00FF489C"/>
    <w:rsid w:val="00FF5F79"/>
    <w:rsid w:val="00FF69C7"/>
    <w:rsid w:val="00FF7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48E2FD-2A5A-1342-8772-39254C69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0A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E24B14"/>
    <w:rPr>
      <w:rFonts w:ascii="Tahoma" w:hAnsi="Tahoma" w:cs="Tahoma"/>
      <w:sz w:val="16"/>
      <w:szCs w:val="16"/>
    </w:rPr>
  </w:style>
  <w:style w:type="paragraph" w:styleId="Textodenotaderodap">
    <w:name w:val="footnote text"/>
    <w:aliases w:val="fn,foottextfra,footnote,F,Texto de rodapé,nota_rodapé,nota de rodapé,single space,FOOTNOTES,Footnote Text Char Char,Footnote Text Char,foottextf,Geneva 9,Font: Geneva 9,Boston 10,f,footnote text,foottextfr,Footnote Text arial11,f"/>
    <w:basedOn w:val="Normal"/>
    <w:link w:val="TextodenotaderodapChar"/>
    <w:uiPriority w:val="99"/>
    <w:rsid w:val="007E7CE1"/>
    <w:rPr>
      <w:sz w:val="20"/>
      <w:szCs w:val="20"/>
      <w:lang w:val="es-ES_tradnl"/>
    </w:rPr>
  </w:style>
  <w:style w:type="character" w:styleId="Refdenotaderodap">
    <w:name w:val="footnote reference"/>
    <w:aliases w:val="Footnote Referencef,FC,16 Point,Superscript 6 Point,Footnote Referencefr,Style 24,F1,Footnote Referencefra,de nota al pie,(Ref. de nota al pie),titulo 2,ftref,Fußnotenzeichen DISS,BVI fnr, BVI fnr,Знак сноски 1"/>
    <w:uiPriority w:val="99"/>
    <w:qFormat/>
    <w:rsid w:val="007E7CE1"/>
    <w:rPr>
      <w:vertAlign w:val="superscript"/>
    </w:rPr>
  </w:style>
  <w:style w:type="character" w:styleId="Refdecomentrio">
    <w:name w:val="annotation reference"/>
    <w:rsid w:val="004835F8"/>
    <w:rPr>
      <w:sz w:val="16"/>
      <w:szCs w:val="16"/>
    </w:rPr>
  </w:style>
  <w:style w:type="paragraph" w:styleId="Textodecomentrio">
    <w:name w:val="annotation text"/>
    <w:basedOn w:val="Normal"/>
    <w:link w:val="TextodecomentrioChar"/>
    <w:rsid w:val="004835F8"/>
    <w:rPr>
      <w:sz w:val="20"/>
      <w:szCs w:val="20"/>
    </w:rPr>
  </w:style>
  <w:style w:type="character" w:customStyle="1" w:styleId="TextodecomentrioChar">
    <w:name w:val="Texto de comentário Char"/>
    <w:link w:val="Textodecomentrio"/>
    <w:rsid w:val="004835F8"/>
    <w:rPr>
      <w:lang w:val="en-US" w:eastAsia="en-US"/>
    </w:rPr>
  </w:style>
  <w:style w:type="paragraph" w:styleId="Assuntodocomentrio">
    <w:name w:val="annotation subject"/>
    <w:basedOn w:val="Textodecomentrio"/>
    <w:next w:val="Textodecomentrio"/>
    <w:link w:val="AssuntodocomentrioChar"/>
    <w:rsid w:val="004835F8"/>
    <w:rPr>
      <w:b/>
      <w:bCs/>
    </w:rPr>
  </w:style>
  <w:style w:type="character" w:customStyle="1" w:styleId="AssuntodocomentrioChar">
    <w:name w:val="Assunto do comentário Char"/>
    <w:link w:val="Assuntodocomentrio"/>
    <w:rsid w:val="004835F8"/>
    <w:rPr>
      <w:b/>
      <w:bCs/>
      <w:lang w:val="en-US" w:eastAsia="en-US"/>
    </w:rPr>
  </w:style>
  <w:style w:type="paragraph" w:styleId="ListaColorida-nfase1">
    <w:name w:val="Colorful List Accent 1"/>
    <w:basedOn w:val="Normal"/>
    <w:uiPriority w:val="34"/>
    <w:qFormat/>
    <w:rsid w:val="00315055"/>
    <w:pPr>
      <w:spacing w:after="200" w:line="276" w:lineRule="auto"/>
      <w:ind w:left="720"/>
      <w:contextualSpacing/>
    </w:pPr>
    <w:rPr>
      <w:rFonts w:ascii="Calibri" w:eastAsia="Calibri" w:hAnsi="Calibri"/>
      <w:sz w:val="22"/>
      <w:szCs w:val="22"/>
    </w:rPr>
  </w:style>
  <w:style w:type="paragraph" w:styleId="Cabealho">
    <w:name w:val="header"/>
    <w:basedOn w:val="Normal"/>
    <w:link w:val="CabealhoChar"/>
    <w:uiPriority w:val="99"/>
    <w:rsid w:val="006C5C09"/>
    <w:pPr>
      <w:tabs>
        <w:tab w:val="center" w:pos="4320"/>
        <w:tab w:val="right" w:pos="8640"/>
      </w:tabs>
    </w:pPr>
  </w:style>
  <w:style w:type="character" w:customStyle="1" w:styleId="CabealhoChar">
    <w:name w:val="Cabeçalho Char"/>
    <w:link w:val="Cabealho"/>
    <w:uiPriority w:val="99"/>
    <w:rsid w:val="006C5C09"/>
    <w:rPr>
      <w:sz w:val="24"/>
      <w:szCs w:val="24"/>
    </w:rPr>
  </w:style>
  <w:style w:type="paragraph" w:styleId="Rodap">
    <w:name w:val="footer"/>
    <w:basedOn w:val="Normal"/>
    <w:link w:val="RodapChar"/>
    <w:rsid w:val="006C5C09"/>
    <w:pPr>
      <w:tabs>
        <w:tab w:val="center" w:pos="4320"/>
        <w:tab w:val="right" w:pos="8640"/>
      </w:tabs>
    </w:pPr>
  </w:style>
  <w:style w:type="character" w:customStyle="1" w:styleId="RodapChar">
    <w:name w:val="Rodapé Char"/>
    <w:link w:val="Rodap"/>
    <w:rsid w:val="006C5C09"/>
    <w:rPr>
      <w:sz w:val="24"/>
      <w:szCs w:val="24"/>
    </w:rPr>
  </w:style>
  <w:style w:type="character" w:customStyle="1" w:styleId="TextodenotaderodapChar">
    <w:name w:val="Texto de nota de rodapé Char"/>
    <w:aliases w:val="fn Char,foottextfra Char,footnote Char,F Char,Texto de rodapé Char,nota_rodapé Char,nota de rodapé Char,single space Char,FOOTNOTES Char,Footnote Text Char Char Char,Footnote Text Char Char1,foottextf Char,Geneva 9 Char"/>
    <w:link w:val="Textodenotaderodap"/>
    <w:uiPriority w:val="99"/>
    <w:rsid w:val="00C65A83"/>
    <w:rPr>
      <w:lang w:val="es-ES_tradnl"/>
    </w:rPr>
  </w:style>
  <w:style w:type="paragraph" w:customStyle="1" w:styleId="Default">
    <w:name w:val="Default"/>
    <w:rsid w:val="008C548E"/>
    <w:pPr>
      <w:autoSpaceDE w:val="0"/>
      <w:autoSpaceDN w:val="0"/>
      <w:adjustRightInd w:val="0"/>
    </w:pPr>
    <w:rPr>
      <w:color w:val="000000"/>
      <w:sz w:val="24"/>
      <w:szCs w:val="24"/>
      <w:lang w:val="en-US" w:eastAsia="en-US"/>
    </w:rPr>
  </w:style>
  <w:style w:type="paragraph" w:styleId="Pr-formataoHTML">
    <w:name w:val="HTML Preformatted"/>
    <w:basedOn w:val="Normal"/>
    <w:link w:val="Pr-formataoHTMLChar"/>
    <w:uiPriority w:val="99"/>
    <w:unhideWhenUsed/>
    <w:rsid w:val="002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2B64A7"/>
    <w:rPr>
      <w:rFonts w:ascii="Courier New" w:hAnsi="Courier New" w:cs="Courier New"/>
    </w:rPr>
  </w:style>
  <w:style w:type="character" w:styleId="Forte">
    <w:name w:val="Strong"/>
    <w:uiPriority w:val="22"/>
    <w:qFormat/>
    <w:rsid w:val="008A17A9"/>
    <w:rPr>
      <w:b/>
      <w:bCs/>
    </w:rPr>
  </w:style>
  <w:style w:type="paragraph" w:styleId="PargrafodaLista">
    <w:name w:val="List Paragraph"/>
    <w:basedOn w:val="Normal"/>
    <w:uiPriority w:val="34"/>
    <w:qFormat/>
    <w:rsid w:val="00AD24FB"/>
    <w:pPr>
      <w:spacing w:after="200" w:line="276" w:lineRule="auto"/>
      <w:ind w:left="720"/>
      <w:contextualSpacing/>
    </w:pPr>
    <w:rPr>
      <w:rFonts w:ascii="Calibri" w:eastAsia="Calibri" w:hAnsi="Calibri"/>
      <w:szCs w:val="22"/>
    </w:rPr>
  </w:style>
  <w:style w:type="character" w:styleId="nfase">
    <w:name w:val="Emphasis"/>
    <w:uiPriority w:val="20"/>
    <w:qFormat/>
    <w:rsid w:val="00EB4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5639">
      <w:bodyDiv w:val="1"/>
      <w:marLeft w:val="0"/>
      <w:marRight w:val="0"/>
      <w:marTop w:val="0"/>
      <w:marBottom w:val="0"/>
      <w:divBdr>
        <w:top w:val="none" w:sz="0" w:space="0" w:color="auto"/>
        <w:left w:val="none" w:sz="0" w:space="0" w:color="auto"/>
        <w:bottom w:val="none" w:sz="0" w:space="0" w:color="auto"/>
        <w:right w:val="none" w:sz="0" w:space="0" w:color="auto"/>
      </w:divBdr>
    </w:div>
    <w:div w:id="671837722">
      <w:bodyDiv w:val="1"/>
      <w:marLeft w:val="0"/>
      <w:marRight w:val="0"/>
      <w:marTop w:val="0"/>
      <w:marBottom w:val="0"/>
      <w:divBdr>
        <w:top w:val="none" w:sz="0" w:space="0" w:color="auto"/>
        <w:left w:val="none" w:sz="0" w:space="0" w:color="auto"/>
        <w:bottom w:val="none" w:sz="0" w:space="0" w:color="auto"/>
        <w:right w:val="none" w:sz="0" w:space="0" w:color="auto"/>
      </w:divBdr>
      <w:divsChild>
        <w:div w:id="1935244334">
          <w:marLeft w:val="0"/>
          <w:marRight w:val="0"/>
          <w:marTop w:val="0"/>
          <w:marBottom w:val="0"/>
          <w:divBdr>
            <w:top w:val="none" w:sz="0" w:space="0" w:color="auto"/>
            <w:left w:val="none" w:sz="0" w:space="0" w:color="auto"/>
            <w:bottom w:val="none" w:sz="0" w:space="0" w:color="auto"/>
            <w:right w:val="none" w:sz="0" w:space="0" w:color="auto"/>
          </w:divBdr>
          <w:divsChild>
            <w:div w:id="1120487952">
              <w:marLeft w:val="0"/>
              <w:marRight w:val="0"/>
              <w:marTop w:val="0"/>
              <w:marBottom w:val="0"/>
              <w:divBdr>
                <w:top w:val="none" w:sz="0" w:space="0" w:color="auto"/>
                <w:left w:val="none" w:sz="0" w:space="0" w:color="auto"/>
                <w:bottom w:val="none" w:sz="0" w:space="0" w:color="auto"/>
                <w:right w:val="none" w:sz="0" w:space="0" w:color="auto"/>
              </w:divBdr>
              <w:divsChild>
                <w:div w:id="702751605">
                  <w:marLeft w:val="0"/>
                  <w:marRight w:val="0"/>
                  <w:marTop w:val="0"/>
                  <w:marBottom w:val="0"/>
                  <w:divBdr>
                    <w:top w:val="none" w:sz="0" w:space="0" w:color="auto"/>
                    <w:left w:val="none" w:sz="0" w:space="0" w:color="auto"/>
                    <w:bottom w:val="none" w:sz="0" w:space="0" w:color="auto"/>
                    <w:right w:val="none" w:sz="0" w:space="0" w:color="auto"/>
                  </w:divBdr>
                  <w:divsChild>
                    <w:div w:id="30150938">
                      <w:marLeft w:val="0"/>
                      <w:marRight w:val="0"/>
                      <w:marTop w:val="45"/>
                      <w:marBottom w:val="0"/>
                      <w:divBdr>
                        <w:top w:val="none" w:sz="0" w:space="0" w:color="auto"/>
                        <w:left w:val="none" w:sz="0" w:space="0" w:color="auto"/>
                        <w:bottom w:val="none" w:sz="0" w:space="0" w:color="auto"/>
                        <w:right w:val="none" w:sz="0" w:space="0" w:color="auto"/>
                      </w:divBdr>
                      <w:divsChild>
                        <w:div w:id="184637259">
                          <w:marLeft w:val="0"/>
                          <w:marRight w:val="0"/>
                          <w:marTop w:val="0"/>
                          <w:marBottom w:val="0"/>
                          <w:divBdr>
                            <w:top w:val="none" w:sz="0" w:space="0" w:color="auto"/>
                            <w:left w:val="none" w:sz="0" w:space="0" w:color="auto"/>
                            <w:bottom w:val="none" w:sz="0" w:space="0" w:color="auto"/>
                            <w:right w:val="none" w:sz="0" w:space="0" w:color="auto"/>
                          </w:divBdr>
                          <w:divsChild>
                            <w:div w:id="810438752">
                              <w:marLeft w:val="2070"/>
                              <w:marRight w:val="3810"/>
                              <w:marTop w:val="0"/>
                              <w:marBottom w:val="0"/>
                              <w:divBdr>
                                <w:top w:val="none" w:sz="0" w:space="0" w:color="auto"/>
                                <w:left w:val="none" w:sz="0" w:space="0" w:color="auto"/>
                                <w:bottom w:val="none" w:sz="0" w:space="0" w:color="auto"/>
                                <w:right w:val="none" w:sz="0" w:space="0" w:color="auto"/>
                              </w:divBdr>
                              <w:divsChild>
                                <w:div w:id="1299529890">
                                  <w:marLeft w:val="0"/>
                                  <w:marRight w:val="0"/>
                                  <w:marTop w:val="0"/>
                                  <w:marBottom w:val="0"/>
                                  <w:divBdr>
                                    <w:top w:val="none" w:sz="0" w:space="0" w:color="auto"/>
                                    <w:left w:val="none" w:sz="0" w:space="0" w:color="auto"/>
                                    <w:bottom w:val="none" w:sz="0" w:space="0" w:color="auto"/>
                                    <w:right w:val="none" w:sz="0" w:space="0" w:color="auto"/>
                                  </w:divBdr>
                                  <w:divsChild>
                                    <w:div w:id="2136675591">
                                      <w:marLeft w:val="0"/>
                                      <w:marRight w:val="0"/>
                                      <w:marTop w:val="0"/>
                                      <w:marBottom w:val="0"/>
                                      <w:divBdr>
                                        <w:top w:val="none" w:sz="0" w:space="0" w:color="auto"/>
                                        <w:left w:val="none" w:sz="0" w:space="0" w:color="auto"/>
                                        <w:bottom w:val="none" w:sz="0" w:space="0" w:color="auto"/>
                                        <w:right w:val="none" w:sz="0" w:space="0" w:color="auto"/>
                                      </w:divBdr>
                                      <w:divsChild>
                                        <w:div w:id="2123332920">
                                          <w:marLeft w:val="0"/>
                                          <w:marRight w:val="0"/>
                                          <w:marTop w:val="0"/>
                                          <w:marBottom w:val="0"/>
                                          <w:divBdr>
                                            <w:top w:val="none" w:sz="0" w:space="0" w:color="auto"/>
                                            <w:left w:val="none" w:sz="0" w:space="0" w:color="auto"/>
                                            <w:bottom w:val="none" w:sz="0" w:space="0" w:color="auto"/>
                                            <w:right w:val="none" w:sz="0" w:space="0" w:color="auto"/>
                                          </w:divBdr>
                                          <w:divsChild>
                                            <w:div w:id="1229532470">
                                              <w:marLeft w:val="0"/>
                                              <w:marRight w:val="0"/>
                                              <w:marTop w:val="0"/>
                                              <w:marBottom w:val="0"/>
                                              <w:divBdr>
                                                <w:top w:val="none" w:sz="0" w:space="0" w:color="auto"/>
                                                <w:left w:val="none" w:sz="0" w:space="0" w:color="auto"/>
                                                <w:bottom w:val="none" w:sz="0" w:space="0" w:color="auto"/>
                                                <w:right w:val="none" w:sz="0" w:space="0" w:color="auto"/>
                                              </w:divBdr>
                                              <w:divsChild>
                                                <w:div w:id="1236937096">
                                                  <w:marLeft w:val="0"/>
                                                  <w:marRight w:val="0"/>
                                                  <w:marTop w:val="0"/>
                                                  <w:marBottom w:val="0"/>
                                                  <w:divBdr>
                                                    <w:top w:val="none" w:sz="0" w:space="0" w:color="auto"/>
                                                    <w:left w:val="none" w:sz="0" w:space="0" w:color="auto"/>
                                                    <w:bottom w:val="none" w:sz="0" w:space="0" w:color="auto"/>
                                                    <w:right w:val="none" w:sz="0" w:space="0" w:color="auto"/>
                                                  </w:divBdr>
                                                  <w:divsChild>
                                                    <w:div w:id="606692297">
                                                      <w:marLeft w:val="0"/>
                                                      <w:marRight w:val="0"/>
                                                      <w:marTop w:val="0"/>
                                                      <w:marBottom w:val="345"/>
                                                      <w:divBdr>
                                                        <w:top w:val="none" w:sz="0" w:space="0" w:color="auto"/>
                                                        <w:left w:val="none" w:sz="0" w:space="0" w:color="auto"/>
                                                        <w:bottom w:val="none" w:sz="0" w:space="0" w:color="auto"/>
                                                        <w:right w:val="none" w:sz="0" w:space="0" w:color="auto"/>
                                                      </w:divBdr>
                                                      <w:divsChild>
                                                        <w:div w:id="1575509616">
                                                          <w:marLeft w:val="0"/>
                                                          <w:marRight w:val="0"/>
                                                          <w:marTop w:val="0"/>
                                                          <w:marBottom w:val="0"/>
                                                          <w:divBdr>
                                                            <w:top w:val="none" w:sz="0" w:space="0" w:color="auto"/>
                                                            <w:left w:val="none" w:sz="0" w:space="0" w:color="auto"/>
                                                            <w:bottom w:val="none" w:sz="0" w:space="0" w:color="auto"/>
                                                            <w:right w:val="none" w:sz="0" w:space="0" w:color="auto"/>
                                                          </w:divBdr>
                                                          <w:divsChild>
                                                            <w:div w:id="918713638">
                                                              <w:marLeft w:val="0"/>
                                                              <w:marRight w:val="0"/>
                                                              <w:marTop w:val="0"/>
                                                              <w:marBottom w:val="0"/>
                                                              <w:divBdr>
                                                                <w:top w:val="none" w:sz="0" w:space="0" w:color="auto"/>
                                                                <w:left w:val="none" w:sz="0" w:space="0" w:color="auto"/>
                                                                <w:bottom w:val="none" w:sz="0" w:space="0" w:color="auto"/>
                                                                <w:right w:val="none" w:sz="0" w:space="0" w:color="auto"/>
                                                              </w:divBdr>
                                                              <w:divsChild>
                                                                <w:div w:id="517277651">
                                                                  <w:marLeft w:val="0"/>
                                                                  <w:marRight w:val="0"/>
                                                                  <w:marTop w:val="0"/>
                                                                  <w:marBottom w:val="0"/>
                                                                  <w:divBdr>
                                                                    <w:top w:val="none" w:sz="0" w:space="0" w:color="auto"/>
                                                                    <w:left w:val="none" w:sz="0" w:space="0" w:color="auto"/>
                                                                    <w:bottom w:val="none" w:sz="0" w:space="0" w:color="auto"/>
                                                                    <w:right w:val="none" w:sz="0" w:space="0" w:color="auto"/>
                                                                  </w:divBdr>
                                                                  <w:divsChild>
                                                                    <w:div w:id="23361091">
                                                                      <w:marLeft w:val="0"/>
                                                                      <w:marRight w:val="0"/>
                                                                      <w:marTop w:val="0"/>
                                                                      <w:marBottom w:val="0"/>
                                                                      <w:divBdr>
                                                                        <w:top w:val="none" w:sz="0" w:space="0" w:color="auto"/>
                                                                        <w:left w:val="none" w:sz="0" w:space="0" w:color="auto"/>
                                                                        <w:bottom w:val="none" w:sz="0" w:space="0" w:color="auto"/>
                                                                        <w:right w:val="none" w:sz="0" w:space="0" w:color="auto"/>
                                                                      </w:divBdr>
                                                                      <w:divsChild>
                                                                        <w:div w:id="55708826">
                                                                          <w:marLeft w:val="0"/>
                                                                          <w:marRight w:val="0"/>
                                                                          <w:marTop w:val="0"/>
                                                                          <w:marBottom w:val="0"/>
                                                                          <w:divBdr>
                                                                            <w:top w:val="none" w:sz="0" w:space="0" w:color="auto"/>
                                                                            <w:left w:val="none" w:sz="0" w:space="0" w:color="auto"/>
                                                                            <w:bottom w:val="none" w:sz="0" w:space="0" w:color="auto"/>
                                                                            <w:right w:val="none" w:sz="0" w:space="0" w:color="auto"/>
                                                                          </w:divBdr>
                                                                          <w:divsChild>
                                                                            <w:div w:id="137456854">
                                                                              <w:marLeft w:val="0"/>
                                                                              <w:marRight w:val="0"/>
                                                                              <w:marTop w:val="0"/>
                                                                              <w:marBottom w:val="0"/>
                                                                              <w:divBdr>
                                                                                <w:top w:val="none" w:sz="0" w:space="0" w:color="auto"/>
                                                                                <w:left w:val="none" w:sz="0" w:space="0" w:color="auto"/>
                                                                                <w:bottom w:val="none" w:sz="0" w:space="0" w:color="auto"/>
                                                                                <w:right w:val="none" w:sz="0" w:space="0" w:color="auto"/>
                                                                              </w:divBdr>
                                                                              <w:divsChild>
                                                                                <w:div w:id="1422949478">
                                                                                  <w:marLeft w:val="0"/>
                                                                                  <w:marRight w:val="0"/>
                                                                                  <w:marTop w:val="0"/>
                                                                                  <w:marBottom w:val="0"/>
                                                                                  <w:divBdr>
                                                                                    <w:top w:val="none" w:sz="0" w:space="0" w:color="auto"/>
                                                                                    <w:left w:val="none" w:sz="0" w:space="0" w:color="auto"/>
                                                                                    <w:bottom w:val="none" w:sz="0" w:space="0" w:color="auto"/>
                                                                                    <w:right w:val="none" w:sz="0" w:space="0" w:color="auto"/>
                                                                                  </w:divBdr>
                                                                                  <w:divsChild>
                                                                                    <w:div w:id="395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89330">
      <w:bodyDiv w:val="1"/>
      <w:marLeft w:val="0"/>
      <w:marRight w:val="0"/>
      <w:marTop w:val="0"/>
      <w:marBottom w:val="0"/>
      <w:divBdr>
        <w:top w:val="none" w:sz="0" w:space="0" w:color="auto"/>
        <w:left w:val="none" w:sz="0" w:space="0" w:color="auto"/>
        <w:bottom w:val="none" w:sz="0" w:space="0" w:color="auto"/>
        <w:right w:val="none" w:sz="0" w:space="0" w:color="auto"/>
      </w:divBdr>
    </w:div>
    <w:div w:id="752819466">
      <w:bodyDiv w:val="1"/>
      <w:marLeft w:val="0"/>
      <w:marRight w:val="0"/>
      <w:marTop w:val="0"/>
      <w:marBottom w:val="0"/>
      <w:divBdr>
        <w:top w:val="none" w:sz="0" w:space="0" w:color="auto"/>
        <w:left w:val="none" w:sz="0" w:space="0" w:color="auto"/>
        <w:bottom w:val="none" w:sz="0" w:space="0" w:color="auto"/>
        <w:right w:val="none" w:sz="0" w:space="0" w:color="auto"/>
      </w:divBdr>
      <w:divsChild>
        <w:div w:id="2007703539">
          <w:marLeft w:val="0"/>
          <w:marRight w:val="0"/>
          <w:marTop w:val="0"/>
          <w:marBottom w:val="0"/>
          <w:divBdr>
            <w:top w:val="none" w:sz="0" w:space="0" w:color="auto"/>
            <w:left w:val="none" w:sz="0" w:space="0" w:color="auto"/>
            <w:bottom w:val="none" w:sz="0" w:space="0" w:color="auto"/>
            <w:right w:val="none" w:sz="0" w:space="0" w:color="auto"/>
          </w:divBdr>
          <w:divsChild>
            <w:div w:id="1201014267">
              <w:marLeft w:val="0"/>
              <w:marRight w:val="0"/>
              <w:marTop w:val="0"/>
              <w:marBottom w:val="0"/>
              <w:divBdr>
                <w:top w:val="none" w:sz="0" w:space="0" w:color="auto"/>
                <w:left w:val="none" w:sz="0" w:space="0" w:color="auto"/>
                <w:bottom w:val="none" w:sz="0" w:space="0" w:color="auto"/>
                <w:right w:val="none" w:sz="0" w:space="0" w:color="auto"/>
              </w:divBdr>
              <w:divsChild>
                <w:div w:id="1126318176">
                  <w:marLeft w:val="0"/>
                  <w:marRight w:val="0"/>
                  <w:marTop w:val="0"/>
                  <w:marBottom w:val="0"/>
                  <w:divBdr>
                    <w:top w:val="none" w:sz="0" w:space="0" w:color="auto"/>
                    <w:left w:val="none" w:sz="0" w:space="0" w:color="auto"/>
                    <w:bottom w:val="none" w:sz="0" w:space="0" w:color="auto"/>
                    <w:right w:val="none" w:sz="0" w:space="0" w:color="auto"/>
                  </w:divBdr>
                  <w:divsChild>
                    <w:div w:id="1963536539">
                      <w:marLeft w:val="0"/>
                      <w:marRight w:val="0"/>
                      <w:marTop w:val="0"/>
                      <w:marBottom w:val="0"/>
                      <w:divBdr>
                        <w:top w:val="none" w:sz="0" w:space="0" w:color="auto"/>
                        <w:left w:val="none" w:sz="0" w:space="0" w:color="auto"/>
                        <w:bottom w:val="none" w:sz="0" w:space="0" w:color="auto"/>
                        <w:right w:val="none" w:sz="0" w:space="0" w:color="auto"/>
                      </w:divBdr>
                      <w:divsChild>
                        <w:div w:id="1954432765">
                          <w:marLeft w:val="0"/>
                          <w:marRight w:val="0"/>
                          <w:marTop w:val="45"/>
                          <w:marBottom w:val="0"/>
                          <w:divBdr>
                            <w:top w:val="none" w:sz="0" w:space="0" w:color="auto"/>
                            <w:left w:val="none" w:sz="0" w:space="0" w:color="auto"/>
                            <w:bottom w:val="none" w:sz="0" w:space="0" w:color="auto"/>
                            <w:right w:val="none" w:sz="0" w:space="0" w:color="auto"/>
                          </w:divBdr>
                          <w:divsChild>
                            <w:div w:id="1405686171">
                              <w:marLeft w:val="0"/>
                              <w:marRight w:val="0"/>
                              <w:marTop w:val="0"/>
                              <w:marBottom w:val="0"/>
                              <w:divBdr>
                                <w:top w:val="none" w:sz="0" w:space="0" w:color="auto"/>
                                <w:left w:val="none" w:sz="0" w:space="0" w:color="auto"/>
                                <w:bottom w:val="none" w:sz="0" w:space="0" w:color="auto"/>
                                <w:right w:val="none" w:sz="0" w:space="0" w:color="auto"/>
                              </w:divBdr>
                              <w:divsChild>
                                <w:div w:id="1487672937">
                                  <w:marLeft w:val="2070"/>
                                  <w:marRight w:val="3810"/>
                                  <w:marTop w:val="0"/>
                                  <w:marBottom w:val="0"/>
                                  <w:divBdr>
                                    <w:top w:val="none" w:sz="0" w:space="0" w:color="auto"/>
                                    <w:left w:val="none" w:sz="0" w:space="0" w:color="auto"/>
                                    <w:bottom w:val="none" w:sz="0" w:space="0" w:color="auto"/>
                                    <w:right w:val="none" w:sz="0" w:space="0" w:color="auto"/>
                                  </w:divBdr>
                                  <w:divsChild>
                                    <w:div w:id="1539006042">
                                      <w:marLeft w:val="0"/>
                                      <w:marRight w:val="0"/>
                                      <w:marTop w:val="0"/>
                                      <w:marBottom w:val="0"/>
                                      <w:divBdr>
                                        <w:top w:val="none" w:sz="0" w:space="0" w:color="auto"/>
                                        <w:left w:val="none" w:sz="0" w:space="0" w:color="auto"/>
                                        <w:bottom w:val="none" w:sz="0" w:space="0" w:color="auto"/>
                                        <w:right w:val="none" w:sz="0" w:space="0" w:color="auto"/>
                                      </w:divBdr>
                                      <w:divsChild>
                                        <w:div w:id="1689140404">
                                          <w:marLeft w:val="0"/>
                                          <w:marRight w:val="0"/>
                                          <w:marTop w:val="0"/>
                                          <w:marBottom w:val="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296986595">
                                                  <w:marLeft w:val="0"/>
                                                  <w:marRight w:val="0"/>
                                                  <w:marTop w:val="0"/>
                                                  <w:marBottom w:val="0"/>
                                                  <w:divBdr>
                                                    <w:top w:val="none" w:sz="0" w:space="0" w:color="auto"/>
                                                    <w:left w:val="none" w:sz="0" w:space="0" w:color="auto"/>
                                                    <w:bottom w:val="none" w:sz="0" w:space="0" w:color="auto"/>
                                                    <w:right w:val="none" w:sz="0" w:space="0" w:color="auto"/>
                                                  </w:divBdr>
                                                  <w:divsChild>
                                                    <w:div w:id="102311694">
                                                      <w:marLeft w:val="0"/>
                                                      <w:marRight w:val="0"/>
                                                      <w:marTop w:val="0"/>
                                                      <w:marBottom w:val="0"/>
                                                      <w:divBdr>
                                                        <w:top w:val="none" w:sz="0" w:space="0" w:color="auto"/>
                                                        <w:left w:val="none" w:sz="0" w:space="0" w:color="auto"/>
                                                        <w:bottom w:val="none" w:sz="0" w:space="0" w:color="auto"/>
                                                        <w:right w:val="none" w:sz="0" w:space="0" w:color="auto"/>
                                                      </w:divBdr>
                                                      <w:divsChild>
                                                        <w:div w:id="154878974">
                                                          <w:marLeft w:val="0"/>
                                                          <w:marRight w:val="0"/>
                                                          <w:marTop w:val="0"/>
                                                          <w:marBottom w:val="345"/>
                                                          <w:divBdr>
                                                            <w:top w:val="none" w:sz="0" w:space="0" w:color="auto"/>
                                                            <w:left w:val="none" w:sz="0" w:space="0" w:color="auto"/>
                                                            <w:bottom w:val="none" w:sz="0" w:space="0" w:color="auto"/>
                                                            <w:right w:val="none" w:sz="0" w:space="0" w:color="auto"/>
                                                          </w:divBdr>
                                                          <w:divsChild>
                                                            <w:div w:id="934437568">
                                                              <w:marLeft w:val="0"/>
                                                              <w:marRight w:val="0"/>
                                                              <w:marTop w:val="0"/>
                                                              <w:marBottom w:val="0"/>
                                                              <w:divBdr>
                                                                <w:top w:val="none" w:sz="0" w:space="0" w:color="auto"/>
                                                                <w:left w:val="none" w:sz="0" w:space="0" w:color="auto"/>
                                                                <w:bottom w:val="none" w:sz="0" w:space="0" w:color="auto"/>
                                                                <w:right w:val="none" w:sz="0" w:space="0" w:color="auto"/>
                                                              </w:divBdr>
                                                              <w:divsChild>
                                                                <w:div w:id="698967038">
                                                                  <w:marLeft w:val="0"/>
                                                                  <w:marRight w:val="0"/>
                                                                  <w:marTop w:val="0"/>
                                                                  <w:marBottom w:val="0"/>
                                                                  <w:divBdr>
                                                                    <w:top w:val="none" w:sz="0" w:space="0" w:color="auto"/>
                                                                    <w:left w:val="none" w:sz="0" w:space="0" w:color="auto"/>
                                                                    <w:bottom w:val="none" w:sz="0" w:space="0" w:color="auto"/>
                                                                    <w:right w:val="none" w:sz="0" w:space="0" w:color="auto"/>
                                                                  </w:divBdr>
                                                                  <w:divsChild>
                                                                    <w:div w:id="1763718359">
                                                                      <w:marLeft w:val="0"/>
                                                                      <w:marRight w:val="0"/>
                                                                      <w:marTop w:val="0"/>
                                                                      <w:marBottom w:val="0"/>
                                                                      <w:divBdr>
                                                                        <w:top w:val="none" w:sz="0" w:space="0" w:color="auto"/>
                                                                        <w:left w:val="none" w:sz="0" w:space="0" w:color="auto"/>
                                                                        <w:bottom w:val="none" w:sz="0" w:space="0" w:color="auto"/>
                                                                        <w:right w:val="none" w:sz="0" w:space="0" w:color="auto"/>
                                                                      </w:divBdr>
                                                                      <w:divsChild>
                                                                        <w:div w:id="1260867022">
                                                                          <w:marLeft w:val="0"/>
                                                                          <w:marRight w:val="0"/>
                                                                          <w:marTop w:val="0"/>
                                                                          <w:marBottom w:val="0"/>
                                                                          <w:divBdr>
                                                                            <w:top w:val="none" w:sz="0" w:space="0" w:color="auto"/>
                                                                            <w:left w:val="none" w:sz="0" w:space="0" w:color="auto"/>
                                                                            <w:bottom w:val="none" w:sz="0" w:space="0" w:color="auto"/>
                                                                            <w:right w:val="none" w:sz="0" w:space="0" w:color="auto"/>
                                                                          </w:divBdr>
                                                                          <w:divsChild>
                                                                            <w:div w:id="2142335493">
                                                                              <w:marLeft w:val="0"/>
                                                                              <w:marRight w:val="0"/>
                                                                              <w:marTop w:val="0"/>
                                                                              <w:marBottom w:val="0"/>
                                                                              <w:divBdr>
                                                                                <w:top w:val="none" w:sz="0" w:space="0" w:color="auto"/>
                                                                                <w:left w:val="none" w:sz="0" w:space="0" w:color="auto"/>
                                                                                <w:bottom w:val="none" w:sz="0" w:space="0" w:color="auto"/>
                                                                                <w:right w:val="none" w:sz="0" w:space="0" w:color="auto"/>
                                                                              </w:divBdr>
                                                                              <w:divsChild>
                                                                                <w:div w:id="784158355">
                                                                                  <w:marLeft w:val="0"/>
                                                                                  <w:marRight w:val="0"/>
                                                                                  <w:marTop w:val="0"/>
                                                                                  <w:marBottom w:val="0"/>
                                                                                  <w:divBdr>
                                                                                    <w:top w:val="none" w:sz="0" w:space="0" w:color="auto"/>
                                                                                    <w:left w:val="none" w:sz="0" w:space="0" w:color="auto"/>
                                                                                    <w:bottom w:val="none" w:sz="0" w:space="0" w:color="auto"/>
                                                                                    <w:right w:val="none" w:sz="0" w:space="0" w:color="auto"/>
                                                                                  </w:divBdr>
                                                                                  <w:divsChild>
                                                                                    <w:div w:id="701591794">
                                                                                      <w:marLeft w:val="0"/>
                                                                                      <w:marRight w:val="0"/>
                                                                                      <w:marTop w:val="0"/>
                                                                                      <w:marBottom w:val="0"/>
                                                                                      <w:divBdr>
                                                                                        <w:top w:val="none" w:sz="0" w:space="0" w:color="auto"/>
                                                                                        <w:left w:val="none" w:sz="0" w:space="0" w:color="auto"/>
                                                                                        <w:bottom w:val="none" w:sz="0" w:space="0" w:color="auto"/>
                                                                                        <w:right w:val="none" w:sz="0" w:space="0" w:color="auto"/>
                                                                                      </w:divBdr>
                                                                                      <w:divsChild>
                                                                                        <w:div w:id="1624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65388">
      <w:bodyDiv w:val="1"/>
      <w:marLeft w:val="0"/>
      <w:marRight w:val="0"/>
      <w:marTop w:val="0"/>
      <w:marBottom w:val="0"/>
      <w:divBdr>
        <w:top w:val="none" w:sz="0" w:space="0" w:color="auto"/>
        <w:left w:val="none" w:sz="0" w:space="0" w:color="auto"/>
        <w:bottom w:val="none" w:sz="0" w:space="0" w:color="auto"/>
        <w:right w:val="none" w:sz="0" w:space="0" w:color="auto"/>
      </w:divBdr>
      <w:divsChild>
        <w:div w:id="1846742028">
          <w:marLeft w:val="144"/>
          <w:marRight w:val="0"/>
          <w:marTop w:val="240"/>
          <w:marBottom w:val="40"/>
          <w:divBdr>
            <w:top w:val="none" w:sz="0" w:space="0" w:color="auto"/>
            <w:left w:val="none" w:sz="0" w:space="0" w:color="auto"/>
            <w:bottom w:val="none" w:sz="0" w:space="0" w:color="auto"/>
            <w:right w:val="none" w:sz="0" w:space="0" w:color="auto"/>
          </w:divBdr>
        </w:div>
      </w:divsChild>
    </w:div>
    <w:div w:id="858154276">
      <w:bodyDiv w:val="1"/>
      <w:marLeft w:val="0"/>
      <w:marRight w:val="0"/>
      <w:marTop w:val="0"/>
      <w:marBottom w:val="0"/>
      <w:divBdr>
        <w:top w:val="none" w:sz="0" w:space="0" w:color="auto"/>
        <w:left w:val="none" w:sz="0" w:space="0" w:color="auto"/>
        <w:bottom w:val="none" w:sz="0" w:space="0" w:color="auto"/>
        <w:right w:val="none" w:sz="0" w:space="0" w:color="auto"/>
      </w:divBdr>
    </w:div>
    <w:div w:id="1120101548">
      <w:bodyDiv w:val="1"/>
      <w:marLeft w:val="0"/>
      <w:marRight w:val="0"/>
      <w:marTop w:val="0"/>
      <w:marBottom w:val="0"/>
      <w:divBdr>
        <w:top w:val="none" w:sz="0" w:space="0" w:color="auto"/>
        <w:left w:val="none" w:sz="0" w:space="0" w:color="auto"/>
        <w:bottom w:val="none" w:sz="0" w:space="0" w:color="auto"/>
        <w:right w:val="none" w:sz="0" w:space="0" w:color="auto"/>
      </w:divBdr>
      <w:divsChild>
        <w:div w:id="1861236715">
          <w:marLeft w:val="0"/>
          <w:marRight w:val="0"/>
          <w:marTop w:val="0"/>
          <w:marBottom w:val="0"/>
          <w:divBdr>
            <w:top w:val="none" w:sz="0" w:space="0" w:color="auto"/>
            <w:left w:val="none" w:sz="0" w:space="0" w:color="auto"/>
            <w:bottom w:val="none" w:sz="0" w:space="0" w:color="auto"/>
            <w:right w:val="none" w:sz="0" w:space="0" w:color="auto"/>
          </w:divBdr>
          <w:divsChild>
            <w:div w:id="626542883">
              <w:marLeft w:val="0"/>
              <w:marRight w:val="0"/>
              <w:marTop w:val="0"/>
              <w:marBottom w:val="0"/>
              <w:divBdr>
                <w:top w:val="none" w:sz="0" w:space="0" w:color="auto"/>
                <w:left w:val="none" w:sz="0" w:space="0" w:color="auto"/>
                <w:bottom w:val="none" w:sz="0" w:space="0" w:color="auto"/>
                <w:right w:val="none" w:sz="0" w:space="0" w:color="auto"/>
              </w:divBdr>
              <w:divsChild>
                <w:div w:id="1584221060">
                  <w:marLeft w:val="0"/>
                  <w:marRight w:val="0"/>
                  <w:marTop w:val="0"/>
                  <w:marBottom w:val="0"/>
                  <w:divBdr>
                    <w:top w:val="none" w:sz="0" w:space="0" w:color="auto"/>
                    <w:left w:val="none" w:sz="0" w:space="0" w:color="auto"/>
                    <w:bottom w:val="none" w:sz="0" w:space="0" w:color="auto"/>
                    <w:right w:val="none" w:sz="0" w:space="0" w:color="auto"/>
                  </w:divBdr>
                  <w:divsChild>
                    <w:div w:id="1742756282">
                      <w:marLeft w:val="0"/>
                      <w:marRight w:val="0"/>
                      <w:marTop w:val="45"/>
                      <w:marBottom w:val="0"/>
                      <w:divBdr>
                        <w:top w:val="none" w:sz="0" w:space="0" w:color="auto"/>
                        <w:left w:val="none" w:sz="0" w:space="0" w:color="auto"/>
                        <w:bottom w:val="none" w:sz="0" w:space="0" w:color="auto"/>
                        <w:right w:val="none" w:sz="0" w:space="0" w:color="auto"/>
                      </w:divBdr>
                      <w:divsChild>
                        <w:div w:id="1668557619">
                          <w:marLeft w:val="0"/>
                          <w:marRight w:val="0"/>
                          <w:marTop w:val="0"/>
                          <w:marBottom w:val="0"/>
                          <w:divBdr>
                            <w:top w:val="none" w:sz="0" w:space="0" w:color="auto"/>
                            <w:left w:val="none" w:sz="0" w:space="0" w:color="auto"/>
                            <w:bottom w:val="none" w:sz="0" w:space="0" w:color="auto"/>
                            <w:right w:val="none" w:sz="0" w:space="0" w:color="auto"/>
                          </w:divBdr>
                          <w:divsChild>
                            <w:div w:id="1215657655">
                              <w:marLeft w:val="2070"/>
                              <w:marRight w:val="3810"/>
                              <w:marTop w:val="0"/>
                              <w:marBottom w:val="0"/>
                              <w:divBdr>
                                <w:top w:val="none" w:sz="0" w:space="0" w:color="auto"/>
                                <w:left w:val="none" w:sz="0" w:space="0" w:color="auto"/>
                                <w:bottom w:val="none" w:sz="0" w:space="0" w:color="auto"/>
                                <w:right w:val="none" w:sz="0" w:space="0" w:color="auto"/>
                              </w:divBdr>
                              <w:divsChild>
                                <w:div w:id="940531283">
                                  <w:marLeft w:val="0"/>
                                  <w:marRight w:val="0"/>
                                  <w:marTop w:val="0"/>
                                  <w:marBottom w:val="0"/>
                                  <w:divBdr>
                                    <w:top w:val="none" w:sz="0" w:space="0" w:color="auto"/>
                                    <w:left w:val="none" w:sz="0" w:space="0" w:color="auto"/>
                                    <w:bottom w:val="none" w:sz="0" w:space="0" w:color="auto"/>
                                    <w:right w:val="none" w:sz="0" w:space="0" w:color="auto"/>
                                  </w:divBdr>
                                  <w:divsChild>
                                    <w:div w:id="967079909">
                                      <w:marLeft w:val="0"/>
                                      <w:marRight w:val="0"/>
                                      <w:marTop w:val="0"/>
                                      <w:marBottom w:val="0"/>
                                      <w:divBdr>
                                        <w:top w:val="none" w:sz="0" w:space="0" w:color="auto"/>
                                        <w:left w:val="none" w:sz="0" w:space="0" w:color="auto"/>
                                        <w:bottom w:val="none" w:sz="0" w:space="0" w:color="auto"/>
                                        <w:right w:val="none" w:sz="0" w:space="0" w:color="auto"/>
                                      </w:divBdr>
                                      <w:divsChild>
                                        <w:div w:id="749891870">
                                          <w:marLeft w:val="0"/>
                                          <w:marRight w:val="0"/>
                                          <w:marTop w:val="0"/>
                                          <w:marBottom w:val="0"/>
                                          <w:divBdr>
                                            <w:top w:val="none" w:sz="0" w:space="0" w:color="auto"/>
                                            <w:left w:val="none" w:sz="0" w:space="0" w:color="auto"/>
                                            <w:bottom w:val="none" w:sz="0" w:space="0" w:color="auto"/>
                                            <w:right w:val="none" w:sz="0" w:space="0" w:color="auto"/>
                                          </w:divBdr>
                                          <w:divsChild>
                                            <w:div w:id="1242527830">
                                              <w:marLeft w:val="0"/>
                                              <w:marRight w:val="0"/>
                                              <w:marTop w:val="0"/>
                                              <w:marBottom w:val="0"/>
                                              <w:divBdr>
                                                <w:top w:val="none" w:sz="0" w:space="0" w:color="auto"/>
                                                <w:left w:val="none" w:sz="0" w:space="0" w:color="auto"/>
                                                <w:bottom w:val="none" w:sz="0" w:space="0" w:color="auto"/>
                                                <w:right w:val="none" w:sz="0" w:space="0" w:color="auto"/>
                                              </w:divBdr>
                                              <w:divsChild>
                                                <w:div w:id="1047486950">
                                                  <w:marLeft w:val="0"/>
                                                  <w:marRight w:val="0"/>
                                                  <w:marTop w:val="0"/>
                                                  <w:marBottom w:val="0"/>
                                                  <w:divBdr>
                                                    <w:top w:val="none" w:sz="0" w:space="0" w:color="auto"/>
                                                    <w:left w:val="none" w:sz="0" w:space="0" w:color="auto"/>
                                                    <w:bottom w:val="none" w:sz="0" w:space="0" w:color="auto"/>
                                                    <w:right w:val="none" w:sz="0" w:space="0" w:color="auto"/>
                                                  </w:divBdr>
                                                  <w:divsChild>
                                                    <w:div w:id="306979844">
                                                      <w:marLeft w:val="0"/>
                                                      <w:marRight w:val="0"/>
                                                      <w:marTop w:val="0"/>
                                                      <w:marBottom w:val="345"/>
                                                      <w:divBdr>
                                                        <w:top w:val="none" w:sz="0" w:space="0" w:color="auto"/>
                                                        <w:left w:val="none" w:sz="0" w:space="0" w:color="auto"/>
                                                        <w:bottom w:val="none" w:sz="0" w:space="0" w:color="auto"/>
                                                        <w:right w:val="none" w:sz="0" w:space="0" w:color="auto"/>
                                                      </w:divBdr>
                                                      <w:divsChild>
                                                        <w:div w:id="257565132">
                                                          <w:marLeft w:val="0"/>
                                                          <w:marRight w:val="0"/>
                                                          <w:marTop w:val="0"/>
                                                          <w:marBottom w:val="0"/>
                                                          <w:divBdr>
                                                            <w:top w:val="none" w:sz="0" w:space="0" w:color="auto"/>
                                                            <w:left w:val="none" w:sz="0" w:space="0" w:color="auto"/>
                                                            <w:bottom w:val="none" w:sz="0" w:space="0" w:color="auto"/>
                                                            <w:right w:val="none" w:sz="0" w:space="0" w:color="auto"/>
                                                          </w:divBdr>
                                                          <w:divsChild>
                                                            <w:div w:id="635648475">
                                                              <w:marLeft w:val="0"/>
                                                              <w:marRight w:val="0"/>
                                                              <w:marTop w:val="0"/>
                                                              <w:marBottom w:val="0"/>
                                                              <w:divBdr>
                                                                <w:top w:val="none" w:sz="0" w:space="0" w:color="auto"/>
                                                                <w:left w:val="none" w:sz="0" w:space="0" w:color="auto"/>
                                                                <w:bottom w:val="none" w:sz="0" w:space="0" w:color="auto"/>
                                                                <w:right w:val="none" w:sz="0" w:space="0" w:color="auto"/>
                                                              </w:divBdr>
                                                              <w:divsChild>
                                                                <w:div w:id="925305788">
                                                                  <w:marLeft w:val="0"/>
                                                                  <w:marRight w:val="0"/>
                                                                  <w:marTop w:val="0"/>
                                                                  <w:marBottom w:val="0"/>
                                                                  <w:divBdr>
                                                                    <w:top w:val="none" w:sz="0" w:space="0" w:color="auto"/>
                                                                    <w:left w:val="none" w:sz="0" w:space="0" w:color="auto"/>
                                                                    <w:bottom w:val="none" w:sz="0" w:space="0" w:color="auto"/>
                                                                    <w:right w:val="none" w:sz="0" w:space="0" w:color="auto"/>
                                                                  </w:divBdr>
                                                                  <w:divsChild>
                                                                    <w:div w:id="1483236287">
                                                                      <w:marLeft w:val="0"/>
                                                                      <w:marRight w:val="0"/>
                                                                      <w:marTop w:val="0"/>
                                                                      <w:marBottom w:val="0"/>
                                                                      <w:divBdr>
                                                                        <w:top w:val="none" w:sz="0" w:space="0" w:color="auto"/>
                                                                        <w:left w:val="none" w:sz="0" w:space="0" w:color="auto"/>
                                                                        <w:bottom w:val="none" w:sz="0" w:space="0" w:color="auto"/>
                                                                        <w:right w:val="none" w:sz="0" w:space="0" w:color="auto"/>
                                                                      </w:divBdr>
                                                                      <w:divsChild>
                                                                        <w:div w:id="1507788145">
                                                                          <w:marLeft w:val="0"/>
                                                                          <w:marRight w:val="0"/>
                                                                          <w:marTop w:val="0"/>
                                                                          <w:marBottom w:val="0"/>
                                                                          <w:divBdr>
                                                                            <w:top w:val="none" w:sz="0" w:space="0" w:color="auto"/>
                                                                            <w:left w:val="none" w:sz="0" w:space="0" w:color="auto"/>
                                                                            <w:bottom w:val="none" w:sz="0" w:space="0" w:color="auto"/>
                                                                            <w:right w:val="none" w:sz="0" w:space="0" w:color="auto"/>
                                                                          </w:divBdr>
                                                                          <w:divsChild>
                                                                            <w:div w:id="774178475">
                                                                              <w:marLeft w:val="0"/>
                                                                              <w:marRight w:val="0"/>
                                                                              <w:marTop w:val="0"/>
                                                                              <w:marBottom w:val="0"/>
                                                                              <w:divBdr>
                                                                                <w:top w:val="none" w:sz="0" w:space="0" w:color="auto"/>
                                                                                <w:left w:val="none" w:sz="0" w:space="0" w:color="auto"/>
                                                                                <w:bottom w:val="none" w:sz="0" w:space="0" w:color="auto"/>
                                                                                <w:right w:val="none" w:sz="0" w:space="0" w:color="auto"/>
                                                                              </w:divBdr>
                                                                              <w:divsChild>
                                                                                <w:div w:id="1164659375">
                                                                                  <w:marLeft w:val="0"/>
                                                                                  <w:marRight w:val="0"/>
                                                                                  <w:marTop w:val="0"/>
                                                                                  <w:marBottom w:val="0"/>
                                                                                  <w:divBdr>
                                                                                    <w:top w:val="none" w:sz="0" w:space="0" w:color="auto"/>
                                                                                    <w:left w:val="none" w:sz="0" w:space="0" w:color="auto"/>
                                                                                    <w:bottom w:val="none" w:sz="0" w:space="0" w:color="auto"/>
                                                                                    <w:right w:val="none" w:sz="0" w:space="0" w:color="auto"/>
                                                                                  </w:divBdr>
                                                                                  <w:divsChild>
                                                                                    <w:div w:id="5720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77118">
      <w:bodyDiv w:val="1"/>
      <w:marLeft w:val="0"/>
      <w:marRight w:val="0"/>
      <w:marTop w:val="0"/>
      <w:marBottom w:val="0"/>
      <w:divBdr>
        <w:top w:val="none" w:sz="0" w:space="0" w:color="auto"/>
        <w:left w:val="none" w:sz="0" w:space="0" w:color="auto"/>
        <w:bottom w:val="none" w:sz="0" w:space="0" w:color="auto"/>
        <w:right w:val="none" w:sz="0" w:space="0" w:color="auto"/>
      </w:divBdr>
    </w:div>
    <w:div w:id="1238400962">
      <w:bodyDiv w:val="1"/>
      <w:marLeft w:val="0"/>
      <w:marRight w:val="0"/>
      <w:marTop w:val="0"/>
      <w:marBottom w:val="0"/>
      <w:divBdr>
        <w:top w:val="none" w:sz="0" w:space="0" w:color="auto"/>
        <w:left w:val="none" w:sz="0" w:space="0" w:color="auto"/>
        <w:bottom w:val="none" w:sz="0" w:space="0" w:color="auto"/>
        <w:right w:val="none" w:sz="0" w:space="0" w:color="auto"/>
      </w:divBdr>
    </w:div>
    <w:div w:id="1948737322">
      <w:bodyDiv w:val="1"/>
      <w:marLeft w:val="0"/>
      <w:marRight w:val="0"/>
      <w:marTop w:val="0"/>
      <w:marBottom w:val="0"/>
      <w:divBdr>
        <w:top w:val="none" w:sz="0" w:space="0" w:color="auto"/>
        <w:left w:val="none" w:sz="0" w:space="0" w:color="auto"/>
        <w:bottom w:val="none" w:sz="0" w:space="0" w:color="auto"/>
        <w:right w:val="none" w:sz="0" w:space="0" w:color="auto"/>
      </w:divBdr>
      <w:divsChild>
        <w:div w:id="1094545832">
          <w:marLeft w:val="0"/>
          <w:marRight w:val="0"/>
          <w:marTop w:val="0"/>
          <w:marBottom w:val="0"/>
          <w:divBdr>
            <w:top w:val="none" w:sz="0" w:space="0" w:color="auto"/>
            <w:left w:val="none" w:sz="0" w:space="0" w:color="auto"/>
            <w:bottom w:val="none" w:sz="0" w:space="0" w:color="auto"/>
            <w:right w:val="none" w:sz="0" w:space="0" w:color="auto"/>
          </w:divBdr>
          <w:divsChild>
            <w:div w:id="646398265">
              <w:marLeft w:val="0"/>
              <w:marRight w:val="0"/>
              <w:marTop w:val="0"/>
              <w:marBottom w:val="0"/>
              <w:divBdr>
                <w:top w:val="none" w:sz="0" w:space="0" w:color="auto"/>
                <w:left w:val="none" w:sz="0" w:space="0" w:color="auto"/>
                <w:bottom w:val="none" w:sz="0" w:space="0" w:color="auto"/>
                <w:right w:val="none" w:sz="0" w:space="0" w:color="auto"/>
              </w:divBdr>
              <w:divsChild>
                <w:div w:id="1562322624">
                  <w:marLeft w:val="0"/>
                  <w:marRight w:val="0"/>
                  <w:marTop w:val="0"/>
                  <w:marBottom w:val="0"/>
                  <w:divBdr>
                    <w:top w:val="none" w:sz="0" w:space="0" w:color="auto"/>
                    <w:left w:val="none" w:sz="0" w:space="0" w:color="auto"/>
                    <w:bottom w:val="none" w:sz="0" w:space="0" w:color="auto"/>
                    <w:right w:val="none" w:sz="0" w:space="0" w:color="auto"/>
                  </w:divBdr>
                  <w:divsChild>
                    <w:div w:id="864170490">
                      <w:marLeft w:val="0"/>
                      <w:marRight w:val="0"/>
                      <w:marTop w:val="0"/>
                      <w:marBottom w:val="0"/>
                      <w:divBdr>
                        <w:top w:val="none" w:sz="0" w:space="0" w:color="auto"/>
                        <w:left w:val="none" w:sz="0" w:space="0" w:color="auto"/>
                        <w:bottom w:val="none" w:sz="0" w:space="0" w:color="auto"/>
                        <w:right w:val="none" w:sz="0" w:space="0" w:color="auto"/>
                      </w:divBdr>
                      <w:divsChild>
                        <w:div w:id="2053725432">
                          <w:marLeft w:val="0"/>
                          <w:marRight w:val="0"/>
                          <w:marTop w:val="0"/>
                          <w:marBottom w:val="0"/>
                          <w:divBdr>
                            <w:top w:val="none" w:sz="0" w:space="0" w:color="auto"/>
                            <w:left w:val="none" w:sz="0" w:space="0" w:color="auto"/>
                            <w:bottom w:val="none" w:sz="0" w:space="0" w:color="auto"/>
                            <w:right w:val="none" w:sz="0" w:space="0" w:color="auto"/>
                          </w:divBdr>
                          <w:divsChild>
                            <w:div w:id="897206404">
                              <w:marLeft w:val="0"/>
                              <w:marRight w:val="0"/>
                              <w:marTop w:val="0"/>
                              <w:marBottom w:val="0"/>
                              <w:divBdr>
                                <w:top w:val="none" w:sz="0" w:space="0" w:color="auto"/>
                                <w:left w:val="none" w:sz="0" w:space="0" w:color="auto"/>
                                <w:bottom w:val="none" w:sz="0" w:space="0" w:color="auto"/>
                                <w:right w:val="none" w:sz="0" w:space="0" w:color="auto"/>
                              </w:divBdr>
                              <w:divsChild>
                                <w:div w:id="1650092124">
                                  <w:marLeft w:val="0"/>
                                  <w:marRight w:val="0"/>
                                  <w:marTop w:val="0"/>
                                  <w:marBottom w:val="0"/>
                                  <w:divBdr>
                                    <w:top w:val="none" w:sz="0" w:space="0" w:color="auto"/>
                                    <w:left w:val="none" w:sz="0" w:space="0" w:color="auto"/>
                                    <w:bottom w:val="none" w:sz="0" w:space="0" w:color="auto"/>
                                    <w:right w:val="none" w:sz="0" w:space="0" w:color="auto"/>
                                  </w:divBdr>
                                  <w:divsChild>
                                    <w:div w:id="678629046">
                                      <w:marLeft w:val="0"/>
                                      <w:marRight w:val="0"/>
                                      <w:marTop w:val="0"/>
                                      <w:marBottom w:val="0"/>
                                      <w:divBdr>
                                        <w:top w:val="none" w:sz="0" w:space="0" w:color="auto"/>
                                        <w:left w:val="none" w:sz="0" w:space="0" w:color="auto"/>
                                        <w:bottom w:val="none" w:sz="0" w:space="0" w:color="auto"/>
                                        <w:right w:val="none" w:sz="0" w:space="0" w:color="auto"/>
                                      </w:divBdr>
                                      <w:divsChild>
                                        <w:div w:id="11043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7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customXml" Target="../customXml/item7.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LongProperties xmlns="http://schemas.microsoft.com/office/2006/metadata/longProperties">
  <LongProp xmlns="" name="Migration_x0020_Info"><![CDATA[<Data><APPLICATION>MS WORD</APPLICATION><USER_STAGE>Loan Proposal</USER_STAGE><APPROVAL_CODE>CG</APPROVAL_CODE><APPROVAL_DESC>Committee of the Whole</APPROVAL_DESC><PD_OBJ_TYPE>0</PD_OBJ_TYPE><DTAPPROVAL>Dec 12 2016 12:00AM</DTAPPROVAL><MAKERECORD>N</MAKERECORD></Data>]]></LongProp>
</Long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6CAAFACF47D6C4191ECA3A7342DC04F" ma:contentTypeVersion="112" ma:contentTypeDescription="A content type to manage public (operations) IDB documents" ma:contentTypeScope="" ma:versionID="fa754d3a5e5ef3392d36ac59026b2bed">
  <xsd:schema xmlns:xsd="http://www.w3.org/2001/XMLSchema" xmlns:xs="http://www.w3.org/2001/XMLSchema" xmlns:p="http://schemas.microsoft.com/office/2006/metadata/properties" xmlns:ns2="cdc7663a-08f0-4737-9e8c-148ce897a09c" targetNamespace="http://schemas.microsoft.com/office/2006/metadata/properties" ma:root="true" ma:fieldsID="7583a034c4c21c88cc7a087146b44c6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L150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p:properties xmlns:p="http://schemas.microsoft.com/office/2006/metadata/properties" xmlns:xsi="http://www.w3.org/2001/XMLSchema-instance" xmlns:pc="http://schemas.microsoft.com/office/infopath/2007/PartnerControls">
  <documentManagement>
    <Phase xmlns="cdc7663a-08f0-4737-9e8c-148ce897a09c" xsi:nil="true"/>
    <Project_x0020_Document_x0020_Type xmlns="cdc7663a-08f0-4737-9e8c-148ce897a09c" xsi:nil="true"/>
    <Migration_x0020_Info xmlns="cdc7663a-08f0-4737-9e8c-148ce897a09c">MS WORDLoan ProposalCGCommittee of the Whole0Dec 12 2016 12&amp;#58;00AMN</Migration_x0020_Info>
    <Package_x0020_Code xmlns="cdc7663a-08f0-4737-9e8c-148ce897a09c" xsi:nil="true"/>
    <Approval_x0020_Number xmlns="cdc7663a-08f0-4737-9e8c-148ce897a09c" xsi:nil="true"/>
    <Access_x0020_to_x0020_Information_x00a0_Policy xmlns="cdc7663a-08f0-4737-9e8c-148ce897a09c">Public</Access_x0020_to_x0020_Information_x00a0_Policy>
    <Other_x0020_Author xmlns="cdc7663a-08f0-4737-9e8c-148ce897a09c" xsi:nil="true"/>
    <Division_x0020_or_x0020_Unit xmlns="cdc7663a-08f0-4737-9e8c-148ce897a09c">IFD/CMF</Division_x0020_or_x0020_Unit>
    <Business_x0020_Area xmlns="cdc7663a-08f0-4737-9e8c-148ce897a09c" xsi:nil="true"/>
    <SISCOR_x0020_Number xmlns="cdc7663a-08f0-4737-9e8c-148ce897a09c" xsi:nil="true"/>
    <Key_x0020_Document xmlns="cdc7663a-08f0-4737-9e8c-148ce897a09c">false</Key_x0020_Document>
    <Identifier xmlns="cdc7663a-08f0-4737-9e8c-148ce897a09c"> TECFILE</Identifier>
    <IDBDocs_x0020_Number xmlns="cdc7663a-08f0-4737-9e8c-148ce897a09c">40649535</IDBDocs_x0020_Number>
    <Document_x0020_Author xmlns="cdc7663a-08f0-4737-9e8c-148ce897a09c">Netto de A. C. Schneider, Maria E.</Document_x0020_Author>
    <TaxCatchAll xmlns="cdc7663a-08f0-4737-9e8c-148ce897a09c">
      <Value>34</Value>
      <Value>278</Value>
      <Value>30</Value>
      <Value>1</Value>
      <Value>35</Value>
    </TaxCatchAll>
    <Document_x0020_Language_x0020_IDB xmlns="cdc7663a-08f0-4737-9e8c-148ce897a09c">Spanish</Document_x0020_Language_x0020_IDB>
    <Fiscal_x0020_Year_x0020_IDB xmlns="cdc7663a-08f0-4737-9e8c-148ce897a09c">2018</Fiscal_x0020_Year_x0020_IDB>
    <Operation_x0020_Type xmlns="cdc7663a-08f0-4737-9e8c-148ce897a09c" xsi:nil="true"/>
    <Project_x0020_Number xmlns="cdc7663a-08f0-4737-9e8c-148ce897a09c">BR-L1442,BR-O0001</Project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URBAN TRANSPORT INFRASTRUCTURE</TermName>
          <TermId xmlns="http://schemas.microsoft.com/office/infopath/2007/PartnerControls">302c5209-7a48-49db-8198-938a46f0cd26</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R0002219897</Record_x0020_Number>
    <_dlc_DocId xmlns="cdc7663a-08f0-4737-9e8c-148ce897a09c">EZSHARE-1133963158-19</_dlc_DocId>
    <_dlc_DocIdUrl xmlns="cdc7663a-08f0-4737-9e8c-148ce897a09c">
      <Url>https://idbg.sharepoint.com/teams/EZ-BR-LON/BR-L1503/_layouts/15/DocIdRedir.aspx?ID=EZSHARE-1133963158-19</Url>
      <Description>EZSHARE-1133963158-19</Description>
    </_dlc_DocIdUrl>
    <From_x003a_ xmlns="cdc7663a-08f0-4737-9e8c-148ce897a09c" xsi:nil="true"/>
    <To_x003a_ xmlns="cdc7663a-08f0-4737-9e8c-148ce897a09c" xsi:nil="true"/>
  </documentManagement>
</p:properties>
</file>

<file path=customXml/item9.xml><?xml version="1.0" encoding="utf-8"?>
<ct:contentTypeSchema xmlns:ct="http://schemas.microsoft.com/office/2006/metadata/contentType" xmlns:ma="http://schemas.microsoft.com/office/2006/metadata/properties/metaAttributes" ct:_="" ma:_="" ma:contentTypeName="ez-Operations" ma:contentTypeID="0x010100ACF722E9F6B0B149B0CD8BE2560A667200733CCADFF9B9794089D40211BFEC1D52" ma:contentTypeVersion="3697" ma:contentTypeDescription="The base project type from which other project content types inherit their information." ma:contentTypeScope="" ma:versionID="264315b6eea810e53e4ee9ede940eeb3">
  <xsd:schema xmlns:xsd="http://www.w3.org/2001/XMLSchema" xmlns:xs="http://www.w3.org/2001/XMLSchema" xmlns:p="http://schemas.microsoft.com/office/2006/metadata/properties" xmlns:ns2="cdc7663a-08f0-4737-9e8c-148ce897a09c" targetNamespace="http://schemas.microsoft.com/office/2006/metadata/properties" ma:root="true" ma:fieldsID="53ef82871e74a76ea98470a9d47a29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R-L1503"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1F75D-4CCE-437C-BA69-3CD276FC6804}"/>
</file>

<file path=customXml/itemProps10.xml><?xml version="1.0" encoding="utf-8"?>
<ds:datastoreItem xmlns:ds="http://schemas.openxmlformats.org/officeDocument/2006/customXml" ds:itemID="{20108B73-F72E-4E62-933B-36B5B18E9CB8}"/>
</file>

<file path=customXml/itemProps11.xml><?xml version="1.0" encoding="utf-8"?>
<ds:datastoreItem xmlns:ds="http://schemas.openxmlformats.org/officeDocument/2006/customXml" ds:itemID="{34E17675-7E44-4E59-B7E1-0CF3FBD9B0CD}"/>
</file>

<file path=customXml/itemProps2.xml><?xml version="1.0" encoding="utf-8"?>
<ds:datastoreItem xmlns:ds="http://schemas.openxmlformats.org/officeDocument/2006/customXml" ds:itemID="{3DF8D53E-B26D-474D-950C-ED64B9685A8E}">
  <ds:schemaRefs>
    <ds:schemaRef ds:uri="http://schemas.microsoft.com/office/2006/metadata/longProperties"/>
  </ds:schemaRefs>
</ds:datastoreItem>
</file>

<file path=customXml/itemProps3.xml><?xml version="1.0" encoding="utf-8"?>
<ds:datastoreItem xmlns:ds="http://schemas.openxmlformats.org/officeDocument/2006/customXml" ds:itemID="{91BCA642-AC9C-4E7C-8BA5-1EB38932E628}"/>
</file>

<file path=customXml/itemProps4.xml><?xml version="1.0" encoding="utf-8"?>
<ds:datastoreItem xmlns:ds="http://schemas.openxmlformats.org/officeDocument/2006/customXml" ds:itemID="{45328285-8AEC-4396-9085-6B7FF32CEFFE}">
  <ds:schemaRefs>
    <ds:schemaRef ds:uri="http://schemas.microsoft.com/sharepoint/v3/contenttype/forms"/>
  </ds:schemaRefs>
</ds:datastoreItem>
</file>

<file path=customXml/itemProps5.xml><?xml version="1.0" encoding="utf-8"?>
<ds:datastoreItem xmlns:ds="http://schemas.openxmlformats.org/officeDocument/2006/customXml" ds:itemID="{C72A7C4E-861E-4807-B58E-C6D8613AC964}"/>
</file>

<file path=customXml/itemProps6.xml><?xml version="1.0" encoding="utf-8"?>
<ds:datastoreItem xmlns:ds="http://schemas.openxmlformats.org/officeDocument/2006/customXml" ds:itemID="{DDC00CC0-F239-584F-9FE6-7F234079EE83}">
  <ds:schemaRefs>
    <ds:schemaRef ds:uri="http://schemas.openxmlformats.org/officeDocument/2006/bibliography"/>
    <ds:schemaRef ds:uri="http://www.w3.org/2000/xmlns/"/>
  </ds:schemaRefs>
</ds:datastoreItem>
</file>

<file path=customXml/itemProps7.xml><?xml version="1.0" encoding="utf-8"?>
<ds:datastoreItem xmlns:ds="http://schemas.openxmlformats.org/officeDocument/2006/customXml" ds:itemID="{EA544CD8-4C75-4520-B7BB-E3971C9EC018}"/>
</file>

<file path=customXml/itemProps8.xml><?xml version="1.0" encoding="utf-8"?>
<ds:datastoreItem xmlns:ds="http://schemas.openxmlformats.org/officeDocument/2006/customXml" ds:itemID="{3A7BE518-2756-4EBE-AEDC-C53CB8F442B2}"/>
</file>

<file path=customXml/itemProps9.xml><?xml version="1.0" encoding="utf-8"?>
<ds:datastoreItem xmlns:ds="http://schemas.openxmlformats.org/officeDocument/2006/customXml" ds:itemID="{3AD89A17-EFB1-4D2D-A275-69123F1DDB49}"/>
</file>

<file path=docProps/app.xml><?xml version="1.0" encoding="utf-8"?>
<Properties xmlns="http://schemas.openxmlformats.org/officeDocument/2006/extended-properties" xmlns:vt="http://schemas.openxmlformats.org/officeDocument/2006/docPropsVTypes">
  <Template>Normal</Template>
  <TotalTime>1</TotalTime>
  <Pages>17</Pages>
  <Words>4848</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POD - ELink Opcional - Justification PUP - Compliance with GN-2716 Public Utilities Policy - BR-L1442</vt:lpstr>
    </vt:vector>
  </TitlesOfParts>
  <Company>Inter-American Development Bank</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ELink Opcional - Justification PUP - Compliance with GN-2716 Public Utilities Policy - BR-L1442</dc:title>
  <dc:subject/>
  <dc:creator>Inter-American Development Bank</dc:creator>
  <cp:keywords/>
  <cp:lastModifiedBy>arthur oliveira</cp:lastModifiedBy>
  <cp:revision>2</cp:revision>
  <cp:lastPrinted>2016-09-27T13:21:00Z</cp:lastPrinted>
  <dcterms:created xsi:type="dcterms:W3CDTF">2018-04-11T13:35:00Z</dcterms:created>
  <dcterms:modified xsi:type="dcterms:W3CDTF">2018-04-11T13:35:00Z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Netto de A. C. Schneider, Maria E.</vt:lpwstr>
  </property>
  <property fmtid="{D5CDD505-2E9C-101B-9397-08002B2CF9AE}" pid="6" name="Access to Information Policy">
    <vt:lpwstr>Public</vt:lpwstr>
  </property>
  <property fmtid="{D5CDD505-2E9C-101B-9397-08002B2CF9AE}" pid="7" name="Other Author">
    <vt:lpwstr/>
  </property>
  <property fmtid="{D5CDD505-2E9C-101B-9397-08002B2CF9AE}" pid="8" name="Division or Unit">
    <vt:lpwstr>IFD/CMF</vt:lpwstr>
  </property>
  <property fmtid="{D5CDD505-2E9C-101B-9397-08002B2CF9AE}" pid="9" name="Business Area">
    <vt:lpwstr/>
  </property>
  <property fmtid="{D5CDD505-2E9C-101B-9397-08002B2CF9AE}" pid="10" name="Webtopic">
    <vt:lpwstr>CM-BAN</vt:lpwstr>
  </property>
  <property fmtid="{D5CDD505-2E9C-101B-9397-08002B2CF9AE}" pid="11" name="display_urn:schemas-microsoft-com:office:office#Author">
    <vt:lpwstr>Netto de A. C. Schneider, Maria E.</vt:lpwstr>
  </property>
  <property fmtid="{D5CDD505-2E9C-101B-9397-08002B2CF9AE}" pid="12" name="Project Number">
    <vt:lpwstr>BR-L1442,BR-O0001</vt:lpwstr>
  </property>
  <property fmtid="{D5CDD505-2E9C-101B-9397-08002B2CF9AE}" pid="13" name="From:">
    <vt:lpwstr/>
  </property>
  <property fmtid="{D5CDD505-2E9C-101B-9397-08002B2CF9AE}" pid="14" name="To:">
    <vt:lpwstr/>
  </property>
  <property fmtid="{D5CDD505-2E9C-101B-9397-08002B2CF9AE}" pid="15" name="Identifier">
    <vt:lpwstr> TECFILE</vt:lpwstr>
  </property>
  <property fmtid="{D5CDD505-2E9C-101B-9397-08002B2CF9AE}" pid="16" name="Project Document Type">
    <vt:lpwstr/>
  </property>
  <property fmtid="{D5CDD505-2E9C-101B-9397-08002B2CF9AE}" pid="17" name="IDBDocs Number">
    <vt:lpwstr>40649535</vt:lpwstr>
  </property>
  <property fmtid="{D5CDD505-2E9C-101B-9397-08002B2CF9AE}" pid="18" name="Migration Info">
    <vt:lpwstr>&lt;Data&gt;&lt;APPLICATION&gt;MS WORD&lt;/APPLICATION&gt;&lt;USER_STAGE&gt;Loan Proposal&lt;/USER_STAGE&gt;&lt;APPROVAL_CODE&gt;CG&lt;/APPROVAL_CODE&gt;&lt;APPROVAL_DESC&gt;Committee of the Whole&lt;/APPROVAL_DESC&gt;&lt;PD_OBJ_TYPE&gt;0&lt;/PD_OBJ_TYPE&gt;&lt;DTAPPROVAL&gt;Dec 12 2016 12:00AM&lt;/DTAPPROVAL&gt;&lt;MAKERECORD&gt;N&lt;/MAKE</vt:lpwstr>
  </property>
  <property fmtid="{D5CDD505-2E9C-101B-9397-08002B2CF9AE}" pid="19" name="Document Author">
    <vt:lpwstr>Netto de A. C. Schneider, Maria E.</vt:lpwstr>
  </property>
  <property fmtid="{D5CDD505-2E9C-101B-9397-08002B2CF9AE}" pid="20" name="Approval Number">
    <vt:lpwstr/>
  </property>
  <property fmtid="{D5CDD505-2E9C-101B-9397-08002B2CF9AE}" pid="21" name="Document Language IDB">
    <vt:lpwstr>Spanish</vt:lpwstr>
  </property>
  <property fmtid="{D5CDD505-2E9C-101B-9397-08002B2CF9AE}" pid="22" name="Fiscal Year IDB">
    <vt:lpwstr>2016</vt:lpwstr>
  </property>
  <property fmtid="{D5CDD505-2E9C-101B-9397-08002B2CF9AE}" pid="23" name="Disclosure Activity">
    <vt:lpwstr>Loan Proposal</vt:lpwstr>
  </property>
  <property fmtid="{D5CDD505-2E9C-101B-9397-08002B2CF9AE}" pid="24" name="c456731dbc904a5fb605ec556c33e883">
    <vt:lpwstr/>
  </property>
  <property fmtid="{D5CDD505-2E9C-101B-9397-08002B2CF9AE}" pid="25" name="Phase">
    <vt:lpwstr/>
  </property>
  <property fmtid="{D5CDD505-2E9C-101B-9397-08002B2CF9AE}" pid="26" name="SISCOR Number">
    <vt:lpwstr/>
  </property>
  <property fmtid="{D5CDD505-2E9C-101B-9397-08002B2CF9AE}" pid="27" name="o5138a91267540169645e33d09c9ddc6">
    <vt:lpwstr/>
  </property>
  <property fmtid="{D5CDD505-2E9C-101B-9397-08002B2CF9AE}" pid="28" name="e559ffcc31d34167856647188be35015">
    <vt:lpwstr/>
  </property>
  <property fmtid="{D5CDD505-2E9C-101B-9397-08002B2CF9AE}" pid="29" name="fd0e48b6a66848a9885f717e5bbf40c4">
    <vt:lpwstr/>
  </property>
  <property fmtid="{D5CDD505-2E9C-101B-9397-08002B2CF9AE}" pid="30" name="Package Code">
    <vt:lpwstr/>
  </property>
  <property fmtid="{D5CDD505-2E9C-101B-9397-08002B2CF9AE}" pid="31" name="m555d3814edf4817b4410a4e57f94ce9">
    <vt:lpwstr/>
  </property>
  <property fmtid="{D5CDD505-2E9C-101B-9397-08002B2CF9AE}" pid="32" name="Key Document">
    <vt:lpwstr>0</vt:lpwstr>
  </property>
  <property fmtid="{D5CDD505-2E9C-101B-9397-08002B2CF9AE}" pid="33" name="j8b96605ee2f4c4e988849e658583fee">
    <vt:lpwstr/>
  </property>
  <property fmtid="{D5CDD505-2E9C-101B-9397-08002B2CF9AE}" pid="34" name="Operation Type">
    <vt:lpwstr/>
  </property>
  <property fmtid="{D5CDD505-2E9C-101B-9397-08002B2CF9AE}" pid="36" name="Series Operations IDB">
    <vt:lpwstr/>
  </property>
  <property fmtid="{D5CDD505-2E9C-101B-9397-08002B2CF9AE}" pid="37" name="Sub-Sector">
    <vt:lpwstr>35;#URBAN TRANSPORT INFRASTRUCTURE|302c5209-7a48-49db-8198-938a46f0cd26</vt:lpwstr>
  </property>
  <property fmtid="{D5CDD505-2E9C-101B-9397-08002B2CF9AE}" pid="38" name="Fund IDB">
    <vt:lpwstr>278;#TBD|d62f6e05-3e80-4abd-9bb4-5f10b4906ff6</vt:lpwstr>
  </property>
  <property fmtid="{D5CDD505-2E9C-101B-9397-08002B2CF9AE}" pid="39" name="Country">
    <vt:lpwstr>30;#Brazil|7deb27ec-6837-4974-9aa8-6cfbac841ef8</vt:lpwstr>
  </property>
  <property fmtid="{D5CDD505-2E9C-101B-9397-08002B2CF9AE}" pid="40" name="Sector IDB">
    <vt:lpwstr>34;#TRANSPORT|5a25d1a8-4baf-41a8-9e3b-e167accda6ea</vt:lpwstr>
  </property>
  <property fmtid="{D5CDD505-2E9C-101B-9397-08002B2CF9AE}" pid="41" name="Function Operations IDB">
    <vt:lpwstr>1;#Project Preparation, Planning and Design|29ca0c72-1fc4-435f-a09c-28585cb5eac9</vt:lpwstr>
  </property>
  <property fmtid="{D5CDD505-2E9C-101B-9397-08002B2CF9AE}" pid="42" name="_dlc_DocIdItemGuid">
    <vt:lpwstr>246f7805-9327-47a6-aab0-238f5fa798b7</vt:lpwstr>
  </property>
  <property fmtid="{D5CDD505-2E9C-101B-9397-08002B2CF9AE}" pid="45" name="ContentTypeId">
    <vt:lpwstr>0x010100ACF722E9F6B0B149B0CD8BE2560A667200733CCADFF9B9794089D40211BFEC1D52</vt:lpwstr>
  </property>
  <property fmtid="{D5CDD505-2E9C-101B-9397-08002B2CF9AE}" pid="47" name="Disclosed">
    <vt:bool>true</vt:bool>
  </property>
</Properties>
</file>