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881" w:rsidRPr="000608EA" w:rsidRDefault="000608EA" w:rsidP="00812BFF">
      <w:pPr>
        <w:jc w:val="center"/>
        <w:rPr>
          <w:rFonts w:ascii="Arial" w:hAnsi="Arial" w:cs="Arial"/>
          <w:b/>
          <w:smallCaps/>
          <w:lang w:val="pt-BR"/>
        </w:rPr>
      </w:pPr>
      <w:r w:rsidRPr="000608EA">
        <w:rPr>
          <w:rFonts w:ascii="Arial" w:hAnsi="Arial" w:cs="Arial"/>
          <w:b/>
          <w:smallCaps/>
          <w:lang w:val="pt-BR"/>
        </w:rPr>
        <w:t xml:space="preserve">Gestão </w:t>
      </w:r>
      <w:r>
        <w:rPr>
          <w:rFonts w:ascii="Arial" w:hAnsi="Arial" w:cs="Arial"/>
          <w:b/>
          <w:smallCaps/>
          <w:lang w:val="pt-BR"/>
        </w:rPr>
        <w:t>e</w:t>
      </w:r>
      <w:r w:rsidRPr="000608EA">
        <w:rPr>
          <w:rFonts w:ascii="Arial" w:hAnsi="Arial" w:cs="Arial"/>
          <w:b/>
          <w:smallCaps/>
          <w:lang w:val="pt-BR"/>
        </w:rPr>
        <w:t xml:space="preserve"> Controle </w:t>
      </w:r>
      <w:r>
        <w:rPr>
          <w:rFonts w:ascii="Arial" w:hAnsi="Arial" w:cs="Arial"/>
          <w:b/>
          <w:smallCaps/>
          <w:lang w:val="pt-BR"/>
        </w:rPr>
        <w:t>d</w:t>
      </w:r>
      <w:r w:rsidRPr="000608EA">
        <w:rPr>
          <w:rFonts w:ascii="Arial" w:hAnsi="Arial" w:cs="Arial"/>
          <w:b/>
          <w:smallCaps/>
          <w:lang w:val="pt-BR"/>
        </w:rPr>
        <w:t xml:space="preserve">e Riscos </w:t>
      </w:r>
      <w:r>
        <w:rPr>
          <w:rFonts w:ascii="Arial" w:hAnsi="Arial" w:cs="Arial"/>
          <w:b/>
          <w:smallCaps/>
          <w:lang w:val="pt-BR"/>
        </w:rPr>
        <w:t>e</w:t>
      </w:r>
      <w:r w:rsidRPr="000608EA">
        <w:rPr>
          <w:rFonts w:ascii="Arial" w:hAnsi="Arial" w:cs="Arial"/>
          <w:b/>
          <w:smallCaps/>
          <w:lang w:val="pt-BR"/>
        </w:rPr>
        <w:t xml:space="preserve">m Operações Indiretas </w:t>
      </w:r>
      <w:r>
        <w:rPr>
          <w:rFonts w:ascii="Arial" w:hAnsi="Arial" w:cs="Arial"/>
          <w:b/>
          <w:smallCaps/>
          <w:lang w:val="pt-BR"/>
        </w:rPr>
        <w:t>n</w:t>
      </w:r>
      <w:r w:rsidRPr="000608EA">
        <w:rPr>
          <w:rFonts w:ascii="Arial" w:hAnsi="Arial" w:cs="Arial"/>
          <w:b/>
          <w:smallCaps/>
          <w:lang w:val="pt-BR"/>
        </w:rPr>
        <w:t>o B</w:t>
      </w:r>
      <w:r>
        <w:rPr>
          <w:rFonts w:ascii="Arial" w:hAnsi="Arial" w:cs="Arial"/>
          <w:b/>
          <w:smallCaps/>
          <w:lang w:val="pt-BR"/>
        </w:rPr>
        <w:t>NDES</w:t>
      </w:r>
    </w:p>
    <w:p w:rsidR="001242C8" w:rsidRPr="000608EA" w:rsidRDefault="001242C8" w:rsidP="00812BFF">
      <w:pPr>
        <w:jc w:val="center"/>
        <w:rPr>
          <w:rFonts w:ascii="Arial" w:hAnsi="Arial" w:cs="Arial"/>
          <w:b/>
          <w:lang w:val="pt-BR"/>
        </w:rPr>
      </w:pPr>
    </w:p>
    <w:p w:rsidR="00812BFF" w:rsidRPr="000608EA" w:rsidRDefault="00812BFF" w:rsidP="00812BFF">
      <w:pPr>
        <w:rPr>
          <w:rFonts w:ascii="Arial" w:hAnsi="Arial" w:cs="Arial"/>
          <w:lang w:val="pt-BR"/>
        </w:rPr>
        <w:sectPr w:rsidR="00812BFF" w:rsidRPr="000608EA">
          <w:head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57A03" w:rsidRPr="000608EA" w:rsidRDefault="000608EA" w:rsidP="006C4834">
      <w:pPr>
        <w:pStyle w:val="Chapter"/>
        <w:rPr>
          <w:rFonts w:ascii="Arial" w:hAnsi="Arial" w:cs="Arial"/>
          <w:sz w:val="22"/>
        </w:rPr>
      </w:pPr>
      <w:proofErr w:type="spellStart"/>
      <w:r w:rsidRPr="000608EA">
        <w:rPr>
          <w:rFonts w:ascii="Arial" w:hAnsi="Arial" w:cs="Arial"/>
          <w:sz w:val="22"/>
        </w:rPr>
        <w:lastRenderedPageBreak/>
        <w:t>Antecedentes</w:t>
      </w:r>
      <w:proofErr w:type="spellEnd"/>
    </w:p>
    <w:p w:rsidR="001242C8" w:rsidRPr="000608EA" w:rsidRDefault="001242C8" w:rsidP="001242C8">
      <w:pPr>
        <w:rPr>
          <w:rFonts w:ascii="Arial" w:hAnsi="Arial" w:cs="Arial"/>
        </w:rPr>
      </w:pPr>
    </w:p>
    <w:p w:rsidR="00041142" w:rsidRPr="000608EA" w:rsidRDefault="00A57A03" w:rsidP="00086DF2">
      <w:pPr>
        <w:pStyle w:val="Paragraph"/>
        <w:tabs>
          <w:tab w:val="clear" w:pos="2448"/>
          <w:tab w:val="num" w:pos="720"/>
        </w:tabs>
        <w:ind w:left="720" w:hanging="720"/>
        <w:rPr>
          <w:rFonts w:ascii="Arial" w:hAnsi="Arial" w:cs="Arial"/>
          <w:sz w:val="22"/>
          <w:lang w:val="pt-BR"/>
        </w:rPr>
      </w:pPr>
      <w:r w:rsidRPr="000608EA">
        <w:rPr>
          <w:rFonts w:ascii="Arial" w:hAnsi="Arial" w:cs="Arial"/>
          <w:sz w:val="22"/>
          <w:lang w:val="pt-BR"/>
        </w:rPr>
        <w:t xml:space="preserve">Este Anexo </w:t>
      </w:r>
      <w:r w:rsidR="00041142" w:rsidRPr="000608EA">
        <w:rPr>
          <w:rFonts w:ascii="Arial" w:hAnsi="Arial" w:cs="Arial"/>
          <w:sz w:val="22"/>
          <w:lang w:val="pt-BR"/>
        </w:rPr>
        <w:t>a</w:t>
      </w:r>
      <w:r w:rsidRPr="000608EA">
        <w:rPr>
          <w:rFonts w:ascii="Arial" w:hAnsi="Arial" w:cs="Arial"/>
          <w:sz w:val="22"/>
          <w:lang w:val="pt-BR"/>
        </w:rPr>
        <w:t>presenta u</w:t>
      </w:r>
      <w:r w:rsidR="00041142" w:rsidRPr="000608EA">
        <w:rPr>
          <w:rFonts w:ascii="Arial" w:hAnsi="Arial" w:cs="Arial"/>
          <w:sz w:val="22"/>
          <w:lang w:val="pt-BR"/>
        </w:rPr>
        <w:t>ma</w:t>
      </w:r>
      <w:r w:rsidRPr="000608EA">
        <w:rPr>
          <w:rFonts w:ascii="Arial" w:hAnsi="Arial" w:cs="Arial"/>
          <w:sz w:val="22"/>
          <w:lang w:val="pt-BR"/>
        </w:rPr>
        <w:t xml:space="preserve"> breve anális</w:t>
      </w:r>
      <w:r w:rsidR="00041142" w:rsidRPr="000608EA">
        <w:rPr>
          <w:rFonts w:ascii="Arial" w:hAnsi="Arial" w:cs="Arial"/>
          <w:sz w:val="22"/>
          <w:lang w:val="pt-BR"/>
        </w:rPr>
        <w:t>e</w:t>
      </w:r>
      <w:r w:rsidRPr="000608EA">
        <w:rPr>
          <w:rFonts w:ascii="Arial" w:hAnsi="Arial" w:cs="Arial"/>
          <w:sz w:val="22"/>
          <w:lang w:val="pt-BR"/>
        </w:rPr>
        <w:t xml:space="preserve"> dos elementos </w:t>
      </w:r>
      <w:r w:rsidR="00041142" w:rsidRPr="000608EA">
        <w:rPr>
          <w:rFonts w:ascii="Arial" w:hAnsi="Arial" w:cs="Arial"/>
          <w:sz w:val="22"/>
          <w:lang w:val="pt-BR"/>
        </w:rPr>
        <w:t>e</w:t>
      </w:r>
      <w:r w:rsidRPr="000608EA">
        <w:rPr>
          <w:rFonts w:ascii="Arial" w:hAnsi="Arial" w:cs="Arial"/>
          <w:sz w:val="22"/>
          <w:lang w:val="pt-BR"/>
        </w:rPr>
        <w:t xml:space="preserve"> etapas para a gest</w:t>
      </w:r>
      <w:r w:rsidR="00041142" w:rsidRPr="000608EA">
        <w:rPr>
          <w:rFonts w:ascii="Arial" w:hAnsi="Arial" w:cs="Arial"/>
          <w:sz w:val="22"/>
          <w:lang w:val="pt-BR"/>
        </w:rPr>
        <w:t xml:space="preserve">ão de riscos de crédito em operações realizadas pelo BNDES </w:t>
      </w:r>
      <w:r w:rsidRPr="000608EA">
        <w:rPr>
          <w:rFonts w:ascii="Arial" w:hAnsi="Arial" w:cs="Arial"/>
          <w:sz w:val="22"/>
          <w:lang w:val="pt-BR"/>
        </w:rPr>
        <w:t>a</w:t>
      </w:r>
      <w:r w:rsidR="00474EDB">
        <w:rPr>
          <w:rFonts w:ascii="Arial" w:hAnsi="Arial" w:cs="Arial"/>
          <w:sz w:val="22"/>
          <w:lang w:val="pt-BR"/>
        </w:rPr>
        <w:t>través de</w:t>
      </w:r>
      <w:r w:rsidRPr="000608EA">
        <w:rPr>
          <w:rFonts w:ascii="Arial" w:hAnsi="Arial" w:cs="Arial"/>
          <w:sz w:val="22"/>
          <w:lang w:val="pt-BR"/>
        </w:rPr>
        <w:t xml:space="preserve"> </w:t>
      </w:r>
      <w:r w:rsidR="00041142" w:rsidRPr="000608EA">
        <w:rPr>
          <w:rFonts w:ascii="Arial" w:hAnsi="Arial" w:cs="Arial"/>
          <w:sz w:val="22"/>
          <w:lang w:val="pt-BR"/>
        </w:rPr>
        <w:t>instituições financ</w:t>
      </w:r>
      <w:r w:rsidRPr="000608EA">
        <w:rPr>
          <w:rFonts w:ascii="Arial" w:hAnsi="Arial" w:cs="Arial"/>
          <w:sz w:val="22"/>
          <w:lang w:val="pt-BR"/>
        </w:rPr>
        <w:t>e</w:t>
      </w:r>
      <w:r w:rsidR="00041142" w:rsidRPr="000608EA">
        <w:rPr>
          <w:rFonts w:ascii="Arial" w:hAnsi="Arial" w:cs="Arial"/>
          <w:sz w:val="22"/>
          <w:lang w:val="pt-BR"/>
        </w:rPr>
        <w:t>i</w:t>
      </w:r>
      <w:r w:rsidRPr="000608EA">
        <w:rPr>
          <w:rFonts w:ascii="Arial" w:hAnsi="Arial" w:cs="Arial"/>
          <w:sz w:val="22"/>
          <w:lang w:val="pt-BR"/>
        </w:rPr>
        <w:t>ras</w:t>
      </w:r>
      <w:r w:rsidR="00041142" w:rsidRPr="000608EA">
        <w:rPr>
          <w:rFonts w:ascii="Arial" w:hAnsi="Arial" w:cs="Arial"/>
          <w:sz w:val="22"/>
          <w:lang w:val="pt-BR"/>
        </w:rPr>
        <w:t xml:space="preserve"> </w:t>
      </w:r>
      <w:r w:rsidR="003F4B98" w:rsidRPr="000608EA">
        <w:rPr>
          <w:rFonts w:ascii="Arial" w:hAnsi="Arial" w:cs="Arial"/>
          <w:sz w:val="22"/>
          <w:lang w:val="pt-BR"/>
        </w:rPr>
        <w:t xml:space="preserve">reguladas </w:t>
      </w:r>
      <w:r w:rsidR="00041142" w:rsidRPr="000608EA">
        <w:rPr>
          <w:rFonts w:ascii="Arial" w:hAnsi="Arial" w:cs="Arial"/>
          <w:sz w:val="22"/>
          <w:lang w:val="pt-BR"/>
        </w:rPr>
        <w:t>pelo Banco Central do Brasil</w:t>
      </w:r>
      <w:r w:rsidRPr="000608EA">
        <w:rPr>
          <w:rFonts w:ascii="Arial" w:hAnsi="Arial" w:cs="Arial"/>
          <w:sz w:val="22"/>
          <w:lang w:val="pt-BR"/>
        </w:rPr>
        <w:t xml:space="preserve"> (</w:t>
      </w:r>
      <w:r w:rsidR="00041142" w:rsidRPr="000608EA">
        <w:rPr>
          <w:rFonts w:ascii="Arial" w:hAnsi="Arial" w:cs="Arial"/>
          <w:sz w:val="22"/>
          <w:lang w:val="pt-BR"/>
        </w:rPr>
        <w:t>BCB</w:t>
      </w:r>
      <w:r w:rsidRPr="000608EA">
        <w:rPr>
          <w:rFonts w:ascii="Arial" w:hAnsi="Arial" w:cs="Arial"/>
          <w:sz w:val="22"/>
          <w:lang w:val="pt-BR"/>
        </w:rPr>
        <w:t>).</w:t>
      </w:r>
      <w:r w:rsidR="00B9395D" w:rsidRPr="000608EA">
        <w:rPr>
          <w:rFonts w:ascii="Arial" w:hAnsi="Arial" w:cs="Arial"/>
          <w:sz w:val="22"/>
          <w:lang w:val="pt-BR"/>
        </w:rPr>
        <w:t xml:space="preserve">  Est</w:t>
      </w:r>
      <w:r w:rsidR="00474EDB">
        <w:rPr>
          <w:rFonts w:ascii="Arial" w:hAnsi="Arial" w:cs="Arial"/>
          <w:sz w:val="22"/>
          <w:lang w:val="pt-BR"/>
        </w:rPr>
        <w:t>a</w:t>
      </w:r>
      <w:r w:rsidR="00B9395D" w:rsidRPr="000608EA">
        <w:rPr>
          <w:rFonts w:ascii="Arial" w:hAnsi="Arial" w:cs="Arial"/>
          <w:sz w:val="22"/>
          <w:lang w:val="pt-BR"/>
        </w:rPr>
        <w:t xml:space="preserve"> prática foi </w:t>
      </w:r>
      <w:proofErr w:type="gramStart"/>
      <w:r w:rsidR="00B9395D" w:rsidRPr="000608EA">
        <w:rPr>
          <w:rFonts w:ascii="Arial" w:hAnsi="Arial" w:cs="Arial"/>
          <w:sz w:val="22"/>
          <w:lang w:val="pt-BR"/>
        </w:rPr>
        <w:t>implement</w:t>
      </w:r>
      <w:r w:rsidR="00460FC3" w:rsidRPr="000608EA">
        <w:rPr>
          <w:rFonts w:ascii="Arial" w:hAnsi="Arial" w:cs="Arial"/>
          <w:sz w:val="22"/>
          <w:lang w:val="pt-BR"/>
        </w:rPr>
        <w:t>ada</w:t>
      </w:r>
      <w:proofErr w:type="gramEnd"/>
      <w:r w:rsidR="00460FC3" w:rsidRPr="000608EA">
        <w:rPr>
          <w:rFonts w:ascii="Arial" w:hAnsi="Arial" w:cs="Arial"/>
          <w:sz w:val="22"/>
          <w:lang w:val="pt-BR"/>
        </w:rPr>
        <w:t xml:space="preserve"> no ano de 1964, quando o Banco passava </w:t>
      </w:r>
      <w:r w:rsidR="00474EDB">
        <w:rPr>
          <w:rFonts w:ascii="Arial" w:hAnsi="Arial" w:cs="Arial"/>
          <w:sz w:val="22"/>
          <w:lang w:val="pt-BR"/>
        </w:rPr>
        <w:t xml:space="preserve">a </w:t>
      </w:r>
      <w:r w:rsidR="00460FC3" w:rsidRPr="000608EA">
        <w:rPr>
          <w:rFonts w:ascii="Arial" w:hAnsi="Arial" w:cs="Arial"/>
          <w:sz w:val="22"/>
          <w:lang w:val="pt-BR"/>
        </w:rPr>
        <w:t xml:space="preserve">descentralizar </w:t>
      </w:r>
      <w:r w:rsidR="00474EDB">
        <w:rPr>
          <w:rFonts w:ascii="Arial" w:hAnsi="Arial" w:cs="Arial"/>
          <w:sz w:val="22"/>
          <w:lang w:val="pt-BR"/>
        </w:rPr>
        <w:t xml:space="preserve">parte de </w:t>
      </w:r>
      <w:r w:rsidR="00460FC3" w:rsidRPr="000608EA">
        <w:rPr>
          <w:rFonts w:ascii="Arial" w:hAnsi="Arial" w:cs="Arial"/>
          <w:sz w:val="22"/>
          <w:lang w:val="pt-BR"/>
        </w:rPr>
        <w:t>suas operações, operando em parceria com uma rede de agentes financeiros credenciados espalhados por todo o Brasil</w:t>
      </w:r>
      <w:r w:rsidR="00460FC3" w:rsidRPr="000608EA">
        <w:rPr>
          <w:rFonts w:ascii="Arial" w:hAnsi="Arial" w:cs="Arial"/>
          <w:sz w:val="22"/>
          <w:vertAlign w:val="superscript"/>
        </w:rPr>
        <w:footnoteReference w:id="1"/>
      </w:r>
      <w:r w:rsidR="00460FC3" w:rsidRPr="000608EA">
        <w:rPr>
          <w:rFonts w:ascii="Arial" w:hAnsi="Arial" w:cs="Arial"/>
          <w:sz w:val="22"/>
          <w:lang w:val="pt-BR"/>
        </w:rPr>
        <w:t xml:space="preserve">. </w:t>
      </w:r>
      <w:r w:rsidR="00B9395D" w:rsidRPr="000608EA">
        <w:rPr>
          <w:rFonts w:ascii="Arial" w:hAnsi="Arial" w:cs="Arial"/>
          <w:sz w:val="22"/>
          <w:lang w:val="pt-BR"/>
        </w:rPr>
        <w:t xml:space="preserve"> </w:t>
      </w:r>
    </w:p>
    <w:p w:rsidR="00B61790" w:rsidRPr="000608EA" w:rsidRDefault="00B61790" w:rsidP="00086DF2">
      <w:pPr>
        <w:pStyle w:val="Paragraph"/>
        <w:tabs>
          <w:tab w:val="clear" w:pos="2448"/>
          <w:tab w:val="num" w:pos="720"/>
        </w:tabs>
        <w:ind w:left="720" w:hanging="720"/>
        <w:rPr>
          <w:rFonts w:ascii="Arial" w:hAnsi="Arial" w:cs="Arial"/>
          <w:sz w:val="22"/>
          <w:lang w:val="pt-BR"/>
        </w:rPr>
      </w:pPr>
      <w:r w:rsidRPr="000608EA">
        <w:rPr>
          <w:rFonts w:ascii="Arial" w:hAnsi="Arial" w:cs="Arial"/>
          <w:sz w:val="22"/>
          <w:lang w:val="pt-BR"/>
        </w:rPr>
        <w:t xml:space="preserve">O marco institucional do BNDES sobre Gestão de Riscos e Controle Interno, assim como os papéis e responsabilidades do corpo profissional do BNDES, </w:t>
      </w:r>
      <w:proofErr w:type="gramStart"/>
      <w:r w:rsidRPr="000608EA">
        <w:rPr>
          <w:rFonts w:ascii="Arial" w:hAnsi="Arial" w:cs="Arial"/>
          <w:sz w:val="22"/>
          <w:lang w:val="pt-BR"/>
        </w:rPr>
        <w:t>estão</w:t>
      </w:r>
      <w:proofErr w:type="gramEnd"/>
      <w:r w:rsidRPr="000608EA">
        <w:rPr>
          <w:rFonts w:ascii="Arial" w:hAnsi="Arial" w:cs="Arial"/>
          <w:sz w:val="22"/>
          <w:lang w:val="pt-BR"/>
        </w:rPr>
        <w:t xml:space="preserve"> formalizados e disponibilizados para todos seus funcionários por meio de seis Políticas Corporativas, quais</w:t>
      </w:r>
      <w:r w:rsidR="00474EDB">
        <w:rPr>
          <w:rFonts w:ascii="Arial" w:hAnsi="Arial" w:cs="Arial"/>
          <w:sz w:val="22"/>
          <w:lang w:val="pt-BR"/>
        </w:rPr>
        <w:t xml:space="preserve"> sejam</w:t>
      </w:r>
      <w:r w:rsidRPr="000608EA">
        <w:rPr>
          <w:rFonts w:ascii="Arial" w:hAnsi="Arial" w:cs="Arial"/>
          <w:sz w:val="22"/>
          <w:lang w:val="pt-BR"/>
        </w:rPr>
        <w:t>: (i) Gestão de Risco de Crédito; (</w:t>
      </w:r>
      <w:proofErr w:type="spellStart"/>
      <w:r w:rsidRPr="000608EA">
        <w:rPr>
          <w:rFonts w:ascii="Arial" w:hAnsi="Arial" w:cs="Arial"/>
          <w:sz w:val="22"/>
          <w:lang w:val="pt-BR"/>
        </w:rPr>
        <w:t>ii</w:t>
      </w:r>
      <w:proofErr w:type="spellEnd"/>
      <w:r w:rsidRPr="000608EA">
        <w:rPr>
          <w:rFonts w:ascii="Arial" w:hAnsi="Arial" w:cs="Arial"/>
          <w:sz w:val="22"/>
          <w:lang w:val="pt-BR"/>
        </w:rPr>
        <w:t>) Gestão de Risco Operacional; (</w:t>
      </w:r>
      <w:proofErr w:type="spellStart"/>
      <w:r w:rsidRPr="000608EA">
        <w:rPr>
          <w:rFonts w:ascii="Arial" w:hAnsi="Arial" w:cs="Arial"/>
          <w:sz w:val="22"/>
          <w:lang w:val="pt-BR"/>
        </w:rPr>
        <w:t>iii</w:t>
      </w:r>
      <w:proofErr w:type="spellEnd"/>
      <w:r w:rsidRPr="000608EA">
        <w:rPr>
          <w:rFonts w:ascii="Arial" w:hAnsi="Arial" w:cs="Arial"/>
          <w:sz w:val="22"/>
          <w:lang w:val="pt-BR"/>
        </w:rPr>
        <w:t>) Controles Internos; (</w:t>
      </w:r>
      <w:proofErr w:type="spellStart"/>
      <w:r w:rsidRPr="000608EA">
        <w:rPr>
          <w:rFonts w:ascii="Arial" w:hAnsi="Arial" w:cs="Arial"/>
          <w:sz w:val="22"/>
          <w:lang w:val="pt-BR"/>
        </w:rPr>
        <w:t>iv</w:t>
      </w:r>
      <w:proofErr w:type="spellEnd"/>
      <w:r w:rsidRPr="000608EA">
        <w:rPr>
          <w:rFonts w:ascii="Arial" w:hAnsi="Arial" w:cs="Arial"/>
          <w:sz w:val="22"/>
          <w:lang w:val="pt-BR"/>
        </w:rPr>
        <w:t>) Gestão de Risco de Mercado e Liquidez; (v) Gestão de Continuidade nos Negócios; e (vi) Gerenciamento de Capital. Para fins deste documento as normas que serão analisadas estão constituídas no âmbito das duas primeiras políticas.</w:t>
      </w:r>
    </w:p>
    <w:p w:rsidR="00B61790" w:rsidRPr="000608EA" w:rsidRDefault="00B61790" w:rsidP="00B61790">
      <w:pPr>
        <w:pStyle w:val="Paragraph"/>
        <w:tabs>
          <w:tab w:val="clear" w:pos="2448"/>
          <w:tab w:val="num" w:pos="720"/>
        </w:tabs>
        <w:ind w:left="720" w:hanging="720"/>
        <w:rPr>
          <w:rFonts w:ascii="Arial" w:hAnsi="Arial" w:cs="Arial"/>
          <w:sz w:val="22"/>
          <w:lang w:val="pt-BR"/>
        </w:rPr>
      </w:pPr>
      <w:r w:rsidRPr="000608EA">
        <w:rPr>
          <w:rFonts w:ascii="Arial" w:hAnsi="Arial" w:cs="Arial"/>
          <w:sz w:val="22"/>
          <w:lang w:val="pt-BR"/>
        </w:rPr>
        <w:t xml:space="preserve">Por sua vez, o BNDES entende que a existência de um adequado gerenciamento de riscos e eficaz sistema de controle interno é essencial para o cumprimento de sua missão, em conformidade com os normativos internos, externos e com os objetivos estabelecidos pela Alta Administração. Dentre os riscos aos </w:t>
      </w:r>
      <w:proofErr w:type="gramStart"/>
      <w:r w:rsidRPr="000608EA">
        <w:rPr>
          <w:rFonts w:ascii="Arial" w:hAnsi="Arial" w:cs="Arial"/>
          <w:sz w:val="22"/>
          <w:lang w:val="pt-BR"/>
        </w:rPr>
        <w:t>quais a</w:t>
      </w:r>
      <w:proofErr w:type="gramEnd"/>
      <w:r w:rsidRPr="000608EA">
        <w:rPr>
          <w:rFonts w:ascii="Arial" w:hAnsi="Arial" w:cs="Arial"/>
          <w:sz w:val="22"/>
          <w:lang w:val="pt-BR"/>
        </w:rPr>
        <w:t xml:space="preserve"> Instituição está exposta, destacam-se os riscos de crédito, mercado, liquidez e operacional, cujo gerenciamento envolve diversas unidades da Instituição. O processo de controle interno </w:t>
      </w:r>
      <w:proofErr w:type="gramStart"/>
      <w:r w:rsidRPr="000608EA">
        <w:rPr>
          <w:rFonts w:ascii="Arial" w:hAnsi="Arial" w:cs="Arial"/>
          <w:sz w:val="22"/>
          <w:lang w:val="pt-BR"/>
        </w:rPr>
        <w:t>contribui</w:t>
      </w:r>
      <w:proofErr w:type="gramEnd"/>
      <w:r w:rsidRPr="000608EA">
        <w:rPr>
          <w:rFonts w:ascii="Arial" w:hAnsi="Arial" w:cs="Arial"/>
          <w:sz w:val="22"/>
          <w:lang w:val="pt-BR"/>
        </w:rPr>
        <w:t xml:space="preserve"> para assegurar a existência de co</w:t>
      </w:r>
      <w:r w:rsidR="00086DF2" w:rsidRPr="000608EA">
        <w:rPr>
          <w:rFonts w:ascii="Arial" w:hAnsi="Arial" w:cs="Arial"/>
          <w:sz w:val="22"/>
          <w:lang w:val="pt-BR"/>
        </w:rPr>
        <w:t>ntroles adequados a tais riscos.</w:t>
      </w:r>
    </w:p>
    <w:p w:rsidR="00B61790" w:rsidRPr="000608EA" w:rsidRDefault="00086DF2" w:rsidP="00086DF2">
      <w:pPr>
        <w:pStyle w:val="Paragraph"/>
        <w:tabs>
          <w:tab w:val="clear" w:pos="2448"/>
          <w:tab w:val="num" w:pos="720"/>
        </w:tabs>
        <w:ind w:left="720" w:hanging="720"/>
        <w:rPr>
          <w:rFonts w:ascii="Arial" w:hAnsi="Arial" w:cs="Arial"/>
          <w:sz w:val="22"/>
          <w:lang w:val="pt-BR"/>
        </w:rPr>
      </w:pPr>
      <w:r w:rsidRPr="000608EA">
        <w:rPr>
          <w:rFonts w:ascii="Arial" w:hAnsi="Arial" w:cs="Arial"/>
          <w:sz w:val="22"/>
          <w:lang w:val="pt-BR"/>
        </w:rPr>
        <w:t>O suporte à operacionalização destas políticas se dá pela e</w:t>
      </w:r>
      <w:r w:rsidR="00B61790" w:rsidRPr="000608EA">
        <w:rPr>
          <w:rFonts w:ascii="Arial" w:hAnsi="Arial" w:cs="Arial"/>
          <w:sz w:val="22"/>
          <w:lang w:val="pt-BR"/>
        </w:rPr>
        <w:t>stru</w:t>
      </w:r>
      <w:r w:rsidRPr="000608EA">
        <w:rPr>
          <w:rFonts w:ascii="Arial" w:hAnsi="Arial" w:cs="Arial"/>
          <w:sz w:val="22"/>
          <w:lang w:val="pt-BR"/>
        </w:rPr>
        <w:t>tura de governança de riscos e controle interno do BNDES, de</w:t>
      </w:r>
      <w:r w:rsidR="00B61790" w:rsidRPr="000608EA">
        <w:rPr>
          <w:rFonts w:ascii="Arial" w:hAnsi="Arial" w:cs="Arial"/>
          <w:sz w:val="22"/>
          <w:lang w:val="pt-BR"/>
        </w:rPr>
        <w:t xml:space="preserve"> natureza transversal, compreende diversas unidades e instâncias da instituição, com destaque para: o </w:t>
      </w:r>
      <w:hyperlink r:id="rId10" w:anchor="01" w:history="1">
        <w:r w:rsidR="00B61790" w:rsidRPr="000608EA">
          <w:rPr>
            <w:rFonts w:ascii="Arial" w:hAnsi="Arial" w:cs="Arial"/>
            <w:sz w:val="22"/>
            <w:lang w:val="pt-BR"/>
          </w:rPr>
          <w:t>Conselho de Administração</w:t>
        </w:r>
      </w:hyperlink>
      <w:r w:rsidR="00B61790" w:rsidRPr="000608EA">
        <w:rPr>
          <w:rFonts w:ascii="Arial" w:hAnsi="Arial" w:cs="Arial"/>
          <w:sz w:val="22"/>
          <w:lang w:val="pt-BR"/>
        </w:rPr>
        <w:t xml:space="preserve">; a </w:t>
      </w:r>
      <w:hyperlink r:id="rId11" w:anchor="04" w:history="1">
        <w:r w:rsidR="00B61790" w:rsidRPr="000608EA">
          <w:rPr>
            <w:rFonts w:ascii="Arial" w:hAnsi="Arial" w:cs="Arial"/>
            <w:sz w:val="22"/>
            <w:lang w:val="pt-BR"/>
          </w:rPr>
          <w:t>Diretoria</w:t>
        </w:r>
      </w:hyperlink>
      <w:r w:rsidR="00B61790" w:rsidRPr="000608EA">
        <w:rPr>
          <w:rFonts w:ascii="Arial" w:hAnsi="Arial" w:cs="Arial"/>
          <w:sz w:val="22"/>
          <w:lang w:val="pt-BR"/>
        </w:rPr>
        <w:t xml:space="preserve">; o </w:t>
      </w:r>
      <w:hyperlink r:id="rId12" w:anchor="03" w:history="1">
        <w:r w:rsidR="00B61790" w:rsidRPr="000608EA">
          <w:rPr>
            <w:rFonts w:ascii="Arial" w:hAnsi="Arial" w:cs="Arial"/>
            <w:sz w:val="22"/>
            <w:lang w:val="pt-BR"/>
          </w:rPr>
          <w:t>Comitê de Auditoria</w:t>
        </w:r>
      </w:hyperlink>
      <w:r w:rsidR="00B61790" w:rsidRPr="000608EA">
        <w:rPr>
          <w:rFonts w:ascii="Arial" w:hAnsi="Arial" w:cs="Arial"/>
          <w:sz w:val="22"/>
          <w:lang w:val="pt-BR"/>
        </w:rPr>
        <w:t xml:space="preserve">; os </w:t>
      </w:r>
      <w:hyperlink r:id="rId13" w:anchor="08" w:history="1">
        <w:r w:rsidR="00B61790" w:rsidRPr="000608EA">
          <w:rPr>
            <w:rFonts w:ascii="Arial" w:hAnsi="Arial" w:cs="Arial"/>
            <w:sz w:val="22"/>
            <w:lang w:val="pt-BR"/>
          </w:rPr>
          <w:t>Colegiados de Gestão de Riscos</w:t>
        </w:r>
      </w:hyperlink>
      <w:r w:rsidR="00B61790" w:rsidRPr="000608EA">
        <w:rPr>
          <w:rFonts w:ascii="Arial" w:hAnsi="Arial" w:cs="Arial"/>
          <w:sz w:val="22"/>
          <w:lang w:val="pt-BR"/>
        </w:rPr>
        <w:t xml:space="preserve">; a Área de Gestão de Riscos (AGR); a Área de Crédito (AC); a Área Financeira (AF); a Auditoria Interna (AT); a Gerência de Segurança de Informação (GSEG) e a </w:t>
      </w:r>
      <w:r w:rsidR="00474EDB">
        <w:rPr>
          <w:rFonts w:ascii="Arial" w:hAnsi="Arial" w:cs="Arial"/>
          <w:sz w:val="22"/>
          <w:lang w:val="pt-BR"/>
        </w:rPr>
        <w:t>Área de Controladoria (ACO)</w:t>
      </w:r>
      <w:r w:rsidRPr="000608EA">
        <w:rPr>
          <w:rFonts w:ascii="Arial" w:hAnsi="Arial" w:cs="Arial"/>
          <w:sz w:val="22"/>
          <w:lang w:val="pt-BR"/>
        </w:rPr>
        <w:t>; que integram a estrutura do Banco conforme esquematizado na figura a seguir.</w:t>
      </w:r>
    </w:p>
    <w:p w:rsidR="001242C8" w:rsidRPr="00474EDB" w:rsidRDefault="001242C8" w:rsidP="000608EA">
      <w:pPr>
        <w:rPr>
          <w:lang w:val="pt-BR"/>
        </w:rPr>
      </w:pPr>
    </w:p>
    <w:p w:rsidR="000608EA" w:rsidRPr="00474EDB" w:rsidRDefault="000608EA" w:rsidP="000608EA">
      <w:pPr>
        <w:rPr>
          <w:lang w:val="pt-BR"/>
        </w:rPr>
      </w:pPr>
    </w:p>
    <w:p w:rsidR="000608EA" w:rsidRPr="00474EDB" w:rsidRDefault="000608EA" w:rsidP="000608EA">
      <w:pPr>
        <w:rPr>
          <w:lang w:val="pt-BR"/>
        </w:rPr>
      </w:pPr>
    </w:p>
    <w:p w:rsidR="000608EA" w:rsidRPr="00474EDB" w:rsidRDefault="000608EA" w:rsidP="000608EA">
      <w:pPr>
        <w:rPr>
          <w:lang w:val="pt-BR"/>
        </w:rPr>
      </w:pPr>
    </w:p>
    <w:p w:rsidR="00086DF2" w:rsidRPr="000608EA" w:rsidRDefault="001242C8" w:rsidP="001242C8">
      <w:pPr>
        <w:pStyle w:val="Paragraph"/>
        <w:numPr>
          <w:ilvl w:val="0"/>
          <w:numId w:val="0"/>
        </w:numPr>
        <w:ind w:left="720"/>
        <w:rPr>
          <w:rFonts w:ascii="Arial" w:hAnsi="Arial" w:cs="Arial"/>
          <w:b/>
          <w:sz w:val="22"/>
          <w:lang w:val="pt-BR"/>
        </w:rPr>
      </w:pPr>
      <w:r w:rsidRPr="000608EA">
        <w:rPr>
          <w:rFonts w:ascii="Arial" w:hAnsi="Arial" w:cs="Arial"/>
          <w:b/>
          <w:sz w:val="22"/>
          <w:lang w:val="pt-BR"/>
        </w:rPr>
        <w:lastRenderedPageBreak/>
        <w:t xml:space="preserve">       </w:t>
      </w:r>
      <w:r w:rsidR="00086DF2" w:rsidRPr="000608EA">
        <w:rPr>
          <w:rFonts w:ascii="Arial" w:hAnsi="Arial" w:cs="Arial"/>
          <w:b/>
          <w:sz w:val="22"/>
          <w:lang w:val="pt-BR"/>
        </w:rPr>
        <w:t>FIGURA 1. Organograma da Governança de Risco no BNDES</w:t>
      </w:r>
      <w:r w:rsidR="00C11306">
        <w:rPr>
          <w:rStyle w:val="FootnoteReference"/>
          <w:rFonts w:ascii="Arial" w:hAnsi="Arial" w:cs="Arial"/>
          <w:b/>
          <w:sz w:val="22"/>
          <w:lang w:val="pt-BR"/>
        </w:rPr>
        <w:footnoteReference w:id="2"/>
      </w:r>
    </w:p>
    <w:p w:rsidR="00086DF2" w:rsidRPr="000608EA" w:rsidRDefault="00086DF2" w:rsidP="001242C8">
      <w:pPr>
        <w:pStyle w:val="Paragraph"/>
        <w:numPr>
          <w:ilvl w:val="0"/>
          <w:numId w:val="0"/>
        </w:numPr>
        <w:ind w:left="720" w:hanging="720"/>
        <w:jc w:val="center"/>
        <w:rPr>
          <w:rFonts w:ascii="Arial" w:hAnsi="Arial" w:cs="Arial"/>
          <w:sz w:val="22"/>
          <w:lang w:val="pt-BR"/>
        </w:rPr>
      </w:pPr>
      <w:r w:rsidRPr="000608EA">
        <w:rPr>
          <w:rFonts w:ascii="Arial" w:hAnsi="Arial" w:cs="Arial"/>
          <w:noProof/>
          <w:sz w:val="22"/>
          <w:lang w:val="pt-BR" w:eastAsia="pt-BR"/>
        </w:rPr>
        <w:drawing>
          <wp:inline distT="0" distB="0" distL="0" distR="0" wp14:anchorId="6451DB2D" wp14:editId="335234E6">
            <wp:extent cx="4750385" cy="3006547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752567" cy="3007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1A55" w:rsidRPr="000608EA" w:rsidRDefault="008A07F8" w:rsidP="001242C8">
      <w:pPr>
        <w:pStyle w:val="Paragraph"/>
        <w:tabs>
          <w:tab w:val="clear" w:pos="2448"/>
          <w:tab w:val="num" w:pos="720"/>
        </w:tabs>
        <w:ind w:left="720" w:hanging="720"/>
        <w:rPr>
          <w:rFonts w:ascii="Arial" w:hAnsi="Arial" w:cs="Arial"/>
          <w:sz w:val="22"/>
          <w:lang w:val="pt-BR"/>
        </w:rPr>
      </w:pPr>
      <w:r w:rsidRPr="000608EA">
        <w:rPr>
          <w:rFonts w:ascii="Arial" w:hAnsi="Arial" w:cs="Arial"/>
          <w:sz w:val="22"/>
          <w:lang w:val="pt-BR"/>
        </w:rPr>
        <w:t xml:space="preserve">Considerado que esta operação </w:t>
      </w:r>
      <w:r w:rsidR="002F49A1" w:rsidRPr="000608EA">
        <w:rPr>
          <w:rFonts w:ascii="Arial" w:hAnsi="Arial" w:cs="Arial"/>
          <w:sz w:val="22"/>
          <w:lang w:val="pt-BR"/>
        </w:rPr>
        <w:t>prevê</w:t>
      </w:r>
      <w:r w:rsidRPr="000608EA">
        <w:rPr>
          <w:rFonts w:ascii="Arial" w:hAnsi="Arial" w:cs="Arial"/>
          <w:sz w:val="22"/>
          <w:lang w:val="pt-BR"/>
        </w:rPr>
        <w:t xml:space="preserve"> a possibilidade de </w:t>
      </w:r>
      <w:proofErr w:type="spellStart"/>
      <w:r w:rsidR="00516F3B" w:rsidRPr="000608EA">
        <w:rPr>
          <w:rFonts w:ascii="Arial" w:hAnsi="Arial" w:cs="Arial"/>
          <w:sz w:val="22"/>
          <w:lang w:val="pt-BR"/>
        </w:rPr>
        <w:t>sub</w:t>
      </w:r>
      <w:r w:rsidR="0016239F">
        <w:rPr>
          <w:rFonts w:ascii="Arial" w:hAnsi="Arial" w:cs="Arial"/>
          <w:sz w:val="22"/>
          <w:lang w:val="pt-BR"/>
        </w:rPr>
        <w:t>empréstimos</w:t>
      </w:r>
      <w:proofErr w:type="spellEnd"/>
      <w:r w:rsidR="0016239F">
        <w:rPr>
          <w:rFonts w:ascii="Arial" w:hAnsi="Arial" w:cs="Arial"/>
          <w:sz w:val="22"/>
          <w:lang w:val="pt-BR"/>
        </w:rPr>
        <w:t xml:space="preserve"> </w:t>
      </w:r>
      <w:r w:rsidRPr="000608EA">
        <w:rPr>
          <w:rFonts w:ascii="Arial" w:hAnsi="Arial" w:cs="Arial"/>
          <w:sz w:val="22"/>
          <w:lang w:val="pt-BR"/>
        </w:rPr>
        <w:t>diret</w:t>
      </w:r>
      <w:r w:rsidR="0016239F">
        <w:rPr>
          <w:rFonts w:ascii="Arial" w:hAnsi="Arial" w:cs="Arial"/>
          <w:sz w:val="22"/>
          <w:lang w:val="pt-BR"/>
        </w:rPr>
        <w:t>o</w:t>
      </w:r>
      <w:r w:rsidRPr="000608EA">
        <w:rPr>
          <w:rFonts w:ascii="Arial" w:hAnsi="Arial" w:cs="Arial"/>
          <w:sz w:val="22"/>
          <w:lang w:val="pt-BR"/>
        </w:rPr>
        <w:t>s (primeiro piso), indiret</w:t>
      </w:r>
      <w:r w:rsidR="0016239F">
        <w:rPr>
          <w:rFonts w:ascii="Arial" w:hAnsi="Arial" w:cs="Arial"/>
          <w:sz w:val="22"/>
          <w:lang w:val="pt-BR"/>
        </w:rPr>
        <w:t>o</w:t>
      </w:r>
      <w:r w:rsidRPr="000608EA">
        <w:rPr>
          <w:rFonts w:ascii="Arial" w:hAnsi="Arial" w:cs="Arial"/>
          <w:sz w:val="22"/>
          <w:lang w:val="pt-BR"/>
        </w:rPr>
        <w:t>s (segundo piso) e mist</w:t>
      </w:r>
      <w:r w:rsidR="0016239F">
        <w:rPr>
          <w:rFonts w:ascii="Arial" w:hAnsi="Arial" w:cs="Arial"/>
          <w:sz w:val="22"/>
          <w:lang w:val="pt-BR"/>
        </w:rPr>
        <w:t>o</w:t>
      </w:r>
      <w:r w:rsidRPr="000608EA">
        <w:rPr>
          <w:rFonts w:ascii="Arial" w:hAnsi="Arial" w:cs="Arial"/>
          <w:sz w:val="22"/>
          <w:lang w:val="pt-BR"/>
        </w:rPr>
        <w:t>s</w:t>
      </w:r>
      <w:r w:rsidR="009A1A55" w:rsidRPr="000608EA">
        <w:rPr>
          <w:rFonts w:ascii="Arial" w:hAnsi="Arial" w:cs="Arial"/>
          <w:sz w:val="22"/>
          <w:lang w:val="pt-BR"/>
        </w:rPr>
        <w:t xml:space="preserve">, este anexo cobre de forma sintética os procedimentos de </w:t>
      </w:r>
      <w:r w:rsidR="00C50181" w:rsidRPr="000608EA">
        <w:rPr>
          <w:rFonts w:ascii="Arial" w:hAnsi="Arial" w:cs="Arial"/>
          <w:sz w:val="22"/>
          <w:lang w:val="pt-BR"/>
        </w:rPr>
        <w:t>gest</w:t>
      </w:r>
      <w:r w:rsidR="009A1A55" w:rsidRPr="000608EA">
        <w:rPr>
          <w:rFonts w:ascii="Arial" w:hAnsi="Arial" w:cs="Arial"/>
          <w:sz w:val="22"/>
          <w:lang w:val="pt-BR"/>
        </w:rPr>
        <w:t xml:space="preserve">ão de </w:t>
      </w:r>
      <w:r w:rsidR="00C50181" w:rsidRPr="000608EA">
        <w:rPr>
          <w:rFonts w:ascii="Arial" w:hAnsi="Arial" w:cs="Arial"/>
          <w:sz w:val="22"/>
          <w:lang w:val="pt-BR"/>
        </w:rPr>
        <w:t>ris</w:t>
      </w:r>
      <w:r w:rsidR="009A1A55" w:rsidRPr="000608EA">
        <w:rPr>
          <w:rFonts w:ascii="Arial" w:hAnsi="Arial" w:cs="Arial"/>
          <w:sz w:val="22"/>
          <w:lang w:val="pt-BR"/>
        </w:rPr>
        <w:t>c</w:t>
      </w:r>
      <w:r w:rsidR="00C50181" w:rsidRPr="000608EA">
        <w:rPr>
          <w:rFonts w:ascii="Arial" w:hAnsi="Arial" w:cs="Arial"/>
          <w:sz w:val="22"/>
          <w:lang w:val="pt-BR"/>
        </w:rPr>
        <w:t xml:space="preserve">o relacionados </w:t>
      </w:r>
      <w:r w:rsidR="009A1A55" w:rsidRPr="000608EA">
        <w:rPr>
          <w:rFonts w:ascii="Arial" w:hAnsi="Arial" w:cs="Arial"/>
          <w:sz w:val="22"/>
          <w:lang w:val="pt-BR"/>
        </w:rPr>
        <w:t>à</w:t>
      </w:r>
      <w:r w:rsidR="00C50181" w:rsidRPr="000608EA">
        <w:rPr>
          <w:rFonts w:ascii="Arial" w:hAnsi="Arial" w:cs="Arial"/>
          <w:sz w:val="22"/>
          <w:lang w:val="pt-BR"/>
        </w:rPr>
        <w:t xml:space="preserve"> carte</w:t>
      </w:r>
      <w:r w:rsidR="009A1A55" w:rsidRPr="000608EA">
        <w:rPr>
          <w:rFonts w:ascii="Arial" w:hAnsi="Arial" w:cs="Arial"/>
          <w:sz w:val="22"/>
          <w:lang w:val="pt-BR"/>
        </w:rPr>
        <w:t>i</w:t>
      </w:r>
      <w:r w:rsidR="00C50181" w:rsidRPr="000608EA">
        <w:rPr>
          <w:rFonts w:ascii="Arial" w:hAnsi="Arial" w:cs="Arial"/>
          <w:sz w:val="22"/>
          <w:lang w:val="pt-BR"/>
        </w:rPr>
        <w:t>ra de segundo piso</w:t>
      </w:r>
      <w:r w:rsidR="00A57A03" w:rsidRPr="000608EA">
        <w:rPr>
          <w:rFonts w:ascii="Arial" w:hAnsi="Arial" w:cs="Arial"/>
          <w:sz w:val="22"/>
          <w:lang w:val="pt-BR"/>
        </w:rPr>
        <w:t xml:space="preserve">. </w:t>
      </w:r>
    </w:p>
    <w:p w:rsidR="006C4834" w:rsidRPr="000608EA" w:rsidRDefault="009A1A55" w:rsidP="001242C8">
      <w:pPr>
        <w:pStyle w:val="Paragraph"/>
        <w:tabs>
          <w:tab w:val="clear" w:pos="2448"/>
          <w:tab w:val="num" w:pos="720"/>
        </w:tabs>
        <w:ind w:left="720" w:hanging="720"/>
        <w:rPr>
          <w:rFonts w:ascii="Arial" w:hAnsi="Arial" w:cs="Arial"/>
          <w:sz w:val="22"/>
          <w:lang w:val="pt-BR"/>
        </w:rPr>
      </w:pPr>
      <w:r w:rsidRPr="000608EA">
        <w:rPr>
          <w:rFonts w:ascii="Arial" w:hAnsi="Arial" w:cs="Arial"/>
          <w:sz w:val="22"/>
          <w:lang w:val="pt-BR"/>
        </w:rPr>
        <w:t>Na primeira parte se faz uma breve descrição do marco organizacional, das políticas e a supervisão de riscos no sistema financeiro nacional, e em seguida dedica-se a abordar a forma como o BNDES conduz seu processo de credenciamento e gestão de risco de sua carteira de crédito junto a in</w:t>
      </w:r>
      <w:r w:rsidR="0016239F">
        <w:rPr>
          <w:rFonts w:ascii="Arial" w:hAnsi="Arial" w:cs="Arial"/>
          <w:sz w:val="22"/>
          <w:lang w:val="pt-BR"/>
        </w:rPr>
        <w:t xml:space="preserve">termediários </w:t>
      </w:r>
      <w:r w:rsidRPr="000608EA">
        <w:rPr>
          <w:rFonts w:ascii="Arial" w:hAnsi="Arial" w:cs="Arial"/>
          <w:sz w:val="22"/>
          <w:lang w:val="pt-BR"/>
        </w:rPr>
        <w:t>financeir</w:t>
      </w:r>
      <w:r w:rsidR="0016239F">
        <w:rPr>
          <w:rFonts w:ascii="Arial" w:hAnsi="Arial" w:cs="Arial"/>
          <w:sz w:val="22"/>
          <w:lang w:val="pt-BR"/>
        </w:rPr>
        <w:t>o</w:t>
      </w:r>
      <w:r w:rsidRPr="000608EA">
        <w:rPr>
          <w:rFonts w:ascii="Arial" w:hAnsi="Arial" w:cs="Arial"/>
          <w:sz w:val="22"/>
          <w:lang w:val="pt-BR"/>
        </w:rPr>
        <w:t>s credenciad</w:t>
      </w:r>
      <w:r w:rsidR="0016239F">
        <w:rPr>
          <w:rFonts w:ascii="Arial" w:hAnsi="Arial" w:cs="Arial"/>
          <w:sz w:val="22"/>
          <w:lang w:val="pt-BR"/>
        </w:rPr>
        <w:t>o</w:t>
      </w:r>
      <w:r w:rsidRPr="000608EA">
        <w:rPr>
          <w:rFonts w:ascii="Arial" w:hAnsi="Arial" w:cs="Arial"/>
          <w:sz w:val="22"/>
          <w:lang w:val="pt-BR"/>
        </w:rPr>
        <w:t>s</w:t>
      </w:r>
      <w:r w:rsidR="00A57A03" w:rsidRPr="000608EA">
        <w:rPr>
          <w:rFonts w:ascii="Arial" w:hAnsi="Arial" w:cs="Arial"/>
          <w:sz w:val="22"/>
          <w:lang w:val="pt-BR"/>
        </w:rPr>
        <w:t>.</w:t>
      </w:r>
    </w:p>
    <w:p w:rsidR="00A57A03" w:rsidRPr="000608EA" w:rsidRDefault="000608EA" w:rsidP="006C4834">
      <w:pPr>
        <w:pStyle w:val="Chapter"/>
        <w:rPr>
          <w:rFonts w:ascii="Arial" w:hAnsi="Arial" w:cs="Arial"/>
          <w:sz w:val="22"/>
          <w:lang w:val="pt-BR"/>
        </w:rPr>
      </w:pPr>
      <w:r w:rsidRPr="000608EA">
        <w:rPr>
          <w:rFonts w:ascii="Arial" w:hAnsi="Arial" w:cs="Arial"/>
          <w:sz w:val="22"/>
          <w:lang w:val="pt-BR"/>
        </w:rPr>
        <w:t xml:space="preserve">Marco </w:t>
      </w:r>
      <w:r>
        <w:rPr>
          <w:rFonts w:ascii="Arial" w:hAnsi="Arial" w:cs="Arial"/>
          <w:sz w:val="22"/>
          <w:lang w:val="pt-BR"/>
        </w:rPr>
        <w:t>d</w:t>
      </w:r>
      <w:r w:rsidRPr="000608EA">
        <w:rPr>
          <w:rFonts w:ascii="Arial" w:hAnsi="Arial" w:cs="Arial"/>
          <w:sz w:val="22"/>
          <w:lang w:val="pt-BR"/>
        </w:rPr>
        <w:t xml:space="preserve">e Supervisão </w:t>
      </w:r>
      <w:r>
        <w:rPr>
          <w:rFonts w:ascii="Arial" w:hAnsi="Arial" w:cs="Arial"/>
          <w:sz w:val="22"/>
          <w:lang w:val="pt-BR"/>
        </w:rPr>
        <w:t>d</w:t>
      </w:r>
      <w:r w:rsidRPr="000608EA">
        <w:rPr>
          <w:rFonts w:ascii="Arial" w:hAnsi="Arial" w:cs="Arial"/>
          <w:sz w:val="22"/>
          <w:lang w:val="pt-BR"/>
        </w:rPr>
        <w:t xml:space="preserve">o Sistema Financeiro Nacional </w:t>
      </w:r>
    </w:p>
    <w:p w:rsidR="00281DE5" w:rsidRPr="000608EA" w:rsidRDefault="006C7198" w:rsidP="001242C8">
      <w:pPr>
        <w:pStyle w:val="Paragraph"/>
        <w:tabs>
          <w:tab w:val="clear" w:pos="2448"/>
          <w:tab w:val="num" w:pos="720"/>
        </w:tabs>
        <w:ind w:left="720" w:hanging="720"/>
        <w:rPr>
          <w:rFonts w:ascii="Arial" w:hAnsi="Arial" w:cs="Arial"/>
          <w:sz w:val="22"/>
          <w:lang w:val="pt-BR"/>
        </w:rPr>
      </w:pPr>
      <w:r w:rsidRPr="000608EA">
        <w:rPr>
          <w:rFonts w:ascii="Arial" w:hAnsi="Arial" w:cs="Arial"/>
          <w:sz w:val="22"/>
          <w:lang w:val="pt-BR"/>
        </w:rPr>
        <w:t xml:space="preserve">O Sistema </w:t>
      </w:r>
      <w:r w:rsidR="00516F3B" w:rsidRPr="000608EA">
        <w:rPr>
          <w:rFonts w:ascii="Arial" w:hAnsi="Arial" w:cs="Arial"/>
          <w:sz w:val="22"/>
          <w:lang w:val="pt-BR"/>
        </w:rPr>
        <w:t>Financeiro</w:t>
      </w:r>
      <w:r w:rsidRPr="000608EA">
        <w:rPr>
          <w:rFonts w:ascii="Arial" w:hAnsi="Arial" w:cs="Arial"/>
          <w:sz w:val="22"/>
          <w:lang w:val="pt-BR"/>
        </w:rPr>
        <w:t xml:space="preserve"> Nacional (SFN) brasileiro con</w:t>
      </w:r>
      <w:r w:rsidR="0049326A">
        <w:rPr>
          <w:rFonts w:ascii="Arial" w:hAnsi="Arial" w:cs="Arial"/>
          <w:sz w:val="22"/>
          <w:lang w:val="pt-BR"/>
        </w:rPr>
        <w:t>tava em março de 2016 com 1.842 </w:t>
      </w:r>
      <w:r w:rsidRPr="000608EA">
        <w:rPr>
          <w:rFonts w:ascii="Arial" w:hAnsi="Arial" w:cs="Arial"/>
          <w:sz w:val="22"/>
          <w:lang w:val="pt-BR"/>
        </w:rPr>
        <w:t xml:space="preserve">instituições financeiras distribuídas em 17 categorias, que vão desde </w:t>
      </w:r>
      <w:r w:rsidR="00516F3B" w:rsidRPr="000608EA">
        <w:rPr>
          <w:rFonts w:ascii="Arial" w:hAnsi="Arial" w:cs="Arial"/>
          <w:sz w:val="22"/>
          <w:lang w:val="pt-BR"/>
        </w:rPr>
        <w:t>instituições</w:t>
      </w:r>
      <w:r w:rsidRPr="000608EA">
        <w:rPr>
          <w:rFonts w:ascii="Arial" w:hAnsi="Arial" w:cs="Arial"/>
          <w:sz w:val="22"/>
          <w:lang w:val="pt-BR"/>
        </w:rPr>
        <w:t xml:space="preserve"> complexas como os Bancos Múltiplos, até Cooperativas de Crédito</w:t>
      </w:r>
      <w:r w:rsidRPr="000608EA">
        <w:rPr>
          <w:rFonts w:ascii="Arial" w:hAnsi="Arial" w:cs="Arial"/>
          <w:sz w:val="22"/>
          <w:vertAlign w:val="superscript"/>
          <w:lang w:val="pt-BR"/>
        </w:rPr>
        <w:footnoteReference w:id="3"/>
      </w:r>
      <w:r w:rsidRPr="000608EA">
        <w:rPr>
          <w:rFonts w:ascii="Arial" w:hAnsi="Arial" w:cs="Arial"/>
          <w:sz w:val="22"/>
          <w:lang w:val="pt-BR"/>
        </w:rPr>
        <w:t>.  A supervisão destas instituições financeiras está a cargo do Banco Central do Brasil</w:t>
      </w:r>
      <w:r w:rsidR="00281DE5" w:rsidRPr="000608EA">
        <w:rPr>
          <w:rFonts w:ascii="Arial" w:hAnsi="Arial" w:cs="Arial"/>
          <w:sz w:val="22"/>
          <w:lang w:val="pt-BR"/>
        </w:rPr>
        <w:t xml:space="preserve"> (BCB)</w:t>
      </w:r>
      <w:r w:rsidRPr="000608EA">
        <w:rPr>
          <w:rFonts w:ascii="Arial" w:hAnsi="Arial" w:cs="Arial"/>
          <w:sz w:val="22"/>
          <w:lang w:val="pt-BR"/>
        </w:rPr>
        <w:t xml:space="preserve">, </w:t>
      </w:r>
      <w:r w:rsidR="00281DE5" w:rsidRPr="000608EA">
        <w:rPr>
          <w:rFonts w:ascii="Arial" w:hAnsi="Arial" w:cs="Arial"/>
          <w:sz w:val="22"/>
          <w:lang w:val="pt-BR"/>
        </w:rPr>
        <w:t>criado no dia 31 de dezembro de 1964</w:t>
      </w:r>
      <w:r w:rsidR="00281DE5" w:rsidRPr="000608EA">
        <w:rPr>
          <w:rFonts w:ascii="Arial" w:hAnsi="Arial" w:cs="Arial"/>
          <w:sz w:val="22"/>
          <w:vertAlign w:val="superscript"/>
          <w:lang w:val="pt-BR"/>
        </w:rPr>
        <w:footnoteReference w:id="4"/>
      </w:r>
      <w:r w:rsidR="00281DE5" w:rsidRPr="000608EA">
        <w:rPr>
          <w:rFonts w:ascii="Arial" w:hAnsi="Arial" w:cs="Arial"/>
          <w:sz w:val="22"/>
          <w:lang w:val="pt-BR"/>
        </w:rPr>
        <w:t xml:space="preserve"> pela transformação da Superintendência da Moeda e do Crédito (</w:t>
      </w:r>
      <w:proofErr w:type="spellStart"/>
      <w:r w:rsidR="00281DE5" w:rsidRPr="000608EA">
        <w:rPr>
          <w:rFonts w:ascii="Arial" w:hAnsi="Arial" w:cs="Arial"/>
          <w:sz w:val="22"/>
          <w:lang w:val="pt-BR"/>
        </w:rPr>
        <w:t>Sumoc</w:t>
      </w:r>
      <w:proofErr w:type="spellEnd"/>
      <w:r w:rsidR="00281DE5" w:rsidRPr="000608EA">
        <w:rPr>
          <w:rFonts w:ascii="Arial" w:hAnsi="Arial" w:cs="Arial"/>
          <w:sz w:val="22"/>
          <w:lang w:val="pt-BR"/>
        </w:rPr>
        <w:t xml:space="preserve">) em uma autarquia federal, com as atribuições, competências, composição da Diretoria e outros aspectos específicos. Desde então uma serie de legislações ajustaram a operação do BCB sem alterar seu caráter de autarquia federal. Após mais de 40 anos de existência o BCB passou por uma série de desafios entre </w:t>
      </w:r>
      <w:r w:rsidR="00281DE5" w:rsidRPr="000608EA">
        <w:rPr>
          <w:rFonts w:ascii="Arial" w:hAnsi="Arial" w:cs="Arial"/>
          <w:sz w:val="22"/>
          <w:lang w:val="pt-BR"/>
        </w:rPr>
        <w:lastRenderedPageBreak/>
        <w:t xml:space="preserve">trocas de moedas, desequilíbrios no sistema financeiro, e políticas de estabilização monetárias, no entanto, foi com a crise financeira de 2008 que o SFN passou pelo seu desafio mais recente, colocando em teste a condução da politica do BCB </w:t>
      </w:r>
      <w:r w:rsidR="00566C2E" w:rsidRPr="000608EA">
        <w:rPr>
          <w:rFonts w:ascii="Arial" w:hAnsi="Arial" w:cs="Arial"/>
          <w:sz w:val="22"/>
          <w:lang w:val="pt-BR"/>
        </w:rPr>
        <w:t xml:space="preserve">na garantia de </w:t>
      </w:r>
      <w:r w:rsidR="00281DE5" w:rsidRPr="000608EA">
        <w:rPr>
          <w:rFonts w:ascii="Arial" w:hAnsi="Arial" w:cs="Arial"/>
          <w:sz w:val="22"/>
          <w:lang w:val="pt-BR"/>
        </w:rPr>
        <w:t>solidez do SFN. E o resultado foi positivo.</w:t>
      </w:r>
      <w:r w:rsidR="00566C2E" w:rsidRPr="000608EA">
        <w:rPr>
          <w:rFonts w:ascii="Arial" w:hAnsi="Arial" w:cs="Arial"/>
          <w:sz w:val="22"/>
          <w:lang w:val="pt-BR"/>
        </w:rPr>
        <w:t xml:space="preserve"> “Pode-se afirmar que, na reação à última crise, o Brasil foi beneficiado por </w:t>
      </w:r>
      <w:r w:rsidR="002F49A1" w:rsidRPr="000608EA">
        <w:rPr>
          <w:rFonts w:ascii="Arial" w:hAnsi="Arial" w:cs="Arial"/>
          <w:sz w:val="22"/>
          <w:lang w:val="pt-BR"/>
        </w:rPr>
        <w:t>seu desempenho</w:t>
      </w:r>
      <w:r w:rsidR="00566C2E" w:rsidRPr="000608EA">
        <w:rPr>
          <w:rFonts w:ascii="Arial" w:hAnsi="Arial" w:cs="Arial"/>
          <w:sz w:val="22"/>
          <w:lang w:val="pt-BR"/>
        </w:rPr>
        <w:t xml:space="preserve"> extremamente acidentad</w:t>
      </w:r>
      <w:r w:rsidR="00F213F7">
        <w:rPr>
          <w:rFonts w:ascii="Arial" w:hAnsi="Arial" w:cs="Arial"/>
          <w:sz w:val="22"/>
          <w:lang w:val="pt-BR"/>
        </w:rPr>
        <w:t>o</w:t>
      </w:r>
      <w:r w:rsidR="00566C2E" w:rsidRPr="000608EA">
        <w:rPr>
          <w:rFonts w:ascii="Arial" w:hAnsi="Arial" w:cs="Arial"/>
          <w:sz w:val="22"/>
          <w:lang w:val="pt-BR"/>
        </w:rPr>
        <w:t xml:space="preserve"> dos anos de 1980 até 2002. O aparato regulatório e de fiscalização </w:t>
      </w:r>
      <w:r w:rsidR="002F49A1" w:rsidRPr="000608EA">
        <w:rPr>
          <w:rFonts w:ascii="Arial" w:hAnsi="Arial" w:cs="Arial"/>
          <w:sz w:val="22"/>
          <w:lang w:val="pt-BR"/>
        </w:rPr>
        <w:t>financeira aliada</w:t>
      </w:r>
      <w:r w:rsidR="00566C2E" w:rsidRPr="000608EA">
        <w:rPr>
          <w:rFonts w:ascii="Arial" w:hAnsi="Arial" w:cs="Arial"/>
          <w:sz w:val="22"/>
          <w:lang w:val="pt-BR"/>
        </w:rPr>
        <w:t xml:space="preserve"> a uma excelente estrutura de negociação, liquidação e custódia financeira constitui, hoje, um dos maiores trunfos do Brasil para continuar sua trajetória de crescimento sustentado</w:t>
      </w:r>
      <w:proofErr w:type="gramStart"/>
      <w:r w:rsidR="00566C2E" w:rsidRPr="000608EA">
        <w:rPr>
          <w:rFonts w:ascii="Arial" w:hAnsi="Arial" w:cs="Arial"/>
          <w:sz w:val="22"/>
          <w:lang w:val="pt-BR"/>
        </w:rPr>
        <w:t>”</w:t>
      </w:r>
      <w:proofErr w:type="gramEnd"/>
      <w:r w:rsidR="00281DE5" w:rsidRPr="000608EA">
        <w:rPr>
          <w:rFonts w:ascii="Arial" w:hAnsi="Arial" w:cs="Arial"/>
          <w:sz w:val="22"/>
          <w:vertAlign w:val="superscript"/>
        </w:rPr>
        <w:footnoteReference w:id="5"/>
      </w:r>
      <w:r w:rsidR="00546712" w:rsidRPr="000608EA">
        <w:rPr>
          <w:rFonts w:ascii="Arial" w:hAnsi="Arial" w:cs="Arial"/>
          <w:sz w:val="22"/>
          <w:lang w:val="pt-BR"/>
        </w:rPr>
        <w:t>.</w:t>
      </w:r>
    </w:p>
    <w:p w:rsidR="006E702D" w:rsidRPr="000608EA" w:rsidRDefault="006E702D" w:rsidP="001242C8">
      <w:pPr>
        <w:pStyle w:val="Paragraph"/>
        <w:tabs>
          <w:tab w:val="clear" w:pos="2448"/>
          <w:tab w:val="num" w:pos="720"/>
        </w:tabs>
        <w:ind w:left="720" w:hanging="720"/>
        <w:rPr>
          <w:rFonts w:ascii="Arial" w:hAnsi="Arial" w:cs="Arial"/>
          <w:sz w:val="22"/>
          <w:lang w:val="pt-BR"/>
        </w:rPr>
      </w:pPr>
      <w:r w:rsidRPr="000608EA">
        <w:rPr>
          <w:rFonts w:ascii="Arial" w:hAnsi="Arial" w:cs="Arial"/>
          <w:sz w:val="22"/>
          <w:lang w:val="pt-BR"/>
        </w:rPr>
        <w:t>Isso foi possível</w:t>
      </w:r>
      <w:r w:rsidR="00AB6E55" w:rsidRPr="000608EA">
        <w:rPr>
          <w:rFonts w:ascii="Arial" w:hAnsi="Arial" w:cs="Arial"/>
          <w:sz w:val="22"/>
          <w:lang w:val="pt-BR"/>
        </w:rPr>
        <w:t xml:space="preserve">, pois </w:t>
      </w:r>
      <w:r w:rsidRPr="000608EA">
        <w:rPr>
          <w:rFonts w:ascii="Arial" w:hAnsi="Arial" w:cs="Arial"/>
          <w:sz w:val="22"/>
          <w:lang w:val="pt-BR"/>
        </w:rPr>
        <w:t>as regras de Basileia II</w:t>
      </w:r>
      <w:r w:rsidR="00AB6E55" w:rsidRPr="000608EA">
        <w:rPr>
          <w:rFonts w:ascii="Arial" w:hAnsi="Arial" w:cs="Arial"/>
          <w:sz w:val="22"/>
          <w:lang w:val="pt-BR"/>
        </w:rPr>
        <w:t xml:space="preserve"> à época</w:t>
      </w:r>
      <w:r w:rsidRPr="000608EA">
        <w:rPr>
          <w:rFonts w:ascii="Arial" w:hAnsi="Arial" w:cs="Arial"/>
          <w:sz w:val="22"/>
          <w:lang w:val="pt-BR"/>
        </w:rPr>
        <w:t xml:space="preserve"> </w:t>
      </w:r>
      <w:r w:rsidR="00D30B61" w:rsidRPr="000608EA">
        <w:rPr>
          <w:rFonts w:ascii="Arial" w:hAnsi="Arial" w:cs="Arial"/>
          <w:sz w:val="22"/>
          <w:lang w:val="pt-BR"/>
        </w:rPr>
        <w:t>haviam</w:t>
      </w:r>
      <w:r w:rsidRPr="000608EA">
        <w:rPr>
          <w:rFonts w:ascii="Arial" w:hAnsi="Arial" w:cs="Arial"/>
          <w:sz w:val="22"/>
          <w:lang w:val="pt-BR"/>
        </w:rPr>
        <w:t xml:space="preserve"> </w:t>
      </w:r>
      <w:r w:rsidR="00D30B61" w:rsidRPr="000608EA">
        <w:rPr>
          <w:rFonts w:ascii="Arial" w:hAnsi="Arial" w:cs="Arial"/>
          <w:sz w:val="22"/>
          <w:lang w:val="pt-BR"/>
        </w:rPr>
        <w:t xml:space="preserve">exercido razoável grau de </w:t>
      </w:r>
      <w:r w:rsidRPr="000608EA">
        <w:rPr>
          <w:rFonts w:ascii="Arial" w:hAnsi="Arial" w:cs="Arial"/>
          <w:sz w:val="22"/>
          <w:lang w:val="pt-BR"/>
        </w:rPr>
        <w:t>influ</w:t>
      </w:r>
      <w:r w:rsidR="00F213F7">
        <w:rPr>
          <w:rFonts w:ascii="Arial" w:hAnsi="Arial" w:cs="Arial"/>
          <w:sz w:val="22"/>
          <w:lang w:val="pt-BR"/>
        </w:rPr>
        <w:t>ê</w:t>
      </w:r>
      <w:r w:rsidRPr="000608EA">
        <w:rPr>
          <w:rFonts w:ascii="Arial" w:hAnsi="Arial" w:cs="Arial"/>
          <w:sz w:val="22"/>
          <w:lang w:val="pt-BR"/>
        </w:rPr>
        <w:t>ncia</w:t>
      </w:r>
      <w:r w:rsidR="00D30B61" w:rsidRPr="000608EA">
        <w:rPr>
          <w:rFonts w:ascii="Arial" w:hAnsi="Arial" w:cs="Arial"/>
          <w:sz w:val="22"/>
          <w:lang w:val="pt-BR"/>
        </w:rPr>
        <w:t xml:space="preserve"> n</w:t>
      </w:r>
      <w:r w:rsidRPr="000608EA">
        <w:rPr>
          <w:rFonts w:ascii="Arial" w:hAnsi="Arial" w:cs="Arial"/>
          <w:sz w:val="22"/>
          <w:lang w:val="pt-BR"/>
        </w:rPr>
        <w:t xml:space="preserve">a normatização, </w:t>
      </w:r>
      <w:r w:rsidR="00AB6E55" w:rsidRPr="000608EA">
        <w:rPr>
          <w:rFonts w:ascii="Arial" w:hAnsi="Arial" w:cs="Arial"/>
          <w:sz w:val="22"/>
          <w:lang w:val="pt-BR"/>
        </w:rPr>
        <w:t>apesar de encontrar-se em implantação. D</w:t>
      </w:r>
      <w:r w:rsidR="00D30B61" w:rsidRPr="000608EA">
        <w:rPr>
          <w:rFonts w:ascii="Arial" w:hAnsi="Arial" w:cs="Arial"/>
          <w:sz w:val="22"/>
          <w:lang w:val="pt-BR"/>
        </w:rPr>
        <w:t xml:space="preserve">e </w:t>
      </w:r>
      <w:r w:rsidR="00AB6E55" w:rsidRPr="000608EA">
        <w:rPr>
          <w:rFonts w:ascii="Arial" w:hAnsi="Arial" w:cs="Arial"/>
          <w:sz w:val="22"/>
          <w:lang w:val="pt-BR"/>
        </w:rPr>
        <w:t xml:space="preserve">tal </w:t>
      </w:r>
      <w:r w:rsidR="00D30B61" w:rsidRPr="000608EA">
        <w:rPr>
          <w:rFonts w:ascii="Arial" w:hAnsi="Arial" w:cs="Arial"/>
          <w:sz w:val="22"/>
          <w:lang w:val="pt-BR"/>
        </w:rPr>
        <w:t>forma que colocava em prática</w:t>
      </w:r>
      <w:r w:rsidRPr="000608EA">
        <w:rPr>
          <w:rFonts w:ascii="Arial" w:hAnsi="Arial" w:cs="Arial"/>
          <w:sz w:val="22"/>
          <w:lang w:val="pt-BR"/>
        </w:rPr>
        <w:t xml:space="preserve"> alguns fatores de risco que exced</w:t>
      </w:r>
      <w:r w:rsidR="00D30B61" w:rsidRPr="000608EA">
        <w:rPr>
          <w:rFonts w:ascii="Arial" w:hAnsi="Arial" w:cs="Arial"/>
          <w:sz w:val="22"/>
          <w:lang w:val="pt-BR"/>
        </w:rPr>
        <w:t>ia</w:t>
      </w:r>
      <w:r w:rsidRPr="000608EA">
        <w:rPr>
          <w:rFonts w:ascii="Arial" w:hAnsi="Arial" w:cs="Arial"/>
          <w:sz w:val="22"/>
          <w:lang w:val="pt-BR"/>
        </w:rPr>
        <w:t xml:space="preserve">m </w:t>
      </w:r>
      <w:r w:rsidR="00D30B61" w:rsidRPr="000608EA">
        <w:rPr>
          <w:rFonts w:ascii="Arial" w:hAnsi="Arial" w:cs="Arial"/>
          <w:sz w:val="22"/>
          <w:lang w:val="pt-BR"/>
        </w:rPr>
        <w:t>aqueles</w:t>
      </w:r>
      <w:r w:rsidRPr="000608EA">
        <w:rPr>
          <w:rFonts w:ascii="Arial" w:hAnsi="Arial" w:cs="Arial"/>
          <w:sz w:val="22"/>
          <w:lang w:val="pt-BR"/>
        </w:rPr>
        <w:t xml:space="preserve"> previsto</w:t>
      </w:r>
      <w:r w:rsidR="00D30B61" w:rsidRPr="000608EA">
        <w:rPr>
          <w:rFonts w:ascii="Arial" w:hAnsi="Arial" w:cs="Arial"/>
          <w:sz w:val="22"/>
          <w:lang w:val="pt-BR"/>
        </w:rPr>
        <w:t>s</w:t>
      </w:r>
      <w:r w:rsidRPr="000608EA">
        <w:rPr>
          <w:rFonts w:ascii="Arial" w:hAnsi="Arial" w:cs="Arial"/>
          <w:sz w:val="22"/>
          <w:lang w:val="pt-BR"/>
        </w:rPr>
        <w:t xml:space="preserve"> em Basileia I,</w:t>
      </w:r>
      <w:r w:rsidR="00D30B61" w:rsidRPr="000608EA">
        <w:rPr>
          <w:rFonts w:ascii="Arial" w:hAnsi="Arial" w:cs="Arial"/>
          <w:sz w:val="22"/>
          <w:lang w:val="pt-BR"/>
        </w:rPr>
        <w:t xml:space="preserve"> </w:t>
      </w:r>
      <w:r w:rsidRPr="000608EA">
        <w:rPr>
          <w:rFonts w:ascii="Arial" w:hAnsi="Arial" w:cs="Arial"/>
          <w:sz w:val="22"/>
          <w:lang w:val="pt-BR"/>
        </w:rPr>
        <w:t xml:space="preserve">como </w:t>
      </w:r>
      <w:r w:rsidR="00D30B61" w:rsidRPr="000608EA">
        <w:rPr>
          <w:rFonts w:ascii="Arial" w:hAnsi="Arial" w:cs="Arial"/>
          <w:sz w:val="22"/>
          <w:lang w:val="pt-BR"/>
        </w:rPr>
        <w:t xml:space="preserve">foram </w:t>
      </w:r>
      <w:r w:rsidRPr="000608EA">
        <w:rPr>
          <w:rFonts w:ascii="Arial" w:hAnsi="Arial" w:cs="Arial"/>
          <w:sz w:val="22"/>
          <w:lang w:val="pt-BR"/>
        </w:rPr>
        <w:t>os princípios de risco operacional e os mecanismos de gerenciamento de riscos para fins de alocação de capital</w:t>
      </w:r>
      <w:r w:rsidR="00D30B61" w:rsidRPr="000608EA">
        <w:rPr>
          <w:rFonts w:ascii="Arial" w:hAnsi="Arial" w:cs="Arial"/>
          <w:sz w:val="22"/>
          <w:vertAlign w:val="superscript"/>
        </w:rPr>
        <w:footnoteReference w:id="6"/>
      </w:r>
      <w:r w:rsidR="00AB6E55" w:rsidRPr="000608EA">
        <w:rPr>
          <w:rFonts w:ascii="Arial" w:hAnsi="Arial" w:cs="Arial"/>
          <w:sz w:val="22"/>
          <w:lang w:val="pt-BR"/>
        </w:rPr>
        <w:t>, repercutindo positivamente ao ser comparado com o praticado em outros países, conforme demonstrado na TABELA 1 a seguir:</w:t>
      </w:r>
    </w:p>
    <w:p w:rsidR="00AB6E55" w:rsidRPr="000608EA" w:rsidRDefault="00AB6E55" w:rsidP="00AB6E55">
      <w:pPr>
        <w:pStyle w:val="Paragraph"/>
        <w:numPr>
          <w:ilvl w:val="0"/>
          <w:numId w:val="0"/>
        </w:numPr>
        <w:ind w:left="720"/>
        <w:rPr>
          <w:rFonts w:ascii="Arial" w:hAnsi="Arial" w:cs="Arial"/>
          <w:b/>
          <w:sz w:val="22"/>
          <w:lang w:val="pt-BR"/>
        </w:rPr>
      </w:pPr>
      <w:r w:rsidRPr="000608EA">
        <w:rPr>
          <w:rFonts w:ascii="Arial" w:hAnsi="Arial" w:cs="Arial"/>
          <w:b/>
          <w:sz w:val="22"/>
          <w:lang w:val="pt-BR"/>
        </w:rPr>
        <w:t>TABELA 1. Comparativo entre as Razões de Basileia</w:t>
      </w:r>
    </w:p>
    <w:p w:rsidR="00AB6E55" w:rsidRPr="000608EA" w:rsidRDefault="00AB6E55" w:rsidP="00AB6E55">
      <w:pPr>
        <w:pStyle w:val="Paragraph"/>
        <w:numPr>
          <w:ilvl w:val="0"/>
          <w:numId w:val="0"/>
        </w:numPr>
        <w:ind w:left="720"/>
        <w:jc w:val="left"/>
        <w:rPr>
          <w:rFonts w:ascii="Arial" w:hAnsi="Arial" w:cs="Arial"/>
          <w:sz w:val="22"/>
          <w:lang w:val="pt-BR"/>
        </w:rPr>
      </w:pPr>
      <w:r w:rsidRPr="000608EA">
        <w:rPr>
          <w:rFonts w:ascii="Arial" w:hAnsi="Arial" w:cs="Arial"/>
          <w:noProof/>
          <w:sz w:val="22"/>
          <w:lang w:val="pt-BR" w:eastAsia="pt-BR"/>
        </w:rPr>
        <w:drawing>
          <wp:inline distT="0" distB="0" distL="0" distR="0" wp14:anchorId="73C43671" wp14:editId="4969738D">
            <wp:extent cx="4990332" cy="3482036"/>
            <wp:effectExtent l="0" t="0" r="127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989690" cy="3481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6E55" w:rsidRPr="000608EA" w:rsidRDefault="00F213F7" w:rsidP="00546712">
      <w:pPr>
        <w:pStyle w:val="Paragraph"/>
        <w:tabs>
          <w:tab w:val="clear" w:pos="2448"/>
          <w:tab w:val="num" w:pos="720"/>
        </w:tabs>
        <w:ind w:left="720" w:hanging="720"/>
        <w:rPr>
          <w:rFonts w:ascii="Arial" w:hAnsi="Arial" w:cs="Arial"/>
          <w:sz w:val="22"/>
          <w:lang w:val="pt-BR"/>
        </w:rPr>
      </w:pPr>
      <w:r>
        <w:rPr>
          <w:rFonts w:ascii="Arial" w:hAnsi="Arial" w:cs="Arial"/>
          <w:sz w:val="22"/>
          <w:lang w:val="pt-BR"/>
        </w:rPr>
        <w:t>Além d</w:t>
      </w:r>
      <w:r w:rsidR="002F77F1" w:rsidRPr="000608EA">
        <w:rPr>
          <w:rFonts w:ascii="Arial" w:hAnsi="Arial" w:cs="Arial"/>
          <w:sz w:val="22"/>
          <w:lang w:val="pt-BR"/>
        </w:rPr>
        <w:t>a adoção antecipada, somava-se a amplitude desta regulação n</w:t>
      </w:r>
      <w:r w:rsidR="00AB6E55" w:rsidRPr="000608EA">
        <w:rPr>
          <w:rFonts w:ascii="Arial" w:hAnsi="Arial" w:cs="Arial"/>
          <w:sz w:val="22"/>
          <w:lang w:val="pt-BR"/>
        </w:rPr>
        <w:t xml:space="preserve">o Brasil, </w:t>
      </w:r>
      <w:r w:rsidR="002F77F1" w:rsidRPr="000608EA">
        <w:rPr>
          <w:rFonts w:ascii="Arial" w:hAnsi="Arial" w:cs="Arial"/>
          <w:sz w:val="22"/>
          <w:lang w:val="pt-BR"/>
        </w:rPr>
        <w:t xml:space="preserve">estando </w:t>
      </w:r>
      <w:r w:rsidR="00AB6E55" w:rsidRPr="000608EA">
        <w:rPr>
          <w:rFonts w:ascii="Arial" w:hAnsi="Arial" w:cs="Arial"/>
          <w:sz w:val="22"/>
          <w:lang w:val="pt-BR"/>
        </w:rPr>
        <w:t xml:space="preserve">todas as instituições autorizadas </w:t>
      </w:r>
      <w:r w:rsidR="002F77F1" w:rsidRPr="000608EA">
        <w:rPr>
          <w:rFonts w:ascii="Arial" w:hAnsi="Arial" w:cs="Arial"/>
          <w:sz w:val="22"/>
          <w:lang w:val="pt-BR"/>
        </w:rPr>
        <w:t xml:space="preserve">pelo BCB </w:t>
      </w:r>
      <w:r w:rsidR="00AB6E55" w:rsidRPr="000608EA">
        <w:rPr>
          <w:rFonts w:ascii="Arial" w:hAnsi="Arial" w:cs="Arial"/>
          <w:sz w:val="22"/>
          <w:lang w:val="pt-BR"/>
        </w:rPr>
        <w:t xml:space="preserve">a funcionar </w:t>
      </w:r>
      <w:r w:rsidR="002F77F1" w:rsidRPr="000608EA">
        <w:rPr>
          <w:rFonts w:ascii="Arial" w:hAnsi="Arial" w:cs="Arial"/>
          <w:sz w:val="22"/>
          <w:lang w:val="pt-BR"/>
        </w:rPr>
        <w:t xml:space="preserve">obrigadas a </w:t>
      </w:r>
      <w:r w:rsidR="00AB6E55" w:rsidRPr="000608EA">
        <w:rPr>
          <w:rFonts w:ascii="Arial" w:hAnsi="Arial" w:cs="Arial"/>
          <w:sz w:val="22"/>
          <w:lang w:val="pt-BR"/>
        </w:rPr>
        <w:t xml:space="preserve">atender </w:t>
      </w:r>
      <w:r w:rsidR="002F77F1" w:rsidRPr="000608EA">
        <w:rPr>
          <w:rFonts w:ascii="Arial" w:hAnsi="Arial" w:cs="Arial"/>
          <w:sz w:val="22"/>
          <w:lang w:val="pt-BR"/>
        </w:rPr>
        <w:t>a</w:t>
      </w:r>
      <w:r w:rsidR="00AB6E55" w:rsidRPr="000608EA">
        <w:rPr>
          <w:rFonts w:ascii="Arial" w:hAnsi="Arial" w:cs="Arial"/>
          <w:sz w:val="22"/>
          <w:lang w:val="pt-BR"/>
        </w:rPr>
        <w:t>os requ</w:t>
      </w:r>
      <w:r w:rsidR="002F77F1" w:rsidRPr="000608EA">
        <w:rPr>
          <w:rFonts w:ascii="Arial" w:hAnsi="Arial" w:cs="Arial"/>
          <w:sz w:val="22"/>
          <w:lang w:val="pt-BR"/>
        </w:rPr>
        <w:t xml:space="preserve">erimentos </w:t>
      </w:r>
      <w:r w:rsidR="00AB6E55" w:rsidRPr="000608EA">
        <w:rPr>
          <w:rFonts w:ascii="Arial" w:hAnsi="Arial" w:cs="Arial"/>
          <w:sz w:val="22"/>
          <w:lang w:val="pt-BR"/>
        </w:rPr>
        <w:t xml:space="preserve">de Basileia I, e não somente as instituições bancárias. </w:t>
      </w:r>
      <w:r w:rsidR="002F77F1" w:rsidRPr="000608EA">
        <w:rPr>
          <w:rFonts w:ascii="Arial" w:hAnsi="Arial" w:cs="Arial"/>
          <w:sz w:val="22"/>
          <w:lang w:val="pt-BR"/>
        </w:rPr>
        <w:t>Igualmente</w:t>
      </w:r>
      <w:r w:rsidR="00AB6E55" w:rsidRPr="000608EA">
        <w:rPr>
          <w:rFonts w:ascii="Arial" w:hAnsi="Arial" w:cs="Arial"/>
          <w:sz w:val="22"/>
          <w:lang w:val="pt-BR"/>
        </w:rPr>
        <w:t>, todas as</w:t>
      </w:r>
      <w:r w:rsidR="002F77F1" w:rsidRPr="000608EA">
        <w:rPr>
          <w:rFonts w:ascii="Arial" w:hAnsi="Arial" w:cs="Arial"/>
          <w:sz w:val="22"/>
          <w:lang w:val="pt-BR"/>
        </w:rPr>
        <w:t xml:space="preserve"> </w:t>
      </w:r>
      <w:r w:rsidR="00AB6E55" w:rsidRPr="000608EA">
        <w:rPr>
          <w:rFonts w:ascii="Arial" w:hAnsi="Arial" w:cs="Arial"/>
          <w:sz w:val="22"/>
          <w:lang w:val="pt-BR"/>
        </w:rPr>
        <w:t xml:space="preserve">instituições financeiras estão sujeitas à regulação </w:t>
      </w:r>
      <w:r w:rsidR="002F77F1" w:rsidRPr="000608EA">
        <w:rPr>
          <w:rFonts w:ascii="Arial" w:hAnsi="Arial" w:cs="Arial"/>
          <w:sz w:val="22"/>
          <w:lang w:val="pt-BR"/>
        </w:rPr>
        <w:t xml:space="preserve">e supervisão </w:t>
      </w:r>
      <w:r w:rsidR="00AB6E55" w:rsidRPr="000608EA">
        <w:rPr>
          <w:rFonts w:ascii="Arial" w:hAnsi="Arial" w:cs="Arial"/>
          <w:sz w:val="22"/>
          <w:lang w:val="pt-BR"/>
        </w:rPr>
        <w:t>do BCB. Consequ</w:t>
      </w:r>
      <w:r w:rsidR="002F77F1" w:rsidRPr="000608EA">
        <w:rPr>
          <w:rFonts w:ascii="Arial" w:hAnsi="Arial" w:cs="Arial"/>
          <w:sz w:val="22"/>
          <w:lang w:val="pt-BR"/>
        </w:rPr>
        <w:t>entemente</w:t>
      </w:r>
      <w:r w:rsidR="00AB6E55" w:rsidRPr="000608EA">
        <w:rPr>
          <w:rFonts w:ascii="Arial" w:hAnsi="Arial" w:cs="Arial"/>
          <w:sz w:val="22"/>
          <w:lang w:val="pt-BR"/>
        </w:rPr>
        <w:t xml:space="preserve">, </w:t>
      </w:r>
      <w:r w:rsidR="002F77F1" w:rsidRPr="000608EA">
        <w:rPr>
          <w:rFonts w:ascii="Arial" w:hAnsi="Arial" w:cs="Arial"/>
          <w:sz w:val="22"/>
          <w:lang w:val="pt-BR"/>
        </w:rPr>
        <w:t xml:space="preserve">impediu-se </w:t>
      </w:r>
      <w:r w:rsidR="00AB6E55" w:rsidRPr="000608EA">
        <w:rPr>
          <w:rFonts w:ascii="Arial" w:hAnsi="Arial" w:cs="Arial"/>
          <w:sz w:val="22"/>
          <w:lang w:val="pt-BR"/>
        </w:rPr>
        <w:t>a “arbitragem regulatória”</w:t>
      </w:r>
      <w:r w:rsidR="002F77F1" w:rsidRPr="000608EA">
        <w:rPr>
          <w:rFonts w:ascii="Arial" w:hAnsi="Arial" w:cs="Arial"/>
          <w:sz w:val="22"/>
          <w:lang w:val="pt-BR"/>
        </w:rPr>
        <w:t>,</w:t>
      </w:r>
      <w:r w:rsidR="00AB6E55" w:rsidRPr="000608EA">
        <w:rPr>
          <w:rFonts w:ascii="Arial" w:hAnsi="Arial" w:cs="Arial"/>
          <w:sz w:val="22"/>
          <w:lang w:val="pt-BR"/>
        </w:rPr>
        <w:t xml:space="preserve"> que </w:t>
      </w:r>
      <w:r w:rsidR="002F77F1" w:rsidRPr="000608EA">
        <w:rPr>
          <w:rFonts w:ascii="Arial" w:hAnsi="Arial" w:cs="Arial"/>
          <w:sz w:val="22"/>
          <w:lang w:val="pt-BR"/>
        </w:rPr>
        <w:t xml:space="preserve">no caso </w:t>
      </w:r>
      <w:proofErr w:type="spellStart"/>
      <w:r w:rsidR="002F77F1" w:rsidRPr="000608EA">
        <w:rPr>
          <w:rFonts w:ascii="Arial" w:hAnsi="Arial" w:cs="Arial"/>
          <w:sz w:val="22"/>
          <w:lang w:val="pt-BR"/>
        </w:rPr>
        <w:t>norteamericano</w:t>
      </w:r>
      <w:proofErr w:type="spellEnd"/>
      <w:r w:rsidR="002F77F1" w:rsidRPr="000608EA">
        <w:rPr>
          <w:rFonts w:ascii="Arial" w:hAnsi="Arial" w:cs="Arial"/>
          <w:sz w:val="22"/>
          <w:lang w:val="pt-BR"/>
        </w:rPr>
        <w:t xml:space="preserve"> </w:t>
      </w:r>
      <w:r w:rsidR="00AB6E55" w:rsidRPr="000608EA">
        <w:rPr>
          <w:rFonts w:ascii="Arial" w:hAnsi="Arial" w:cs="Arial"/>
          <w:sz w:val="22"/>
          <w:lang w:val="pt-BR"/>
        </w:rPr>
        <w:lastRenderedPageBreak/>
        <w:t xml:space="preserve">permitiu aos </w:t>
      </w:r>
      <w:proofErr w:type="spellStart"/>
      <w:r w:rsidR="00AB6E55" w:rsidRPr="00F213F7">
        <w:rPr>
          <w:rFonts w:ascii="Arial" w:hAnsi="Arial" w:cs="Arial"/>
          <w:i/>
          <w:sz w:val="22"/>
          <w:lang w:val="pt-BR"/>
        </w:rPr>
        <w:t>investments</w:t>
      </w:r>
      <w:proofErr w:type="spellEnd"/>
      <w:r w:rsidR="00AB6E55" w:rsidRPr="00F213F7">
        <w:rPr>
          <w:rFonts w:ascii="Arial" w:hAnsi="Arial" w:cs="Arial"/>
          <w:i/>
          <w:sz w:val="22"/>
          <w:lang w:val="pt-BR"/>
        </w:rPr>
        <w:t xml:space="preserve"> </w:t>
      </w:r>
      <w:proofErr w:type="spellStart"/>
      <w:proofErr w:type="gramStart"/>
      <w:r w:rsidR="00AB6E55" w:rsidRPr="00F213F7">
        <w:rPr>
          <w:rFonts w:ascii="Arial" w:hAnsi="Arial" w:cs="Arial"/>
          <w:i/>
          <w:sz w:val="22"/>
          <w:lang w:val="pt-BR"/>
        </w:rPr>
        <w:t>banks</w:t>
      </w:r>
      <w:proofErr w:type="spellEnd"/>
      <w:proofErr w:type="gramEnd"/>
      <w:r w:rsidR="00AB6E55" w:rsidRPr="000608EA">
        <w:rPr>
          <w:rFonts w:ascii="Arial" w:hAnsi="Arial" w:cs="Arial"/>
          <w:sz w:val="22"/>
          <w:lang w:val="pt-BR"/>
        </w:rPr>
        <w:t xml:space="preserve"> </w:t>
      </w:r>
      <w:r w:rsidR="002F77F1" w:rsidRPr="000608EA">
        <w:rPr>
          <w:rFonts w:ascii="Arial" w:hAnsi="Arial" w:cs="Arial"/>
          <w:sz w:val="22"/>
          <w:lang w:val="pt-BR"/>
        </w:rPr>
        <w:t xml:space="preserve">esquivar-se </w:t>
      </w:r>
      <w:r w:rsidR="00AB6E55" w:rsidRPr="000608EA">
        <w:rPr>
          <w:rFonts w:ascii="Arial" w:hAnsi="Arial" w:cs="Arial"/>
          <w:sz w:val="22"/>
          <w:lang w:val="pt-BR"/>
        </w:rPr>
        <w:t xml:space="preserve">da regulação e supervisão do </w:t>
      </w:r>
      <w:r w:rsidR="002F77F1" w:rsidRPr="000608EA">
        <w:rPr>
          <w:rFonts w:ascii="Arial" w:hAnsi="Arial" w:cs="Arial"/>
          <w:sz w:val="22"/>
          <w:lang w:val="pt-BR"/>
        </w:rPr>
        <w:t>Federal Reserve System -FE</w:t>
      </w:r>
      <w:r w:rsidR="00AB6E55" w:rsidRPr="000608EA">
        <w:rPr>
          <w:rFonts w:ascii="Arial" w:hAnsi="Arial" w:cs="Arial"/>
          <w:sz w:val="22"/>
          <w:lang w:val="pt-BR"/>
        </w:rPr>
        <w:t>D.</w:t>
      </w:r>
      <w:r w:rsidR="002F77F1" w:rsidRPr="000608EA">
        <w:rPr>
          <w:rFonts w:ascii="Arial" w:hAnsi="Arial" w:cs="Arial"/>
          <w:sz w:val="22"/>
          <w:lang w:val="pt-BR"/>
        </w:rPr>
        <w:t xml:space="preserve"> </w:t>
      </w:r>
    </w:p>
    <w:p w:rsidR="00AB6E55" w:rsidRPr="000608EA" w:rsidRDefault="006C7198" w:rsidP="00546712">
      <w:pPr>
        <w:pStyle w:val="Paragraph"/>
        <w:tabs>
          <w:tab w:val="clear" w:pos="2448"/>
          <w:tab w:val="num" w:pos="720"/>
        </w:tabs>
        <w:ind w:left="720" w:hanging="720"/>
        <w:rPr>
          <w:rFonts w:ascii="Arial" w:hAnsi="Arial" w:cs="Arial"/>
          <w:sz w:val="22"/>
          <w:lang w:val="pt-BR"/>
        </w:rPr>
      </w:pPr>
      <w:r w:rsidRPr="000608EA">
        <w:rPr>
          <w:rFonts w:ascii="Arial" w:hAnsi="Arial" w:cs="Arial"/>
          <w:sz w:val="22"/>
          <w:lang w:val="pt-BR"/>
        </w:rPr>
        <w:t xml:space="preserve"> </w:t>
      </w:r>
      <w:r w:rsidR="00931A7B" w:rsidRPr="000608EA">
        <w:rPr>
          <w:rFonts w:ascii="Arial" w:hAnsi="Arial" w:cs="Arial"/>
          <w:sz w:val="22"/>
          <w:lang w:val="pt-BR"/>
        </w:rPr>
        <w:t>A supervisão do SFN</w:t>
      </w:r>
      <w:r w:rsidR="00931A7B" w:rsidRPr="000608EA">
        <w:rPr>
          <w:rFonts w:ascii="Arial" w:hAnsi="Arial" w:cs="Arial"/>
          <w:sz w:val="22"/>
          <w:vertAlign w:val="superscript"/>
        </w:rPr>
        <w:footnoteReference w:id="7"/>
      </w:r>
      <w:r w:rsidR="00931A7B" w:rsidRPr="000608EA">
        <w:rPr>
          <w:rFonts w:ascii="Arial" w:hAnsi="Arial" w:cs="Arial"/>
          <w:sz w:val="22"/>
          <w:lang w:val="pt-BR"/>
        </w:rPr>
        <w:t xml:space="preserve"> se dá através de dois </w:t>
      </w:r>
      <w:r w:rsidR="00BD667F" w:rsidRPr="000608EA">
        <w:rPr>
          <w:rFonts w:ascii="Arial" w:hAnsi="Arial" w:cs="Arial"/>
          <w:sz w:val="22"/>
          <w:lang w:val="pt-BR"/>
        </w:rPr>
        <w:t>macro</w:t>
      </w:r>
      <w:r w:rsidR="00931A7B" w:rsidRPr="000608EA">
        <w:rPr>
          <w:rFonts w:ascii="Arial" w:hAnsi="Arial" w:cs="Arial"/>
          <w:sz w:val="22"/>
          <w:lang w:val="pt-BR"/>
        </w:rPr>
        <w:t>processos: (i) monitoramento do SFN; e (</w:t>
      </w:r>
      <w:proofErr w:type="spellStart"/>
      <w:proofErr w:type="gramStart"/>
      <w:r w:rsidR="00931A7B" w:rsidRPr="000608EA">
        <w:rPr>
          <w:rFonts w:ascii="Arial" w:hAnsi="Arial" w:cs="Arial"/>
          <w:sz w:val="22"/>
          <w:lang w:val="pt-BR"/>
        </w:rPr>
        <w:t>ii</w:t>
      </w:r>
      <w:proofErr w:type="spellEnd"/>
      <w:proofErr w:type="gramEnd"/>
      <w:r w:rsidR="00931A7B" w:rsidRPr="000608EA">
        <w:rPr>
          <w:rFonts w:ascii="Arial" w:hAnsi="Arial" w:cs="Arial"/>
          <w:sz w:val="22"/>
          <w:lang w:val="pt-BR"/>
        </w:rPr>
        <w:t xml:space="preserve">) Supervisão das Instituições Financeiras que é realizado pelas equipes da Diretoria de Fiscalização (DIFIS). </w:t>
      </w:r>
    </w:p>
    <w:p w:rsidR="00931A7B" w:rsidRPr="000608EA" w:rsidRDefault="00BD667F" w:rsidP="00546712">
      <w:pPr>
        <w:pStyle w:val="Paragraph"/>
        <w:tabs>
          <w:tab w:val="clear" w:pos="2448"/>
          <w:tab w:val="num" w:pos="720"/>
        </w:tabs>
        <w:ind w:left="720" w:hanging="720"/>
        <w:rPr>
          <w:rFonts w:ascii="Arial" w:hAnsi="Arial" w:cs="Arial"/>
          <w:sz w:val="22"/>
          <w:lang w:val="pt-BR"/>
        </w:rPr>
      </w:pPr>
      <w:r w:rsidRPr="000608EA">
        <w:rPr>
          <w:rFonts w:ascii="Arial" w:hAnsi="Arial" w:cs="Arial"/>
          <w:sz w:val="22"/>
          <w:lang w:val="pt-BR"/>
        </w:rPr>
        <w:t>O macro</w:t>
      </w:r>
      <w:r w:rsidR="00931A7B" w:rsidRPr="000608EA">
        <w:rPr>
          <w:rFonts w:ascii="Arial" w:hAnsi="Arial" w:cs="Arial"/>
          <w:sz w:val="22"/>
          <w:lang w:val="pt-BR"/>
        </w:rPr>
        <w:t>processo de monitoramento do SFN está fundamentado nas seguintes bases: (i) Informação de qualidade (tempestiva) e capacidade de análise para tomada de decisão; (</w:t>
      </w:r>
      <w:proofErr w:type="spellStart"/>
      <w:r w:rsidR="00931A7B" w:rsidRPr="000608EA">
        <w:rPr>
          <w:rFonts w:ascii="Arial" w:hAnsi="Arial" w:cs="Arial"/>
          <w:sz w:val="22"/>
          <w:lang w:val="pt-BR"/>
        </w:rPr>
        <w:t>ii</w:t>
      </w:r>
      <w:proofErr w:type="spellEnd"/>
      <w:r w:rsidR="00931A7B" w:rsidRPr="000608EA">
        <w:rPr>
          <w:rFonts w:ascii="Arial" w:hAnsi="Arial" w:cs="Arial"/>
          <w:sz w:val="22"/>
          <w:lang w:val="pt-BR"/>
        </w:rPr>
        <w:t>) todas as operações financeiras devem ser liquidadas no Sistema de Pagamentos Brasileiro, operado pelo BCB; (</w:t>
      </w:r>
      <w:proofErr w:type="spellStart"/>
      <w:r w:rsidR="00931A7B" w:rsidRPr="000608EA">
        <w:rPr>
          <w:rFonts w:ascii="Arial" w:hAnsi="Arial" w:cs="Arial"/>
          <w:sz w:val="22"/>
          <w:lang w:val="pt-BR"/>
        </w:rPr>
        <w:t>iii</w:t>
      </w:r>
      <w:proofErr w:type="spellEnd"/>
      <w:r w:rsidR="00931A7B" w:rsidRPr="000608EA">
        <w:rPr>
          <w:rFonts w:ascii="Arial" w:hAnsi="Arial" w:cs="Arial"/>
          <w:sz w:val="22"/>
          <w:lang w:val="pt-BR"/>
        </w:rPr>
        <w:t>) todos os ativos e derivativos de Instituições Financeiras são registrados e negociados em uma câmara; (</w:t>
      </w:r>
      <w:proofErr w:type="spellStart"/>
      <w:r w:rsidR="00931A7B" w:rsidRPr="000608EA">
        <w:rPr>
          <w:rFonts w:ascii="Arial" w:hAnsi="Arial" w:cs="Arial"/>
          <w:sz w:val="22"/>
          <w:lang w:val="pt-BR"/>
        </w:rPr>
        <w:t>iv</w:t>
      </w:r>
      <w:proofErr w:type="spellEnd"/>
      <w:r w:rsidR="00931A7B" w:rsidRPr="000608EA">
        <w:rPr>
          <w:rFonts w:ascii="Arial" w:hAnsi="Arial" w:cs="Arial"/>
          <w:sz w:val="22"/>
          <w:lang w:val="pt-BR"/>
        </w:rPr>
        <w:t>) o BCB recebe informação diária (D+1); (v) todos os empréstimos são informados ao Sistema de Informações de Crédito, sendo que, de forma detalhada, para os devedores com obrigação acima de R$1.000; e (vi) todas as operações de câmbio e linhas de crédito com o exterior são registradas em tempo real.</w:t>
      </w:r>
      <w:r w:rsidR="00E74C5C" w:rsidRPr="000608EA">
        <w:rPr>
          <w:rFonts w:ascii="Arial" w:hAnsi="Arial" w:cs="Arial"/>
          <w:sz w:val="22"/>
          <w:lang w:val="pt-BR"/>
        </w:rPr>
        <w:t xml:space="preserve">  Sobre estas bases e sobre os sistemas do BCB se assentam sete subsistemas </w:t>
      </w:r>
      <w:r w:rsidR="0049326A">
        <w:rPr>
          <w:rFonts w:ascii="Arial" w:hAnsi="Arial" w:cs="Arial"/>
          <w:sz w:val="22"/>
          <w:lang w:val="pt-BR"/>
        </w:rPr>
        <w:t>de monitoramento, os quais: (a) </w:t>
      </w:r>
      <w:proofErr w:type="spellStart"/>
      <w:r w:rsidR="00E74C5C" w:rsidRPr="000608EA">
        <w:rPr>
          <w:rFonts w:ascii="Arial" w:hAnsi="Arial" w:cs="Arial"/>
          <w:sz w:val="22"/>
          <w:lang w:val="pt-BR"/>
        </w:rPr>
        <w:t>Econômico</w:t>
      </w:r>
      <w:r w:rsidR="0049326A">
        <w:rPr>
          <w:rFonts w:ascii="Arial" w:hAnsi="Arial" w:cs="Arial"/>
          <w:sz w:val="22"/>
          <w:lang w:val="pt-BR"/>
        </w:rPr>
        <w:t>˗</w:t>
      </w:r>
      <w:r w:rsidR="00E74C5C" w:rsidRPr="000608EA">
        <w:rPr>
          <w:rFonts w:ascii="Arial" w:hAnsi="Arial" w:cs="Arial"/>
          <w:sz w:val="22"/>
          <w:lang w:val="pt-BR"/>
        </w:rPr>
        <w:t>Financeiro</w:t>
      </w:r>
      <w:proofErr w:type="spellEnd"/>
      <w:r w:rsidR="00E74C5C" w:rsidRPr="000608EA">
        <w:rPr>
          <w:rFonts w:ascii="Arial" w:hAnsi="Arial" w:cs="Arial"/>
          <w:sz w:val="22"/>
          <w:lang w:val="pt-BR"/>
        </w:rPr>
        <w:t>; (b) Crédito; (c) Liqu</w:t>
      </w:r>
      <w:r w:rsidR="0049326A">
        <w:rPr>
          <w:rFonts w:ascii="Arial" w:hAnsi="Arial" w:cs="Arial"/>
          <w:sz w:val="22"/>
          <w:lang w:val="pt-BR"/>
        </w:rPr>
        <w:t>idez e de Risco de Mercado; (d) </w:t>
      </w:r>
      <w:r w:rsidR="00E74C5C" w:rsidRPr="000608EA">
        <w:rPr>
          <w:rFonts w:ascii="Arial" w:hAnsi="Arial" w:cs="Arial"/>
          <w:sz w:val="22"/>
          <w:lang w:val="pt-BR"/>
        </w:rPr>
        <w:t>Mercados Financeiros; (e) Câmbio; (f) Risco Sistêmico; e (g) Detecção de Fraudes.</w:t>
      </w:r>
    </w:p>
    <w:p w:rsidR="00E74C5C" w:rsidRPr="000608EA" w:rsidRDefault="00E74C5C" w:rsidP="00546712">
      <w:pPr>
        <w:pStyle w:val="Paragraph"/>
        <w:tabs>
          <w:tab w:val="clear" w:pos="2448"/>
          <w:tab w:val="num" w:pos="720"/>
        </w:tabs>
        <w:ind w:left="720" w:hanging="720"/>
        <w:rPr>
          <w:rFonts w:ascii="Arial" w:hAnsi="Arial" w:cs="Arial"/>
          <w:sz w:val="22"/>
          <w:lang w:val="pt-BR"/>
        </w:rPr>
      </w:pPr>
      <w:r w:rsidRPr="000608EA">
        <w:rPr>
          <w:rFonts w:ascii="Arial" w:hAnsi="Arial" w:cs="Arial"/>
          <w:sz w:val="22"/>
          <w:lang w:val="pt-BR"/>
        </w:rPr>
        <w:t>J</w:t>
      </w:r>
      <w:r w:rsidR="00BD667F" w:rsidRPr="000608EA">
        <w:rPr>
          <w:rFonts w:ascii="Arial" w:hAnsi="Arial" w:cs="Arial"/>
          <w:sz w:val="22"/>
          <w:lang w:val="pt-BR"/>
        </w:rPr>
        <w:t>á o macro</w:t>
      </w:r>
      <w:r w:rsidRPr="000608EA">
        <w:rPr>
          <w:rFonts w:ascii="Arial" w:hAnsi="Arial" w:cs="Arial"/>
          <w:sz w:val="22"/>
          <w:lang w:val="pt-BR"/>
        </w:rPr>
        <w:t xml:space="preserve">processo de supervisão de instituições financeiras busca avaliar e acompanha a infraestrutura de supervisão de gerenciamento de risco das instituições financeiras, de forma integrada com os sistemas de monitoramento do BCB. </w:t>
      </w:r>
    </w:p>
    <w:p w:rsidR="00E74C5C" w:rsidRPr="000608EA" w:rsidRDefault="00FB3C52" w:rsidP="00546712">
      <w:pPr>
        <w:pStyle w:val="Paragraph"/>
        <w:tabs>
          <w:tab w:val="clear" w:pos="2448"/>
          <w:tab w:val="num" w:pos="720"/>
        </w:tabs>
        <w:ind w:left="720" w:hanging="720"/>
        <w:rPr>
          <w:rFonts w:ascii="Arial" w:hAnsi="Arial" w:cs="Arial"/>
          <w:sz w:val="22"/>
          <w:lang w:val="pt-BR"/>
        </w:rPr>
      </w:pPr>
      <w:r w:rsidRPr="000608EA">
        <w:rPr>
          <w:rFonts w:ascii="Arial" w:hAnsi="Arial" w:cs="Arial"/>
          <w:sz w:val="22"/>
          <w:lang w:val="pt-BR"/>
        </w:rPr>
        <w:t xml:space="preserve">A base para a supervisão é um modelo de score incorporado no Sistema de Avaliação de Risco e Controle do BCB (SRC). O SRC estabelece uma estrutura de avaliação de fatores financeiros e </w:t>
      </w:r>
      <w:proofErr w:type="gramStart"/>
      <w:r w:rsidRPr="000608EA">
        <w:rPr>
          <w:rFonts w:ascii="Arial" w:hAnsi="Arial" w:cs="Arial"/>
          <w:sz w:val="22"/>
          <w:lang w:val="pt-BR"/>
        </w:rPr>
        <w:t>operacionais, e expressa</w:t>
      </w:r>
      <w:proofErr w:type="gramEnd"/>
      <w:r w:rsidRPr="000608EA">
        <w:rPr>
          <w:rFonts w:ascii="Arial" w:hAnsi="Arial" w:cs="Arial"/>
          <w:sz w:val="22"/>
          <w:lang w:val="pt-BR"/>
        </w:rPr>
        <w:t xml:space="preserve">, em uma única nota, a opinião da Supervisão sobre a instituição financeira. O modelo, em uma escala ordinal de 1 a 4, traduz uma avaliação econômico-financeira e de solvência das instituições. Isso permite distinguir aquelas que apresentam uma situação econômico-financeira saudável (escores </w:t>
      </w:r>
      <w:proofErr w:type="gramStart"/>
      <w:r w:rsidRPr="000608EA">
        <w:rPr>
          <w:rFonts w:ascii="Arial" w:hAnsi="Arial" w:cs="Arial"/>
          <w:sz w:val="22"/>
          <w:lang w:val="pt-BR"/>
        </w:rPr>
        <w:t>1</w:t>
      </w:r>
      <w:proofErr w:type="gramEnd"/>
      <w:r w:rsidRPr="000608EA">
        <w:rPr>
          <w:rFonts w:ascii="Arial" w:hAnsi="Arial" w:cs="Arial"/>
          <w:sz w:val="22"/>
          <w:lang w:val="pt-BR"/>
        </w:rPr>
        <w:t xml:space="preserve"> e 2) daquelas que apresentam sintomas de deterioração (escores 3 e 4).</w:t>
      </w:r>
    </w:p>
    <w:p w:rsidR="00E640DD" w:rsidRPr="000608EA" w:rsidRDefault="00FB3C52" w:rsidP="00546712">
      <w:pPr>
        <w:pStyle w:val="Paragraph"/>
        <w:tabs>
          <w:tab w:val="clear" w:pos="2448"/>
          <w:tab w:val="num" w:pos="720"/>
        </w:tabs>
        <w:ind w:left="720" w:hanging="720"/>
        <w:rPr>
          <w:rFonts w:ascii="Arial" w:hAnsi="Arial" w:cs="Arial"/>
          <w:sz w:val="22"/>
          <w:lang w:val="pt-BR"/>
        </w:rPr>
      </w:pPr>
      <w:r w:rsidRPr="000608EA">
        <w:rPr>
          <w:rFonts w:ascii="Arial" w:hAnsi="Arial" w:cs="Arial"/>
          <w:sz w:val="22"/>
          <w:lang w:val="pt-BR"/>
        </w:rPr>
        <w:t>O BNDES é um dos quatro bancos de desenvolvimento em operação dentro do SFN, sendo o único pertencente ao governo federal</w:t>
      </w:r>
      <w:r w:rsidRPr="000608EA">
        <w:rPr>
          <w:rFonts w:ascii="Arial" w:hAnsi="Arial" w:cs="Arial"/>
          <w:sz w:val="22"/>
          <w:vertAlign w:val="superscript"/>
        </w:rPr>
        <w:footnoteReference w:id="8"/>
      </w:r>
      <w:r w:rsidRPr="000608EA">
        <w:rPr>
          <w:rFonts w:ascii="Arial" w:hAnsi="Arial" w:cs="Arial"/>
          <w:sz w:val="22"/>
          <w:lang w:val="pt-BR"/>
        </w:rPr>
        <w:t xml:space="preserve"> e como tal sob a supervisão </w:t>
      </w:r>
      <w:r w:rsidR="00E640DD" w:rsidRPr="000608EA">
        <w:rPr>
          <w:rFonts w:ascii="Arial" w:hAnsi="Arial" w:cs="Arial"/>
          <w:sz w:val="22"/>
          <w:lang w:val="pt-BR"/>
        </w:rPr>
        <w:t>da DIFIS do BCB foi obrigado a implantar uma estrutura de gerenciamento do risco de crédito em conformidade ao estabelecido na Resolução nº 3.721/2009 do Conselho Monetário Nacional.</w:t>
      </w:r>
    </w:p>
    <w:p w:rsidR="00E640DD" w:rsidRPr="000608EA" w:rsidRDefault="000608EA" w:rsidP="00E640DD">
      <w:pPr>
        <w:pStyle w:val="Chapter"/>
        <w:rPr>
          <w:rFonts w:ascii="Arial" w:hAnsi="Arial" w:cs="Arial"/>
          <w:sz w:val="22"/>
          <w:lang w:val="pt-BR"/>
        </w:rPr>
      </w:pPr>
      <w:r>
        <w:rPr>
          <w:rFonts w:ascii="Arial" w:hAnsi="Arial" w:cs="Arial"/>
          <w:sz w:val="22"/>
          <w:lang w:val="pt-BR"/>
        </w:rPr>
        <w:t>Estrutura d</w:t>
      </w:r>
      <w:r w:rsidRPr="000608EA">
        <w:rPr>
          <w:rFonts w:ascii="Arial" w:hAnsi="Arial" w:cs="Arial"/>
          <w:sz w:val="22"/>
          <w:lang w:val="pt-BR"/>
        </w:rPr>
        <w:t xml:space="preserve">e Gerenciamento </w:t>
      </w:r>
      <w:r>
        <w:rPr>
          <w:rFonts w:ascii="Arial" w:hAnsi="Arial" w:cs="Arial"/>
          <w:sz w:val="22"/>
          <w:lang w:val="pt-BR"/>
        </w:rPr>
        <w:t>d</w:t>
      </w:r>
      <w:r w:rsidRPr="000608EA">
        <w:rPr>
          <w:rFonts w:ascii="Arial" w:hAnsi="Arial" w:cs="Arial"/>
          <w:sz w:val="22"/>
          <w:lang w:val="pt-BR"/>
        </w:rPr>
        <w:t xml:space="preserve">e Riscos </w:t>
      </w:r>
      <w:r>
        <w:rPr>
          <w:rFonts w:ascii="Arial" w:hAnsi="Arial" w:cs="Arial"/>
          <w:sz w:val="22"/>
          <w:lang w:val="pt-BR"/>
        </w:rPr>
        <w:t>n</w:t>
      </w:r>
      <w:r w:rsidRPr="000608EA">
        <w:rPr>
          <w:rFonts w:ascii="Arial" w:hAnsi="Arial" w:cs="Arial"/>
          <w:sz w:val="22"/>
          <w:lang w:val="pt-BR"/>
        </w:rPr>
        <w:t xml:space="preserve">o </w:t>
      </w:r>
      <w:proofErr w:type="spellStart"/>
      <w:proofErr w:type="gramStart"/>
      <w:r w:rsidRPr="000608EA">
        <w:rPr>
          <w:rFonts w:ascii="Arial" w:hAnsi="Arial" w:cs="Arial"/>
          <w:sz w:val="22"/>
          <w:lang w:val="pt-BR"/>
        </w:rPr>
        <w:t>Bndes</w:t>
      </w:r>
      <w:proofErr w:type="spellEnd"/>
      <w:proofErr w:type="gramEnd"/>
      <w:r w:rsidRPr="000608EA">
        <w:rPr>
          <w:rFonts w:ascii="Arial" w:hAnsi="Arial" w:cs="Arial"/>
          <w:sz w:val="22"/>
          <w:lang w:val="pt-BR"/>
        </w:rPr>
        <w:t xml:space="preserve"> </w:t>
      </w:r>
      <w:r>
        <w:rPr>
          <w:rFonts w:ascii="Arial" w:hAnsi="Arial" w:cs="Arial"/>
          <w:sz w:val="22"/>
          <w:lang w:val="pt-BR"/>
        </w:rPr>
        <w:t>n</w:t>
      </w:r>
      <w:r w:rsidRPr="000608EA">
        <w:rPr>
          <w:rFonts w:ascii="Arial" w:hAnsi="Arial" w:cs="Arial"/>
          <w:sz w:val="22"/>
          <w:lang w:val="pt-BR"/>
        </w:rPr>
        <w:t xml:space="preserve">as  Operações Indiretas </w:t>
      </w:r>
    </w:p>
    <w:p w:rsidR="00851208" w:rsidRPr="000608EA" w:rsidRDefault="00851208" w:rsidP="00546712">
      <w:pPr>
        <w:pStyle w:val="Paragraph"/>
        <w:tabs>
          <w:tab w:val="clear" w:pos="2448"/>
          <w:tab w:val="num" w:pos="720"/>
        </w:tabs>
        <w:ind w:left="720" w:hanging="720"/>
        <w:rPr>
          <w:rFonts w:ascii="Arial" w:hAnsi="Arial" w:cs="Arial"/>
          <w:sz w:val="22"/>
          <w:lang w:val="pt-BR"/>
        </w:rPr>
      </w:pPr>
      <w:r w:rsidRPr="000608EA">
        <w:rPr>
          <w:rFonts w:ascii="Arial" w:hAnsi="Arial" w:cs="Arial"/>
          <w:sz w:val="22"/>
          <w:lang w:val="pt-BR"/>
        </w:rPr>
        <w:t xml:space="preserve">Conforme foi apresentado na primeira parte deste anexo, o BNDES repousa suas políticas, normas e procedimentos de risco operacional </w:t>
      </w:r>
      <w:r w:rsidR="00B23311" w:rsidRPr="000608EA">
        <w:rPr>
          <w:rFonts w:ascii="Arial" w:hAnsi="Arial" w:cs="Arial"/>
          <w:sz w:val="22"/>
          <w:lang w:val="pt-BR"/>
        </w:rPr>
        <w:t xml:space="preserve">em uma estrutura </w:t>
      </w:r>
      <w:r w:rsidRPr="000608EA">
        <w:rPr>
          <w:rFonts w:ascii="Arial" w:hAnsi="Arial" w:cs="Arial"/>
          <w:sz w:val="22"/>
          <w:lang w:val="pt-BR"/>
        </w:rPr>
        <w:t xml:space="preserve">que </w:t>
      </w:r>
      <w:r w:rsidR="00B23311" w:rsidRPr="000608EA">
        <w:rPr>
          <w:rFonts w:ascii="Arial" w:hAnsi="Arial" w:cs="Arial"/>
          <w:sz w:val="22"/>
          <w:lang w:val="pt-BR"/>
        </w:rPr>
        <w:t>permite cumpr</w:t>
      </w:r>
      <w:r w:rsidRPr="000608EA">
        <w:rPr>
          <w:rFonts w:ascii="Arial" w:hAnsi="Arial" w:cs="Arial"/>
          <w:sz w:val="22"/>
          <w:lang w:val="pt-BR"/>
        </w:rPr>
        <w:t>ir co</w:t>
      </w:r>
      <w:r w:rsidR="00B23311" w:rsidRPr="000608EA">
        <w:rPr>
          <w:rFonts w:ascii="Arial" w:hAnsi="Arial" w:cs="Arial"/>
          <w:sz w:val="22"/>
          <w:lang w:val="pt-BR"/>
        </w:rPr>
        <w:t xml:space="preserve">m </w:t>
      </w:r>
      <w:r w:rsidRPr="000608EA">
        <w:rPr>
          <w:rFonts w:ascii="Arial" w:hAnsi="Arial" w:cs="Arial"/>
          <w:sz w:val="22"/>
          <w:lang w:val="pt-BR"/>
        </w:rPr>
        <w:t>as diferentes etapas para a gest</w:t>
      </w:r>
      <w:r w:rsidR="00B23311" w:rsidRPr="000608EA">
        <w:rPr>
          <w:rFonts w:ascii="Arial" w:hAnsi="Arial" w:cs="Arial"/>
          <w:sz w:val="22"/>
          <w:lang w:val="pt-BR"/>
        </w:rPr>
        <w:t xml:space="preserve">ão de </w:t>
      </w:r>
      <w:r w:rsidRPr="000608EA">
        <w:rPr>
          <w:rFonts w:ascii="Arial" w:hAnsi="Arial" w:cs="Arial"/>
          <w:sz w:val="22"/>
          <w:lang w:val="pt-BR"/>
        </w:rPr>
        <w:t>ris</w:t>
      </w:r>
      <w:r w:rsidR="00B23311" w:rsidRPr="000608EA">
        <w:rPr>
          <w:rFonts w:ascii="Arial" w:hAnsi="Arial" w:cs="Arial"/>
          <w:sz w:val="22"/>
          <w:lang w:val="pt-BR"/>
        </w:rPr>
        <w:t>c</w:t>
      </w:r>
      <w:r w:rsidRPr="000608EA">
        <w:rPr>
          <w:rFonts w:ascii="Arial" w:hAnsi="Arial" w:cs="Arial"/>
          <w:sz w:val="22"/>
          <w:lang w:val="pt-BR"/>
        </w:rPr>
        <w:t>os de u</w:t>
      </w:r>
      <w:r w:rsidR="00B23311" w:rsidRPr="000608EA">
        <w:rPr>
          <w:rFonts w:ascii="Arial" w:hAnsi="Arial" w:cs="Arial"/>
          <w:sz w:val="22"/>
          <w:lang w:val="pt-BR"/>
        </w:rPr>
        <w:t>m</w:t>
      </w:r>
      <w:r w:rsidRPr="000608EA">
        <w:rPr>
          <w:rFonts w:ascii="Arial" w:hAnsi="Arial" w:cs="Arial"/>
          <w:sz w:val="22"/>
          <w:lang w:val="pt-BR"/>
        </w:rPr>
        <w:t>a mane</w:t>
      </w:r>
      <w:r w:rsidR="00B23311" w:rsidRPr="000608EA">
        <w:rPr>
          <w:rFonts w:ascii="Arial" w:hAnsi="Arial" w:cs="Arial"/>
          <w:sz w:val="22"/>
          <w:lang w:val="pt-BR"/>
        </w:rPr>
        <w:t>i</w:t>
      </w:r>
      <w:r w:rsidRPr="000608EA">
        <w:rPr>
          <w:rFonts w:ascii="Arial" w:hAnsi="Arial" w:cs="Arial"/>
          <w:sz w:val="22"/>
          <w:lang w:val="pt-BR"/>
        </w:rPr>
        <w:t xml:space="preserve">ra </w:t>
      </w:r>
      <w:r w:rsidR="00B23311" w:rsidRPr="000608EA">
        <w:rPr>
          <w:rFonts w:ascii="Arial" w:hAnsi="Arial" w:cs="Arial"/>
          <w:sz w:val="22"/>
          <w:lang w:val="pt-BR"/>
        </w:rPr>
        <w:t xml:space="preserve">a </w:t>
      </w:r>
      <w:r w:rsidRPr="000608EA">
        <w:rPr>
          <w:rFonts w:ascii="Arial" w:hAnsi="Arial" w:cs="Arial"/>
          <w:sz w:val="22"/>
          <w:lang w:val="pt-BR"/>
        </w:rPr>
        <w:t>adapta</w:t>
      </w:r>
      <w:r w:rsidR="00B23311" w:rsidRPr="000608EA">
        <w:rPr>
          <w:rFonts w:ascii="Arial" w:hAnsi="Arial" w:cs="Arial"/>
          <w:sz w:val="22"/>
          <w:lang w:val="pt-BR"/>
        </w:rPr>
        <w:t>r-se</w:t>
      </w:r>
      <w:r w:rsidRPr="000608EA">
        <w:rPr>
          <w:rFonts w:ascii="Arial" w:hAnsi="Arial" w:cs="Arial"/>
          <w:sz w:val="22"/>
          <w:lang w:val="pt-BR"/>
        </w:rPr>
        <w:t xml:space="preserve"> a</w:t>
      </w:r>
      <w:r w:rsidR="00B23311" w:rsidRPr="000608EA">
        <w:rPr>
          <w:rFonts w:ascii="Arial" w:hAnsi="Arial" w:cs="Arial"/>
          <w:sz w:val="22"/>
          <w:lang w:val="pt-BR"/>
        </w:rPr>
        <w:t>o</w:t>
      </w:r>
      <w:r w:rsidRPr="000608EA">
        <w:rPr>
          <w:rFonts w:ascii="Arial" w:hAnsi="Arial" w:cs="Arial"/>
          <w:sz w:val="22"/>
          <w:lang w:val="pt-BR"/>
        </w:rPr>
        <w:t xml:space="preserve"> tama</w:t>
      </w:r>
      <w:r w:rsidR="00B23311" w:rsidRPr="000608EA">
        <w:rPr>
          <w:rFonts w:ascii="Arial" w:hAnsi="Arial" w:cs="Arial"/>
          <w:sz w:val="22"/>
          <w:lang w:val="pt-BR"/>
        </w:rPr>
        <w:t>nho</w:t>
      </w:r>
      <w:r w:rsidRPr="000608EA">
        <w:rPr>
          <w:rFonts w:ascii="Arial" w:hAnsi="Arial" w:cs="Arial"/>
          <w:sz w:val="22"/>
          <w:lang w:val="pt-BR"/>
        </w:rPr>
        <w:t xml:space="preserve"> </w:t>
      </w:r>
      <w:r w:rsidR="00B23311" w:rsidRPr="000608EA">
        <w:rPr>
          <w:rFonts w:ascii="Arial" w:hAnsi="Arial" w:cs="Arial"/>
          <w:sz w:val="22"/>
          <w:lang w:val="pt-BR"/>
        </w:rPr>
        <w:t>e</w:t>
      </w:r>
      <w:r w:rsidRPr="000608EA">
        <w:rPr>
          <w:rFonts w:ascii="Arial" w:hAnsi="Arial" w:cs="Arial"/>
          <w:sz w:val="22"/>
          <w:lang w:val="pt-BR"/>
        </w:rPr>
        <w:t xml:space="preserve"> tipo de neg</w:t>
      </w:r>
      <w:r w:rsidR="00B23311" w:rsidRPr="000608EA">
        <w:rPr>
          <w:rFonts w:ascii="Arial" w:hAnsi="Arial" w:cs="Arial"/>
          <w:sz w:val="22"/>
          <w:lang w:val="pt-BR"/>
        </w:rPr>
        <w:t>ó</w:t>
      </w:r>
      <w:r w:rsidRPr="000608EA">
        <w:rPr>
          <w:rFonts w:ascii="Arial" w:hAnsi="Arial" w:cs="Arial"/>
          <w:sz w:val="22"/>
          <w:lang w:val="pt-BR"/>
        </w:rPr>
        <w:t>cios que realiza.</w:t>
      </w:r>
    </w:p>
    <w:p w:rsidR="00FF7C12" w:rsidRPr="000608EA" w:rsidRDefault="00FF7C12" w:rsidP="00FF7C12">
      <w:pPr>
        <w:pStyle w:val="Paragraph"/>
        <w:tabs>
          <w:tab w:val="clear" w:pos="2448"/>
          <w:tab w:val="num" w:pos="720"/>
        </w:tabs>
        <w:ind w:left="720" w:hanging="720"/>
        <w:rPr>
          <w:rFonts w:ascii="Arial" w:hAnsi="Arial" w:cs="Arial"/>
          <w:sz w:val="22"/>
          <w:lang w:val="pt-BR"/>
        </w:rPr>
      </w:pPr>
      <w:r w:rsidRPr="000608EA">
        <w:rPr>
          <w:rFonts w:ascii="Arial" w:hAnsi="Arial" w:cs="Arial"/>
          <w:sz w:val="22"/>
          <w:lang w:val="pt-BR"/>
        </w:rPr>
        <w:t xml:space="preserve">Nas operações indiretas (segundo piso), o BNDES repassa os recursos financeiros a bancos comerciais, públicos ou privados, agências de fomento e cooperativas </w:t>
      </w:r>
      <w:r w:rsidRPr="000608EA">
        <w:rPr>
          <w:rFonts w:ascii="Arial" w:hAnsi="Arial" w:cs="Arial"/>
          <w:sz w:val="22"/>
          <w:lang w:val="pt-BR"/>
        </w:rPr>
        <w:lastRenderedPageBreak/>
        <w:t>credenciadas pelo BNDES, e estes agentes serão responsáveis pela análise e aprovação do crédito e pela definição das garantias. Já nas operações mistas o processo é compartilhado entre o BNDES e as instituições financeiras credenciadas</w:t>
      </w:r>
      <w:r w:rsidR="005B10F6" w:rsidRPr="000608EA">
        <w:rPr>
          <w:rFonts w:ascii="Arial" w:hAnsi="Arial" w:cs="Arial"/>
          <w:sz w:val="22"/>
          <w:lang w:val="pt-BR"/>
        </w:rPr>
        <w:t>, ficando cada uma com uma parcela de risco da operação proporcional a sua operação, já para o BNDES permite evitar a concentração de risco em operações maiores ou de carteiras específicas.</w:t>
      </w:r>
    </w:p>
    <w:p w:rsidR="005B10F6" w:rsidRPr="000608EA" w:rsidRDefault="00085424" w:rsidP="002647CA">
      <w:pPr>
        <w:pStyle w:val="Paragraph"/>
        <w:tabs>
          <w:tab w:val="clear" w:pos="2448"/>
          <w:tab w:val="num" w:pos="720"/>
        </w:tabs>
        <w:ind w:left="720" w:hanging="720"/>
        <w:rPr>
          <w:rFonts w:ascii="Arial" w:hAnsi="Arial" w:cs="Arial"/>
          <w:sz w:val="22"/>
          <w:lang w:val="pt-BR"/>
        </w:rPr>
      </w:pPr>
      <w:r w:rsidRPr="000608EA">
        <w:rPr>
          <w:rFonts w:ascii="Arial" w:hAnsi="Arial" w:cs="Arial"/>
          <w:sz w:val="22"/>
          <w:lang w:val="pt-BR"/>
        </w:rPr>
        <w:t>As operações indiretas (segundo piso) e mistas cumprem uma dupla função para o BNDES</w:t>
      </w:r>
      <w:r w:rsidR="00FF7C12" w:rsidRPr="000608EA">
        <w:rPr>
          <w:rFonts w:ascii="Arial" w:hAnsi="Arial" w:cs="Arial"/>
          <w:sz w:val="22"/>
          <w:lang w:val="pt-BR"/>
        </w:rPr>
        <w:t>, primeiramente, para que alcance clientes potenciais por todo o território nacional</w:t>
      </w:r>
      <w:r w:rsidR="00CC4E86" w:rsidRPr="000608EA">
        <w:rPr>
          <w:rStyle w:val="FootnoteReference"/>
          <w:rFonts w:ascii="Arial" w:hAnsi="Arial" w:cs="Arial"/>
          <w:sz w:val="22"/>
          <w:lang w:val="pt-BR"/>
        </w:rPr>
        <w:footnoteReference w:id="9"/>
      </w:r>
      <w:r w:rsidR="00FF7C12" w:rsidRPr="000608EA">
        <w:rPr>
          <w:rFonts w:ascii="Arial" w:hAnsi="Arial" w:cs="Arial"/>
          <w:sz w:val="22"/>
          <w:lang w:val="pt-BR"/>
        </w:rPr>
        <w:t>, sendo que a maioria dos bancos brasileiros faz parte desta rede sendo,</w:t>
      </w:r>
      <w:proofErr w:type="gramStart"/>
      <w:r w:rsidR="00FF7C12" w:rsidRPr="000608EA">
        <w:rPr>
          <w:rFonts w:ascii="Arial" w:hAnsi="Arial" w:cs="Arial"/>
          <w:sz w:val="22"/>
          <w:lang w:val="pt-BR"/>
        </w:rPr>
        <w:t xml:space="preserve">  </w:t>
      </w:r>
      <w:proofErr w:type="gramEnd"/>
      <w:r w:rsidR="00FF7C12" w:rsidRPr="000608EA">
        <w:rPr>
          <w:rFonts w:ascii="Arial" w:hAnsi="Arial" w:cs="Arial"/>
          <w:sz w:val="22"/>
          <w:lang w:val="pt-BR"/>
        </w:rPr>
        <w:t>credenciada a operar com as linhas de financiamento do BNDES. Em segundo, por permitir que os bancos credenciados aumentem sua exposição a operações de financiamento de longo prazo, em particular as operações maiores e mais complexas, disseminando o conhecimento que de outra forma estaria restrito a um pequeno número de instituições. Por sua vez, a aprovação de crédito através das instituições financeiras credenciadas permite que estas repassem linhas de financiamento de longo prazo, aumentando as vantagens do melhor relacionamento e da fidelização de uma carteira de clientes com alto potencial de crescimento de receita, além de incorporar o conhecimento dos temas específicos regionais, locais e de relacionamento com os clientes.</w:t>
      </w:r>
      <w:r w:rsidR="002647CA" w:rsidRPr="000608EA">
        <w:rPr>
          <w:rFonts w:ascii="Arial" w:hAnsi="Arial" w:cs="Arial"/>
          <w:sz w:val="22"/>
          <w:lang w:val="pt-BR"/>
        </w:rPr>
        <w:t xml:space="preserve">  </w:t>
      </w:r>
      <w:r w:rsidR="005B10F6" w:rsidRPr="000608EA">
        <w:rPr>
          <w:rFonts w:ascii="Arial" w:hAnsi="Arial" w:cs="Arial"/>
          <w:sz w:val="22"/>
          <w:lang w:val="pt-BR"/>
        </w:rPr>
        <w:t>O risco das operações indiretas é assumido pelos agentes financeiros que analisam o projeto. Contudo, o BNDES acompanha e fiscaliza estas operações, além de prestar qualquer informação diretamente ao empresário, caso solicitado</w:t>
      </w:r>
      <w:r w:rsidR="002647CA" w:rsidRPr="000608EA">
        <w:rPr>
          <w:rStyle w:val="FootnoteReference"/>
          <w:rFonts w:ascii="Arial" w:hAnsi="Arial" w:cs="Arial"/>
          <w:sz w:val="22"/>
          <w:lang w:val="pt-BR"/>
        </w:rPr>
        <w:footnoteReference w:id="10"/>
      </w:r>
      <w:r w:rsidR="005B10F6" w:rsidRPr="000608EA">
        <w:rPr>
          <w:rFonts w:ascii="Arial" w:hAnsi="Arial" w:cs="Arial"/>
          <w:sz w:val="22"/>
          <w:lang w:val="pt-BR"/>
        </w:rPr>
        <w:t xml:space="preserve">. </w:t>
      </w:r>
    </w:p>
    <w:p w:rsidR="00E640DD" w:rsidRPr="000608EA" w:rsidRDefault="00C20AF5" w:rsidP="00546712">
      <w:pPr>
        <w:pStyle w:val="Paragraph"/>
        <w:tabs>
          <w:tab w:val="clear" w:pos="2448"/>
          <w:tab w:val="num" w:pos="720"/>
        </w:tabs>
        <w:ind w:left="720" w:hanging="720"/>
        <w:rPr>
          <w:rFonts w:ascii="Arial" w:hAnsi="Arial" w:cs="Arial"/>
          <w:sz w:val="22"/>
          <w:lang w:val="pt-BR"/>
        </w:rPr>
      </w:pPr>
      <w:r w:rsidRPr="000608EA">
        <w:rPr>
          <w:rFonts w:ascii="Arial" w:hAnsi="Arial" w:cs="Arial"/>
          <w:sz w:val="22"/>
          <w:lang w:val="pt-BR"/>
        </w:rPr>
        <w:t>Para</w:t>
      </w:r>
      <w:r w:rsidR="00B23311" w:rsidRPr="000608EA">
        <w:rPr>
          <w:rFonts w:ascii="Arial" w:hAnsi="Arial" w:cs="Arial"/>
          <w:sz w:val="22"/>
          <w:lang w:val="pt-BR"/>
        </w:rPr>
        <w:t xml:space="preserve"> </w:t>
      </w:r>
      <w:r w:rsidR="00F213F7">
        <w:rPr>
          <w:rFonts w:ascii="Arial" w:hAnsi="Arial" w:cs="Arial"/>
          <w:sz w:val="22"/>
          <w:lang w:val="pt-BR"/>
        </w:rPr>
        <w:t>a</w:t>
      </w:r>
      <w:r w:rsidR="00B23311" w:rsidRPr="000608EA">
        <w:rPr>
          <w:rFonts w:ascii="Arial" w:hAnsi="Arial" w:cs="Arial"/>
          <w:sz w:val="22"/>
          <w:lang w:val="pt-BR"/>
        </w:rPr>
        <w:t>s operações indiretas (segundo piso), as</w:t>
      </w:r>
      <w:r w:rsidR="00546712" w:rsidRPr="000608EA">
        <w:rPr>
          <w:rFonts w:ascii="Arial" w:hAnsi="Arial" w:cs="Arial"/>
          <w:sz w:val="22"/>
          <w:lang w:val="pt-BR"/>
        </w:rPr>
        <w:t xml:space="preserve"> diretrizes estão descritas nas seguintes normas aprovadas pela Diretoria do BNDES para: (i) </w:t>
      </w:r>
      <w:hyperlink r:id="rId16" w:history="1">
        <w:r w:rsidR="00546712" w:rsidRPr="000608EA">
          <w:rPr>
            <w:rStyle w:val="Hyperlink"/>
            <w:rFonts w:ascii="Arial" w:hAnsi="Arial" w:cs="Arial"/>
            <w:sz w:val="22"/>
            <w:lang w:val="pt-BR"/>
          </w:rPr>
          <w:t>Credenciamento de Instituições Financeiras</w:t>
        </w:r>
      </w:hyperlink>
      <w:r w:rsidR="00546712" w:rsidRPr="000608EA">
        <w:rPr>
          <w:rFonts w:ascii="Arial" w:hAnsi="Arial" w:cs="Arial"/>
          <w:sz w:val="22"/>
          <w:lang w:val="pt-BR"/>
        </w:rPr>
        <w:t>; (</w:t>
      </w:r>
      <w:proofErr w:type="spellStart"/>
      <w:proofErr w:type="gramStart"/>
      <w:r w:rsidR="00546712" w:rsidRPr="000608EA">
        <w:rPr>
          <w:rFonts w:ascii="Arial" w:hAnsi="Arial" w:cs="Arial"/>
          <w:sz w:val="22"/>
          <w:lang w:val="pt-BR"/>
        </w:rPr>
        <w:t>ii</w:t>
      </w:r>
      <w:proofErr w:type="spellEnd"/>
      <w:proofErr w:type="gramEnd"/>
      <w:r w:rsidR="00546712" w:rsidRPr="000608EA">
        <w:rPr>
          <w:rFonts w:ascii="Arial" w:hAnsi="Arial" w:cs="Arial"/>
          <w:sz w:val="22"/>
          <w:lang w:val="pt-BR"/>
        </w:rPr>
        <w:t xml:space="preserve">) </w:t>
      </w:r>
      <w:hyperlink r:id="rId17" w:history="1">
        <w:r w:rsidR="00546712" w:rsidRPr="000608EA">
          <w:rPr>
            <w:rStyle w:val="Hyperlink"/>
            <w:rFonts w:ascii="Arial" w:hAnsi="Arial" w:cs="Arial"/>
            <w:sz w:val="22"/>
            <w:lang w:val="pt-BR"/>
          </w:rPr>
          <w:t>Gestão de Risco de Crédito com Entidades Financeiras</w:t>
        </w:r>
      </w:hyperlink>
      <w:r w:rsidR="00546712" w:rsidRPr="000608EA">
        <w:rPr>
          <w:rFonts w:ascii="Arial" w:hAnsi="Arial" w:cs="Arial"/>
          <w:sz w:val="22"/>
          <w:lang w:val="pt-BR"/>
        </w:rPr>
        <w:t>; e (</w:t>
      </w:r>
      <w:proofErr w:type="spellStart"/>
      <w:r w:rsidR="00546712" w:rsidRPr="000608EA">
        <w:rPr>
          <w:rFonts w:ascii="Arial" w:hAnsi="Arial" w:cs="Arial"/>
          <w:sz w:val="22"/>
          <w:lang w:val="pt-BR"/>
        </w:rPr>
        <w:t>iii</w:t>
      </w:r>
      <w:proofErr w:type="spellEnd"/>
      <w:r w:rsidR="00546712" w:rsidRPr="000608EA">
        <w:rPr>
          <w:rFonts w:ascii="Arial" w:hAnsi="Arial" w:cs="Arial"/>
          <w:sz w:val="22"/>
          <w:lang w:val="pt-BR"/>
        </w:rPr>
        <w:t>)</w:t>
      </w:r>
      <w:r w:rsidR="0049326A">
        <w:rPr>
          <w:rFonts w:ascii="Arial" w:hAnsi="Arial" w:cs="Arial"/>
          <w:sz w:val="22"/>
          <w:lang w:val="pt-BR"/>
        </w:rPr>
        <w:t> </w:t>
      </w:r>
      <w:hyperlink r:id="rId18" w:history="1">
        <w:r w:rsidR="00546712" w:rsidRPr="000608EA">
          <w:rPr>
            <w:rStyle w:val="Hyperlink"/>
            <w:rFonts w:ascii="Arial" w:hAnsi="Arial" w:cs="Arial"/>
            <w:sz w:val="22"/>
            <w:lang w:val="pt-BR"/>
          </w:rPr>
          <w:t>Operações Indiretas Não Automáticas</w:t>
        </w:r>
      </w:hyperlink>
      <w:r w:rsidR="00546712" w:rsidRPr="000608EA">
        <w:rPr>
          <w:rFonts w:ascii="Arial" w:hAnsi="Arial" w:cs="Arial"/>
          <w:sz w:val="22"/>
          <w:lang w:val="pt-BR"/>
        </w:rPr>
        <w:t xml:space="preserve"> (para o caso específico das operações previstas neste projeto).</w:t>
      </w:r>
    </w:p>
    <w:p w:rsidR="00553745" w:rsidRPr="000608EA" w:rsidRDefault="00553745" w:rsidP="00553745">
      <w:pPr>
        <w:pStyle w:val="Paragraph"/>
        <w:tabs>
          <w:tab w:val="clear" w:pos="2448"/>
          <w:tab w:val="num" w:pos="720"/>
        </w:tabs>
        <w:ind w:left="720" w:hanging="720"/>
        <w:rPr>
          <w:rFonts w:ascii="Arial" w:hAnsi="Arial" w:cs="Arial"/>
          <w:sz w:val="22"/>
          <w:lang w:val="pt-BR"/>
        </w:rPr>
      </w:pPr>
      <w:r w:rsidRPr="000608EA">
        <w:rPr>
          <w:rFonts w:ascii="Arial" w:hAnsi="Arial" w:cs="Arial"/>
          <w:sz w:val="22"/>
          <w:lang w:val="pt-BR"/>
        </w:rPr>
        <w:t>Com o processo de credenciamento o BNDES formaliza a inclusão da instituição financeira no quadro de Agentes Financeiros do Sistema BNDES, ou da Sociedade de Arrendamento Mercantil no conjunto de arrendadoras autorizadas a atuar em seus programas e modalidades com características de arrendamento mercantil, sendo elegíveis para credenciar-se no sistema: (i) agências de fomento; (</w:t>
      </w:r>
      <w:proofErr w:type="spellStart"/>
      <w:proofErr w:type="gramStart"/>
      <w:r w:rsidRPr="000608EA">
        <w:rPr>
          <w:rFonts w:ascii="Arial" w:hAnsi="Arial" w:cs="Arial"/>
          <w:sz w:val="22"/>
          <w:lang w:val="pt-BR"/>
        </w:rPr>
        <w:t>ii</w:t>
      </w:r>
      <w:proofErr w:type="spellEnd"/>
      <w:proofErr w:type="gramEnd"/>
      <w:r w:rsidRPr="000608EA">
        <w:rPr>
          <w:rFonts w:ascii="Arial" w:hAnsi="Arial" w:cs="Arial"/>
          <w:sz w:val="22"/>
          <w:lang w:val="pt-BR"/>
        </w:rPr>
        <w:t>) bancos comerciais; (</w:t>
      </w:r>
      <w:proofErr w:type="spellStart"/>
      <w:r w:rsidRPr="000608EA">
        <w:rPr>
          <w:rFonts w:ascii="Arial" w:hAnsi="Arial" w:cs="Arial"/>
          <w:sz w:val="22"/>
          <w:lang w:val="pt-BR"/>
        </w:rPr>
        <w:t>iii</w:t>
      </w:r>
      <w:proofErr w:type="spellEnd"/>
      <w:r w:rsidRPr="000608EA">
        <w:rPr>
          <w:rFonts w:ascii="Arial" w:hAnsi="Arial" w:cs="Arial"/>
          <w:sz w:val="22"/>
          <w:lang w:val="pt-BR"/>
        </w:rPr>
        <w:t>) bancos de desenvolvimento; (</w:t>
      </w:r>
      <w:proofErr w:type="spellStart"/>
      <w:r w:rsidRPr="000608EA">
        <w:rPr>
          <w:rFonts w:ascii="Arial" w:hAnsi="Arial" w:cs="Arial"/>
          <w:sz w:val="22"/>
          <w:lang w:val="pt-BR"/>
        </w:rPr>
        <w:t>iv</w:t>
      </w:r>
      <w:proofErr w:type="spellEnd"/>
      <w:r w:rsidRPr="000608EA">
        <w:rPr>
          <w:rFonts w:ascii="Arial" w:hAnsi="Arial" w:cs="Arial"/>
          <w:sz w:val="22"/>
          <w:lang w:val="pt-BR"/>
        </w:rPr>
        <w:t>) bancos de investime</w:t>
      </w:r>
      <w:r w:rsidR="0049326A">
        <w:rPr>
          <w:rFonts w:ascii="Arial" w:hAnsi="Arial" w:cs="Arial"/>
          <w:sz w:val="22"/>
          <w:lang w:val="pt-BR"/>
        </w:rPr>
        <w:t>nto; (v) bancos múltiplos; (vi) </w:t>
      </w:r>
      <w:r w:rsidRPr="000608EA">
        <w:rPr>
          <w:rFonts w:ascii="Arial" w:hAnsi="Arial" w:cs="Arial"/>
          <w:sz w:val="22"/>
          <w:lang w:val="pt-BR"/>
        </w:rPr>
        <w:t>cooperativas centrais de crédito; e (</w:t>
      </w:r>
      <w:proofErr w:type="spellStart"/>
      <w:r w:rsidRPr="000608EA">
        <w:rPr>
          <w:rFonts w:ascii="Arial" w:hAnsi="Arial" w:cs="Arial"/>
          <w:sz w:val="22"/>
          <w:lang w:val="pt-BR"/>
        </w:rPr>
        <w:t>vii</w:t>
      </w:r>
      <w:proofErr w:type="spellEnd"/>
      <w:r w:rsidRPr="000608EA">
        <w:rPr>
          <w:rFonts w:ascii="Arial" w:hAnsi="Arial" w:cs="Arial"/>
          <w:sz w:val="22"/>
          <w:lang w:val="pt-BR"/>
        </w:rPr>
        <w:t>) sociedades de crédito, financiamento e investimento.</w:t>
      </w:r>
    </w:p>
    <w:p w:rsidR="00432BAF" w:rsidRPr="000608EA" w:rsidRDefault="00432BAF" w:rsidP="00432BAF">
      <w:pPr>
        <w:pStyle w:val="Paragraph"/>
        <w:tabs>
          <w:tab w:val="clear" w:pos="2448"/>
          <w:tab w:val="num" w:pos="720"/>
        </w:tabs>
        <w:ind w:left="720" w:hanging="720"/>
        <w:rPr>
          <w:rFonts w:ascii="Arial" w:hAnsi="Arial" w:cs="Arial"/>
          <w:sz w:val="22"/>
          <w:lang w:val="pt-BR"/>
        </w:rPr>
      </w:pPr>
      <w:r w:rsidRPr="000608EA">
        <w:rPr>
          <w:rFonts w:ascii="Arial" w:hAnsi="Arial" w:cs="Arial"/>
          <w:sz w:val="22"/>
          <w:lang w:val="pt-BR"/>
        </w:rPr>
        <w:t>Para receberem o credenciamento como Agente Financeiro do BNDES, as instituições devem </w:t>
      </w:r>
      <w:r w:rsidR="00203697" w:rsidRPr="000608EA">
        <w:rPr>
          <w:rFonts w:ascii="Arial" w:hAnsi="Arial" w:cs="Arial"/>
          <w:sz w:val="22"/>
          <w:lang w:val="pt-BR"/>
        </w:rPr>
        <w:t xml:space="preserve">atender </w:t>
      </w:r>
      <w:r w:rsidRPr="000608EA">
        <w:rPr>
          <w:rFonts w:ascii="Arial" w:hAnsi="Arial" w:cs="Arial"/>
          <w:sz w:val="22"/>
          <w:lang w:val="pt-BR"/>
        </w:rPr>
        <w:t>cumulativamente</w:t>
      </w:r>
      <w:r w:rsidR="00203697" w:rsidRPr="000608EA">
        <w:rPr>
          <w:rFonts w:ascii="Arial" w:hAnsi="Arial" w:cs="Arial"/>
          <w:sz w:val="22"/>
          <w:lang w:val="pt-BR"/>
        </w:rPr>
        <w:t xml:space="preserve"> aos seguintes requisitos</w:t>
      </w:r>
      <w:r w:rsidRPr="000608EA">
        <w:rPr>
          <w:rFonts w:ascii="Arial" w:hAnsi="Arial" w:cs="Arial"/>
          <w:sz w:val="22"/>
          <w:lang w:val="pt-BR"/>
        </w:rPr>
        <w:t>:</w:t>
      </w:r>
    </w:p>
    <w:p w:rsidR="00432BAF" w:rsidRPr="000608EA" w:rsidRDefault="00432BAF" w:rsidP="00432BAF">
      <w:pPr>
        <w:pStyle w:val="subpar"/>
        <w:rPr>
          <w:rFonts w:ascii="Arial" w:hAnsi="Arial" w:cs="Arial"/>
          <w:sz w:val="22"/>
          <w:szCs w:val="22"/>
          <w:lang w:val="pt-BR"/>
        </w:rPr>
      </w:pPr>
      <w:r w:rsidRPr="000608EA">
        <w:rPr>
          <w:rFonts w:ascii="Arial" w:hAnsi="Arial" w:cs="Arial"/>
          <w:sz w:val="22"/>
          <w:szCs w:val="22"/>
          <w:lang w:val="pt-BR"/>
        </w:rPr>
        <w:t>Capacidade técnica para avaliação e acompanhamento de operações, projetos e empresas adequada a seu mercado de atuação;</w:t>
      </w:r>
    </w:p>
    <w:p w:rsidR="00432BAF" w:rsidRPr="000608EA" w:rsidRDefault="00432BAF" w:rsidP="00432BAF">
      <w:pPr>
        <w:pStyle w:val="subpar"/>
        <w:rPr>
          <w:rFonts w:ascii="Arial" w:hAnsi="Arial" w:cs="Arial"/>
          <w:sz w:val="22"/>
          <w:szCs w:val="22"/>
          <w:lang w:val="pt-BR"/>
        </w:rPr>
      </w:pPr>
      <w:r w:rsidRPr="000608EA">
        <w:rPr>
          <w:rFonts w:ascii="Arial" w:hAnsi="Arial" w:cs="Arial"/>
          <w:sz w:val="22"/>
          <w:szCs w:val="22"/>
          <w:lang w:val="pt-BR"/>
        </w:rPr>
        <w:t xml:space="preserve">Capacidade e desempenho </w:t>
      </w:r>
      <w:proofErr w:type="gramStart"/>
      <w:r w:rsidRPr="000608EA">
        <w:rPr>
          <w:rFonts w:ascii="Arial" w:hAnsi="Arial" w:cs="Arial"/>
          <w:sz w:val="22"/>
          <w:szCs w:val="22"/>
          <w:lang w:val="pt-BR"/>
        </w:rPr>
        <w:t>econômico-financeiro suficientes para alcançar classificação de risco de no mínimo B-</w:t>
      </w:r>
      <w:r w:rsidRPr="000608EA">
        <w:rPr>
          <w:rStyle w:val="FootnoteReference"/>
          <w:rFonts w:ascii="Arial" w:hAnsi="Arial" w:cs="Arial"/>
          <w:sz w:val="22"/>
          <w:szCs w:val="22"/>
          <w:lang w:val="pt-BR"/>
        </w:rPr>
        <w:footnoteReference w:id="11"/>
      </w:r>
      <w:r w:rsidRPr="000608EA">
        <w:rPr>
          <w:rFonts w:ascii="Arial" w:hAnsi="Arial" w:cs="Arial"/>
          <w:sz w:val="22"/>
          <w:szCs w:val="22"/>
          <w:lang w:val="pt-BR"/>
        </w:rPr>
        <w:t xml:space="preserve">, de acordo com a </w:t>
      </w:r>
      <w:r w:rsidRPr="000608EA">
        <w:rPr>
          <w:rFonts w:ascii="Arial" w:hAnsi="Arial" w:cs="Arial"/>
          <w:sz w:val="22"/>
          <w:szCs w:val="22"/>
          <w:lang w:val="pt-BR"/>
        </w:rPr>
        <w:lastRenderedPageBreak/>
        <w:t>escala de classificação de risco adotada para instituições financeiras pelo BNDES</w:t>
      </w:r>
      <w:proofErr w:type="gramEnd"/>
      <w:r w:rsidRPr="000608EA">
        <w:rPr>
          <w:rFonts w:ascii="Arial" w:hAnsi="Arial" w:cs="Arial"/>
          <w:sz w:val="22"/>
          <w:szCs w:val="22"/>
          <w:lang w:val="pt-BR"/>
        </w:rPr>
        <w:t>;</w:t>
      </w:r>
    </w:p>
    <w:p w:rsidR="003A7CC8" w:rsidRPr="000608EA" w:rsidRDefault="003A7CC8" w:rsidP="00432BAF">
      <w:pPr>
        <w:pStyle w:val="subpar"/>
        <w:rPr>
          <w:rFonts w:ascii="Arial" w:hAnsi="Arial" w:cs="Arial"/>
          <w:sz w:val="22"/>
          <w:szCs w:val="22"/>
          <w:lang w:val="pt-BR"/>
        </w:rPr>
      </w:pPr>
      <w:r w:rsidRPr="000608EA">
        <w:rPr>
          <w:rFonts w:ascii="Arial" w:hAnsi="Arial" w:cs="Arial"/>
          <w:sz w:val="22"/>
          <w:szCs w:val="22"/>
          <w:lang w:val="pt-BR"/>
        </w:rPr>
        <w:t>Saldo anual de operações de crédito em seu ativo ou no ativo do conglomerado financeiro ao qual pertençam, nos últimos dois anos, de no mínimo R$50 milhões, ou equivalente a pelo menos 20% desse ativo em cada ano</w:t>
      </w:r>
      <w:r w:rsidRPr="000608EA">
        <w:rPr>
          <w:rStyle w:val="FootnoteReference"/>
          <w:rFonts w:ascii="Arial" w:hAnsi="Arial" w:cs="Arial"/>
          <w:sz w:val="22"/>
          <w:szCs w:val="22"/>
          <w:lang w:val="pt-BR"/>
        </w:rPr>
        <w:footnoteReference w:id="12"/>
      </w:r>
      <w:r w:rsidRPr="000608EA">
        <w:rPr>
          <w:rFonts w:ascii="Arial" w:hAnsi="Arial" w:cs="Arial"/>
          <w:sz w:val="22"/>
          <w:szCs w:val="22"/>
          <w:lang w:val="pt-BR"/>
        </w:rPr>
        <w:t xml:space="preserve">; </w:t>
      </w:r>
      <w:proofErr w:type="gramStart"/>
      <w:r w:rsidRPr="000608EA">
        <w:rPr>
          <w:rFonts w:ascii="Arial" w:hAnsi="Arial" w:cs="Arial"/>
          <w:sz w:val="22"/>
          <w:szCs w:val="22"/>
          <w:lang w:val="pt-BR"/>
        </w:rPr>
        <w:t>e</w:t>
      </w:r>
      <w:proofErr w:type="gramEnd"/>
    </w:p>
    <w:p w:rsidR="003A7CC8" w:rsidRPr="000608EA" w:rsidRDefault="003A7CC8" w:rsidP="00432BAF">
      <w:pPr>
        <w:pStyle w:val="subpar"/>
        <w:rPr>
          <w:rFonts w:ascii="Arial" w:hAnsi="Arial" w:cs="Arial"/>
          <w:sz w:val="22"/>
          <w:szCs w:val="22"/>
          <w:lang w:val="pt-BR"/>
        </w:rPr>
      </w:pPr>
      <w:r w:rsidRPr="000608EA">
        <w:rPr>
          <w:rFonts w:ascii="Arial" w:hAnsi="Arial" w:cs="Arial"/>
          <w:sz w:val="22"/>
          <w:szCs w:val="22"/>
          <w:lang w:val="pt-BR"/>
        </w:rPr>
        <w:t>Documentos julgados necessários para o credenciamento, a critério do BNDES.</w:t>
      </w:r>
    </w:p>
    <w:p w:rsidR="00432BAF" w:rsidRPr="000608EA" w:rsidRDefault="00F213F7" w:rsidP="00432BAF">
      <w:pPr>
        <w:pStyle w:val="Paragraph"/>
        <w:tabs>
          <w:tab w:val="clear" w:pos="2448"/>
          <w:tab w:val="num" w:pos="720"/>
        </w:tabs>
        <w:ind w:left="720" w:hanging="720"/>
        <w:rPr>
          <w:rFonts w:ascii="Arial" w:hAnsi="Arial" w:cs="Arial"/>
          <w:sz w:val="22"/>
          <w:lang w:val="pt-BR"/>
        </w:rPr>
      </w:pPr>
      <w:r w:rsidRPr="000C4399">
        <w:rPr>
          <w:rFonts w:ascii="Arial" w:hAnsi="Arial" w:cs="Arial"/>
          <w:sz w:val="22"/>
          <w:lang w:val="pt-BR"/>
        </w:rPr>
        <w:t xml:space="preserve">Para o credenciamento, </w:t>
      </w:r>
      <w:r w:rsidRPr="00D94B51">
        <w:rPr>
          <w:rFonts w:ascii="Arial" w:hAnsi="Arial" w:cs="Arial"/>
          <w:color w:val="000000"/>
          <w:sz w:val="22"/>
          <w:lang w:val="pt-BR"/>
        </w:rPr>
        <w:t>o agente financeiro deve enviar uma carta ao BNDES solicitando o credenciamento, anexando os documentos necessários</w:t>
      </w:r>
      <w:r>
        <w:rPr>
          <w:rStyle w:val="FootnoteReference"/>
          <w:rFonts w:ascii="Arial" w:hAnsi="Arial" w:cs="Arial"/>
          <w:color w:val="000000"/>
          <w:sz w:val="22"/>
          <w:lang w:val="pt-BR"/>
        </w:rPr>
        <w:footnoteReference w:id="13"/>
      </w:r>
      <w:r w:rsidRPr="00D94B51">
        <w:rPr>
          <w:rFonts w:ascii="Arial" w:hAnsi="Arial" w:cs="Arial"/>
          <w:color w:val="000000"/>
          <w:sz w:val="22"/>
          <w:lang w:val="pt-BR"/>
        </w:rPr>
        <w:t xml:space="preserve">. A Área de Crédito do BNDES </w:t>
      </w:r>
      <w:r>
        <w:rPr>
          <w:rFonts w:ascii="Arial" w:hAnsi="Arial" w:cs="Arial"/>
          <w:color w:val="000000"/>
          <w:sz w:val="22"/>
          <w:lang w:val="pt-BR"/>
        </w:rPr>
        <w:t xml:space="preserve">faz </w:t>
      </w:r>
      <w:r w:rsidRPr="00F213F7">
        <w:rPr>
          <w:rFonts w:ascii="Arial" w:hAnsi="Arial" w:cs="Arial"/>
          <w:color w:val="000000"/>
          <w:sz w:val="22"/>
          <w:lang w:val="pt-BR"/>
        </w:rPr>
        <w:t>a análise cadastral</w:t>
      </w:r>
      <w:r w:rsidRPr="00D94B51">
        <w:rPr>
          <w:rFonts w:ascii="Arial" w:hAnsi="Arial" w:cs="Arial"/>
          <w:color w:val="000000"/>
          <w:sz w:val="22"/>
          <w:lang w:val="pt-BR"/>
        </w:rPr>
        <w:t xml:space="preserve"> e a classificação de risco da instituição interessada. Como mencionado, para que o processo continue, a classificação deve estar acima de B-. Uma vez concluída a etapa de avaliação, encaminha-se uma proposta de credenciamento para a Diretoria do BNDES. Aprovado o credenciamento, encaminha-se um Termo de Adesão ao Contrato de Abertura de Crédito (CAC) para a assinatura da entidade financeira, </w:t>
      </w:r>
      <w:r w:rsidRPr="000C4399">
        <w:rPr>
          <w:rFonts w:ascii="Arial" w:hAnsi="Arial" w:cs="Arial"/>
          <w:sz w:val="22"/>
          <w:lang w:val="pt-BR"/>
        </w:rPr>
        <w:t>estando obrigada a atender aos critérios estabelecidos no contrato e sujeita a sanções que podem implicar no seu impedimento, suspensão e até descredenciamento do sistema</w:t>
      </w:r>
      <w:r w:rsidR="000559C7" w:rsidRPr="000608EA">
        <w:rPr>
          <w:rStyle w:val="FootnoteReference"/>
          <w:rFonts w:ascii="Arial" w:hAnsi="Arial" w:cs="Arial"/>
          <w:sz w:val="22"/>
          <w:lang w:val="pt-BR"/>
        </w:rPr>
        <w:footnoteReference w:id="14"/>
      </w:r>
      <w:r w:rsidR="000559C7" w:rsidRPr="000608EA">
        <w:rPr>
          <w:rFonts w:ascii="Arial" w:hAnsi="Arial" w:cs="Arial"/>
          <w:sz w:val="22"/>
          <w:lang w:val="pt-BR"/>
        </w:rPr>
        <w:t>.</w:t>
      </w:r>
    </w:p>
    <w:p w:rsidR="00733D32" w:rsidRPr="000608EA" w:rsidRDefault="00007319" w:rsidP="00007319">
      <w:pPr>
        <w:pStyle w:val="Paragraph"/>
        <w:tabs>
          <w:tab w:val="clear" w:pos="2448"/>
          <w:tab w:val="num" w:pos="720"/>
        </w:tabs>
        <w:ind w:left="720" w:hanging="720"/>
        <w:rPr>
          <w:rFonts w:ascii="Arial" w:hAnsi="Arial" w:cs="Arial"/>
          <w:sz w:val="22"/>
          <w:lang w:val="pt-BR"/>
        </w:rPr>
      </w:pPr>
      <w:r w:rsidRPr="000608EA">
        <w:rPr>
          <w:rFonts w:ascii="Arial" w:hAnsi="Arial" w:cs="Arial"/>
          <w:sz w:val="22"/>
          <w:lang w:val="pt-BR"/>
        </w:rPr>
        <w:t>Para as entidades credenciadas</w:t>
      </w:r>
      <w:r w:rsidR="00B91C52">
        <w:rPr>
          <w:rFonts w:ascii="Arial" w:hAnsi="Arial" w:cs="Arial"/>
          <w:sz w:val="22"/>
          <w:lang w:val="pt-BR"/>
        </w:rPr>
        <w:t>,</w:t>
      </w:r>
      <w:r w:rsidRPr="000608EA">
        <w:rPr>
          <w:rFonts w:ascii="Arial" w:hAnsi="Arial" w:cs="Arial"/>
          <w:sz w:val="22"/>
          <w:lang w:val="pt-BR"/>
        </w:rPr>
        <w:t xml:space="preserve"> o BNDES </w:t>
      </w:r>
      <w:r w:rsidR="00B91C52">
        <w:rPr>
          <w:rFonts w:ascii="Arial" w:hAnsi="Arial" w:cs="Arial"/>
          <w:sz w:val="22"/>
          <w:lang w:val="pt-BR"/>
        </w:rPr>
        <w:t xml:space="preserve">passa </w:t>
      </w:r>
      <w:r w:rsidRPr="000608EA">
        <w:rPr>
          <w:rFonts w:ascii="Arial" w:hAnsi="Arial" w:cs="Arial"/>
          <w:sz w:val="22"/>
          <w:lang w:val="pt-BR"/>
        </w:rPr>
        <w:t>a gerenciar o risco e o nível de exposição tecnicamente recomendável no seu relacionamento com as Instituições Financeiras, calculado dentro do marco da norma Gestão de Risco de Crédito com Entidades Financeiras.</w:t>
      </w:r>
      <w:r w:rsidR="00733D32" w:rsidRPr="000608EA">
        <w:rPr>
          <w:rFonts w:ascii="Arial" w:hAnsi="Arial" w:cs="Arial"/>
          <w:sz w:val="22"/>
          <w:lang w:val="pt-BR"/>
        </w:rPr>
        <w:t xml:space="preserve">  O fluxo previsto nesta norma está baseado em </w:t>
      </w:r>
      <w:r w:rsidR="00B91C52">
        <w:rPr>
          <w:rFonts w:ascii="Arial" w:hAnsi="Arial" w:cs="Arial"/>
          <w:sz w:val="22"/>
          <w:lang w:val="pt-BR"/>
        </w:rPr>
        <w:t>seis</w:t>
      </w:r>
      <w:r w:rsidR="00733D32" w:rsidRPr="000608EA">
        <w:rPr>
          <w:rFonts w:ascii="Arial" w:hAnsi="Arial" w:cs="Arial"/>
          <w:sz w:val="22"/>
          <w:lang w:val="pt-BR"/>
        </w:rPr>
        <w:t xml:space="preserve"> etapas,</w:t>
      </w:r>
      <w:proofErr w:type="gramStart"/>
      <w:r w:rsidR="00733D32" w:rsidRPr="000608EA">
        <w:rPr>
          <w:rFonts w:ascii="Arial" w:hAnsi="Arial" w:cs="Arial"/>
          <w:sz w:val="22"/>
          <w:lang w:val="pt-BR"/>
        </w:rPr>
        <w:t xml:space="preserve">  </w:t>
      </w:r>
      <w:proofErr w:type="gramEnd"/>
      <w:r w:rsidR="00733D32" w:rsidRPr="000608EA">
        <w:rPr>
          <w:rFonts w:ascii="Arial" w:hAnsi="Arial" w:cs="Arial"/>
          <w:sz w:val="22"/>
          <w:lang w:val="pt-BR"/>
        </w:rPr>
        <w:t>apresenta</w:t>
      </w:r>
      <w:r w:rsidR="00B91C52">
        <w:rPr>
          <w:rFonts w:ascii="Arial" w:hAnsi="Arial" w:cs="Arial"/>
          <w:sz w:val="22"/>
          <w:lang w:val="pt-BR"/>
        </w:rPr>
        <w:t>da</w:t>
      </w:r>
      <w:r w:rsidR="00733D32" w:rsidRPr="000608EA">
        <w:rPr>
          <w:rFonts w:ascii="Arial" w:hAnsi="Arial" w:cs="Arial"/>
          <w:sz w:val="22"/>
          <w:lang w:val="pt-BR"/>
        </w:rPr>
        <w:t>s a seguir.</w:t>
      </w:r>
    </w:p>
    <w:p w:rsidR="00B91C52" w:rsidRPr="00B91C52" w:rsidRDefault="00B91C52" w:rsidP="000608EA">
      <w:pPr>
        <w:pStyle w:val="subpar"/>
        <w:tabs>
          <w:tab w:val="clear" w:pos="2304"/>
        </w:tabs>
        <w:ind w:left="1170"/>
        <w:rPr>
          <w:rFonts w:ascii="Arial" w:hAnsi="Arial" w:cs="Arial"/>
          <w:sz w:val="22"/>
          <w:szCs w:val="22"/>
          <w:u w:val="single"/>
          <w:lang w:val="pt-BR"/>
        </w:rPr>
      </w:pPr>
      <w:r w:rsidRPr="00B91C52">
        <w:rPr>
          <w:rFonts w:ascii="Arial" w:hAnsi="Arial" w:cs="Arial"/>
          <w:sz w:val="22"/>
          <w:szCs w:val="22"/>
          <w:u w:val="single"/>
          <w:lang w:val="pt-BR"/>
        </w:rPr>
        <w:t>Conceito cadastral</w:t>
      </w:r>
    </w:p>
    <w:p w:rsidR="00B91C52" w:rsidRPr="00B91C52" w:rsidRDefault="00B91C52" w:rsidP="00B91C52">
      <w:pPr>
        <w:pStyle w:val="SubSubPar"/>
        <w:numPr>
          <w:ilvl w:val="0"/>
          <w:numId w:val="0"/>
        </w:numPr>
        <w:ind w:left="1620"/>
        <w:rPr>
          <w:rFonts w:ascii="Arial" w:hAnsi="Arial" w:cs="Arial"/>
          <w:sz w:val="22"/>
          <w:szCs w:val="22"/>
          <w:lang w:val="pt-BR"/>
        </w:rPr>
      </w:pPr>
      <w:r w:rsidRPr="00B91C52">
        <w:rPr>
          <w:rFonts w:ascii="Arial" w:hAnsi="Arial" w:cs="Arial"/>
          <w:sz w:val="22"/>
          <w:szCs w:val="22"/>
          <w:lang w:val="pt-BR"/>
        </w:rPr>
        <w:t>Verificação de apontamentos cadastrais a respeito das instituições financeiras credenciadas e dos seus administradores.</w:t>
      </w:r>
    </w:p>
    <w:p w:rsidR="00553745" w:rsidRPr="000608EA" w:rsidRDefault="00733D32" w:rsidP="000608EA">
      <w:pPr>
        <w:pStyle w:val="subpar"/>
        <w:tabs>
          <w:tab w:val="clear" w:pos="2304"/>
        </w:tabs>
        <w:ind w:left="1170"/>
        <w:rPr>
          <w:rFonts w:ascii="Arial" w:hAnsi="Arial" w:cs="Arial"/>
          <w:sz w:val="22"/>
          <w:szCs w:val="22"/>
          <w:lang w:val="pt-BR"/>
        </w:rPr>
      </w:pPr>
      <w:r w:rsidRPr="000608EA">
        <w:rPr>
          <w:rFonts w:ascii="Arial" w:hAnsi="Arial" w:cs="Arial"/>
          <w:sz w:val="22"/>
          <w:szCs w:val="22"/>
          <w:u w:val="single"/>
          <w:lang w:val="pt-BR"/>
        </w:rPr>
        <w:t>Avaliação de crédito</w:t>
      </w:r>
    </w:p>
    <w:p w:rsidR="00733D32" w:rsidRDefault="00733D32" w:rsidP="000608EA">
      <w:pPr>
        <w:pStyle w:val="SubSubPar"/>
        <w:tabs>
          <w:tab w:val="clear" w:pos="2736"/>
        </w:tabs>
        <w:ind w:left="1620"/>
        <w:rPr>
          <w:rFonts w:ascii="Arial" w:hAnsi="Arial" w:cs="Arial"/>
          <w:sz w:val="22"/>
          <w:szCs w:val="22"/>
          <w:lang w:val="pt-BR"/>
        </w:rPr>
      </w:pPr>
      <w:r w:rsidRPr="000608EA">
        <w:rPr>
          <w:rFonts w:ascii="Arial" w:hAnsi="Arial" w:cs="Arial"/>
          <w:sz w:val="22"/>
          <w:szCs w:val="22"/>
          <w:lang w:val="pt-BR"/>
        </w:rPr>
        <w:t xml:space="preserve">A </w:t>
      </w:r>
      <w:r w:rsidR="00FD184D" w:rsidRPr="000608EA">
        <w:rPr>
          <w:rFonts w:ascii="Arial" w:hAnsi="Arial" w:cs="Arial"/>
          <w:sz w:val="22"/>
          <w:szCs w:val="22"/>
          <w:lang w:val="pt-BR"/>
        </w:rPr>
        <w:t xml:space="preserve">avaliação de crédito tem por objetivo produzir a classificação de risco final da instituição financeira, para tanto </w:t>
      </w:r>
      <w:r w:rsidR="00B91C52">
        <w:rPr>
          <w:rFonts w:ascii="Arial" w:hAnsi="Arial" w:cs="Arial"/>
          <w:sz w:val="22"/>
          <w:szCs w:val="22"/>
          <w:lang w:val="pt-BR"/>
        </w:rPr>
        <w:t xml:space="preserve">se </w:t>
      </w:r>
      <w:r w:rsidR="00FD184D" w:rsidRPr="000608EA">
        <w:rPr>
          <w:rFonts w:ascii="Arial" w:hAnsi="Arial" w:cs="Arial"/>
          <w:sz w:val="22"/>
          <w:szCs w:val="22"/>
          <w:lang w:val="pt-BR"/>
        </w:rPr>
        <w:t xml:space="preserve">procede à classificação em </w:t>
      </w:r>
      <w:r w:rsidR="00B91C52">
        <w:rPr>
          <w:rFonts w:ascii="Arial" w:hAnsi="Arial" w:cs="Arial"/>
          <w:sz w:val="22"/>
          <w:szCs w:val="22"/>
          <w:lang w:val="pt-BR"/>
        </w:rPr>
        <w:t>dua</w:t>
      </w:r>
      <w:r w:rsidR="00FD184D" w:rsidRPr="000608EA">
        <w:rPr>
          <w:rFonts w:ascii="Arial" w:hAnsi="Arial" w:cs="Arial"/>
          <w:sz w:val="22"/>
          <w:szCs w:val="22"/>
          <w:lang w:val="pt-BR"/>
        </w:rPr>
        <w:t>s dimensões de risco: (1) classificação d</w:t>
      </w:r>
      <w:r w:rsidR="003E202D" w:rsidRPr="000608EA">
        <w:rPr>
          <w:rFonts w:ascii="Arial" w:hAnsi="Arial" w:cs="Arial"/>
          <w:sz w:val="22"/>
          <w:szCs w:val="22"/>
          <w:lang w:val="pt-BR"/>
        </w:rPr>
        <w:t>e</w:t>
      </w:r>
      <w:r w:rsidR="00FD184D" w:rsidRPr="000608EA">
        <w:rPr>
          <w:rFonts w:ascii="Arial" w:hAnsi="Arial" w:cs="Arial"/>
          <w:sz w:val="22"/>
          <w:szCs w:val="22"/>
          <w:lang w:val="pt-BR"/>
        </w:rPr>
        <w:t xml:space="preserve"> risco individual</w:t>
      </w:r>
      <w:r w:rsidR="003E202D" w:rsidRPr="000608EA">
        <w:rPr>
          <w:rFonts w:ascii="Arial" w:hAnsi="Arial" w:cs="Arial"/>
          <w:sz w:val="22"/>
          <w:szCs w:val="22"/>
          <w:lang w:val="pt-BR"/>
        </w:rPr>
        <w:t xml:space="preserve"> (avaliação quantitativa e qualitativa)</w:t>
      </w:r>
      <w:r w:rsidR="00FD184D" w:rsidRPr="000608EA">
        <w:rPr>
          <w:rFonts w:ascii="Arial" w:hAnsi="Arial" w:cs="Arial"/>
          <w:sz w:val="22"/>
          <w:szCs w:val="22"/>
          <w:lang w:val="pt-BR"/>
        </w:rPr>
        <w:t>; e (</w:t>
      </w:r>
      <w:r w:rsidR="003E202D" w:rsidRPr="000608EA">
        <w:rPr>
          <w:rFonts w:ascii="Arial" w:hAnsi="Arial" w:cs="Arial"/>
          <w:sz w:val="22"/>
          <w:szCs w:val="22"/>
          <w:lang w:val="pt-BR"/>
        </w:rPr>
        <w:t>2</w:t>
      </w:r>
      <w:r w:rsidR="00FD184D" w:rsidRPr="000608EA">
        <w:rPr>
          <w:rFonts w:ascii="Arial" w:hAnsi="Arial" w:cs="Arial"/>
          <w:sz w:val="22"/>
          <w:szCs w:val="22"/>
          <w:lang w:val="pt-BR"/>
        </w:rPr>
        <w:t>) suporte/grupo econômico.</w:t>
      </w:r>
    </w:p>
    <w:p w:rsidR="00B91C52" w:rsidRDefault="00B91C52" w:rsidP="00B91C52">
      <w:pPr>
        <w:pStyle w:val="SubSubPar"/>
        <w:numPr>
          <w:ilvl w:val="0"/>
          <w:numId w:val="0"/>
        </w:numPr>
        <w:ind w:left="1332"/>
        <w:rPr>
          <w:rFonts w:ascii="Arial" w:hAnsi="Arial" w:cs="Arial"/>
          <w:sz w:val="22"/>
          <w:szCs w:val="22"/>
          <w:lang w:val="pt-BR"/>
        </w:rPr>
      </w:pPr>
    </w:p>
    <w:p w:rsidR="00B91C52" w:rsidRPr="000608EA" w:rsidRDefault="00B91C52" w:rsidP="00B91C52">
      <w:pPr>
        <w:pStyle w:val="SubSubPar"/>
        <w:numPr>
          <w:ilvl w:val="0"/>
          <w:numId w:val="0"/>
        </w:numPr>
        <w:ind w:left="1332"/>
        <w:rPr>
          <w:rFonts w:ascii="Arial" w:hAnsi="Arial" w:cs="Arial"/>
          <w:sz w:val="22"/>
          <w:szCs w:val="22"/>
          <w:lang w:val="pt-BR"/>
        </w:rPr>
      </w:pPr>
    </w:p>
    <w:p w:rsidR="00FD184D" w:rsidRPr="000608EA" w:rsidRDefault="00FD184D" w:rsidP="000608EA">
      <w:pPr>
        <w:pStyle w:val="SubSubPar"/>
        <w:tabs>
          <w:tab w:val="clear" w:pos="2736"/>
        </w:tabs>
        <w:ind w:left="1620"/>
        <w:rPr>
          <w:rFonts w:ascii="Arial" w:hAnsi="Arial" w:cs="Arial"/>
          <w:sz w:val="22"/>
          <w:szCs w:val="22"/>
          <w:lang w:val="pt-BR"/>
        </w:rPr>
      </w:pPr>
      <w:r w:rsidRPr="000608EA">
        <w:rPr>
          <w:rFonts w:ascii="Arial" w:hAnsi="Arial" w:cs="Arial"/>
          <w:sz w:val="22"/>
          <w:szCs w:val="22"/>
          <w:lang w:val="pt-BR"/>
        </w:rPr>
        <w:t xml:space="preserve">A avaliação do risco </w:t>
      </w:r>
      <w:r w:rsidR="003E202D" w:rsidRPr="000608EA">
        <w:rPr>
          <w:rFonts w:ascii="Arial" w:hAnsi="Arial" w:cs="Arial"/>
          <w:sz w:val="22"/>
          <w:szCs w:val="22"/>
          <w:lang w:val="pt-BR"/>
        </w:rPr>
        <w:t xml:space="preserve">individual </w:t>
      </w:r>
      <w:r w:rsidRPr="000608EA">
        <w:rPr>
          <w:rFonts w:ascii="Arial" w:hAnsi="Arial" w:cs="Arial"/>
          <w:sz w:val="22"/>
          <w:szCs w:val="22"/>
          <w:lang w:val="pt-BR"/>
        </w:rPr>
        <w:t xml:space="preserve">está baseada em uma matriz ponderada de </w:t>
      </w:r>
      <w:proofErr w:type="gramStart"/>
      <w:r w:rsidRPr="000608EA">
        <w:rPr>
          <w:rFonts w:ascii="Arial" w:hAnsi="Arial" w:cs="Arial"/>
          <w:sz w:val="22"/>
          <w:szCs w:val="22"/>
          <w:lang w:val="pt-BR"/>
        </w:rPr>
        <w:t>indicadores</w:t>
      </w:r>
      <w:proofErr w:type="gramEnd"/>
      <w:r w:rsidRPr="000608EA">
        <w:rPr>
          <w:rFonts w:ascii="Arial" w:hAnsi="Arial" w:cs="Arial"/>
          <w:sz w:val="22"/>
          <w:szCs w:val="22"/>
          <w:lang w:val="pt-BR"/>
        </w:rPr>
        <w:t xml:space="preserve"> econômico-financeiros</w:t>
      </w:r>
      <w:r w:rsidR="003E202D" w:rsidRPr="000608EA">
        <w:rPr>
          <w:rFonts w:ascii="Arial" w:hAnsi="Arial" w:cs="Arial"/>
          <w:sz w:val="22"/>
          <w:szCs w:val="22"/>
          <w:lang w:val="pt-BR"/>
        </w:rPr>
        <w:t xml:space="preserve"> (quantitativos) e de aspectos </w:t>
      </w:r>
      <w:proofErr w:type="spellStart"/>
      <w:r w:rsidR="003E202D" w:rsidRPr="000608EA">
        <w:rPr>
          <w:rFonts w:ascii="Arial" w:hAnsi="Arial" w:cs="Arial"/>
          <w:sz w:val="22"/>
          <w:szCs w:val="22"/>
          <w:lang w:val="pt-BR"/>
        </w:rPr>
        <w:t>quan</w:t>
      </w:r>
      <w:r w:rsidR="00B91C52">
        <w:rPr>
          <w:rFonts w:ascii="Arial" w:hAnsi="Arial" w:cs="Arial"/>
          <w:sz w:val="22"/>
          <w:szCs w:val="22"/>
          <w:lang w:val="pt-BR"/>
        </w:rPr>
        <w:t>l</w:t>
      </w:r>
      <w:r w:rsidR="003E202D" w:rsidRPr="000608EA">
        <w:rPr>
          <w:rFonts w:ascii="Arial" w:hAnsi="Arial" w:cs="Arial"/>
          <w:sz w:val="22"/>
          <w:szCs w:val="22"/>
          <w:lang w:val="pt-BR"/>
        </w:rPr>
        <w:t>itativos</w:t>
      </w:r>
      <w:proofErr w:type="spellEnd"/>
      <w:r w:rsidRPr="000608EA">
        <w:rPr>
          <w:rFonts w:ascii="Arial" w:hAnsi="Arial" w:cs="Arial"/>
          <w:sz w:val="22"/>
          <w:szCs w:val="22"/>
          <w:lang w:val="pt-BR"/>
        </w:rPr>
        <w:t>, os quais:</w:t>
      </w:r>
    </w:p>
    <w:p w:rsidR="00FD184D" w:rsidRPr="000608EA" w:rsidRDefault="00DC4039" w:rsidP="000608EA">
      <w:pPr>
        <w:pStyle w:val="SubSubPar"/>
        <w:numPr>
          <w:ilvl w:val="0"/>
          <w:numId w:val="0"/>
        </w:numPr>
        <w:ind w:left="1620"/>
        <w:rPr>
          <w:rFonts w:ascii="Arial" w:hAnsi="Arial" w:cs="Arial"/>
          <w:sz w:val="22"/>
          <w:szCs w:val="22"/>
          <w:lang w:val="pt-BR"/>
        </w:rPr>
      </w:pPr>
      <w:r w:rsidRPr="000608EA">
        <w:rPr>
          <w:rFonts w:ascii="Arial" w:hAnsi="Arial" w:cs="Arial"/>
          <w:noProof/>
          <w:sz w:val="22"/>
          <w:szCs w:val="22"/>
          <w:lang w:val="pt-BR" w:eastAsia="pt-BR"/>
        </w:rPr>
        <w:drawing>
          <wp:inline distT="0" distB="0" distL="0" distR="0" wp14:anchorId="05A989BC" wp14:editId="5415A1B3">
            <wp:extent cx="3343046" cy="2055116"/>
            <wp:effectExtent l="0" t="0" r="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347813" cy="2058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184D" w:rsidRPr="000608EA" w:rsidRDefault="003E202D" w:rsidP="000608EA">
      <w:pPr>
        <w:pStyle w:val="SubSubPar"/>
        <w:numPr>
          <w:ilvl w:val="0"/>
          <w:numId w:val="0"/>
        </w:numPr>
        <w:ind w:left="1620"/>
        <w:rPr>
          <w:rFonts w:ascii="Arial" w:hAnsi="Arial" w:cs="Arial"/>
          <w:sz w:val="22"/>
          <w:szCs w:val="22"/>
          <w:lang w:val="pt-BR"/>
        </w:rPr>
      </w:pPr>
      <w:r w:rsidRPr="000608EA">
        <w:rPr>
          <w:rFonts w:ascii="Arial" w:hAnsi="Arial" w:cs="Arial"/>
          <w:noProof/>
          <w:sz w:val="22"/>
          <w:szCs w:val="22"/>
          <w:lang w:val="pt-BR" w:eastAsia="pt-BR"/>
        </w:rPr>
        <w:drawing>
          <wp:inline distT="0" distB="0" distL="0" distR="0" wp14:anchorId="5CE936E7" wp14:editId="79EC24D0">
            <wp:extent cx="3304269" cy="1176617"/>
            <wp:effectExtent l="0" t="0" r="0" b="508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311396" cy="1179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1C52" w:rsidRDefault="00B91C52" w:rsidP="00B91C52">
      <w:pPr>
        <w:pStyle w:val="SubSubPar"/>
        <w:numPr>
          <w:ilvl w:val="0"/>
          <w:numId w:val="0"/>
        </w:numPr>
        <w:ind w:left="1620"/>
        <w:rPr>
          <w:rFonts w:ascii="Arial" w:hAnsi="Arial" w:cs="Arial"/>
          <w:sz w:val="22"/>
          <w:szCs w:val="22"/>
          <w:lang w:val="pt-BR"/>
        </w:rPr>
      </w:pPr>
    </w:p>
    <w:p w:rsidR="003E202D" w:rsidRDefault="003E202D" w:rsidP="000608EA">
      <w:pPr>
        <w:pStyle w:val="SubSubPar"/>
        <w:tabs>
          <w:tab w:val="clear" w:pos="2736"/>
        </w:tabs>
        <w:ind w:left="1620"/>
        <w:rPr>
          <w:rFonts w:ascii="Arial" w:hAnsi="Arial" w:cs="Arial"/>
          <w:sz w:val="22"/>
          <w:szCs w:val="22"/>
          <w:lang w:val="pt-BR"/>
        </w:rPr>
      </w:pPr>
      <w:r w:rsidRPr="000608EA">
        <w:rPr>
          <w:rFonts w:ascii="Arial" w:hAnsi="Arial" w:cs="Arial"/>
          <w:sz w:val="22"/>
          <w:szCs w:val="22"/>
          <w:lang w:val="pt-BR"/>
        </w:rPr>
        <w:t xml:space="preserve">A avaliação do fator de suporte do grupo econômico complementa a avaliação do risco individual. </w:t>
      </w:r>
      <w:r w:rsidR="00B91C52">
        <w:rPr>
          <w:rFonts w:ascii="Arial" w:hAnsi="Arial" w:cs="Arial"/>
          <w:sz w:val="22"/>
          <w:szCs w:val="22"/>
          <w:lang w:val="pt-BR"/>
        </w:rPr>
        <w:t>O</w:t>
      </w:r>
      <w:r w:rsidRPr="000608EA">
        <w:rPr>
          <w:rFonts w:ascii="Arial" w:hAnsi="Arial" w:cs="Arial"/>
          <w:sz w:val="22"/>
          <w:szCs w:val="22"/>
          <w:lang w:val="pt-BR"/>
        </w:rPr>
        <w:t xml:space="preserve"> </w:t>
      </w:r>
      <w:r w:rsidR="00B91C52">
        <w:rPr>
          <w:rFonts w:ascii="Arial" w:hAnsi="Arial" w:cs="Arial"/>
          <w:sz w:val="22"/>
          <w:szCs w:val="22"/>
          <w:lang w:val="pt-BR"/>
        </w:rPr>
        <w:t>f</w:t>
      </w:r>
      <w:r w:rsidRPr="000608EA">
        <w:rPr>
          <w:rFonts w:ascii="Arial" w:hAnsi="Arial" w:cs="Arial"/>
          <w:sz w:val="22"/>
          <w:szCs w:val="22"/>
          <w:lang w:val="pt-BR"/>
        </w:rPr>
        <w:t xml:space="preserve">ator de </w:t>
      </w:r>
      <w:r w:rsidR="00B91C52">
        <w:rPr>
          <w:rFonts w:ascii="Arial" w:hAnsi="Arial" w:cs="Arial"/>
          <w:sz w:val="22"/>
          <w:szCs w:val="22"/>
          <w:lang w:val="pt-BR"/>
        </w:rPr>
        <w:t>s</w:t>
      </w:r>
      <w:r w:rsidRPr="000608EA">
        <w:rPr>
          <w:rFonts w:ascii="Arial" w:hAnsi="Arial" w:cs="Arial"/>
          <w:sz w:val="22"/>
          <w:szCs w:val="22"/>
          <w:lang w:val="pt-BR"/>
        </w:rPr>
        <w:t xml:space="preserve">uporte eleva </w:t>
      </w:r>
      <w:r w:rsidR="00B91C52">
        <w:rPr>
          <w:rFonts w:ascii="Arial" w:hAnsi="Arial" w:cs="Arial"/>
          <w:sz w:val="22"/>
          <w:szCs w:val="22"/>
          <w:lang w:val="pt-BR"/>
        </w:rPr>
        <w:t xml:space="preserve">ou limita </w:t>
      </w:r>
      <w:r w:rsidRPr="000608EA">
        <w:rPr>
          <w:rFonts w:ascii="Arial" w:hAnsi="Arial" w:cs="Arial"/>
          <w:sz w:val="22"/>
          <w:szCs w:val="22"/>
          <w:lang w:val="pt-BR"/>
        </w:rPr>
        <w:t xml:space="preserve">a classificação </w:t>
      </w:r>
      <w:r w:rsidR="00B91C52">
        <w:rPr>
          <w:rFonts w:ascii="Arial" w:hAnsi="Arial" w:cs="Arial"/>
          <w:sz w:val="22"/>
          <w:szCs w:val="22"/>
          <w:lang w:val="pt-BR"/>
        </w:rPr>
        <w:t xml:space="preserve">individual </w:t>
      </w:r>
      <w:r w:rsidRPr="000608EA">
        <w:rPr>
          <w:rFonts w:ascii="Arial" w:hAnsi="Arial" w:cs="Arial"/>
          <w:sz w:val="22"/>
          <w:szCs w:val="22"/>
          <w:lang w:val="pt-BR"/>
        </w:rPr>
        <w:t xml:space="preserve">em função da expectativa de suporte do grupo econômico, sendo a expectativa avaliada em duas dimensões: capacidade e comprometimento. A capacidade é avaliada utilizando-se o rating do Grupo Econômico, e o comprometimento com base no fluxo de dividendos, em capitalizações realizadas, </w:t>
      </w:r>
      <w:proofErr w:type="gramStart"/>
      <w:r w:rsidRPr="000608EA">
        <w:rPr>
          <w:rFonts w:ascii="Arial" w:hAnsi="Arial" w:cs="Arial"/>
          <w:sz w:val="22"/>
          <w:szCs w:val="22"/>
          <w:lang w:val="pt-BR"/>
        </w:rPr>
        <w:t>importância da instituição para o grupo, risco</w:t>
      </w:r>
      <w:proofErr w:type="gramEnd"/>
      <w:r w:rsidRPr="000608EA">
        <w:rPr>
          <w:rFonts w:ascii="Arial" w:hAnsi="Arial" w:cs="Arial"/>
          <w:sz w:val="22"/>
          <w:szCs w:val="22"/>
          <w:lang w:val="pt-BR"/>
        </w:rPr>
        <w:t xml:space="preserve"> de imagem etc.</w:t>
      </w:r>
    </w:p>
    <w:p w:rsidR="00B91C52" w:rsidRPr="000608EA" w:rsidRDefault="00B91C52" w:rsidP="00B91C52">
      <w:pPr>
        <w:pStyle w:val="SubSubPar"/>
        <w:numPr>
          <w:ilvl w:val="0"/>
          <w:numId w:val="0"/>
        </w:numPr>
        <w:ind w:left="1620"/>
        <w:rPr>
          <w:rFonts w:ascii="Arial" w:hAnsi="Arial" w:cs="Arial"/>
          <w:sz w:val="22"/>
          <w:szCs w:val="22"/>
          <w:lang w:val="pt-BR"/>
        </w:rPr>
      </w:pPr>
    </w:p>
    <w:p w:rsidR="00835F16" w:rsidRPr="000608EA" w:rsidRDefault="00835F16" w:rsidP="000608EA">
      <w:pPr>
        <w:pStyle w:val="subpar"/>
        <w:tabs>
          <w:tab w:val="clear" w:pos="2304"/>
        </w:tabs>
        <w:ind w:left="1170"/>
        <w:rPr>
          <w:rFonts w:ascii="Arial" w:hAnsi="Arial" w:cs="Arial"/>
          <w:sz w:val="22"/>
          <w:szCs w:val="22"/>
          <w:lang w:val="pt-BR"/>
        </w:rPr>
      </w:pPr>
      <w:r w:rsidRPr="000608EA">
        <w:rPr>
          <w:rFonts w:ascii="Arial" w:hAnsi="Arial" w:cs="Arial"/>
          <w:sz w:val="22"/>
          <w:szCs w:val="22"/>
          <w:u w:val="single"/>
          <w:lang w:val="pt-BR"/>
        </w:rPr>
        <w:t>Exposição máxima</w:t>
      </w:r>
      <w:r w:rsidRPr="000608EA">
        <w:rPr>
          <w:rFonts w:ascii="Arial" w:hAnsi="Arial" w:cs="Arial"/>
          <w:sz w:val="22"/>
          <w:szCs w:val="22"/>
          <w:lang w:val="pt-BR"/>
        </w:rPr>
        <w:t>.</w:t>
      </w:r>
    </w:p>
    <w:p w:rsidR="00835F16" w:rsidRPr="000608EA" w:rsidRDefault="005C01DD" w:rsidP="000608EA">
      <w:pPr>
        <w:pStyle w:val="SubSubPar"/>
        <w:tabs>
          <w:tab w:val="clear" w:pos="2736"/>
        </w:tabs>
        <w:ind w:left="1620"/>
        <w:rPr>
          <w:rFonts w:ascii="Arial" w:hAnsi="Arial" w:cs="Arial"/>
          <w:sz w:val="22"/>
          <w:szCs w:val="22"/>
          <w:lang w:val="pt-BR"/>
        </w:rPr>
      </w:pPr>
      <w:r w:rsidRPr="000608EA">
        <w:rPr>
          <w:rFonts w:ascii="Arial" w:hAnsi="Arial" w:cs="Arial"/>
          <w:sz w:val="22"/>
          <w:szCs w:val="22"/>
          <w:lang w:val="pt-BR"/>
        </w:rPr>
        <w:t xml:space="preserve">De posse da classificação da instituição financeira é definida a exposição máxima, que se dá pelo menor dos seguintes valores: </w:t>
      </w:r>
    </w:p>
    <w:p w:rsidR="005C01DD" w:rsidRDefault="005C01DD" w:rsidP="00E64DDE">
      <w:pPr>
        <w:pStyle w:val="SubSubPar"/>
        <w:numPr>
          <w:ilvl w:val="0"/>
          <w:numId w:val="3"/>
        </w:numPr>
        <w:ind w:left="2070"/>
        <w:rPr>
          <w:rFonts w:ascii="Arial" w:hAnsi="Arial" w:cs="Arial"/>
          <w:sz w:val="22"/>
          <w:szCs w:val="22"/>
          <w:lang w:val="pt-BR"/>
        </w:rPr>
      </w:pPr>
      <w:r w:rsidRPr="000608EA">
        <w:rPr>
          <w:rFonts w:ascii="Arial" w:hAnsi="Arial" w:cs="Arial"/>
          <w:sz w:val="22"/>
          <w:szCs w:val="22"/>
          <w:lang w:val="pt-BR"/>
        </w:rPr>
        <w:t xml:space="preserve">Produto do Patrimônio de Referência da Instituição pelo Fator de </w:t>
      </w:r>
      <w:proofErr w:type="gramStart"/>
      <w:r w:rsidRPr="000608EA">
        <w:rPr>
          <w:rFonts w:ascii="Arial" w:hAnsi="Arial" w:cs="Arial"/>
          <w:sz w:val="22"/>
          <w:szCs w:val="22"/>
          <w:lang w:val="pt-BR"/>
        </w:rPr>
        <w:t>Alavancagem</w:t>
      </w:r>
      <w:proofErr w:type="gramEnd"/>
      <w:r w:rsidRPr="000608EA">
        <w:rPr>
          <w:rFonts w:ascii="Arial" w:hAnsi="Arial" w:cs="Arial"/>
          <w:sz w:val="22"/>
          <w:szCs w:val="22"/>
          <w:lang w:val="pt-BR"/>
        </w:rPr>
        <w:t xml:space="preserve">, conforme apresentado </w:t>
      </w:r>
      <w:r w:rsidR="00B91C52">
        <w:rPr>
          <w:rFonts w:ascii="Arial" w:hAnsi="Arial" w:cs="Arial"/>
          <w:sz w:val="22"/>
          <w:szCs w:val="22"/>
          <w:lang w:val="pt-BR"/>
        </w:rPr>
        <w:t>n</w:t>
      </w:r>
      <w:r w:rsidRPr="000608EA">
        <w:rPr>
          <w:rFonts w:ascii="Arial" w:hAnsi="Arial" w:cs="Arial"/>
          <w:sz w:val="22"/>
          <w:szCs w:val="22"/>
          <w:lang w:val="pt-BR"/>
        </w:rPr>
        <w:t>o gráfico abaixo:</w:t>
      </w:r>
    </w:p>
    <w:p w:rsidR="00B91C52" w:rsidRDefault="00B91C52" w:rsidP="00B91C52">
      <w:pPr>
        <w:pStyle w:val="SubSubPar"/>
        <w:numPr>
          <w:ilvl w:val="0"/>
          <w:numId w:val="0"/>
        </w:numPr>
        <w:ind w:left="2736" w:hanging="288"/>
        <w:rPr>
          <w:rFonts w:ascii="Arial" w:hAnsi="Arial" w:cs="Arial"/>
          <w:sz w:val="22"/>
          <w:szCs w:val="22"/>
          <w:lang w:val="pt-BR"/>
        </w:rPr>
      </w:pPr>
    </w:p>
    <w:p w:rsidR="005C01DD" w:rsidRPr="000608EA" w:rsidRDefault="005C01DD" w:rsidP="005C01DD">
      <w:pPr>
        <w:pStyle w:val="Paragraph"/>
        <w:numPr>
          <w:ilvl w:val="0"/>
          <w:numId w:val="0"/>
        </w:numPr>
        <w:ind w:left="720"/>
        <w:jc w:val="center"/>
        <w:rPr>
          <w:rFonts w:ascii="Arial" w:hAnsi="Arial" w:cs="Arial"/>
          <w:b/>
          <w:sz w:val="20"/>
          <w:szCs w:val="20"/>
          <w:lang w:val="pt-BR"/>
        </w:rPr>
      </w:pPr>
      <w:r w:rsidRPr="000608EA">
        <w:rPr>
          <w:rFonts w:ascii="Arial" w:hAnsi="Arial" w:cs="Arial"/>
          <w:b/>
          <w:sz w:val="20"/>
          <w:szCs w:val="20"/>
          <w:lang w:val="pt-BR"/>
        </w:rPr>
        <w:lastRenderedPageBreak/>
        <w:t xml:space="preserve">GRÁFICO </w:t>
      </w:r>
      <w:proofErr w:type="gramStart"/>
      <w:r w:rsidRPr="000608EA">
        <w:rPr>
          <w:rFonts w:ascii="Arial" w:hAnsi="Arial" w:cs="Arial"/>
          <w:b/>
          <w:sz w:val="20"/>
          <w:szCs w:val="20"/>
          <w:lang w:val="pt-BR"/>
        </w:rPr>
        <w:t>1</w:t>
      </w:r>
      <w:proofErr w:type="gramEnd"/>
      <w:r w:rsidRPr="000608EA">
        <w:rPr>
          <w:rFonts w:ascii="Arial" w:hAnsi="Arial" w:cs="Arial"/>
          <w:b/>
          <w:sz w:val="20"/>
          <w:szCs w:val="20"/>
          <w:lang w:val="pt-BR"/>
        </w:rPr>
        <w:t xml:space="preserve">. Fator de </w:t>
      </w:r>
      <w:proofErr w:type="gramStart"/>
      <w:r w:rsidRPr="000608EA">
        <w:rPr>
          <w:rFonts w:ascii="Arial" w:hAnsi="Arial" w:cs="Arial"/>
          <w:b/>
          <w:sz w:val="20"/>
          <w:szCs w:val="20"/>
          <w:lang w:val="pt-BR"/>
        </w:rPr>
        <w:t>Alavancagem</w:t>
      </w:r>
      <w:proofErr w:type="gramEnd"/>
      <w:r w:rsidRPr="000608EA">
        <w:rPr>
          <w:rFonts w:ascii="Arial" w:hAnsi="Arial" w:cs="Arial"/>
          <w:b/>
          <w:sz w:val="20"/>
          <w:szCs w:val="20"/>
          <w:lang w:val="pt-BR"/>
        </w:rPr>
        <w:t xml:space="preserve"> (Patrimônio da Instituição)</w:t>
      </w:r>
    </w:p>
    <w:p w:rsidR="005C01DD" w:rsidRDefault="005C01DD" w:rsidP="005C01DD">
      <w:pPr>
        <w:pStyle w:val="Paragraph"/>
        <w:numPr>
          <w:ilvl w:val="0"/>
          <w:numId w:val="0"/>
        </w:numPr>
        <w:ind w:left="720"/>
        <w:jc w:val="center"/>
        <w:rPr>
          <w:rFonts w:ascii="Arial" w:hAnsi="Arial" w:cs="Arial"/>
          <w:b/>
          <w:sz w:val="20"/>
          <w:szCs w:val="20"/>
          <w:lang w:val="pt-BR"/>
        </w:rPr>
      </w:pPr>
      <w:r w:rsidRPr="000608EA">
        <w:rPr>
          <w:rFonts w:ascii="Arial" w:hAnsi="Arial" w:cs="Arial"/>
          <w:noProof/>
          <w:sz w:val="20"/>
          <w:szCs w:val="20"/>
          <w:lang w:val="pt-BR" w:eastAsia="pt-BR"/>
        </w:rPr>
        <w:drawing>
          <wp:inline distT="0" distB="0" distL="0" distR="0" wp14:anchorId="39A6E7A1" wp14:editId="5310EBB2">
            <wp:extent cx="5764919" cy="2551716"/>
            <wp:effectExtent l="0" t="0" r="7620" b="127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761374" cy="2550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08EA" w:rsidRPr="000608EA" w:rsidRDefault="000608EA" w:rsidP="005C01DD">
      <w:pPr>
        <w:pStyle w:val="Paragraph"/>
        <w:numPr>
          <w:ilvl w:val="0"/>
          <w:numId w:val="0"/>
        </w:numPr>
        <w:ind w:left="720"/>
        <w:jc w:val="center"/>
        <w:rPr>
          <w:rFonts w:ascii="Arial" w:hAnsi="Arial" w:cs="Arial"/>
          <w:b/>
          <w:sz w:val="20"/>
          <w:szCs w:val="20"/>
          <w:lang w:val="pt-BR"/>
        </w:rPr>
      </w:pPr>
    </w:p>
    <w:p w:rsidR="005C01DD" w:rsidRPr="000608EA" w:rsidRDefault="005C01DD" w:rsidP="00E64DDE">
      <w:pPr>
        <w:pStyle w:val="SubSubPar"/>
        <w:numPr>
          <w:ilvl w:val="0"/>
          <w:numId w:val="3"/>
        </w:numPr>
        <w:ind w:left="2070"/>
        <w:rPr>
          <w:rFonts w:ascii="Arial" w:hAnsi="Arial" w:cs="Arial"/>
          <w:sz w:val="22"/>
          <w:szCs w:val="22"/>
          <w:lang w:val="pt-BR"/>
        </w:rPr>
      </w:pPr>
      <w:r w:rsidRPr="000608EA">
        <w:rPr>
          <w:rFonts w:ascii="Arial" w:hAnsi="Arial" w:cs="Arial"/>
          <w:sz w:val="22"/>
          <w:szCs w:val="22"/>
          <w:lang w:val="pt-BR"/>
        </w:rPr>
        <w:t xml:space="preserve">Ou Produto do Patrimônio de Referência do BNDES por percentual determinante do Limite de Concentração, apresentado no Gráfico </w:t>
      </w:r>
      <w:proofErr w:type="gramStart"/>
      <w:r w:rsidRPr="000608EA">
        <w:rPr>
          <w:rFonts w:ascii="Arial" w:hAnsi="Arial" w:cs="Arial"/>
          <w:sz w:val="22"/>
          <w:szCs w:val="22"/>
          <w:lang w:val="pt-BR"/>
        </w:rPr>
        <w:t>2</w:t>
      </w:r>
      <w:proofErr w:type="gramEnd"/>
      <w:r w:rsidRPr="000608EA">
        <w:rPr>
          <w:rFonts w:ascii="Arial" w:hAnsi="Arial" w:cs="Arial"/>
          <w:sz w:val="22"/>
          <w:szCs w:val="22"/>
          <w:lang w:val="pt-BR"/>
        </w:rPr>
        <w:t xml:space="preserve"> a seguir:</w:t>
      </w:r>
    </w:p>
    <w:p w:rsidR="00557A3A" w:rsidRPr="000608EA" w:rsidRDefault="00557A3A" w:rsidP="00557A3A">
      <w:pPr>
        <w:pStyle w:val="Paragraph"/>
        <w:numPr>
          <w:ilvl w:val="0"/>
          <w:numId w:val="0"/>
        </w:numPr>
        <w:jc w:val="center"/>
        <w:rPr>
          <w:rFonts w:ascii="Arial" w:hAnsi="Arial" w:cs="Arial"/>
          <w:b/>
          <w:sz w:val="20"/>
          <w:szCs w:val="20"/>
          <w:lang w:val="pt-BR"/>
        </w:rPr>
      </w:pPr>
      <w:r w:rsidRPr="000608EA">
        <w:rPr>
          <w:rFonts w:ascii="Arial" w:hAnsi="Arial" w:cs="Arial"/>
          <w:b/>
          <w:sz w:val="20"/>
          <w:szCs w:val="20"/>
          <w:lang w:val="pt-BR"/>
        </w:rPr>
        <w:t xml:space="preserve">GRÁFICO </w:t>
      </w:r>
      <w:proofErr w:type="gramStart"/>
      <w:r w:rsidRPr="000608EA">
        <w:rPr>
          <w:rFonts w:ascii="Arial" w:hAnsi="Arial" w:cs="Arial"/>
          <w:b/>
          <w:sz w:val="20"/>
          <w:szCs w:val="20"/>
          <w:lang w:val="pt-BR"/>
        </w:rPr>
        <w:t>2</w:t>
      </w:r>
      <w:proofErr w:type="gramEnd"/>
      <w:r w:rsidRPr="000608EA">
        <w:rPr>
          <w:rFonts w:ascii="Arial" w:hAnsi="Arial" w:cs="Arial"/>
          <w:b/>
          <w:sz w:val="20"/>
          <w:szCs w:val="20"/>
          <w:lang w:val="pt-BR"/>
        </w:rPr>
        <w:t>. Limite de Concentração (Patrimônio de Referência do BNDES)</w:t>
      </w:r>
    </w:p>
    <w:p w:rsidR="00557A3A" w:rsidRPr="000608EA" w:rsidRDefault="00557A3A" w:rsidP="00557A3A">
      <w:pPr>
        <w:pStyle w:val="Paragraph"/>
        <w:numPr>
          <w:ilvl w:val="0"/>
          <w:numId w:val="0"/>
        </w:numPr>
        <w:jc w:val="right"/>
        <w:rPr>
          <w:rFonts w:ascii="Arial" w:hAnsi="Arial" w:cs="Arial"/>
          <w:b/>
          <w:sz w:val="20"/>
          <w:szCs w:val="20"/>
          <w:lang w:val="pt-BR"/>
        </w:rPr>
      </w:pPr>
      <w:r w:rsidRPr="000608EA">
        <w:rPr>
          <w:rFonts w:ascii="Arial" w:hAnsi="Arial" w:cs="Arial"/>
          <w:noProof/>
          <w:sz w:val="20"/>
          <w:szCs w:val="20"/>
          <w:lang w:val="pt-BR" w:eastAsia="pt-BR"/>
        </w:rPr>
        <w:drawing>
          <wp:inline distT="0" distB="0" distL="0" distR="0" wp14:anchorId="47C8C179" wp14:editId="7BB30BFB">
            <wp:extent cx="5362042" cy="2509734"/>
            <wp:effectExtent l="0" t="0" r="0" b="508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366207" cy="2511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01DD" w:rsidRPr="000608EA" w:rsidRDefault="005C01DD" w:rsidP="000608EA">
      <w:pPr>
        <w:pStyle w:val="SubSubPar"/>
        <w:tabs>
          <w:tab w:val="clear" w:pos="2736"/>
        </w:tabs>
        <w:ind w:left="1620"/>
        <w:rPr>
          <w:rFonts w:ascii="Arial" w:hAnsi="Arial" w:cs="Arial"/>
          <w:sz w:val="22"/>
          <w:szCs w:val="22"/>
          <w:lang w:val="pt-BR"/>
        </w:rPr>
      </w:pPr>
      <w:r w:rsidRPr="000608EA">
        <w:rPr>
          <w:rFonts w:ascii="Arial" w:hAnsi="Arial" w:cs="Arial"/>
          <w:sz w:val="22"/>
          <w:szCs w:val="22"/>
          <w:lang w:val="pt-BR"/>
        </w:rPr>
        <w:t xml:space="preserve"> O Fator de </w:t>
      </w:r>
      <w:proofErr w:type="gramStart"/>
      <w:r w:rsidRPr="000608EA">
        <w:rPr>
          <w:rFonts w:ascii="Arial" w:hAnsi="Arial" w:cs="Arial"/>
          <w:sz w:val="22"/>
          <w:szCs w:val="22"/>
          <w:lang w:val="pt-BR"/>
        </w:rPr>
        <w:t>Alavancagem</w:t>
      </w:r>
      <w:proofErr w:type="gramEnd"/>
      <w:r w:rsidRPr="000608EA">
        <w:rPr>
          <w:rFonts w:ascii="Arial" w:hAnsi="Arial" w:cs="Arial"/>
          <w:sz w:val="22"/>
          <w:szCs w:val="22"/>
          <w:lang w:val="pt-BR"/>
        </w:rPr>
        <w:t xml:space="preserve"> e o percentual determinante do Limite de Concentração são definidos em função da conjugação da Classificação de Risco da Instituição Financeira com a Classificação de Risco de sua Carteira de Repasses do BNDES.</w:t>
      </w:r>
    </w:p>
    <w:p w:rsidR="00557A3A" w:rsidRPr="000608EA" w:rsidRDefault="00557A3A" w:rsidP="000608EA">
      <w:pPr>
        <w:pStyle w:val="SubSubPar"/>
        <w:tabs>
          <w:tab w:val="clear" w:pos="2736"/>
        </w:tabs>
        <w:ind w:left="1620"/>
        <w:rPr>
          <w:rFonts w:ascii="Arial" w:hAnsi="Arial" w:cs="Arial"/>
          <w:sz w:val="22"/>
          <w:szCs w:val="22"/>
          <w:lang w:val="pt-BR"/>
        </w:rPr>
      </w:pPr>
      <w:r w:rsidRPr="000608EA">
        <w:rPr>
          <w:rFonts w:ascii="Arial" w:hAnsi="Arial" w:cs="Arial"/>
          <w:sz w:val="22"/>
          <w:szCs w:val="22"/>
          <w:lang w:val="pt-BR"/>
        </w:rPr>
        <w:t>Outra instituição financeira ou não financeira poderá coobrigar-se</w:t>
      </w:r>
      <w:r w:rsidR="0069378A">
        <w:rPr>
          <w:rFonts w:ascii="Arial" w:hAnsi="Arial" w:cs="Arial"/>
          <w:sz w:val="22"/>
          <w:szCs w:val="22"/>
          <w:lang w:val="pt-BR"/>
        </w:rPr>
        <w:t>, mediante emissão de fiança,</w:t>
      </w:r>
      <w:r w:rsidRPr="000608EA">
        <w:rPr>
          <w:rFonts w:ascii="Arial" w:hAnsi="Arial" w:cs="Arial"/>
          <w:sz w:val="22"/>
          <w:szCs w:val="22"/>
          <w:lang w:val="pt-BR"/>
        </w:rPr>
        <w:t xml:space="preserve"> em operações excedentes a Exposição Máxima da Instituição Financeira desde que:</w:t>
      </w:r>
      <w:proofErr w:type="gramStart"/>
      <w:r w:rsidRPr="000608EA">
        <w:rPr>
          <w:rFonts w:ascii="Arial" w:hAnsi="Arial" w:cs="Arial"/>
          <w:sz w:val="22"/>
          <w:szCs w:val="22"/>
          <w:lang w:val="pt-BR"/>
        </w:rPr>
        <w:t xml:space="preserve">  </w:t>
      </w:r>
      <w:proofErr w:type="gramEnd"/>
      <w:r w:rsidRPr="000608EA">
        <w:rPr>
          <w:rFonts w:ascii="Arial" w:hAnsi="Arial" w:cs="Arial"/>
          <w:sz w:val="22"/>
          <w:szCs w:val="22"/>
          <w:lang w:val="pt-BR"/>
        </w:rPr>
        <w:t xml:space="preserve">(1) a instituição fiadora tenha margem de </w:t>
      </w:r>
      <w:r w:rsidRPr="000608EA">
        <w:rPr>
          <w:rFonts w:ascii="Arial" w:hAnsi="Arial" w:cs="Arial"/>
          <w:sz w:val="22"/>
          <w:szCs w:val="22"/>
          <w:lang w:val="pt-BR"/>
        </w:rPr>
        <w:lastRenderedPageBreak/>
        <w:t xml:space="preserve">limite de crédito disponível; (2) a instituição fiadora </w:t>
      </w:r>
      <w:proofErr w:type="spellStart"/>
      <w:r w:rsidRPr="000608EA">
        <w:rPr>
          <w:rFonts w:ascii="Arial" w:hAnsi="Arial" w:cs="Arial"/>
          <w:sz w:val="22"/>
          <w:szCs w:val="22"/>
          <w:lang w:val="pt-BR"/>
        </w:rPr>
        <w:t>te</w:t>
      </w:r>
      <w:r w:rsidR="0069378A">
        <w:rPr>
          <w:rFonts w:ascii="Arial" w:hAnsi="Arial" w:cs="Arial"/>
          <w:sz w:val="22"/>
          <w:szCs w:val="22"/>
          <w:lang w:val="pt-BR"/>
        </w:rPr>
        <w:t>mha</w:t>
      </w:r>
      <w:proofErr w:type="spellEnd"/>
      <w:r w:rsidRPr="000608EA">
        <w:rPr>
          <w:rFonts w:ascii="Arial" w:hAnsi="Arial" w:cs="Arial"/>
          <w:sz w:val="22"/>
          <w:szCs w:val="22"/>
          <w:lang w:val="pt-BR"/>
        </w:rPr>
        <w:t xml:space="preserve"> classificação mínima de BBB-; e (3)</w:t>
      </w:r>
      <w:r w:rsidR="0049326A">
        <w:rPr>
          <w:rFonts w:ascii="Arial" w:hAnsi="Arial" w:cs="Arial"/>
          <w:sz w:val="22"/>
          <w:szCs w:val="22"/>
          <w:lang w:val="pt-BR"/>
        </w:rPr>
        <w:t xml:space="preserve"> </w:t>
      </w:r>
      <w:r w:rsidRPr="000608EA">
        <w:rPr>
          <w:rFonts w:ascii="Arial" w:hAnsi="Arial" w:cs="Arial"/>
          <w:sz w:val="22"/>
          <w:szCs w:val="22"/>
          <w:lang w:val="pt-BR"/>
        </w:rPr>
        <w:t>a instituição financeira afiançad</w:t>
      </w:r>
      <w:r w:rsidR="0069378A">
        <w:rPr>
          <w:rFonts w:ascii="Arial" w:hAnsi="Arial" w:cs="Arial"/>
          <w:sz w:val="22"/>
          <w:szCs w:val="22"/>
          <w:lang w:val="pt-BR"/>
        </w:rPr>
        <w:t>a</w:t>
      </w:r>
      <w:r w:rsidRPr="000608EA">
        <w:rPr>
          <w:rFonts w:ascii="Arial" w:hAnsi="Arial" w:cs="Arial"/>
          <w:sz w:val="22"/>
          <w:szCs w:val="22"/>
          <w:lang w:val="pt-BR"/>
        </w:rPr>
        <w:t xml:space="preserve"> te</w:t>
      </w:r>
      <w:r w:rsidR="0069378A">
        <w:rPr>
          <w:rFonts w:ascii="Arial" w:hAnsi="Arial" w:cs="Arial"/>
          <w:sz w:val="22"/>
          <w:szCs w:val="22"/>
          <w:lang w:val="pt-BR"/>
        </w:rPr>
        <w:t>nha</w:t>
      </w:r>
      <w:r w:rsidRPr="000608EA">
        <w:rPr>
          <w:rFonts w:ascii="Arial" w:hAnsi="Arial" w:cs="Arial"/>
          <w:sz w:val="22"/>
          <w:szCs w:val="22"/>
          <w:lang w:val="pt-BR"/>
        </w:rPr>
        <w:t xml:space="preserve"> classificação mínima de B-.</w:t>
      </w:r>
    </w:p>
    <w:p w:rsidR="00557A3A" w:rsidRPr="000608EA" w:rsidRDefault="00557A3A" w:rsidP="000608EA">
      <w:pPr>
        <w:pStyle w:val="subpar"/>
        <w:tabs>
          <w:tab w:val="clear" w:pos="2304"/>
        </w:tabs>
        <w:ind w:left="1170"/>
        <w:rPr>
          <w:rFonts w:ascii="Arial" w:hAnsi="Arial" w:cs="Arial"/>
          <w:sz w:val="22"/>
          <w:szCs w:val="22"/>
          <w:lang w:val="pt-BR"/>
        </w:rPr>
      </w:pPr>
      <w:r w:rsidRPr="000608EA">
        <w:rPr>
          <w:rFonts w:ascii="Arial" w:hAnsi="Arial" w:cs="Arial"/>
          <w:sz w:val="22"/>
          <w:szCs w:val="22"/>
          <w:u w:val="single"/>
          <w:lang w:val="pt-BR"/>
        </w:rPr>
        <w:t>Limite de Crédito Técnico (LCT)</w:t>
      </w:r>
      <w:r w:rsidRPr="000608EA">
        <w:rPr>
          <w:rFonts w:ascii="Arial" w:hAnsi="Arial" w:cs="Arial"/>
          <w:sz w:val="22"/>
          <w:szCs w:val="22"/>
          <w:lang w:val="pt-BR"/>
        </w:rPr>
        <w:t>.</w:t>
      </w:r>
    </w:p>
    <w:p w:rsidR="00557A3A" w:rsidRPr="000608EA" w:rsidRDefault="00557A3A" w:rsidP="000608EA">
      <w:pPr>
        <w:pStyle w:val="SubSubPar"/>
        <w:tabs>
          <w:tab w:val="clear" w:pos="2736"/>
        </w:tabs>
        <w:ind w:left="1620"/>
        <w:rPr>
          <w:rFonts w:ascii="Arial" w:hAnsi="Arial" w:cs="Arial"/>
          <w:sz w:val="22"/>
          <w:szCs w:val="22"/>
          <w:lang w:val="pt-BR"/>
        </w:rPr>
      </w:pPr>
      <w:r w:rsidRPr="000608EA">
        <w:rPr>
          <w:rFonts w:ascii="Arial" w:hAnsi="Arial" w:cs="Arial"/>
          <w:sz w:val="22"/>
          <w:szCs w:val="22"/>
          <w:lang w:val="pt-BR"/>
        </w:rPr>
        <w:t xml:space="preserve">O LCT será o equivalente ao </w:t>
      </w:r>
      <w:r w:rsidRPr="000608EA">
        <w:rPr>
          <w:rFonts w:ascii="Arial" w:hAnsi="Arial" w:cs="Arial"/>
          <w:sz w:val="22"/>
          <w:szCs w:val="22"/>
          <w:u w:val="single"/>
          <w:lang w:val="pt-BR"/>
        </w:rPr>
        <w:t>menor</w:t>
      </w:r>
      <w:r w:rsidRPr="000608EA">
        <w:rPr>
          <w:rFonts w:ascii="Arial" w:hAnsi="Arial" w:cs="Arial"/>
          <w:sz w:val="22"/>
          <w:szCs w:val="22"/>
          <w:lang w:val="pt-BR"/>
        </w:rPr>
        <w:t xml:space="preserve"> dos três valores: </w:t>
      </w:r>
    </w:p>
    <w:p w:rsidR="008C2A4D" w:rsidRPr="000608EA" w:rsidRDefault="00557A3A" w:rsidP="00E64DDE">
      <w:pPr>
        <w:pStyle w:val="SubSubPar"/>
        <w:numPr>
          <w:ilvl w:val="0"/>
          <w:numId w:val="3"/>
        </w:numPr>
        <w:ind w:left="2070"/>
        <w:rPr>
          <w:rFonts w:ascii="Arial" w:hAnsi="Arial" w:cs="Arial"/>
          <w:sz w:val="22"/>
          <w:szCs w:val="22"/>
          <w:lang w:val="pt-BR"/>
        </w:rPr>
      </w:pPr>
      <w:r w:rsidRPr="000608EA">
        <w:rPr>
          <w:rFonts w:ascii="Arial" w:hAnsi="Arial" w:cs="Arial"/>
          <w:sz w:val="22"/>
          <w:szCs w:val="22"/>
          <w:lang w:val="pt-BR"/>
        </w:rPr>
        <w:t xml:space="preserve">Margem Disponível, que por sua vez </w:t>
      </w:r>
      <w:r w:rsidR="0069378A">
        <w:rPr>
          <w:rFonts w:ascii="Arial" w:hAnsi="Arial" w:cs="Arial"/>
          <w:sz w:val="22"/>
          <w:szCs w:val="22"/>
          <w:lang w:val="pt-BR"/>
        </w:rPr>
        <w:t>é</w:t>
      </w:r>
      <w:r w:rsidRPr="000608EA">
        <w:rPr>
          <w:rFonts w:ascii="Arial" w:hAnsi="Arial" w:cs="Arial"/>
          <w:sz w:val="22"/>
          <w:szCs w:val="22"/>
          <w:lang w:val="pt-BR"/>
        </w:rPr>
        <w:t xml:space="preserve"> definida como sendo o </w:t>
      </w:r>
      <w:r w:rsidRPr="000608EA">
        <w:rPr>
          <w:rFonts w:ascii="Arial" w:hAnsi="Arial" w:cs="Arial"/>
          <w:sz w:val="22"/>
          <w:szCs w:val="22"/>
          <w:u w:val="single"/>
          <w:lang w:val="pt-BR"/>
        </w:rPr>
        <w:t>maior</w:t>
      </w:r>
      <w:proofErr w:type="gramStart"/>
      <w:r w:rsidRPr="000608EA">
        <w:rPr>
          <w:rFonts w:ascii="Arial" w:hAnsi="Arial" w:cs="Arial"/>
          <w:sz w:val="22"/>
          <w:szCs w:val="22"/>
          <w:lang w:val="pt-BR"/>
        </w:rPr>
        <w:t xml:space="preserve">  </w:t>
      </w:r>
      <w:proofErr w:type="gramEnd"/>
      <w:r w:rsidRPr="000608EA">
        <w:rPr>
          <w:rFonts w:ascii="Arial" w:hAnsi="Arial" w:cs="Arial"/>
          <w:sz w:val="22"/>
          <w:szCs w:val="22"/>
          <w:lang w:val="pt-BR"/>
        </w:rPr>
        <w:t xml:space="preserve">dos dois valores a seguir: </w:t>
      </w:r>
    </w:p>
    <w:p w:rsidR="0014505D" w:rsidRPr="000608EA" w:rsidRDefault="00557A3A" w:rsidP="000608EA">
      <w:pPr>
        <w:pStyle w:val="SubSubPar"/>
        <w:numPr>
          <w:ilvl w:val="0"/>
          <w:numId w:val="0"/>
        </w:numPr>
        <w:ind w:left="2070"/>
        <w:rPr>
          <w:rFonts w:ascii="Arial" w:hAnsi="Arial" w:cs="Arial"/>
          <w:sz w:val="22"/>
          <w:szCs w:val="22"/>
          <w:lang w:val="pt-BR"/>
        </w:rPr>
      </w:pPr>
      <w:r w:rsidRPr="000608EA">
        <w:rPr>
          <w:rFonts w:ascii="Arial" w:hAnsi="Arial" w:cs="Arial"/>
          <w:sz w:val="22"/>
          <w:szCs w:val="22"/>
          <w:lang w:val="pt-BR"/>
        </w:rPr>
        <w:t xml:space="preserve">Exposição Máxima (-) Exposição Existente (-) Reservas de Margem; </w:t>
      </w:r>
    </w:p>
    <w:p w:rsidR="0014505D" w:rsidRPr="000608EA" w:rsidRDefault="0014505D" w:rsidP="000608EA">
      <w:pPr>
        <w:pStyle w:val="SubSubPar"/>
        <w:numPr>
          <w:ilvl w:val="0"/>
          <w:numId w:val="0"/>
        </w:numPr>
        <w:ind w:left="2160"/>
        <w:rPr>
          <w:rFonts w:ascii="Arial" w:hAnsi="Arial" w:cs="Arial"/>
          <w:b/>
          <w:sz w:val="22"/>
          <w:szCs w:val="22"/>
          <w:lang w:val="pt-BR"/>
        </w:rPr>
      </w:pPr>
      <w:r w:rsidRPr="000608EA">
        <w:rPr>
          <w:rFonts w:ascii="Arial" w:hAnsi="Arial" w:cs="Arial"/>
          <w:b/>
          <w:sz w:val="22"/>
          <w:szCs w:val="22"/>
          <w:lang w:val="pt-BR"/>
        </w:rPr>
        <w:t xml:space="preserve">- </w:t>
      </w:r>
      <w:r w:rsidR="00557A3A" w:rsidRPr="000608EA">
        <w:rPr>
          <w:rFonts w:ascii="Arial" w:hAnsi="Arial" w:cs="Arial"/>
          <w:b/>
          <w:sz w:val="22"/>
          <w:szCs w:val="22"/>
          <w:lang w:val="pt-BR"/>
        </w:rPr>
        <w:t>ou</w:t>
      </w:r>
      <w:r w:rsidRPr="000608EA">
        <w:rPr>
          <w:rFonts w:ascii="Arial" w:hAnsi="Arial" w:cs="Arial"/>
          <w:b/>
          <w:sz w:val="22"/>
          <w:szCs w:val="22"/>
          <w:lang w:val="pt-BR"/>
        </w:rPr>
        <w:t xml:space="preserve"> -</w:t>
      </w:r>
    </w:p>
    <w:p w:rsidR="00557A3A" w:rsidRPr="000608EA" w:rsidRDefault="00557A3A" w:rsidP="000608EA">
      <w:pPr>
        <w:pStyle w:val="SubSubPar"/>
        <w:numPr>
          <w:ilvl w:val="0"/>
          <w:numId w:val="0"/>
        </w:numPr>
        <w:ind w:left="2070"/>
        <w:rPr>
          <w:rFonts w:ascii="Arial" w:hAnsi="Arial" w:cs="Arial"/>
          <w:sz w:val="22"/>
          <w:szCs w:val="22"/>
          <w:lang w:val="pt-BR"/>
        </w:rPr>
      </w:pPr>
      <w:r w:rsidRPr="000608EA">
        <w:rPr>
          <w:rFonts w:ascii="Arial" w:hAnsi="Arial" w:cs="Arial"/>
          <w:sz w:val="22"/>
          <w:szCs w:val="22"/>
          <w:lang w:val="pt-BR"/>
        </w:rPr>
        <w:t>Fluxo Financeiro</w:t>
      </w:r>
      <w:r w:rsidR="0014505D" w:rsidRPr="000608EA">
        <w:rPr>
          <w:rFonts w:ascii="Arial" w:hAnsi="Arial" w:cs="Arial"/>
          <w:sz w:val="22"/>
          <w:szCs w:val="22"/>
          <w:lang w:val="pt-BR"/>
        </w:rPr>
        <w:t xml:space="preserve"> (atribuído a Instituições Financeiras com exposição existente próxima ou maior do que a exposição máxima, sendo </w:t>
      </w:r>
      <w:proofErr w:type="gramStart"/>
      <w:r w:rsidR="0014505D" w:rsidRPr="000608EA">
        <w:rPr>
          <w:rFonts w:ascii="Arial" w:hAnsi="Arial" w:cs="Arial"/>
          <w:sz w:val="22"/>
          <w:szCs w:val="22"/>
          <w:lang w:val="pt-BR"/>
        </w:rPr>
        <w:t>aplicável</w:t>
      </w:r>
      <w:proofErr w:type="gramEnd"/>
      <w:r w:rsidR="0014505D" w:rsidRPr="000608EA">
        <w:rPr>
          <w:rFonts w:ascii="Arial" w:hAnsi="Arial" w:cs="Arial"/>
          <w:sz w:val="22"/>
          <w:szCs w:val="22"/>
          <w:lang w:val="pt-BR"/>
        </w:rPr>
        <w:t xml:space="preserve"> apenas a Agentes com risco igual ou melhor do que B-)</w:t>
      </w:r>
      <w:r w:rsidR="0014505D" w:rsidRPr="000608EA">
        <w:rPr>
          <w:rStyle w:val="FootnoteReference"/>
          <w:rFonts w:ascii="Arial" w:hAnsi="Arial" w:cs="Arial"/>
          <w:sz w:val="22"/>
          <w:szCs w:val="22"/>
          <w:lang w:val="pt-BR"/>
        </w:rPr>
        <w:footnoteReference w:id="15"/>
      </w:r>
      <w:r w:rsidRPr="000608EA">
        <w:rPr>
          <w:rFonts w:ascii="Arial" w:hAnsi="Arial" w:cs="Arial"/>
          <w:sz w:val="22"/>
          <w:szCs w:val="22"/>
          <w:lang w:val="pt-BR"/>
        </w:rPr>
        <w:t>.</w:t>
      </w:r>
    </w:p>
    <w:p w:rsidR="0014505D" w:rsidRPr="000608EA" w:rsidRDefault="00557A3A" w:rsidP="00E64DDE">
      <w:pPr>
        <w:pStyle w:val="SubSubPar"/>
        <w:numPr>
          <w:ilvl w:val="0"/>
          <w:numId w:val="3"/>
        </w:numPr>
        <w:ind w:left="2070"/>
        <w:rPr>
          <w:rFonts w:ascii="Arial" w:hAnsi="Arial" w:cs="Arial"/>
          <w:sz w:val="22"/>
          <w:szCs w:val="22"/>
          <w:lang w:val="pt-BR"/>
        </w:rPr>
      </w:pPr>
      <w:r w:rsidRPr="000608EA">
        <w:rPr>
          <w:rFonts w:ascii="Arial" w:hAnsi="Arial" w:cs="Arial"/>
          <w:sz w:val="22"/>
          <w:szCs w:val="22"/>
          <w:lang w:val="pt-BR"/>
        </w:rPr>
        <w:t xml:space="preserve">Média das aprovações dos últimos </w:t>
      </w:r>
      <w:r w:rsidR="0014505D" w:rsidRPr="000608EA">
        <w:rPr>
          <w:rFonts w:ascii="Arial" w:hAnsi="Arial" w:cs="Arial"/>
          <w:sz w:val="22"/>
          <w:szCs w:val="22"/>
          <w:lang w:val="pt-BR"/>
        </w:rPr>
        <w:t xml:space="preserve">quatro </w:t>
      </w:r>
      <w:r w:rsidRPr="000608EA">
        <w:rPr>
          <w:rFonts w:ascii="Arial" w:hAnsi="Arial" w:cs="Arial"/>
          <w:sz w:val="22"/>
          <w:szCs w:val="22"/>
          <w:lang w:val="pt-BR"/>
        </w:rPr>
        <w:t xml:space="preserve">períodos imediatamente anteriores, acrescida de </w:t>
      </w:r>
      <w:r w:rsidR="0014505D" w:rsidRPr="000608EA">
        <w:rPr>
          <w:rFonts w:ascii="Arial" w:hAnsi="Arial" w:cs="Arial"/>
          <w:sz w:val="22"/>
          <w:szCs w:val="22"/>
          <w:lang w:val="pt-BR"/>
        </w:rPr>
        <w:t xml:space="preserve">três </w:t>
      </w:r>
      <w:r w:rsidRPr="000608EA">
        <w:rPr>
          <w:rFonts w:ascii="Arial" w:hAnsi="Arial" w:cs="Arial"/>
          <w:sz w:val="22"/>
          <w:szCs w:val="22"/>
          <w:lang w:val="pt-BR"/>
        </w:rPr>
        <w:t xml:space="preserve">desvios padrão; </w:t>
      </w:r>
      <w:proofErr w:type="gramStart"/>
      <w:r w:rsidRPr="000608EA">
        <w:rPr>
          <w:rFonts w:ascii="Arial" w:hAnsi="Arial" w:cs="Arial"/>
          <w:sz w:val="22"/>
          <w:szCs w:val="22"/>
          <w:lang w:val="pt-BR"/>
        </w:rPr>
        <w:t>e</w:t>
      </w:r>
      <w:proofErr w:type="gramEnd"/>
    </w:p>
    <w:p w:rsidR="00557A3A" w:rsidRPr="000608EA" w:rsidRDefault="00557A3A" w:rsidP="00E64DDE">
      <w:pPr>
        <w:pStyle w:val="SubSubPar"/>
        <w:numPr>
          <w:ilvl w:val="0"/>
          <w:numId w:val="3"/>
        </w:numPr>
        <w:ind w:left="2070"/>
        <w:rPr>
          <w:rFonts w:ascii="Arial" w:hAnsi="Arial" w:cs="Arial"/>
          <w:sz w:val="22"/>
          <w:szCs w:val="22"/>
          <w:lang w:val="pt-BR"/>
        </w:rPr>
      </w:pPr>
      <w:r w:rsidRPr="000608EA">
        <w:rPr>
          <w:rFonts w:ascii="Arial" w:hAnsi="Arial" w:cs="Arial"/>
          <w:sz w:val="22"/>
          <w:szCs w:val="22"/>
          <w:lang w:val="pt-BR"/>
        </w:rPr>
        <w:t>O triplo do maior dentre os montante das aprovações nos dois períodos imediatamente anteriores.</w:t>
      </w:r>
    </w:p>
    <w:p w:rsidR="0014505D" w:rsidRPr="000608EA" w:rsidRDefault="0014505D" w:rsidP="000608EA">
      <w:pPr>
        <w:pStyle w:val="SubSubPar"/>
        <w:tabs>
          <w:tab w:val="clear" w:pos="2736"/>
        </w:tabs>
        <w:ind w:left="1620"/>
        <w:rPr>
          <w:rFonts w:ascii="Arial" w:hAnsi="Arial" w:cs="Arial"/>
          <w:sz w:val="22"/>
          <w:szCs w:val="22"/>
          <w:lang w:val="pt-BR"/>
        </w:rPr>
      </w:pPr>
      <w:r w:rsidRPr="000608EA">
        <w:rPr>
          <w:rFonts w:ascii="Arial" w:hAnsi="Arial" w:cs="Arial"/>
          <w:sz w:val="22"/>
          <w:szCs w:val="22"/>
          <w:lang w:val="pt-BR"/>
        </w:rPr>
        <w:t>Para os casos de instituições financeiras que estão sendo credenciadas e iniciando sua operação com o BNDES ou que estejam reingressando – instituições sem limite há mais de 180 dias e que manifeste interesse em voltar a repassar recursos do BNDES- o LCT é definido como sendo</w:t>
      </w:r>
      <w:r w:rsidR="0069378A">
        <w:rPr>
          <w:rFonts w:ascii="Arial" w:hAnsi="Arial" w:cs="Arial"/>
          <w:sz w:val="22"/>
          <w:szCs w:val="22"/>
          <w:lang w:val="pt-BR"/>
        </w:rPr>
        <w:t xml:space="preserve"> até</w:t>
      </w:r>
      <w:r w:rsidRPr="000608EA">
        <w:rPr>
          <w:rFonts w:ascii="Arial" w:hAnsi="Arial" w:cs="Arial"/>
          <w:sz w:val="22"/>
          <w:szCs w:val="22"/>
          <w:lang w:val="pt-BR"/>
        </w:rPr>
        <w:t xml:space="preserve"> 20% da Margem Disponível.</w:t>
      </w:r>
    </w:p>
    <w:p w:rsidR="0014505D" w:rsidRPr="000608EA" w:rsidRDefault="0014505D" w:rsidP="000608EA">
      <w:pPr>
        <w:pStyle w:val="subpar"/>
        <w:tabs>
          <w:tab w:val="clear" w:pos="2304"/>
        </w:tabs>
        <w:ind w:left="1170"/>
        <w:rPr>
          <w:rFonts w:ascii="Arial" w:hAnsi="Arial" w:cs="Arial"/>
          <w:sz w:val="22"/>
          <w:szCs w:val="22"/>
          <w:u w:val="single"/>
          <w:lang w:val="pt-BR"/>
        </w:rPr>
      </w:pPr>
      <w:r w:rsidRPr="000608EA">
        <w:rPr>
          <w:rFonts w:ascii="Arial" w:hAnsi="Arial" w:cs="Arial"/>
          <w:sz w:val="22"/>
          <w:szCs w:val="22"/>
          <w:u w:val="single"/>
          <w:lang w:val="pt-BR"/>
        </w:rPr>
        <w:t>Limite de Crédito Final (LCF)</w:t>
      </w:r>
    </w:p>
    <w:p w:rsidR="00711502" w:rsidRPr="000608EA" w:rsidRDefault="00711502" w:rsidP="000608EA">
      <w:pPr>
        <w:pStyle w:val="SubSubPar"/>
        <w:tabs>
          <w:tab w:val="clear" w:pos="2736"/>
        </w:tabs>
        <w:ind w:left="1620"/>
        <w:rPr>
          <w:rFonts w:ascii="Arial" w:hAnsi="Arial" w:cs="Arial"/>
          <w:sz w:val="22"/>
          <w:szCs w:val="22"/>
          <w:lang w:val="pt-BR"/>
        </w:rPr>
      </w:pPr>
      <w:r w:rsidRPr="000608EA">
        <w:rPr>
          <w:rFonts w:ascii="Arial" w:hAnsi="Arial" w:cs="Arial"/>
          <w:sz w:val="22"/>
          <w:szCs w:val="22"/>
          <w:lang w:val="pt-BR"/>
        </w:rPr>
        <w:t>O LCF é calculado utilizando-se a f</w:t>
      </w:r>
      <w:r w:rsidR="0069378A">
        <w:rPr>
          <w:rFonts w:ascii="Arial" w:hAnsi="Arial" w:cs="Arial"/>
          <w:sz w:val="22"/>
          <w:szCs w:val="22"/>
          <w:lang w:val="pt-BR"/>
        </w:rPr>
        <w:t>ó</w:t>
      </w:r>
      <w:r w:rsidRPr="000608EA">
        <w:rPr>
          <w:rFonts w:ascii="Arial" w:hAnsi="Arial" w:cs="Arial"/>
          <w:sz w:val="22"/>
          <w:szCs w:val="22"/>
          <w:lang w:val="pt-BR"/>
        </w:rPr>
        <w:t xml:space="preserve">rmula </w:t>
      </w:r>
    </w:p>
    <w:p w:rsidR="00711502" w:rsidRPr="000608EA" w:rsidRDefault="00711502" w:rsidP="00711502">
      <w:pPr>
        <w:pStyle w:val="SubSubPar"/>
        <w:numPr>
          <w:ilvl w:val="0"/>
          <w:numId w:val="0"/>
        </w:numPr>
        <w:ind w:left="2736"/>
        <w:rPr>
          <w:rFonts w:ascii="Arial" w:hAnsi="Arial" w:cs="Arial"/>
          <w:b/>
          <w:sz w:val="22"/>
          <w:szCs w:val="22"/>
          <w:lang w:val="pt-BR"/>
        </w:rPr>
      </w:pPr>
      <w:r w:rsidRPr="000608EA">
        <w:rPr>
          <w:rFonts w:ascii="Arial" w:hAnsi="Arial" w:cs="Arial"/>
          <w:b/>
          <w:sz w:val="22"/>
          <w:szCs w:val="22"/>
          <w:lang w:val="pt-BR"/>
        </w:rPr>
        <w:t xml:space="preserve">LCF=LCT x Ajuste </w:t>
      </w:r>
      <w:proofErr w:type="gramStart"/>
      <w:r w:rsidRPr="000608EA">
        <w:rPr>
          <w:rFonts w:ascii="Arial" w:hAnsi="Arial" w:cs="Arial"/>
          <w:b/>
          <w:sz w:val="22"/>
          <w:szCs w:val="22"/>
          <w:lang w:val="pt-BR"/>
        </w:rPr>
        <w:t>1</w:t>
      </w:r>
      <w:proofErr w:type="gramEnd"/>
      <w:r w:rsidRPr="000608EA">
        <w:rPr>
          <w:rFonts w:ascii="Arial" w:hAnsi="Arial" w:cs="Arial"/>
          <w:b/>
          <w:sz w:val="22"/>
          <w:szCs w:val="22"/>
          <w:lang w:val="pt-BR"/>
        </w:rPr>
        <w:t xml:space="preserve"> x Ajuste 2</w:t>
      </w:r>
    </w:p>
    <w:p w:rsidR="00711502" w:rsidRPr="000608EA" w:rsidRDefault="00711502" w:rsidP="000608EA">
      <w:pPr>
        <w:pStyle w:val="SubSubPar"/>
        <w:tabs>
          <w:tab w:val="clear" w:pos="2736"/>
        </w:tabs>
        <w:ind w:left="1620"/>
        <w:rPr>
          <w:rFonts w:ascii="Arial" w:hAnsi="Arial" w:cs="Arial"/>
          <w:sz w:val="22"/>
          <w:szCs w:val="22"/>
          <w:lang w:val="pt-BR"/>
        </w:rPr>
      </w:pPr>
      <w:r w:rsidRPr="000608EA">
        <w:rPr>
          <w:rFonts w:ascii="Arial" w:hAnsi="Arial" w:cs="Arial"/>
          <w:sz w:val="22"/>
          <w:szCs w:val="22"/>
          <w:lang w:val="pt-BR"/>
        </w:rPr>
        <w:t xml:space="preserve">Sendo o fator de Ajuste </w:t>
      </w:r>
      <w:proofErr w:type="gramStart"/>
      <w:r w:rsidRPr="000608EA">
        <w:rPr>
          <w:rFonts w:ascii="Arial" w:hAnsi="Arial" w:cs="Arial"/>
          <w:sz w:val="22"/>
          <w:szCs w:val="22"/>
          <w:lang w:val="pt-BR"/>
        </w:rPr>
        <w:t>1</w:t>
      </w:r>
      <w:proofErr w:type="gramEnd"/>
      <w:r w:rsidRPr="000608EA">
        <w:rPr>
          <w:rFonts w:ascii="Arial" w:hAnsi="Arial" w:cs="Arial"/>
          <w:sz w:val="22"/>
          <w:szCs w:val="22"/>
          <w:lang w:val="pt-BR"/>
        </w:rPr>
        <w:t xml:space="preserve"> o Cumprimento de Metas em Aplicações Priorizadas pelo BNDES. No caso de cumprimento das metas o Ajuste </w:t>
      </w:r>
      <w:proofErr w:type="gramStart"/>
      <w:r w:rsidRPr="000608EA">
        <w:rPr>
          <w:rFonts w:ascii="Arial" w:hAnsi="Arial" w:cs="Arial"/>
          <w:sz w:val="22"/>
          <w:szCs w:val="22"/>
          <w:lang w:val="pt-BR"/>
        </w:rPr>
        <w:t>1</w:t>
      </w:r>
      <w:proofErr w:type="gramEnd"/>
      <w:r w:rsidRPr="000608EA">
        <w:rPr>
          <w:rFonts w:ascii="Arial" w:hAnsi="Arial" w:cs="Arial"/>
          <w:sz w:val="22"/>
          <w:szCs w:val="22"/>
          <w:lang w:val="pt-BR"/>
        </w:rPr>
        <w:t xml:space="preserve"> assume o valor de 100%; caso não se cumpra</w:t>
      </w:r>
      <w:r w:rsidR="0069378A">
        <w:rPr>
          <w:rFonts w:ascii="Arial" w:hAnsi="Arial" w:cs="Arial"/>
          <w:sz w:val="22"/>
          <w:szCs w:val="22"/>
          <w:lang w:val="pt-BR"/>
        </w:rPr>
        <w:t xml:space="preserve"> se</w:t>
      </w:r>
      <w:r w:rsidRPr="000608EA">
        <w:rPr>
          <w:rFonts w:ascii="Arial" w:hAnsi="Arial" w:cs="Arial"/>
          <w:sz w:val="22"/>
          <w:szCs w:val="22"/>
          <w:lang w:val="pt-BR"/>
        </w:rPr>
        <w:t xml:space="preserve"> utiliza como Ajuste 1 o percentual correspondente ao múltiplo de 10% imediatamente superior ao percentual de execução da meta considerada. </w:t>
      </w:r>
      <w:r w:rsidRPr="000608EA">
        <w:rPr>
          <w:rFonts w:ascii="Arial" w:hAnsi="Arial" w:cs="Arial"/>
          <w:sz w:val="22"/>
          <w:szCs w:val="22"/>
          <w:u w:val="single"/>
          <w:lang w:val="pt-BR"/>
        </w:rPr>
        <w:t>Exemplo</w:t>
      </w:r>
      <w:r w:rsidRPr="000608EA">
        <w:rPr>
          <w:rFonts w:ascii="Arial" w:hAnsi="Arial" w:cs="Arial"/>
          <w:sz w:val="22"/>
          <w:szCs w:val="22"/>
          <w:lang w:val="pt-BR"/>
        </w:rPr>
        <w:t>: cumpriu 64%; Ajuste 1 = 70%</w:t>
      </w:r>
      <w:r w:rsidR="00E332EF" w:rsidRPr="000608EA">
        <w:rPr>
          <w:rFonts w:ascii="Arial" w:hAnsi="Arial" w:cs="Arial"/>
          <w:sz w:val="22"/>
          <w:szCs w:val="22"/>
          <w:lang w:val="pt-BR"/>
        </w:rPr>
        <w:t xml:space="preserve"> (detalhes quanto o mecanismo de cumprimento de metas no Apêndice </w:t>
      </w:r>
      <w:proofErr w:type="gramStart"/>
      <w:r w:rsidR="00E332EF" w:rsidRPr="000608EA">
        <w:rPr>
          <w:rFonts w:ascii="Arial" w:hAnsi="Arial" w:cs="Arial"/>
          <w:sz w:val="22"/>
          <w:szCs w:val="22"/>
          <w:lang w:val="pt-BR"/>
        </w:rPr>
        <w:t>1</w:t>
      </w:r>
      <w:proofErr w:type="gramEnd"/>
      <w:r w:rsidR="00E332EF" w:rsidRPr="000608EA">
        <w:rPr>
          <w:rFonts w:ascii="Arial" w:hAnsi="Arial" w:cs="Arial"/>
          <w:sz w:val="22"/>
          <w:szCs w:val="22"/>
          <w:lang w:val="pt-BR"/>
        </w:rPr>
        <w:t>)</w:t>
      </w:r>
      <w:r w:rsidRPr="000608EA">
        <w:rPr>
          <w:rFonts w:ascii="Arial" w:hAnsi="Arial" w:cs="Arial"/>
          <w:sz w:val="22"/>
          <w:szCs w:val="22"/>
          <w:lang w:val="pt-BR"/>
        </w:rPr>
        <w:t>.</w:t>
      </w:r>
    </w:p>
    <w:p w:rsidR="00711502" w:rsidRPr="000608EA" w:rsidRDefault="00711502" w:rsidP="000608EA">
      <w:pPr>
        <w:pStyle w:val="SubSubPar"/>
        <w:tabs>
          <w:tab w:val="clear" w:pos="2736"/>
        </w:tabs>
        <w:ind w:left="1620"/>
        <w:rPr>
          <w:rFonts w:ascii="Arial" w:hAnsi="Arial" w:cs="Arial"/>
          <w:sz w:val="22"/>
          <w:szCs w:val="22"/>
          <w:lang w:val="pt-BR"/>
        </w:rPr>
      </w:pPr>
      <w:r w:rsidRPr="000608EA">
        <w:rPr>
          <w:rFonts w:ascii="Arial" w:hAnsi="Arial" w:cs="Arial"/>
          <w:sz w:val="22"/>
          <w:szCs w:val="22"/>
          <w:lang w:val="pt-BR"/>
        </w:rPr>
        <w:t xml:space="preserve">E o fator de Ajuste </w:t>
      </w:r>
      <w:proofErr w:type="gramStart"/>
      <w:r w:rsidRPr="000608EA">
        <w:rPr>
          <w:rFonts w:ascii="Arial" w:hAnsi="Arial" w:cs="Arial"/>
          <w:sz w:val="22"/>
          <w:szCs w:val="22"/>
          <w:lang w:val="pt-BR"/>
        </w:rPr>
        <w:t>2</w:t>
      </w:r>
      <w:proofErr w:type="gramEnd"/>
      <w:r w:rsidRPr="000608EA">
        <w:rPr>
          <w:rFonts w:ascii="Arial" w:hAnsi="Arial" w:cs="Arial"/>
          <w:sz w:val="22"/>
          <w:szCs w:val="22"/>
          <w:lang w:val="pt-BR"/>
        </w:rPr>
        <w:t xml:space="preserve"> é o grau de relacionamento da instituição financeira com o BNDES, assumindo os seguintes valores Gr</w:t>
      </w:r>
      <w:r w:rsidR="00586EF9" w:rsidRPr="000608EA">
        <w:rPr>
          <w:rFonts w:ascii="Arial" w:hAnsi="Arial" w:cs="Arial"/>
          <w:sz w:val="22"/>
          <w:szCs w:val="22"/>
          <w:lang w:val="pt-BR"/>
        </w:rPr>
        <w:t>a</w:t>
      </w:r>
      <w:r w:rsidRPr="000608EA">
        <w:rPr>
          <w:rFonts w:ascii="Arial" w:hAnsi="Arial" w:cs="Arial"/>
          <w:sz w:val="22"/>
          <w:szCs w:val="22"/>
          <w:lang w:val="pt-BR"/>
        </w:rPr>
        <w:t xml:space="preserve">u 1 : Ajuste 2 = 100% (Bom);  </w:t>
      </w:r>
      <w:r w:rsidRPr="000608EA">
        <w:rPr>
          <w:rFonts w:ascii="Arial" w:hAnsi="Arial" w:cs="Arial"/>
          <w:sz w:val="22"/>
          <w:szCs w:val="22"/>
          <w:lang w:val="pt-BR"/>
        </w:rPr>
        <w:lastRenderedPageBreak/>
        <w:t>Gr</w:t>
      </w:r>
      <w:r w:rsidR="00586EF9" w:rsidRPr="000608EA">
        <w:rPr>
          <w:rFonts w:ascii="Arial" w:hAnsi="Arial" w:cs="Arial"/>
          <w:sz w:val="22"/>
          <w:szCs w:val="22"/>
          <w:lang w:val="pt-BR"/>
        </w:rPr>
        <w:t>a</w:t>
      </w:r>
      <w:r w:rsidRPr="000608EA">
        <w:rPr>
          <w:rFonts w:ascii="Arial" w:hAnsi="Arial" w:cs="Arial"/>
          <w:sz w:val="22"/>
          <w:szCs w:val="22"/>
          <w:lang w:val="pt-BR"/>
        </w:rPr>
        <w:t>u 2: Ajuste 2 = 70% (Regular);  Gr</w:t>
      </w:r>
      <w:r w:rsidR="00586EF9" w:rsidRPr="000608EA">
        <w:rPr>
          <w:rFonts w:ascii="Arial" w:hAnsi="Arial" w:cs="Arial"/>
          <w:sz w:val="22"/>
          <w:szCs w:val="22"/>
          <w:lang w:val="pt-BR"/>
        </w:rPr>
        <w:t>a</w:t>
      </w:r>
      <w:r w:rsidRPr="000608EA">
        <w:rPr>
          <w:rFonts w:ascii="Arial" w:hAnsi="Arial" w:cs="Arial"/>
          <w:sz w:val="22"/>
          <w:szCs w:val="22"/>
          <w:lang w:val="pt-BR"/>
        </w:rPr>
        <w:t>u 3: Ajuste 2 = 0% (Ruim)</w:t>
      </w:r>
      <w:r w:rsidR="00E332EF" w:rsidRPr="000608EA">
        <w:rPr>
          <w:rFonts w:ascii="Arial" w:hAnsi="Arial" w:cs="Arial"/>
          <w:sz w:val="22"/>
          <w:szCs w:val="22"/>
          <w:lang w:val="pt-BR"/>
        </w:rPr>
        <w:t xml:space="preserve"> – detalhes quanto a classificação de grau de relacionamento disponíveis no Apêndice 1</w:t>
      </w:r>
      <w:r w:rsidRPr="000608EA">
        <w:rPr>
          <w:rFonts w:ascii="Arial" w:hAnsi="Arial" w:cs="Arial"/>
          <w:sz w:val="22"/>
          <w:szCs w:val="22"/>
          <w:lang w:val="pt-BR"/>
        </w:rPr>
        <w:t>.</w:t>
      </w:r>
    </w:p>
    <w:p w:rsidR="00892569" w:rsidRPr="000608EA" w:rsidRDefault="00892569" w:rsidP="000608EA">
      <w:pPr>
        <w:pStyle w:val="subpar"/>
        <w:tabs>
          <w:tab w:val="clear" w:pos="2304"/>
        </w:tabs>
        <w:ind w:left="1170"/>
        <w:rPr>
          <w:rFonts w:ascii="Arial" w:hAnsi="Arial" w:cs="Arial"/>
          <w:sz w:val="22"/>
          <w:szCs w:val="22"/>
          <w:u w:val="single"/>
          <w:lang w:val="pt-BR"/>
        </w:rPr>
      </w:pPr>
      <w:r w:rsidRPr="000608EA">
        <w:rPr>
          <w:rFonts w:ascii="Arial" w:hAnsi="Arial" w:cs="Arial"/>
          <w:sz w:val="22"/>
          <w:szCs w:val="22"/>
          <w:u w:val="single"/>
          <w:lang w:val="pt-BR"/>
        </w:rPr>
        <w:t>Disponibilização do Limite de Crédito Final (LCF)</w:t>
      </w:r>
    </w:p>
    <w:p w:rsidR="00333CE4" w:rsidRPr="000608EA" w:rsidRDefault="00892569" w:rsidP="000608EA">
      <w:pPr>
        <w:pStyle w:val="SubSubPar"/>
        <w:tabs>
          <w:tab w:val="clear" w:pos="2736"/>
        </w:tabs>
        <w:ind w:left="1620"/>
        <w:rPr>
          <w:rFonts w:ascii="Arial" w:hAnsi="Arial" w:cs="Arial"/>
          <w:sz w:val="22"/>
          <w:szCs w:val="22"/>
          <w:lang w:val="pt-BR"/>
        </w:rPr>
      </w:pPr>
      <w:r w:rsidRPr="000608EA">
        <w:rPr>
          <w:rFonts w:ascii="Arial" w:hAnsi="Arial" w:cs="Arial"/>
          <w:sz w:val="22"/>
          <w:szCs w:val="22"/>
          <w:lang w:val="pt-BR"/>
        </w:rPr>
        <w:t xml:space="preserve">A disponibilização do limite de crédito se dará com base no grau de relacionamento com o BNDES, sendo que para as instituições financeiras com Grau </w:t>
      </w:r>
      <w:proofErr w:type="gramStart"/>
      <w:r w:rsidRPr="000608EA">
        <w:rPr>
          <w:rFonts w:ascii="Arial" w:hAnsi="Arial" w:cs="Arial"/>
          <w:sz w:val="22"/>
          <w:szCs w:val="22"/>
          <w:lang w:val="pt-BR"/>
        </w:rPr>
        <w:t>1</w:t>
      </w:r>
      <w:proofErr w:type="gramEnd"/>
      <w:r w:rsidRPr="000608EA">
        <w:rPr>
          <w:rFonts w:ascii="Arial" w:hAnsi="Arial" w:cs="Arial"/>
          <w:sz w:val="22"/>
          <w:szCs w:val="22"/>
          <w:lang w:val="pt-BR"/>
        </w:rPr>
        <w:t xml:space="preserve">, o limite de crédito será disponibilizado em parcela única. Já para as instituições financeiras com Grau </w:t>
      </w:r>
      <w:proofErr w:type="gramStart"/>
      <w:r w:rsidRPr="000608EA">
        <w:rPr>
          <w:rFonts w:ascii="Arial" w:hAnsi="Arial" w:cs="Arial"/>
          <w:sz w:val="22"/>
          <w:szCs w:val="22"/>
          <w:lang w:val="pt-BR"/>
        </w:rPr>
        <w:t>2</w:t>
      </w:r>
      <w:proofErr w:type="gramEnd"/>
      <w:r w:rsidRPr="000608EA">
        <w:rPr>
          <w:rFonts w:ascii="Arial" w:hAnsi="Arial" w:cs="Arial"/>
          <w:sz w:val="22"/>
          <w:szCs w:val="22"/>
          <w:lang w:val="pt-BR"/>
        </w:rPr>
        <w:t xml:space="preserve"> e para aqueles cujo relacionamento ainda não foi avaliado, o limite de crédito será disponibilizado em duas parcelas de 50%.</w:t>
      </w:r>
    </w:p>
    <w:p w:rsidR="00892569" w:rsidRPr="000608EA" w:rsidRDefault="00333CE4" w:rsidP="000608EA">
      <w:pPr>
        <w:pStyle w:val="SubSubPar"/>
        <w:tabs>
          <w:tab w:val="clear" w:pos="2736"/>
        </w:tabs>
        <w:ind w:left="1620"/>
        <w:rPr>
          <w:rFonts w:ascii="Arial" w:hAnsi="Arial" w:cs="Arial"/>
          <w:sz w:val="22"/>
          <w:szCs w:val="22"/>
          <w:lang w:val="pt-BR"/>
        </w:rPr>
      </w:pPr>
      <w:r w:rsidRPr="000608EA">
        <w:rPr>
          <w:rFonts w:ascii="Arial" w:hAnsi="Arial" w:cs="Arial"/>
          <w:sz w:val="22"/>
          <w:szCs w:val="22"/>
          <w:lang w:val="pt-BR"/>
        </w:rPr>
        <w:t>Para as instituições financeiras que tem o limite de crédito com base no Fluxo Financeiro, os recursos são disponibilizados proporcionalmente aos montantes efetivados das amortizações previstas no semestre</w:t>
      </w:r>
      <w:r w:rsidR="0069378A">
        <w:rPr>
          <w:rFonts w:ascii="Arial" w:hAnsi="Arial" w:cs="Arial"/>
          <w:sz w:val="22"/>
          <w:szCs w:val="22"/>
          <w:lang w:val="pt-BR"/>
        </w:rPr>
        <w:t>, referentes ao pagamento de principal</w:t>
      </w:r>
      <w:r w:rsidRPr="000608EA">
        <w:rPr>
          <w:rFonts w:ascii="Arial" w:hAnsi="Arial" w:cs="Arial"/>
          <w:sz w:val="22"/>
          <w:szCs w:val="22"/>
          <w:lang w:val="pt-BR"/>
        </w:rPr>
        <w:t>.</w:t>
      </w:r>
    </w:p>
    <w:p w:rsidR="00892569" w:rsidRPr="000608EA" w:rsidRDefault="00333CE4" w:rsidP="000608EA">
      <w:pPr>
        <w:pStyle w:val="SubSubPar"/>
        <w:tabs>
          <w:tab w:val="clear" w:pos="2736"/>
        </w:tabs>
        <w:ind w:left="1620"/>
        <w:rPr>
          <w:rFonts w:ascii="Arial" w:hAnsi="Arial" w:cs="Arial"/>
          <w:sz w:val="22"/>
          <w:szCs w:val="22"/>
          <w:lang w:val="pt-BR"/>
        </w:rPr>
      </w:pPr>
      <w:r w:rsidRPr="000608EA">
        <w:rPr>
          <w:rFonts w:ascii="Arial" w:hAnsi="Arial" w:cs="Arial"/>
          <w:sz w:val="22"/>
          <w:szCs w:val="22"/>
          <w:lang w:val="pt-BR"/>
        </w:rPr>
        <w:t>O BNDES poderá conceder suplementação em três situações: (1) após a utilização de 80% do limite de crédito inicialmente concedido e cumprimento da correspondente meta de aplicações priorizadas;</w:t>
      </w:r>
      <w:proofErr w:type="gramStart"/>
      <w:r w:rsidRPr="000608EA">
        <w:rPr>
          <w:rFonts w:ascii="Arial" w:hAnsi="Arial" w:cs="Arial"/>
          <w:sz w:val="22"/>
          <w:szCs w:val="22"/>
          <w:lang w:val="pt-BR"/>
        </w:rPr>
        <w:t xml:space="preserve">  </w:t>
      </w:r>
      <w:proofErr w:type="gramEnd"/>
      <w:r w:rsidRPr="000608EA">
        <w:rPr>
          <w:rFonts w:ascii="Arial" w:hAnsi="Arial" w:cs="Arial"/>
          <w:sz w:val="22"/>
          <w:szCs w:val="22"/>
          <w:lang w:val="pt-BR"/>
        </w:rPr>
        <w:t xml:space="preserve">(2) quando a efetiva realização das operações priorizadas exceder a meta exigida; ou (3) através de manifestações formais encaminhadas pelas Entidades Financeiras identificando operações consideradas priorizadas pelo Sistema BNDES. O limite de crédito vinculado ao fluxo financeiro não admitirá suplementações, salvo pela atribuição do limite de crédito adicional em resposta a pagamentos antecipados ou espontâneos. Para instituições com grau </w:t>
      </w:r>
      <w:proofErr w:type="gramStart"/>
      <w:r w:rsidRPr="000608EA">
        <w:rPr>
          <w:rFonts w:ascii="Arial" w:hAnsi="Arial" w:cs="Arial"/>
          <w:sz w:val="22"/>
          <w:szCs w:val="22"/>
          <w:lang w:val="pt-BR"/>
        </w:rPr>
        <w:t>2</w:t>
      </w:r>
      <w:proofErr w:type="gramEnd"/>
      <w:r w:rsidRPr="000608EA">
        <w:rPr>
          <w:rFonts w:ascii="Arial" w:hAnsi="Arial" w:cs="Arial"/>
          <w:sz w:val="22"/>
          <w:szCs w:val="22"/>
          <w:lang w:val="pt-BR"/>
        </w:rPr>
        <w:t xml:space="preserve"> de relacionamento e para aquelas cujo relacionamento ainda não foi avaliado, haverá somente uma suplementação de limite de crédito a cada período de vigência do limite.</w:t>
      </w:r>
    </w:p>
    <w:p w:rsidR="00B61790" w:rsidRPr="000608EA" w:rsidRDefault="00E332EF" w:rsidP="00553745">
      <w:pPr>
        <w:pStyle w:val="Paragraph"/>
        <w:tabs>
          <w:tab w:val="clear" w:pos="2448"/>
          <w:tab w:val="num" w:pos="720"/>
        </w:tabs>
        <w:ind w:left="720" w:hanging="720"/>
        <w:rPr>
          <w:rFonts w:ascii="Arial" w:hAnsi="Arial" w:cs="Arial"/>
          <w:sz w:val="22"/>
          <w:lang w:val="pt-BR"/>
        </w:rPr>
      </w:pPr>
      <w:r w:rsidRPr="000608EA">
        <w:rPr>
          <w:rFonts w:ascii="Arial" w:hAnsi="Arial" w:cs="Arial"/>
          <w:sz w:val="22"/>
          <w:lang w:val="pt-BR"/>
        </w:rPr>
        <w:t>Na Tabela 2</w:t>
      </w:r>
      <w:r w:rsidR="008259C8" w:rsidRPr="000608EA">
        <w:rPr>
          <w:rFonts w:ascii="Arial" w:hAnsi="Arial" w:cs="Arial"/>
          <w:sz w:val="22"/>
          <w:lang w:val="pt-BR"/>
        </w:rPr>
        <w:t>, a seguir, está apresentado o volume de</w:t>
      </w:r>
      <w:r w:rsidRPr="000608EA">
        <w:rPr>
          <w:rFonts w:ascii="Arial" w:hAnsi="Arial" w:cs="Arial"/>
          <w:sz w:val="22"/>
          <w:lang w:val="pt-BR"/>
        </w:rPr>
        <w:t xml:space="preserve"> desembolsos do BNDES por instituições financeiras credenciadas.</w:t>
      </w:r>
    </w:p>
    <w:p w:rsidR="00CC0B50" w:rsidRPr="000608EA" w:rsidRDefault="00CC0B50" w:rsidP="00CC0B50">
      <w:pPr>
        <w:pStyle w:val="Paragraph"/>
        <w:numPr>
          <w:ilvl w:val="0"/>
          <w:numId w:val="0"/>
        </w:numPr>
        <w:ind w:left="720"/>
        <w:jc w:val="center"/>
        <w:rPr>
          <w:rFonts w:ascii="Arial" w:hAnsi="Arial" w:cs="Arial"/>
          <w:b/>
          <w:sz w:val="20"/>
          <w:szCs w:val="20"/>
          <w:lang w:val="pt-BR"/>
        </w:rPr>
      </w:pPr>
      <w:r w:rsidRPr="000608EA">
        <w:rPr>
          <w:rFonts w:ascii="Arial" w:hAnsi="Arial" w:cs="Arial"/>
          <w:b/>
          <w:sz w:val="20"/>
          <w:szCs w:val="20"/>
          <w:lang w:val="pt-BR"/>
        </w:rPr>
        <w:t>Tabela 1. Desembolsos do BNDES por instituição financeira credenciada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897"/>
        <w:gridCol w:w="1200"/>
        <w:gridCol w:w="1006"/>
        <w:gridCol w:w="920"/>
        <w:gridCol w:w="895"/>
      </w:tblGrid>
      <w:tr w:rsidR="00CC0B50" w:rsidRPr="000608EA" w:rsidTr="00961BE3">
        <w:trPr>
          <w:tblHeader/>
          <w:jc w:val="center"/>
        </w:trPr>
        <w:tc>
          <w:tcPr>
            <w:tcW w:w="3897" w:type="dxa"/>
            <w:vMerge w:val="restart"/>
          </w:tcPr>
          <w:p w:rsidR="00CC0B50" w:rsidRPr="000608EA" w:rsidRDefault="00CC0B50" w:rsidP="000608EA">
            <w:pPr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0608EA">
              <w:rPr>
                <w:rFonts w:ascii="Arial" w:hAnsi="Arial" w:cs="Arial"/>
                <w:b/>
                <w:sz w:val="20"/>
                <w:szCs w:val="20"/>
                <w:lang w:val="pt-BR"/>
              </w:rPr>
              <w:t>Instituição Financeira</w:t>
            </w:r>
          </w:p>
        </w:tc>
        <w:tc>
          <w:tcPr>
            <w:tcW w:w="4021" w:type="dxa"/>
            <w:gridSpan w:val="4"/>
          </w:tcPr>
          <w:p w:rsidR="00CC0B50" w:rsidRPr="000608EA" w:rsidRDefault="00CC0B50" w:rsidP="000608EA">
            <w:pPr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0608EA">
              <w:rPr>
                <w:rFonts w:ascii="Arial" w:hAnsi="Arial" w:cs="Arial"/>
                <w:b/>
                <w:sz w:val="20"/>
                <w:szCs w:val="20"/>
                <w:lang w:val="pt-BR"/>
              </w:rPr>
              <w:t>Em milhões de Reais</w:t>
            </w:r>
          </w:p>
        </w:tc>
      </w:tr>
      <w:tr w:rsidR="00CC0B50" w:rsidRPr="000608EA" w:rsidTr="00961BE3">
        <w:trPr>
          <w:tblHeader/>
          <w:jc w:val="center"/>
        </w:trPr>
        <w:tc>
          <w:tcPr>
            <w:tcW w:w="3897" w:type="dxa"/>
            <w:vMerge/>
          </w:tcPr>
          <w:p w:rsidR="00CC0B50" w:rsidRPr="000608EA" w:rsidRDefault="00CC0B50" w:rsidP="000608EA">
            <w:pPr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1200" w:type="dxa"/>
          </w:tcPr>
          <w:p w:rsidR="00CC0B50" w:rsidRPr="000608EA" w:rsidRDefault="00CC0B50" w:rsidP="000608EA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0608EA">
              <w:rPr>
                <w:rFonts w:ascii="Arial" w:hAnsi="Arial" w:cs="Arial"/>
                <w:b/>
                <w:sz w:val="20"/>
                <w:szCs w:val="20"/>
                <w:lang w:val="pt-BR"/>
              </w:rPr>
              <w:t>2013</w:t>
            </w:r>
          </w:p>
        </w:tc>
        <w:tc>
          <w:tcPr>
            <w:tcW w:w="1006" w:type="dxa"/>
          </w:tcPr>
          <w:p w:rsidR="00CC0B50" w:rsidRPr="000608EA" w:rsidRDefault="00CC0B50" w:rsidP="000608EA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0608EA">
              <w:rPr>
                <w:rFonts w:ascii="Arial" w:hAnsi="Arial" w:cs="Arial"/>
                <w:b/>
                <w:sz w:val="20"/>
                <w:szCs w:val="20"/>
                <w:lang w:val="pt-BR"/>
              </w:rPr>
              <w:t>%</w:t>
            </w:r>
          </w:p>
        </w:tc>
        <w:tc>
          <w:tcPr>
            <w:tcW w:w="920" w:type="dxa"/>
          </w:tcPr>
          <w:p w:rsidR="00CC0B50" w:rsidRPr="000608EA" w:rsidRDefault="00CC0B50" w:rsidP="000608EA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0608EA">
              <w:rPr>
                <w:rFonts w:ascii="Arial" w:hAnsi="Arial" w:cs="Arial"/>
                <w:b/>
                <w:sz w:val="20"/>
                <w:szCs w:val="20"/>
                <w:lang w:val="pt-BR"/>
              </w:rPr>
              <w:t>2015</w:t>
            </w:r>
          </w:p>
        </w:tc>
        <w:tc>
          <w:tcPr>
            <w:tcW w:w="895" w:type="dxa"/>
          </w:tcPr>
          <w:p w:rsidR="00CC0B50" w:rsidRPr="000608EA" w:rsidRDefault="00CC0B50" w:rsidP="000608EA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0608EA">
              <w:rPr>
                <w:rFonts w:ascii="Arial" w:hAnsi="Arial" w:cs="Arial"/>
                <w:b/>
                <w:sz w:val="20"/>
                <w:szCs w:val="20"/>
                <w:lang w:val="pt-BR"/>
              </w:rPr>
              <w:t>%</w:t>
            </w:r>
          </w:p>
        </w:tc>
      </w:tr>
      <w:tr w:rsidR="0069378A" w:rsidRPr="000608EA" w:rsidTr="0069378A">
        <w:trPr>
          <w:jc w:val="center"/>
        </w:trPr>
        <w:tc>
          <w:tcPr>
            <w:tcW w:w="3897" w:type="dxa"/>
          </w:tcPr>
          <w:p w:rsidR="0069378A" w:rsidRPr="000608EA" w:rsidRDefault="0069378A" w:rsidP="00A3108F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608EA">
              <w:rPr>
                <w:rFonts w:ascii="Arial" w:hAnsi="Arial" w:cs="Arial"/>
                <w:sz w:val="20"/>
                <w:szCs w:val="20"/>
                <w:lang w:val="pt-BR"/>
              </w:rPr>
              <w:t xml:space="preserve">BB </w:t>
            </w:r>
          </w:p>
        </w:tc>
        <w:tc>
          <w:tcPr>
            <w:tcW w:w="1200" w:type="dxa"/>
          </w:tcPr>
          <w:p w:rsidR="0069378A" w:rsidRPr="000608EA" w:rsidRDefault="0069378A" w:rsidP="002B2779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608EA">
              <w:rPr>
                <w:rFonts w:ascii="Arial" w:hAnsi="Arial" w:cs="Arial"/>
                <w:sz w:val="20"/>
                <w:szCs w:val="20"/>
                <w:lang w:val="pt-BR"/>
              </w:rPr>
              <w:t>29.521</w:t>
            </w:r>
          </w:p>
        </w:tc>
        <w:tc>
          <w:tcPr>
            <w:tcW w:w="1006" w:type="dxa"/>
            <w:vAlign w:val="center"/>
          </w:tcPr>
          <w:p w:rsidR="0069378A" w:rsidRPr="000608EA" w:rsidRDefault="0069378A" w:rsidP="002B27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08EA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25.44%</w:t>
            </w:r>
          </w:p>
        </w:tc>
        <w:tc>
          <w:tcPr>
            <w:tcW w:w="920" w:type="dxa"/>
          </w:tcPr>
          <w:p w:rsidR="0069378A" w:rsidRPr="000608EA" w:rsidRDefault="0069378A" w:rsidP="002B2779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608EA">
              <w:rPr>
                <w:rFonts w:ascii="Arial" w:hAnsi="Arial" w:cs="Arial"/>
                <w:sz w:val="20"/>
                <w:szCs w:val="20"/>
                <w:lang w:val="pt-BR"/>
              </w:rPr>
              <w:t>14.101</w:t>
            </w:r>
          </w:p>
        </w:tc>
        <w:tc>
          <w:tcPr>
            <w:tcW w:w="895" w:type="dxa"/>
            <w:vAlign w:val="center"/>
          </w:tcPr>
          <w:p w:rsidR="0069378A" w:rsidRPr="000608EA" w:rsidRDefault="0069378A" w:rsidP="002B27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08EA">
              <w:rPr>
                <w:rFonts w:ascii="Arial" w:hAnsi="Arial" w:cs="Arial"/>
                <w:color w:val="000000"/>
                <w:sz w:val="20"/>
                <w:szCs w:val="20"/>
              </w:rPr>
              <w:t>21.57%</w:t>
            </w:r>
          </w:p>
        </w:tc>
      </w:tr>
      <w:tr w:rsidR="0069378A" w:rsidRPr="000608EA" w:rsidTr="002B2779">
        <w:trPr>
          <w:jc w:val="center"/>
        </w:trPr>
        <w:tc>
          <w:tcPr>
            <w:tcW w:w="3897" w:type="dxa"/>
          </w:tcPr>
          <w:p w:rsidR="0069378A" w:rsidRPr="000608EA" w:rsidRDefault="0069378A" w:rsidP="00A3108F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608EA">
              <w:rPr>
                <w:rFonts w:ascii="Arial" w:hAnsi="Arial" w:cs="Arial"/>
                <w:sz w:val="20"/>
                <w:szCs w:val="20"/>
                <w:lang w:val="pt-BR"/>
              </w:rPr>
              <w:t>BRADESCO BM</w:t>
            </w:r>
          </w:p>
        </w:tc>
        <w:tc>
          <w:tcPr>
            <w:tcW w:w="1200" w:type="dxa"/>
          </w:tcPr>
          <w:p w:rsidR="0069378A" w:rsidRPr="000608EA" w:rsidRDefault="0069378A" w:rsidP="002B2779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608EA">
              <w:rPr>
                <w:rFonts w:ascii="Arial" w:hAnsi="Arial" w:cs="Arial"/>
                <w:sz w:val="20"/>
                <w:szCs w:val="20"/>
                <w:lang w:val="pt-BR"/>
              </w:rPr>
              <w:t>17.456</w:t>
            </w:r>
          </w:p>
        </w:tc>
        <w:tc>
          <w:tcPr>
            <w:tcW w:w="1006" w:type="dxa"/>
            <w:vAlign w:val="center"/>
          </w:tcPr>
          <w:p w:rsidR="0069378A" w:rsidRPr="000608EA" w:rsidRDefault="0069378A" w:rsidP="002B27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08EA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15.04%</w:t>
            </w:r>
          </w:p>
        </w:tc>
        <w:tc>
          <w:tcPr>
            <w:tcW w:w="920" w:type="dxa"/>
          </w:tcPr>
          <w:p w:rsidR="0069378A" w:rsidRPr="000608EA" w:rsidRDefault="0069378A" w:rsidP="002B2779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608EA">
              <w:rPr>
                <w:rFonts w:ascii="Arial" w:hAnsi="Arial" w:cs="Arial"/>
                <w:sz w:val="20"/>
                <w:szCs w:val="20"/>
                <w:lang w:val="pt-BR"/>
              </w:rPr>
              <w:t>8.071</w:t>
            </w:r>
          </w:p>
        </w:tc>
        <w:tc>
          <w:tcPr>
            <w:tcW w:w="895" w:type="dxa"/>
            <w:vAlign w:val="center"/>
          </w:tcPr>
          <w:p w:rsidR="0069378A" w:rsidRPr="000608EA" w:rsidRDefault="0069378A" w:rsidP="002B27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08EA">
              <w:rPr>
                <w:rFonts w:ascii="Arial" w:hAnsi="Arial" w:cs="Arial"/>
                <w:color w:val="000000"/>
                <w:sz w:val="20"/>
                <w:szCs w:val="20"/>
              </w:rPr>
              <w:t>12.34%</w:t>
            </w:r>
          </w:p>
        </w:tc>
      </w:tr>
      <w:tr w:rsidR="0069378A" w:rsidRPr="000608EA" w:rsidTr="002B2779">
        <w:trPr>
          <w:jc w:val="center"/>
        </w:trPr>
        <w:tc>
          <w:tcPr>
            <w:tcW w:w="3897" w:type="dxa"/>
          </w:tcPr>
          <w:p w:rsidR="0069378A" w:rsidRPr="000608EA" w:rsidRDefault="0069378A" w:rsidP="00A3108F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608EA">
              <w:rPr>
                <w:rFonts w:ascii="Arial" w:hAnsi="Arial" w:cs="Arial"/>
                <w:sz w:val="20"/>
                <w:szCs w:val="20"/>
                <w:lang w:val="pt-BR"/>
              </w:rPr>
              <w:t xml:space="preserve">ITAU BBA </w:t>
            </w:r>
          </w:p>
        </w:tc>
        <w:tc>
          <w:tcPr>
            <w:tcW w:w="1200" w:type="dxa"/>
          </w:tcPr>
          <w:p w:rsidR="0069378A" w:rsidRPr="000608EA" w:rsidRDefault="0069378A" w:rsidP="002B2779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608EA">
              <w:rPr>
                <w:rFonts w:ascii="Arial" w:hAnsi="Arial" w:cs="Arial"/>
                <w:sz w:val="20"/>
                <w:szCs w:val="20"/>
                <w:lang w:val="pt-BR"/>
              </w:rPr>
              <w:t>10.784</w:t>
            </w:r>
          </w:p>
        </w:tc>
        <w:tc>
          <w:tcPr>
            <w:tcW w:w="1006" w:type="dxa"/>
            <w:vAlign w:val="center"/>
          </w:tcPr>
          <w:p w:rsidR="0069378A" w:rsidRPr="000608EA" w:rsidRDefault="0069378A" w:rsidP="002B27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08EA">
              <w:rPr>
                <w:rFonts w:ascii="Arial" w:hAnsi="Arial" w:cs="Arial"/>
                <w:color w:val="000000"/>
                <w:sz w:val="20"/>
                <w:szCs w:val="20"/>
              </w:rPr>
              <w:t>9.29%</w:t>
            </w:r>
          </w:p>
        </w:tc>
        <w:tc>
          <w:tcPr>
            <w:tcW w:w="920" w:type="dxa"/>
          </w:tcPr>
          <w:p w:rsidR="0069378A" w:rsidRPr="000608EA" w:rsidRDefault="0069378A" w:rsidP="002B2779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proofErr w:type="gramStart"/>
            <w:r w:rsidRPr="000608EA">
              <w:rPr>
                <w:rFonts w:ascii="Arial" w:hAnsi="Arial" w:cs="Arial"/>
                <w:sz w:val="20"/>
                <w:szCs w:val="20"/>
                <w:lang w:val="pt-BR"/>
              </w:rPr>
              <w:t>0</w:t>
            </w:r>
            <w:proofErr w:type="gramEnd"/>
          </w:p>
        </w:tc>
        <w:tc>
          <w:tcPr>
            <w:tcW w:w="895" w:type="dxa"/>
            <w:vAlign w:val="center"/>
          </w:tcPr>
          <w:p w:rsidR="0069378A" w:rsidRPr="000608EA" w:rsidRDefault="0069378A" w:rsidP="002B27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08EA">
              <w:rPr>
                <w:rFonts w:ascii="Arial" w:hAnsi="Arial" w:cs="Arial"/>
                <w:color w:val="000000"/>
                <w:sz w:val="20"/>
                <w:szCs w:val="20"/>
              </w:rPr>
              <w:t>0.00%</w:t>
            </w:r>
          </w:p>
        </w:tc>
      </w:tr>
      <w:tr w:rsidR="0069378A" w:rsidRPr="000608EA" w:rsidTr="002B2779">
        <w:trPr>
          <w:jc w:val="center"/>
        </w:trPr>
        <w:tc>
          <w:tcPr>
            <w:tcW w:w="3897" w:type="dxa"/>
          </w:tcPr>
          <w:p w:rsidR="0069378A" w:rsidRPr="000608EA" w:rsidRDefault="0069378A" w:rsidP="00A3108F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608EA">
              <w:rPr>
                <w:rFonts w:ascii="Arial" w:hAnsi="Arial" w:cs="Arial"/>
                <w:sz w:val="20"/>
                <w:szCs w:val="20"/>
                <w:lang w:val="pt-BR"/>
              </w:rPr>
              <w:t xml:space="preserve">ITAU UNIB BM </w:t>
            </w:r>
          </w:p>
        </w:tc>
        <w:tc>
          <w:tcPr>
            <w:tcW w:w="1200" w:type="dxa"/>
          </w:tcPr>
          <w:p w:rsidR="0069378A" w:rsidRPr="000608EA" w:rsidRDefault="0069378A" w:rsidP="002B2779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608EA">
              <w:rPr>
                <w:rFonts w:ascii="Arial" w:hAnsi="Arial" w:cs="Arial"/>
                <w:sz w:val="20"/>
                <w:szCs w:val="20"/>
                <w:lang w:val="pt-BR"/>
              </w:rPr>
              <w:t>7.964</w:t>
            </w:r>
          </w:p>
        </w:tc>
        <w:tc>
          <w:tcPr>
            <w:tcW w:w="1006" w:type="dxa"/>
            <w:vAlign w:val="center"/>
          </w:tcPr>
          <w:p w:rsidR="0069378A" w:rsidRPr="000608EA" w:rsidRDefault="0069378A" w:rsidP="002B27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08EA">
              <w:rPr>
                <w:rFonts w:ascii="Arial" w:hAnsi="Arial" w:cs="Arial"/>
                <w:color w:val="000000"/>
                <w:sz w:val="20"/>
                <w:szCs w:val="20"/>
              </w:rPr>
              <w:t>6.86%</w:t>
            </w:r>
          </w:p>
        </w:tc>
        <w:tc>
          <w:tcPr>
            <w:tcW w:w="920" w:type="dxa"/>
          </w:tcPr>
          <w:p w:rsidR="0069378A" w:rsidRPr="000608EA" w:rsidRDefault="0069378A" w:rsidP="002B2779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608EA">
              <w:rPr>
                <w:rFonts w:ascii="Arial" w:hAnsi="Arial" w:cs="Arial"/>
                <w:sz w:val="20"/>
                <w:szCs w:val="20"/>
                <w:lang w:val="pt-BR"/>
              </w:rPr>
              <w:t>7.423</w:t>
            </w:r>
          </w:p>
        </w:tc>
        <w:tc>
          <w:tcPr>
            <w:tcW w:w="895" w:type="dxa"/>
            <w:vAlign w:val="center"/>
          </w:tcPr>
          <w:p w:rsidR="0069378A" w:rsidRPr="000608EA" w:rsidRDefault="0069378A" w:rsidP="002B27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08EA">
              <w:rPr>
                <w:rFonts w:ascii="Arial" w:hAnsi="Arial" w:cs="Arial"/>
                <w:color w:val="000000"/>
                <w:sz w:val="20"/>
                <w:szCs w:val="20"/>
              </w:rPr>
              <w:t>11.35%</w:t>
            </w:r>
          </w:p>
        </w:tc>
      </w:tr>
      <w:tr w:rsidR="0069378A" w:rsidRPr="000608EA" w:rsidTr="002B2779">
        <w:trPr>
          <w:jc w:val="center"/>
        </w:trPr>
        <w:tc>
          <w:tcPr>
            <w:tcW w:w="3897" w:type="dxa"/>
          </w:tcPr>
          <w:p w:rsidR="0069378A" w:rsidRPr="000608EA" w:rsidRDefault="0069378A" w:rsidP="00A3108F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608EA">
              <w:rPr>
                <w:rFonts w:ascii="Arial" w:hAnsi="Arial" w:cs="Arial"/>
                <w:sz w:val="20"/>
                <w:szCs w:val="20"/>
                <w:lang w:val="pt-BR"/>
              </w:rPr>
              <w:t>CAIXA CEF</w:t>
            </w:r>
          </w:p>
        </w:tc>
        <w:tc>
          <w:tcPr>
            <w:tcW w:w="1200" w:type="dxa"/>
          </w:tcPr>
          <w:p w:rsidR="0069378A" w:rsidRPr="000608EA" w:rsidRDefault="0069378A" w:rsidP="002B2779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608EA">
              <w:rPr>
                <w:rFonts w:ascii="Arial" w:hAnsi="Arial" w:cs="Arial"/>
                <w:sz w:val="20"/>
                <w:szCs w:val="20"/>
                <w:lang w:val="pt-BR"/>
              </w:rPr>
              <w:t>6.499</w:t>
            </w:r>
          </w:p>
        </w:tc>
        <w:tc>
          <w:tcPr>
            <w:tcW w:w="1006" w:type="dxa"/>
            <w:vAlign w:val="center"/>
          </w:tcPr>
          <w:p w:rsidR="0069378A" w:rsidRPr="000608EA" w:rsidRDefault="0069378A" w:rsidP="002B27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08EA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5.60%</w:t>
            </w:r>
          </w:p>
        </w:tc>
        <w:tc>
          <w:tcPr>
            <w:tcW w:w="920" w:type="dxa"/>
          </w:tcPr>
          <w:p w:rsidR="0069378A" w:rsidRPr="000608EA" w:rsidRDefault="0069378A" w:rsidP="002B2779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608EA">
              <w:rPr>
                <w:rFonts w:ascii="Arial" w:hAnsi="Arial" w:cs="Arial"/>
                <w:sz w:val="20"/>
                <w:szCs w:val="20"/>
                <w:lang w:val="pt-BR"/>
              </w:rPr>
              <w:t>4.914</w:t>
            </w:r>
          </w:p>
        </w:tc>
        <w:tc>
          <w:tcPr>
            <w:tcW w:w="895" w:type="dxa"/>
            <w:vAlign w:val="center"/>
          </w:tcPr>
          <w:p w:rsidR="0069378A" w:rsidRPr="000608EA" w:rsidRDefault="0069378A" w:rsidP="002B27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08EA">
              <w:rPr>
                <w:rFonts w:ascii="Arial" w:hAnsi="Arial" w:cs="Arial"/>
                <w:color w:val="000000"/>
                <w:sz w:val="20"/>
                <w:szCs w:val="20"/>
              </w:rPr>
              <w:t>7.52%</w:t>
            </w:r>
          </w:p>
        </w:tc>
      </w:tr>
      <w:tr w:rsidR="0069378A" w:rsidRPr="000608EA" w:rsidTr="002B2779">
        <w:trPr>
          <w:jc w:val="center"/>
        </w:trPr>
        <w:tc>
          <w:tcPr>
            <w:tcW w:w="3897" w:type="dxa"/>
          </w:tcPr>
          <w:p w:rsidR="0069378A" w:rsidRPr="000608EA" w:rsidRDefault="0069378A" w:rsidP="00A3108F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608EA">
              <w:rPr>
                <w:rFonts w:ascii="Arial" w:hAnsi="Arial" w:cs="Arial"/>
                <w:sz w:val="20"/>
                <w:szCs w:val="20"/>
                <w:lang w:val="pt-BR"/>
              </w:rPr>
              <w:t xml:space="preserve">SANTANDER BM </w:t>
            </w:r>
          </w:p>
        </w:tc>
        <w:tc>
          <w:tcPr>
            <w:tcW w:w="1200" w:type="dxa"/>
          </w:tcPr>
          <w:p w:rsidR="0069378A" w:rsidRPr="000608EA" w:rsidRDefault="0069378A" w:rsidP="002B2779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608EA">
              <w:rPr>
                <w:rFonts w:ascii="Arial" w:hAnsi="Arial" w:cs="Arial"/>
                <w:sz w:val="20"/>
                <w:szCs w:val="20"/>
                <w:lang w:val="pt-BR"/>
              </w:rPr>
              <w:t>6.340</w:t>
            </w:r>
          </w:p>
        </w:tc>
        <w:tc>
          <w:tcPr>
            <w:tcW w:w="1006" w:type="dxa"/>
            <w:vAlign w:val="center"/>
          </w:tcPr>
          <w:p w:rsidR="0069378A" w:rsidRPr="000608EA" w:rsidRDefault="0069378A" w:rsidP="002B27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08EA">
              <w:rPr>
                <w:rFonts w:ascii="Arial" w:hAnsi="Arial" w:cs="Arial"/>
                <w:color w:val="000000"/>
                <w:sz w:val="20"/>
                <w:szCs w:val="20"/>
              </w:rPr>
              <w:t>5.46%</w:t>
            </w:r>
          </w:p>
        </w:tc>
        <w:tc>
          <w:tcPr>
            <w:tcW w:w="920" w:type="dxa"/>
          </w:tcPr>
          <w:p w:rsidR="0069378A" w:rsidRPr="000608EA" w:rsidRDefault="0069378A" w:rsidP="002B2779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608EA">
              <w:rPr>
                <w:rFonts w:ascii="Arial" w:hAnsi="Arial" w:cs="Arial"/>
                <w:sz w:val="20"/>
                <w:szCs w:val="20"/>
                <w:lang w:val="pt-BR"/>
              </w:rPr>
              <w:t>5.389</w:t>
            </w:r>
          </w:p>
        </w:tc>
        <w:tc>
          <w:tcPr>
            <w:tcW w:w="895" w:type="dxa"/>
            <w:vAlign w:val="center"/>
          </w:tcPr>
          <w:p w:rsidR="0069378A" w:rsidRPr="000608EA" w:rsidRDefault="0069378A" w:rsidP="002B27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08EA">
              <w:rPr>
                <w:rFonts w:ascii="Arial" w:hAnsi="Arial" w:cs="Arial"/>
                <w:color w:val="000000"/>
                <w:sz w:val="20"/>
                <w:szCs w:val="20"/>
              </w:rPr>
              <w:t>8.24%</w:t>
            </w:r>
          </w:p>
        </w:tc>
      </w:tr>
      <w:tr w:rsidR="0069378A" w:rsidRPr="000608EA" w:rsidTr="002B2779">
        <w:trPr>
          <w:jc w:val="center"/>
        </w:trPr>
        <w:tc>
          <w:tcPr>
            <w:tcW w:w="3897" w:type="dxa"/>
          </w:tcPr>
          <w:p w:rsidR="0069378A" w:rsidRPr="000608EA" w:rsidRDefault="0069378A" w:rsidP="00A3108F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608EA">
              <w:rPr>
                <w:rFonts w:ascii="Arial" w:hAnsi="Arial" w:cs="Arial"/>
                <w:sz w:val="20"/>
                <w:szCs w:val="20"/>
                <w:lang w:val="pt-BR"/>
              </w:rPr>
              <w:t>VOLKS BM</w:t>
            </w:r>
          </w:p>
        </w:tc>
        <w:tc>
          <w:tcPr>
            <w:tcW w:w="1200" w:type="dxa"/>
          </w:tcPr>
          <w:p w:rsidR="0069378A" w:rsidRPr="000608EA" w:rsidRDefault="0069378A" w:rsidP="002B2779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608EA">
              <w:rPr>
                <w:rFonts w:ascii="Arial" w:hAnsi="Arial" w:cs="Arial"/>
                <w:sz w:val="20"/>
                <w:szCs w:val="20"/>
                <w:lang w:val="pt-BR"/>
              </w:rPr>
              <w:t>3.709</w:t>
            </w:r>
          </w:p>
        </w:tc>
        <w:tc>
          <w:tcPr>
            <w:tcW w:w="1006" w:type="dxa"/>
            <w:vAlign w:val="center"/>
          </w:tcPr>
          <w:p w:rsidR="0069378A" w:rsidRPr="000608EA" w:rsidRDefault="0069378A" w:rsidP="002B27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08EA">
              <w:rPr>
                <w:rFonts w:ascii="Arial" w:hAnsi="Arial" w:cs="Arial"/>
                <w:color w:val="000000"/>
                <w:sz w:val="20"/>
                <w:szCs w:val="20"/>
              </w:rPr>
              <w:t>3.20%</w:t>
            </w:r>
          </w:p>
        </w:tc>
        <w:tc>
          <w:tcPr>
            <w:tcW w:w="920" w:type="dxa"/>
          </w:tcPr>
          <w:p w:rsidR="0069378A" w:rsidRPr="000608EA" w:rsidRDefault="0069378A" w:rsidP="002B2779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608EA">
              <w:rPr>
                <w:rFonts w:ascii="Arial" w:hAnsi="Arial" w:cs="Arial"/>
                <w:sz w:val="20"/>
                <w:szCs w:val="20"/>
                <w:lang w:val="pt-BR"/>
              </w:rPr>
              <w:t xml:space="preserve">1.626 </w:t>
            </w:r>
          </w:p>
        </w:tc>
        <w:tc>
          <w:tcPr>
            <w:tcW w:w="895" w:type="dxa"/>
            <w:vAlign w:val="center"/>
          </w:tcPr>
          <w:p w:rsidR="0069378A" w:rsidRPr="000608EA" w:rsidRDefault="0069378A" w:rsidP="002B27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08EA">
              <w:rPr>
                <w:rFonts w:ascii="Arial" w:hAnsi="Arial" w:cs="Arial"/>
                <w:color w:val="000000"/>
                <w:sz w:val="20"/>
                <w:szCs w:val="20"/>
              </w:rPr>
              <w:t>2.49%</w:t>
            </w:r>
          </w:p>
        </w:tc>
      </w:tr>
      <w:tr w:rsidR="00A3108F" w:rsidRPr="000608EA" w:rsidTr="002B2779">
        <w:trPr>
          <w:jc w:val="center"/>
        </w:trPr>
        <w:tc>
          <w:tcPr>
            <w:tcW w:w="3897" w:type="dxa"/>
          </w:tcPr>
          <w:p w:rsidR="00A3108F" w:rsidRPr="000608EA" w:rsidRDefault="00A3108F" w:rsidP="00A3108F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608EA">
              <w:rPr>
                <w:rFonts w:ascii="Arial" w:hAnsi="Arial" w:cs="Arial"/>
                <w:sz w:val="20"/>
                <w:szCs w:val="20"/>
                <w:lang w:val="pt-BR"/>
              </w:rPr>
              <w:t>MERCEDES BM</w:t>
            </w:r>
          </w:p>
        </w:tc>
        <w:tc>
          <w:tcPr>
            <w:tcW w:w="1200" w:type="dxa"/>
          </w:tcPr>
          <w:p w:rsidR="00A3108F" w:rsidRPr="000608EA" w:rsidRDefault="00A3108F" w:rsidP="002B2779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608EA">
              <w:rPr>
                <w:rFonts w:ascii="Arial" w:hAnsi="Arial" w:cs="Arial"/>
                <w:sz w:val="20"/>
                <w:szCs w:val="20"/>
                <w:lang w:val="pt-BR"/>
              </w:rPr>
              <w:t>3.216</w:t>
            </w:r>
          </w:p>
        </w:tc>
        <w:tc>
          <w:tcPr>
            <w:tcW w:w="1006" w:type="dxa"/>
            <w:vAlign w:val="center"/>
          </w:tcPr>
          <w:p w:rsidR="00A3108F" w:rsidRPr="000608EA" w:rsidRDefault="00A3108F" w:rsidP="002B27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08EA">
              <w:rPr>
                <w:rFonts w:ascii="Arial" w:hAnsi="Arial" w:cs="Arial"/>
                <w:color w:val="000000"/>
                <w:sz w:val="20"/>
                <w:szCs w:val="20"/>
              </w:rPr>
              <w:t>2.77%</w:t>
            </w:r>
          </w:p>
        </w:tc>
        <w:tc>
          <w:tcPr>
            <w:tcW w:w="920" w:type="dxa"/>
          </w:tcPr>
          <w:p w:rsidR="00A3108F" w:rsidRPr="000608EA" w:rsidRDefault="00A3108F" w:rsidP="002B2779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608EA">
              <w:rPr>
                <w:rFonts w:ascii="Arial" w:hAnsi="Arial" w:cs="Arial"/>
                <w:sz w:val="20"/>
                <w:szCs w:val="20"/>
                <w:lang w:val="pt-BR"/>
              </w:rPr>
              <w:t>1.523</w:t>
            </w:r>
          </w:p>
        </w:tc>
        <w:tc>
          <w:tcPr>
            <w:tcW w:w="895" w:type="dxa"/>
            <w:vAlign w:val="center"/>
          </w:tcPr>
          <w:p w:rsidR="00A3108F" w:rsidRPr="000608EA" w:rsidRDefault="00A3108F" w:rsidP="002B27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08EA">
              <w:rPr>
                <w:rFonts w:ascii="Arial" w:hAnsi="Arial" w:cs="Arial"/>
                <w:color w:val="000000"/>
                <w:sz w:val="20"/>
                <w:szCs w:val="20"/>
              </w:rPr>
              <w:t>2.33%</w:t>
            </w:r>
          </w:p>
        </w:tc>
      </w:tr>
      <w:tr w:rsidR="00A3108F" w:rsidRPr="000608EA" w:rsidTr="002B2779">
        <w:trPr>
          <w:jc w:val="center"/>
        </w:trPr>
        <w:tc>
          <w:tcPr>
            <w:tcW w:w="3897" w:type="dxa"/>
          </w:tcPr>
          <w:p w:rsidR="00A3108F" w:rsidRPr="000608EA" w:rsidRDefault="00A3108F" w:rsidP="00A3108F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608EA">
              <w:rPr>
                <w:rFonts w:ascii="Arial" w:hAnsi="Arial" w:cs="Arial"/>
                <w:sz w:val="20"/>
                <w:szCs w:val="20"/>
                <w:lang w:val="pt-BR"/>
              </w:rPr>
              <w:t xml:space="preserve">BRDE </w:t>
            </w:r>
          </w:p>
        </w:tc>
        <w:tc>
          <w:tcPr>
            <w:tcW w:w="1200" w:type="dxa"/>
          </w:tcPr>
          <w:p w:rsidR="00A3108F" w:rsidRPr="000608EA" w:rsidRDefault="00A3108F" w:rsidP="002B2779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608EA">
              <w:rPr>
                <w:rFonts w:ascii="Arial" w:hAnsi="Arial" w:cs="Arial"/>
                <w:sz w:val="20"/>
                <w:szCs w:val="20"/>
                <w:lang w:val="pt-BR"/>
              </w:rPr>
              <w:t>2.948</w:t>
            </w:r>
          </w:p>
        </w:tc>
        <w:tc>
          <w:tcPr>
            <w:tcW w:w="1006" w:type="dxa"/>
            <w:vAlign w:val="center"/>
          </w:tcPr>
          <w:p w:rsidR="00A3108F" w:rsidRPr="000608EA" w:rsidRDefault="00A3108F" w:rsidP="002B27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08EA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2.54%</w:t>
            </w:r>
          </w:p>
        </w:tc>
        <w:tc>
          <w:tcPr>
            <w:tcW w:w="920" w:type="dxa"/>
          </w:tcPr>
          <w:p w:rsidR="00A3108F" w:rsidRPr="000608EA" w:rsidRDefault="00A3108F" w:rsidP="002B2779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608EA">
              <w:rPr>
                <w:rFonts w:ascii="Arial" w:hAnsi="Arial" w:cs="Arial"/>
                <w:sz w:val="20"/>
                <w:szCs w:val="20"/>
                <w:lang w:val="pt-BR"/>
              </w:rPr>
              <w:t>2.685</w:t>
            </w:r>
          </w:p>
        </w:tc>
        <w:tc>
          <w:tcPr>
            <w:tcW w:w="895" w:type="dxa"/>
            <w:vAlign w:val="center"/>
          </w:tcPr>
          <w:p w:rsidR="00A3108F" w:rsidRPr="000608EA" w:rsidRDefault="00A3108F" w:rsidP="002B27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08EA">
              <w:rPr>
                <w:rFonts w:ascii="Arial" w:hAnsi="Arial" w:cs="Arial"/>
                <w:color w:val="000000"/>
                <w:sz w:val="20"/>
                <w:szCs w:val="20"/>
              </w:rPr>
              <w:t>4.11%</w:t>
            </w:r>
          </w:p>
        </w:tc>
      </w:tr>
      <w:tr w:rsidR="00A3108F" w:rsidRPr="000608EA" w:rsidTr="002B2779">
        <w:trPr>
          <w:jc w:val="center"/>
        </w:trPr>
        <w:tc>
          <w:tcPr>
            <w:tcW w:w="3897" w:type="dxa"/>
          </w:tcPr>
          <w:p w:rsidR="00A3108F" w:rsidRPr="000608EA" w:rsidRDefault="00A3108F" w:rsidP="00A3108F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608EA">
              <w:rPr>
                <w:rFonts w:ascii="Arial" w:hAnsi="Arial" w:cs="Arial"/>
                <w:sz w:val="20"/>
                <w:szCs w:val="20"/>
                <w:lang w:val="pt-BR"/>
              </w:rPr>
              <w:t xml:space="preserve">J SAFRA BM </w:t>
            </w:r>
          </w:p>
        </w:tc>
        <w:tc>
          <w:tcPr>
            <w:tcW w:w="1200" w:type="dxa"/>
          </w:tcPr>
          <w:p w:rsidR="00A3108F" w:rsidRPr="000608EA" w:rsidRDefault="00A3108F" w:rsidP="002B2779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608EA">
              <w:rPr>
                <w:rFonts w:ascii="Arial" w:hAnsi="Arial" w:cs="Arial"/>
                <w:sz w:val="20"/>
                <w:szCs w:val="20"/>
                <w:lang w:val="pt-BR"/>
              </w:rPr>
              <w:t>2.940</w:t>
            </w:r>
          </w:p>
        </w:tc>
        <w:tc>
          <w:tcPr>
            <w:tcW w:w="1006" w:type="dxa"/>
            <w:vAlign w:val="center"/>
          </w:tcPr>
          <w:p w:rsidR="00A3108F" w:rsidRPr="000608EA" w:rsidRDefault="00A3108F" w:rsidP="002B27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08EA">
              <w:rPr>
                <w:rFonts w:ascii="Arial" w:hAnsi="Arial" w:cs="Arial"/>
                <w:color w:val="000000"/>
                <w:sz w:val="20"/>
                <w:szCs w:val="20"/>
              </w:rPr>
              <w:t>2.53%</w:t>
            </w:r>
          </w:p>
        </w:tc>
        <w:tc>
          <w:tcPr>
            <w:tcW w:w="920" w:type="dxa"/>
          </w:tcPr>
          <w:p w:rsidR="00A3108F" w:rsidRPr="000608EA" w:rsidRDefault="00A3108F" w:rsidP="002B2779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608EA">
              <w:rPr>
                <w:rFonts w:ascii="Arial" w:hAnsi="Arial" w:cs="Arial"/>
                <w:sz w:val="20"/>
                <w:szCs w:val="20"/>
                <w:lang w:val="pt-BR"/>
              </w:rPr>
              <w:t>1.245</w:t>
            </w:r>
          </w:p>
        </w:tc>
        <w:tc>
          <w:tcPr>
            <w:tcW w:w="895" w:type="dxa"/>
            <w:vAlign w:val="center"/>
          </w:tcPr>
          <w:p w:rsidR="00A3108F" w:rsidRPr="000608EA" w:rsidRDefault="00A3108F" w:rsidP="002B27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08EA">
              <w:rPr>
                <w:rFonts w:ascii="Arial" w:hAnsi="Arial" w:cs="Arial"/>
                <w:color w:val="000000"/>
                <w:sz w:val="20"/>
                <w:szCs w:val="20"/>
              </w:rPr>
              <w:t>1.90%</w:t>
            </w:r>
          </w:p>
        </w:tc>
      </w:tr>
      <w:tr w:rsidR="0069378A" w:rsidRPr="000608EA" w:rsidTr="002B2779">
        <w:trPr>
          <w:jc w:val="center"/>
        </w:trPr>
        <w:tc>
          <w:tcPr>
            <w:tcW w:w="3897" w:type="dxa"/>
          </w:tcPr>
          <w:p w:rsidR="0069378A" w:rsidRPr="000608EA" w:rsidRDefault="0069378A" w:rsidP="00A3108F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608EA">
              <w:rPr>
                <w:rFonts w:ascii="Arial" w:hAnsi="Arial" w:cs="Arial"/>
                <w:sz w:val="20"/>
                <w:szCs w:val="20"/>
                <w:lang w:val="pt-BR"/>
              </w:rPr>
              <w:t>VOLVO BM</w:t>
            </w:r>
          </w:p>
        </w:tc>
        <w:tc>
          <w:tcPr>
            <w:tcW w:w="1200" w:type="dxa"/>
          </w:tcPr>
          <w:p w:rsidR="0069378A" w:rsidRPr="000608EA" w:rsidRDefault="0069378A" w:rsidP="002B2779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608EA">
              <w:rPr>
                <w:rFonts w:ascii="Arial" w:hAnsi="Arial" w:cs="Arial"/>
                <w:sz w:val="20"/>
                <w:szCs w:val="20"/>
                <w:lang w:val="pt-BR"/>
              </w:rPr>
              <w:t>1.969</w:t>
            </w:r>
          </w:p>
        </w:tc>
        <w:tc>
          <w:tcPr>
            <w:tcW w:w="1006" w:type="dxa"/>
            <w:vAlign w:val="center"/>
          </w:tcPr>
          <w:p w:rsidR="0069378A" w:rsidRPr="000608EA" w:rsidRDefault="0069378A" w:rsidP="002B27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08EA">
              <w:rPr>
                <w:rFonts w:ascii="Arial" w:hAnsi="Arial" w:cs="Arial"/>
                <w:color w:val="000000"/>
                <w:sz w:val="20"/>
                <w:szCs w:val="20"/>
              </w:rPr>
              <w:t>1.70%</w:t>
            </w:r>
          </w:p>
        </w:tc>
        <w:tc>
          <w:tcPr>
            <w:tcW w:w="920" w:type="dxa"/>
          </w:tcPr>
          <w:p w:rsidR="0069378A" w:rsidRPr="000608EA" w:rsidRDefault="0069378A" w:rsidP="002B2779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608EA">
              <w:rPr>
                <w:rFonts w:ascii="Arial" w:hAnsi="Arial" w:cs="Arial"/>
                <w:sz w:val="20"/>
                <w:szCs w:val="20"/>
                <w:lang w:val="pt-BR"/>
              </w:rPr>
              <w:t>1.211</w:t>
            </w:r>
          </w:p>
        </w:tc>
        <w:tc>
          <w:tcPr>
            <w:tcW w:w="895" w:type="dxa"/>
            <w:vAlign w:val="center"/>
          </w:tcPr>
          <w:p w:rsidR="0069378A" w:rsidRPr="000608EA" w:rsidRDefault="0069378A" w:rsidP="002B27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08EA">
              <w:rPr>
                <w:rFonts w:ascii="Arial" w:hAnsi="Arial" w:cs="Arial"/>
                <w:color w:val="000000"/>
                <w:sz w:val="20"/>
                <w:szCs w:val="20"/>
              </w:rPr>
              <w:t>1.85%</w:t>
            </w:r>
          </w:p>
        </w:tc>
      </w:tr>
      <w:tr w:rsidR="00A3108F" w:rsidRPr="000608EA" w:rsidTr="002B2779">
        <w:trPr>
          <w:jc w:val="center"/>
        </w:trPr>
        <w:tc>
          <w:tcPr>
            <w:tcW w:w="3897" w:type="dxa"/>
          </w:tcPr>
          <w:p w:rsidR="00A3108F" w:rsidRPr="000608EA" w:rsidRDefault="00A3108F" w:rsidP="00A3108F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608EA">
              <w:rPr>
                <w:rFonts w:ascii="Arial" w:hAnsi="Arial" w:cs="Arial"/>
                <w:sz w:val="20"/>
                <w:szCs w:val="20"/>
                <w:lang w:val="pt-BR"/>
              </w:rPr>
              <w:t xml:space="preserve">HSBC BM </w:t>
            </w:r>
          </w:p>
        </w:tc>
        <w:tc>
          <w:tcPr>
            <w:tcW w:w="1200" w:type="dxa"/>
          </w:tcPr>
          <w:p w:rsidR="00A3108F" w:rsidRPr="000608EA" w:rsidRDefault="00A3108F" w:rsidP="002B2779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608EA">
              <w:rPr>
                <w:rFonts w:ascii="Arial" w:hAnsi="Arial" w:cs="Arial"/>
                <w:sz w:val="20"/>
                <w:szCs w:val="20"/>
                <w:lang w:val="pt-BR"/>
              </w:rPr>
              <w:t>1.763</w:t>
            </w:r>
          </w:p>
        </w:tc>
        <w:tc>
          <w:tcPr>
            <w:tcW w:w="1006" w:type="dxa"/>
            <w:vAlign w:val="center"/>
          </w:tcPr>
          <w:p w:rsidR="00A3108F" w:rsidRPr="000608EA" w:rsidRDefault="00A3108F" w:rsidP="002B27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08EA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1.52%</w:t>
            </w:r>
          </w:p>
        </w:tc>
        <w:tc>
          <w:tcPr>
            <w:tcW w:w="920" w:type="dxa"/>
          </w:tcPr>
          <w:p w:rsidR="00A3108F" w:rsidRPr="000608EA" w:rsidRDefault="00A3108F" w:rsidP="002B2779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608EA">
              <w:rPr>
                <w:rFonts w:ascii="Arial" w:hAnsi="Arial" w:cs="Arial"/>
                <w:sz w:val="20"/>
                <w:szCs w:val="20"/>
                <w:lang w:val="pt-BR"/>
              </w:rPr>
              <w:t>836</w:t>
            </w:r>
          </w:p>
        </w:tc>
        <w:tc>
          <w:tcPr>
            <w:tcW w:w="895" w:type="dxa"/>
            <w:vAlign w:val="center"/>
          </w:tcPr>
          <w:p w:rsidR="00A3108F" w:rsidRPr="000608EA" w:rsidRDefault="00A3108F" w:rsidP="002B27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08EA">
              <w:rPr>
                <w:rFonts w:ascii="Arial" w:hAnsi="Arial" w:cs="Arial"/>
                <w:color w:val="000000"/>
                <w:sz w:val="20"/>
                <w:szCs w:val="20"/>
              </w:rPr>
              <w:t>1.28%</w:t>
            </w:r>
          </w:p>
        </w:tc>
      </w:tr>
      <w:tr w:rsidR="00A3108F" w:rsidRPr="000608EA" w:rsidTr="002B2779">
        <w:trPr>
          <w:jc w:val="center"/>
        </w:trPr>
        <w:tc>
          <w:tcPr>
            <w:tcW w:w="3897" w:type="dxa"/>
          </w:tcPr>
          <w:p w:rsidR="00A3108F" w:rsidRPr="000608EA" w:rsidRDefault="00A3108F" w:rsidP="00A3108F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608EA">
              <w:rPr>
                <w:rFonts w:ascii="Arial" w:hAnsi="Arial" w:cs="Arial"/>
                <w:sz w:val="20"/>
                <w:szCs w:val="20"/>
                <w:lang w:val="pt-BR"/>
              </w:rPr>
              <w:t xml:space="preserve">DLL BM </w:t>
            </w:r>
          </w:p>
        </w:tc>
        <w:tc>
          <w:tcPr>
            <w:tcW w:w="1200" w:type="dxa"/>
          </w:tcPr>
          <w:p w:rsidR="00A3108F" w:rsidRPr="000608EA" w:rsidRDefault="00A3108F" w:rsidP="002B2779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608EA">
              <w:rPr>
                <w:rFonts w:ascii="Arial" w:hAnsi="Arial" w:cs="Arial"/>
                <w:sz w:val="20"/>
                <w:szCs w:val="20"/>
                <w:lang w:val="pt-BR"/>
              </w:rPr>
              <w:t>1.692</w:t>
            </w:r>
          </w:p>
        </w:tc>
        <w:tc>
          <w:tcPr>
            <w:tcW w:w="1006" w:type="dxa"/>
            <w:vAlign w:val="center"/>
          </w:tcPr>
          <w:p w:rsidR="00A3108F" w:rsidRPr="000608EA" w:rsidRDefault="00A3108F" w:rsidP="002B27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08EA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1.46%</w:t>
            </w:r>
          </w:p>
        </w:tc>
        <w:tc>
          <w:tcPr>
            <w:tcW w:w="920" w:type="dxa"/>
          </w:tcPr>
          <w:p w:rsidR="00A3108F" w:rsidRPr="000608EA" w:rsidRDefault="00A3108F" w:rsidP="002B2779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608EA">
              <w:rPr>
                <w:rFonts w:ascii="Arial" w:hAnsi="Arial" w:cs="Arial"/>
                <w:sz w:val="20"/>
                <w:szCs w:val="20"/>
                <w:lang w:val="pt-BR"/>
              </w:rPr>
              <w:t xml:space="preserve">994 </w:t>
            </w:r>
          </w:p>
        </w:tc>
        <w:tc>
          <w:tcPr>
            <w:tcW w:w="895" w:type="dxa"/>
            <w:vAlign w:val="center"/>
          </w:tcPr>
          <w:p w:rsidR="00A3108F" w:rsidRPr="000608EA" w:rsidRDefault="00A3108F" w:rsidP="002B27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08EA">
              <w:rPr>
                <w:rFonts w:ascii="Arial" w:hAnsi="Arial" w:cs="Arial"/>
                <w:color w:val="000000"/>
                <w:sz w:val="20"/>
                <w:szCs w:val="20"/>
              </w:rPr>
              <w:t>1.52%</w:t>
            </w:r>
          </w:p>
        </w:tc>
      </w:tr>
      <w:tr w:rsidR="0069378A" w:rsidRPr="000608EA" w:rsidTr="002B2779">
        <w:trPr>
          <w:jc w:val="center"/>
        </w:trPr>
        <w:tc>
          <w:tcPr>
            <w:tcW w:w="3897" w:type="dxa"/>
          </w:tcPr>
          <w:p w:rsidR="0069378A" w:rsidRPr="000608EA" w:rsidRDefault="0069378A" w:rsidP="00A3108F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608EA">
              <w:rPr>
                <w:rFonts w:ascii="Arial" w:hAnsi="Arial" w:cs="Arial"/>
                <w:sz w:val="20"/>
                <w:szCs w:val="20"/>
                <w:lang w:val="pt-BR"/>
              </w:rPr>
              <w:t>VOTORAN BM</w:t>
            </w:r>
          </w:p>
        </w:tc>
        <w:tc>
          <w:tcPr>
            <w:tcW w:w="1200" w:type="dxa"/>
          </w:tcPr>
          <w:p w:rsidR="0069378A" w:rsidRPr="000608EA" w:rsidRDefault="0069378A" w:rsidP="002B2779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608EA">
              <w:rPr>
                <w:rFonts w:ascii="Arial" w:hAnsi="Arial" w:cs="Arial"/>
                <w:sz w:val="20"/>
                <w:szCs w:val="20"/>
                <w:lang w:val="pt-BR"/>
              </w:rPr>
              <w:t>1.561</w:t>
            </w:r>
          </w:p>
        </w:tc>
        <w:tc>
          <w:tcPr>
            <w:tcW w:w="1006" w:type="dxa"/>
            <w:vAlign w:val="center"/>
          </w:tcPr>
          <w:p w:rsidR="0069378A" w:rsidRPr="000608EA" w:rsidRDefault="0069378A" w:rsidP="002B27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08EA">
              <w:rPr>
                <w:rFonts w:ascii="Arial" w:hAnsi="Arial" w:cs="Arial"/>
                <w:color w:val="000000"/>
                <w:sz w:val="20"/>
                <w:szCs w:val="20"/>
              </w:rPr>
              <w:t>1.35%</w:t>
            </w:r>
          </w:p>
        </w:tc>
        <w:tc>
          <w:tcPr>
            <w:tcW w:w="920" w:type="dxa"/>
          </w:tcPr>
          <w:p w:rsidR="0069378A" w:rsidRPr="000608EA" w:rsidRDefault="0069378A" w:rsidP="002B2779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608EA">
              <w:rPr>
                <w:rFonts w:ascii="Arial" w:hAnsi="Arial" w:cs="Arial"/>
                <w:sz w:val="20"/>
                <w:szCs w:val="20"/>
                <w:lang w:val="pt-BR"/>
              </w:rPr>
              <w:t>1.190</w:t>
            </w:r>
          </w:p>
        </w:tc>
        <w:tc>
          <w:tcPr>
            <w:tcW w:w="895" w:type="dxa"/>
            <w:vAlign w:val="center"/>
          </w:tcPr>
          <w:p w:rsidR="0069378A" w:rsidRPr="000608EA" w:rsidRDefault="0069378A" w:rsidP="002B27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08EA">
              <w:rPr>
                <w:rFonts w:ascii="Arial" w:hAnsi="Arial" w:cs="Arial"/>
                <w:color w:val="000000"/>
                <w:sz w:val="20"/>
                <w:szCs w:val="20"/>
              </w:rPr>
              <w:t>1.82%</w:t>
            </w:r>
          </w:p>
        </w:tc>
      </w:tr>
      <w:tr w:rsidR="0069378A" w:rsidRPr="000608EA" w:rsidTr="002B2779">
        <w:trPr>
          <w:jc w:val="center"/>
        </w:trPr>
        <w:tc>
          <w:tcPr>
            <w:tcW w:w="3897" w:type="dxa"/>
          </w:tcPr>
          <w:p w:rsidR="0069378A" w:rsidRPr="000608EA" w:rsidRDefault="0069378A" w:rsidP="00A3108F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608EA">
              <w:rPr>
                <w:rFonts w:ascii="Arial" w:hAnsi="Arial" w:cs="Arial"/>
                <w:sz w:val="20"/>
                <w:szCs w:val="20"/>
                <w:lang w:val="pt-BR"/>
              </w:rPr>
              <w:t>BANSICREDI</w:t>
            </w:r>
          </w:p>
        </w:tc>
        <w:tc>
          <w:tcPr>
            <w:tcW w:w="1200" w:type="dxa"/>
          </w:tcPr>
          <w:p w:rsidR="0069378A" w:rsidRPr="000608EA" w:rsidRDefault="0069378A" w:rsidP="002B2779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608EA">
              <w:rPr>
                <w:rFonts w:ascii="Arial" w:hAnsi="Arial" w:cs="Arial"/>
                <w:sz w:val="20"/>
                <w:szCs w:val="20"/>
                <w:lang w:val="pt-BR"/>
              </w:rPr>
              <w:t>1.535</w:t>
            </w:r>
          </w:p>
        </w:tc>
        <w:tc>
          <w:tcPr>
            <w:tcW w:w="1006" w:type="dxa"/>
            <w:vAlign w:val="center"/>
          </w:tcPr>
          <w:p w:rsidR="0069378A" w:rsidRPr="000608EA" w:rsidRDefault="0069378A" w:rsidP="002B27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08EA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1.32%</w:t>
            </w:r>
          </w:p>
        </w:tc>
        <w:tc>
          <w:tcPr>
            <w:tcW w:w="920" w:type="dxa"/>
          </w:tcPr>
          <w:p w:rsidR="0069378A" w:rsidRPr="000608EA" w:rsidRDefault="0069378A" w:rsidP="002B2779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608EA">
              <w:rPr>
                <w:rFonts w:ascii="Arial" w:hAnsi="Arial" w:cs="Arial"/>
                <w:sz w:val="20"/>
                <w:szCs w:val="20"/>
                <w:lang w:val="pt-BR"/>
              </w:rPr>
              <w:t xml:space="preserve"> 1.558</w:t>
            </w:r>
          </w:p>
        </w:tc>
        <w:tc>
          <w:tcPr>
            <w:tcW w:w="895" w:type="dxa"/>
            <w:vAlign w:val="center"/>
          </w:tcPr>
          <w:p w:rsidR="0069378A" w:rsidRPr="000608EA" w:rsidRDefault="0069378A" w:rsidP="002B27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08EA">
              <w:rPr>
                <w:rFonts w:ascii="Arial" w:hAnsi="Arial" w:cs="Arial"/>
                <w:color w:val="000000"/>
                <w:sz w:val="20"/>
                <w:szCs w:val="20"/>
              </w:rPr>
              <w:t>2.38%</w:t>
            </w:r>
          </w:p>
        </w:tc>
      </w:tr>
      <w:tr w:rsidR="00A3108F" w:rsidRPr="000608EA" w:rsidTr="002B2779">
        <w:trPr>
          <w:jc w:val="center"/>
        </w:trPr>
        <w:tc>
          <w:tcPr>
            <w:tcW w:w="3897" w:type="dxa"/>
          </w:tcPr>
          <w:p w:rsidR="00A3108F" w:rsidRPr="000608EA" w:rsidRDefault="00A3108F" w:rsidP="00A3108F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608EA">
              <w:rPr>
                <w:rFonts w:ascii="Arial" w:hAnsi="Arial" w:cs="Arial"/>
                <w:sz w:val="20"/>
                <w:szCs w:val="20"/>
                <w:lang w:val="pt-BR"/>
              </w:rPr>
              <w:t xml:space="preserve">CNH BM </w:t>
            </w:r>
          </w:p>
        </w:tc>
        <w:tc>
          <w:tcPr>
            <w:tcW w:w="1200" w:type="dxa"/>
          </w:tcPr>
          <w:p w:rsidR="00A3108F" w:rsidRPr="000608EA" w:rsidRDefault="00A3108F" w:rsidP="002B2779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608EA">
              <w:rPr>
                <w:rFonts w:ascii="Arial" w:hAnsi="Arial" w:cs="Arial"/>
                <w:sz w:val="20"/>
                <w:szCs w:val="20"/>
                <w:lang w:val="pt-BR"/>
              </w:rPr>
              <w:t>1.511</w:t>
            </w:r>
          </w:p>
        </w:tc>
        <w:tc>
          <w:tcPr>
            <w:tcW w:w="1006" w:type="dxa"/>
            <w:vAlign w:val="center"/>
          </w:tcPr>
          <w:p w:rsidR="00A3108F" w:rsidRPr="000608EA" w:rsidRDefault="00A3108F" w:rsidP="002B27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08EA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1.30%</w:t>
            </w:r>
          </w:p>
        </w:tc>
        <w:tc>
          <w:tcPr>
            <w:tcW w:w="920" w:type="dxa"/>
          </w:tcPr>
          <w:p w:rsidR="00A3108F" w:rsidRPr="000608EA" w:rsidRDefault="00A3108F" w:rsidP="002B2779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608EA">
              <w:rPr>
                <w:rFonts w:ascii="Arial" w:hAnsi="Arial" w:cs="Arial"/>
                <w:sz w:val="20"/>
                <w:szCs w:val="20"/>
              </w:rPr>
              <w:t>1.472</w:t>
            </w:r>
          </w:p>
        </w:tc>
        <w:tc>
          <w:tcPr>
            <w:tcW w:w="895" w:type="dxa"/>
            <w:vAlign w:val="center"/>
          </w:tcPr>
          <w:p w:rsidR="00A3108F" w:rsidRPr="000608EA" w:rsidRDefault="00A3108F" w:rsidP="002B27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08EA">
              <w:rPr>
                <w:rFonts w:ascii="Arial" w:hAnsi="Arial" w:cs="Arial"/>
                <w:color w:val="000000"/>
                <w:sz w:val="20"/>
                <w:szCs w:val="20"/>
              </w:rPr>
              <w:t>2.25%</w:t>
            </w:r>
          </w:p>
        </w:tc>
      </w:tr>
      <w:tr w:rsidR="0069378A" w:rsidRPr="000608EA" w:rsidTr="002B2779">
        <w:trPr>
          <w:jc w:val="center"/>
        </w:trPr>
        <w:tc>
          <w:tcPr>
            <w:tcW w:w="3897" w:type="dxa"/>
          </w:tcPr>
          <w:p w:rsidR="0069378A" w:rsidRPr="000608EA" w:rsidRDefault="0069378A" w:rsidP="00A3108F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608EA">
              <w:rPr>
                <w:rFonts w:ascii="Arial" w:hAnsi="Arial" w:cs="Arial"/>
                <w:sz w:val="20"/>
                <w:szCs w:val="20"/>
                <w:lang w:val="pt-BR"/>
              </w:rPr>
              <w:t>BADESUL</w:t>
            </w:r>
          </w:p>
        </w:tc>
        <w:tc>
          <w:tcPr>
            <w:tcW w:w="1200" w:type="dxa"/>
          </w:tcPr>
          <w:p w:rsidR="0069378A" w:rsidRPr="000608EA" w:rsidRDefault="0069378A" w:rsidP="002B2779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608EA">
              <w:rPr>
                <w:rFonts w:ascii="Arial" w:hAnsi="Arial" w:cs="Arial"/>
                <w:sz w:val="20"/>
                <w:szCs w:val="20"/>
                <w:lang w:val="pt-BR"/>
              </w:rPr>
              <w:t>1.488</w:t>
            </w:r>
          </w:p>
        </w:tc>
        <w:tc>
          <w:tcPr>
            <w:tcW w:w="1006" w:type="dxa"/>
            <w:vAlign w:val="center"/>
          </w:tcPr>
          <w:p w:rsidR="0069378A" w:rsidRPr="000608EA" w:rsidRDefault="0069378A" w:rsidP="002B27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08EA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1.28%</w:t>
            </w:r>
          </w:p>
        </w:tc>
        <w:tc>
          <w:tcPr>
            <w:tcW w:w="920" w:type="dxa"/>
          </w:tcPr>
          <w:p w:rsidR="0069378A" w:rsidRPr="000608EA" w:rsidRDefault="0069378A" w:rsidP="002B2779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608EA">
              <w:rPr>
                <w:rFonts w:ascii="Arial" w:hAnsi="Arial" w:cs="Arial"/>
                <w:sz w:val="20"/>
                <w:szCs w:val="20"/>
                <w:lang w:val="pt-BR"/>
              </w:rPr>
              <w:t>609</w:t>
            </w:r>
          </w:p>
        </w:tc>
        <w:tc>
          <w:tcPr>
            <w:tcW w:w="895" w:type="dxa"/>
            <w:vAlign w:val="center"/>
          </w:tcPr>
          <w:p w:rsidR="0069378A" w:rsidRPr="000608EA" w:rsidRDefault="0069378A" w:rsidP="002B27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08EA">
              <w:rPr>
                <w:rFonts w:ascii="Arial" w:hAnsi="Arial" w:cs="Arial"/>
                <w:color w:val="000000"/>
                <w:sz w:val="20"/>
                <w:szCs w:val="20"/>
              </w:rPr>
              <w:t>0.93%</w:t>
            </w:r>
          </w:p>
        </w:tc>
      </w:tr>
      <w:tr w:rsidR="00CC0B50" w:rsidRPr="000608EA" w:rsidTr="0069378A">
        <w:trPr>
          <w:jc w:val="center"/>
        </w:trPr>
        <w:tc>
          <w:tcPr>
            <w:tcW w:w="3897" w:type="dxa"/>
          </w:tcPr>
          <w:p w:rsidR="00CC0B50" w:rsidRPr="000608EA" w:rsidRDefault="00CC0B50" w:rsidP="00A3108F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608EA">
              <w:rPr>
                <w:rFonts w:ascii="Arial" w:hAnsi="Arial" w:cs="Arial"/>
                <w:sz w:val="20"/>
                <w:szCs w:val="20"/>
                <w:lang w:val="pt-BR"/>
              </w:rPr>
              <w:lastRenderedPageBreak/>
              <w:t>ABC BR BM</w:t>
            </w:r>
          </w:p>
        </w:tc>
        <w:tc>
          <w:tcPr>
            <w:tcW w:w="1200" w:type="dxa"/>
          </w:tcPr>
          <w:p w:rsidR="00CC0B50" w:rsidRPr="000608EA" w:rsidRDefault="00CC0B50" w:rsidP="000608EA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608EA">
              <w:rPr>
                <w:rFonts w:ascii="Arial" w:hAnsi="Arial" w:cs="Arial"/>
                <w:sz w:val="20"/>
                <w:szCs w:val="20"/>
                <w:lang w:val="pt-BR"/>
              </w:rPr>
              <w:t>1.266</w:t>
            </w:r>
          </w:p>
        </w:tc>
        <w:tc>
          <w:tcPr>
            <w:tcW w:w="1006" w:type="dxa"/>
            <w:vAlign w:val="center"/>
          </w:tcPr>
          <w:p w:rsidR="00CC0B50" w:rsidRPr="000608EA" w:rsidRDefault="00CC0B50" w:rsidP="000608E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08EA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1.09%</w:t>
            </w:r>
          </w:p>
        </w:tc>
        <w:tc>
          <w:tcPr>
            <w:tcW w:w="920" w:type="dxa"/>
          </w:tcPr>
          <w:p w:rsidR="00CC0B50" w:rsidRPr="000608EA" w:rsidRDefault="00CC0B50" w:rsidP="000608EA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608EA">
              <w:rPr>
                <w:rFonts w:ascii="Arial" w:hAnsi="Arial" w:cs="Arial"/>
                <w:sz w:val="20"/>
                <w:szCs w:val="20"/>
                <w:lang w:val="pt-BR"/>
              </w:rPr>
              <w:t xml:space="preserve">750 </w:t>
            </w:r>
          </w:p>
        </w:tc>
        <w:tc>
          <w:tcPr>
            <w:tcW w:w="895" w:type="dxa"/>
            <w:vAlign w:val="center"/>
          </w:tcPr>
          <w:p w:rsidR="00CC0B50" w:rsidRPr="000608EA" w:rsidRDefault="00CC0B50" w:rsidP="000608E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08EA">
              <w:rPr>
                <w:rFonts w:ascii="Arial" w:hAnsi="Arial" w:cs="Arial"/>
                <w:color w:val="000000"/>
                <w:sz w:val="20"/>
                <w:szCs w:val="20"/>
              </w:rPr>
              <w:t>1.15%</w:t>
            </w:r>
          </w:p>
        </w:tc>
      </w:tr>
      <w:tr w:rsidR="00A3108F" w:rsidRPr="000608EA" w:rsidTr="002B2779">
        <w:trPr>
          <w:jc w:val="center"/>
        </w:trPr>
        <w:tc>
          <w:tcPr>
            <w:tcW w:w="3897" w:type="dxa"/>
          </w:tcPr>
          <w:p w:rsidR="00A3108F" w:rsidRPr="000608EA" w:rsidRDefault="00A3108F" w:rsidP="00A3108F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608EA">
              <w:rPr>
                <w:rFonts w:ascii="Arial" w:hAnsi="Arial" w:cs="Arial"/>
                <w:sz w:val="20"/>
                <w:szCs w:val="20"/>
                <w:lang w:val="pt-BR"/>
              </w:rPr>
              <w:t xml:space="preserve">CATERPILL BM </w:t>
            </w:r>
          </w:p>
        </w:tc>
        <w:tc>
          <w:tcPr>
            <w:tcW w:w="1200" w:type="dxa"/>
          </w:tcPr>
          <w:p w:rsidR="00A3108F" w:rsidRPr="000608EA" w:rsidRDefault="00A3108F" w:rsidP="002B2779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608EA">
              <w:rPr>
                <w:rFonts w:ascii="Arial" w:hAnsi="Arial" w:cs="Arial"/>
                <w:sz w:val="20"/>
                <w:szCs w:val="20"/>
                <w:lang w:val="pt-BR"/>
              </w:rPr>
              <w:t>1.246</w:t>
            </w:r>
          </w:p>
        </w:tc>
        <w:tc>
          <w:tcPr>
            <w:tcW w:w="1006" w:type="dxa"/>
            <w:vAlign w:val="center"/>
          </w:tcPr>
          <w:p w:rsidR="00A3108F" w:rsidRPr="000608EA" w:rsidRDefault="00A3108F" w:rsidP="002B27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08EA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1.07%</w:t>
            </w:r>
          </w:p>
        </w:tc>
        <w:tc>
          <w:tcPr>
            <w:tcW w:w="920" w:type="dxa"/>
          </w:tcPr>
          <w:p w:rsidR="00A3108F" w:rsidRPr="000608EA" w:rsidRDefault="00A3108F" w:rsidP="002B2779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608EA">
              <w:rPr>
                <w:rFonts w:ascii="Arial" w:hAnsi="Arial" w:cs="Arial"/>
                <w:sz w:val="20"/>
                <w:szCs w:val="20"/>
                <w:lang w:val="pt-BR"/>
              </w:rPr>
              <w:t>558</w:t>
            </w:r>
          </w:p>
        </w:tc>
        <w:tc>
          <w:tcPr>
            <w:tcW w:w="895" w:type="dxa"/>
            <w:vAlign w:val="center"/>
          </w:tcPr>
          <w:p w:rsidR="00A3108F" w:rsidRPr="000608EA" w:rsidRDefault="00A3108F" w:rsidP="002B27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08EA">
              <w:rPr>
                <w:rFonts w:ascii="Arial" w:hAnsi="Arial" w:cs="Arial"/>
                <w:color w:val="000000"/>
                <w:sz w:val="20"/>
                <w:szCs w:val="20"/>
              </w:rPr>
              <w:t>0.85%</w:t>
            </w:r>
          </w:p>
        </w:tc>
      </w:tr>
      <w:tr w:rsidR="00A3108F" w:rsidRPr="000608EA" w:rsidTr="002B2779">
        <w:trPr>
          <w:jc w:val="center"/>
        </w:trPr>
        <w:tc>
          <w:tcPr>
            <w:tcW w:w="3897" w:type="dxa"/>
          </w:tcPr>
          <w:p w:rsidR="00A3108F" w:rsidRPr="000608EA" w:rsidRDefault="00A3108F" w:rsidP="00A3108F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608EA">
              <w:rPr>
                <w:rFonts w:ascii="Arial" w:hAnsi="Arial" w:cs="Arial"/>
                <w:sz w:val="20"/>
                <w:szCs w:val="20"/>
                <w:lang w:val="pt-BR"/>
              </w:rPr>
              <w:t xml:space="preserve">J DEERE BM </w:t>
            </w:r>
          </w:p>
        </w:tc>
        <w:tc>
          <w:tcPr>
            <w:tcW w:w="1200" w:type="dxa"/>
          </w:tcPr>
          <w:p w:rsidR="00A3108F" w:rsidRPr="000608EA" w:rsidRDefault="00A3108F" w:rsidP="002B2779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608EA">
              <w:rPr>
                <w:rFonts w:ascii="Arial" w:hAnsi="Arial" w:cs="Arial"/>
                <w:sz w:val="20"/>
                <w:szCs w:val="20"/>
                <w:lang w:val="pt-BR"/>
              </w:rPr>
              <w:t>1.017</w:t>
            </w:r>
          </w:p>
        </w:tc>
        <w:tc>
          <w:tcPr>
            <w:tcW w:w="1006" w:type="dxa"/>
            <w:vAlign w:val="center"/>
          </w:tcPr>
          <w:p w:rsidR="00A3108F" w:rsidRPr="000608EA" w:rsidRDefault="00A3108F" w:rsidP="002B27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08EA">
              <w:rPr>
                <w:rFonts w:ascii="Arial" w:hAnsi="Arial" w:cs="Arial"/>
                <w:color w:val="000000"/>
                <w:sz w:val="20"/>
                <w:szCs w:val="20"/>
              </w:rPr>
              <w:t>0.88%</w:t>
            </w:r>
          </w:p>
        </w:tc>
        <w:tc>
          <w:tcPr>
            <w:tcW w:w="920" w:type="dxa"/>
          </w:tcPr>
          <w:p w:rsidR="00A3108F" w:rsidRPr="000608EA" w:rsidRDefault="00A3108F" w:rsidP="002B2779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608EA">
              <w:rPr>
                <w:rFonts w:ascii="Arial" w:hAnsi="Arial" w:cs="Arial"/>
                <w:sz w:val="20"/>
                <w:szCs w:val="20"/>
                <w:lang w:val="pt-BR"/>
              </w:rPr>
              <w:t>1.662</w:t>
            </w:r>
          </w:p>
        </w:tc>
        <w:tc>
          <w:tcPr>
            <w:tcW w:w="895" w:type="dxa"/>
            <w:vAlign w:val="center"/>
          </w:tcPr>
          <w:p w:rsidR="00A3108F" w:rsidRPr="000608EA" w:rsidRDefault="00A3108F" w:rsidP="002B27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08EA">
              <w:rPr>
                <w:rFonts w:ascii="Arial" w:hAnsi="Arial" w:cs="Arial"/>
                <w:color w:val="000000"/>
                <w:sz w:val="20"/>
                <w:szCs w:val="20"/>
              </w:rPr>
              <w:t>2.54%</w:t>
            </w:r>
          </w:p>
        </w:tc>
      </w:tr>
      <w:tr w:rsidR="0069378A" w:rsidRPr="000608EA" w:rsidTr="002B2779">
        <w:trPr>
          <w:jc w:val="center"/>
        </w:trPr>
        <w:tc>
          <w:tcPr>
            <w:tcW w:w="3897" w:type="dxa"/>
          </w:tcPr>
          <w:p w:rsidR="0069378A" w:rsidRPr="000608EA" w:rsidRDefault="0069378A" w:rsidP="00A3108F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608EA">
              <w:rPr>
                <w:rFonts w:ascii="Arial" w:hAnsi="Arial" w:cs="Arial"/>
                <w:sz w:val="20"/>
                <w:szCs w:val="20"/>
                <w:lang w:val="pt-BR"/>
              </w:rPr>
              <w:t xml:space="preserve">BDMG </w:t>
            </w:r>
          </w:p>
        </w:tc>
        <w:tc>
          <w:tcPr>
            <w:tcW w:w="1200" w:type="dxa"/>
          </w:tcPr>
          <w:p w:rsidR="0069378A" w:rsidRPr="000608EA" w:rsidRDefault="0069378A" w:rsidP="002B2779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608EA">
              <w:rPr>
                <w:rFonts w:ascii="Arial" w:hAnsi="Arial" w:cs="Arial"/>
                <w:sz w:val="20"/>
                <w:szCs w:val="20"/>
                <w:lang w:val="pt-BR"/>
              </w:rPr>
              <w:t>975</w:t>
            </w:r>
          </w:p>
        </w:tc>
        <w:tc>
          <w:tcPr>
            <w:tcW w:w="1006" w:type="dxa"/>
            <w:vAlign w:val="center"/>
          </w:tcPr>
          <w:p w:rsidR="0069378A" w:rsidRPr="000608EA" w:rsidRDefault="0069378A" w:rsidP="002B27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08EA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0.84%</w:t>
            </w:r>
          </w:p>
        </w:tc>
        <w:tc>
          <w:tcPr>
            <w:tcW w:w="920" w:type="dxa"/>
          </w:tcPr>
          <w:p w:rsidR="0069378A" w:rsidRPr="000608EA" w:rsidRDefault="0069378A" w:rsidP="002B2779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608EA">
              <w:rPr>
                <w:rFonts w:ascii="Arial" w:hAnsi="Arial" w:cs="Arial"/>
                <w:sz w:val="20"/>
                <w:szCs w:val="20"/>
                <w:lang w:val="pt-BR"/>
              </w:rPr>
              <w:t>1.064</w:t>
            </w:r>
          </w:p>
        </w:tc>
        <w:tc>
          <w:tcPr>
            <w:tcW w:w="895" w:type="dxa"/>
            <w:vAlign w:val="center"/>
          </w:tcPr>
          <w:p w:rsidR="0069378A" w:rsidRPr="000608EA" w:rsidRDefault="0069378A" w:rsidP="002B27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08EA">
              <w:rPr>
                <w:rFonts w:ascii="Arial" w:hAnsi="Arial" w:cs="Arial"/>
                <w:color w:val="000000"/>
                <w:sz w:val="20"/>
                <w:szCs w:val="20"/>
              </w:rPr>
              <w:t>1.63%</w:t>
            </w:r>
          </w:p>
        </w:tc>
      </w:tr>
      <w:tr w:rsidR="0069378A" w:rsidRPr="000608EA" w:rsidTr="002B2779">
        <w:trPr>
          <w:jc w:val="center"/>
        </w:trPr>
        <w:tc>
          <w:tcPr>
            <w:tcW w:w="3897" w:type="dxa"/>
          </w:tcPr>
          <w:p w:rsidR="0069378A" w:rsidRPr="000608EA" w:rsidRDefault="0069378A" w:rsidP="00A3108F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608EA">
              <w:rPr>
                <w:rFonts w:ascii="Arial" w:hAnsi="Arial" w:cs="Arial"/>
                <w:sz w:val="20"/>
                <w:szCs w:val="20"/>
                <w:lang w:val="pt-BR"/>
              </w:rPr>
              <w:t xml:space="preserve">BANRISUL BM </w:t>
            </w:r>
          </w:p>
        </w:tc>
        <w:tc>
          <w:tcPr>
            <w:tcW w:w="1200" w:type="dxa"/>
          </w:tcPr>
          <w:p w:rsidR="0069378A" w:rsidRPr="000608EA" w:rsidRDefault="0069378A" w:rsidP="002B2779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608EA">
              <w:rPr>
                <w:rFonts w:ascii="Arial" w:hAnsi="Arial" w:cs="Arial"/>
                <w:sz w:val="20"/>
                <w:szCs w:val="20"/>
                <w:lang w:val="pt-BR"/>
              </w:rPr>
              <w:t>959</w:t>
            </w:r>
          </w:p>
        </w:tc>
        <w:tc>
          <w:tcPr>
            <w:tcW w:w="1006" w:type="dxa"/>
            <w:vAlign w:val="center"/>
          </w:tcPr>
          <w:p w:rsidR="0069378A" w:rsidRPr="000608EA" w:rsidRDefault="0069378A" w:rsidP="002B27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08EA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0.83%</w:t>
            </w:r>
          </w:p>
        </w:tc>
        <w:tc>
          <w:tcPr>
            <w:tcW w:w="920" w:type="dxa"/>
          </w:tcPr>
          <w:p w:rsidR="0069378A" w:rsidRPr="000608EA" w:rsidRDefault="0069378A" w:rsidP="002B2779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608EA">
              <w:rPr>
                <w:rFonts w:ascii="Arial" w:hAnsi="Arial" w:cs="Arial"/>
                <w:sz w:val="20"/>
                <w:szCs w:val="20"/>
                <w:lang w:val="pt-BR"/>
              </w:rPr>
              <w:t>879</w:t>
            </w:r>
          </w:p>
        </w:tc>
        <w:tc>
          <w:tcPr>
            <w:tcW w:w="895" w:type="dxa"/>
            <w:vAlign w:val="center"/>
          </w:tcPr>
          <w:p w:rsidR="0069378A" w:rsidRPr="000608EA" w:rsidRDefault="0069378A" w:rsidP="002B27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08EA">
              <w:rPr>
                <w:rFonts w:ascii="Arial" w:hAnsi="Arial" w:cs="Arial"/>
                <w:color w:val="000000"/>
                <w:sz w:val="20"/>
                <w:szCs w:val="20"/>
              </w:rPr>
              <w:t>1.34%</w:t>
            </w:r>
          </w:p>
        </w:tc>
      </w:tr>
      <w:tr w:rsidR="00A3108F" w:rsidRPr="000608EA" w:rsidTr="002B2779">
        <w:trPr>
          <w:jc w:val="center"/>
        </w:trPr>
        <w:tc>
          <w:tcPr>
            <w:tcW w:w="3897" w:type="dxa"/>
          </w:tcPr>
          <w:p w:rsidR="00A3108F" w:rsidRPr="000608EA" w:rsidRDefault="00A3108F" w:rsidP="00A3108F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608EA">
              <w:rPr>
                <w:rFonts w:ascii="Arial" w:hAnsi="Arial" w:cs="Arial"/>
                <w:sz w:val="20"/>
                <w:szCs w:val="20"/>
                <w:lang w:val="pt-BR"/>
              </w:rPr>
              <w:t xml:space="preserve">SCANIA BM </w:t>
            </w:r>
          </w:p>
        </w:tc>
        <w:tc>
          <w:tcPr>
            <w:tcW w:w="1200" w:type="dxa"/>
          </w:tcPr>
          <w:p w:rsidR="00A3108F" w:rsidRPr="000608EA" w:rsidRDefault="00A3108F" w:rsidP="002B2779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608EA">
              <w:rPr>
                <w:rFonts w:ascii="Arial" w:hAnsi="Arial" w:cs="Arial"/>
                <w:sz w:val="20"/>
                <w:szCs w:val="20"/>
                <w:lang w:val="pt-BR"/>
              </w:rPr>
              <w:t>800</w:t>
            </w:r>
          </w:p>
        </w:tc>
        <w:tc>
          <w:tcPr>
            <w:tcW w:w="1006" w:type="dxa"/>
            <w:vAlign w:val="center"/>
          </w:tcPr>
          <w:p w:rsidR="00A3108F" w:rsidRPr="000608EA" w:rsidRDefault="00A3108F" w:rsidP="002B27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08EA">
              <w:rPr>
                <w:rFonts w:ascii="Arial" w:hAnsi="Arial" w:cs="Arial"/>
                <w:color w:val="000000"/>
                <w:sz w:val="20"/>
                <w:szCs w:val="20"/>
              </w:rPr>
              <w:t>0.69%</w:t>
            </w:r>
          </w:p>
        </w:tc>
        <w:tc>
          <w:tcPr>
            <w:tcW w:w="920" w:type="dxa"/>
          </w:tcPr>
          <w:p w:rsidR="00A3108F" w:rsidRPr="000608EA" w:rsidRDefault="00A3108F" w:rsidP="002B2779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608EA">
              <w:rPr>
                <w:rFonts w:ascii="Arial" w:hAnsi="Arial" w:cs="Arial"/>
                <w:sz w:val="20"/>
                <w:szCs w:val="20"/>
                <w:lang w:val="pt-BR"/>
              </w:rPr>
              <w:t>297</w:t>
            </w:r>
          </w:p>
        </w:tc>
        <w:tc>
          <w:tcPr>
            <w:tcW w:w="895" w:type="dxa"/>
            <w:vAlign w:val="center"/>
          </w:tcPr>
          <w:p w:rsidR="00A3108F" w:rsidRPr="000608EA" w:rsidRDefault="00A3108F" w:rsidP="002B27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08EA">
              <w:rPr>
                <w:rFonts w:ascii="Arial" w:hAnsi="Arial" w:cs="Arial"/>
                <w:color w:val="000000"/>
                <w:sz w:val="20"/>
                <w:szCs w:val="20"/>
              </w:rPr>
              <w:t>0.45%</w:t>
            </w:r>
          </w:p>
        </w:tc>
      </w:tr>
      <w:tr w:rsidR="00A3108F" w:rsidRPr="000608EA" w:rsidTr="002B2779">
        <w:trPr>
          <w:jc w:val="center"/>
        </w:trPr>
        <w:tc>
          <w:tcPr>
            <w:tcW w:w="3897" w:type="dxa"/>
          </w:tcPr>
          <w:p w:rsidR="00A3108F" w:rsidRPr="000608EA" w:rsidRDefault="00A3108F" w:rsidP="00A3108F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608EA">
              <w:rPr>
                <w:rFonts w:ascii="Arial" w:hAnsi="Arial" w:cs="Arial"/>
                <w:sz w:val="20"/>
                <w:szCs w:val="20"/>
                <w:lang w:val="pt-BR"/>
              </w:rPr>
              <w:t>RABOBANK</w:t>
            </w:r>
          </w:p>
        </w:tc>
        <w:tc>
          <w:tcPr>
            <w:tcW w:w="1200" w:type="dxa"/>
          </w:tcPr>
          <w:p w:rsidR="00A3108F" w:rsidRPr="000608EA" w:rsidRDefault="00A3108F" w:rsidP="002B2779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608EA">
              <w:rPr>
                <w:rFonts w:ascii="Arial" w:hAnsi="Arial" w:cs="Arial"/>
                <w:sz w:val="20"/>
                <w:szCs w:val="20"/>
                <w:lang w:val="pt-BR"/>
              </w:rPr>
              <w:t>675</w:t>
            </w:r>
          </w:p>
        </w:tc>
        <w:tc>
          <w:tcPr>
            <w:tcW w:w="1006" w:type="dxa"/>
            <w:vAlign w:val="center"/>
          </w:tcPr>
          <w:p w:rsidR="00A3108F" w:rsidRPr="000608EA" w:rsidRDefault="00A3108F" w:rsidP="002B27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08EA">
              <w:rPr>
                <w:rFonts w:ascii="Arial" w:hAnsi="Arial" w:cs="Arial"/>
                <w:color w:val="000000"/>
                <w:sz w:val="20"/>
                <w:szCs w:val="20"/>
              </w:rPr>
              <w:t>0.58%</w:t>
            </w:r>
          </w:p>
        </w:tc>
        <w:tc>
          <w:tcPr>
            <w:tcW w:w="920" w:type="dxa"/>
          </w:tcPr>
          <w:p w:rsidR="00A3108F" w:rsidRPr="000608EA" w:rsidRDefault="00A3108F" w:rsidP="002B2779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608EA">
              <w:rPr>
                <w:rFonts w:ascii="Arial" w:hAnsi="Arial" w:cs="Arial"/>
                <w:sz w:val="20"/>
                <w:szCs w:val="20"/>
                <w:lang w:val="pt-BR"/>
              </w:rPr>
              <w:t>337</w:t>
            </w:r>
          </w:p>
        </w:tc>
        <w:tc>
          <w:tcPr>
            <w:tcW w:w="895" w:type="dxa"/>
            <w:vAlign w:val="center"/>
          </w:tcPr>
          <w:p w:rsidR="00A3108F" w:rsidRPr="000608EA" w:rsidRDefault="00A3108F" w:rsidP="002B27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08EA">
              <w:rPr>
                <w:rFonts w:ascii="Arial" w:hAnsi="Arial" w:cs="Arial"/>
                <w:color w:val="000000"/>
                <w:sz w:val="20"/>
                <w:szCs w:val="20"/>
              </w:rPr>
              <w:t>0.52%</w:t>
            </w:r>
          </w:p>
        </w:tc>
      </w:tr>
      <w:tr w:rsidR="00A3108F" w:rsidRPr="000608EA" w:rsidTr="002B2779">
        <w:trPr>
          <w:jc w:val="center"/>
        </w:trPr>
        <w:tc>
          <w:tcPr>
            <w:tcW w:w="3897" w:type="dxa"/>
          </w:tcPr>
          <w:p w:rsidR="00A3108F" w:rsidRPr="000608EA" w:rsidRDefault="00A3108F" w:rsidP="00A3108F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608EA">
              <w:rPr>
                <w:rFonts w:ascii="Arial" w:hAnsi="Arial" w:cs="Arial"/>
                <w:sz w:val="20"/>
                <w:szCs w:val="20"/>
                <w:lang w:val="pt-BR"/>
              </w:rPr>
              <w:t>FIDIS BM</w:t>
            </w:r>
          </w:p>
        </w:tc>
        <w:tc>
          <w:tcPr>
            <w:tcW w:w="1200" w:type="dxa"/>
          </w:tcPr>
          <w:p w:rsidR="00A3108F" w:rsidRPr="000608EA" w:rsidRDefault="00A3108F" w:rsidP="002B2779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608EA">
              <w:rPr>
                <w:rFonts w:ascii="Arial" w:hAnsi="Arial" w:cs="Arial"/>
                <w:sz w:val="20"/>
                <w:szCs w:val="20"/>
                <w:lang w:val="pt-BR"/>
              </w:rPr>
              <w:t>499</w:t>
            </w:r>
          </w:p>
        </w:tc>
        <w:tc>
          <w:tcPr>
            <w:tcW w:w="1006" w:type="dxa"/>
            <w:vAlign w:val="center"/>
          </w:tcPr>
          <w:p w:rsidR="00A3108F" w:rsidRPr="000608EA" w:rsidRDefault="00A3108F" w:rsidP="002B27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08EA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0.43%</w:t>
            </w:r>
          </w:p>
        </w:tc>
        <w:tc>
          <w:tcPr>
            <w:tcW w:w="920" w:type="dxa"/>
          </w:tcPr>
          <w:p w:rsidR="00A3108F" w:rsidRPr="000608EA" w:rsidRDefault="00A3108F" w:rsidP="002B2779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proofErr w:type="gramStart"/>
            <w:r w:rsidRPr="000608EA">
              <w:rPr>
                <w:rFonts w:ascii="Arial" w:hAnsi="Arial" w:cs="Arial"/>
                <w:sz w:val="20"/>
                <w:szCs w:val="20"/>
                <w:lang w:val="pt-BR"/>
              </w:rPr>
              <w:t>0</w:t>
            </w:r>
            <w:proofErr w:type="gramEnd"/>
          </w:p>
        </w:tc>
        <w:tc>
          <w:tcPr>
            <w:tcW w:w="895" w:type="dxa"/>
            <w:vAlign w:val="center"/>
          </w:tcPr>
          <w:p w:rsidR="00A3108F" w:rsidRPr="000608EA" w:rsidRDefault="00A3108F" w:rsidP="002B27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08EA">
              <w:rPr>
                <w:rFonts w:ascii="Arial" w:hAnsi="Arial" w:cs="Arial"/>
                <w:color w:val="000000"/>
                <w:sz w:val="20"/>
                <w:szCs w:val="20"/>
              </w:rPr>
              <w:t>0.00%</w:t>
            </w:r>
          </w:p>
        </w:tc>
      </w:tr>
      <w:tr w:rsidR="00A3108F" w:rsidRPr="000608EA" w:rsidTr="002B2779">
        <w:trPr>
          <w:jc w:val="center"/>
        </w:trPr>
        <w:tc>
          <w:tcPr>
            <w:tcW w:w="3897" w:type="dxa"/>
          </w:tcPr>
          <w:p w:rsidR="00A3108F" w:rsidRPr="000608EA" w:rsidRDefault="00A3108F" w:rsidP="00A3108F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608EA">
              <w:rPr>
                <w:rFonts w:ascii="Arial" w:hAnsi="Arial" w:cs="Arial"/>
                <w:sz w:val="20"/>
                <w:szCs w:val="20"/>
                <w:lang w:val="pt-BR"/>
              </w:rPr>
              <w:t xml:space="preserve">PINE BM </w:t>
            </w:r>
          </w:p>
        </w:tc>
        <w:tc>
          <w:tcPr>
            <w:tcW w:w="1200" w:type="dxa"/>
          </w:tcPr>
          <w:p w:rsidR="00A3108F" w:rsidRPr="000608EA" w:rsidRDefault="00A3108F" w:rsidP="002B2779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608EA">
              <w:rPr>
                <w:rFonts w:ascii="Arial" w:hAnsi="Arial" w:cs="Arial"/>
                <w:sz w:val="20"/>
                <w:szCs w:val="20"/>
                <w:lang w:val="pt-BR"/>
              </w:rPr>
              <w:t>490</w:t>
            </w:r>
          </w:p>
        </w:tc>
        <w:tc>
          <w:tcPr>
            <w:tcW w:w="1006" w:type="dxa"/>
            <w:vAlign w:val="center"/>
          </w:tcPr>
          <w:p w:rsidR="00A3108F" w:rsidRPr="000608EA" w:rsidRDefault="00A3108F" w:rsidP="002B27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08EA">
              <w:rPr>
                <w:rFonts w:ascii="Arial" w:hAnsi="Arial" w:cs="Arial"/>
                <w:color w:val="000000"/>
                <w:sz w:val="20"/>
                <w:szCs w:val="20"/>
              </w:rPr>
              <w:t>0.42%</w:t>
            </w:r>
          </w:p>
        </w:tc>
        <w:tc>
          <w:tcPr>
            <w:tcW w:w="920" w:type="dxa"/>
          </w:tcPr>
          <w:p w:rsidR="00A3108F" w:rsidRPr="000608EA" w:rsidRDefault="00A3108F" w:rsidP="002B2779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608EA">
              <w:rPr>
                <w:rFonts w:ascii="Arial" w:hAnsi="Arial" w:cs="Arial"/>
                <w:sz w:val="20"/>
                <w:szCs w:val="20"/>
                <w:lang w:val="pt-BR"/>
              </w:rPr>
              <w:t>244</w:t>
            </w:r>
          </w:p>
        </w:tc>
        <w:tc>
          <w:tcPr>
            <w:tcW w:w="895" w:type="dxa"/>
            <w:vAlign w:val="center"/>
          </w:tcPr>
          <w:p w:rsidR="00A3108F" w:rsidRPr="000608EA" w:rsidRDefault="00A3108F" w:rsidP="002B27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08EA">
              <w:rPr>
                <w:rFonts w:ascii="Arial" w:hAnsi="Arial" w:cs="Arial"/>
                <w:color w:val="000000"/>
                <w:sz w:val="20"/>
                <w:szCs w:val="20"/>
              </w:rPr>
              <w:t>0.37%</w:t>
            </w:r>
          </w:p>
        </w:tc>
      </w:tr>
      <w:tr w:rsidR="0069378A" w:rsidRPr="000608EA" w:rsidTr="002B2779">
        <w:trPr>
          <w:jc w:val="center"/>
        </w:trPr>
        <w:tc>
          <w:tcPr>
            <w:tcW w:w="3897" w:type="dxa"/>
          </w:tcPr>
          <w:p w:rsidR="0069378A" w:rsidRPr="000608EA" w:rsidRDefault="0069378A" w:rsidP="00A3108F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608EA">
              <w:rPr>
                <w:rFonts w:ascii="Arial" w:hAnsi="Arial" w:cs="Arial"/>
                <w:sz w:val="20"/>
                <w:szCs w:val="20"/>
                <w:lang w:val="pt-BR"/>
              </w:rPr>
              <w:t>BANCOOB</w:t>
            </w:r>
          </w:p>
        </w:tc>
        <w:tc>
          <w:tcPr>
            <w:tcW w:w="1200" w:type="dxa"/>
          </w:tcPr>
          <w:p w:rsidR="0069378A" w:rsidRPr="000608EA" w:rsidRDefault="0069378A" w:rsidP="002B2779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608EA">
              <w:rPr>
                <w:rFonts w:ascii="Arial" w:hAnsi="Arial" w:cs="Arial"/>
                <w:sz w:val="20"/>
                <w:szCs w:val="20"/>
                <w:lang w:val="pt-BR"/>
              </w:rPr>
              <w:t>483</w:t>
            </w:r>
          </w:p>
        </w:tc>
        <w:tc>
          <w:tcPr>
            <w:tcW w:w="1006" w:type="dxa"/>
            <w:vAlign w:val="center"/>
          </w:tcPr>
          <w:p w:rsidR="0069378A" w:rsidRPr="000608EA" w:rsidRDefault="0069378A" w:rsidP="002B27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08EA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0.42%</w:t>
            </w:r>
          </w:p>
        </w:tc>
        <w:tc>
          <w:tcPr>
            <w:tcW w:w="920" w:type="dxa"/>
          </w:tcPr>
          <w:p w:rsidR="0069378A" w:rsidRPr="000608EA" w:rsidRDefault="0069378A" w:rsidP="002B2779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608EA">
              <w:rPr>
                <w:rFonts w:ascii="Arial" w:hAnsi="Arial" w:cs="Arial"/>
                <w:sz w:val="20"/>
                <w:szCs w:val="20"/>
                <w:lang w:val="pt-BR"/>
              </w:rPr>
              <w:t>542</w:t>
            </w:r>
          </w:p>
        </w:tc>
        <w:tc>
          <w:tcPr>
            <w:tcW w:w="895" w:type="dxa"/>
            <w:vAlign w:val="center"/>
          </w:tcPr>
          <w:p w:rsidR="0069378A" w:rsidRPr="000608EA" w:rsidRDefault="0069378A" w:rsidP="002B27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08EA">
              <w:rPr>
                <w:rFonts w:ascii="Arial" w:hAnsi="Arial" w:cs="Arial"/>
                <w:color w:val="000000"/>
                <w:sz w:val="20"/>
                <w:szCs w:val="20"/>
              </w:rPr>
              <w:t>0.83%</w:t>
            </w:r>
          </w:p>
        </w:tc>
      </w:tr>
      <w:tr w:rsidR="00A3108F" w:rsidRPr="000608EA" w:rsidTr="002B2779">
        <w:trPr>
          <w:jc w:val="center"/>
        </w:trPr>
        <w:tc>
          <w:tcPr>
            <w:tcW w:w="3897" w:type="dxa"/>
          </w:tcPr>
          <w:p w:rsidR="00A3108F" w:rsidRPr="000608EA" w:rsidRDefault="00A3108F" w:rsidP="00A3108F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608EA">
              <w:rPr>
                <w:rFonts w:ascii="Arial" w:hAnsi="Arial" w:cs="Arial"/>
                <w:sz w:val="20"/>
                <w:szCs w:val="20"/>
                <w:lang w:val="pt-BR"/>
              </w:rPr>
              <w:t xml:space="preserve">CRESOL BASER </w:t>
            </w:r>
          </w:p>
        </w:tc>
        <w:tc>
          <w:tcPr>
            <w:tcW w:w="1200" w:type="dxa"/>
          </w:tcPr>
          <w:p w:rsidR="00A3108F" w:rsidRPr="000608EA" w:rsidRDefault="00A3108F" w:rsidP="002B2779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608EA">
              <w:rPr>
                <w:rFonts w:ascii="Arial" w:hAnsi="Arial" w:cs="Arial"/>
                <w:sz w:val="20"/>
                <w:szCs w:val="20"/>
                <w:lang w:val="pt-BR"/>
              </w:rPr>
              <w:t>467</w:t>
            </w:r>
          </w:p>
        </w:tc>
        <w:tc>
          <w:tcPr>
            <w:tcW w:w="1006" w:type="dxa"/>
            <w:vAlign w:val="center"/>
          </w:tcPr>
          <w:p w:rsidR="00A3108F" w:rsidRPr="000608EA" w:rsidRDefault="00A3108F" w:rsidP="002B27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08EA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0.40%</w:t>
            </w:r>
          </w:p>
        </w:tc>
        <w:tc>
          <w:tcPr>
            <w:tcW w:w="920" w:type="dxa"/>
          </w:tcPr>
          <w:p w:rsidR="00A3108F" w:rsidRPr="000608EA" w:rsidRDefault="00A3108F" w:rsidP="002B2779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608EA">
              <w:rPr>
                <w:rFonts w:ascii="Arial" w:hAnsi="Arial" w:cs="Arial"/>
                <w:sz w:val="20"/>
                <w:szCs w:val="20"/>
                <w:lang w:val="pt-BR"/>
              </w:rPr>
              <w:t>649</w:t>
            </w:r>
          </w:p>
        </w:tc>
        <w:tc>
          <w:tcPr>
            <w:tcW w:w="895" w:type="dxa"/>
            <w:vAlign w:val="center"/>
          </w:tcPr>
          <w:p w:rsidR="00A3108F" w:rsidRPr="000608EA" w:rsidRDefault="00A3108F" w:rsidP="002B27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08EA">
              <w:rPr>
                <w:rFonts w:ascii="Arial" w:hAnsi="Arial" w:cs="Arial"/>
                <w:color w:val="000000"/>
                <w:sz w:val="20"/>
                <w:szCs w:val="20"/>
              </w:rPr>
              <w:t>0.99%</w:t>
            </w:r>
          </w:p>
        </w:tc>
      </w:tr>
      <w:tr w:rsidR="0069378A" w:rsidRPr="000608EA" w:rsidTr="002B2779">
        <w:trPr>
          <w:jc w:val="center"/>
        </w:trPr>
        <w:tc>
          <w:tcPr>
            <w:tcW w:w="3897" w:type="dxa"/>
          </w:tcPr>
          <w:p w:rsidR="0069378A" w:rsidRPr="000608EA" w:rsidRDefault="0069378A" w:rsidP="00A3108F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608EA">
              <w:rPr>
                <w:rFonts w:ascii="Arial" w:hAnsi="Arial" w:cs="Arial"/>
                <w:sz w:val="20"/>
                <w:szCs w:val="20"/>
                <w:lang w:val="pt-BR"/>
              </w:rPr>
              <w:t xml:space="preserve">ALFA BI </w:t>
            </w:r>
          </w:p>
        </w:tc>
        <w:tc>
          <w:tcPr>
            <w:tcW w:w="1200" w:type="dxa"/>
          </w:tcPr>
          <w:p w:rsidR="0069378A" w:rsidRPr="000608EA" w:rsidRDefault="0069378A" w:rsidP="002B2779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608EA">
              <w:rPr>
                <w:rFonts w:ascii="Arial" w:hAnsi="Arial" w:cs="Arial"/>
                <w:sz w:val="20"/>
                <w:szCs w:val="20"/>
                <w:lang w:val="pt-BR"/>
              </w:rPr>
              <w:t>452</w:t>
            </w:r>
          </w:p>
        </w:tc>
        <w:tc>
          <w:tcPr>
            <w:tcW w:w="1006" w:type="dxa"/>
            <w:vAlign w:val="center"/>
          </w:tcPr>
          <w:p w:rsidR="0069378A" w:rsidRPr="000608EA" w:rsidRDefault="0069378A" w:rsidP="002B27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08EA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0.39%</w:t>
            </w:r>
          </w:p>
        </w:tc>
        <w:tc>
          <w:tcPr>
            <w:tcW w:w="920" w:type="dxa"/>
          </w:tcPr>
          <w:p w:rsidR="0069378A" w:rsidRPr="000608EA" w:rsidRDefault="0069378A" w:rsidP="002B2779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608EA">
              <w:rPr>
                <w:rFonts w:ascii="Arial" w:hAnsi="Arial" w:cs="Arial"/>
                <w:sz w:val="20"/>
                <w:szCs w:val="20"/>
                <w:lang w:val="pt-BR"/>
              </w:rPr>
              <w:t>413</w:t>
            </w:r>
          </w:p>
        </w:tc>
        <w:tc>
          <w:tcPr>
            <w:tcW w:w="895" w:type="dxa"/>
            <w:vAlign w:val="center"/>
          </w:tcPr>
          <w:p w:rsidR="0069378A" w:rsidRPr="000608EA" w:rsidRDefault="0069378A" w:rsidP="002B27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08EA">
              <w:rPr>
                <w:rFonts w:ascii="Arial" w:hAnsi="Arial" w:cs="Arial"/>
                <w:color w:val="000000"/>
                <w:sz w:val="20"/>
                <w:szCs w:val="20"/>
              </w:rPr>
              <w:t>0.63%</w:t>
            </w:r>
          </w:p>
        </w:tc>
      </w:tr>
      <w:tr w:rsidR="00A3108F" w:rsidRPr="000608EA" w:rsidTr="002B2779">
        <w:trPr>
          <w:jc w:val="center"/>
        </w:trPr>
        <w:tc>
          <w:tcPr>
            <w:tcW w:w="3897" w:type="dxa"/>
          </w:tcPr>
          <w:p w:rsidR="00A3108F" w:rsidRPr="000608EA" w:rsidRDefault="00A3108F" w:rsidP="00A3108F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608EA">
              <w:rPr>
                <w:rFonts w:ascii="Arial" w:hAnsi="Arial" w:cs="Arial"/>
                <w:sz w:val="20"/>
                <w:szCs w:val="20"/>
                <w:lang w:val="pt-BR"/>
              </w:rPr>
              <w:t>BTG PACTUAL</w:t>
            </w:r>
          </w:p>
        </w:tc>
        <w:tc>
          <w:tcPr>
            <w:tcW w:w="1200" w:type="dxa"/>
          </w:tcPr>
          <w:p w:rsidR="00A3108F" w:rsidRPr="000608EA" w:rsidRDefault="00A3108F" w:rsidP="002B2779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608EA">
              <w:rPr>
                <w:rFonts w:ascii="Arial" w:hAnsi="Arial" w:cs="Arial"/>
                <w:sz w:val="20"/>
                <w:szCs w:val="20"/>
                <w:lang w:val="pt-BR"/>
              </w:rPr>
              <w:t>443</w:t>
            </w:r>
          </w:p>
        </w:tc>
        <w:tc>
          <w:tcPr>
            <w:tcW w:w="1006" w:type="dxa"/>
            <w:vAlign w:val="center"/>
          </w:tcPr>
          <w:p w:rsidR="00A3108F" w:rsidRPr="000608EA" w:rsidRDefault="00A3108F" w:rsidP="002B27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08EA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0.38%</w:t>
            </w:r>
          </w:p>
        </w:tc>
        <w:tc>
          <w:tcPr>
            <w:tcW w:w="920" w:type="dxa"/>
          </w:tcPr>
          <w:p w:rsidR="00A3108F" w:rsidRPr="000608EA" w:rsidRDefault="00A3108F" w:rsidP="002B2779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608EA">
              <w:rPr>
                <w:rFonts w:ascii="Arial" w:hAnsi="Arial" w:cs="Arial"/>
                <w:sz w:val="20"/>
                <w:szCs w:val="20"/>
                <w:lang w:val="pt-BR"/>
              </w:rPr>
              <w:t>461</w:t>
            </w:r>
          </w:p>
        </w:tc>
        <w:tc>
          <w:tcPr>
            <w:tcW w:w="895" w:type="dxa"/>
            <w:vAlign w:val="center"/>
          </w:tcPr>
          <w:p w:rsidR="00A3108F" w:rsidRPr="000608EA" w:rsidRDefault="00A3108F" w:rsidP="002B27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08EA">
              <w:rPr>
                <w:rFonts w:ascii="Arial" w:hAnsi="Arial" w:cs="Arial"/>
                <w:color w:val="000000"/>
                <w:sz w:val="20"/>
                <w:szCs w:val="20"/>
              </w:rPr>
              <w:t>0.71%</w:t>
            </w:r>
          </w:p>
        </w:tc>
      </w:tr>
      <w:tr w:rsidR="00A3108F" w:rsidRPr="000608EA" w:rsidTr="002B2779">
        <w:trPr>
          <w:jc w:val="center"/>
        </w:trPr>
        <w:tc>
          <w:tcPr>
            <w:tcW w:w="3897" w:type="dxa"/>
          </w:tcPr>
          <w:p w:rsidR="00A3108F" w:rsidRPr="000608EA" w:rsidRDefault="00A3108F" w:rsidP="00A3108F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608EA">
              <w:rPr>
                <w:rFonts w:ascii="Arial" w:hAnsi="Arial" w:cs="Arial"/>
                <w:sz w:val="20"/>
                <w:szCs w:val="20"/>
                <w:lang w:val="pt-BR"/>
              </w:rPr>
              <w:t xml:space="preserve">RODOBENS BM </w:t>
            </w:r>
          </w:p>
        </w:tc>
        <w:tc>
          <w:tcPr>
            <w:tcW w:w="1200" w:type="dxa"/>
          </w:tcPr>
          <w:p w:rsidR="00A3108F" w:rsidRPr="000608EA" w:rsidRDefault="00A3108F" w:rsidP="002B2779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608EA">
              <w:rPr>
                <w:rFonts w:ascii="Arial" w:hAnsi="Arial" w:cs="Arial"/>
                <w:sz w:val="20"/>
                <w:szCs w:val="20"/>
                <w:lang w:val="pt-BR"/>
              </w:rPr>
              <w:t>322</w:t>
            </w:r>
          </w:p>
        </w:tc>
        <w:tc>
          <w:tcPr>
            <w:tcW w:w="1006" w:type="dxa"/>
            <w:vAlign w:val="center"/>
          </w:tcPr>
          <w:p w:rsidR="00A3108F" w:rsidRPr="000608EA" w:rsidRDefault="00A3108F" w:rsidP="002B27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08EA">
              <w:rPr>
                <w:rFonts w:ascii="Arial" w:hAnsi="Arial" w:cs="Arial"/>
                <w:color w:val="000000"/>
                <w:sz w:val="20"/>
                <w:szCs w:val="20"/>
              </w:rPr>
              <w:t>0.28%</w:t>
            </w:r>
          </w:p>
        </w:tc>
        <w:tc>
          <w:tcPr>
            <w:tcW w:w="920" w:type="dxa"/>
          </w:tcPr>
          <w:p w:rsidR="00A3108F" w:rsidRPr="000608EA" w:rsidRDefault="00A3108F" w:rsidP="002B2779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608EA">
              <w:rPr>
                <w:rFonts w:ascii="Arial" w:hAnsi="Arial" w:cs="Arial"/>
                <w:sz w:val="20"/>
                <w:szCs w:val="20"/>
                <w:lang w:val="pt-BR"/>
              </w:rPr>
              <w:t>125</w:t>
            </w:r>
          </w:p>
        </w:tc>
        <w:tc>
          <w:tcPr>
            <w:tcW w:w="895" w:type="dxa"/>
            <w:vAlign w:val="center"/>
          </w:tcPr>
          <w:p w:rsidR="00A3108F" w:rsidRPr="000608EA" w:rsidRDefault="00A3108F" w:rsidP="002B27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08EA">
              <w:rPr>
                <w:rFonts w:ascii="Arial" w:hAnsi="Arial" w:cs="Arial"/>
                <w:color w:val="000000"/>
                <w:sz w:val="20"/>
                <w:szCs w:val="20"/>
              </w:rPr>
              <w:t>0.19%</w:t>
            </w:r>
          </w:p>
        </w:tc>
      </w:tr>
      <w:tr w:rsidR="00A3108F" w:rsidRPr="000608EA" w:rsidTr="002B2779">
        <w:trPr>
          <w:jc w:val="center"/>
        </w:trPr>
        <w:tc>
          <w:tcPr>
            <w:tcW w:w="3897" w:type="dxa"/>
          </w:tcPr>
          <w:p w:rsidR="00A3108F" w:rsidRPr="000608EA" w:rsidRDefault="00A3108F" w:rsidP="00A3108F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608EA">
              <w:rPr>
                <w:rFonts w:ascii="Arial" w:hAnsi="Arial" w:cs="Arial"/>
                <w:sz w:val="20"/>
                <w:szCs w:val="20"/>
                <w:lang w:val="pt-BR"/>
              </w:rPr>
              <w:t xml:space="preserve">SAFRA BM </w:t>
            </w:r>
          </w:p>
        </w:tc>
        <w:tc>
          <w:tcPr>
            <w:tcW w:w="1200" w:type="dxa"/>
          </w:tcPr>
          <w:p w:rsidR="00A3108F" w:rsidRPr="000608EA" w:rsidRDefault="00A3108F" w:rsidP="002B2779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608EA">
              <w:rPr>
                <w:rFonts w:ascii="Arial" w:hAnsi="Arial" w:cs="Arial"/>
                <w:sz w:val="20"/>
                <w:szCs w:val="20"/>
                <w:lang w:val="pt-BR"/>
              </w:rPr>
              <w:t>297</w:t>
            </w:r>
          </w:p>
        </w:tc>
        <w:tc>
          <w:tcPr>
            <w:tcW w:w="1006" w:type="dxa"/>
            <w:vAlign w:val="center"/>
          </w:tcPr>
          <w:p w:rsidR="00A3108F" w:rsidRPr="000608EA" w:rsidRDefault="00A3108F" w:rsidP="002B27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08EA">
              <w:rPr>
                <w:rFonts w:ascii="Arial" w:hAnsi="Arial" w:cs="Arial"/>
                <w:color w:val="000000"/>
                <w:sz w:val="20"/>
                <w:szCs w:val="20"/>
              </w:rPr>
              <w:t>0.26%</w:t>
            </w:r>
          </w:p>
        </w:tc>
        <w:tc>
          <w:tcPr>
            <w:tcW w:w="920" w:type="dxa"/>
          </w:tcPr>
          <w:p w:rsidR="00A3108F" w:rsidRPr="000608EA" w:rsidRDefault="00A3108F" w:rsidP="002B2779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608EA">
              <w:rPr>
                <w:rFonts w:ascii="Arial" w:hAnsi="Arial" w:cs="Arial"/>
                <w:sz w:val="20"/>
                <w:szCs w:val="20"/>
                <w:lang w:val="pt-BR"/>
              </w:rPr>
              <w:t>678</w:t>
            </w:r>
          </w:p>
        </w:tc>
        <w:tc>
          <w:tcPr>
            <w:tcW w:w="895" w:type="dxa"/>
            <w:vAlign w:val="center"/>
          </w:tcPr>
          <w:p w:rsidR="00A3108F" w:rsidRPr="000608EA" w:rsidRDefault="00A3108F" w:rsidP="002B27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08EA">
              <w:rPr>
                <w:rFonts w:ascii="Arial" w:hAnsi="Arial" w:cs="Arial"/>
                <w:color w:val="000000"/>
                <w:sz w:val="20"/>
                <w:szCs w:val="20"/>
              </w:rPr>
              <w:t>1.04%</w:t>
            </w:r>
          </w:p>
        </w:tc>
      </w:tr>
      <w:tr w:rsidR="00A3108F" w:rsidRPr="000608EA" w:rsidTr="002B2779">
        <w:trPr>
          <w:jc w:val="center"/>
        </w:trPr>
        <w:tc>
          <w:tcPr>
            <w:tcW w:w="3897" w:type="dxa"/>
          </w:tcPr>
          <w:p w:rsidR="00A3108F" w:rsidRPr="000608EA" w:rsidRDefault="00A3108F" w:rsidP="00A3108F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608EA">
              <w:rPr>
                <w:rFonts w:ascii="Arial" w:hAnsi="Arial" w:cs="Arial"/>
                <w:sz w:val="20"/>
                <w:szCs w:val="20"/>
                <w:lang w:val="pt-BR"/>
              </w:rPr>
              <w:t xml:space="preserve">MONEO BM </w:t>
            </w:r>
          </w:p>
        </w:tc>
        <w:tc>
          <w:tcPr>
            <w:tcW w:w="1200" w:type="dxa"/>
          </w:tcPr>
          <w:p w:rsidR="00A3108F" w:rsidRPr="000608EA" w:rsidRDefault="00A3108F" w:rsidP="002B2779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608EA">
              <w:rPr>
                <w:rFonts w:ascii="Arial" w:hAnsi="Arial" w:cs="Arial"/>
                <w:sz w:val="20"/>
                <w:szCs w:val="20"/>
                <w:lang w:val="pt-BR"/>
              </w:rPr>
              <w:t>287</w:t>
            </w:r>
          </w:p>
        </w:tc>
        <w:tc>
          <w:tcPr>
            <w:tcW w:w="1006" w:type="dxa"/>
            <w:vAlign w:val="center"/>
          </w:tcPr>
          <w:p w:rsidR="00A3108F" w:rsidRPr="000608EA" w:rsidRDefault="00A3108F" w:rsidP="002B27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08EA">
              <w:rPr>
                <w:rFonts w:ascii="Arial" w:hAnsi="Arial" w:cs="Arial"/>
                <w:color w:val="000000"/>
                <w:sz w:val="20"/>
                <w:szCs w:val="20"/>
              </w:rPr>
              <w:t>0.25%</w:t>
            </w:r>
          </w:p>
        </w:tc>
        <w:tc>
          <w:tcPr>
            <w:tcW w:w="920" w:type="dxa"/>
          </w:tcPr>
          <w:p w:rsidR="00A3108F" w:rsidRPr="000608EA" w:rsidRDefault="00A3108F" w:rsidP="002B2779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608EA">
              <w:rPr>
                <w:rFonts w:ascii="Arial" w:hAnsi="Arial" w:cs="Arial"/>
                <w:sz w:val="20"/>
                <w:szCs w:val="20"/>
                <w:lang w:val="pt-BR"/>
              </w:rPr>
              <w:t>199</w:t>
            </w:r>
          </w:p>
        </w:tc>
        <w:tc>
          <w:tcPr>
            <w:tcW w:w="895" w:type="dxa"/>
            <w:vAlign w:val="center"/>
          </w:tcPr>
          <w:p w:rsidR="00A3108F" w:rsidRPr="000608EA" w:rsidRDefault="00A3108F" w:rsidP="002B27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08EA">
              <w:rPr>
                <w:rFonts w:ascii="Arial" w:hAnsi="Arial" w:cs="Arial"/>
                <w:color w:val="000000"/>
                <w:sz w:val="20"/>
                <w:szCs w:val="20"/>
              </w:rPr>
              <w:t>0.30%</w:t>
            </w:r>
          </w:p>
        </w:tc>
      </w:tr>
      <w:tr w:rsidR="00A3108F" w:rsidRPr="000608EA" w:rsidTr="002B2779">
        <w:trPr>
          <w:jc w:val="center"/>
        </w:trPr>
        <w:tc>
          <w:tcPr>
            <w:tcW w:w="3897" w:type="dxa"/>
          </w:tcPr>
          <w:p w:rsidR="00A3108F" w:rsidRPr="000608EA" w:rsidRDefault="00A3108F" w:rsidP="00A3108F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608EA">
              <w:rPr>
                <w:rFonts w:ascii="Arial" w:hAnsi="Arial" w:cs="Arial"/>
                <w:sz w:val="20"/>
                <w:szCs w:val="20"/>
                <w:lang w:val="pt-BR"/>
              </w:rPr>
              <w:t xml:space="preserve">CRESOL SC-RS </w:t>
            </w:r>
          </w:p>
        </w:tc>
        <w:tc>
          <w:tcPr>
            <w:tcW w:w="1200" w:type="dxa"/>
          </w:tcPr>
          <w:p w:rsidR="00A3108F" w:rsidRPr="000608EA" w:rsidRDefault="00A3108F" w:rsidP="002B2779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608EA">
              <w:rPr>
                <w:rFonts w:ascii="Arial" w:hAnsi="Arial" w:cs="Arial"/>
                <w:sz w:val="20"/>
                <w:szCs w:val="20"/>
                <w:lang w:val="pt-BR"/>
              </w:rPr>
              <w:t>220</w:t>
            </w:r>
          </w:p>
        </w:tc>
        <w:tc>
          <w:tcPr>
            <w:tcW w:w="1006" w:type="dxa"/>
            <w:vAlign w:val="center"/>
          </w:tcPr>
          <w:p w:rsidR="00A3108F" w:rsidRPr="000608EA" w:rsidRDefault="00A3108F" w:rsidP="002B27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08EA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0.19%</w:t>
            </w:r>
          </w:p>
        </w:tc>
        <w:tc>
          <w:tcPr>
            <w:tcW w:w="920" w:type="dxa"/>
          </w:tcPr>
          <w:p w:rsidR="00A3108F" w:rsidRPr="000608EA" w:rsidRDefault="00A3108F" w:rsidP="002B2779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608EA">
              <w:rPr>
                <w:rFonts w:ascii="Arial" w:hAnsi="Arial" w:cs="Arial"/>
                <w:sz w:val="20"/>
                <w:szCs w:val="20"/>
                <w:lang w:val="pt-BR"/>
              </w:rPr>
              <w:t>72</w:t>
            </w:r>
          </w:p>
        </w:tc>
        <w:tc>
          <w:tcPr>
            <w:tcW w:w="895" w:type="dxa"/>
            <w:vAlign w:val="center"/>
          </w:tcPr>
          <w:p w:rsidR="00A3108F" w:rsidRPr="000608EA" w:rsidRDefault="00A3108F" w:rsidP="002B27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08EA">
              <w:rPr>
                <w:rFonts w:ascii="Arial" w:hAnsi="Arial" w:cs="Arial"/>
                <w:color w:val="000000"/>
                <w:sz w:val="20"/>
                <w:szCs w:val="20"/>
              </w:rPr>
              <w:t>0.11%</w:t>
            </w:r>
          </w:p>
        </w:tc>
      </w:tr>
      <w:tr w:rsidR="00A3108F" w:rsidRPr="000608EA" w:rsidTr="002B2779">
        <w:trPr>
          <w:jc w:val="center"/>
        </w:trPr>
        <w:tc>
          <w:tcPr>
            <w:tcW w:w="3897" w:type="dxa"/>
          </w:tcPr>
          <w:p w:rsidR="00A3108F" w:rsidRPr="000608EA" w:rsidRDefault="00A3108F" w:rsidP="00A3108F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608EA">
              <w:rPr>
                <w:rFonts w:ascii="Arial" w:hAnsi="Arial" w:cs="Arial"/>
                <w:sz w:val="20"/>
                <w:szCs w:val="20"/>
                <w:lang w:val="pt-BR"/>
              </w:rPr>
              <w:t xml:space="preserve">BNB </w:t>
            </w:r>
          </w:p>
        </w:tc>
        <w:tc>
          <w:tcPr>
            <w:tcW w:w="1200" w:type="dxa"/>
          </w:tcPr>
          <w:p w:rsidR="00A3108F" w:rsidRPr="000608EA" w:rsidRDefault="00A3108F" w:rsidP="002B2779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608EA">
              <w:rPr>
                <w:rFonts w:ascii="Arial" w:hAnsi="Arial" w:cs="Arial"/>
                <w:sz w:val="20"/>
                <w:szCs w:val="20"/>
                <w:lang w:val="pt-BR"/>
              </w:rPr>
              <w:t>176</w:t>
            </w:r>
          </w:p>
        </w:tc>
        <w:tc>
          <w:tcPr>
            <w:tcW w:w="1006" w:type="dxa"/>
            <w:vAlign w:val="center"/>
          </w:tcPr>
          <w:p w:rsidR="00A3108F" w:rsidRPr="000608EA" w:rsidRDefault="00A3108F" w:rsidP="002B27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08EA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0.15%</w:t>
            </w:r>
          </w:p>
        </w:tc>
        <w:tc>
          <w:tcPr>
            <w:tcW w:w="920" w:type="dxa"/>
          </w:tcPr>
          <w:p w:rsidR="00A3108F" w:rsidRPr="000608EA" w:rsidRDefault="00A3108F" w:rsidP="002B2779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proofErr w:type="gramStart"/>
            <w:r w:rsidRPr="000608EA">
              <w:rPr>
                <w:rFonts w:ascii="Arial" w:hAnsi="Arial" w:cs="Arial"/>
                <w:sz w:val="20"/>
                <w:szCs w:val="20"/>
                <w:lang w:val="pt-BR"/>
              </w:rPr>
              <w:t>2</w:t>
            </w:r>
            <w:proofErr w:type="gramEnd"/>
          </w:p>
        </w:tc>
        <w:tc>
          <w:tcPr>
            <w:tcW w:w="895" w:type="dxa"/>
            <w:vAlign w:val="center"/>
          </w:tcPr>
          <w:p w:rsidR="00A3108F" w:rsidRPr="000608EA" w:rsidRDefault="00A3108F" w:rsidP="002B27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08EA">
              <w:rPr>
                <w:rFonts w:ascii="Arial" w:hAnsi="Arial" w:cs="Arial"/>
                <w:color w:val="000000"/>
                <w:sz w:val="20"/>
                <w:szCs w:val="20"/>
              </w:rPr>
              <w:t>0.00%</w:t>
            </w:r>
          </w:p>
        </w:tc>
      </w:tr>
      <w:tr w:rsidR="0069378A" w:rsidRPr="000608EA" w:rsidTr="002B2779">
        <w:trPr>
          <w:jc w:val="center"/>
        </w:trPr>
        <w:tc>
          <w:tcPr>
            <w:tcW w:w="3897" w:type="dxa"/>
          </w:tcPr>
          <w:p w:rsidR="0069378A" w:rsidRPr="000608EA" w:rsidRDefault="0069378A" w:rsidP="00A3108F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608EA">
              <w:rPr>
                <w:rFonts w:ascii="Arial" w:hAnsi="Arial" w:cs="Arial"/>
                <w:sz w:val="20"/>
                <w:szCs w:val="20"/>
                <w:lang w:val="pt-BR"/>
              </w:rPr>
              <w:t xml:space="preserve">BANDES </w:t>
            </w:r>
          </w:p>
        </w:tc>
        <w:tc>
          <w:tcPr>
            <w:tcW w:w="1200" w:type="dxa"/>
          </w:tcPr>
          <w:p w:rsidR="0069378A" w:rsidRPr="000608EA" w:rsidRDefault="0069378A" w:rsidP="002B2779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608EA">
              <w:rPr>
                <w:rFonts w:ascii="Arial" w:hAnsi="Arial" w:cs="Arial"/>
                <w:sz w:val="20"/>
                <w:szCs w:val="20"/>
                <w:lang w:val="pt-BR"/>
              </w:rPr>
              <w:t>171</w:t>
            </w:r>
          </w:p>
        </w:tc>
        <w:tc>
          <w:tcPr>
            <w:tcW w:w="1006" w:type="dxa"/>
            <w:vAlign w:val="center"/>
          </w:tcPr>
          <w:p w:rsidR="0069378A" w:rsidRPr="000608EA" w:rsidRDefault="0069378A" w:rsidP="002B27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08EA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0.15%</w:t>
            </w:r>
          </w:p>
        </w:tc>
        <w:tc>
          <w:tcPr>
            <w:tcW w:w="920" w:type="dxa"/>
          </w:tcPr>
          <w:p w:rsidR="0069378A" w:rsidRPr="000608EA" w:rsidRDefault="0069378A" w:rsidP="002B2779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608EA">
              <w:rPr>
                <w:rFonts w:ascii="Arial" w:hAnsi="Arial" w:cs="Arial"/>
                <w:sz w:val="20"/>
                <w:szCs w:val="20"/>
                <w:lang w:val="pt-BR"/>
              </w:rPr>
              <w:t>77</w:t>
            </w:r>
          </w:p>
        </w:tc>
        <w:tc>
          <w:tcPr>
            <w:tcW w:w="895" w:type="dxa"/>
            <w:vAlign w:val="center"/>
          </w:tcPr>
          <w:p w:rsidR="0069378A" w:rsidRPr="000608EA" w:rsidRDefault="0069378A" w:rsidP="002B27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08EA">
              <w:rPr>
                <w:rFonts w:ascii="Arial" w:hAnsi="Arial" w:cs="Arial"/>
                <w:color w:val="000000"/>
                <w:sz w:val="20"/>
                <w:szCs w:val="20"/>
              </w:rPr>
              <w:t>0.12%</w:t>
            </w:r>
          </w:p>
        </w:tc>
      </w:tr>
      <w:tr w:rsidR="00A3108F" w:rsidRPr="000608EA" w:rsidTr="002B2779">
        <w:trPr>
          <w:jc w:val="center"/>
        </w:trPr>
        <w:tc>
          <w:tcPr>
            <w:tcW w:w="3897" w:type="dxa"/>
          </w:tcPr>
          <w:p w:rsidR="00A3108F" w:rsidRPr="000608EA" w:rsidRDefault="00A3108F" w:rsidP="00A3108F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608EA">
              <w:rPr>
                <w:rFonts w:ascii="Arial" w:hAnsi="Arial" w:cs="Arial"/>
                <w:sz w:val="20"/>
                <w:szCs w:val="20"/>
                <w:lang w:val="pt-BR"/>
              </w:rPr>
              <w:t>RANDON BM</w:t>
            </w:r>
          </w:p>
        </w:tc>
        <w:tc>
          <w:tcPr>
            <w:tcW w:w="1200" w:type="dxa"/>
          </w:tcPr>
          <w:p w:rsidR="00A3108F" w:rsidRPr="000608EA" w:rsidRDefault="00A3108F" w:rsidP="002B2779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608EA">
              <w:rPr>
                <w:rFonts w:ascii="Arial" w:hAnsi="Arial" w:cs="Arial"/>
                <w:sz w:val="20"/>
                <w:szCs w:val="20"/>
                <w:lang w:val="pt-BR"/>
              </w:rPr>
              <w:t>153</w:t>
            </w:r>
          </w:p>
        </w:tc>
        <w:tc>
          <w:tcPr>
            <w:tcW w:w="1006" w:type="dxa"/>
            <w:vAlign w:val="center"/>
          </w:tcPr>
          <w:p w:rsidR="00A3108F" w:rsidRPr="000608EA" w:rsidRDefault="00A3108F" w:rsidP="002B27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08EA">
              <w:rPr>
                <w:rFonts w:ascii="Arial" w:hAnsi="Arial" w:cs="Arial"/>
                <w:color w:val="000000"/>
                <w:sz w:val="20"/>
                <w:szCs w:val="20"/>
              </w:rPr>
              <w:t>0.13%</w:t>
            </w:r>
          </w:p>
        </w:tc>
        <w:tc>
          <w:tcPr>
            <w:tcW w:w="920" w:type="dxa"/>
          </w:tcPr>
          <w:p w:rsidR="00A3108F" w:rsidRPr="000608EA" w:rsidRDefault="00A3108F" w:rsidP="002B2779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608EA">
              <w:rPr>
                <w:rFonts w:ascii="Arial" w:hAnsi="Arial" w:cs="Arial"/>
                <w:sz w:val="20"/>
                <w:szCs w:val="20"/>
                <w:lang w:val="pt-BR"/>
              </w:rPr>
              <w:t>60</w:t>
            </w:r>
          </w:p>
        </w:tc>
        <w:tc>
          <w:tcPr>
            <w:tcW w:w="895" w:type="dxa"/>
            <w:vAlign w:val="center"/>
          </w:tcPr>
          <w:p w:rsidR="00A3108F" w:rsidRPr="000608EA" w:rsidRDefault="00A3108F" w:rsidP="002B27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08EA">
              <w:rPr>
                <w:rFonts w:ascii="Arial" w:hAnsi="Arial" w:cs="Arial"/>
                <w:color w:val="000000"/>
                <w:sz w:val="20"/>
                <w:szCs w:val="20"/>
              </w:rPr>
              <w:t>0.09%</w:t>
            </w:r>
          </w:p>
        </w:tc>
      </w:tr>
      <w:tr w:rsidR="0069378A" w:rsidRPr="000608EA" w:rsidTr="002B2779">
        <w:trPr>
          <w:jc w:val="center"/>
        </w:trPr>
        <w:tc>
          <w:tcPr>
            <w:tcW w:w="3897" w:type="dxa"/>
          </w:tcPr>
          <w:p w:rsidR="0069378A" w:rsidRPr="000608EA" w:rsidRDefault="0069378A" w:rsidP="00A3108F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608EA">
              <w:rPr>
                <w:rFonts w:ascii="Arial" w:hAnsi="Arial" w:cs="Arial"/>
                <w:sz w:val="20"/>
                <w:szCs w:val="20"/>
                <w:lang w:val="pt-BR"/>
              </w:rPr>
              <w:t xml:space="preserve">BADESC </w:t>
            </w:r>
          </w:p>
        </w:tc>
        <w:tc>
          <w:tcPr>
            <w:tcW w:w="1200" w:type="dxa"/>
          </w:tcPr>
          <w:p w:rsidR="0069378A" w:rsidRPr="000608EA" w:rsidRDefault="0069378A" w:rsidP="002B2779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608EA">
              <w:rPr>
                <w:rFonts w:ascii="Arial" w:hAnsi="Arial" w:cs="Arial"/>
                <w:sz w:val="20"/>
                <w:szCs w:val="20"/>
                <w:lang w:val="pt-BR"/>
              </w:rPr>
              <w:t>145</w:t>
            </w:r>
          </w:p>
        </w:tc>
        <w:tc>
          <w:tcPr>
            <w:tcW w:w="1006" w:type="dxa"/>
            <w:vAlign w:val="center"/>
          </w:tcPr>
          <w:p w:rsidR="0069378A" w:rsidRPr="000608EA" w:rsidRDefault="0069378A" w:rsidP="002B27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08EA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0.12%</w:t>
            </w:r>
          </w:p>
        </w:tc>
        <w:tc>
          <w:tcPr>
            <w:tcW w:w="920" w:type="dxa"/>
          </w:tcPr>
          <w:p w:rsidR="0069378A" w:rsidRPr="000608EA" w:rsidRDefault="0069378A" w:rsidP="002B2779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608EA">
              <w:rPr>
                <w:rFonts w:ascii="Arial" w:hAnsi="Arial" w:cs="Arial"/>
                <w:sz w:val="20"/>
                <w:szCs w:val="20"/>
                <w:lang w:val="pt-BR"/>
              </w:rPr>
              <w:t>95</w:t>
            </w:r>
          </w:p>
        </w:tc>
        <w:tc>
          <w:tcPr>
            <w:tcW w:w="895" w:type="dxa"/>
            <w:vAlign w:val="center"/>
          </w:tcPr>
          <w:p w:rsidR="0069378A" w:rsidRPr="000608EA" w:rsidRDefault="0069378A" w:rsidP="002B27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08EA">
              <w:rPr>
                <w:rFonts w:ascii="Arial" w:hAnsi="Arial" w:cs="Arial"/>
                <w:color w:val="000000"/>
                <w:sz w:val="20"/>
                <w:szCs w:val="20"/>
              </w:rPr>
              <w:t>0.15%</w:t>
            </w:r>
          </w:p>
        </w:tc>
      </w:tr>
      <w:tr w:rsidR="00A3108F" w:rsidRPr="000608EA" w:rsidTr="002B2779">
        <w:trPr>
          <w:jc w:val="center"/>
        </w:trPr>
        <w:tc>
          <w:tcPr>
            <w:tcW w:w="3897" w:type="dxa"/>
          </w:tcPr>
          <w:p w:rsidR="00A3108F" w:rsidRPr="000608EA" w:rsidRDefault="00A3108F" w:rsidP="00A3108F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608EA">
              <w:rPr>
                <w:rFonts w:ascii="Arial" w:hAnsi="Arial" w:cs="Arial"/>
                <w:sz w:val="20"/>
                <w:szCs w:val="20"/>
                <w:lang w:val="pt-BR"/>
              </w:rPr>
              <w:t>DAYCOVAL BM</w:t>
            </w:r>
          </w:p>
        </w:tc>
        <w:tc>
          <w:tcPr>
            <w:tcW w:w="1200" w:type="dxa"/>
          </w:tcPr>
          <w:p w:rsidR="00A3108F" w:rsidRPr="000608EA" w:rsidRDefault="00A3108F" w:rsidP="002B2779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608EA">
              <w:rPr>
                <w:rFonts w:ascii="Arial" w:hAnsi="Arial" w:cs="Arial"/>
                <w:sz w:val="20"/>
                <w:szCs w:val="20"/>
                <w:lang w:val="pt-BR"/>
              </w:rPr>
              <w:t>144</w:t>
            </w:r>
          </w:p>
        </w:tc>
        <w:tc>
          <w:tcPr>
            <w:tcW w:w="1006" w:type="dxa"/>
            <w:vAlign w:val="center"/>
          </w:tcPr>
          <w:p w:rsidR="00A3108F" w:rsidRPr="000608EA" w:rsidRDefault="00A3108F" w:rsidP="002B27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08EA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0.12%</w:t>
            </w:r>
          </w:p>
        </w:tc>
        <w:tc>
          <w:tcPr>
            <w:tcW w:w="920" w:type="dxa"/>
          </w:tcPr>
          <w:p w:rsidR="00A3108F" w:rsidRPr="000608EA" w:rsidRDefault="00A3108F" w:rsidP="002B2779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608EA">
              <w:rPr>
                <w:rFonts w:ascii="Arial" w:hAnsi="Arial" w:cs="Arial"/>
                <w:sz w:val="20"/>
                <w:szCs w:val="20"/>
                <w:lang w:val="pt-BR"/>
              </w:rPr>
              <w:t>69</w:t>
            </w:r>
          </w:p>
        </w:tc>
        <w:tc>
          <w:tcPr>
            <w:tcW w:w="895" w:type="dxa"/>
            <w:vAlign w:val="center"/>
          </w:tcPr>
          <w:p w:rsidR="00A3108F" w:rsidRPr="000608EA" w:rsidRDefault="00A3108F" w:rsidP="002B27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08EA">
              <w:rPr>
                <w:rFonts w:ascii="Arial" w:hAnsi="Arial" w:cs="Arial"/>
                <w:color w:val="000000"/>
                <w:sz w:val="20"/>
                <w:szCs w:val="20"/>
              </w:rPr>
              <w:t>0.11%</w:t>
            </w:r>
          </w:p>
        </w:tc>
      </w:tr>
      <w:tr w:rsidR="00A3108F" w:rsidRPr="000608EA" w:rsidTr="002B2779">
        <w:trPr>
          <w:jc w:val="center"/>
        </w:trPr>
        <w:tc>
          <w:tcPr>
            <w:tcW w:w="3897" w:type="dxa"/>
          </w:tcPr>
          <w:p w:rsidR="00A3108F" w:rsidRPr="000608EA" w:rsidRDefault="00A3108F" w:rsidP="00A3108F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608EA">
              <w:rPr>
                <w:rFonts w:ascii="Arial" w:hAnsi="Arial" w:cs="Arial"/>
                <w:sz w:val="20"/>
                <w:szCs w:val="20"/>
                <w:lang w:val="pt-BR"/>
              </w:rPr>
              <w:t xml:space="preserve">BES BI </w:t>
            </w:r>
          </w:p>
        </w:tc>
        <w:tc>
          <w:tcPr>
            <w:tcW w:w="1200" w:type="dxa"/>
          </w:tcPr>
          <w:p w:rsidR="00A3108F" w:rsidRPr="000608EA" w:rsidRDefault="00A3108F" w:rsidP="002B2779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608EA">
              <w:rPr>
                <w:rFonts w:ascii="Arial" w:hAnsi="Arial" w:cs="Arial"/>
                <w:sz w:val="20"/>
                <w:szCs w:val="20"/>
                <w:lang w:val="pt-BR"/>
              </w:rPr>
              <w:t>143</w:t>
            </w:r>
          </w:p>
        </w:tc>
        <w:tc>
          <w:tcPr>
            <w:tcW w:w="1006" w:type="dxa"/>
            <w:vAlign w:val="center"/>
          </w:tcPr>
          <w:p w:rsidR="00A3108F" w:rsidRPr="000608EA" w:rsidRDefault="00A3108F" w:rsidP="002B27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08EA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0.12%</w:t>
            </w:r>
          </w:p>
        </w:tc>
        <w:tc>
          <w:tcPr>
            <w:tcW w:w="920" w:type="dxa"/>
          </w:tcPr>
          <w:p w:rsidR="00A3108F" w:rsidRPr="000608EA" w:rsidRDefault="00A3108F" w:rsidP="002B2779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608EA">
              <w:rPr>
                <w:rFonts w:ascii="Arial" w:hAnsi="Arial" w:cs="Arial"/>
                <w:sz w:val="20"/>
                <w:szCs w:val="20"/>
                <w:lang w:val="pt-BR"/>
              </w:rPr>
              <w:t>25</w:t>
            </w:r>
          </w:p>
        </w:tc>
        <w:tc>
          <w:tcPr>
            <w:tcW w:w="895" w:type="dxa"/>
            <w:vAlign w:val="center"/>
          </w:tcPr>
          <w:p w:rsidR="00A3108F" w:rsidRPr="000608EA" w:rsidRDefault="00A3108F" w:rsidP="002B27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08EA">
              <w:rPr>
                <w:rFonts w:ascii="Arial" w:hAnsi="Arial" w:cs="Arial"/>
                <w:color w:val="000000"/>
                <w:sz w:val="20"/>
                <w:szCs w:val="20"/>
              </w:rPr>
              <w:t>0.04%</w:t>
            </w:r>
          </w:p>
        </w:tc>
      </w:tr>
      <w:tr w:rsidR="00A3108F" w:rsidRPr="000608EA" w:rsidTr="002B2779">
        <w:trPr>
          <w:jc w:val="center"/>
        </w:trPr>
        <w:tc>
          <w:tcPr>
            <w:tcW w:w="3897" w:type="dxa"/>
          </w:tcPr>
          <w:p w:rsidR="00A3108F" w:rsidRPr="000608EA" w:rsidRDefault="00A3108F" w:rsidP="00A3108F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608EA">
              <w:rPr>
                <w:rFonts w:ascii="Arial" w:hAnsi="Arial" w:cs="Arial"/>
                <w:sz w:val="20"/>
                <w:szCs w:val="20"/>
                <w:lang w:val="pt-BR"/>
              </w:rPr>
              <w:t xml:space="preserve">ITAUCARD BM </w:t>
            </w:r>
          </w:p>
        </w:tc>
        <w:tc>
          <w:tcPr>
            <w:tcW w:w="1200" w:type="dxa"/>
          </w:tcPr>
          <w:p w:rsidR="00A3108F" w:rsidRPr="000608EA" w:rsidRDefault="00A3108F" w:rsidP="002B2779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608EA">
              <w:rPr>
                <w:rFonts w:ascii="Arial" w:hAnsi="Arial" w:cs="Arial"/>
                <w:sz w:val="20"/>
                <w:szCs w:val="20"/>
                <w:lang w:val="pt-BR"/>
              </w:rPr>
              <w:t>142</w:t>
            </w:r>
          </w:p>
        </w:tc>
        <w:tc>
          <w:tcPr>
            <w:tcW w:w="1006" w:type="dxa"/>
            <w:vAlign w:val="center"/>
          </w:tcPr>
          <w:p w:rsidR="00A3108F" w:rsidRPr="000608EA" w:rsidRDefault="00A3108F" w:rsidP="002B27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08EA">
              <w:rPr>
                <w:rFonts w:ascii="Arial" w:hAnsi="Arial" w:cs="Arial"/>
                <w:color w:val="000000"/>
                <w:sz w:val="20"/>
                <w:szCs w:val="20"/>
              </w:rPr>
              <w:t>0.12%</w:t>
            </w:r>
          </w:p>
        </w:tc>
        <w:tc>
          <w:tcPr>
            <w:tcW w:w="920" w:type="dxa"/>
          </w:tcPr>
          <w:p w:rsidR="00A3108F" w:rsidRPr="000608EA" w:rsidRDefault="00A3108F" w:rsidP="002B2779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608EA">
              <w:rPr>
                <w:rFonts w:ascii="Arial" w:hAnsi="Arial" w:cs="Arial"/>
                <w:sz w:val="20"/>
                <w:szCs w:val="20"/>
                <w:lang w:val="pt-BR"/>
              </w:rPr>
              <w:t>186</w:t>
            </w:r>
          </w:p>
        </w:tc>
        <w:tc>
          <w:tcPr>
            <w:tcW w:w="895" w:type="dxa"/>
            <w:vAlign w:val="center"/>
          </w:tcPr>
          <w:p w:rsidR="00A3108F" w:rsidRPr="000608EA" w:rsidRDefault="00A3108F" w:rsidP="002B27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08EA">
              <w:rPr>
                <w:rFonts w:ascii="Arial" w:hAnsi="Arial" w:cs="Arial"/>
                <w:color w:val="000000"/>
                <w:sz w:val="20"/>
                <w:szCs w:val="20"/>
              </w:rPr>
              <w:t>0.28%</w:t>
            </w:r>
          </w:p>
        </w:tc>
      </w:tr>
      <w:tr w:rsidR="00A3108F" w:rsidRPr="000608EA" w:rsidTr="002B2779">
        <w:trPr>
          <w:jc w:val="center"/>
        </w:trPr>
        <w:tc>
          <w:tcPr>
            <w:tcW w:w="3897" w:type="dxa"/>
          </w:tcPr>
          <w:p w:rsidR="00A3108F" w:rsidRPr="000608EA" w:rsidRDefault="00A3108F" w:rsidP="00A3108F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608EA">
              <w:rPr>
                <w:rFonts w:ascii="Arial" w:hAnsi="Arial" w:cs="Arial"/>
                <w:sz w:val="20"/>
                <w:szCs w:val="20"/>
                <w:lang w:val="pt-BR"/>
              </w:rPr>
              <w:t>DESNVOLVE SP</w:t>
            </w:r>
          </w:p>
        </w:tc>
        <w:tc>
          <w:tcPr>
            <w:tcW w:w="1200" w:type="dxa"/>
          </w:tcPr>
          <w:p w:rsidR="00A3108F" w:rsidRPr="000608EA" w:rsidRDefault="00A3108F" w:rsidP="002B2779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608EA">
              <w:rPr>
                <w:rFonts w:ascii="Arial" w:hAnsi="Arial" w:cs="Arial"/>
                <w:sz w:val="20"/>
                <w:szCs w:val="20"/>
                <w:lang w:val="pt-BR"/>
              </w:rPr>
              <w:t>120</w:t>
            </w:r>
          </w:p>
        </w:tc>
        <w:tc>
          <w:tcPr>
            <w:tcW w:w="1006" w:type="dxa"/>
            <w:vAlign w:val="center"/>
          </w:tcPr>
          <w:p w:rsidR="00A3108F" w:rsidRPr="000608EA" w:rsidRDefault="00A3108F" w:rsidP="002B27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08EA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0.10%</w:t>
            </w:r>
          </w:p>
        </w:tc>
        <w:tc>
          <w:tcPr>
            <w:tcW w:w="920" w:type="dxa"/>
          </w:tcPr>
          <w:p w:rsidR="00A3108F" w:rsidRPr="000608EA" w:rsidRDefault="00A3108F" w:rsidP="002B2779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608EA">
              <w:rPr>
                <w:rFonts w:ascii="Arial" w:hAnsi="Arial" w:cs="Arial"/>
                <w:sz w:val="20"/>
                <w:szCs w:val="20"/>
                <w:lang w:val="pt-BR"/>
              </w:rPr>
              <w:t>105</w:t>
            </w:r>
          </w:p>
        </w:tc>
        <w:tc>
          <w:tcPr>
            <w:tcW w:w="895" w:type="dxa"/>
            <w:vAlign w:val="center"/>
          </w:tcPr>
          <w:p w:rsidR="00A3108F" w:rsidRPr="000608EA" w:rsidRDefault="00A3108F" w:rsidP="002B27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08EA">
              <w:rPr>
                <w:rFonts w:ascii="Arial" w:hAnsi="Arial" w:cs="Arial"/>
                <w:color w:val="000000"/>
                <w:sz w:val="20"/>
                <w:szCs w:val="20"/>
              </w:rPr>
              <w:t>0.16%</w:t>
            </w:r>
          </w:p>
        </w:tc>
      </w:tr>
      <w:tr w:rsidR="00A3108F" w:rsidRPr="000608EA" w:rsidTr="002B2779">
        <w:trPr>
          <w:jc w:val="center"/>
        </w:trPr>
        <w:tc>
          <w:tcPr>
            <w:tcW w:w="3897" w:type="dxa"/>
          </w:tcPr>
          <w:p w:rsidR="00A3108F" w:rsidRPr="000608EA" w:rsidRDefault="00A3108F" w:rsidP="00A3108F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608EA">
              <w:rPr>
                <w:rFonts w:ascii="Arial" w:hAnsi="Arial" w:cs="Arial"/>
                <w:sz w:val="20"/>
                <w:szCs w:val="20"/>
                <w:lang w:val="pt-BR"/>
              </w:rPr>
              <w:t xml:space="preserve">BRB BM </w:t>
            </w:r>
          </w:p>
        </w:tc>
        <w:tc>
          <w:tcPr>
            <w:tcW w:w="1200" w:type="dxa"/>
          </w:tcPr>
          <w:p w:rsidR="00A3108F" w:rsidRPr="000608EA" w:rsidRDefault="00A3108F" w:rsidP="002B2779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608EA">
              <w:rPr>
                <w:rFonts w:ascii="Arial" w:hAnsi="Arial" w:cs="Arial"/>
                <w:sz w:val="20"/>
                <w:szCs w:val="20"/>
                <w:lang w:val="pt-BR"/>
              </w:rPr>
              <w:t>113</w:t>
            </w:r>
          </w:p>
        </w:tc>
        <w:tc>
          <w:tcPr>
            <w:tcW w:w="1006" w:type="dxa"/>
            <w:vAlign w:val="center"/>
          </w:tcPr>
          <w:p w:rsidR="00A3108F" w:rsidRPr="000608EA" w:rsidRDefault="00A3108F" w:rsidP="002B27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08EA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0.10%</w:t>
            </w:r>
          </w:p>
        </w:tc>
        <w:tc>
          <w:tcPr>
            <w:tcW w:w="920" w:type="dxa"/>
          </w:tcPr>
          <w:p w:rsidR="00A3108F" w:rsidRPr="000608EA" w:rsidRDefault="00A3108F" w:rsidP="002B2779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608EA">
              <w:rPr>
                <w:rFonts w:ascii="Arial" w:hAnsi="Arial" w:cs="Arial"/>
                <w:sz w:val="20"/>
                <w:szCs w:val="20"/>
                <w:lang w:val="pt-BR"/>
              </w:rPr>
              <w:t>62</w:t>
            </w:r>
          </w:p>
        </w:tc>
        <w:tc>
          <w:tcPr>
            <w:tcW w:w="895" w:type="dxa"/>
            <w:vAlign w:val="center"/>
          </w:tcPr>
          <w:p w:rsidR="00A3108F" w:rsidRPr="000608EA" w:rsidRDefault="00A3108F" w:rsidP="002B27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08EA">
              <w:rPr>
                <w:rFonts w:ascii="Arial" w:hAnsi="Arial" w:cs="Arial"/>
                <w:color w:val="000000"/>
                <w:sz w:val="20"/>
                <w:szCs w:val="20"/>
              </w:rPr>
              <w:t>0.09%</w:t>
            </w:r>
          </w:p>
        </w:tc>
      </w:tr>
      <w:tr w:rsidR="0069378A" w:rsidRPr="000608EA" w:rsidTr="002B2779">
        <w:trPr>
          <w:jc w:val="center"/>
        </w:trPr>
        <w:tc>
          <w:tcPr>
            <w:tcW w:w="3897" w:type="dxa"/>
          </w:tcPr>
          <w:p w:rsidR="0069378A" w:rsidRPr="000608EA" w:rsidRDefault="0069378A" w:rsidP="00A3108F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608EA">
              <w:rPr>
                <w:rFonts w:ascii="Arial" w:hAnsi="Arial" w:cs="Arial"/>
                <w:sz w:val="20"/>
                <w:szCs w:val="20"/>
                <w:lang w:val="pt-BR"/>
              </w:rPr>
              <w:t>BANESTES</w:t>
            </w:r>
          </w:p>
        </w:tc>
        <w:tc>
          <w:tcPr>
            <w:tcW w:w="1200" w:type="dxa"/>
          </w:tcPr>
          <w:p w:rsidR="0069378A" w:rsidRPr="000608EA" w:rsidRDefault="0069378A" w:rsidP="002B2779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608EA">
              <w:rPr>
                <w:rFonts w:ascii="Arial" w:hAnsi="Arial" w:cs="Arial"/>
                <w:sz w:val="20"/>
                <w:szCs w:val="20"/>
                <w:lang w:val="pt-BR"/>
              </w:rPr>
              <w:t>106</w:t>
            </w:r>
          </w:p>
        </w:tc>
        <w:tc>
          <w:tcPr>
            <w:tcW w:w="1006" w:type="dxa"/>
            <w:vAlign w:val="center"/>
          </w:tcPr>
          <w:p w:rsidR="0069378A" w:rsidRPr="000608EA" w:rsidRDefault="0069378A" w:rsidP="002B27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08EA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0.09%</w:t>
            </w:r>
          </w:p>
        </w:tc>
        <w:tc>
          <w:tcPr>
            <w:tcW w:w="920" w:type="dxa"/>
          </w:tcPr>
          <w:p w:rsidR="0069378A" w:rsidRPr="000608EA" w:rsidRDefault="0069378A" w:rsidP="002B2779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608EA">
              <w:rPr>
                <w:rFonts w:ascii="Arial" w:hAnsi="Arial" w:cs="Arial"/>
                <w:sz w:val="20"/>
                <w:szCs w:val="20"/>
                <w:lang w:val="pt-BR"/>
              </w:rPr>
              <w:t>21</w:t>
            </w:r>
          </w:p>
        </w:tc>
        <w:tc>
          <w:tcPr>
            <w:tcW w:w="895" w:type="dxa"/>
            <w:vAlign w:val="center"/>
          </w:tcPr>
          <w:p w:rsidR="0069378A" w:rsidRPr="000608EA" w:rsidRDefault="0069378A" w:rsidP="002B27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08EA">
              <w:rPr>
                <w:rFonts w:ascii="Arial" w:hAnsi="Arial" w:cs="Arial"/>
                <w:color w:val="000000"/>
                <w:sz w:val="20"/>
                <w:szCs w:val="20"/>
              </w:rPr>
              <w:t>0.03%</w:t>
            </w:r>
          </w:p>
        </w:tc>
      </w:tr>
      <w:tr w:rsidR="00A3108F" w:rsidRPr="000608EA" w:rsidTr="002B2779">
        <w:trPr>
          <w:jc w:val="center"/>
        </w:trPr>
        <w:tc>
          <w:tcPr>
            <w:tcW w:w="3897" w:type="dxa"/>
          </w:tcPr>
          <w:p w:rsidR="00A3108F" w:rsidRPr="000608EA" w:rsidRDefault="00A3108F" w:rsidP="00A3108F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608EA">
              <w:rPr>
                <w:rFonts w:ascii="Arial" w:hAnsi="Arial" w:cs="Arial"/>
                <w:sz w:val="20"/>
                <w:szCs w:val="20"/>
                <w:lang w:val="pt-BR"/>
              </w:rPr>
              <w:t xml:space="preserve">CITIBANK BM </w:t>
            </w:r>
          </w:p>
        </w:tc>
        <w:tc>
          <w:tcPr>
            <w:tcW w:w="1200" w:type="dxa"/>
          </w:tcPr>
          <w:p w:rsidR="00A3108F" w:rsidRPr="000608EA" w:rsidRDefault="00A3108F" w:rsidP="002B2779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608EA">
              <w:rPr>
                <w:rFonts w:ascii="Arial" w:hAnsi="Arial" w:cs="Arial"/>
                <w:sz w:val="20"/>
                <w:szCs w:val="20"/>
                <w:lang w:val="pt-BR"/>
              </w:rPr>
              <w:t>102</w:t>
            </w:r>
          </w:p>
        </w:tc>
        <w:tc>
          <w:tcPr>
            <w:tcW w:w="1006" w:type="dxa"/>
            <w:vAlign w:val="center"/>
          </w:tcPr>
          <w:p w:rsidR="00A3108F" w:rsidRPr="000608EA" w:rsidRDefault="00A3108F" w:rsidP="002B27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08EA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0.09%</w:t>
            </w:r>
          </w:p>
        </w:tc>
        <w:tc>
          <w:tcPr>
            <w:tcW w:w="920" w:type="dxa"/>
          </w:tcPr>
          <w:p w:rsidR="00A3108F" w:rsidRPr="000608EA" w:rsidRDefault="00A3108F" w:rsidP="002B2779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608EA">
              <w:rPr>
                <w:rFonts w:ascii="Arial" w:hAnsi="Arial" w:cs="Arial"/>
                <w:sz w:val="20"/>
                <w:szCs w:val="20"/>
                <w:lang w:val="pt-BR"/>
              </w:rPr>
              <w:t>125</w:t>
            </w:r>
          </w:p>
        </w:tc>
        <w:tc>
          <w:tcPr>
            <w:tcW w:w="895" w:type="dxa"/>
            <w:vAlign w:val="center"/>
          </w:tcPr>
          <w:p w:rsidR="00A3108F" w:rsidRPr="000608EA" w:rsidRDefault="00A3108F" w:rsidP="002B27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08EA">
              <w:rPr>
                <w:rFonts w:ascii="Arial" w:hAnsi="Arial" w:cs="Arial"/>
                <w:color w:val="000000"/>
                <w:sz w:val="20"/>
                <w:szCs w:val="20"/>
              </w:rPr>
              <w:t>0.19%</w:t>
            </w:r>
          </w:p>
        </w:tc>
      </w:tr>
      <w:tr w:rsidR="00A3108F" w:rsidRPr="000608EA" w:rsidTr="002B2779">
        <w:trPr>
          <w:jc w:val="center"/>
        </w:trPr>
        <w:tc>
          <w:tcPr>
            <w:tcW w:w="3897" w:type="dxa"/>
          </w:tcPr>
          <w:p w:rsidR="00A3108F" w:rsidRPr="000608EA" w:rsidRDefault="00A3108F" w:rsidP="00A3108F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608EA">
              <w:rPr>
                <w:rFonts w:ascii="Arial" w:hAnsi="Arial" w:cs="Arial"/>
                <w:sz w:val="20"/>
                <w:szCs w:val="20"/>
                <w:lang w:val="pt-BR"/>
              </w:rPr>
              <w:t>INDUSVALBM</w:t>
            </w:r>
          </w:p>
        </w:tc>
        <w:tc>
          <w:tcPr>
            <w:tcW w:w="1200" w:type="dxa"/>
          </w:tcPr>
          <w:p w:rsidR="00A3108F" w:rsidRPr="000608EA" w:rsidRDefault="00A3108F" w:rsidP="002B2779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608EA">
              <w:rPr>
                <w:rFonts w:ascii="Arial" w:hAnsi="Arial" w:cs="Arial"/>
                <w:sz w:val="20"/>
                <w:szCs w:val="20"/>
                <w:lang w:val="pt-BR"/>
              </w:rPr>
              <w:t>94</w:t>
            </w:r>
          </w:p>
        </w:tc>
        <w:tc>
          <w:tcPr>
            <w:tcW w:w="1006" w:type="dxa"/>
            <w:vAlign w:val="center"/>
          </w:tcPr>
          <w:p w:rsidR="00A3108F" w:rsidRPr="000608EA" w:rsidRDefault="00A3108F" w:rsidP="002B27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08EA">
              <w:rPr>
                <w:rFonts w:ascii="Arial" w:hAnsi="Arial" w:cs="Arial"/>
                <w:color w:val="000000"/>
                <w:sz w:val="20"/>
                <w:szCs w:val="20"/>
              </w:rPr>
              <w:t>0.08%</w:t>
            </w:r>
          </w:p>
        </w:tc>
        <w:tc>
          <w:tcPr>
            <w:tcW w:w="920" w:type="dxa"/>
          </w:tcPr>
          <w:p w:rsidR="00A3108F" w:rsidRPr="000608EA" w:rsidRDefault="00A3108F" w:rsidP="002B2779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proofErr w:type="gramStart"/>
            <w:r w:rsidRPr="000608EA">
              <w:rPr>
                <w:rFonts w:ascii="Arial" w:hAnsi="Arial" w:cs="Arial"/>
                <w:sz w:val="20"/>
                <w:szCs w:val="20"/>
                <w:lang w:val="pt-BR"/>
              </w:rPr>
              <w:t>0</w:t>
            </w:r>
            <w:proofErr w:type="gramEnd"/>
          </w:p>
        </w:tc>
        <w:tc>
          <w:tcPr>
            <w:tcW w:w="895" w:type="dxa"/>
            <w:vAlign w:val="center"/>
          </w:tcPr>
          <w:p w:rsidR="00A3108F" w:rsidRPr="000608EA" w:rsidRDefault="00A3108F" w:rsidP="002B27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08EA">
              <w:rPr>
                <w:rFonts w:ascii="Arial" w:hAnsi="Arial" w:cs="Arial"/>
                <w:color w:val="000000"/>
                <w:sz w:val="20"/>
                <w:szCs w:val="20"/>
              </w:rPr>
              <w:t>0.00%</w:t>
            </w:r>
          </w:p>
        </w:tc>
      </w:tr>
      <w:tr w:rsidR="00A3108F" w:rsidRPr="000608EA" w:rsidTr="002B2779">
        <w:trPr>
          <w:jc w:val="center"/>
        </w:trPr>
        <w:tc>
          <w:tcPr>
            <w:tcW w:w="3897" w:type="dxa"/>
          </w:tcPr>
          <w:p w:rsidR="00A3108F" w:rsidRPr="000608EA" w:rsidRDefault="00A3108F" w:rsidP="00A3108F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608EA">
              <w:rPr>
                <w:rFonts w:ascii="Arial" w:hAnsi="Arial" w:cs="Arial"/>
                <w:sz w:val="20"/>
                <w:szCs w:val="20"/>
                <w:lang w:val="pt-BR"/>
              </w:rPr>
              <w:t xml:space="preserve">ITAULEASING </w:t>
            </w:r>
          </w:p>
        </w:tc>
        <w:tc>
          <w:tcPr>
            <w:tcW w:w="1200" w:type="dxa"/>
          </w:tcPr>
          <w:p w:rsidR="00A3108F" w:rsidRPr="000608EA" w:rsidRDefault="00A3108F" w:rsidP="002B2779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608EA">
              <w:rPr>
                <w:rFonts w:ascii="Arial" w:hAnsi="Arial" w:cs="Arial"/>
                <w:sz w:val="20"/>
                <w:szCs w:val="20"/>
                <w:lang w:val="pt-BR"/>
              </w:rPr>
              <w:t>67</w:t>
            </w:r>
          </w:p>
        </w:tc>
        <w:tc>
          <w:tcPr>
            <w:tcW w:w="1006" w:type="dxa"/>
            <w:vAlign w:val="center"/>
          </w:tcPr>
          <w:p w:rsidR="00A3108F" w:rsidRPr="000608EA" w:rsidRDefault="00A3108F" w:rsidP="002B27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08EA">
              <w:rPr>
                <w:rFonts w:ascii="Arial" w:hAnsi="Arial" w:cs="Arial"/>
                <w:color w:val="000000"/>
                <w:sz w:val="20"/>
                <w:szCs w:val="20"/>
              </w:rPr>
              <w:t>0.06%</w:t>
            </w:r>
          </w:p>
        </w:tc>
        <w:tc>
          <w:tcPr>
            <w:tcW w:w="920" w:type="dxa"/>
          </w:tcPr>
          <w:p w:rsidR="00A3108F" w:rsidRPr="000608EA" w:rsidRDefault="00A3108F" w:rsidP="002B2779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608EA">
              <w:rPr>
                <w:rFonts w:ascii="Arial" w:hAnsi="Arial" w:cs="Arial"/>
                <w:sz w:val="20"/>
                <w:szCs w:val="20"/>
                <w:lang w:val="pt-BR"/>
              </w:rPr>
              <w:t>17</w:t>
            </w:r>
          </w:p>
        </w:tc>
        <w:tc>
          <w:tcPr>
            <w:tcW w:w="895" w:type="dxa"/>
            <w:vAlign w:val="center"/>
          </w:tcPr>
          <w:p w:rsidR="00A3108F" w:rsidRPr="000608EA" w:rsidRDefault="00A3108F" w:rsidP="002B27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08EA">
              <w:rPr>
                <w:rFonts w:ascii="Arial" w:hAnsi="Arial" w:cs="Arial"/>
                <w:color w:val="000000"/>
                <w:sz w:val="20"/>
                <w:szCs w:val="20"/>
              </w:rPr>
              <w:t>0.03%</w:t>
            </w:r>
          </w:p>
        </w:tc>
      </w:tr>
      <w:tr w:rsidR="0069378A" w:rsidRPr="000608EA" w:rsidTr="002B2779">
        <w:trPr>
          <w:jc w:val="center"/>
        </w:trPr>
        <w:tc>
          <w:tcPr>
            <w:tcW w:w="3897" w:type="dxa"/>
          </w:tcPr>
          <w:p w:rsidR="0069378A" w:rsidRPr="000608EA" w:rsidRDefault="0069378A" w:rsidP="00A3108F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608EA">
              <w:rPr>
                <w:rFonts w:ascii="Arial" w:hAnsi="Arial" w:cs="Arial"/>
                <w:sz w:val="20"/>
                <w:szCs w:val="20"/>
                <w:lang w:val="pt-BR"/>
              </w:rPr>
              <w:t xml:space="preserve">BASA </w:t>
            </w:r>
          </w:p>
        </w:tc>
        <w:tc>
          <w:tcPr>
            <w:tcW w:w="1200" w:type="dxa"/>
          </w:tcPr>
          <w:p w:rsidR="0069378A" w:rsidRPr="000608EA" w:rsidRDefault="0069378A" w:rsidP="002B2779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608EA">
              <w:rPr>
                <w:rFonts w:ascii="Arial" w:hAnsi="Arial" w:cs="Arial"/>
                <w:sz w:val="20"/>
                <w:szCs w:val="20"/>
                <w:lang w:val="pt-BR"/>
              </w:rPr>
              <w:t>60</w:t>
            </w:r>
          </w:p>
        </w:tc>
        <w:tc>
          <w:tcPr>
            <w:tcW w:w="1006" w:type="dxa"/>
            <w:vAlign w:val="center"/>
          </w:tcPr>
          <w:p w:rsidR="0069378A" w:rsidRPr="000608EA" w:rsidRDefault="0069378A" w:rsidP="002B27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08EA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0.05%</w:t>
            </w:r>
          </w:p>
        </w:tc>
        <w:tc>
          <w:tcPr>
            <w:tcW w:w="920" w:type="dxa"/>
          </w:tcPr>
          <w:p w:rsidR="0069378A" w:rsidRPr="000608EA" w:rsidRDefault="0069378A" w:rsidP="002B2779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608EA">
              <w:rPr>
                <w:rFonts w:ascii="Arial" w:hAnsi="Arial" w:cs="Arial"/>
                <w:sz w:val="20"/>
                <w:szCs w:val="20"/>
                <w:lang w:val="pt-BR"/>
              </w:rPr>
              <w:t>175</w:t>
            </w:r>
          </w:p>
        </w:tc>
        <w:tc>
          <w:tcPr>
            <w:tcW w:w="895" w:type="dxa"/>
            <w:vAlign w:val="center"/>
          </w:tcPr>
          <w:p w:rsidR="0069378A" w:rsidRPr="000608EA" w:rsidRDefault="0069378A" w:rsidP="002B27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08EA">
              <w:rPr>
                <w:rFonts w:ascii="Arial" w:hAnsi="Arial" w:cs="Arial"/>
                <w:color w:val="000000"/>
                <w:sz w:val="20"/>
                <w:szCs w:val="20"/>
              </w:rPr>
              <w:t>0.27%</w:t>
            </w:r>
          </w:p>
        </w:tc>
      </w:tr>
      <w:tr w:rsidR="00A3108F" w:rsidRPr="000608EA" w:rsidTr="002B2779">
        <w:trPr>
          <w:jc w:val="center"/>
        </w:trPr>
        <w:tc>
          <w:tcPr>
            <w:tcW w:w="3897" w:type="dxa"/>
          </w:tcPr>
          <w:p w:rsidR="00A3108F" w:rsidRPr="000608EA" w:rsidRDefault="00A3108F" w:rsidP="00A3108F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608EA">
              <w:rPr>
                <w:rFonts w:ascii="Arial" w:hAnsi="Arial" w:cs="Arial"/>
                <w:sz w:val="20"/>
                <w:szCs w:val="20"/>
                <w:lang w:val="pt-BR"/>
              </w:rPr>
              <w:t xml:space="preserve">BTMU BR </w:t>
            </w:r>
          </w:p>
        </w:tc>
        <w:tc>
          <w:tcPr>
            <w:tcW w:w="1200" w:type="dxa"/>
          </w:tcPr>
          <w:p w:rsidR="00A3108F" w:rsidRPr="000608EA" w:rsidRDefault="00A3108F" w:rsidP="002B2779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608EA">
              <w:rPr>
                <w:rFonts w:ascii="Arial" w:hAnsi="Arial" w:cs="Arial"/>
                <w:sz w:val="20"/>
                <w:szCs w:val="20"/>
                <w:lang w:val="pt-BR"/>
              </w:rPr>
              <w:t>57</w:t>
            </w:r>
          </w:p>
        </w:tc>
        <w:tc>
          <w:tcPr>
            <w:tcW w:w="1006" w:type="dxa"/>
            <w:vAlign w:val="center"/>
          </w:tcPr>
          <w:p w:rsidR="00A3108F" w:rsidRPr="000608EA" w:rsidRDefault="00A3108F" w:rsidP="002B27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08EA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0.05%</w:t>
            </w:r>
          </w:p>
        </w:tc>
        <w:tc>
          <w:tcPr>
            <w:tcW w:w="920" w:type="dxa"/>
          </w:tcPr>
          <w:p w:rsidR="00A3108F" w:rsidRPr="000608EA" w:rsidRDefault="00A3108F" w:rsidP="002B2779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608EA">
              <w:rPr>
                <w:rFonts w:ascii="Arial" w:hAnsi="Arial" w:cs="Arial"/>
                <w:sz w:val="20"/>
                <w:szCs w:val="20"/>
                <w:lang w:val="pt-BR"/>
              </w:rPr>
              <w:t>14</w:t>
            </w:r>
          </w:p>
        </w:tc>
        <w:tc>
          <w:tcPr>
            <w:tcW w:w="895" w:type="dxa"/>
            <w:vAlign w:val="center"/>
          </w:tcPr>
          <w:p w:rsidR="00A3108F" w:rsidRPr="000608EA" w:rsidRDefault="00A3108F" w:rsidP="002B27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08EA">
              <w:rPr>
                <w:rFonts w:ascii="Arial" w:hAnsi="Arial" w:cs="Arial"/>
                <w:color w:val="000000"/>
                <w:sz w:val="20"/>
                <w:szCs w:val="20"/>
              </w:rPr>
              <w:t>0.02%</w:t>
            </w:r>
          </w:p>
        </w:tc>
      </w:tr>
      <w:tr w:rsidR="00A3108F" w:rsidRPr="000608EA" w:rsidTr="002B2779">
        <w:trPr>
          <w:jc w:val="center"/>
        </w:trPr>
        <w:tc>
          <w:tcPr>
            <w:tcW w:w="3897" w:type="dxa"/>
          </w:tcPr>
          <w:p w:rsidR="00A3108F" w:rsidRPr="000608EA" w:rsidRDefault="00A3108F" w:rsidP="00A3108F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608EA">
              <w:rPr>
                <w:rFonts w:ascii="Arial" w:hAnsi="Arial" w:cs="Arial"/>
                <w:sz w:val="20"/>
                <w:szCs w:val="20"/>
                <w:lang w:val="pt-BR"/>
              </w:rPr>
              <w:t xml:space="preserve">BRADESCO LS </w:t>
            </w:r>
          </w:p>
        </w:tc>
        <w:tc>
          <w:tcPr>
            <w:tcW w:w="1200" w:type="dxa"/>
          </w:tcPr>
          <w:p w:rsidR="00A3108F" w:rsidRPr="000608EA" w:rsidRDefault="00A3108F" w:rsidP="002B2779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608EA">
              <w:rPr>
                <w:rFonts w:ascii="Arial" w:hAnsi="Arial" w:cs="Arial"/>
                <w:sz w:val="20"/>
                <w:szCs w:val="20"/>
                <w:lang w:val="pt-BR"/>
              </w:rPr>
              <w:t>52</w:t>
            </w:r>
          </w:p>
        </w:tc>
        <w:tc>
          <w:tcPr>
            <w:tcW w:w="1006" w:type="dxa"/>
            <w:vAlign w:val="center"/>
          </w:tcPr>
          <w:p w:rsidR="00A3108F" w:rsidRPr="000608EA" w:rsidRDefault="00A3108F" w:rsidP="002B27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08EA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0.04%</w:t>
            </w:r>
          </w:p>
        </w:tc>
        <w:tc>
          <w:tcPr>
            <w:tcW w:w="920" w:type="dxa"/>
          </w:tcPr>
          <w:p w:rsidR="00A3108F" w:rsidRPr="000608EA" w:rsidRDefault="00A3108F" w:rsidP="002B2779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proofErr w:type="gramStart"/>
            <w:r w:rsidRPr="000608EA">
              <w:rPr>
                <w:rFonts w:ascii="Arial" w:hAnsi="Arial" w:cs="Arial"/>
                <w:sz w:val="20"/>
                <w:szCs w:val="20"/>
                <w:lang w:val="pt-BR"/>
              </w:rPr>
              <w:t>1</w:t>
            </w:r>
            <w:proofErr w:type="gramEnd"/>
          </w:p>
        </w:tc>
        <w:tc>
          <w:tcPr>
            <w:tcW w:w="895" w:type="dxa"/>
            <w:vAlign w:val="center"/>
          </w:tcPr>
          <w:p w:rsidR="00A3108F" w:rsidRPr="000608EA" w:rsidRDefault="00A3108F" w:rsidP="002B27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08EA">
              <w:rPr>
                <w:rFonts w:ascii="Arial" w:hAnsi="Arial" w:cs="Arial"/>
                <w:color w:val="000000"/>
                <w:sz w:val="20"/>
                <w:szCs w:val="20"/>
              </w:rPr>
              <w:t>0.00%</w:t>
            </w:r>
          </w:p>
        </w:tc>
      </w:tr>
      <w:tr w:rsidR="00A3108F" w:rsidRPr="000608EA" w:rsidTr="002B2779">
        <w:trPr>
          <w:jc w:val="center"/>
        </w:trPr>
        <w:tc>
          <w:tcPr>
            <w:tcW w:w="3897" w:type="dxa"/>
          </w:tcPr>
          <w:p w:rsidR="00A3108F" w:rsidRPr="000608EA" w:rsidRDefault="00A3108F" w:rsidP="00A3108F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608EA">
              <w:rPr>
                <w:rFonts w:ascii="Arial" w:hAnsi="Arial" w:cs="Arial"/>
                <w:sz w:val="20"/>
                <w:szCs w:val="20"/>
                <w:lang w:val="pt-BR"/>
              </w:rPr>
              <w:t>PARANA BM</w:t>
            </w:r>
          </w:p>
        </w:tc>
        <w:tc>
          <w:tcPr>
            <w:tcW w:w="1200" w:type="dxa"/>
          </w:tcPr>
          <w:p w:rsidR="00A3108F" w:rsidRPr="000608EA" w:rsidRDefault="00A3108F" w:rsidP="002B2779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608EA">
              <w:rPr>
                <w:rFonts w:ascii="Arial" w:hAnsi="Arial" w:cs="Arial"/>
                <w:sz w:val="20"/>
                <w:szCs w:val="20"/>
                <w:lang w:val="pt-BR"/>
              </w:rPr>
              <w:t>46</w:t>
            </w:r>
          </w:p>
        </w:tc>
        <w:tc>
          <w:tcPr>
            <w:tcW w:w="1006" w:type="dxa"/>
            <w:vAlign w:val="center"/>
          </w:tcPr>
          <w:p w:rsidR="00A3108F" w:rsidRPr="000608EA" w:rsidRDefault="00A3108F" w:rsidP="002B27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08EA">
              <w:rPr>
                <w:rFonts w:ascii="Arial" w:hAnsi="Arial" w:cs="Arial"/>
                <w:color w:val="000000"/>
                <w:sz w:val="20"/>
                <w:szCs w:val="20"/>
              </w:rPr>
              <w:t>0.04%</w:t>
            </w:r>
          </w:p>
        </w:tc>
        <w:tc>
          <w:tcPr>
            <w:tcW w:w="920" w:type="dxa"/>
          </w:tcPr>
          <w:p w:rsidR="00A3108F" w:rsidRPr="000608EA" w:rsidRDefault="00A3108F" w:rsidP="002B2779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608EA">
              <w:rPr>
                <w:rFonts w:ascii="Arial" w:hAnsi="Arial" w:cs="Arial"/>
                <w:sz w:val="20"/>
                <w:szCs w:val="20"/>
                <w:lang w:val="pt-BR"/>
              </w:rPr>
              <w:t>61</w:t>
            </w:r>
          </w:p>
        </w:tc>
        <w:tc>
          <w:tcPr>
            <w:tcW w:w="895" w:type="dxa"/>
            <w:vAlign w:val="center"/>
          </w:tcPr>
          <w:p w:rsidR="00A3108F" w:rsidRPr="000608EA" w:rsidRDefault="00A3108F" w:rsidP="002B27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08EA">
              <w:rPr>
                <w:rFonts w:ascii="Arial" w:hAnsi="Arial" w:cs="Arial"/>
                <w:color w:val="000000"/>
                <w:sz w:val="20"/>
                <w:szCs w:val="20"/>
              </w:rPr>
              <w:t>0.09%</w:t>
            </w:r>
          </w:p>
        </w:tc>
      </w:tr>
      <w:tr w:rsidR="00A3108F" w:rsidRPr="000608EA" w:rsidTr="002B2779">
        <w:trPr>
          <w:jc w:val="center"/>
        </w:trPr>
        <w:tc>
          <w:tcPr>
            <w:tcW w:w="3897" w:type="dxa"/>
          </w:tcPr>
          <w:p w:rsidR="00A3108F" w:rsidRPr="000608EA" w:rsidRDefault="00A3108F" w:rsidP="00A3108F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608EA">
              <w:rPr>
                <w:rFonts w:ascii="Arial" w:hAnsi="Arial" w:cs="Arial"/>
                <w:sz w:val="20"/>
                <w:szCs w:val="20"/>
                <w:lang w:val="pt-BR"/>
              </w:rPr>
              <w:t xml:space="preserve">BI BM </w:t>
            </w:r>
          </w:p>
        </w:tc>
        <w:tc>
          <w:tcPr>
            <w:tcW w:w="1200" w:type="dxa"/>
          </w:tcPr>
          <w:p w:rsidR="00A3108F" w:rsidRPr="000608EA" w:rsidRDefault="00A3108F" w:rsidP="002B2779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608EA">
              <w:rPr>
                <w:rFonts w:ascii="Arial" w:hAnsi="Arial" w:cs="Arial"/>
                <w:sz w:val="20"/>
                <w:szCs w:val="20"/>
                <w:lang w:val="pt-BR"/>
              </w:rPr>
              <w:t>43</w:t>
            </w:r>
          </w:p>
        </w:tc>
        <w:tc>
          <w:tcPr>
            <w:tcW w:w="1006" w:type="dxa"/>
            <w:vAlign w:val="center"/>
          </w:tcPr>
          <w:p w:rsidR="00A3108F" w:rsidRPr="000608EA" w:rsidRDefault="00A3108F" w:rsidP="002B27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08EA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0.04%</w:t>
            </w:r>
          </w:p>
        </w:tc>
        <w:tc>
          <w:tcPr>
            <w:tcW w:w="920" w:type="dxa"/>
          </w:tcPr>
          <w:p w:rsidR="00A3108F" w:rsidRPr="000608EA" w:rsidRDefault="00A3108F" w:rsidP="002B2779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608EA">
              <w:rPr>
                <w:rFonts w:ascii="Arial" w:hAnsi="Arial" w:cs="Arial"/>
                <w:sz w:val="20"/>
                <w:szCs w:val="20"/>
                <w:lang w:val="pt-BR"/>
              </w:rPr>
              <w:t>41</w:t>
            </w:r>
          </w:p>
        </w:tc>
        <w:tc>
          <w:tcPr>
            <w:tcW w:w="895" w:type="dxa"/>
            <w:vAlign w:val="center"/>
          </w:tcPr>
          <w:p w:rsidR="00A3108F" w:rsidRPr="000608EA" w:rsidRDefault="00A3108F" w:rsidP="002B27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08EA">
              <w:rPr>
                <w:rFonts w:ascii="Arial" w:hAnsi="Arial" w:cs="Arial"/>
                <w:color w:val="000000"/>
                <w:sz w:val="20"/>
                <w:szCs w:val="20"/>
              </w:rPr>
              <w:t>0.06%</w:t>
            </w:r>
          </w:p>
        </w:tc>
      </w:tr>
      <w:tr w:rsidR="00A3108F" w:rsidRPr="000608EA" w:rsidTr="002B2779">
        <w:trPr>
          <w:jc w:val="center"/>
        </w:trPr>
        <w:tc>
          <w:tcPr>
            <w:tcW w:w="3897" w:type="dxa"/>
          </w:tcPr>
          <w:p w:rsidR="00A3108F" w:rsidRPr="000608EA" w:rsidRDefault="00A3108F" w:rsidP="00A3108F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608EA">
              <w:rPr>
                <w:rFonts w:ascii="Arial" w:hAnsi="Arial" w:cs="Arial"/>
                <w:sz w:val="20"/>
                <w:szCs w:val="20"/>
                <w:lang w:val="pt-BR"/>
              </w:rPr>
              <w:t>SUMITOMO BM</w:t>
            </w:r>
          </w:p>
        </w:tc>
        <w:tc>
          <w:tcPr>
            <w:tcW w:w="1200" w:type="dxa"/>
          </w:tcPr>
          <w:p w:rsidR="00A3108F" w:rsidRPr="000608EA" w:rsidRDefault="00A3108F" w:rsidP="002B2779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608EA">
              <w:rPr>
                <w:rFonts w:ascii="Arial" w:hAnsi="Arial" w:cs="Arial"/>
                <w:sz w:val="20"/>
                <w:szCs w:val="20"/>
                <w:lang w:val="pt-BR"/>
              </w:rPr>
              <w:t>41</w:t>
            </w:r>
          </w:p>
        </w:tc>
        <w:tc>
          <w:tcPr>
            <w:tcW w:w="1006" w:type="dxa"/>
            <w:vAlign w:val="center"/>
          </w:tcPr>
          <w:p w:rsidR="00A3108F" w:rsidRPr="000608EA" w:rsidRDefault="00A3108F" w:rsidP="002B27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08EA">
              <w:rPr>
                <w:rFonts w:ascii="Arial" w:hAnsi="Arial" w:cs="Arial"/>
                <w:color w:val="000000"/>
                <w:sz w:val="20"/>
                <w:szCs w:val="20"/>
              </w:rPr>
              <w:t>0.04%</w:t>
            </w:r>
          </w:p>
        </w:tc>
        <w:tc>
          <w:tcPr>
            <w:tcW w:w="920" w:type="dxa"/>
          </w:tcPr>
          <w:p w:rsidR="00A3108F" w:rsidRPr="000608EA" w:rsidRDefault="00A3108F" w:rsidP="002B2779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608EA">
              <w:rPr>
                <w:rFonts w:ascii="Arial" w:hAnsi="Arial" w:cs="Arial"/>
                <w:sz w:val="20"/>
                <w:szCs w:val="20"/>
                <w:lang w:val="pt-BR"/>
              </w:rPr>
              <w:t>32</w:t>
            </w:r>
          </w:p>
        </w:tc>
        <w:tc>
          <w:tcPr>
            <w:tcW w:w="895" w:type="dxa"/>
            <w:vAlign w:val="center"/>
          </w:tcPr>
          <w:p w:rsidR="00A3108F" w:rsidRPr="000608EA" w:rsidRDefault="00A3108F" w:rsidP="002B27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08EA">
              <w:rPr>
                <w:rFonts w:ascii="Arial" w:hAnsi="Arial" w:cs="Arial"/>
                <w:color w:val="000000"/>
                <w:sz w:val="20"/>
                <w:szCs w:val="20"/>
              </w:rPr>
              <w:t>0.05%</w:t>
            </w:r>
          </w:p>
        </w:tc>
      </w:tr>
      <w:tr w:rsidR="00A3108F" w:rsidRPr="000608EA" w:rsidTr="002B2779">
        <w:trPr>
          <w:jc w:val="center"/>
        </w:trPr>
        <w:tc>
          <w:tcPr>
            <w:tcW w:w="3897" w:type="dxa"/>
          </w:tcPr>
          <w:p w:rsidR="00A3108F" w:rsidRPr="000608EA" w:rsidRDefault="00A3108F" w:rsidP="00A3108F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608EA">
              <w:rPr>
                <w:rFonts w:ascii="Arial" w:hAnsi="Arial" w:cs="Arial"/>
                <w:sz w:val="20"/>
                <w:szCs w:val="20"/>
                <w:lang w:val="pt-BR"/>
              </w:rPr>
              <w:t xml:space="preserve">DESENBAHIA </w:t>
            </w:r>
          </w:p>
        </w:tc>
        <w:tc>
          <w:tcPr>
            <w:tcW w:w="1200" w:type="dxa"/>
          </w:tcPr>
          <w:p w:rsidR="00A3108F" w:rsidRPr="000608EA" w:rsidRDefault="00A3108F" w:rsidP="002B2779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608EA">
              <w:rPr>
                <w:rFonts w:ascii="Arial" w:hAnsi="Arial" w:cs="Arial"/>
                <w:sz w:val="20"/>
                <w:szCs w:val="20"/>
                <w:lang w:val="pt-BR"/>
              </w:rPr>
              <w:t>40</w:t>
            </w:r>
          </w:p>
        </w:tc>
        <w:tc>
          <w:tcPr>
            <w:tcW w:w="1006" w:type="dxa"/>
            <w:vAlign w:val="center"/>
          </w:tcPr>
          <w:p w:rsidR="00A3108F" w:rsidRPr="000608EA" w:rsidRDefault="00A3108F" w:rsidP="002B27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08EA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0.03%</w:t>
            </w:r>
          </w:p>
        </w:tc>
        <w:tc>
          <w:tcPr>
            <w:tcW w:w="920" w:type="dxa"/>
          </w:tcPr>
          <w:p w:rsidR="00A3108F" w:rsidRPr="000608EA" w:rsidRDefault="00A3108F" w:rsidP="002B2779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608EA">
              <w:rPr>
                <w:rFonts w:ascii="Arial" w:hAnsi="Arial" w:cs="Arial"/>
                <w:sz w:val="20"/>
                <w:szCs w:val="20"/>
                <w:lang w:val="pt-BR"/>
              </w:rPr>
              <w:t>80</w:t>
            </w:r>
          </w:p>
        </w:tc>
        <w:tc>
          <w:tcPr>
            <w:tcW w:w="895" w:type="dxa"/>
            <w:vAlign w:val="center"/>
          </w:tcPr>
          <w:p w:rsidR="00A3108F" w:rsidRPr="000608EA" w:rsidRDefault="00A3108F" w:rsidP="002B27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08EA">
              <w:rPr>
                <w:rFonts w:ascii="Arial" w:hAnsi="Arial" w:cs="Arial"/>
                <w:color w:val="000000"/>
                <w:sz w:val="20"/>
                <w:szCs w:val="20"/>
              </w:rPr>
              <w:t>0.12%</w:t>
            </w:r>
          </w:p>
        </w:tc>
      </w:tr>
      <w:tr w:rsidR="0069378A" w:rsidRPr="000608EA" w:rsidTr="002B2779">
        <w:trPr>
          <w:jc w:val="center"/>
        </w:trPr>
        <w:tc>
          <w:tcPr>
            <w:tcW w:w="3897" w:type="dxa"/>
          </w:tcPr>
          <w:p w:rsidR="0069378A" w:rsidRPr="000608EA" w:rsidRDefault="0069378A" w:rsidP="00A3108F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608EA">
              <w:rPr>
                <w:rFonts w:ascii="Arial" w:hAnsi="Arial" w:cs="Arial"/>
                <w:sz w:val="20"/>
                <w:szCs w:val="20"/>
                <w:lang w:val="pt-BR"/>
              </w:rPr>
              <w:t>ALFA CFI</w:t>
            </w:r>
          </w:p>
        </w:tc>
        <w:tc>
          <w:tcPr>
            <w:tcW w:w="1200" w:type="dxa"/>
          </w:tcPr>
          <w:p w:rsidR="0069378A" w:rsidRPr="000608EA" w:rsidRDefault="0069378A" w:rsidP="002B2779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608EA">
              <w:rPr>
                <w:rFonts w:ascii="Arial" w:hAnsi="Arial" w:cs="Arial"/>
                <w:sz w:val="20"/>
                <w:szCs w:val="20"/>
                <w:lang w:val="pt-BR"/>
              </w:rPr>
              <w:t>38</w:t>
            </w:r>
          </w:p>
        </w:tc>
        <w:tc>
          <w:tcPr>
            <w:tcW w:w="1006" w:type="dxa"/>
            <w:vAlign w:val="center"/>
          </w:tcPr>
          <w:p w:rsidR="0069378A" w:rsidRPr="000608EA" w:rsidRDefault="0069378A" w:rsidP="002B27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08EA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0.03%</w:t>
            </w:r>
          </w:p>
        </w:tc>
        <w:tc>
          <w:tcPr>
            <w:tcW w:w="920" w:type="dxa"/>
          </w:tcPr>
          <w:p w:rsidR="0069378A" w:rsidRPr="000608EA" w:rsidRDefault="0069378A" w:rsidP="002B2779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608EA">
              <w:rPr>
                <w:rFonts w:ascii="Arial" w:hAnsi="Arial" w:cs="Arial"/>
                <w:sz w:val="20"/>
                <w:szCs w:val="20"/>
                <w:lang w:val="pt-BR"/>
              </w:rPr>
              <w:t>78</w:t>
            </w:r>
          </w:p>
        </w:tc>
        <w:tc>
          <w:tcPr>
            <w:tcW w:w="895" w:type="dxa"/>
            <w:vAlign w:val="center"/>
          </w:tcPr>
          <w:p w:rsidR="0069378A" w:rsidRPr="000608EA" w:rsidRDefault="0069378A" w:rsidP="002B27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08EA">
              <w:rPr>
                <w:rFonts w:ascii="Arial" w:hAnsi="Arial" w:cs="Arial"/>
                <w:color w:val="000000"/>
                <w:sz w:val="20"/>
                <w:szCs w:val="20"/>
              </w:rPr>
              <w:t>0.12%</w:t>
            </w:r>
          </w:p>
        </w:tc>
      </w:tr>
      <w:tr w:rsidR="00A3108F" w:rsidRPr="000608EA" w:rsidTr="002B2779">
        <w:trPr>
          <w:jc w:val="center"/>
        </w:trPr>
        <w:tc>
          <w:tcPr>
            <w:tcW w:w="3897" w:type="dxa"/>
          </w:tcPr>
          <w:p w:rsidR="00A3108F" w:rsidRPr="000608EA" w:rsidRDefault="00A3108F" w:rsidP="00A3108F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608EA">
              <w:rPr>
                <w:rFonts w:ascii="Arial" w:hAnsi="Arial" w:cs="Arial"/>
                <w:sz w:val="20"/>
                <w:szCs w:val="20"/>
                <w:lang w:val="pt-BR"/>
              </w:rPr>
              <w:t>BNP BRASIL</w:t>
            </w:r>
          </w:p>
        </w:tc>
        <w:tc>
          <w:tcPr>
            <w:tcW w:w="1200" w:type="dxa"/>
          </w:tcPr>
          <w:p w:rsidR="00A3108F" w:rsidRPr="000608EA" w:rsidRDefault="00A3108F" w:rsidP="002B2779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608EA">
              <w:rPr>
                <w:rFonts w:ascii="Arial" w:hAnsi="Arial" w:cs="Arial"/>
                <w:sz w:val="20"/>
                <w:szCs w:val="20"/>
                <w:lang w:val="pt-BR"/>
              </w:rPr>
              <w:t>35</w:t>
            </w:r>
          </w:p>
        </w:tc>
        <w:tc>
          <w:tcPr>
            <w:tcW w:w="1006" w:type="dxa"/>
            <w:vAlign w:val="center"/>
          </w:tcPr>
          <w:p w:rsidR="00A3108F" w:rsidRPr="000608EA" w:rsidRDefault="00A3108F" w:rsidP="002B27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08EA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0.03%</w:t>
            </w:r>
          </w:p>
        </w:tc>
        <w:tc>
          <w:tcPr>
            <w:tcW w:w="920" w:type="dxa"/>
          </w:tcPr>
          <w:p w:rsidR="00A3108F" w:rsidRPr="000608EA" w:rsidRDefault="00A3108F" w:rsidP="002B2779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proofErr w:type="gramStart"/>
            <w:r w:rsidRPr="000608EA">
              <w:rPr>
                <w:rFonts w:ascii="Arial" w:hAnsi="Arial" w:cs="Arial"/>
                <w:sz w:val="20"/>
                <w:szCs w:val="20"/>
                <w:lang w:val="pt-BR"/>
              </w:rPr>
              <w:t>6</w:t>
            </w:r>
            <w:proofErr w:type="gramEnd"/>
          </w:p>
        </w:tc>
        <w:tc>
          <w:tcPr>
            <w:tcW w:w="895" w:type="dxa"/>
            <w:vAlign w:val="center"/>
          </w:tcPr>
          <w:p w:rsidR="00A3108F" w:rsidRPr="000608EA" w:rsidRDefault="00A3108F" w:rsidP="002B27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08EA">
              <w:rPr>
                <w:rFonts w:ascii="Arial" w:hAnsi="Arial" w:cs="Arial"/>
                <w:color w:val="000000"/>
                <w:sz w:val="20"/>
                <w:szCs w:val="20"/>
              </w:rPr>
              <w:t>0.01%</w:t>
            </w:r>
          </w:p>
        </w:tc>
      </w:tr>
      <w:tr w:rsidR="00A3108F" w:rsidRPr="000608EA" w:rsidTr="002B2779">
        <w:trPr>
          <w:jc w:val="center"/>
        </w:trPr>
        <w:tc>
          <w:tcPr>
            <w:tcW w:w="3897" w:type="dxa"/>
          </w:tcPr>
          <w:p w:rsidR="00A3108F" w:rsidRPr="000608EA" w:rsidRDefault="00A3108F" w:rsidP="00A3108F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608EA">
              <w:rPr>
                <w:rFonts w:ascii="Arial" w:hAnsi="Arial" w:cs="Arial"/>
                <w:sz w:val="20"/>
                <w:szCs w:val="20"/>
                <w:lang w:val="pt-BR"/>
              </w:rPr>
              <w:t xml:space="preserve">TRIBANCO BM </w:t>
            </w:r>
          </w:p>
        </w:tc>
        <w:tc>
          <w:tcPr>
            <w:tcW w:w="1200" w:type="dxa"/>
          </w:tcPr>
          <w:p w:rsidR="00A3108F" w:rsidRPr="000608EA" w:rsidRDefault="00A3108F" w:rsidP="002B2779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608EA">
              <w:rPr>
                <w:rFonts w:ascii="Arial" w:hAnsi="Arial" w:cs="Arial"/>
                <w:sz w:val="20"/>
                <w:szCs w:val="20"/>
                <w:lang w:val="pt-BR"/>
              </w:rPr>
              <w:t>32</w:t>
            </w:r>
          </w:p>
        </w:tc>
        <w:tc>
          <w:tcPr>
            <w:tcW w:w="1006" w:type="dxa"/>
            <w:vAlign w:val="center"/>
          </w:tcPr>
          <w:p w:rsidR="00A3108F" w:rsidRPr="000608EA" w:rsidRDefault="00A3108F" w:rsidP="002B27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08EA">
              <w:rPr>
                <w:rFonts w:ascii="Arial" w:hAnsi="Arial" w:cs="Arial"/>
                <w:color w:val="000000"/>
                <w:sz w:val="20"/>
                <w:szCs w:val="20"/>
              </w:rPr>
              <w:t>0.03%</w:t>
            </w:r>
          </w:p>
        </w:tc>
        <w:tc>
          <w:tcPr>
            <w:tcW w:w="920" w:type="dxa"/>
          </w:tcPr>
          <w:p w:rsidR="00A3108F" w:rsidRPr="000608EA" w:rsidRDefault="00A3108F" w:rsidP="002B2779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608EA">
              <w:rPr>
                <w:rFonts w:ascii="Arial" w:hAnsi="Arial" w:cs="Arial"/>
                <w:sz w:val="20"/>
                <w:szCs w:val="20"/>
                <w:lang w:val="pt-BR"/>
              </w:rPr>
              <w:t>84</w:t>
            </w:r>
          </w:p>
        </w:tc>
        <w:tc>
          <w:tcPr>
            <w:tcW w:w="895" w:type="dxa"/>
            <w:vAlign w:val="center"/>
          </w:tcPr>
          <w:p w:rsidR="00A3108F" w:rsidRPr="000608EA" w:rsidRDefault="00A3108F" w:rsidP="002B27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08EA">
              <w:rPr>
                <w:rFonts w:ascii="Arial" w:hAnsi="Arial" w:cs="Arial"/>
                <w:color w:val="000000"/>
                <w:sz w:val="20"/>
                <w:szCs w:val="20"/>
              </w:rPr>
              <w:t>0.13%</w:t>
            </w:r>
          </w:p>
        </w:tc>
      </w:tr>
      <w:tr w:rsidR="00A3108F" w:rsidRPr="000608EA" w:rsidTr="002B2779">
        <w:trPr>
          <w:jc w:val="center"/>
        </w:trPr>
        <w:tc>
          <w:tcPr>
            <w:tcW w:w="3897" w:type="dxa"/>
          </w:tcPr>
          <w:p w:rsidR="00A3108F" w:rsidRPr="000608EA" w:rsidRDefault="00A3108F" w:rsidP="00A3108F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608EA">
              <w:rPr>
                <w:rFonts w:ascii="Arial" w:hAnsi="Arial" w:cs="Arial"/>
                <w:sz w:val="20"/>
                <w:szCs w:val="20"/>
                <w:lang w:val="pt-BR"/>
              </w:rPr>
              <w:t xml:space="preserve">SAFRA LS </w:t>
            </w:r>
          </w:p>
        </w:tc>
        <w:tc>
          <w:tcPr>
            <w:tcW w:w="1200" w:type="dxa"/>
          </w:tcPr>
          <w:p w:rsidR="00A3108F" w:rsidRPr="000608EA" w:rsidRDefault="00A3108F" w:rsidP="002B2779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608EA">
              <w:rPr>
                <w:rFonts w:ascii="Arial" w:hAnsi="Arial" w:cs="Arial"/>
                <w:sz w:val="20"/>
                <w:szCs w:val="20"/>
                <w:lang w:val="pt-BR"/>
              </w:rPr>
              <w:t>25</w:t>
            </w:r>
          </w:p>
        </w:tc>
        <w:tc>
          <w:tcPr>
            <w:tcW w:w="1006" w:type="dxa"/>
            <w:vAlign w:val="center"/>
          </w:tcPr>
          <w:p w:rsidR="00A3108F" w:rsidRPr="000608EA" w:rsidRDefault="00A3108F" w:rsidP="002B27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08EA">
              <w:rPr>
                <w:rFonts w:ascii="Arial" w:hAnsi="Arial" w:cs="Arial"/>
                <w:color w:val="000000"/>
                <w:sz w:val="20"/>
                <w:szCs w:val="20"/>
              </w:rPr>
              <w:t>0.02%</w:t>
            </w:r>
          </w:p>
        </w:tc>
        <w:tc>
          <w:tcPr>
            <w:tcW w:w="920" w:type="dxa"/>
          </w:tcPr>
          <w:p w:rsidR="00A3108F" w:rsidRPr="000608EA" w:rsidRDefault="00A3108F" w:rsidP="002B2779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proofErr w:type="gramStart"/>
            <w:r w:rsidRPr="000608EA">
              <w:rPr>
                <w:rFonts w:ascii="Arial" w:hAnsi="Arial" w:cs="Arial"/>
                <w:sz w:val="20"/>
                <w:szCs w:val="20"/>
                <w:lang w:val="pt-BR"/>
              </w:rPr>
              <w:t>0</w:t>
            </w:r>
            <w:proofErr w:type="gramEnd"/>
          </w:p>
        </w:tc>
        <w:tc>
          <w:tcPr>
            <w:tcW w:w="895" w:type="dxa"/>
            <w:vAlign w:val="center"/>
          </w:tcPr>
          <w:p w:rsidR="00A3108F" w:rsidRPr="000608EA" w:rsidRDefault="00A3108F" w:rsidP="002B27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08EA">
              <w:rPr>
                <w:rFonts w:ascii="Arial" w:hAnsi="Arial" w:cs="Arial"/>
                <w:color w:val="000000"/>
                <w:sz w:val="20"/>
                <w:szCs w:val="20"/>
              </w:rPr>
              <w:t>0.00%</w:t>
            </w:r>
          </w:p>
        </w:tc>
      </w:tr>
      <w:tr w:rsidR="00A3108F" w:rsidRPr="000608EA" w:rsidTr="002B2779">
        <w:trPr>
          <w:jc w:val="center"/>
        </w:trPr>
        <w:tc>
          <w:tcPr>
            <w:tcW w:w="3897" w:type="dxa"/>
          </w:tcPr>
          <w:p w:rsidR="00A3108F" w:rsidRPr="000608EA" w:rsidRDefault="00A3108F" w:rsidP="00A3108F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608EA">
              <w:rPr>
                <w:rFonts w:ascii="Arial" w:hAnsi="Arial" w:cs="Arial"/>
                <w:sz w:val="20"/>
                <w:szCs w:val="20"/>
                <w:lang w:val="pt-BR"/>
              </w:rPr>
              <w:t>UNIPRIME CCM</w:t>
            </w:r>
          </w:p>
        </w:tc>
        <w:tc>
          <w:tcPr>
            <w:tcW w:w="1200" w:type="dxa"/>
          </w:tcPr>
          <w:p w:rsidR="00A3108F" w:rsidRPr="000608EA" w:rsidRDefault="00A3108F" w:rsidP="002B2779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608EA">
              <w:rPr>
                <w:rFonts w:ascii="Arial" w:hAnsi="Arial" w:cs="Arial"/>
                <w:sz w:val="20"/>
                <w:szCs w:val="20"/>
                <w:lang w:val="pt-BR"/>
              </w:rPr>
              <w:t>18</w:t>
            </w:r>
          </w:p>
        </w:tc>
        <w:tc>
          <w:tcPr>
            <w:tcW w:w="1006" w:type="dxa"/>
            <w:vAlign w:val="center"/>
          </w:tcPr>
          <w:p w:rsidR="00A3108F" w:rsidRPr="000608EA" w:rsidRDefault="00A3108F" w:rsidP="002B27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08EA">
              <w:rPr>
                <w:rFonts w:ascii="Arial" w:hAnsi="Arial" w:cs="Arial"/>
                <w:color w:val="000000"/>
                <w:sz w:val="20"/>
                <w:szCs w:val="20"/>
              </w:rPr>
              <w:t>0.02%</w:t>
            </w:r>
          </w:p>
        </w:tc>
        <w:tc>
          <w:tcPr>
            <w:tcW w:w="920" w:type="dxa"/>
          </w:tcPr>
          <w:p w:rsidR="00A3108F" w:rsidRPr="000608EA" w:rsidRDefault="00A3108F" w:rsidP="002B2779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proofErr w:type="gramStart"/>
            <w:r w:rsidRPr="000608EA">
              <w:rPr>
                <w:rFonts w:ascii="Arial" w:hAnsi="Arial" w:cs="Arial"/>
                <w:sz w:val="20"/>
                <w:szCs w:val="20"/>
                <w:lang w:val="pt-BR"/>
              </w:rPr>
              <w:t>0</w:t>
            </w:r>
            <w:proofErr w:type="gramEnd"/>
          </w:p>
        </w:tc>
        <w:tc>
          <w:tcPr>
            <w:tcW w:w="895" w:type="dxa"/>
            <w:vAlign w:val="center"/>
          </w:tcPr>
          <w:p w:rsidR="00A3108F" w:rsidRPr="000608EA" w:rsidRDefault="00A3108F" w:rsidP="002B27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08EA">
              <w:rPr>
                <w:rFonts w:ascii="Arial" w:hAnsi="Arial" w:cs="Arial"/>
                <w:color w:val="000000"/>
                <w:sz w:val="20"/>
                <w:szCs w:val="20"/>
              </w:rPr>
              <w:t>0.00%</w:t>
            </w:r>
          </w:p>
        </w:tc>
      </w:tr>
      <w:tr w:rsidR="00CC0B50" w:rsidRPr="000608EA" w:rsidTr="0069378A">
        <w:trPr>
          <w:jc w:val="center"/>
        </w:trPr>
        <w:tc>
          <w:tcPr>
            <w:tcW w:w="3897" w:type="dxa"/>
          </w:tcPr>
          <w:p w:rsidR="00CC0B50" w:rsidRPr="000608EA" w:rsidRDefault="00CC0B50" w:rsidP="00A3108F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608EA">
              <w:rPr>
                <w:rFonts w:ascii="Arial" w:hAnsi="Arial" w:cs="Arial"/>
                <w:sz w:val="20"/>
                <w:szCs w:val="20"/>
                <w:lang w:val="pt-BR"/>
              </w:rPr>
              <w:t xml:space="preserve">AGERIO </w:t>
            </w:r>
          </w:p>
        </w:tc>
        <w:tc>
          <w:tcPr>
            <w:tcW w:w="1200" w:type="dxa"/>
          </w:tcPr>
          <w:p w:rsidR="00CC0B50" w:rsidRPr="000608EA" w:rsidRDefault="00CC0B50" w:rsidP="000608EA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608EA">
              <w:rPr>
                <w:rFonts w:ascii="Arial" w:hAnsi="Arial" w:cs="Arial"/>
                <w:sz w:val="20"/>
                <w:szCs w:val="20"/>
                <w:lang w:val="pt-BR"/>
              </w:rPr>
              <w:t>15</w:t>
            </w:r>
          </w:p>
        </w:tc>
        <w:tc>
          <w:tcPr>
            <w:tcW w:w="1006" w:type="dxa"/>
            <w:vAlign w:val="center"/>
          </w:tcPr>
          <w:p w:rsidR="00CC0B50" w:rsidRPr="000608EA" w:rsidRDefault="00CC0B50" w:rsidP="000608E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08EA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0.01%</w:t>
            </w:r>
          </w:p>
        </w:tc>
        <w:tc>
          <w:tcPr>
            <w:tcW w:w="920" w:type="dxa"/>
          </w:tcPr>
          <w:p w:rsidR="00CC0B50" w:rsidRPr="000608EA" w:rsidRDefault="00CC0B50" w:rsidP="000608EA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608EA">
              <w:rPr>
                <w:rFonts w:ascii="Arial" w:hAnsi="Arial" w:cs="Arial"/>
                <w:sz w:val="20"/>
                <w:szCs w:val="20"/>
                <w:lang w:val="pt-BR"/>
              </w:rPr>
              <w:t xml:space="preserve">24 </w:t>
            </w:r>
          </w:p>
        </w:tc>
        <w:tc>
          <w:tcPr>
            <w:tcW w:w="895" w:type="dxa"/>
            <w:vAlign w:val="center"/>
          </w:tcPr>
          <w:p w:rsidR="00CC0B50" w:rsidRPr="000608EA" w:rsidRDefault="00CC0B50" w:rsidP="000608E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08EA">
              <w:rPr>
                <w:rFonts w:ascii="Arial" w:hAnsi="Arial" w:cs="Arial"/>
                <w:color w:val="000000"/>
                <w:sz w:val="20"/>
                <w:szCs w:val="20"/>
              </w:rPr>
              <w:t>0.04%</w:t>
            </w:r>
          </w:p>
        </w:tc>
      </w:tr>
      <w:tr w:rsidR="00A3108F" w:rsidRPr="000608EA" w:rsidTr="002B2779">
        <w:trPr>
          <w:jc w:val="center"/>
        </w:trPr>
        <w:tc>
          <w:tcPr>
            <w:tcW w:w="3897" w:type="dxa"/>
          </w:tcPr>
          <w:p w:rsidR="00A3108F" w:rsidRPr="000608EA" w:rsidRDefault="00A3108F" w:rsidP="00A3108F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608EA">
              <w:rPr>
                <w:rFonts w:ascii="Arial" w:hAnsi="Arial" w:cs="Arial"/>
                <w:sz w:val="20"/>
                <w:szCs w:val="20"/>
                <w:lang w:val="pt-BR"/>
              </w:rPr>
              <w:t xml:space="preserve">JPMORGAN </w:t>
            </w:r>
          </w:p>
        </w:tc>
        <w:tc>
          <w:tcPr>
            <w:tcW w:w="1200" w:type="dxa"/>
          </w:tcPr>
          <w:p w:rsidR="00A3108F" w:rsidRPr="000608EA" w:rsidRDefault="00A3108F" w:rsidP="002B2779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608EA">
              <w:rPr>
                <w:rFonts w:ascii="Arial" w:hAnsi="Arial" w:cs="Arial"/>
                <w:sz w:val="20"/>
                <w:szCs w:val="20"/>
                <w:lang w:val="pt-BR"/>
              </w:rPr>
              <w:t>11</w:t>
            </w:r>
          </w:p>
        </w:tc>
        <w:tc>
          <w:tcPr>
            <w:tcW w:w="1006" w:type="dxa"/>
            <w:vAlign w:val="center"/>
          </w:tcPr>
          <w:p w:rsidR="00A3108F" w:rsidRPr="000608EA" w:rsidRDefault="00A3108F" w:rsidP="002B27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08EA">
              <w:rPr>
                <w:rFonts w:ascii="Arial" w:hAnsi="Arial" w:cs="Arial"/>
                <w:color w:val="000000"/>
                <w:sz w:val="20"/>
                <w:szCs w:val="20"/>
              </w:rPr>
              <w:t>0.01%</w:t>
            </w:r>
          </w:p>
        </w:tc>
        <w:tc>
          <w:tcPr>
            <w:tcW w:w="920" w:type="dxa"/>
          </w:tcPr>
          <w:p w:rsidR="00A3108F" w:rsidRPr="000608EA" w:rsidRDefault="00A3108F" w:rsidP="002B2779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proofErr w:type="gramStart"/>
            <w:r w:rsidRPr="000608EA">
              <w:rPr>
                <w:rFonts w:ascii="Arial" w:hAnsi="Arial" w:cs="Arial"/>
                <w:sz w:val="20"/>
                <w:szCs w:val="20"/>
                <w:lang w:val="pt-BR"/>
              </w:rPr>
              <w:t>0</w:t>
            </w:r>
            <w:proofErr w:type="gramEnd"/>
          </w:p>
        </w:tc>
        <w:tc>
          <w:tcPr>
            <w:tcW w:w="895" w:type="dxa"/>
            <w:vAlign w:val="center"/>
          </w:tcPr>
          <w:p w:rsidR="00A3108F" w:rsidRPr="000608EA" w:rsidRDefault="00A3108F" w:rsidP="002B27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08EA">
              <w:rPr>
                <w:rFonts w:ascii="Arial" w:hAnsi="Arial" w:cs="Arial"/>
                <w:color w:val="000000"/>
                <w:sz w:val="20"/>
                <w:szCs w:val="20"/>
              </w:rPr>
              <w:t>0.00%</w:t>
            </w:r>
          </w:p>
        </w:tc>
      </w:tr>
      <w:tr w:rsidR="00A3108F" w:rsidRPr="000608EA" w:rsidTr="002B2779">
        <w:trPr>
          <w:jc w:val="center"/>
        </w:trPr>
        <w:tc>
          <w:tcPr>
            <w:tcW w:w="3897" w:type="dxa"/>
          </w:tcPr>
          <w:p w:rsidR="00A3108F" w:rsidRPr="000608EA" w:rsidRDefault="00A3108F" w:rsidP="00A3108F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608EA">
              <w:rPr>
                <w:rFonts w:ascii="Arial" w:hAnsi="Arial" w:cs="Arial"/>
                <w:sz w:val="20"/>
                <w:szCs w:val="20"/>
                <w:lang w:val="pt-BR"/>
              </w:rPr>
              <w:t xml:space="preserve">RENDIMENT BM </w:t>
            </w:r>
          </w:p>
        </w:tc>
        <w:tc>
          <w:tcPr>
            <w:tcW w:w="1200" w:type="dxa"/>
          </w:tcPr>
          <w:p w:rsidR="00A3108F" w:rsidRPr="000608EA" w:rsidRDefault="00A3108F" w:rsidP="002B2779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608EA">
              <w:rPr>
                <w:rFonts w:ascii="Arial" w:hAnsi="Arial" w:cs="Arial"/>
                <w:sz w:val="20"/>
                <w:szCs w:val="20"/>
                <w:lang w:val="pt-BR"/>
              </w:rPr>
              <w:t>11</w:t>
            </w:r>
          </w:p>
        </w:tc>
        <w:tc>
          <w:tcPr>
            <w:tcW w:w="1006" w:type="dxa"/>
            <w:vAlign w:val="center"/>
          </w:tcPr>
          <w:p w:rsidR="00A3108F" w:rsidRPr="000608EA" w:rsidRDefault="00A3108F" w:rsidP="002B27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08EA">
              <w:rPr>
                <w:rFonts w:ascii="Arial" w:hAnsi="Arial" w:cs="Arial"/>
                <w:color w:val="000000"/>
                <w:sz w:val="20"/>
                <w:szCs w:val="20"/>
              </w:rPr>
              <w:t>0.01%</w:t>
            </w:r>
          </w:p>
        </w:tc>
        <w:tc>
          <w:tcPr>
            <w:tcW w:w="920" w:type="dxa"/>
          </w:tcPr>
          <w:p w:rsidR="00A3108F" w:rsidRPr="000608EA" w:rsidRDefault="00A3108F" w:rsidP="002B2779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608EA">
              <w:rPr>
                <w:rFonts w:ascii="Arial" w:hAnsi="Arial" w:cs="Arial"/>
                <w:sz w:val="20"/>
                <w:szCs w:val="20"/>
                <w:lang w:val="pt-BR"/>
              </w:rPr>
              <w:t>11</w:t>
            </w:r>
          </w:p>
        </w:tc>
        <w:tc>
          <w:tcPr>
            <w:tcW w:w="895" w:type="dxa"/>
            <w:vAlign w:val="center"/>
          </w:tcPr>
          <w:p w:rsidR="00A3108F" w:rsidRPr="000608EA" w:rsidRDefault="00A3108F" w:rsidP="002B27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08EA">
              <w:rPr>
                <w:rFonts w:ascii="Arial" w:hAnsi="Arial" w:cs="Arial"/>
                <w:color w:val="000000"/>
                <w:sz w:val="20"/>
                <w:szCs w:val="20"/>
              </w:rPr>
              <w:t>0.02%</w:t>
            </w:r>
          </w:p>
        </w:tc>
      </w:tr>
      <w:tr w:rsidR="00A3108F" w:rsidRPr="000608EA" w:rsidTr="002B2779">
        <w:trPr>
          <w:jc w:val="center"/>
        </w:trPr>
        <w:tc>
          <w:tcPr>
            <w:tcW w:w="3897" w:type="dxa"/>
          </w:tcPr>
          <w:p w:rsidR="00A3108F" w:rsidRPr="000608EA" w:rsidRDefault="00A3108F" w:rsidP="00A3108F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608EA">
              <w:rPr>
                <w:rFonts w:ascii="Arial" w:hAnsi="Arial" w:cs="Arial"/>
                <w:sz w:val="20"/>
                <w:szCs w:val="20"/>
                <w:lang w:val="pt-BR"/>
              </w:rPr>
              <w:t xml:space="preserve">CXGERAL BM </w:t>
            </w:r>
          </w:p>
        </w:tc>
        <w:tc>
          <w:tcPr>
            <w:tcW w:w="1200" w:type="dxa"/>
          </w:tcPr>
          <w:p w:rsidR="00A3108F" w:rsidRPr="000608EA" w:rsidRDefault="00A3108F" w:rsidP="002B2779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proofErr w:type="gramStart"/>
            <w:r w:rsidRPr="000608EA">
              <w:rPr>
                <w:rFonts w:ascii="Arial" w:hAnsi="Arial" w:cs="Arial"/>
                <w:sz w:val="20"/>
                <w:szCs w:val="20"/>
                <w:lang w:val="pt-BR"/>
              </w:rPr>
              <w:t>9</w:t>
            </w:r>
            <w:proofErr w:type="gramEnd"/>
          </w:p>
        </w:tc>
        <w:tc>
          <w:tcPr>
            <w:tcW w:w="1006" w:type="dxa"/>
            <w:vAlign w:val="center"/>
          </w:tcPr>
          <w:p w:rsidR="00A3108F" w:rsidRPr="000608EA" w:rsidRDefault="00A3108F" w:rsidP="002B27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08EA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0.01%</w:t>
            </w:r>
          </w:p>
        </w:tc>
        <w:tc>
          <w:tcPr>
            <w:tcW w:w="920" w:type="dxa"/>
          </w:tcPr>
          <w:p w:rsidR="00A3108F" w:rsidRPr="000608EA" w:rsidRDefault="00A3108F" w:rsidP="002B2779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608EA">
              <w:rPr>
                <w:rFonts w:ascii="Arial" w:hAnsi="Arial" w:cs="Arial"/>
                <w:sz w:val="20"/>
                <w:szCs w:val="20"/>
                <w:lang w:val="pt-BR"/>
              </w:rPr>
              <w:t>66</w:t>
            </w:r>
          </w:p>
        </w:tc>
        <w:tc>
          <w:tcPr>
            <w:tcW w:w="895" w:type="dxa"/>
            <w:vAlign w:val="center"/>
          </w:tcPr>
          <w:p w:rsidR="00A3108F" w:rsidRPr="000608EA" w:rsidRDefault="00A3108F" w:rsidP="002B27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08EA">
              <w:rPr>
                <w:rFonts w:ascii="Arial" w:hAnsi="Arial" w:cs="Arial"/>
                <w:color w:val="000000"/>
                <w:sz w:val="20"/>
                <w:szCs w:val="20"/>
              </w:rPr>
              <w:t>0.10%</w:t>
            </w:r>
          </w:p>
        </w:tc>
      </w:tr>
      <w:tr w:rsidR="00A3108F" w:rsidRPr="000608EA" w:rsidTr="002B2779">
        <w:trPr>
          <w:jc w:val="center"/>
        </w:trPr>
        <w:tc>
          <w:tcPr>
            <w:tcW w:w="3897" w:type="dxa"/>
          </w:tcPr>
          <w:p w:rsidR="00A3108F" w:rsidRPr="000608EA" w:rsidRDefault="00A3108F" w:rsidP="00A3108F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608EA">
              <w:rPr>
                <w:rFonts w:ascii="Arial" w:hAnsi="Arial" w:cs="Arial"/>
                <w:sz w:val="20"/>
                <w:szCs w:val="20"/>
                <w:lang w:val="pt-BR"/>
              </w:rPr>
              <w:t>INTERCAP BM</w:t>
            </w:r>
          </w:p>
        </w:tc>
        <w:tc>
          <w:tcPr>
            <w:tcW w:w="1200" w:type="dxa"/>
          </w:tcPr>
          <w:p w:rsidR="00A3108F" w:rsidRPr="000608EA" w:rsidRDefault="00A3108F" w:rsidP="002B2779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proofErr w:type="gramStart"/>
            <w:r w:rsidRPr="000608EA">
              <w:rPr>
                <w:rFonts w:ascii="Arial" w:hAnsi="Arial" w:cs="Arial"/>
                <w:sz w:val="20"/>
                <w:szCs w:val="20"/>
                <w:lang w:val="pt-BR"/>
              </w:rPr>
              <w:t>9</w:t>
            </w:r>
            <w:proofErr w:type="gramEnd"/>
          </w:p>
        </w:tc>
        <w:tc>
          <w:tcPr>
            <w:tcW w:w="1006" w:type="dxa"/>
            <w:vAlign w:val="center"/>
          </w:tcPr>
          <w:p w:rsidR="00A3108F" w:rsidRPr="000608EA" w:rsidRDefault="00A3108F" w:rsidP="002B27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08EA">
              <w:rPr>
                <w:rFonts w:ascii="Arial" w:hAnsi="Arial" w:cs="Arial"/>
                <w:color w:val="000000"/>
                <w:sz w:val="20"/>
                <w:szCs w:val="20"/>
              </w:rPr>
              <w:t>0.01%</w:t>
            </w:r>
          </w:p>
        </w:tc>
        <w:tc>
          <w:tcPr>
            <w:tcW w:w="920" w:type="dxa"/>
          </w:tcPr>
          <w:p w:rsidR="00A3108F" w:rsidRPr="000608EA" w:rsidRDefault="00A3108F" w:rsidP="002B2779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proofErr w:type="gramStart"/>
            <w:r w:rsidRPr="000608EA">
              <w:rPr>
                <w:rFonts w:ascii="Arial" w:hAnsi="Arial" w:cs="Arial"/>
                <w:sz w:val="20"/>
                <w:szCs w:val="20"/>
                <w:lang w:val="pt-BR"/>
              </w:rPr>
              <w:t>0</w:t>
            </w:r>
            <w:proofErr w:type="gramEnd"/>
          </w:p>
        </w:tc>
        <w:tc>
          <w:tcPr>
            <w:tcW w:w="895" w:type="dxa"/>
            <w:vAlign w:val="center"/>
          </w:tcPr>
          <w:p w:rsidR="00A3108F" w:rsidRPr="000608EA" w:rsidRDefault="00A3108F" w:rsidP="002B27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08EA">
              <w:rPr>
                <w:rFonts w:ascii="Arial" w:hAnsi="Arial" w:cs="Arial"/>
                <w:color w:val="000000"/>
                <w:sz w:val="20"/>
                <w:szCs w:val="20"/>
              </w:rPr>
              <w:t>0.00%</w:t>
            </w:r>
          </w:p>
        </w:tc>
      </w:tr>
      <w:tr w:rsidR="0069378A" w:rsidRPr="000608EA" w:rsidTr="002B2779">
        <w:trPr>
          <w:jc w:val="center"/>
        </w:trPr>
        <w:tc>
          <w:tcPr>
            <w:tcW w:w="3897" w:type="dxa"/>
          </w:tcPr>
          <w:p w:rsidR="0069378A" w:rsidRPr="000608EA" w:rsidRDefault="0069378A" w:rsidP="00A3108F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608EA">
              <w:rPr>
                <w:rFonts w:ascii="Arial" w:hAnsi="Arial" w:cs="Arial"/>
                <w:sz w:val="20"/>
                <w:szCs w:val="20"/>
                <w:lang w:val="pt-BR"/>
              </w:rPr>
              <w:t xml:space="preserve">AFPARANA </w:t>
            </w:r>
          </w:p>
        </w:tc>
        <w:tc>
          <w:tcPr>
            <w:tcW w:w="1200" w:type="dxa"/>
          </w:tcPr>
          <w:p w:rsidR="0069378A" w:rsidRPr="000608EA" w:rsidRDefault="0069378A" w:rsidP="002B2779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proofErr w:type="gramStart"/>
            <w:r w:rsidRPr="000608EA">
              <w:rPr>
                <w:rFonts w:ascii="Arial" w:hAnsi="Arial" w:cs="Arial"/>
                <w:sz w:val="20"/>
                <w:szCs w:val="20"/>
                <w:lang w:val="pt-BR"/>
              </w:rPr>
              <w:t>6</w:t>
            </w:r>
            <w:proofErr w:type="gramEnd"/>
          </w:p>
        </w:tc>
        <w:tc>
          <w:tcPr>
            <w:tcW w:w="1006" w:type="dxa"/>
            <w:vAlign w:val="center"/>
          </w:tcPr>
          <w:p w:rsidR="0069378A" w:rsidRPr="000608EA" w:rsidRDefault="0069378A" w:rsidP="002B27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08EA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0.01%</w:t>
            </w:r>
          </w:p>
        </w:tc>
        <w:tc>
          <w:tcPr>
            <w:tcW w:w="920" w:type="dxa"/>
          </w:tcPr>
          <w:p w:rsidR="0069378A" w:rsidRPr="000608EA" w:rsidRDefault="0069378A" w:rsidP="002B2779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608EA">
              <w:rPr>
                <w:rFonts w:ascii="Arial" w:hAnsi="Arial" w:cs="Arial"/>
                <w:sz w:val="20"/>
                <w:szCs w:val="20"/>
                <w:lang w:val="pt-BR"/>
              </w:rPr>
              <w:t>26</w:t>
            </w:r>
          </w:p>
        </w:tc>
        <w:tc>
          <w:tcPr>
            <w:tcW w:w="895" w:type="dxa"/>
            <w:vAlign w:val="center"/>
          </w:tcPr>
          <w:p w:rsidR="0069378A" w:rsidRPr="000608EA" w:rsidRDefault="0069378A" w:rsidP="002B27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08EA">
              <w:rPr>
                <w:rFonts w:ascii="Arial" w:hAnsi="Arial" w:cs="Arial"/>
                <w:color w:val="000000"/>
                <w:sz w:val="20"/>
                <w:szCs w:val="20"/>
              </w:rPr>
              <w:t>0.04%</w:t>
            </w:r>
          </w:p>
        </w:tc>
      </w:tr>
      <w:tr w:rsidR="00A3108F" w:rsidRPr="000608EA" w:rsidTr="002B2779">
        <w:trPr>
          <w:jc w:val="center"/>
        </w:trPr>
        <w:tc>
          <w:tcPr>
            <w:tcW w:w="3897" w:type="dxa"/>
          </w:tcPr>
          <w:p w:rsidR="00A3108F" w:rsidRPr="000608EA" w:rsidRDefault="00A3108F" w:rsidP="00A3108F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608EA">
              <w:rPr>
                <w:rFonts w:ascii="Arial" w:hAnsi="Arial" w:cs="Arial"/>
                <w:sz w:val="20"/>
                <w:szCs w:val="20"/>
                <w:lang w:val="pt-BR"/>
              </w:rPr>
              <w:t xml:space="preserve">FINEP </w:t>
            </w:r>
          </w:p>
        </w:tc>
        <w:tc>
          <w:tcPr>
            <w:tcW w:w="1200" w:type="dxa"/>
          </w:tcPr>
          <w:p w:rsidR="00A3108F" w:rsidRPr="000608EA" w:rsidRDefault="00A3108F" w:rsidP="002B2779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proofErr w:type="gramStart"/>
            <w:r w:rsidRPr="000608EA">
              <w:rPr>
                <w:rFonts w:ascii="Arial" w:hAnsi="Arial" w:cs="Arial"/>
                <w:sz w:val="20"/>
                <w:szCs w:val="20"/>
                <w:lang w:val="pt-BR"/>
              </w:rPr>
              <w:t>6</w:t>
            </w:r>
            <w:proofErr w:type="gramEnd"/>
          </w:p>
        </w:tc>
        <w:tc>
          <w:tcPr>
            <w:tcW w:w="1006" w:type="dxa"/>
            <w:vAlign w:val="center"/>
          </w:tcPr>
          <w:p w:rsidR="00A3108F" w:rsidRPr="000608EA" w:rsidRDefault="00A3108F" w:rsidP="002B27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08EA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0.01%</w:t>
            </w:r>
          </w:p>
        </w:tc>
        <w:tc>
          <w:tcPr>
            <w:tcW w:w="920" w:type="dxa"/>
          </w:tcPr>
          <w:p w:rsidR="00A3108F" w:rsidRPr="000608EA" w:rsidRDefault="00A3108F" w:rsidP="002B2779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proofErr w:type="gramStart"/>
            <w:r w:rsidRPr="000608EA">
              <w:rPr>
                <w:rFonts w:ascii="Arial" w:hAnsi="Arial" w:cs="Arial"/>
                <w:sz w:val="20"/>
                <w:szCs w:val="20"/>
                <w:lang w:val="pt-BR"/>
              </w:rPr>
              <w:t>0</w:t>
            </w:r>
            <w:proofErr w:type="gramEnd"/>
          </w:p>
        </w:tc>
        <w:tc>
          <w:tcPr>
            <w:tcW w:w="895" w:type="dxa"/>
            <w:vAlign w:val="center"/>
          </w:tcPr>
          <w:p w:rsidR="00A3108F" w:rsidRPr="000608EA" w:rsidRDefault="00A3108F" w:rsidP="002B27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08EA">
              <w:rPr>
                <w:rFonts w:ascii="Arial" w:hAnsi="Arial" w:cs="Arial"/>
                <w:color w:val="000000"/>
                <w:sz w:val="20"/>
                <w:szCs w:val="20"/>
              </w:rPr>
              <w:t>0.00%</w:t>
            </w:r>
          </w:p>
        </w:tc>
      </w:tr>
      <w:tr w:rsidR="00A3108F" w:rsidRPr="000608EA" w:rsidTr="002B2779">
        <w:trPr>
          <w:jc w:val="center"/>
        </w:trPr>
        <w:tc>
          <w:tcPr>
            <w:tcW w:w="3897" w:type="dxa"/>
          </w:tcPr>
          <w:p w:rsidR="00A3108F" w:rsidRPr="000608EA" w:rsidRDefault="00A3108F" w:rsidP="00A3108F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608EA">
              <w:rPr>
                <w:rFonts w:ascii="Arial" w:hAnsi="Arial" w:cs="Arial"/>
                <w:sz w:val="20"/>
                <w:szCs w:val="20"/>
                <w:lang w:val="pt-BR"/>
              </w:rPr>
              <w:t>GUANABARA BM</w:t>
            </w:r>
          </w:p>
        </w:tc>
        <w:tc>
          <w:tcPr>
            <w:tcW w:w="1200" w:type="dxa"/>
          </w:tcPr>
          <w:p w:rsidR="00A3108F" w:rsidRPr="000608EA" w:rsidRDefault="00A3108F" w:rsidP="002B2779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proofErr w:type="gramStart"/>
            <w:r w:rsidRPr="000608EA">
              <w:rPr>
                <w:rFonts w:ascii="Arial" w:hAnsi="Arial" w:cs="Arial"/>
                <w:sz w:val="20"/>
                <w:szCs w:val="20"/>
                <w:lang w:val="pt-BR"/>
              </w:rPr>
              <w:t>6</w:t>
            </w:r>
            <w:proofErr w:type="gramEnd"/>
          </w:p>
        </w:tc>
        <w:tc>
          <w:tcPr>
            <w:tcW w:w="1006" w:type="dxa"/>
            <w:vAlign w:val="center"/>
          </w:tcPr>
          <w:p w:rsidR="00A3108F" w:rsidRPr="000608EA" w:rsidRDefault="00A3108F" w:rsidP="002B27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08EA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0.01%</w:t>
            </w:r>
          </w:p>
        </w:tc>
        <w:tc>
          <w:tcPr>
            <w:tcW w:w="920" w:type="dxa"/>
          </w:tcPr>
          <w:p w:rsidR="00A3108F" w:rsidRPr="000608EA" w:rsidRDefault="00A3108F" w:rsidP="002B2779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608EA">
              <w:rPr>
                <w:rFonts w:ascii="Arial" w:hAnsi="Arial" w:cs="Arial"/>
                <w:sz w:val="20"/>
                <w:szCs w:val="20"/>
                <w:lang w:val="pt-BR"/>
              </w:rPr>
              <w:t>33</w:t>
            </w:r>
          </w:p>
        </w:tc>
        <w:tc>
          <w:tcPr>
            <w:tcW w:w="895" w:type="dxa"/>
            <w:vAlign w:val="center"/>
          </w:tcPr>
          <w:p w:rsidR="00A3108F" w:rsidRPr="000608EA" w:rsidRDefault="00A3108F" w:rsidP="002B27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08EA">
              <w:rPr>
                <w:rFonts w:ascii="Arial" w:hAnsi="Arial" w:cs="Arial"/>
                <w:color w:val="000000"/>
                <w:sz w:val="20"/>
                <w:szCs w:val="20"/>
              </w:rPr>
              <w:t>0.05%</w:t>
            </w:r>
          </w:p>
        </w:tc>
      </w:tr>
      <w:tr w:rsidR="00A3108F" w:rsidRPr="000608EA" w:rsidTr="002B2779">
        <w:trPr>
          <w:jc w:val="center"/>
        </w:trPr>
        <w:tc>
          <w:tcPr>
            <w:tcW w:w="3897" w:type="dxa"/>
          </w:tcPr>
          <w:p w:rsidR="00A3108F" w:rsidRPr="000608EA" w:rsidRDefault="00A3108F" w:rsidP="00A3108F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608EA">
              <w:rPr>
                <w:rFonts w:ascii="Arial" w:hAnsi="Arial" w:cs="Arial"/>
                <w:sz w:val="20"/>
                <w:szCs w:val="20"/>
                <w:lang w:val="pt-BR"/>
              </w:rPr>
              <w:t xml:space="preserve">SG BRASIL </w:t>
            </w:r>
          </w:p>
        </w:tc>
        <w:tc>
          <w:tcPr>
            <w:tcW w:w="1200" w:type="dxa"/>
          </w:tcPr>
          <w:p w:rsidR="00A3108F" w:rsidRPr="000608EA" w:rsidRDefault="00A3108F" w:rsidP="002B2779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proofErr w:type="gramStart"/>
            <w:r w:rsidRPr="000608EA">
              <w:rPr>
                <w:rFonts w:ascii="Arial" w:hAnsi="Arial" w:cs="Arial"/>
                <w:sz w:val="20"/>
                <w:szCs w:val="20"/>
                <w:lang w:val="pt-BR"/>
              </w:rPr>
              <w:t>5</w:t>
            </w:r>
            <w:proofErr w:type="gramEnd"/>
          </w:p>
        </w:tc>
        <w:tc>
          <w:tcPr>
            <w:tcW w:w="1006" w:type="dxa"/>
            <w:vAlign w:val="center"/>
          </w:tcPr>
          <w:p w:rsidR="00A3108F" w:rsidRPr="000608EA" w:rsidRDefault="00A3108F" w:rsidP="002B27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08EA">
              <w:rPr>
                <w:rFonts w:ascii="Arial" w:hAnsi="Arial" w:cs="Arial"/>
                <w:color w:val="000000"/>
                <w:sz w:val="20"/>
                <w:szCs w:val="20"/>
              </w:rPr>
              <w:t>0.00%</w:t>
            </w:r>
          </w:p>
        </w:tc>
        <w:tc>
          <w:tcPr>
            <w:tcW w:w="920" w:type="dxa"/>
          </w:tcPr>
          <w:p w:rsidR="00A3108F" w:rsidRPr="000608EA" w:rsidRDefault="00A3108F" w:rsidP="002B2779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proofErr w:type="gramStart"/>
            <w:r w:rsidRPr="000608EA">
              <w:rPr>
                <w:rFonts w:ascii="Arial" w:hAnsi="Arial" w:cs="Arial"/>
                <w:sz w:val="20"/>
                <w:szCs w:val="20"/>
                <w:lang w:val="pt-BR"/>
              </w:rPr>
              <w:t>5</w:t>
            </w:r>
            <w:proofErr w:type="gramEnd"/>
          </w:p>
        </w:tc>
        <w:tc>
          <w:tcPr>
            <w:tcW w:w="895" w:type="dxa"/>
            <w:vAlign w:val="center"/>
          </w:tcPr>
          <w:p w:rsidR="00A3108F" w:rsidRPr="000608EA" w:rsidRDefault="00A3108F" w:rsidP="002B27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08EA">
              <w:rPr>
                <w:rFonts w:ascii="Arial" w:hAnsi="Arial" w:cs="Arial"/>
                <w:color w:val="000000"/>
                <w:sz w:val="20"/>
                <w:szCs w:val="20"/>
              </w:rPr>
              <w:t>0.01%</w:t>
            </w:r>
          </w:p>
        </w:tc>
      </w:tr>
      <w:tr w:rsidR="00A3108F" w:rsidRPr="000608EA" w:rsidTr="002B2779">
        <w:trPr>
          <w:jc w:val="center"/>
        </w:trPr>
        <w:tc>
          <w:tcPr>
            <w:tcW w:w="3897" w:type="dxa"/>
          </w:tcPr>
          <w:p w:rsidR="00A3108F" w:rsidRPr="000608EA" w:rsidRDefault="00A3108F" w:rsidP="00A3108F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608EA">
              <w:rPr>
                <w:rFonts w:ascii="Arial" w:hAnsi="Arial" w:cs="Arial"/>
                <w:sz w:val="20"/>
                <w:szCs w:val="20"/>
                <w:lang w:val="pt-BR"/>
              </w:rPr>
              <w:lastRenderedPageBreak/>
              <w:t>BRP BM</w:t>
            </w:r>
          </w:p>
        </w:tc>
        <w:tc>
          <w:tcPr>
            <w:tcW w:w="1200" w:type="dxa"/>
          </w:tcPr>
          <w:p w:rsidR="00A3108F" w:rsidRPr="000608EA" w:rsidRDefault="00A3108F" w:rsidP="002B2779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proofErr w:type="gramStart"/>
            <w:r w:rsidRPr="000608EA">
              <w:rPr>
                <w:rFonts w:ascii="Arial" w:hAnsi="Arial" w:cs="Arial"/>
                <w:sz w:val="20"/>
                <w:szCs w:val="20"/>
                <w:lang w:val="pt-BR"/>
              </w:rPr>
              <w:t>4</w:t>
            </w:r>
            <w:proofErr w:type="gramEnd"/>
          </w:p>
        </w:tc>
        <w:tc>
          <w:tcPr>
            <w:tcW w:w="1006" w:type="dxa"/>
            <w:vAlign w:val="center"/>
          </w:tcPr>
          <w:p w:rsidR="00A3108F" w:rsidRPr="000608EA" w:rsidRDefault="00A3108F" w:rsidP="002B27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08EA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0.00%</w:t>
            </w:r>
          </w:p>
        </w:tc>
        <w:tc>
          <w:tcPr>
            <w:tcW w:w="920" w:type="dxa"/>
          </w:tcPr>
          <w:p w:rsidR="00A3108F" w:rsidRPr="000608EA" w:rsidRDefault="00A3108F" w:rsidP="002B2779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proofErr w:type="gramStart"/>
            <w:r w:rsidRPr="000608EA">
              <w:rPr>
                <w:rFonts w:ascii="Arial" w:hAnsi="Arial" w:cs="Arial"/>
                <w:sz w:val="20"/>
                <w:szCs w:val="20"/>
                <w:lang w:val="pt-BR"/>
              </w:rPr>
              <w:t>8</w:t>
            </w:r>
            <w:proofErr w:type="gramEnd"/>
          </w:p>
        </w:tc>
        <w:tc>
          <w:tcPr>
            <w:tcW w:w="895" w:type="dxa"/>
            <w:vAlign w:val="center"/>
          </w:tcPr>
          <w:p w:rsidR="00A3108F" w:rsidRPr="000608EA" w:rsidRDefault="00A3108F" w:rsidP="002B27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08EA">
              <w:rPr>
                <w:rFonts w:ascii="Arial" w:hAnsi="Arial" w:cs="Arial"/>
                <w:color w:val="000000"/>
                <w:sz w:val="20"/>
                <w:szCs w:val="20"/>
              </w:rPr>
              <w:t>0.01%</w:t>
            </w:r>
          </w:p>
        </w:tc>
      </w:tr>
      <w:tr w:rsidR="00A3108F" w:rsidRPr="000608EA" w:rsidTr="002B2779">
        <w:trPr>
          <w:jc w:val="center"/>
        </w:trPr>
        <w:tc>
          <w:tcPr>
            <w:tcW w:w="3897" w:type="dxa"/>
          </w:tcPr>
          <w:p w:rsidR="00A3108F" w:rsidRPr="000608EA" w:rsidRDefault="00A3108F" w:rsidP="00A3108F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608EA">
              <w:rPr>
                <w:rFonts w:ascii="Arial" w:hAnsi="Arial" w:cs="Arial"/>
                <w:sz w:val="20"/>
                <w:szCs w:val="20"/>
                <w:lang w:val="pt-BR"/>
              </w:rPr>
              <w:t xml:space="preserve">MERCEDES LS </w:t>
            </w:r>
          </w:p>
        </w:tc>
        <w:tc>
          <w:tcPr>
            <w:tcW w:w="1200" w:type="dxa"/>
          </w:tcPr>
          <w:p w:rsidR="00A3108F" w:rsidRPr="000608EA" w:rsidRDefault="00A3108F" w:rsidP="002B2779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proofErr w:type="gramStart"/>
            <w:r w:rsidRPr="000608EA">
              <w:rPr>
                <w:rFonts w:ascii="Arial" w:hAnsi="Arial" w:cs="Arial"/>
                <w:sz w:val="20"/>
                <w:szCs w:val="20"/>
                <w:lang w:val="pt-BR"/>
              </w:rPr>
              <w:t>3</w:t>
            </w:r>
            <w:proofErr w:type="gramEnd"/>
          </w:p>
        </w:tc>
        <w:tc>
          <w:tcPr>
            <w:tcW w:w="1006" w:type="dxa"/>
            <w:vAlign w:val="center"/>
          </w:tcPr>
          <w:p w:rsidR="00A3108F" w:rsidRPr="000608EA" w:rsidRDefault="00A3108F" w:rsidP="002B27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08EA">
              <w:rPr>
                <w:rFonts w:ascii="Arial" w:hAnsi="Arial" w:cs="Arial"/>
                <w:color w:val="000000"/>
                <w:sz w:val="20"/>
                <w:szCs w:val="20"/>
              </w:rPr>
              <w:t>0.00%</w:t>
            </w:r>
          </w:p>
        </w:tc>
        <w:tc>
          <w:tcPr>
            <w:tcW w:w="920" w:type="dxa"/>
          </w:tcPr>
          <w:p w:rsidR="00A3108F" w:rsidRPr="000608EA" w:rsidRDefault="00A3108F" w:rsidP="002B2779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proofErr w:type="gramStart"/>
            <w:r w:rsidRPr="000608EA">
              <w:rPr>
                <w:rFonts w:ascii="Arial" w:hAnsi="Arial" w:cs="Arial"/>
                <w:sz w:val="20"/>
                <w:szCs w:val="20"/>
                <w:lang w:val="pt-BR"/>
              </w:rPr>
              <w:t>6</w:t>
            </w:r>
            <w:proofErr w:type="gramEnd"/>
          </w:p>
        </w:tc>
        <w:tc>
          <w:tcPr>
            <w:tcW w:w="895" w:type="dxa"/>
            <w:vAlign w:val="center"/>
          </w:tcPr>
          <w:p w:rsidR="00A3108F" w:rsidRPr="000608EA" w:rsidRDefault="00A3108F" w:rsidP="002B27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08EA">
              <w:rPr>
                <w:rFonts w:ascii="Arial" w:hAnsi="Arial" w:cs="Arial"/>
                <w:color w:val="000000"/>
                <w:sz w:val="20"/>
                <w:szCs w:val="20"/>
              </w:rPr>
              <w:t>0.01%</w:t>
            </w:r>
          </w:p>
        </w:tc>
      </w:tr>
      <w:tr w:rsidR="00CC0B50" w:rsidRPr="000608EA" w:rsidTr="0069378A">
        <w:trPr>
          <w:jc w:val="center"/>
        </w:trPr>
        <w:tc>
          <w:tcPr>
            <w:tcW w:w="3897" w:type="dxa"/>
          </w:tcPr>
          <w:p w:rsidR="00CC0B50" w:rsidRPr="000608EA" w:rsidRDefault="00CC0B50" w:rsidP="00A3108F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608EA">
              <w:rPr>
                <w:rFonts w:ascii="Arial" w:hAnsi="Arial" w:cs="Arial"/>
                <w:sz w:val="20"/>
                <w:szCs w:val="20"/>
                <w:lang w:val="pt-BR"/>
              </w:rPr>
              <w:t xml:space="preserve">BANESE </w:t>
            </w:r>
          </w:p>
        </w:tc>
        <w:tc>
          <w:tcPr>
            <w:tcW w:w="1200" w:type="dxa"/>
          </w:tcPr>
          <w:p w:rsidR="00CC0B50" w:rsidRPr="000608EA" w:rsidRDefault="00CC0B50" w:rsidP="000608EA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proofErr w:type="gramStart"/>
            <w:r w:rsidRPr="000608EA">
              <w:rPr>
                <w:rFonts w:ascii="Arial" w:hAnsi="Arial" w:cs="Arial"/>
                <w:sz w:val="20"/>
                <w:szCs w:val="20"/>
                <w:lang w:val="pt-BR"/>
              </w:rPr>
              <w:t>2</w:t>
            </w:r>
            <w:proofErr w:type="gramEnd"/>
          </w:p>
        </w:tc>
        <w:tc>
          <w:tcPr>
            <w:tcW w:w="1006" w:type="dxa"/>
            <w:vAlign w:val="center"/>
          </w:tcPr>
          <w:p w:rsidR="00CC0B50" w:rsidRPr="000608EA" w:rsidRDefault="00CC0B50" w:rsidP="000608E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08EA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0.00%</w:t>
            </w:r>
          </w:p>
        </w:tc>
        <w:tc>
          <w:tcPr>
            <w:tcW w:w="920" w:type="dxa"/>
          </w:tcPr>
          <w:p w:rsidR="00CC0B50" w:rsidRPr="000608EA" w:rsidRDefault="00CC0B50" w:rsidP="000608EA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proofErr w:type="gramStart"/>
            <w:r w:rsidRPr="000608EA">
              <w:rPr>
                <w:rFonts w:ascii="Arial" w:hAnsi="Arial" w:cs="Arial"/>
                <w:sz w:val="20"/>
                <w:szCs w:val="20"/>
                <w:lang w:val="pt-BR"/>
              </w:rPr>
              <w:t>5</w:t>
            </w:r>
            <w:proofErr w:type="gramEnd"/>
          </w:p>
        </w:tc>
        <w:tc>
          <w:tcPr>
            <w:tcW w:w="895" w:type="dxa"/>
            <w:vAlign w:val="center"/>
          </w:tcPr>
          <w:p w:rsidR="00CC0B50" w:rsidRPr="000608EA" w:rsidRDefault="00CC0B50" w:rsidP="000608E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08EA">
              <w:rPr>
                <w:rFonts w:ascii="Arial" w:hAnsi="Arial" w:cs="Arial"/>
                <w:color w:val="000000"/>
                <w:sz w:val="20"/>
                <w:szCs w:val="20"/>
              </w:rPr>
              <w:t>0.01%</w:t>
            </w:r>
          </w:p>
        </w:tc>
      </w:tr>
      <w:tr w:rsidR="00A3108F" w:rsidRPr="000608EA" w:rsidTr="002B2779">
        <w:trPr>
          <w:jc w:val="center"/>
        </w:trPr>
        <w:tc>
          <w:tcPr>
            <w:tcW w:w="3897" w:type="dxa"/>
          </w:tcPr>
          <w:p w:rsidR="00A3108F" w:rsidRPr="000608EA" w:rsidRDefault="00A3108F" w:rsidP="00A3108F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608EA">
              <w:rPr>
                <w:rFonts w:ascii="Arial" w:hAnsi="Arial" w:cs="Arial"/>
                <w:sz w:val="20"/>
                <w:szCs w:val="20"/>
                <w:lang w:val="pt-BR"/>
              </w:rPr>
              <w:t xml:space="preserve">GOIASFOMENTO </w:t>
            </w:r>
          </w:p>
        </w:tc>
        <w:tc>
          <w:tcPr>
            <w:tcW w:w="1200" w:type="dxa"/>
          </w:tcPr>
          <w:p w:rsidR="00A3108F" w:rsidRPr="000608EA" w:rsidRDefault="00A3108F" w:rsidP="002B2779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proofErr w:type="gramStart"/>
            <w:r w:rsidRPr="000608EA">
              <w:rPr>
                <w:rFonts w:ascii="Arial" w:hAnsi="Arial" w:cs="Arial"/>
                <w:sz w:val="20"/>
                <w:szCs w:val="20"/>
                <w:lang w:val="pt-BR"/>
              </w:rPr>
              <w:t>2</w:t>
            </w:r>
            <w:proofErr w:type="gramEnd"/>
          </w:p>
        </w:tc>
        <w:tc>
          <w:tcPr>
            <w:tcW w:w="1006" w:type="dxa"/>
            <w:vAlign w:val="center"/>
          </w:tcPr>
          <w:p w:rsidR="00A3108F" w:rsidRPr="000608EA" w:rsidRDefault="00A3108F" w:rsidP="002B27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08EA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0.00%</w:t>
            </w:r>
          </w:p>
        </w:tc>
        <w:tc>
          <w:tcPr>
            <w:tcW w:w="920" w:type="dxa"/>
          </w:tcPr>
          <w:p w:rsidR="00A3108F" w:rsidRPr="000608EA" w:rsidRDefault="00A3108F" w:rsidP="002B2779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proofErr w:type="gramStart"/>
            <w:r w:rsidRPr="000608EA">
              <w:rPr>
                <w:rFonts w:ascii="Arial" w:hAnsi="Arial" w:cs="Arial"/>
                <w:sz w:val="20"/>
                <w:szCs w:val="20"/>
                <w:lang w:val="pt-BR"/>
              </w:rPr>
              <w:t>3</w:t>
            </w:r>
            <w:proofErr w:type="gramEnd"/>
          </w:p>
        </w:tc>
        <w:tc>
          <w:tcPr>
            <w:tcW w:w="895" w:type="dxa"/>
            <w:vAlign w:val="center"/>
          </w:tcPr>
          <w:p w:rsidR="00A3108F" w:rsidRPr="000608EA" w:rsidRDefault="00A3108F" w:rsidP="002B27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08EA">
              <w:rPr>
                <w:rFonts w:ascii="Arial" w:hAnsi="Arial" w:cs="Arial"/>
                <w:color w:val="000000"/>
                <w:sz w:val="20"/>
                <w:szCs w:val="20"/>
              </w:rPr>
              <w:t>0.00%</w:t>
            </w:r>
          </w:p>
        </w:tc>
      </w:tr>
      <w:tr w:rsidR="00CC0B50" w:rsidRPr="000608EA" w:rsidTr="0069378A">
        <w:trPr>
          <w:jc w:val="center"/>
        </w:trPr>
        <w:tc>
          <w:tcPr>
            <w:tcW w:w="3897" w:type="dxa"/>
          </w:tcPr>
          <w:p w:rsidR="00CC0B50" w:rsidRPr="000608EA" w:rsidRDefault="00CC0B50" w:rsidP="00A3108F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608EA">
              <w:rPr>
                <w:rFonts w:ascii="Arial" w:hAnsi="Arial" w:cs="Arial"/>
                <w:sz w:val="20"/>
                <w:szCs w:val="20"/>
                <w:lang w:val="pt-BR"/>
              </w:rPr>
              <w:t xml:space="preserve">BANPARA </w:t>
            </w:r>
          </w:p>
        </w:tc>
        <w:tc>
          <w:tcPr>
            <w:tcW w:w="1200" w:type="dxa"/>
          </w:tcPr>
          <w:p w:rsidR="00CC0B50" w:rsidRPr="000608EA" w:rsidRDefault="00CC0B50" w:rsidP="000608EA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proofErr w:type="gramStart"/>
            <w:r w:rsidRPr="000608EA">
              <w:rPr>
                <w:rFonts w:ascii="Arial" w:hAnsi="Arial" w:cs="Arial"/>
                <w:sz w:val="20"/>
                <w:szCs w:val="20"/>
                <w:lang w:val="pt-BR"/>
              </w:rPr>
              <w:t>1</w:t>
            </w:r>
            <w:proofErr w:type="gramEnd"/>
          </w:p>
        </w:tc>
        <w:tc>
          <w:tcPr>
            <w:tcW w:w="1006" w:type="dxa"/>
            <w:vAlign w:val="center"/>
          </w:tcPr>
          <w:p w:rsidR="00CC0B50" w:rsidRPr="000608EA" w:rsidRDefault="00CC0B50" w:rsidP="000608E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08EA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0.00%</w:t>
            </w:r>
          </w:p>
        </w:tc>
        <w:tc>
          <w:tcPr>
            <w:tcW w:w="920" w:type="dxa"/>
          </w:tcPr>
          <w:p w:rsidR="00CC0B50" w:rsidRPr="000608EA" w:rsidRDefault="00CC0B50" w:rsidP="000608EA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proofErr w:type="gramStart"/>
            <w:r w:rsidRPr="000608EA">
              <w:rPr>
                <w:rFonts w:ascii="Arial" w:hAnsi="Arial" w:cs="Arial"/>
                <w:sz w:val="20"/>
                <w:szCs w:val="20"/>
                <w:lang w:val="pt-BR"/>
              </w:rPr>
              <w:t>0</w:t>
            </w:r>
            <w:proofErr w:type="gramEnd"/>
          </w:p>
        </w:tc>
        <w:tc>
          <w:tcPr>
            <w:tcW w:w="895" w:type="dxa"/>
            <w:vAlign w:val="center"/>
          </w:tcPr>
          <w:p w:rsidR="00CC0B50" w:rsidRPr="000608EA" w:rsidRDefault="00CC0B50" w:rsidP="000608E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08EA">
              <w:rPr>
                <w:rFonts w:ascii="Arial" w:hAnsi="Arial" w:cs="Arial"/>
                <w:color w:val="000000"/>
                <w:sz w:val="20"/>
                <w:szCs w:val="20"/>
              </w:rPr>
              <w:t>0.00%</w:t>
            </w:r>
          </w:p>
        </w:tc>
      </w:tr>
      <w:tr w:rsidR="00CC0B50" w:rsidRPr="000608EA" w:rsidTr="0069378A">
        <w:trPr>
          <w:jc w:val="center"/>
        </w:trPr>
        <w:tc>
          <w:tcPr>
            <w:tcW w:w="3897" w:type="dxa"/>
          </w:tcPr>
          <w:p w:rsidR="00CC0B50" w:rsidRPr="000608EA" w:rsidRDefault="00CC0B50" w:rsidP="00A3108F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608EA">
              <w:rPr>
                <w:rFonts w:ascii="Arial" w:hAnsi="Arial" w:cs="Arial"/>
                <w:sz w:val="20"/>
                <w:szCs w:val="20"/>
                <w:lang w:val="pt-BR"/>
              </w:rPr>
              <w:t xml:space="preserve">BV LS </w:t>
            </w:r>
          </w:p>
        </w:tc>
        <w:tc>
          <w:tcPr>
            <w:tcW w:w="1200" w:type="dxa"/>
          </w:tcPr>
          <w:p w:rsidR="00CC0B50" w:rsidRPr="000608EA" w:rsidRDefault="00CC0B50" w:rsidP="000608EA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proofErr w:type="gramStart"/>
            <w:r w:rsidRPr="000608EA">
              <w:rPr>
                <w:rFonts w:ascii="Arial" w:hAnsi="Arial" w:cs="Arial"/>
                <w:sz w:val="20"/>
                <w:szCs w:val="20"/>
                <w:lang w:val="pt-BR"/>
              </w:rPr>
              <w:t>1</w:t>
            </w:r>
            <w:proofErr w:type="gramEnd"/>
          </w:p>
        </w:tc>
        <w:tc>
          <w:tcPr>
            <w:tcW w:w="1006" w:type="dxa"/>
            <w:vAlign w:val="center"/>
          </w:tcPr>
          <w:p w:rsidR="00CC0B50" w:rsidRPr="000608EA" w:rsidRDefault="00CC0B50" w:rsidP="000608E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08EA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0.00%</w:t>
            </w:r>
          </w:p>
        </w:tc>
        <w:tc>
          <w:tcPr>
            <w:tcW w:w="920" w:type="dxa"/>
          </w:tcPr>
          <w:p w:rsidR="00CC0B50" w:rsidRPr="000608EA" w:rsidRDefault="00CC0B50" w:rsidP="000608EA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proofErr w:type="gramStart"/>
            <w:r w:rsidRPr="000608EA">
              <w:rPr>
                <w:rFonts w:ascii="Arial" w:hAnsi="Arial" w:cs="Arial"/>
                <w:sz w:val="20"/>
                <w:szCs w:val="20"/>
                <w:lang w:val="pt-BR"/>
              </w:rPr>
              <w:t>0</w:t>
            </w:r>
            <w:proofErr w:type="gramEnd"/>
          </w:p>
        </w:tc>
        <w:tc>
          <w:tcPr>
            <w:tcW w:w="895" w:type="dxa"/>
            <w:vAlign w:val="center"/>
          </w:tcPr>
          <w:p w:rsidR="00CC0B50" w:rsidRPr="000608EA" w:rsidRDefault="00CC0B50" w:rsidP="000608E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08EA">
              <w:rPr>
                <w:rFonts w:ascii="Arial" w:hAnsi="Arial" w:cs="Arial"/>
                <w:color w:val="000000"/>
                <w:sz w:val="20"/>
                <w:szCs w:val="20"/>
              </w:rPr>
              <w:t>0.00%</w:t>
            </w:r>
          </w:p>
        </w:tc>
      </w:tr>
      <w:tr w:rsidR="00CC0B50" w:rsidRPr="000608EA" w:rsidTr="0069378A">
        <w:trPr>
          <w:jc w:val="center"/>
        </w:trPr>
        <w:tc>
          <w:tcPr>
            <w:tcW w:w="3897" w:type="dxa"/>
          </w:tcPr>
          <w:p w:rsidR="00CC0B50" w:rsidRPr="000608EA" w:rsidRDefault="00CC0B50" w:rsidP="000608E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200" w:type="dxa"/>
          </w:tcPr>
          <w:p w:rsidR="00CC0B50" w:rsidRPr="000608EA" w:rsidRDefault="00CC0B50" w:rsidP="000608EA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608EA">
              <w:rPr>
                <w:rFonts w:ascii="Arial" w:hAnsi="Arial" w:cs="Arial"/>
                <w:sz w:val="20"/>
                <w:szCs w:val="20"/>
                <w:lang w:val="pt-BR"/>
              </w:rPr>
              <w:t>116.048</w:t>
            </w:r>
          </w:p>
        </w:tc>
        <w:tc>
          <w:tcPr>
            <w:tcW w:w="1006" w:type="dxa"/>
            <w:vAlign w:val="center"/>
          </w:tcPr>
          <w:p w:rsidR="00CC0B50" w:rsidRPr="000608EA" w:rsidRDefault="00CC0B50" w:rsidP="000608E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08EA">
              <w:rPr>
                <w:rFonts w:ascii="Arial" w:hAnsi="Arial" w:cs="Arial"/>
                <w:color w:val="000000"/>
                <w:sz w:val="20"/>
                <w:szCs w:val="20"/>
              </w:rPr>
              <w:t>100.00%</w:t>
            </w:r>
          </w:p>
        </w:tc>
        <w:tc>
          <w:tcPr>
            <w:tcW w:w="920" w:type="dxa"/>
          </w:tcPr>
          <w:p w:rsidR="00CC0B50" w:rsidRPr="000608EA" w:rsidRDefault="00CC0B50" w:rsidP="000608EA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608EA">
              <w:rPr>
                <w:rFonts w:ascii="Arial" w:hAnsi="Arial" w:cs="Arial"/>
                <w:sz w:val="20"/>
                <w:szCs w:val="20"/>
                <w:lang w:val="pt-BR"/>
              </w:rPr>
              <w:t>65.380</w:t>
            </w:r>
          </w:p>
        </w:tc>
        <w:tc>
          <w:tcPr>
            <w:tcW w:w="895" w:type="dxa"/>
          </w:tcPr>
          <w:p w:rsidR="00CC0B50" w:rsidRPr="000608EA" w:rsidRDefault="00CC0B50" w:rsidP="000608EA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</w:tbl>
    <w:p w:rsidR="00CC0B50" w:rsidRPr="000608EA" w:rsidRDefault="00CC0B50" w:rsidP="000608EA">
      <w:pPr>
        <w:spacing w:before="75" w:after="75" w:line="240" w:lineRule="auto"/>
        <w:ind w:left="1530" w:right="75" w:hanging="810"/>
        <w:textAlignment w:val="center"/>
        <w:rPr>
          <w:rFonts w:ascii="Arial" w:hAnsi="Arial" w:cs="Arial"/>
          <w:color w:val="333333"/>
          <w:sz w:val="18"/>
          <w:szCs w:val="18"/>
          <w:lang w:val="pt-BR"/>
        </w:rPr>
      </w:pPr>
      <w:r w:rsidRPr="000608EA">
        <w:rPr>
          <w:rFonts w:ascii="Arial" w:hAnsi="Arial" w:cs="Arial"/>
          <w:sz w:val="18"/>
          <w:szCs w:val="18"/>
          <w:lang w:val="pt-BR"/>
        </w:rPr>
        <w:t xml:space="preserve"> FONTE: </w:t>
      </w:r>
      <w:hyperlink r:id="rId23" w:anchor="instituicoes" w:history="1">
        <w:r w:rsidRPr="000608EA">
          <w:rPr>
            <w:rStyle w:val="Hyperlink"/>
            <w:rFonts w:ascii="Arial" w:hAnsi="Arial" w:cs="Arial"/>
            <w:b/>
            <w:bCs/>
            <w:color w:val="00529C"/>
            <w:sz w:val="18"/>
            <w:szCs w:val="18"/>
            <w:lang w:val="pt-BR"/>
          </w:rPr>
          <w:t>Desembolsos do BNDES por instituição financeira credenciada</w:t>
        </w:r>
      </w:hyperlink>
      <w:r w:rsidRPr="000608EA">
        <w:rPr>
          <w:rFonts w:ascii="Arial" w:hAnsi="Arial" w:cs="Arial"/>
          <w:color w:val="333333"/>
          <w:sz w:val="18"/>
          <w:szCs w:val="18"/>
          <w:lang w:val="pt-BR"/>
        </w:rPr>
        <w:t>, Última visualização em 03/09/2016.</w:t>
      </w:r>
    </w:p>
    <w:p w:rsidR="00CC0B50" w:rsidRPr="000608EA" w:rsidRDefault="00CC0B50" w:rsidP="000608EA">
      <w:pPr>
        <w:ind w:left="1530" w:hanging="810"/>
        <w:rPr>
          <w:rFonts w:ascii="Arial" w:hAnsi="Arial" w:cs="Arial"/>
          <w:sz w:val="18"/>
          <w:szCs w:val="18"/>
          <w:lang w:val="pt-BR"/>
        </w:rPr>
      </w:pPr>
    </w:p>
    <w:p w:rsidR="00586EF9" w:rsidRPr="000608EA" w:rsidRDefault="00586EF9">
      <w:pPr>
        <w:rPr>
          <w:rFonts w:ascii="Arial" w:hAnsi="Arial" w:cs="Arial"/>
          <w:lang w:val="pt-BR"/>
        </w:rPr>
      </w:pPr>
      <w:r w:rsidRPr="000608EA">
        <w:rPr>
          <w:rFonts w:ascii="Arial" w:hAnsi="Arial" w:cs="Arial"/>
          <w:lang w:val="pt-BR"/>
        </w:rPr>
        <w:br w:type="page"/>
      </w:r>
    </w:p>
    <w:p w:rsidR="00586EF9" w:rsidRPr="000608EA" w:rsidRDefault="00586EF9" w:rsidP="000D4CEE">
      <w:pPr>
        <w:rPr>
          <w:rFonts w:ascii="Arial" w:hAnsi="Arial" w:cs="Arial"/>
          <w:b/>
          <w:lang w:val="pt-BR"/>
        </w:rPr>
      </w:pPr>
      <w:r w:rsidRPr="000608EA">
        <w:rPr>
          <w:rFonts w:ascii="Arial" w:hAnsi="Arial" w:cs="Arial"/>
          <w:b/>
          <w:u w:val="single"/>
          <w:lang w:val="pt-BR"/>
        </w:rPr>
        <w:lastRenderedPageBreak/>
        <w:t>Ap</w:t>
      </w:r>
      <w:r w:rsidR="00892569" w:rsidRPr="000608EA">
        <w:rPr>
          <w:rFonts w:ascii="Arial" w:hAnsi="Arial" w:cs="Arial"/>
          <w:b/>
          <w:u w:val="single"/>
          <w:lang w:val="pt-BR"/>
        </w:rPr>
        <w:t>ê</w:t>
      </w:r>
      <w:r w:rsidRPr="000608EA">
        <w:rPr>
          <w:rFonts w:ascii="Arial" w:hAnsi="Arial" w:cs="Arial"/>
          <w:b/>
          <w:u w:val="single"/>
          <w:lang w:val="pt-BR"/>
        </w:rPr>
        <w:t xml:space="preserve">ndice </w:t>
      </w:r>
      <w:proofErr w:type="gramStart"/>
      <w:r w:rsidRPr="000608EA">
        <w:rPr>
          <w:rFonts w:ascii="Arial" w:hAnsi="Arial" w:cs="Arial"/>
          <w:b/>
          <w:u w:val="single"/>
          <w:lang w:val="pt-BR"/>
        </w:rPr>
        <w:t>1</w:t>
      </w:r>
      <w:proofErr w:type="gramEnd"/>
      <w:r w:rsidRPr="000608EA">
        <w:rPr>
          <w:rFonts w:ascii="Arial" w:hAnsi="Arial" w:cs="Arial"/>
          <w:b/>
          <w:lang w:val="pt-BR"/>
        </w:rPr>
        <w:t>. Definição do C</w:t>
      </w:r>
      <w:r w:rsidR="00820D28">
        <w:rPr>
          <w:rFonts w:ascii="Arial" w:hAnsi="Arial" w:cs="Arial"/>
          <w:b/>
          <w:lang w:val="pt-BR"/>
        </w:rPr>
        <w:t>á</w:t>
      </w:r>
      <w:bookmarkStart w:id="0" w:name="_GoBack"/>
      <w:bookmarkEnd w:id="0"/>
      <w:r w:rsidRPr="000608EA">
        <w:rPr>
          <w:rFonts w:ascii="Arial" w:hAnsi="Arial" w:cs="Arial"/>
          <w:b/>
          <w:lang w:val="pt-BR"/>
        </w:rPr>
        <w:t xml:space="preserve">lculo de Metas e do Grau de Relacionamento do BNDES </w:t>
      </w:r>
      <w:r w:rsidR="00892569" w:rsidRPr="000608EA">
        <w:rPr>
          <w:rFonts w:ascii="Arial" w:hAnsi="Arial" w:cs="Arial"/>
          <w:b/>
          <w:lang w:val="pt-BR"/>
        </w:rPr>
        <w:t>na definição do Limite de Crédito Final (LCF) de Instituições Financeira Credenciadas.</w:t>
      </w:r>
      <w:r w:rsidRPr="000608EA">
        <w:rPr>
          <w:rFonts w:ascii="Arial" w:hAnsi="Arial" w:cs="Arial"/>
          <w:b/>
          <w:lang w:val="pt-BR"/>
        </w:rPr>
        <w:t xml:space="preserve"> </w:t>
      </w:r>
    </w:p>
    <w:p w:rsidR="00892569" w:rsidRPr="000608EA" w:rsidRDefault="00892569" w:rsidP="000D4CEE">
      <w:pPr>
        <w:rPr>
          <w:rFonts w:ascii="Arial" w:hAnsi="Arial" w:cs="Arial"/>
          <w:b/>
          <w:lang w:val="pt-BR"/>
        </w:rPr>
      </w:pPr>
      <w:r w:rsidRPr="000608EA">
        <w:rPr>
          <w:rFonts w:ascii="Arial" w:hAnsi="Arial" w:cs="Arial"/>
          <w:noProof/>
          <w:lang w:val="pt-BR" w:eastAsia="pt-BR"/>
        </w:rPr>
        <w:drawing>
          <wp:inline distT="0" distB="0" distL="0" distR="0" wp14:anchorId="2292EE5A" wp14:editId="79CEAC76">
            <wp:extent cx="5018227" cy="2873685"/>
            <wp:effectExtent l="0" t="0" r="0" b="317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024827" cy="2877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2569" w:rsidRPr="000608EA" w:rsidRDefault="00892569" w:rsidP="000D4CEE">
      <w:pPr>
        <w:rPr>
          <w:rFonts w:ascii="Arial" w:hAnsi="Arial" w:cs="Arial"/>
          <w:b/>
          <w:lang w:val="pt-BR"/>
        </w:rPr>
      </w:pPr>
      <w:r w:rsidRPr="000608EA">
        <w:rPr>
          <w:rFonts w:ascii="Arial" w:hAnsi="Arial" w:cs="Arial"/>
          <w:noProof/>
          <w:lang w:val="pt-BR" w:eastAsia="pt-BR"/>
        </w:rPr>
        <w:drawing>
          <wp:inline distT="0" distB="0" distL="0" distR="0" wp14:anchorId="08BB2CCC" wp14:editId="0FB2403D">
            <wp:extent cx="5018227" cy="3194832"/>
            <wp:effectExtent l="0" t="0" r="0" b="571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020890" cy="3196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2569" w:rsidRPr="000608EA" w:rsidRDefault="00892569" w:rsidP="00892569">
      <w:pPr>
        <w:rPr>
          <w:rFonts w:ascii="Arial" w:hAnsi="Arial" w:cs="Arial"/>
          <w:lang w:val="pt-BR"/>
        </w:rPr>
      </w:pPr>
      <w:r w:rsidRPr="000608EA">
        <w:rPr>
          <w:rFonts w:ascii="Arial" w:hAnsi="Arial" w:cs="Arial"/>
          <w:noProof/>
          <w:lang w:val="pt-BR" w:eastAsia="pt-BR"/>
        </w:rPr>
        <w:lastRenderedPageBreak/>
        <w:drawing>
          <wp:inline distT="0" distB="0" distL="0" distR="0" wp14:anchorId="44572B7E" wp14:editId="5F2C579D">
            <wp:extent cx="5018227" cy="2984665"/>
            <wp:effectExtent l="0" t="0" r="0" b="635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024134" cy="2988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2569" w:rsidRPr="000608EA" w:rsidRDefault="00892569" w:rsidP="00892569">
      <w:pPr>
        <w:ind w:firstLine="720"/>
        <w:rPr>
          <w:rFonts w:ascii="Arial" w:hAnsi="Arial" w:cs="Arial"/>
          <w:lang w:val="pt-BR"/>
        </w:rPr>
      </w:pPr>
    </w:p>
    <w:sectPr w:rsidR="00892569" w:rsidRPr="000608EA" w:rsidSect="00812BF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EDB" w:rsidRDefault="00474EDB" w:rsidP="00A57A03">
      <w:pPr>
        <w:spacing w:after="0" w:line="240" w:lineRule="auto"/>
      </w:pPr>
      <w:r>
        <w:separator/>
      </w:r>
    </w:p>
  </w:endnote>
  <w:endnote w:type="continuationSeparator" w:id="0">
    <w:p w:rsidR="00474EDB" w:rsidRDefault="00474EDB" w:rsidP="00A57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EDB" w:rsidRDefault="00474EDB" w:rsidP="00A57A03">
      <w:pPr>
        <w:spacing w:after="0" w:line="240" w:lineRule="auto"/>
      </w:pPr>
      <w:r>
        <w:separator/>
      </w:r>
    </w:p>
  </w:footnote>
  <w:footnote w:type="continuationSeparator" w:id="0">
    <w:p w:rsidR="00474EDB" w:rsidRDefault="00474EDB" w:rsidP="00A57A03">
      <w:pPr>
        <w:spacing w:after="0" w:line="240" w:lineRule="auto"/>
      </w:pPr>
      <w:r>
        <w:continuationSeparator/>
      </w:r>
    </w:p>
  </w:footnote>
  <w:footnote w:id="1">
    <w:p w:rsidR="00474EDB" w:rsidRPr="0014282E" w:rsidRDefault="00474EDB" w:rsidP="000608EA">
      <w:pPr>
        <w:pStyle w:val="FootnoteText"/>
        <w:spacing w:after="0"/>
        <w:rPr>
          <w:rFonts w:ascii="Arial" w:hAnsi="Arial" w:cs="Arial"/>
          <w:sz w:val="18"/>
          <w:szCs w:val="18"/>
          <w:lang w:val="pt-BR"/>
        </w:rPr>
      </w:pPr>
      <w:r w:rsidRPr="0014282E">
        <w:rPr>
          <w:rStyle w:val="FootnoteReference"/>
          <w:rFonts w:ascii="Arial" w:hAnsi="Arial" w:cs="Arial"/>
          <w:sz w:val="18"/>
          <w:szCs w:val="18"/>
        </w:rPr>
        <w:footnoteRef/>
      </w:r>
      <w:r w:rsidRPr="0014282E">
        <w:rPr>
          <w:rFonts w:ascii="Arial" w:hAnsi="Arial" w:cs="Arial"/>
          <w:sz w:val="18"/>
          <w:szCs w:val="18"/>
          <w:lang w:val="pt-BR"/>
        </w:rPr>
        <w:t xml:space="preserve"> </w:t>
      </w:r>
      <w:r w:rsidRPr="0014282E">
        <w:rPr>
          <w:rFonts w:ascii="Arial" w:hAnsi="Arial" w:cs="Arial"/>
          <w:sz w:val="18"/>
          <w:szCs w:val="18"/>
          <w:lang w:val="pt-BR"/>
        </w:rPr>
        <w:tab/>
        <w:t>BNDES: um banco de história e do futuro. BNDES: Rio de Janeiro, 2012.</w:t>
      </w:r>
    </w:p>
  </w:footnote>
  <w:footnote w:id="2">
    <w:p w:rsidR="00C11306" w:rsidRPr="00C11306" w:rsidRDefault="00C11306">
      <w:pPr>
        <w:pStyle w:val="FootnoteText"/>
        <w:rPr>
          <w:lang w:val="pt-BR"/>
        </w:rPr>
      </w:pPr>
      <w:r>
        <w:rPr>
          <w:rStyle w:val="FootnoteReference"/>
        </w:rPr>
        <w:footnoteRef/>
      </w:r>
      <w:r w:rsidRPr="00C11306">
        <w:rPr>
          <w:lang w:val="pt-BR"/>
        </w:rPr>
        <w:t xml:space="preserve"> </w:t>
      </w:r>
      <w:r>
        <w:rPr>
          <w:lang w:val="pt-BR"/>
        </w:rPr>
        <w:t xml:space="preserve">   </w:t>
      </w:r>
      <w:r w:rsidR="0016239F">
        <w:rPr>
          <w:lang w:val="pt-BR"/>
        </w:rPr>
        <w:t xml:space="preserve"> </w:t>
      </w:r>
      <w:r w:rsidRPr="00C11306">
        <w:rPr>
          <w:lang w:val="pt-BR"/>
        </w:rPr>
        <w:t xml:space="preserve">Entre os meses de julho e setembro de 2016, </w:t>
      </w:r>
      <w:r w:rsidR="0016239F">
        <w:rPr>
          <w:lang w:val="pt-BR"/>
        </w:rPr>
        <w:t xml:space="preserve">durante a </w:t>
      </w:r>
      <w:r w:rsidRPr="00C11306">
        <w:rPr>
          <w:lang w:val="pt-BR"/>
        </w:rPr>
        <w:t>preparação deste documento, foram procedidas a alterações n</w:t>
      </w:r>
      <w:r>
        <w:rPr>
          <w:lang w:val="pt-BR"/>
        </w:rPr>
        <w:t xml:space="preserve">este </w:t>
      </w:r>
      <w:r w:rsidRPr="00C11306">
        <w:rPr>
          <w:lang w:val="pt-BR"/>
        </w:rPr>
        <w:t>organograma, sem, no entanto alterar a lógica maior de governança de risco</w:t>
      </w:r>
      <w:r>
        <w:rPr>
          <w:lang w:val="pt-BR"/>
        </w:rPr>
        <w:t xml:space="preserve">, </w:t>
      </w:r>
      <w:r w:rsidR="0016239F">
        <w:rPr>
          <w:lang w:val="pt-BR"/>
        </w:rPr>
        <w:t>mas</w:t>
      </w:r>
      <w:r>
        <w:rPr>
          <w:lang w:val="pt-BR"/>
        </w:rPr>
        <w:t xml:space="preserve"> </w:t>
      </w:r>
      <w:r w:rsidRPr="00C11306">
        <w:rPr>
          <w:lang w:val="pt-BR"/>
        </w:rPr>
        <w:t>permitindo u</w:t>
      </w:r>
      <w:r w:rsidR="0016239F">
        <w:rPr>
          <w:lang w:val="pt-BR"/>
        </w:rPr>
        <w:t>m</w:t>
      </w:r>
      <w:r w:rsidRPr="00C11306">
        <w:rPr>
          <w:lang w:val="pt-BR"/>
        </w:rPr>
        <w:t xml:space="preserve"> melhor alinhamento </w:t>
      </w:r>
      <w:r>
        <w:rPr>
          <w:lang w:val="pt-BR"/>
        </w:rPr>
        <w:t>operacional</w:t>
      </w:r>
      <w:r w:rsidR="0016239F">
        <w:rPr>
          <w:lang w:val="pt-BR"/>
        </w:rPr>
        <w:t>. Foram as seguintes alterações feitas</w:t>
      </w:r>
      <w:r>
        <w:rPr>
          <w:lang w:val="pt-BR"/>
        </w:rPr>
        <w:t xml:space="preserve">: (i) </w:t>
      </w:r>
      <w:r w:rsidRPr="00C11306">
        <w:rPr>
          <w:lang w:val="pt-BR"/>
        </w:rPr>
        <w:t xml:space="preserve">A Área de Crédito e a Área Financeira </w:t>
      </w:r>
      <w:r w:rsidR="0016239F">
        <w:rPr>
          <w:lang w:val="pt-BR"/>
        </w:rPr>
        <w:t xml:space="preserve">passaram a vincular-se com a </w:t>
      </w:r>
      <w:r w:rsidRPr="00C11306">
        <w:rPr>
          <w:lang w:val="pt-BR"/>
        </w:rPr>
        <w:t>D</w:t>
      </w:r>
      <w:r w:rsidR="0016239F">
        <w:rPr>
          <w:lang w:val="pt-BR"/>
        </w:rPr>
        <w:t xml:space="preserve">iretoria </w:t>
      </w:r>
      <w:proofErr w:type="gramStart"/>
      <w:r w:rsidRPr="00C11306">
        <w:rPr>
          <w:lang w:val="pt-BR"/>
        </w:rPr>
        <w:t>3</w:t>
      </w:r>
      <w:proofErr w:type="gramEnd"/>
      <w:r w:rsidR="0016239F">
        <w:rPr>
          <w:lang w:val="pt-BR"/>
        </w:rPr>
        <w:t xml:space="preserve"> (DIR3)</w:t>
      </w:r>
      <w:r w:rsidRPr="00C11306">
        <w:rPr>
          <w:lang w:val="pt-BR"/>
        </w:rPr>
        <w:t xml:space="preserve">. A Área de Gestão de Riscos </w:t>
      </w:r>
      <w:r w:rsidR="0016239F">
        <w:rPr>
          <w:lang w:val="pt-BR"/>
        </w:rPr>
        <w:t xml:space="preserve">ficou </w:t>
      </w:r>
      <w:r w:rsidRPr="00C11306">
        <w:rPr>
          <w:lang w:val="pt-BR"/>
        </w:rPr>
        <w:t>subordinada à D</w:t>
      </w:r>
      <w:r w:rsidR="0016239F">
        <w:rPr>
          <w:lang w:val="pt-BR"/>
        </w:rPr>
        <w:t xml:space="preserve">iretoria </w:t>
      </w:r>
      <w:proofErr w:type="gramStart"/>
      <w:r w:rsidR="0016239F">
        <w:rPr>
          <w:lang w:val="pt-BR"/>
        </w:rPr>
        <w:t>6</w:t>
      </w:r>
      <w:proofErr w:type="gramEnd"/>
      <w:r w:rsidR="0016239F">
        <w:rPr>
          <w:lang w:val="pt-BR"/>
        </w:rPr>
        <w:t xml:space="preserve"> (D</w:t>
      </w:r>
      <w:r w:rsidRPr="00C11306">
        <w:rPr>
          <w:lang w:val="pt-BR"/>
        </w:rPr>
        <w:t>IR6</w:t>
      </w:r>
      <w:r w:rsidR="0016239F">
        <w:rPr>
          <w:lang w:val="pt-BR"/>
        </w:rPr>
        <w:t>)</w:t>
      </w:r>
      <w:r w:rsidRPr="00C11306">
        <w:rPr>
          <w:lang w:val="pt-BR"/>
        </w:rPr>
        <w:t>. A Secretaria de Validação, antes ligada diretamente à DIR6, agora está abrigada na Área de Controladoria, também subordinada à DIR6. Não existe mais a Vice-Presidência e foi criada uma DIR8, Diretoria Jurídica.</w:t>
      </w:r>
    </w:p>
  </w:footnote>
  <w:footnote w:id="3">
    <w:p w:rsidR="00474EDB" w:rsidRPr="0014282E" w:rsidRDefault="00474EDB" w:rsidP="000608EA">
      <w:pPr>
        <w:pStyle w:val="FootnoteText"/>
        <w:spacing w:after="0"/>
        <w:rPr>
          <w:rFonts w:ascii="Arial" w:hAnsi="Arial" w:cs="Arial"/>
          <w:sz w:val="18"/>
          <w:szCs w:val="18"/>
          <w:lang w:val="pt-BR"/>
        </w:rPr>
      </w:pPr>
      <w:r w:rsidRPr="0014282E">
        <w:rPr>
          <w:rStyle w:val="FootnoteReference"/>
          <w:rFonts w:ascii="Arial" w:hAnsi="Arial" w:cs="Arial"/>
          <w:sz w:val="18"/>
          <w:szCs w:val="18"/>
        </w:rPr>
        <w:footnoteRef/>
      </w:r>
      <w:r w:rsidRPr="0014282E">
        <w:rPr>
          <w:rFonts w:ascii="Arial" w:hAnsi="Arial" w:cs="Arial"/>
          <w:sz w:val="18"/>
          <w:szCs w:val="18"/>
          <w:lang w:val="pt-BR"/>
        </w:rPr>
        <w:t xml:space="preserve"> </w:t>
      </w:r>
      <w:r w:rsidRPr="0014282E">
        <w:rPr>
          <w:rFonts w:ascii="Arial" w:hAnsi="Arial" w:cs="Arial"/>
          <w:sz w:val="18"/>
          <w:szCs w:val="18"/>
          <w:lang w:val="pt-BR"/>
        </w:rPr>
        <w:tab/>
        <w:t>UNICAD/Banco Central do Brasil.</w:t>
      </w:r>
    </w:p>
  </w:footnote>
  <w:footnote w:id="4">
    <w:p w:rsidR="00474EDB" w:rsidRPr="0014282E" w:rsidRDefault="00474EDB" w:rsidP="000608EA">
      <w:pPr>
        <w:pStyle w:val="FootnoteText"/>
        <w:spacing w:after="0"/>
        <w:rPr>
          <w:rFonts w:ascii="Arial" w:hAnsi="Arial" w:cs="Arial"/>
          <w:sz w:val="18"/>
          <w:szCs w:val="18"/>
          <w:lang w:val="pt-BR"/>
        </w:rPr>
      </w:pPr>
      <w:r w:rsidRPr="0014282E">
        <w:rPr>
          <w:rStyle w:val="FootnoteReference"/>
          <w:rFonts w:ascii="Arial" w:hAnsi="Arial" w:cs="Arial"/>
          <w:sz w:val="18"/>
          <w:szCs w:val="18"/>
        </w:rPr>
        <w:footnoteRef/>
      </w:r>
      <w:r w:rsidRPr="0014282E">
        <w:rPr>
          <w:rFonts w:ascii="Arial" w:hAnsi="Arial" w:cs="Arial"/>
          <w:sz w:val="18"/>
          <w:szCs w:val="18"/>
          <w:lang w:val="pt-BR"/>
        </w:rPr>
        <w:t xml:space="preserve"> </w:t>
      </w:r>
      <w:r w:rsidRPr="0014282E">
        <w:rPr>
          <w:rFonts w:ascii="Arial" w:hAnsi="Arial" w:cs="Arial"/>
          <w:sz w:val="18"/>
          <w:szCs w:val="18"/>
          <w:lang w:val="pt-BR"/>
        </w:rPr>
        <w:tab/>
        <w:t>Lei nº 4.595/64.</w:t>
      </w:r>
    </w:p>
  </w:footnote>
  <w:footnote w:id="5">
    <w:p w:rsidR="00474EDB" w:rsidRPr="0014282E" w:rsidRDefault="00474EDB" w:rsidP="0049326A">
      <w:pPr>
        <w:pStyle w:val="FootnoteText"/>
        <w:spacing w:after="0"/>
        <w:ind w:left="180" w:hanging="180"/>
        <w:rPr>
          <w:rFonts w:ascii="Arial" w:hAnsi="Arial" w:cs="Arial"/>
          <w:sz w:val="18"/>
          <w:szCs w:val="18"/>
          <w:lang w:val="pt-BR"/>
        </w:rPr>
      </w:pPr>
      <w:r w:rsidRPr="0014282E">
        <w:rPr>
          <w:rStyle w:val="FootnoteReference"/>
          <w:rFonts w:ascii="Arial" w:hAnsi="Arial" w:cs="Arial"/>
          <w:sz w:val="18"/>
          <w:szCs w:val="18"/>
        </w:rPr>
        <w:footnoteRef/>
      </w:r>
      <w:r w:rsidRPr="0014282E">
        <w:rPr>
          <w:rFonts w:ascii="Arial" w:hAnsi="Arial" w:cs="Arial"/>
          <w:sz w:val="18"/>
          <w:szCs w:val="18"/>
          <w:lang w:val="pt-BR"/>
        </w:rPr>
        <w:t xml:space="preserve"> </w:t>
      </w:r>
      <w:r w:rsidRPr="0014282E">
        <w:rPr>
          <w:rFonts w:ascii="Arial" w:hAnsi="Arial" w:cs="Arial"/>
          <w:sz w:val="18"/>
          <w:szCs w:val="18"/>
          <w:lang w:val="pt-BR"/>
        </w:rPr>
        <w:tab/>
        <w:t xml:space="preserve">GARCIA. M.G. O Sistema Financeiro e a Economia Brasileira Durante a Grande Crise de 2008. Rio de Janeiro: </w:t>
      </w:r>
      <w:proofErr w:type="spellStart"/>
      <w:r w:rsidRPr="0014282E">
        <w:rPr>
          <w:rFonts w:ascii="Arial" w:hAnsi="Arial" w:cs="Arial"/>
          <w:sz w:val="18"/>
          <w:szCs w:val="18"/>
          <w:lang w:val="pt-BR"/>
        </w:rPr>
        <w:t>Anbima</w:t>
      </w:r>
      <w:proofErr w:type="spellEnd"/>
      <w:r w:rsidRPr="0014282E">
        <w:rPr>
          <w:rFonts w:ascii="Arial" w:hAnsi="Arial" w:cs="Arial"/>
          <w:sz w:val="18"/>
          <w:szCs w:val="18"/>
          <w:lang w:val="pt-BR"/>
        </w:rPr>
        <w:t>, 2011.</w:t>
      </w:r>
    </w:p>
  </w:footnote>
  <w:footnote w:id="6">
    <w:p w:rsidR="00474EDB" w:rsidRPr="0014282E" w:rsidRDefault="00474EDB" w:rsidP="0049326A">
      <w:pPr>
        <w:pStyle w:val="FootnoteText"/>
        <w:spacing w:after="0"/>
        <w:ind w:left="180" w:hanging="180"/>
        <w:jc w:val="left"/>
        <w:rPr>
          <w:rFonts w:ascii="Arial" w:hAnsi="Arial" w:cs="Arial"/>
          <w:sz w:val="18"/>
          <w:szCs w:val="18"/>
          <w:lang w:val="pt-BR"/>
        </w:rPr>
      </w:pPr>
      <w:r w:rsidRPr="0014282E">
        <w:rPr>
          <w:rStyle w:val="FootnoteReference"/>
          <w:rFonts w:ascii="Arial" w:hAnsi="Arial" w:cs="Arial"/>
          <w:sz w:val="18"/>
          <w:szCs w:val="18"/>
        </w:rPr>
        <w:footnoteRef/>
      </w:r>
      <w:r w:rsidRPr="0014282E">
        <w:rPr>
          <w:rFonts w:ascii="Arial" w:hAnsi="Arial" w:cs="Arial"/>
          <w:sz w:val="18"/>
          <w:szCs w:val="18"/>
          <w:lang w:val="pt-BR"/>
        </w:rPr>
        <w:t xml:space="preserve"> </w:t>
      </w:r>
      <w:r w:rsidRPr="0014282E">
        <w:rPr>
          <w:rFonts w:ascii="Arial" w:hAnsi="Arial" w:cs="Arial"/>
          <w:sz w:val="18"/>
          <w:szCs w:val="18"/>
          <w:lang w:val="pt-BR"/>
        </w:rPr>
        <w:tab/>
        <w:t>Ver Comunicado BCB 16.137 em</w:t>
      </w:r>
      <w:proofErr w:type="gramStart"/>
      <w:r w:rsidRPr="0014282E">
        <w:rPr>
          <w:rFonts w:ascii="Arial" w:hAnsi="Arial" w:cs="Arial"/>
          <w:sz w:val="18"/>
          <w:szCs w:val="18"/>
          <w:lang w:val="pt-BR"/>
        </w:rPr>
        <w:t xml:space="preserve">  </w:t>
      </w:r>
      <w:proofErr w:type="gramEnd"/>
      <w:r w:rsidRPr="0014282E">
        <w:rPr>
          <w:rFonts w:ascii="Arial" w:hAnsi="Arial" w:cs="Arial"/>
          <w:sz w:val="18"/>
          <w:szCs w:val="18"/>
          <w:lang w:val="pt-BR"/>
        </w:rPr>
        <w:t>&lt;</w:t>
      </w:r>
      <w:hyperlink r:id="rId1" w:history="1">
        <w:r w:rsidRPr="0014282E">
          <w:rPr>
            <w:rStyle w:val="Hyperlink"/>
            <w:rFonts w:ascii="Arial" w:hAnsi="Arial" w:cs="Arial"/>
            <w:sz w:val="18"/>
            <w:szCs w:val="18"/>
            <w:lang w:val="pt-BR"/>
          </w:rPr>
          <w:t>https://www3.bcb.gov.br/normativo/detalharNormativo.do?N=107321734&amp;method=detalharNormativo</w:t>
        </w:r>
      </w:hyperlink>
      <w:r w:rsidRPr="0014282E">
        <w:rPr>
          <w:rFonts w:ascii="Arial" w:hAnsi="Arial" w:cs="Arial"/>
          <w:sz w:val="18"/>
          <w:szCs w:val="18"/>
          <w:lang w:val="pt-BR"/>
        </w:rPr>
        <w:t>&gt;.</w:t>
      </w:r>
    </w:p>
  </w:footnote>
  <w:footnote w:id="7">
    <w:p w:rsidR="00474EDB" w:rsidRPr="0014282E" w:rsidRDefault="00474EDB" w:rsidP="000608EA">
      <w:pPr>
        <w:pStyle w:val="FootnoteText"/>
        <w:spacing w:after="0"/>
        <w:rPr>
          <w:rFonts w:ascii="Arial" w:hAnsi="Arial" w:cs="Arial"/>
          <w:sz w:val="18"/>
          <w:szCs w:val="18"/>
          <w:lang w:val="pt-BR"/>
        </w:rPr>
      </w:pPr>
      <w:r w:rsidRPr="0014282E">
        <w:rPr>
          <w:rStyle w:val="FootnoteReference"/>
          <w:rFonts w:ascii="Arial" w:hAnsi="Arial" w:cs="Arial"/>
          <w:sz w:val="18"/>
          <w:szCs w:val="18"/>
        </w:rPr>
        <w:footnoteRef/>
      </w:r>
      <w:r w:rsidRPr="0014282E">
        <w:rPr>
          <w:rFonts w:ascii="Arial" w:hAnsi="Arial" w:cs="Arial"/>
          <w:sz w:val="18"/>
          <w:szCs w:val="18"/>
          <w:lang w:val="pt-BR"/>
        </w:rPr>
        <w:t xml:space="preserve"> </w:t>
      </w:r>
      <w:r w:rsidRPr="0014282E">
        <w:rPr>
          <w:rFonts w:ascii="Arial" w:hAnsi="Arial" w:cs="Arial"/>
          <w:sz w:val="18"/>
          <w:szCs w:val="18"/>
          <w:lang w:val="pt-BR"/>
        </w:rPr>
        <w:tab/>
        <w:t>Ver &lt;</w:t>
      </w:r>
      <w:hyperlink r:id="rId2" w:history="1">
        <w:r w:rsidRPr="0014282E">
          <w:rPr>
            <w:rStyle w:val="Hyperlink"/>
            <w:rFonts w:ascii="Arial" w:hAnsi="Arial" w:cs="Arial"/>
            <w:sz w:val="18"/>
            <w:szCs w:val="18"/>
            <w:lang w:val="pt-BR"/>
          </w:rPr>
          <w:t>http://www.bcb.gov.br/pec/appron/apres/Apresenta%E7%E3o_Anthero_Meirelles_CONBRAI_22-10-2012.pdf</w:t>
        </w:r>
      </w:hyperlink>
      <w:r w:rsidRPr="0014282E">
        <w:rPr>
          <w:rFonts w:ascii="Arial" w:hAnsi="Arial" w:cs="Arial"/>
          <w:sz w:val="18"/>
          <w:szCs w:val="18"/>
          <w:lang w:val="pt-BR"/>
        </w:rPr>
        <w:t>&gt;</w:t>
      </w:r>
    </w:p>
  </w:footnote>
  <w:footnote w:id="8">
    <w:p w:rsidR="00474EDB" w:rsidRPr="0014282E" w:rsidRDefault="00474EDB" w:rsidP="000608EA">
      <w:pPr>
        <w:pStyle w:val="FootnoteText"/>
        <w:spacing w:after="0"/>
        <w:rPr>
          <w:rFonts w:ascii="Arial" w:hAnsi="Arial" w:cs="Arial"/>
          <w:sz w:val="18"/>
          <w:szCs w:val="18"/>
          <w:lang w:val="pt-BR"/>
        </w:rPr>
      </w:pPr>
      <w:r w:rsidRPr="0014282E">
        <w:rPr>
          <w:rStyle w:val="FootnoteReference"/>
          <w:rFonts w:ascii="Arial" w:hAnsi="Arial" w:cs="Arial"/>
          <w:sz w:val="18"/>
          <w:szCs w:val="18"/>
        </w:rPr>
        <w:footnoteRef/>
      </w:r>
      <w:r w:rsidRPr="0014282E">
        <w:rPr>
          <w:rFonts w:ascii="Arial" w:hAnsi="Arial" w:cs="Arial"/>
          <w:sz w:val="18"/>
          <w:szCs w:val="18"/>
          <w:lang w:val="pt-BR"/>
        </w:rPr>
        <w:t xml:space="preserve"> </w:t>
      </w:r>
      <w:r w:rsidRPr="0014282E">
        <w:rPr>
          <w:rFonts w:ascii="Arial" w:hAnsi="Arial" w:cs="Arial"/>
          <w:sz w:val="18"/>
          <w:szCs w:val="18"/>
          <w:lang w:val="pt-BR"/>
        </w:rPr>
        <w:tab/>
        <w:t xml:space="preserve">Os outros são estaduais (BANDES e BDMG) e um regional (BRDE). </w:t>
      </w:r>
    </w:p>
  </w:footnote>
  <w:footnote w:id="9">
    <w:p w:rsidR="00474EDB" w:rsidRPr="0014282E" w:rsidRDefault="00474EDB" w:rsidP="000608EA">
      <w:pPr>
        <w:pStyle w:val="FootnoteText"/>
        <w:spacing w:after="0"/>
        <w:rPr>
          <w:rFonts w:ascii="Arial" w:hAnsi="Arial" w:cs="Arial"/>
          <w:sz w:val="18"/>
          <w:szCs w:val="18"/>
          <w:lang w:val="pt-BR"/>
        </w:rPr>
      </w:pPr>
      <w:r w:rsidRPr="0014282E">
        <w:rPr>
          <w:rStyle w:val="FootnoteReference"/>
          <w:rFonts w:ascii="Arial" w:hAnsi="Arial" w:cs="Arial"/>
          <w:sz w:val="18"/>
          <w:szCs w:val="18"/>
        </w:rPr>
        <w:footnoteRef/>
      </w:r>
      <w:r w:rsidRPr="0014282E">
        <w:rPr>
          <w:rFonts w:ascii="Arial" w:hAnsi="Arial" w:cs="Arial"/>
          <w:sz w:val="18"/>
          <w:szCs w:val="18"/>
          <w:lang w:val="pt-BR"/>
        </w:rPr>
        <w:t xml:space="preserve"> </w:t>
      </w:r>
      <w:r w:rsidRPr="0014282E">
        <w:rPr>
          <w:rFonts w:ascii="Arial" w:hAnsi="Arial" w:cs="Arial"/>
          <w:sz w:val="18"/>
          <w:szCs w:val="18"/>
          <w:lang w:val="pt-BR"/>
        </w:rPr>
        <w:tab/>
        <w:t xml:space="preserve">Em 31/08/2016 eram </w:t>
      </w:r>
      <w:r w:rsidR="00F213F7">
        <w:rPr>
          <w:rFonts w:ascii="Arial" w:hAnsi="Arial" w:cs="Arial"/>
          <w:sz w:val="18"/>
          <w:szCs w:val="18"/>
          <w:lang w:val="pt-BR"/>
        </w:rPr>
        <w:t>139</w:t>
      </w:r>
      <w:r w:rsidRPr="0014282E">
        <w:rPr>
          <w:rFonts w:ascii="Arial" w:hAnsi="Arial" w:cs="Arial"/>
          <w:sz w:val="18"/>
          <w:szCs w:val="18"/>
          <w:lang w:val="pt-BR"/>
        </w:rPr>
        <w:t xml:space="preserve"> as instituições integrantes da </w:t>
      </w:r>
      <w:hyperlink r:id="rId3" w:history="1">
        <w:r w:rsidRPr="0014282E">
          <w:rPr>
            <w:rStyle w:val="Hyperlink"/>
            <w:rFonts w:ascii="Arial" w:hAnsi="Arial" w:cs="Arial"/>
            <w:bCs/>
            <w:sz w:val="18"/>
            <w:szCs w:val="18"/>
            <w:lang w:val="pt-BR"/>
          </w:rPr>
          <w:t>rede de instituições financeiras credenciadas</w:t>
        </w:r>
      </w:hyperlink>
      <w:r w:rsidRPr="0014282E">
        <w:rPr>
          <w:rFonts w:ascii="Arial" w:hAnsi="Arial" w:cs="Arial"/>
          <w:sz w:val="18"/>
          <w:szCs w:val="18"/>
          <w:lang w:val="pt-BR"/>
        </w:rPr>
        <w:t>.</w:t>
      </w:r>
      <w:r w:rsidRPr="0014282E">
        <w:rPr>
          <w:rStyle w:val="apple-converted-space"/>
          <w:rFonts w:ascii="Arial" w:hAnsi="Arial" w:cs="Arial"/>
          <w:color w:val="333333"/>
          <w:sz w:val="18"/>
          <w:szCs w:val="18"/>
          <w:lang w:val="pt-BR"/>
        </w:rPr>
        <w:t> </w:t>
      </w:r>
    </w:p>
  </w:footnote>
  <w:footnote w:id="10">
    <w:p w:rsidR="00474EDB" w:rsidRPr="0014282E" w:rsidRDefault="00474EDB" w:rsidP="000608EA">
      <w:pPr>
        <w:pStyle w:val="FootnoteText"/>
        <w:spacing w:after="0"/>
        <w:rPr>
          <w:rFonts w:ascii="Arial" w:hAnsi="Arial" w:cs="Arial"/>
          <w:sz w:val="18"/>
          <w:szCs w:val="18"/>
          <w:lang w:val="pt-BR"/>
        </w:rPr>
      </w:pPr>
      <w:r w:rsidRPr="0014282E">
        <w:rPr>
          <w:rStyle w:val="FootnoteReference"/>
          <w:rFonts w:ascii="Arial" w:hAnsi="Arial" w:cs="Arial"/>
          <w:sz w:val="18"/>
          <w:szCs w:val="18"/>
        </w:rPr>
        <w:footnoteRef/>
      </w:r>
      <w:r w:rsidRPr="0014282E">
        <w:rPr>
          <w:rFonts w:ascii="Arial" w:hAnsi="Arial" w:cs="Arial"/>
          <w:sz w:val="18"/>
          <w:szCs w:val="18"/>
          <w:lang w:val="pt-BR"/>
        </w:rPr>
        <w:t xml:space="preserve"> </w:t>
      </w:r>
      <w:r w:rsidRPr="0014282E">
        <w:rPr>
          <w:rFonts w:ascii="Arial" w:hAnsi="Arial" w:cs="Arial"/>
          <w:sz w:val="18"/>
          <w:szCs w:val="18"/>
          <w:lang w:val="pt-BR"/>
        </w:rPr>
        <w:tab/>
        <w:t xml:space="preserve">Adicionalmente, o risco de crédito das operações com micro, pequenas e médias empresas </w:t>
      </w:r>
      <w:proofErr w:type="gramStart"/>
      <w:r w:rsidRPr="0014282E">
        <w:rPr>
          <w:rFonts w:ascii="Arial" w:hAnsi="Arial" w:cs="Arial"/>
          <w:sz w:val="18"/>
          <w:szCs w:val="18"/>
          <w:lang w:val="pt-BR"/>
        </w:rPr>
        <w:t>pode ser garantido</w:t>
      </w:r>
      <w:proofErr w:type="gramEnd"/>
      <w:r w:rsidRPr="0014282E">
        <w:rPr>
          <w:rFonts w:ascii="Arial" w:hAnsi="Arial" w:cs="Arial"/>
          <w:sz w:val="18"/>
          <w:szCs w:val="18"/>
          <w:lang w:val="pt-BR"/>
        </w:rPr>
        <w:t xml:space="preserve"> pelo BNDES </w:t>
      </w:r>
      <w:hyperlink r:id="rId4" w:history="1">
        <w:r w:rsidRPr="0014282E">
          <w:rPr>
            <w:rStyle w:val="Hyperlink"/>
            <w:rFonts w:ascii="Arial" w:hAnsi="Arial" w:cs="Arial"/>
            <w:sz w:val="18"/>
            <w:szCs w:val="18"/>
            <w:lang w:val="pt-BR"/>
          </w:rPr>
          <w:t>FGI - Fundo Garantidor para Investimentos</w:t>
        </w:r>
      </w:hyperlink>
      <w:r w:rsidRPr="0014282E">
        <w:rPr>
          <w:rFonts w:ascii="Arial" w:hAnsi="Arial" w:cs="Arial"/>
          <w:sz w:val="18"/>
          <w:szCs w:val="18"/>
          <w:lang w:val="pt-BR"/>
        </w:rPr>
        <w:t>.</w:t>
      </w:r>
    </w:p>
  </w:footnote>
  <w:footnote w:id="11">
    <w:p w:rsidR="00474EDB" w:rsidRPr="0014282E" w:rsidRDefault="00474EDB" w:rsidP="000608EA">
      <w:pPr>
        <w:pStyle w:val="FootnoteText"/>
        <w:spacing w:after="0"/>
        <w:rPr>
          <w:rFonts w:ascii="Arial" w:hAnsi="Arial" w:cs="Arial"/>
          <w:sz w:val="18"/>
          <w:szCs w:val="18"/>
          <w:lang w:val="pt-BR"/>
        </w:rPr>
      </w:pPr>
      <w:r w:rsidRPr="0014282E">
        <w:rPr>
          <w:rStyle w:val="FootnoteReference"/>
          <w:rFonts w:ascii="Arial" w:hAnsi="Arial" w:cs="Arial"/>
          <w:sz w:val="18"/>
          <w:szCs w:val="18"/>
        </w:rPr>
        <w:footnoteRef/>
      </w:r>
      <w:r w:rsidRPr="0014282E">
        <w:rPr>
          <w:rFonts w:ascii="Arial" w:hAnsi="Arial" w:cs="Arial"/>
          <w:sz w:val="18"/>
          <w:szCs w:val="18"/>
          <w:lang w:val="pt-BR"/>
        </w:rPr>
        <w:t xml:space="preserve"> </w:t>
      </w:r>
      <w:r w:rsidRPr="0014282E">
        <w:rPr>
          <w:rFonts w:ascii="Arial" w:hAnsi="Arial" w:cs="Arial"/>
          <w:sz w:val="18"/>
          <w:szCs w:val="18"/>
          <w:lang w:val="pt-BR"/>
        </w:rPr>
        <w:tab/>
      </w:r>
      <w:r w:rsidR="00F213F7">
        <w:rPr>
          <w:rFonts w:ascii="Arial" w:hAnsi="Arial" w:cs="Arial"/>
          <w:sz w:val="18"/>
          <w:szCs w:val="18"/>
          <w:lang w:val="pt-BR"/>
        </w:rPr>
        <w:t>As c</w:t>
      </w:r>
      <w:r w:rsidRPr="0014282E">
        <w:rPr>
          <w:rFonts w:ascii="Arial" w:hAnsi="Arial" w:cs="Arial"/>
          <w:sz w:val="18"/>
          <w:szCs w:val="18"/>
          <w:lang w:val="pt-BR"/>
        </w:rPr>
        <w:t xml:space="preserve">lassificações </w:t>
      </w:r>
      <w:r w:rsidR="00F213F7">
        <w:rPr>
          <w:rFonts w:ascii="Arial" w:hAnsi="Arial" w:cs="Arial"/>
          <w:sz w:val="18"/>
          <w:szCs w:val="18"/>
          <w:lang w:val="pt-BR"/>
        </w:rPr>
        <w:t xml:space="preserve">de </w:t>
      </w:r>
      <w:r w:rsidRPr="0014282E">
        <w:rPr>
          <w:rFonts w:ascii="Arial" w:hAnsi="Arial" w:cs="Arial"/>
          <w:sz w:val="18"/>
          <w:szCs w:val="18"/>
          <w:lang w:val="pt-BR"/>
        </w:rPr>
        <w:t>A</w:t>
      </w:r>
      <w:r w:rsidR="00F213F7">
        <w:rPr>
          <w:rFonts w:ascii="Arial" w:hAnsi="Arial" w:cs="Arial"/>
          <w:sz w:val="18"/>
          <w:szCs w:val="18"/>
          <w:lang w:val="pt-BR"/>
        </w:rPr>
        <w:t>AA</w:t>
      </w:r>
      <w:r w:rsidRPr="0014282E">
        <w:rPr>
          <w:rFonts w:ascii="Arial" w:hAnsi="Arial" w:cs="Arial"/>
          <w:sz w:val="18"/>
          <w:szCs w:val="18"/>
          <w:lang w:val="pt-BR"/>
        </w:rPr>
        <w:t xml:space="preserve"> </w:t>
      </w:r>
      <w:r w:rsidR="00F213F7">
        <w:rPr>
          <w:rFonts w:ascii="Arial" w:hAnsi="Arial" w:cs="Arial"/>
          <w:sz w:val="18"/>
          <w:szCs w:val="18"/>
          <w:lang w:val="pt-BR"/>
        </w:rPr>
        <w:t>a</w:t>
      </w:r>
      <w:r w:rsidRPr="0014282E">
        <w:rPr>
          <w:rFonts w:ascii="Arial" w:hAnsi="Arial" w:cs="Arial"/>
          <w:sz w:val="18"/>
          <w:szCs w:val="18"/>
          <w:lang w:val="pt-BR"/>
        </w:rPr>
        <w:t xml:space="preserve"> B</w:t>
      </w:r>
      <w:r w:rsidR="00F213F7">
        <w:rPr>
          <w:rFonts w:ascii="Arial" w:hAnsi="Arial" w:cs="Arial"/>
          <w:sz w:val="18"/>
          <w:szCs w:val="18"/>
          <w:lang w:val="pt-BR"/>
        </w:rPr>
        <w:t>BB-</w:t>
      </w:r>
      <w:r w:rsidRPr="0014282E">
        <w:rPr>
          <w:rFonts w:ascii="Arial" w:hAnsi="Arial" w:cs="Arial"/>
          <w:sz w:val="18"/>
          <w:szCs w:val="18"/>
          <w:lang w:val="pt-BR"/>
        </w:rPr>
        <w:t xml:space="preserve"> são considerados na escala do BNDES grau de investimento</w:t>
      </w:r>
      <w:r w:rsidR="00F213F7">
        <w:rPr>
          <w:rFonts w:ascii="Arial" w:hAnsi="Arial" w:cs="Arial"/>
          <w:sz w:val="18"/>
          <w:szCs w:val="18"/>
          <w:lang w:val="pt-BR"/>
        </w:rPr>
        <w:t>, sendo que o</w:t>
      </w:r>
      <w:r w:rsidRPr="0014282E">
        <w:rPr>
          <w:rFonts w:ascii="Arial" w:hAnsi="Arial" w:cs="Arial"/>
          <w:sz w:val="18"/>
          <w:szCs w:val="18"/>
          <w:lang w:val="pt-BR"/>
        </w:rPr>
        <w:t xml:space="preserve"> sistema </w:t>
      </w:r>
      <w:r w:rsidR="00F213F7">
        <w:rPr>
          <w:rFonts w:ascii="Arial" w:hAnsi="Arial" w:cs="Arial"/>
          <w:sz w:val="18"/>
          <w:szCs w:val="18"/>
          <w:lang w:val="pt-BR"/>
        </w:rPr>
        <w:t xml:space="preserve">segue à escala </w:t>
      </w:r>
      <w:r w:rsidRPr="0014282E">
        <w:rPr>
          <w:rFonts w:ascii="Arial" w:hAnsi="Arial" w:cs="Arial"/>
          <w:sz w:val="18"/>
          <w:szCs w:val="18"/>
          <w:lang w:val="pt-BR"/>
        </w:rPr>
        <w:t>estabelecid</w:t>
      </w:r>
      <w:r w:rsidR="00F213F7">
        <w:rPr>
          <w:rFonts w:ascii="Arial" w:hAnsi="Arial" w:cs="Arial"/>
          <w:sz w:val="18"/>
          <w:szCs w:val="18"/>
          <w:lang w:val="pt-BR"/>
        </w:rPr>
        <w:t>a</w:t>
      </w:r>
      <w:proofErr w:type="gramStart"/>
      <w:r w:rsidRPr="0014282E">
        <w:rPr>
          <w:rFonts w:ascii="Arial" w:hAnsi="Arial" w:cs="Arial"/>
          <w:sz w:val="18"/>
          <w:szCs w:val="18"/>
          <w:lang w:val="pt-BR"/>
        </w:rPr>
        <w:t xml:space="preserve">  </w:t>
      </w:r>
      <w:proofErr w:type="gramEnd"/>
      <w:r w:rsidRPr="0014282E">
        <w:rPr>
          <w:rFonts w:ascii="Arial" w:hAnsi="Arial" w:cs="Arial"/>
          <w:sz w:val="18"/>
          <w:szCs w:val="18"/>
          <w:lang w:val="pt-BR"/>
        </w:rPr>
        <w:t xml:space="preserve">na </w:t>
      </w:r>
      <w:hyperlink r:id="rId5" w:history="1">
        <w:r w:rsidRPr="0014282E">
          <w:rPr>
            <w:rStyle w:val="Hyperlink"/>
            <w:rFonts w:ascii="Arial" w:hAnsi="Arial" w:cs="Arial"/>
            <w:sz w:val="18"/>
            <w:szCs w:val="18"/>
            <w:lang w:val="pt-BR"/>
          </w:rPr>
          <w:t>Resolução CMN n.2682/1999</w:t>
        </w:r>
      </w:hyperlink>
      <w:r w:rsidRPr="0014282E">
        <w:rPr>
          <w:rFonts w:ascii="Arial" w:hAnsi="Arial" w:cs="Arial"/>
          <w:sz w:val="18"/>
          <w:szCs w:val="18"/>
          <w:lang w:val="pt-BR"/>
        </w:rPr>
        <w:t>.</w:t>
      </w:r>
    </w:p>
  </w:footnote>
  <w:footnote w:id="12">
    <w:p w:rsidR="00474EDB" w:rsidRPr="0014282E" w:rsidRDefault="00474EDB" w:rsidP="000608EA">
      <w:pPr>
        <w:pStyle w:val="FootnoteText"/>
        <w:spacing w:after="0"/>
        <w:rPr>
          <w:rFonts w:ascii="Arial" w:hAnsi="Arial" w:cs="Arial"/>
          <w:sz w:val="18"/>
          <w:szCs w:val="18"/>
          <w:lang w:val="pt-BR"/>
        </w:rPr>
      </w:pPr>
      <w:r w:rsidRPr="0014282E">
        <w:rPr>
          <w:rStyle w:val="FootnoteReference"/>
          <w:rFonts w:ascii="Arial" w:hAnsi="Arial" w:cs="Arial"/>
          <w:sz w:val="18"/>
          <w:szCs w:val="18"/>
        </w:rPr>
        <w:footnoteRef/>
      </w:r>
      <w:r w:rsidRPr="0014282E">
        <w:rPr>
          <w:rFonts w:ascii="Arial" w:hAnsi="Arial" w:cs="Arial"/>
          <w:sz w:val="18"/>
          <w:szCs w:val="18"/>
          <w:lang w:val="pt-BR"/>
        </w:rPr>
        <w:t xml:space="preserve"> </w:t>
      </w:r>
      <w:r w:rsidRPr="0014282E">
        <w:rPr>
          <w:rFonts w:ascii="Arial" w:hAnsi="Arial" w:cs="Arial"/>
          <w:sz w:val="18"/>
          <w:szCs w:val="18"/>
          <w:lang w:val="pt-BR"/>
        </w:rPr>
        <w:tab/>
        <w:t>Este requerimento é dispensado no caso de: (a) Sociedades de Arrendamento Mercantil; (b) instituições financeiras e os conglomerados financeiros ou os grupos econômicos controladores dessas instituições que tenham classificação de risco igual ou melhor do que BBB-, atribuída pelo BNDES ou por agência internacional de classificação de risco considerada de primeira linha, a critério do BNDES; e (c) agências de fomento, bancos de desenvolvimento e cooperativas centrais de crédito, independentemente de sua classificação de risco.</w:t>
      </w:r>
    </w:p>
  </w:footnote>
  <w:footnote w:id="13">
    <w:p w:rsidR="00F213F7" w:rsidRPr="002B2779" w:rsidRDefault="00F213F7" w:rsidP="00F213F7">
      <w:pPr>
        <w:pStyle w:val="FootnoteText"/>
        <w:rPr>
          <w:rFonts w:ascii="Arial" w:hAnsi="Arial" w:cs="Arial"/>
          <w:sz w:val="18"/>
          <w:szCs w:val="18"/>
          <w:lang w:val="pt-BR"/>
        </w:rPr>
      </w:pPr>
      <w:r w:rsidRPr="00B91C52">
        <w:rPr>
          <w:rStyle w:val="FootnoteReference"/>
        </w:rPr>
        <w:footnoteRef/>
      </w:r>
      <w:r w:rsidRPr="00B91C52">
        <w:rPr>
          <w:lang w:val="pt-BR"/>
        </w:rPr>
        <w:t xml:space="preserve">  </w:t>
      </w:r>
      <w:r w:rsidRPr="00B91C52">
        <w:rPr>
          <w:rFonts w:ascii="Arial" w:hAnsi="Arial" w:cs="Arial"/>
          <w:sz w:val="18"/>
          <w:szCs w:val="18"/>
          <w:lang w:val="pt-BR"/>
        </w:rPr>
        <w:t xml:space="preserve">Ata da </w:t>
      </w:r>
      <w:r w:rsidR="00B91C52" w:rsidRPr="00B91C52">
        <w:rPr>
          <w:rFonts w:ascii="Arial" w:hAnsi="Arial" w:cs="Arial"/>
          <w:sz w:val="18"/>
          <w:szCs w:val="18"/>
          <w:lang w:val="pt-BR"/>
        </w:rPr>
        <w:t>Assembleia</w:t>
      </w:r>
      <w:r w:rsidRPr="00B91C52">
        <w:rPr>
          <w:rFonts w:ascii="Arial" w:hAnsi="Arial" w:cs="Arial"/>
          <w:sz w:val="18"/>
          <w:szCs w:val="18"/>
          <w:lang w:val="pt-BR"/>
        </w:rPr>
        <w:t xml:space="preserve"> que elegeu a atual Diretoria; Estatuto Social e alterações posteriores; </w:t>
      </w:r>
      <w:proofErr w:type="spellStart"/>
      <w:r w:rsidRPr="00B91C52">
        <w:rPr>
          <w:rFonts w:ascii="Arial" w:hAnsi="Arial" w:cs="Arial"/>
          <w:sz w:val="18"/>
          <w:szCs w:val="18"/>
          <w:lang w:val="pt-BR"/>
        </w:rPr>
        <w:t>auutorização</w:t>
      </w:r>
      <w:proofErr w:type="spellEnd"/>
      <w:r w:rsidRPr="00B91C52">
        <w:rPr>
          <w:rFonts w:ascii="Arial" w:hAnsi="Arial" w:cs="Arial"/>
          <w:sz w:val="18"/>
          <w:szCs w:val="18"/>
          <w:lang w:val="pt-BR"/>
        </w:rPr>
        <w:t xml:space="preserve"> do Banco Central; Certidão Negativa de Débitos Relativos Aos Tributos Federais e à Dívida Ativa da União (incluindo as contribuições previdenciárias); Comprovante de que a Instituição está em dia com a entrega da Relação Anual de Informações Sociais – RAIS; Comprovação de estar em dia com as obrigações relativas ao FGTS; Estrutura Societária compreendendo os controladores finais – pessoas físicas; Declaração sobre Pessoas Politicamente Expostas, e outros</w:t>
      </w:r>
      <w:proofErr w:type="gramStart"/>
      <w:r w:rsidRPr="00B91C52">
        <w:rPr>
          <w:rFonts w:ascii="Arial" w:hAnsi="Arial" w:cs="Arial"/>
          <w:sz w:val="18"/>
          <w:szCs w:val="18"/>
          <w:lang w:val="pt-BR"/>
        </w:rPr>
        <w:t>..</w:t>
      </w:r>
      <w:proofErr w:type="gramEnd"/>
    </w:p>
  </w:footnote>
  <w:footnote w:id="14">
    <w:p w:rsidR="00474EDB" w:rsidRPr="0014282E" w:rsidRDefault="00474EDB" w:rsidP="000608EA">
      <w:pPr>
        <w:pStyle w:val="FootnoteText"/>
        <w:spacing w:after="0"/>
        <w:rPr>
          <w:rFonts w:ascii="Arial" w:hAnsi="Arial" w:cs="Arial"/>
          <w:sz w:val="18"/>
          <w:szCs w:val="18"/>
          <w:lang w:val="pt-BR"/>
        </w:rPr>
      </w:pPr>
      <w:r w:rsidRPr="0014282E">
        <w:rPr>
          <w:rStyle w:val="FootnoteReference"/>
          <w:rFonts w:ascii="Arial" w:hAnsi="Arial" w:cs="Arial"/>
          <w:sz w:val="18"/>
          <w:szCs w:val="18"/>
        </w:rPr>
        <w:footnoteRef/>
      </w:r>
      <w:r w:rsidRPr="0014282E">
        <w:rPr>
          <w:rFonts w:ascii="Arial" w:hAnsi="Arial" w:cs="Arial"/>
          <w:sz w:val="18"/>
          <w:szCs w:val="18"/>
          <w:lang w:val="pt-BR"/>
        </w:rPr>
        <w:t xml:space="preserve"> </w:t>
      </w:r>
      <w:r w:rsidRPr="0014282E">
        <w:rPr>
          <w:rFonts w:ascii="Arial" w:hAnsi="Arial" w:cs="Arial"/>
          <w:sz w:val="18"/>
          <w:szCs w:val="18"/>
          <w:lang w:val="pt-BR"/>
        </w:rPr>
        <w:tab/>
        <w:t xml:space="preserve">Ver </w:t>
      </w:r>
      <w:hyperlink r:id="rId6" w:history="1">
        <w:r w:rsidRPr="0014282E">
          <w:rPr>
            <w:rStyle w:val="Hyperlink"/>
            <w:rFonts w:ascii="Arial" w:hAnsi="Arial" w:cs="Arial"/>
            <w:b/>
            <w:bCs/>
            <w:sz w:val="18"/>
            <w:szCs w:val="18"/>
            <w:lang w:val="pt-BR"/>
          </w:rPr>
          <w:t>Critérios de credenciamento, descredenciamento, impedimento e suspensão dos Agentes Financeiros</w:t>
        </w:r>
      </w:hyperlink>
      <w:r w:rsidRPr="0014282E">
        <w:rPr>
          <w:rStyle w:val="apple-converted-space"/>
          <w:rFonts w:ascii="Arial" w:hAnsi="Arial" w:cs="Arial"/>
          <w:color w:val="333333"/>
          <w:sz w:val="18"/>
          <w:szCs w:val="18"/>
          <w:lang w:val="pt-BR"/>
        </w:rPr>
        <w:t>.</w:t>
      </w:r>
    </w:p>
  </w:footnote>
  <w:footnote w:id="15">
    <w:p w:rsidR="00474EDB" w:rsidRPr="0014282E" w:rsidRDefault="00474EDB" w:rsidP="000608EA">
      <w:pPr>
        <w:pStyle w:val="FootnoteText"/>
        <w:spacing w:after="0"/>
        <w:rPr>
          <w:rFonts w:ascii="Arial" w:hAnsi="Arial" w:cs="Arial"/>
          <w:sz w:val="18"/>
          <w:szCs w:val="18"/>
          <w:lang w:val="pt-BR"/>
        </w:rPr>
      </w:pPr>
      <w:r w:rsidRPr="0014282E">
        <w:rPr>
          <w:rStyle w:val="FootnoteReference"/>
          <w:rFonts w:ascii="Arial" w:hAnsi="Arial" w:cs="Arial"/>
          <w:sz w:val="18"/>
          <w:szCs w:val="18"/>
        </w:rPr>
        <w:footnoteRef/>
      </w:r>
      <w:r w:rsidRPr="0014282E">
        <w:rPr>
          <w:rFonts w:ascii="Arial" w:hAnsi="Arial" w:cs="Arial"/>
          <w:sz w:val="18"/>
          <w:szCs w:val="18"/>
          <w:lang w:val="pt-BR"/>
        </w:rPr>
        <w:t xml:space="preserve"> </w:t>
      </w:r>
      <w:r w:rsidRPr="0014282E">
        <w:rPr>
          <w:rFonts w:ascii="Arial" w:hAnsi="Arial" w:cs="Arial"/>
          <w:sz w:val="18"/>
          <w:szCs w:val="18"/>
          <w:lang w:val="pt-BR"/>
        </w:rPr>
        <w:tab/>
        <w:t>Também se utilizam os seguintes critérios na definição do Fluxo Financeiro: Igual ao percentual (50% ou 75%) das amortizações previstas para o semestre do limite – no caso de instituições financeiras já operando com o BNDES.  Adicionalmente, instituições financeiras com limite pelo fluxo financeiro não poderá prestar e nem renovar fianças, ser contraparte em operações com derivativos ou receber operações em cessões de carteira.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EDB" w:rsidRPr="005E6A73" w:rsidRDefault="00474EDB">
    <w:pPr>
      <w:pStyle w:val="Header"/>
      <w:jc w:val="center"/>
      <w:rPr>
        <w:rFonts w:ascii="Times New Roman" w:hAnsi="Times New Roman" w:cs="Times New Roman"/>
      </w:rPr>
    </w:pPr>
    <w:r w:rsidRPr="005E6A73">
      <w:rPr>
        <w:rFonts w:ascii="Times New Roman" w:hAnsi="Times New Roman" w:cs="Times New Roman"/>
      </w:rPr>
      <w:t>-</w:t>
    </w:r>
    <w:sdt>
      <w:sdtPr>
        <w:rPr>
          <w:rFonts w:ascii="Times New Roman" w:hAnsi="Times New Roman" w:cs="Times New Roman"/>
        </w:rPr>
        <w:id w:val="121975055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5E6A73">
          <w:rPr>
            <w:rFonts w:ascii="Times New Roman" w:hAnsi="Times New Roman" w:cs="Times New Roman"/>
          </w:rPr>
          <w:fldChar w:fldCharType="begin"/>
        </w:r>
        <w:r w:rsidRPr="005E6A73">
          <w:rPr>
            <w:rFonts w:ascii="Times New Roman" w:hAnsi="Times New Roman" w:cs="Times New Roman"/>
          </w:rPr>
          <w:instrText xml:space="preserve"> PAGE   \* MERGEFORMAT </w:instrText>
        </w:r>
        <w:r w:rsidRPr="005E6A73">
          <w:rPr>
            <w:rFonts w:ascii="Times New Roman" w:hAnsi="Times New Roman" w:cs="Times New Roman"/>
          </w:rPr>
          <w:fldChar w:fldCharType="separate"/>
        </w:r>
        <w:r w:rsidR="00820D28">
          <w:rPr>
            <w:rFonts w:ascii="Times New Roman" w:hAnsi="Times New Roman" w:cs="Times New Roman"/>
            <w:noProof/>
          </w:rPr>
          <w:t>14</w:t>
        </w:r>
        <w:r w:rsidRPr="005E6A73">
          <w:rPr>
            <w:rFonts w:ascii="Times New Roman" w:hAnsi="Times New Roman" w:cs="Times New Roman"/>
            <w:noProof/>
          </w:rPr>
          <w:fldChar w:fldCharType="end"/>
        </w:r>
        <w:r w:rsidRPr="005E6A73">
          <w:rPr>
            <w:rFonts w:ascii="Times New Roman" w:hAnsi="Times New Roman" w:cs="Times New Roman"/>
            <w:noProof/>
          </w:rPr>
          <w:t>-</w:t>
        </w:r>
      </w:sdtContent>
    </w:sdt>
  </w:p>
  <w:p w:rsidR="00474EDB" w:rsidRDefault="00474E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E265E"/>
    <w:multiLevelType w:val="hybridMultilevel"/>
    <w:tmpl w:val="451E1B46"/>
    <w:lvl w:ilvl="0" w:tplc="0409000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68" w:hanging="360"/>
      </w:pPr>
      <w:rPr>
        <w:rFonts w:ascii="Wingdings" w:hAnsi="Wingdings" w:hint="default"/>
      </w:rPr>
    </w:lvl>
  </w:abstractNum>
  <w:abstractNum w:abstractNumId="1">
    <w:nsid w:val="09262553"/>
    <w:multiLevelType w:val="hybridMultilevel"/>
    <w:tmpl w:val="3476231A"/>
    <w:lvl w:ilvl="0" w:tplc="5716394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B6185"/>
    <w:multiLevelType w:val="multilevel"/>
    <w:tmpl w:val="B5065F96"/>
    <w:lvl w:ilvl="0">
      <w:start w:val="1"/>
      <w:numFmt w:val="upperRoman"/>
      <w:lvlRestart w:val="0"/>
      <w:pStyle w:val="Chapter"/>
      <w:lvlText w:val="%1."/>
      <w:lvlJc w:val="center"/>
      <w:pPr>
        <w:tabs>
          <w:tab w:val="num" w:pos="1800"/>
        </w:tabs>
        <w:ind w:left="1152" w:firstLine="288"/>
      </w:pPr>
      <w:rPr>
        <w:b/>
        <w:i w:val="0"/>
      </w:rPr>
    </w:lvl>
    <w:lvl w:ilvl="1">
      <w:start w:val="1"/>
      <w:numFmt w:val="decimal"/>
      <w:pStyle w:val="Paragraph"/>
      <w:isLgl/>
      <w:lvlText w:val="%1.%2"/>
      <w:lvlJc w:val="left"/>
      <w:pPr>
        <w:tabs>
          <w:tab w:val="num" w:pos="2448"/>
        </w:tabs>
        <w:ind w:left="2448" w:hanging="1296"/>
      </w:pPr>
      <w:rPr>
        <w:b w:val="0"/>
        <w:lang w:val="pt-BR"/>
      </w:rPr>
    </w:lvl>
    <w:lvl w:ilvl="2">
      <w:start w:val="1"/>
      <w:numFmt w:val="lowerLetter"/>
      <w:pStyle w:val="subpar"/>
      <w:lvlText w:val="%3."/>
      <w:lvlJc w:val="left"/>
      <w:pPr>
        <w:tabs>
          <w:tab w:val="num" w:pos="2304"/>
        </w:tabs>
        <w:ind w:left="2304" w:hanging="432"/>
      </w:pPr>
    </w:lvl>
    <w:lvl w:ilvl="3">
      <w:start w:val="1"/>
      <w:numFmt w:val="lowerRoman"/>
      <w:pStyle w:val="SubSubPar"/>
      <w:lvlText w:val="%4."/>
      <w:lvlJc w:val="right"/>
      <w:pPr>
        <w:tabs>
          <w:tab w:val="num" w:pos="2736"/>
        </w:tabs>
        <w:ind w:left="2736" w:hanging="288"/>
      </w:pPr>
    </w:lvl>
    <w:lvl w:ilvl="4">
      <w:start w:val="1"/>
      <w:numFmt w:val="decimal"/>
      <w:lvlText w:val="%1.%2.%3.%4.%5"/>
      <w:lvlJc w:val="left"/>
      <w:pPr>
        <w:ind w:left="2160" w:hanging="1008"/>
      </w:pPr>
    </w:lvl>
    <w:lvl w:ilvl="5">
      <w:start w:val="1"/>
      <w:numFmt w:val="decimal"/>
      <w:lvlText w:val="%1.%2.%3.%4.%5.%6"/>
      <w:lvlJc w:val="left"/>
      <w:pPr>
        <w:ind w:left="2304" w:hanging="1152"/>
      </w:pPr>
    </w:lvl>
    <w:lvl w:ilvl="6">
      <w:start w:val="1"/>
      <w:numFmt w:val="decimal"/>
      <w:lvlText w:val="%1.%2.%3.%4.%5.%6.%7"/>
      <w:lvlJc w:val="left"/>
      <w:pPr>
        <w:ind w:left="2448" w:hanging="1296"/>
      </w:pPr>
    </w:lvl>
    <w:lvl w:ilvl="7">
      <w:start w:val="1"/>
      <w:numFmt w:val="decimal"/>
      <w:lvlText w:val="%1.%2.%3.%4.%5.%6.%7.%8"/>
      <w:lvlJc w:val="left"/>
      <w:pPr>
        <w:ind w:left="2592" w:hanging="1440"/>
      </w:pPr>
    </w:lvl>
    <w:lvl w:ilvl="8">
      <w:start w:val="1"/>
      <w:numFmt w:val="decimal"/>
      <w:lvlText w:val="%1.%2.%3.%4.%5.%6.%7.%8.%9"/>
      <w:lvlJc w:val="left"/>
      <w:pPr>
        <w:ind w:left="2736" w:hanging="1584"/>
      </w:pPr>
    </w:lvl>
  </w:abstractNum>
  <w:abstractNum w:abstractNumId="3">
    <w:nsid w:val="0A5F11D0"/>
    <w:multiLevelType w:val="hybridMultilevel"/>
    <w:tmpl w:val="3476231A"/>
    <w:lvl w:ilvl="0" w:tplc="5716394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0E505C"/>
    <w:multiLevelType w:val="hybridMultilevel"/>
    <w:tmpl w:val="3476231A"/>
    <w:lvl w:ilvl="0" w:tplc="5716394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3B63AC"/>
    <w:multiLevelType w:val="hybridMultilevel"/>
    <w:tmpl w:val="3476231A"/>
    <w:lvl w:ilvl="0" w:tplc="5716394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432077"/>
    <w:multiLevelType w:val="hybridMultilevel"/>
    <w:tmpl w:val="3476231A"/>
    <w:lvl w:ilvl="0" w:tplc="5716394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B62858"/>
    <w:multiLevelType w:val="hybridMultilevel"/>
    <w:tmpl w:val="3476231A"/>
    <w:lvl w:ilvl="0" w:tplc="5716394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C87D47"/>
    <w:multiLevelType w:val="hybridMultilevel"/>
    <w:tmpl w:val="3476231A"/>
    <w:lvl w:ilvl="0" w:tplc="5716394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0215E2"/>
    <w:multiLevelType w:val="hybridMultilevel"/>
    <w:tmpl w:val="3476231A"/>
    <w:lvl w:ilvl="0" w:tplc="5716394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DC5405"/>
    <w:multiLevelType w:val="hybridMultilevel"/>
    <w:tmpl w:val="3476231A"/>
    <w:lvl w:ilvl="0" w:tplc="5716394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DB05E1"/>
    <w:multiLevelType w:val="hybridMultilevel"/>
    <w:tmpl w:val="3476231A"/>
    <w:lvl w:ilvl="0" w:tplc="5716394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364BDD"/>
    <w:multiLevelType w:val="hybridMultilevel"/>
    <w:tmpl w:val="3476231A"/>
    <w:lvl w:ilvl="0" w:tplc="5716394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9276EC"/>
    <w:multiLevelType w:val="hybridMultilevel"/>
    <w:tmpl w:val="3476231A"/>
    <w:lvl w:ilvl="0" w:tplc="5716394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2F4130"/>
    <w:multiLevelType w:val="hybridMultilevel"/>
    <w:tmpl w:val="3476231A"/>
    <w:lvl w:ilvl="0" w:tplc="5716394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9A22A3"/>
    <w:multiLevelType w:val="hybridMultilevel"/>
    <w:tmpl w:val="3476231A"/>
    <w:lvl w:ilvl="0" w:tplc="5716394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767844"/>
    <w:multiLevelType w:val="hybridMultilevel"/>
    <w:tmpl w:val="3476231A"/>
    <w:lvl w:ilvl="0" w:tplc="5716394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C20054"/>
    <w:multiLevelType w:val="hybridMultilevel"/>
    <w:tmpl w:val="3476231A"/>
    <w:lvl w:ilvl="0" w:tplc="5716394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C76158"/>
    <w:multiLevelType w:val="hybridMultilevel"/>
    <w:tmpl w:val="3476231A"/>
    <w:lvl w:ilvl="0" w:tplc="5716394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0F38CC"/>
    <w:multiLevelType w:val="hybridMultilevel"/>
    <w:tmpl w:val="3476231A"/>
    <w:lvl w:ilvl="0" w:tplc="5716394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FE736B"/>
    <w:multiLevelType w:val="hybridMultilevel"/>
    <w:tmpl w:val="3476231A"/>
    <w:lvl w:ilvl="0" w:tplc="5716394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780F86"/>
    <w:multiLevelType w:val="hybridMultilevel"/>
    <w:tmpl w:val="3476231A"/>
    <w:lvl w:ilvl="0" w:tplc="5716394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6C0E5A"/>
    <w:multiLevelType w:val="hybridMultilevel"/>
    <w:tmpl w:val="3476231A"/>
    <w:lvl w:ilvl="0" w:tplc="5716394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541D7D"/>
    <w:multiLevelType w:val="hybridMultilevel"/>
    <w:tmpl w:val="3476231A"/>
    <w:lvl w:ilvl="0" w:tplc="5716394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EF49D3"/>
    <w:multiLevelType w:val="hybridMultilevel"/>
    <w:tmpl w:val="3476231A"/>
    <w:lvl w:ilvl="0" w:tplc="5716394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5E6A5B"/>
    <w:multiLevelType w:val="hybridMultilevel"/>
    <w:tmpl w:val="3476231A"/>
    <w:lvl w:ilvl="0" w:tplc="5716394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8067AE"/>
    <w:multiLevelType w:val="hybridMultilevel"/>
    <w:tmpl w:val="3476231A"/>
    <w:lvl w:ilvl="0" w:tplc="5716394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960CE9"/>
    <w:multiLevelType w:val="multilevel"/>
    <w:tmpl w:val="B6045138"/>
    <w:lvl w:ilvl="0">
      <w:start w:val="1"/>
      <w:numFmt w:val="none"/>
      <w:lvlRestart w:val="0"/>
      <w:pStyle w:val="FirstHeading"/>
      <w:suff w:val="nothing"/>
      <w:lvlText w:val=""/>
      <w:lvlJc w:val="left"/>
      <w:pPr>
        <w:ind w:left="4824" w:hanging="720"/>
      </w:pPr>
    </w:lvl>
    <w:lvl w:ilvl="1">
      <w:start w:val="1"/>
      <w:numFmt w:val="decimal"/>
      <w:pStyle w:val="SecHeading"/>
      <w:lvlText w:val="%2."/>
      <w:lvlJc w:val="left"/>
      <w:pPr>
        <w:tabs>
          <w:tab w:val="num" w:pos="5400"/>
        </w:tabs>
        <w:ind w:left="5400" w:hanging="576"/>
      </w:pPr>
      <w:rPr>
        <w:b/>
      </w:rPr>
    </w:lvl>
    <w:lvl w:ilvl="2">
      <w:start w:val="1"/>
      <w:numFmt w:val="lowerLetter"/>
      <w:pStyle w:val="SubHeading1"/>
      <w:lvlText w:val="%3)"/>
      <w:lvlJc w:val="left"/>
      <w:pPr>
        <w:tabs>
          <w:tab w:val="num" w:pos="5976"/>
        </w:tabs>
        <w:ind w:left="5976" w:hanging="576"/>
      </w:pPr>
      <w:rPr>
        <w:b/>
      </w:rPr>
    </w:lvl>
    <w:lvl w:ilvl="3">
      <w:start w:val="1"/>
      <w:numFmt w:val="lowerRoman"/>
      <w:pStyle w:val="Subheading2"/>
      <w:lvlText w:val="(%4)"/>
      <w:lvlJc w:val="right"/>
      <w:pPr>
        <w:tabs>
          <w:tab w:val="num" w:pos="6480"/>
        </w:tabs>
        <w:ind w:left="6480" w:hanging="288"/>
      </w:pPr>
      <w:rPr>
        <w:b/>
      </w:rPr>
    </w:lvl>
    <w:lvl w:ilvl="4">
      <w:start w:val="1"/>
      <w:numFmt w:val="decimal"/>
      <w:pStyle w:val="Heading5"/>
      <w:lvlText w:val="%5)"/>
      <w:lvlJc w:val="left"/>
      <w:pPr>
        <w:ind w:left="5112" w:hanging="432"/>
      </w:pPr>
    </w:lvl>
    <w:lvl w:ilvl="5">
      <w:start w:val="1"/>
      <w:numFmt w:val="lowerLetter"/>
      <w:pStyle w:val="Heading6"/>
      <w:lvlText w:val="%6)"/>
      <w:lvlJc w:val="left"/>
      <w:pPr>
        <w:ind w:left="5256" w:hanging="432"/>
      </w:pPr>
    </w:lvl>
    <w:lvl w:ilvl="6">
      <w:start w:val="1"/>
      <w:numFmt w:val="lowerRoman"/>
      <w:pStyle w:val="Heading7"/>
      <w:lvlText w:val="%7)"/>
      <w:lvlJc w:val="right"/>
      <w:pPr>
        <w:ind w:left="5400" w:hanging="288"/>
      </w:pPr>
    </w:lvl>
    <w:lvl w:ilvl="7">
      <w:start w:val="1"/>
      <w:numFmt w:val="lowerLetter"/>
      <w:pStyle w:val="Heading8"/>
      <w:lvlText w:val="%8."/>
      <w:lvlJc w:val="left"/>
      <w:pPr>
        <w:ind w:left="5544" w:hanging="432"/>
      </w:pPr>
    </w:lvl>
    <w:lvl w:ilvl="8">
      <w:start w:val="1"/>
      <w:numFmt w:val="lowerRoman"/>
      <w:pStyle w:val="Heading9"/>
      <w:lvlText w:val="%9."/>
      <w:lvlJc w:val="right"/>
      <w:pPr>
        <w:ind w:left="5688" w:hanging="144"/>
      </w:pPr>
    </w:lvl>
  </w:abstractNum>
  <w:abstractNum w:abstractNumId="28">
    <w:nsid w:val="5FBE5667"/>
    <w:multiLevelType w:val="hybridMultilevel"/>
    <w:tmpl w:val="3476231A"/>
    <w:lvl w:ilvl="0" w:tplc="5716394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FE7884"/>
    <w:multiLevelType w:val="hybridMultilevel"/>
    <w:tmpl w:val="3476231A"/>
    <w:lvl w:ilvl="0" w:tplc="5716394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F00730"/>
    <w:multiLevelType w:val="hybridMultilevel"/>
    <w:tmpl w:val="3476231A"/>
    <w:lvl w:ilvl="0" w:tplc="5716394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2607C3"/>
    <w:multiLevelType w:val="hybridMultilevel"/>
    <w:tmpl w:val="D0B42A82"/>
    <w:lvl w:ilvl="0" w:tplc="5716394A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B97BC2"/>
    <w:multiLevelType w:val="hybridMultilevel"/>
    <w:tmpl w:val="3476231A"/>
    <w:lvl w:ilvl="0" w:tplc="5716394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356871"/>
    <w:multiLevelType w:val="hybridMultilevel"/>
    <w:tmpl w:val="3476231A"/>
    <w:lvl w:ilvl="0" w:tplc="5716394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5F400B"/>
    <w:multiLevelType w:val="hybridMultilevel"/>
    <w:tmpl w:val="3476231A"/>
    <w:lvl w:ilvl="0" w:tplc="5716394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3445CC"/>
    <w:multiLevelType w:val="hybridMultilevel"/>
    <w:tmpl w:val="3476231A"/>
    <w:lvl w:ilvl="0" w:tplc="5716394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890019"/>
    <w:multiLevelType w:val="hybridMultilevel"/>
    <w:tmpl w:val="3476231A"/>
    <w:lvl w:ilvl="0" w:tplc="5716394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8F3E9D"/>
    <w:multiLevelType w:val="hybridMultilevel"/>
    <w:tmpl w:val="3476231A"/>
    <w:lvl w:ilvl="0" w:tplc="5716394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992965"/>
    <w:multiLevelType w:val="hybridMultilevel"/>
    <w:tmpl w:val="3476231A"/>
    <w:lvl w:ilvl="0" w:tplc="5716394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64182D"/>
    <w:multiLevelType w:val="hybridMultilevel"/>
    <w:tmpl w:val="3476231A"/>
    <w:lvl w:ilvl="0" w:tplc="5716394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9F6665"/>
    <w:multiLevelType w:val="hybridMultilevel"/>
    <w:tmpl w:val="3476231A"/>
    <w:lvl w:ilvl="0" w:tplc="5716394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1D327D"/>
    <w:multiLevelType w:val="hybridMultilevel"/>
    <w:tmpl w:val="3476231A"/>
    <w:lvl w:ilvl="0" w:tplc="5716394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9F1AE6"/>
    <w:multiLevelType w:val="hybridMultilevel"/>
    <w:tmpl w:val="3476231A"/>
    <w:lvl w:ilvl="0" w:tplc="5716394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7"/>
  </w:num>
  <w:num w:numId="3">
    <w:abstractNumId w:val="0"/>
  </w:num>
  <w:num w:numId="4">
    <w:abstractNumId w:val="11"/>
  </w:num>
  <w:num w:numId="5">
    <w:abstractNumId w:val="15"/>
  </w:num>
  <w:num w:numId="6">
    <w:abstractNumId w:val="18"/>
  </w:num>
  <w:num w:numId="7">
    <w:abstractNumId w:val="21"/>
  </w:num>
  <w:num w:numId="8">
    <w:abstractNumId w:val="36"/>
  </w:num>
  <w:num w:numId="9">
    <w:abstractNumId w:val="41"/>
  </w:num>
  <w:num w:numId="10">
    <w:abstractNumId w:val="19"/>
  </w:num>
  <w:num w:numId="11">
    <w:abstractNumId w:val="34"/>
  </w:num>
  <w:num w:numId="12">
    <w:abstractNumId w:val="4"/>
  </w:num>
  <w:num w:numId="13">
    <w:abstractNumId w:val="22"/>
  </w:num>
  <w:num w:numId="14">
    <w:abstractNumId w:val="14"/>
  </w:num>
  <w:num w:numId="15">
    <w:abstractNumId w:val="13"/>
  </w:num>
  <w:num w:numId="16">
    <w:abstractNumId w:val="26"/>
  </w:num>
  <w:num w:numId="17">
    <w:abstractNumId w:val="35"/>
  </w:num>
  <w:num w:numId="18">
    <w:abstractNumId w:val="37"/>
  </w:num>
  <w:num w:numId="19">
    <w:abstractNumId w:val="24"/>
  </w:num>
  <w:num w:numId="20">
    <w:abstractNumId w:val="3"/>
  </w:num>
  <w:num w:numId="21">
    <w:abstractNumId w:val="25"/>
  </w:num>
  <w:num w:numId="22">
    <w:abstractNumId w:val="5"/>
  </w:num>
  <w:num w:numId="23">
    <w:abstractNumId w:val="33"/>
  </w:num>
  <w:num w:numId="24">
    <w:abstractNumId w:val="38"/>
  </w:num>
  <w:num w:numId="25">
    <w:abstractNumId w:val="8"/>
  </w:num>
  <w:num w:numId="26">
    <w:abstractNumId w:val="7"/>
  </w:num>
  <w:num w:numId="27">
    <w:abstractNumId w:val="32"/>
  </w:num>
  <w:num w:numId="28">
    <w:abstractNumId w:val="20"/>
  </w:num>
  <w:num w:numId="29">
    <w:abstractNumId w:val="42"/>
  </w:num>
  <w:num w:numId="30">
    <w:abstractNumId w:val="10"/>
  </w:num>
  <w:num w:numId="31">
    <w:abstractNumId w:val="12"/>
  </w:num>
  <w:num w:numId="32">
    <w:abstractNumId w:val="30"/>
  </w:num>
  <w:num w:numId="33">
    <w:abstractNumId w:val="6"/>
  </w:num>
  <w:num w:numId="34">
    <w:abstractNumId w:val="39"/>
  </w:num>
  <w:num w:numId="35">
    <w:abstractNumId w:val="17"/>
  </w:num>
  <w:num w:numId="36">
    <w:abstractNumId w:val="1"/>
  </w:num>
  <w:num w:numId="37">
    <w:abstractNumId w:val="40"/>
  </w:num>
  <w:num w:numId="38">
    <w:abstractNumId w:val="28"/>
  </w:num>
  <w:num w:numId="39">
    <w:abstractNumId w:val="9"/>
  </w:num>
  <w:num w:numId="40">
    <w:abstractNumId w:val="29"/>
  </w:num>
  <w:num w:numId="41">
    <w:abstractNumId w:val="23"/>
  </w:num>
  <w:num w:numId="42">
    <w:abstractNumId w:val="16"/>
  </w:num>
  <w:num w:numId="43">
    <w:abstractNumId w:val="3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A03"/>
    <w:rsid w:val="00007319"/>
    <w:rsid w:val="00020463"/>
    <w:rsid w:val="00032C5E"/>
    <w:rsid w:val="00041142"/>
    <w:rsid w:val="000559C7"/>
    <w:rsid w:val="000608EA"/>
    <w:rsid w:val="00085424"/>
    <w:rsid w:val="00086DF2"/>
    <w:rsid w:val="000A0C5F"/>
    <w:rsid w:val="000D4CEE"/>
    <w:rsid w:val="001242C8"/>
    <w:rsid w:val="00137BC8"/>
    <w:rsid w:val="0014282E"/>
    <w:rsid w:val="0014505D"/>
    <w:rsid w:val="00152EC7"/>
    <w:rsid w:val="00160662"/>
    <w:rsid w:val="0016239F"/>
    <w:rsid w:val="00193A44"/>
    <w:rsid w:val="00195E80"/>
    <w:rsid w:val="001B4ABA"/>
    <w:rsid w:val="001C0B7F"/>
    <w:rsid w:val="00203697"/>
    <w:rsid w:val="002647CA"/>
    <w:rsid w:val="00281DE5"/>
    <w:rsid w:val="002F49A1"/>
    <w:rsid w:val="002F77F1"/>
    <w:rsid w:val="00304DB5"/>
    <w:rsid w:val="00304E49"/>
    <w:rsid w:val="00306009"/>
    <w:rsid w:val="00333CE4"/>
    <w:rsid w:val="00355508"/>
    <w:rsid w:val="003A7CC8"/>
    <w:rsid w:val="003B6B7D"/>
    <w:rsid w:val="003C11F5"/>
    <w:rsid w:val="003C3EA7"/>
    <w:rsid w:val="003D15E5"/>
    <w:rsid w:val="003E202D"/>
    <w:rsid w:val="003E6649"/>
    <w:rsid w:val="003F4B98"/>
    <w:rsid w:val="00414C14"/>
    <w:rsid w:val="00432BAF"/>
    <w:rsid w:val="00440C59"/>
    <w:rsid w:val="00460FC3"/>
    <w:rsid w:val="00474EDB"/>
    <w:rsid w:val="0049326A"/>
    <w:rsid w:val="004A550C"/>
    <w:rsid w:val="00516F3B"/>
    <w:rsid w:val="00546712"/>
    <w:rsid w:val="00553745"/>
    <w:rsid w:val="00557A3A"/>
    <w:rsid w:val="00566C2E"/>
    <w:rsid w:val="00586367"/>
    <w:rsid w:val="00586EF9"/>
    <w:rsid w:val="005A6881"/>
    <w:rsid w:val="005B10F6"/>
    <w:rsid w:val="005C01DD"/>
    <w:rsid w:val="005C2E62"/>
    <w:rsid w:val="005E6A73"/>
    <w:rsid w:val="00601B89"/>
    <w:rsid w:val="00603D56"/>
    <w:rsid w:val="00646036"/>
    <w:rsid w:val="006573E6"/>
    <w:rsid w:val="00666B72"/>
    <w:rsid w:val="0069378A"/>
    <w:rsid w:val="006C4834"/>
    <w:rsid w:val="006C7198"/>
    <w:rsid w:val="006E702D"/>
    <w:rsid w:val="00711502"/>
    <w:rsid w:val="00733D32"/>
    <w:rsid w:val="007C2FDA"/>
    <w:rsid w:val="007D1CE3"/>
    <w:rsid w:val="007F69D8"/>
    <w:rsid w:val="00812BFF"/>
    <w:rsid w:val="00820D28"/>
    <w:rsid w:val="008259C8"/>
    <w:rsid w:val="00835F16"/>
    <w:rsid w:val="00851208"/>
    <w:rsid w:val="00892569"/>
    <w:rsid w:val="008A07F8"/>
    <w:rsid w:val="008C2A4D"/>
    <w:rsid w:val="008F0651"/>
    <w:rsid w:val="00931A7B"/>
    <w:rsid w:val="00961BE3"/>
    <w:rsid w:val="009A1A55"/>
    <w:rsid w:val="009B6DED"/>
    <w:rsid w:val="009C1328"/>
    <w:rsid w:val="009D52C7"/>
    <w:rsid w:val="00A3108F"/>
    <w:rsid w:val="00A57A03"/>
    <w:rsid w:val="00AB6E55"/>
    <w:rsid w:val="00B171C8"/>
    <w:rsid w:val="00B23311"/>
    <w:rsid w:val="00B51C21"/>
    <w:rsid w:val="00B61790"/>
    <w:rsid w:val="00B6280C"/>
    <w:rsid w:val="00B91C52"/>
    <w:rsid w:val="00B9395D"/>
    <w:rsid w:val="00BB2798"/>
    <w:rsid w:val="00BC0D55"/>
    <w:rsid w:val="00BD667F"/>
    <w:rsid w:val="00C11306"/>
    <w:rsid w:val="00C20AF5"/>
    <w:rsid w:val="00C50181"/>
    <w:rsid w:val="00C6209E"/>
    <w:rsid w:val="00C95A1F"/>
    <w:rsid w:val="00CC0B50"/>
    <w:rsid w:val="00CC4E86"/>
    <w:rsid w:val="00CD2C05"/>
    <w:rsid w:val="00CE59B5"/>
    <w:rsid w:val="00CF7F70"/>
    <w:rsid w:val="00D23A6A"/>
    <w:rsid w:val="00D30B61"/>
    <w:rsid w:val="00D329C0"/>
    <w:rsid w:val="00D8379B"/>
    <w:rsid w:val="00DC4039"/>
    <w:rsid w:val="00DE1617"/>
    <w:rsid w:val="00E332EF"/>
    <w:rsid w:val="00E640DD"/>
    <w:rsid w:val="00E64DDE"/>
    <w:rsid w:val="00E74C5C"/>
    <w:rsid w:val="00F213F7"/>
    <w:rsid w:val="00F65095"/>
    <w:rsid w:val="00F950E7"/>
    <w:rsid w:val="00FA7FF6"/>
    <w:rsid w:val="00FB3C52"/>
    <w:rsid w:val="00FD184D"/>
    <w:rsid w:val="00FF7C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12B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12B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12BF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12BFF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12BFF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12BFF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12BFF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12BFF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7A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7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A03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51C21"/>
    <w:pPr>
      <w:keepNext/>
      <w:keepLines/>
      <w:spacing w:after="120" w:line="240" w:lineRule="auto"/>
      <w:ind w:left="288" w:hanging="288"/>
      <w:jc w:val="both"/>
    </w:pPr>
    <w:rPr>
      <w:rFonts w:ascii="Times New Roman" w:hAnsi="Times New Roman" w:cs="Times New Roman"/>
      <w:spacing w:val="-3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51C21"/>
    <w:rPr>
      <w:rFonts w:ascii="Times New Roman" w:hAnsi="Times New Roman" w:cs="Times New Roman"/>
      <w:spacing w:val="-3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51C21"/>
    <w:rPr>
      <w:vertAlign w:val="superscript"/>
    </w:rPr>
  </w:style>
  <w:style w:type="paragraph" w:customStyle="1" w:styleId="Chapter">
    <w:name w:val="Chapter"/>
    <w:basedOn w:val="Normal"/>
    <w:next w:val="Normal"/>
    <w:link w:val="ChapterChar"/>
    <w:rsid w:val="00812BFF"/>
    <w:pPr>
      <w:keepNext/>
      <w:numPr>
        <w:numId w:val="1"/>
      </w:numPr>
      <w:tabs>
        <w:tab w:val="clear" w:pos="1800"/>
        <w:tab w:val="num" w:pos="648"/>
        <w:tab w:val="left" w:pos="1440"/>
      </w:tabs>
      <w:spacing w:before="240" w:after="240" w:line="240" w:lineRule="auto"/>
      <w:ind w:left="0"/>
      <w:jc w:val="center"/>
    </w:pPr>
    <w:rPr>
      <w:rFonts w:ascii="Times New Roman" w:hAnsi="Times New Roman" w:cs="Times New Roman"/>
      <w:b/>
      <w:smallCaps/>
      <w:sz w:val="24"/>
    </w:rPr>
  </w:style>
  <w:style w:type="character" w:customStyle="1" w:styleId="ChapterChar">
    <w:name w:val="Chapter Char"/>
    <w:basedOn w:val="DefaultParagraphFont"/>
    <w:link w:val="Chapter"/>
    <w:rsid w:val="00812BFF"/>
    <w:rPr>
      <w:rFonts w:ascii="Times New Roman" w:hAnsi="Times New Roman" w:cs="Times New Roman"/>
      <w:b/>
      <w:smallCaps/>
      <w:sz w:val="24"/>
    </w:rPr>
  </w:style>
  <w:style w:type="paragraph" w:customStyle="1" w:styleId="FirstHeading">
    <w:name w:val="FirstHeading"/>
    <w:basedOn w:val="Normal"/>
    <w:next w:val="Normal"/>
    <w:link w:val="FirstHeadingChar"/>
    <w:rsid w:val="00812BFF"/>
    <w:pPr>
      <w:keepNext/>
      <w:numPr>
        <w:numId w:val="2"/>
      </w:numPr>
      <w:tabs>
        <w:tab w:val="left" w:pos="0"/>
        <w:tab w:val="left" w:pos="86"/>
      </w:tabs>
      <w:spacing w:before="120" w:after="120" w:line="240" w:lineRule="auto"/>
      <w:ind w:left="720"/>
    </w:pPr>
    <w:rPr>
      <w:rFonts w:ascii="Times New Roman" w:hAnsi="Times New Roman" w:cs="Times New Roman"/>
      <w:b/>
      <w:sz w:val="24"/>
    </w:rPr>
  </w:style>
  <w:style w:type="character" w:customStyle="1" w:styleId="FirstHeadingChar">
    <w:name w:val="FirstHeading Char"/>
    <w:basedOn w:val="DefaultParagraphFont"/>
    <w:link w:val="FirstHeading"/>
    <w:rsid w:val="00812BFF"/>
    <w:rPr>
      <w:rFonts w:ascii="Times New Roman" w:hAnsi="Times New Roman" w:cs="Times New Roman"/>
      <w:b/>
      <w:sz w:val="24"/>
    </w:rPr>
  </w:style>
  <w:style w:type="paragraph" w:customStyle="1" w:styleId="SecHeading">
    <w:name w:val="SecHeading"/>
    <w:basedOn w:val="Normal"/>
    <w:next w:val="Paragraph"/>
    <w:link w:val="SecHeadingChar"/>
    <w:rsid w:val="00812BFF"/>
    <w:pPr>
      <w:keepNext/>
      <w:numPr>
        <w:ilvl w:val="1"/>
        <w:numId w:val="2"/>
      </w:numPr>
      <w:tabs>
        <w:tab w:val="clear" w:pos="5400"/>
        <w:tab w:val="num" w:pos="1296"/>
      </w:tabs>
      <w:spacing w:before="120" w:after="120" w:line="240" w:lineRule="auto"/>
      <w:ind w:left="1296"/>
    </w:pPr>
    <w:rPr>
      <w:rFonts w:ascii="Times New Roman" w:hAnsi="Times New Roman" w:cs="Times New Roman"/>
      <w:b/>
      <w:sz w:val="24"/>
    </w:rPr>
  </w:style>
  <w:style w:type="character" w:customStyle="1" w:styleId="SecHeadingChar">
    <w:name w:val="SecHeading Char"/>
    <w:basedOn w:val="DefaultParagraphFont"/>
    <w:link w:val="SecHeading"/>
    <w:rsid w:val="00812BFF"/>
    <w:rPr>
      <w:rFonts w:ascii="Times New Roman" w:hAnsi="Times New Roman" w:cs="Times New Roman"/>
      <w:b/>
      <w:sz w:val="24"/>
    </w:rPr>
  </w:style>
  <w:style w:type="paragraph" w:customStyle="1" w:styleId="SubHeading1">
    <w:name w:val="SubHeading1"/>
    <w:basedOn w:val="SecHeading"/>
    <w:link w:val="SubHeading1Char"/>
    <w:rsid w:val="00812BFF"/>
    <w:pPr>
      <w:numPr>
        <w:ilvl w:val="2"/>
      </w:numPr>
      <w:tabs>
        <w:tab w:val="clear" w:pos="5976"/>
        <w:tab w:val="num" w:pos="1872"/>
      </w:tabs>
      <w:ind w:left="1872"/>
    </w:pPr>
  </w:style>
  <w:style w:type="character" w:customStyle="1" w:styleId="SubHeading1Char">
    <w:name w:val="SubHeading1 Char"/>
    <w:basedOn w:val="DefaultParagraphFont"/>
    <w:link w:val="SubHeading1"/>
    <w:rsid w:val="00812BFF"/>
    <w:rPr>
      <w:rFonts w:ascii="Times New Roman" w:hAnsi="Times New Roman" w:cs="Times New Roman"/>
      <w:b/>
      <w:sz w:val="24"/>
    </w:rPr>
  </w:style>
  <w:style w:type="paragraph" w:customStyle="1" w:styleId="Subheading2">
    <w:name w:val="Subheading2"/>
    <w:basedOn w:val="SecHeading"/>
    <w:link w:val="Subheading2Char"/>
    <w:rsid w:val="00812BFF"/>
    <w:pPr>
      <w:numPr>
        <w:ilvl w:val="3"/>
      </w:numPr>
      <w:tabs>
        <w:tab w:val="clear" w:pos="6480"/>
        <w:tab w:val="num" w:pos="2376"/>
      </w:tabs>
      <w:ind w:left="2376"/>
    </w:pPr>
  </w:style>
  <w:style w:type="character" w:customStyle="1" w:styleId="Subheading2Char">
    <w:name w:val="Subheading2 Char"/>
    <w:basedOn w:val="DefaultParagraphFont"/>
    <w:link w:val="Subheading2"/>
    <w:rsid w:val="00812BFF"/>
    <w:rPr>
      <w:rFonts w:ascii="Times New Roman" w:hAnsi="Times New Roman" w:cs="Times New Roman"/>
      <w:b/>
      <w:sz w:val="24"/>
    </w:rPr>
  </w:style>
  <w:style w:type="paragraph" w:customStyle="1" w:styleId="Paragraph">
    <w:name w:val="Paragraph"/>
    <w:basedOn w:val="BodyTextIndent"/>
    <w:link w:val="ParagraphChar"/>
    <w:rsid w:val="00812BFF"/>
    <w:pPr>
      <w:numPr>
        <w:ilvl w:val="1"/>
        <w:numId w:val="1"/>
      </w:numPr>
      <w:spacing w:before="120"/>
      <w:jc w:val="both"/>
      <w:outlineLvl w:val="1"/>
    </w:pPr>
  </w:style>
  <w:style w:type="character" w:customStyle="1" w:styleId="ParagraphChar">
    <w:name w:val="Paragraph Char"/>
    <w:basedOn w:val="DefaultParagraphFont"/>
    <w:link w:val="Paragraph"/>
    <w:rsid w:val="00812BFF"/>
    <w:rPr>
      <w:rFonts w:ascii="Times New Roman" w:hAnsi="Times New Roman" w:cs="Times New Roman"/>
      <w:sz w:val="24"/>
    </w:rPr>
  </w:style>
  <w:style w:type="paragraph" w:customStyle="1" w:styleId="subpar">
    <w:name w:val="subpar"/>
    <w:basedOn w:val="BodyTextIndent3"/>
    <w:link w:val="subparChar"/>
    <w:rsid w:val="00812BFF"/>
    <w:pPr>
      <w:numPr>
        <w:ilvl w:val="2"/>
        <w:numId w:val="1"/>
      </w:numPr>
      <w:spacing w:before="120"/>
      <w:jc w:val="both"/>
      <w:outlineLvl w:val="2"/>
    </w:pPr>
  </w:style>
  <w:style w:type="character" w:customStyle="1" w:styleId="subparChar">
    <w:name w:val="subpar Char"/>
    <w:basedOn w:val="DefaultParagraphFont"/>
    <w:link w:val="subpar"/>
    <w:rsid w:val="00812BFF"/>
    <w:rPr>
      <w:rFonts w:ascii="Times New Roman" w:hAnsi="Times New Roman" w:cs="Times New Roman"/>
      <w:sz w:val="24"/>
      <w:szCs w:val="16"/>
    </w:rPr>
  </w:style>
  <w:style w:type="paragraph" w:customStyle="1" w:styleId="SubSubPar">
    <w:name w:val="SubSubPar"/>
    <w:basedOn w:val="subpar"/>
    <w:link w:val="SubSubParChar"/>
    <w:rsid w:val="00812BFF"/>
    <w:pPr>
      <w:numPr>
        <w:ilvl w:val="3"/>
      </w:numPr>
      <w:tabs>
        <w:tab w:val="left" w:pos="0"/>
      </w:tabs>
    </w:pPr>
  </w:style>
  <w:style w:type="character" w:customStyle="1" w:styleId="SubSubParChar">
    <w:name w:val="SubSubPar Char"/>
    <w:basedOn w:val="DefaultParagraphFont"/>
    <w:link w:val="SubSubPar"/>
    <w:rsid w:val="00812BFF"/>
    <w:rPr>
      <w:rFonts w:ascii="Times New Roman" w:hAnsi="Times New Roman" w:cs="Times New Roman"/>
      <w:sz w:val="24"/>
      <w:szCs w:val="16"/>
    </w:rPr>
  </w:style>
  <w:style w:type="paragraph" w:customStyle="1" w:styleId="Regtable">
    <w:name w:val="Regtable"/>
    <w:basedOn w:val="Normal"/>
    <w:link w:val="RegtableChar"/>
    <w:rsid w:val="00812BFF"/>
    <w:pPr>
      <w:keepLines/>
      <w:framePr w:wrap="around" w:vAnchor="text" w:hAnchor="text" w:y="1"/>
      <w:spacing w:before="20" w:after="20" w:line="240" w:lineRule="auto"/>
    </w:pPr>
    <w:rPr>
      <w:rFonts w:ascii="Times New Roman" w:hAnsi="Times New Roman" w:cs="Times New Roman"/>
      <w:sz w:val="20"/>
    </w:rPr>
  </w:style>
  <w:style w:type="character" w:customStyle="1" w:styleId="RegtableChar">
    <w:name w:val="Regtable Char"/>
    <w:basedOn w:val="DefaultParagraphFont"/>
    <w:link w:val="Regtable"/>
    <w:rsid w:val="00812BFF"/>
    <w:rPr>
      <w:rFonts w:ascii="Times New Roman" w:hAnsi="Times New Roman" w:cs="Times New Roman"/>
      <w:sz w:val="20"/>
    </w:rPr>
  </w:style>
  <w:style w:type="paragraph" w:customStyle="1" w:styleId="TableTitle">
    <w:name w:val="TableTitle"/>
    <w:basedOn w:val="Normal"/>
    <w:link w:val="TableTitleChar"/>
    <w:rsid w:val="00812BFF"/>
    <w:pPr>
      <w:keepNext/>
      <w:framePr w:wrap="around" w:vAnchor="text" w:hAnchor="text" w:y="1"/>
      <w:spacing w:before="20" w:after="20" w:line="240" w:lineRule="auto"/>
      <w:jc w:val="center"/>
    </w:pPr>
    <w:rPr>
      <w:rFonts w:ascii="Times New Roman Bold" w:hAnsi="Times New Roman Bold"/>
      <w:b/>
      <w:spacing w:val="-3"/>
      <w:sz w:val="20"/>
    </w:rPr>
  </w:style>
  <w:style w:type="character" w:customStyle="1" w:styleId="TableTitleChar">
    <w:name w:val="TableTitle Char"/>
    <w:basedOn w:val="DefaultParagraphFont"/>
    <w:link w:val="TableTitle"/>
    <w:rsid w:val="00812BFF"/>
    <w:rPr>
      <w:rFonts w:ascii="Times New Roman Bold" w:hAnsi="Times New Roman Bold"/>
      <w:b/>
      <w:spacing w:val="-3"/>
      <w:sz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D4C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D4CE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D4CE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12BF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12BF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12BF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12BF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12BF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D4CEE"/>
    <w:pPr>
      <w:spacing w:after="120" w:line="240" w:lineRule="auto"/>
      <w:ind w:left="360"/>
    </w:pPr>
    <w:rPr>
      <w:rFonts w:ascii="Times New Roman" w:hAnsi="Times New Roman" w:cs="Times New Roman"/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D4CEE"/>
    <w:rPr>
      <w:rFonts w:ascii="Times New Roman" w:hAnsi="Times New Roman" w:cs="Times New Roman"/>
      <w:sz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D4CEE"/>
    <w:pPr>
      <w:spacing w:after="120" w:line="240" w:lineRule="auto"/>
      <w:ind w:left="360"/>
    </w:pPr>
    <w:rPr>
      <w:rFonts w:ascii="Times New Roman" w:hAnsi="Times New Roman" w:cs="Times New Roman"/>
      <w:sz w:val="24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D4CEE"/>
    <w:rPr>
      <w:rFonts w:ascii="Times New Roman" w:hAnsi="Times New Roman" w:cs="Times New Roman"/>
      <w:sz w:val="24"/>
      <w:szCs w:val="16"/>
    </w:rPr>
  </w:style>
  <w:style w:type="paragraph" w:styleId="Header">
    <w:name w:val="header"/>
    <w:basedOn w:val="Normal"/>
    <w:link w:val="HeaderChar"/>
    <w:uiPriority w:val="99"/>
    <w:unhideWhenUsed/>
    <w:rsid w:val="005E6A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6A73"/>
  </w:style>
  <w:style w:type="paragraph" w:styleId="Footer">
    <w:name w:val="footer"/>
    <w:basedOn w:val="Normal"/>
    <w:link w:val="FooterChar"/>
    <w:uiPriority w:val="99"/>
    <w:unhideWhenUsed/>
    <w:rsid w:val="005E6A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6A73"/>
  </w:style>
  <w:style w:type="character" w:styleId="Hyperlink">
    <w:name w:val="Hyperlink"/>
    <w:basedOn w:val="DefaultParagraphFont"/>
    <w:uiPriority w:val="99"/>
    <w:unhideWhenUsed/>
    <w:rsid w:val="00B171C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61790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C20AF5"/>
  </w:style>
  <w:style w:type="paragraph" w:styleId="NormalWeb">
    <w:name w:val="Normal (Web)"/>
    <w:basedOn w:val="Normal"/>
    <w:uiPriority w:val="99"/>
    <w:semiHidden/>
    <w:unhideWhenUsed/>
    <w:rsid w:val="00432BAF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CC0B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12B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12B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12BF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12BFF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12BFF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12BFF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12BFF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12BFF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7A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7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A03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51C21"/>
    <w:pPr>
      <w:keepNext/>
      <w:keepLines/>
      <w:spacing w:after="120" w:line="240" w:lineRule="auto"/>
      <w:ind w:left="288" w:hanging="288"/>
      <w:jc w:val="both"/>
    </w:pPr>
    <w:rPr>
      <w:rFonts w:ascii="Times New Roman" w:hAnsi="Times New Roman" w:cs="Times New Roman"/>
      <w:spacing w:val="-3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51C21"/>
    <w:rPr>
      <w:rFonts w:ascii="Times New Roman" w:hAnsi="Times New Roman" w:cs="Times New Roman"/>
      <w:spacing w:val="-3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51C21"/>
    <w:rPr>
      <w:vertAlign w:val="superscript"/>
    </w:rPr>
  </w:style>
  <w:style w:type="paragraph" w:customStyle="1" w:styleId="Chapter">
    <w:name w:val="Chapter"/>
    <w:basedOn w:val="Normal"/>
    <w:next w:val="Normal"/>
    <w:link w:val="ChapterChar"/>
    <w:rsid w:val="00812BFF"/>
    <w:pPr>
      <w:keepNext/>
      <w:numPr>
        <w:numId w:val="1"/>
      </w:numPr>
      <w:tabs>
        <w:tab w:val="clear" w:pos="1800"/>
        <w:tab w:val="num" w:pos="648"/>
        <w:tab w:val="left" w:pos="1440"/>
      </w:tabs>
      <w:spacing w:before="240" w:after="240" w:line="240" w:lineRule="auto"/>
      <w:ind w:left="0"/>
      <w:jc w:val="center"/>
    </w:pPr>
    <w:rPr>
      <w:rFonts w:ascii="Times New Roman" w:hAnsi="Times New Roman" w:cs="Times New Roman"/>
      <w:b/>
      <w:smallCaps/>
      <w:sz w:val="24"/>
    </w:rPr>
  </w:style>
  <w:style w:type="character" w:customStyle="1" w:styleId="ChapterChar">
    <w:name w:val="Chapter Char"/>
    <w:basedOn w:val="DefaultParagraphFont"/>
    <w:link w:val="Chapter"/>
    <w:rsid w:val="00812BFF"/>
    <w:rPr>
      <w:rFonts w:ascii="Times New Roman" w:hAnsi="Times New Roman" w:cs="Times New Roman"/>
      <w:b/>
      <w:smallCaps/>
      <w:sz w:val="24"/>
    </w:rPr>
  </w:style>
  <w:style w:type="paragraph" w:customStyle="1" w:styleId="FirstHeading">
    <w:name w:val="FirstHeading"/>
    <w:basedOn w:val="Normal"/>
    <w:next w:val="Normal"/>
    <w:link w:val="FirstHeadingChar"/>
    <w:rsid w:val="00812BFF"/>
    <w:pPr>
      <w:keepNext/>
      <w:numPr>
        <w:numId w:val="2"/>
      </w:numPr>
      <w:tabs>
        <w:tab w:val="left" w:pos="0"/>
        <w:tab w:val="left" w:pos="86"/>
      </w:tabs>
      <w:spacing w:before="120" w:after="120" w:line="240" w:lineRule="auto"/>
      <w:ind w:left="720"/>
    </w:pPr>
    <w:rPr>
      <w:rFonts w:ascii="Times New Roman" w:hAnsi="Times New Roman" w:cs="Times New Roman"/>
      <w:b/>
      <w:sz w:val="24"/>
    </w:rPr>
  </w:style>
  <w:style w:type="character" w:customStyle="1" w:styleId="FirstHeadingChar">
    <w:name w:val="FirstHeading Char"/>
    <w:basedOn w:val="DefaultParagraphFont"/>
    <w:link w:val="FirstHeading"/>
    <w:rsid w:val="00812BFF"/>
    <w:rPr>
      <w:rFonts w:ascii="Times New Roman" w:hAnsi="Times New Roman" w:cs="Times New Roman"/>
      <w:b/>
      <w:sz w:val="24"/>
    </w:rPr>
  </w:style>
  <w:style w:type="paragraph" w:customStyle="1" w:styleId="SecHeading">
    <w:name w:val="SecHeading"/>
    <w:basedOn w:val="Normal"/>
    <w:next w:val="Paragraph"/>
    <w:link w:val="SecHeadingChar"/>
    <w:rsid w:val="00812BFF"/>
    <w:pPr>
      <w:keepNext/>
      <w:numPr>
        <w:ilvl w:val="1"/>
        <w:numId w:val="2"/>
      </w:numPr>
      <w:tabs>
        <w:tab w:val="clear" w:pos="5400"/>
        <w:tab w:val="num" w:pos="1296"/>
      </w:tabs>
      <w:spacing w:before="120" w:after="120" w:line="240" w:lineRule="auto"/>
      <w:ind w:left="1296"/>
    </w:pPr>
    <w:rPr>
      <w:rFonts w:ascii="Times New Roman" w:hAnsi="Times New Roman" w:cs="Times New Roman"/>
      <w:b/>
      <w:sz w:val="24"/>
    </w:rPr>
  </w:style>
  <w:style w:type="character" w:customStyle="1" w:styleId="SecHeadingChar">
    <w:name w:val="SecHeading Char"/>
    <w:basedOn w:val="DefaultParagraphFont"/>
    <w:link w:val="SecHeading"/>
    <w:rsid w:val="00812BFF"/>
    <w:rPr>
      <w:rFonts w:ascii="Times New Roman" w:hAnsi="Times New Roman" w:cs="Times New Roman"/>
      <w:b/>
      <w:sz w:val="24"/>
    </w:rPr>
  </w:style>
  <w:style w:type="paragraph" w:customStyle="1" w:styleId="SubHeading1">
    <w:name w:val="SubHeading1"/>
    <w:basedOn w:val="SecHeading"/>
    <w:link w:val="SubHeading1Char"/>
    <w:rsid w:val="00812BFF"/>
    <w:pPr>
      <w:numPr>
        <w:ilvl w:val="2"/>
      </w:numPr>
      <w:tabs>
        <w:tab w:val="clear" w:pos="5976"/>
        <w:tab w:val="num" w:pos="1872"/>
      </w:tabs>
      <w:ind w:left="1872"/>
    </w:pPr>
  </w:style>
  <w:style w:type="character" w:customStyle="1" w:styleId="SubHeading1Char">
    <w:name w:val="SubHeading1 Char"/>
    <w:basedOn w:val="DefaultParagraphFont"/>
    <w:link w:val="SubHeading1"/>
    <w:rsid w:val="00812BFF"/>
    <w:rPr>
      <w:rFonts w:ascii="Times New Roman" w:hAnsi="Times New Roman" w:cs="Times New Roman"/>
      <w:b/>
      <w:sz w:val="24"/>
    </w:rPr>
  </w:style>
  <w:style w:type="paragraph" w:customStyle="1" w:styleId="Subheading2">
    <w:name w:val="Subheading2"/>
    <w:basedOn w:val="SecHeading"/>
    <w:link w:val="Subheading2Char"/>
    <w:rsid w:val="00812BFF"/>
    <w:pPr>
      <w:numPr>
        <w:ilvl w:val="3"/>
      </w:numPr>
      <w:tabs>
        <w:tab w:val="clear" w:pos="6480"/>
        <w:tab w:val="num" w:pos="2376"/>
      </w:tabs>
      <w:ind w:left="2376"/>
    </w:pPr>
  </w:style>
  <w:style w:type="character" w:customStyle="1" w:styleId="Subheading2Char">
    <w:name w:val="Subheading2 Char"/>
    <w:basedOn w:val="DefaultParagraphFont"/>
    <w:link w:val="Subheading2"/>
    <w:rsid w:val="00812BFF"/>
    <w:rPr>
      <w:rFonts w:ascii="Times New Roman" w:hAnsi="Times New Roman" w:cs="Times New Roman"/>
      <w:b/>
      <w:sz w:val="24"/>
    </w:rPr>
  </w:style>
  <w:style w:type="paragraph" w:customStyle="1" w:styleId="Paragraph">
    <w:name w:val="Paragraph"/>
    <w:basedOn w:val="BodyTextIndent"/>
    <w:link w:val="ParagraphChar"/>
    <w:rsid w:val="00812BFF"/>
    <w:pPr>
      <w:numPr>
        <w:ilvl w:val="1"/>
        <w:numId w:val="1"/>
      </w:numPr>
      <w:spacing w:before="120"/>
      <w:jc w:val="both"/>
      <w:outlineLvl w:val="1"/>
    </w:pPr>
  </w:style>
  <w:style w:type="character" w:customStyle="1" w:styleId="ParagraphChar">
    <w:name w:val="Paragraph Char"/>
    <w:basedOn w:val="DefaultParagraphFont"/>
    <w:link w:val="Paragraph"/>
    <w:rsid w:val="00812BFF"/>
    <w:rPr>
      <w:rFonts w:ascii="Times New Roman" w:hAnsi="Times New Roman" w:cs="Times New Roman"/>
      <w:sz w:val="24"/>
    </w:rPr>
  </w:style>
  <w:style w:type="paragraph" w:customStyle="1" w:styleId="subpar">
    <w:name w:val="subpar"/>
    <w:basedOn w:val="BodyTextIndent3"/>
    <w:link w:val="subparChar"/>
    <w:rsid w:val="00812BFF"/>
    <w:pPr>
      <w:numPr>
        <w:ilvl w:val="2"/>
        <w:numId w:val="1"/>
      </w:numPr>
      <w:spacing w:before="120"/>
      <w:jc w:val="both"/>
      <w:outlineLvl w:val="2"/>
    </w:pPr>
  </w:style>
  <w:style w:type="character" w:customStyle="1" w:styleId="subparChar">
    <w:name w:val="subpar Char"/>
    <w:basedOn w:val="DefaultParagraphFont"/>
    <w:link w:val="subpar"/>
    <w:rsid w:val="00812BFF"/>
    <w:rPr>
      <w:rFonts w:ascii="Times New Roman" w:hAnsi="Times New Roman" w:cs="Times New Roman"/>
      <w:sz w:val="24"/>
      <w:szCs w:val="16"/>
    </w:rPr>
  </w:style>
  <w:style w:type="paragraph" w:customStyle="1" w:styleId="SubSubPar">
    <w:name w:val="SubSubPar"/>
    <w:basedOn w:val="subpar"/>
    <w:link w:val="SubSubParChar"/>
    <w:rsid w:val="00812BFF"/>
    <w:pPr>
      <w:numPr>
        <w:ilvl w:val="3"/>
      </w:numPr>
      <w:tabs>
        <w:tab w:val="left" w:pos="0"/>
      </w:tabs>
    </w:pPr>
  </w:style>
  <w:style w:type="character" w:customStyle="1" w:styleId="SubSubParChar">
    <w:name w:val="SubSubPar Char"/>
    <w:basedOn w:val="DefaultParagraphFont"/>
    <w:link w:val="SubSubPar"/>
    <w:rsid w:val="00812BFF"/>
    <w:rPr>
      <w:rFonts w:ascii="Times New Roman" w:hAnsi="Times New Roman" w:cs="Times New Roman"/>
      <w:sz w:val="24"/>
      <w:szCs w:val="16"/>
    </w:rPr>
  </w:style>
  <w:style w:type="paragraph" w:customStyle="1" w:styleId="Regtable">
    <w:name w:val="Regtable"/>
    <w:basedOn w:val="Normal"/>
    <w:link w:val="RegtableChar"/>
    <w:rsid w:val="00812BFF"/>
    <w:pPr>
      <w:keepLines/>
      <w:framePr w:wrap="around" w:vAnchor="text" w:hAnchor="text" w:y="1"/>
      <w:spacing w:before="20" w:after="20" w:line="240" w:lineRule="auto"/>
    </w:pPr>
    <w:rPr>
      <w:rFonts w:ascii="Times New Roman" w:hAnsi="Times New Roman" w:cs="Times New Roman"/>
      <w:sz w:val="20"/>
    </w:rPr>
  </w:style>
  <w:style w:type="character" w:customStyle="1" w:styleId="RegtableChar">
    <w:name w:val="Regtable Char"/>
    <w:basedOn w:val="DefaultParagraphFont"/>
    <w:link w:val="Regtable"/>
    <w:rsid w:val="00812BFF"/>
    <w:rPr>
      <w:rFonts w:ascii="Times New Roman" w:hAnsi="Times New Roman" w:cs="Times New Roman"/>
      <w:sz w:val="20"/>
    </w:rPr>
  </w:style>
  <w:style w:type="paragraph" w:customStyle="1" w:styleId="TableTitle">
    <w:name w:val="TableTitle"/>
    <w:basedOn w:val="Normal"/>
    <w:link w:val="TableTitleChar"/>
    <w:rsid w:val="00812BFF"/>
    <w:pPr>
      <w:keepNext/>
      <w:framePr w:wrap="around" w:vAnchor="text" w:hAnchor="text" w:y="1"/>
      <w:spacing w:before="20" w:after="20" w:line="240" w:lineRule="auto"/>
      <w:jc w:val="center"/>
    </w:pPr>
    <w:rPr>
      <w:rFonts w:ascii="Times New Roman Bold" w:hAnsi="Times New Roman Bold"/>
      <w:b/>
      <w:spacing w:val="-3"/>
      <w:sz w:val="20"/>
    </w:rPr>
  </w:style>
  <w:style w:type="character" w:customStyle="1" w:styleId="TableTitleChar">
    <w:name w:val="TableTitle Char"/>
    <w:basedOn w:val="DefaultParagraphFont"/>
    <w:link w:val="TableTitle"/>
    <w:rsid w:val="00812BFF"/>
    <w:rPr>
      <w:rFonts w:ascii="Times New Roman Bold" w:hAnsi="Times New Roman Bold"/>
      <w:b/>
      <w:spacing w:val="-3"/>
      <w:sz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D4C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D4CE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D4CE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12BF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12BF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12BF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12BF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12BF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D4CEE"/>
    <w:pPr>
      <w:spacing w:after="120" w:line="240" w:lineRule="auto"/>
      <w:ind w:left="360"/>
    </w:pPr>
    <w:rPr>
      <w:rFonts w:ascii="Times New Roman" w:hAnsi="Times New Roman" w:cs="Times New Roman"/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D4CEE"/>
    <w:rPr>
      <w:rFonts w:ascii="Times New Roman" w:hAnsi="Times New Roman" w:cs="Times New Roman"/>
      <w:sz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D4CEE"/>
    <w:pPr>
      <w:spacing w:after="120" w:line="240" w:lineRule="auto"/>
      <w:ind w:left="360"/>
    </w:pPr>
    <w:rPr>
      <w:rFonts w:ascii="Times New Roman" w:hAnsi="Times New Roman" w:cs="Times New Roman"/>
      <w:sz w:val="24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D4CEE"/>
    <w:rPr>
      <w:rFonts w:ascii="Times New Roman" w:hAnsi="Times New Roman" w:cs="Times New Roman"/>
      <w:sz w:val="24"/>
      <w:szCs w:val="16"/>
    </w:rPr>
  </w:style>
  <w:style w:type="paragraph" w:styleId="Header">
    <w:name w:val="header"/>
    <w:basedOn w:val="Normal"/>
    <w:link w:val="HeaderChar"/>
    <w:uiPriority w:val="99"/>
    <w:unhideWhenUsed/>
    <w:rsid w:val="005E6A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6A73"/>
  </w:style>
  <w:style w:type="paragraph" w:styleId="Footer">
    <w:name w:val="footer"/>
    <w:basedOn w:val="Normal"/>
    <w:link w:val="FooterChar"/>
    <w:uiPriority w:val="99"/>
    <w:unhideWhenUsed/>
    <w:rsid w:val="005E6A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6A73"/>
  </w:style>
  <w:style w:type="character" w:styleId="Hyperlink">
    <w:name w:val="Hyperlink"/>
    <w:basedOn w:val="DefaultParagraphFont"/>
    <w:uiPriority w:val="99"/>
    <w:unhideWhenUsed/>
    <w:rsid w:val="00B171C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61790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C20AF5"/>
  </w:style>
  <w:style w:type="paragraph" w:styleId="NormalWeb">
    <w:name w:val="Normal (Web)"/>
    <w:basedOn w:val="Normal"/>
    <w:uiPriority w:val="99"/>
    <w:semiHidden/>
    <w:unhideWhenUsed/>
    <w:rsid w:val="00432BAF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CC0B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6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bndes.gov.br/SiteBNDES/bndes/bndes_pt/Institucional/O_BNDES/Governanca_Controle/Estrutura_de_Gestao/Colegiados/colegiados_bndes.html" TargetMode="External"/><Relationship Id="rId18" Type="http://schemas.openxmlformats.org/officeDocument/2006/relationships/hyperlink" Target="http://www.bndes.gov.br/SiteBNDES/bndes/bndes_pt/Ferramentas_e_Normas/Normas_para_Operacoes_Indiretas/normas_oi.html" TargetMode="External"/><Relationship Id="rId26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image" Target="media/image5.png"/><Relationship Id="rId7" Type="http://schemas.openxmlformats.org/officeDocument/2006/relationships/footnotes" Target="footnotes.xml"/><Relationship Id="rId12" Type="http://schemas.openxmlformats.org/officeDocument/2006/relationships/hyperlink" Target="http://www.bndes.gov.br/SiteBNDES/bndes/bndes_pt/Institucional/O_BNDES/Governanca_Controle/Estrutura_de_Gestao/Colegiados/colegiados_bndes.html" TargetMode="External"/><Relationship Id="rId17" Type="http://schemas.openxmlformats.org/officeDocument/2006/relationships/hyperlink" Target="http://www.bndes.gov.br/SiteBNDES/export/sites/default/bndes_pt/Galerias/Arquivos/produtos/download/RiscoCred_Normas_AgentesFinanceiros_nova.pdf" TargetMode="External"/><Relationship Id="rId25" Type="http://schemas.openxmlformats.org/officeDocument/2006/relationships/image" Target="media/image8.png"/><Relationship Id="rId33" Type="http://schemas.openxmlformats.org/officeDocument/2006/relationships/customXml" Target="../customXml/item6.xml"/><Relationship Id="rId2" Type="http://schemas.openxmlformats.org/officeDocument/2006/relationships/numbering" Target="numbering.xml"/><Relationship Id="rId16" Type="http://schemas.openxmlformats.org/officeDocument/2006/relationships/hyperlink" Target="http://www.bndes.gov.br/SiteBNDES/bndes/bndes_pt/Institucional/Instituicao_Financeira_Credenciada/" TargetMode="External"/><Relationship Id="rId20" Type="http://schemas.openxmlformats.org/officeDocument/2006/relationships/image" Target="media/image4.png"/><Relationship Id="rId29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ndes.gov.br/SiteBNDES/bndes/bndes_pt/Institucional/O_BNDES/Governanca_Controle/Estrutura_de_Gestao/Colegiados/colegiados_bndes.html" TargetMode="External"/><Relationship Id="rId24" Type="http://schemas.openxmlformats.org/officeDocument/2006/relationships/image" Target="media/image7.png"/><Relationship Id="rId32" Type="http://schemas.openxmlformats.org/officeDocument/2006/relationships/customXml" Target="../customXml/item5.xm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23" Type="http://schemas.openxmlformats.org/officeDocument/2006/relationships/hyperlink" Target="http://www.bndes.gov.br/SiteBNDES/bndes/bndes_pt/Institucional/BNDES_Transparente/Estatisticas_Operacionais/estatisticas_download.html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bndes.gov.br/SiteBNDES/bndes/bndes_pt/Institucional/O_BNDES/Governanca_Controle/Estrutura_de_Gestao/Colegiados/colegiados_bndes.html" TargetMode="External"/><Relationship Id="rId19" Type="http://schemas.openxmlformats.org/officeDocument/2006/relationships/image" Target="media/image3.png"/><Relationship Id="rId31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1.png"/><Relationship Id="rId22" Type="http://schemas.openxmlformats.org/officeDocument/2006/relationships/image" Target="media/image6.png"/><Relationship Id="rId27" Type="http://schemas.openxmlformats.org/officeDocument/2006/relationships/fontTable" Target="fontTable.xml"/><Relationship Id="rId30" Type="http://schemas.openxmlformats.org/officeDocument/2006/relationships/customXml" Target="../customXml/item3.xml"/><Relationship Id="rId8" Type="http://schemas.openxmlformats.org/officeDocument/2006/relationships/endnotes" Target="endnotes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ndes.gov.br/SiteBNDES/bndes/bndes_pt/Institucional/Instituicao_Financeira_Credenciada/instituicoes.html" TargetMode="External"/><Relationship Id="rId2" Type="http://schemas.openxmlformats.org/officeDocument/2006/relationships/hyperlink" Target="http://www.bcb.gov.br/pec/appron/apres/Apresenta%E7%E3o_Anthero_Meirelles_CONBRAI_22-10-2012.pdf" TargetMode="External"/><Relationship Id="rId1" Type="http://schemas.openxmlformats.org/officeDocument/2006/relationships/hyperlink" Target="https://www3.bcb.gov.br/normativo/detalharNormativo.do?N=107321734&amp;method=detalharNormativo" TargetMode="External"/><Relationship Id="rId6" Type="http://schemas.openxmlformats.org/officeDocument/2006/relationships/hyperlink" Target="http://www.bndes.gov.br/SiteBNDES/export/sites/default/bndes_pt/Galerias/Arquivos/empresa/download/ifc_criterios_credenciamento.pdf" TargetMode="External"/><Relationship Id="rId5" Type="http://schemas.openxmlformats.org/officeDocument/2006/relationships/hyperlink" Target="http://www.bcb.gov.br/pre/normativos/res/1999/pdf/res_2682_v2_L.pdf" TargetMode="External"/><Relationship Id="rId4" Type="http://schemas.openxmlformats.org/officeDocument/2006/relationships/hyperlink" Target="http://www.bndes.gov.br/SiteBNDES/bndes/bndes_pt/Institucional/Apoio_Financeiro/Programas_e_Fundos/FGI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haredContentType xmlns="Microsoft.SharePoint.Taxonomy.ContentTypeSync" SourceId="cf0be0ad-272c-4e7f-a157-3f0abda6cde5" ContentTypeId="0x01010046CF21643EE8D14686A648AA6DAD0892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z-Disclosure Operations" ma:contentTypeID="0x01010046CF21643EE8D14686A648AA6DAD08920091807F4FDEE883488AE29D74CC16911E" ma:contentTypeVersion="0" ma:contentTypeDescription="A content type to manage public (operations) IDB documents" ma:contentTypeScope="" ma:versionID="52fa0ce5cdd8a8c344a957f8b73ff40c">
  <xsd:schema xmlns:xsd="http://www.w3.org/2001/XMLSchema" xmlns:xs="http://www.w3.org/2001/XMLSchema" xmlns:p="http://schemas.microsoft.com/office/2006/metadata/properties" xmlns:ns2="9c571b2f-e523-4ab2-ba2e-09e151a03ef4" targetNamespace="http://schemas.microsoft.com/office/2006/metadata/properties" ma:root="true" ma:fieldsID="d313c5b03f50677e08b791a98de73599" ns2:_="">
    <xsd:import namespace="9c571b2f-e523-4ab2-ba2e-09e151a03e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fd0e48b6a66848a9885f717e5bbf40c4" minOccurs="0"/>
                <xsd:element ref="ns2:TaxCatchAll" minOccurs="0"/>
                <xsd:element ref="ns2:TaxCatchAllLabel" minOccurs="0"/>
                <xsd:element ref="ns2:Access_x0020_to_x0020_Information_x00a0_Policy"/>
                <xsd:element ref="ns2:o5138a91267540169645e33d09c9ddc6" minOccurs="0"/>
                <xsd:element ref="ns2:Project_x0020_Number"/>
                <xsd:element ref="ns2:Webtopic" minOccurs="0"/>
                <xsd:element ref="ns2:Approval_x0020_Number" minOccurs="0"/>
                <xsd:element ref="ns2:Disclosure_x0020_Activity"/>
                <xsd:element ref="ns2:Document_x0020_Author" minOccurs="0"/>
                <xsd:element ref="ns2:Other_x0020_Author" minOccurs="0"/>
                <xsd:element ref="ns2:m555d3814edf4817b4410a4e57f94ce9" minOccurs="0"/>
                <xsd:element ref="ns2:e559ffcc31d34167856647188be35015" minOccurs="0"/>
                <xsd:element ref="ns2:c456731dbc904a5fb605ec556c33e883" minOccurs="0"/>
                <xsd:element ref="ns2:Document_x0020_Language_x0020_IDB"/>
                <xsd:element ref="ns2:Division_x0020_or_x0020_Unit"/>
                <xsd:element ref="ns2:Identifier" minOccurs="0"/>
                <xsd:element ref="ns2:j8b96605ee2f4c4e988849e658583fee" minOccurs="0"/>
                <xsd:element ref="ns2:Operation_x0020_Type" minOccurs="0"/>
                <xsd:element ref="ns2:Package_x0020_Code" minOccurs="0"/>
                <xsd:element ref="ns2:Phase" minOccurs="0"/>
                <xsd:element ref="ns2:Business_x0020_Area" minOccurs="0"/>
                <xsd:element ref="ns2:Key_x0020_Document" minOccurs="0"/>
                <xsd:element ref="ns2:Project_x0020_Document_x0020_Type" minOccurs="0"/>
                <xsd:element ref="ns2:Abstract" minOccurs="0"/>
                <xsd:element ref="ns2:Migration_x0020_Info" minOccurs="0"/>
                <xsd:element ref="ns2:SISCOR_x0020_Number" minOccurs="0"/>
                <xsd:element ref="ns2:IDBDocs_x0020_Number" minOccurs="0"/>
                <xsd:element ref="ns2:Editor1" minOccurs="0"/>
                <xsd:element ref="ns2:Issue_x0020_Date" minOccurs="0"/>
                <xsd:element ref="ns2:Publishing_x0020_House" minOccurs="0"/>
                <xsd:element ref="ns2:KP_x0020_Topics" minOccurs="0"/>
                <xsd:element ref="ns2:Region" minOccurs="0"/>
                <xsd:element ref="ns2:Publication_x0020_Type" minOccurs="0"/>
                <xsd:element ref="ns2:Fiscal_x0020_Year_x0020_ID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571b2f-e523-4ab2-ba2e-09e151a03e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fd0e48b6a66848a9885f717e5bbf40c4" ma:index="11" nillable="true" ma:taxonomy="true" ma:internalName="fd0e48b6a66848a9885f717e5bbf40c4" ma:taxonomyFieldName="Function_x0020_Operations_x0020_IDB" ma:displayName="Function Operations IDB" ma:default="" ma:fieldId="{fd0e48b6-a668-48a9-885f-717e5bbf40c4}" ma:sspId="cf0be0ad-272c-4e7f-a157-3f0abda6cde5" ma:termSetId="5afbb5f0-73fa-45d3-a56a-b084af06f56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4f5b06c0-f351-4ec4-ba3e-eabde8538985}" ma:internalName="TaxCatchAll" ma:showField="CatchAllData" ma:web="45937d2a-35eb-42bb-b6ac-38e255243b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4f5b06c0-f351-4ec4-ba3e-eabde8538985}" ma:internalName="TaxCatchAllLabel" ma:readOnly="true" ma:showField="CatchAllDataLabel" ma:web="45937d2a-35eb-42bb-b6ac-38e255243b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ccess_x0020_to_x0020_Information_x00a0_Policy" ma:index="15" ma:displayName="Access to Information Policy" ma:default="Confidential" ma:format="Dropdown" ma:internalName="Access_x0020_to_x0020_Information_x00A0_Policy">
      <xsd:simpleType>
        <xsd:restriction base="dms:Choice">
          <xsd:enumeration value="Confidential"/>
          <xsd:enumeration value="Disclosed Over Time – 5 years"/>
          <xsd:enumeration value="Disclosed Over Time – 20 years"/>
          <xsd:enumeration value="Disclosed Over Time – 10 years"/>
          <xsd:enumeration value="Public"/>
          <xsd:enumeration value="Public - Simultaneous Disclosure"/>
        </xsd:restriction>
      </xsd:simpleType>
    </xsd:element>
    <xsd:element name="o5138a91267540169645e33d09c9ddc6" ma:index="16" ma:taxonomy="true" ma:internalName="o5138a91267540169645e33d09c9ddc6" ma:taxonomyFieldName="Series_x0020_Operations_x0020_IDB" ma:displayName="Series Operations IDB" ma:readOnly="false" ma:default="" ma:fieldId="{85138a91-2675-4016-9645-e33d09c9ddc6}" ma:sspId="cf0be0ad-272c-4e7f-a157-3f0abda6cde5" ma:termSetId="3bc5da7b-2b03-4315-921b-8aab7897c5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Number" ma:index="18" ma:displayName="Project Number" ma:internalName="Project_x0020_Number" ma:readOnly="false">
      <xsd:simpleType>
        <xsd:restriction base="dms:Text">
          <xsd:maxLength value="255"/>
        </xsd:restriction>
      </xsd:simpleType>
    </xsd:element>
    <xsd:element name="Webtopic" ma:index="19" nillable="true" ma:displayName="Webtopic" ma:internalName="Webtopic">
      <xsd:simpleType>
        <xsd:restriction base="dms:Text">
          <xsd:maxLength value="255"/>
        </xsd:restriction>
      </xsd:simpleType>
    </xsd:element>
    <xsd:element name="Approval_x0020_Number" ma:index="20" nillable="true" ma:displayName="Approval Number" ma:description="Entered by the user or default value pulled from project number" ma:internalName="Approval_x0020_Number">
      <xsd:simpleType>
        <xsd:restriction base="dms:Text">
          <xsd:maxLength value="255"/>
        </xsd:restriction>
      </xsd:simpleType>
    </xsd:element>
    <xsd:element name="Disclosure_x0020_Activity" ma:index="21" ma:displayName="Disclosure Activity" ma:internalName="Disclosure_x0020_Activity" ma:readOnly="false">
      <xsd:simpleType>
        <xsd:restriction base="dms:Text">
          <xsd:maxLength value="255"/>
        </xsd:restriction>
      </xsd:simpleType>
    </xsd:element>
    <xsd:element name="Document_x0020_Author" ma:index="22" nillable="true" ma:displayName="Document Author" ma:internalName="Document_x0020_Author">
      <xsd:simpleType>
        <xsd:restriction base="dms:Text">
          <xsd:maxLength value="255"/>
        </xsd:restriction>
      </xsd:simpleType>
    </xsd:element>
    <xsd:element name="Other_x0020_Author" ma:index="23" nillable="true" ma:displayName="Other Author" ma:internalName="Other_x0020_Author">
      <xsd:simpleType>
        <xsd:restriction base="dms:Text">
          <xsd:maxLength value="255"/>
        </xsd:restriction>
      </xsd:simpleType>
    </xsd:element>
    <xsd:element name="m555d3814edf4817b4410a4e57f94ce9" ma:index="24" nillable="true" ma:taxonomy="true" ma:internalName="m555d3814edf4817b4410a4e57f94ce9" ma:taxonomyFieldName="Fund_x0020_IDB" ma:displayName="Fund IDB" ma:default="" ma:fieldId="{6555d381-4edf-4817-b441-0a4e57f94ce9}" ma:taxonomyMulti="true" ma:sspId="cf0be0ad-272c-4e7f-a157-3f0abda6cde5" ma:termSetId="932037b2-42e9-4373-86b7-1f7fc55d6c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559ffcc31d34167856647188be35015" ma:index="26" nillable="true" ma:taxonomy="true" ma:internalName="e559ffcc31d34167856647188be35015" ma:taxonomyFieldName="Sector_x0020_IDB" ma:displayName="Sector IDB" ma:default="" ma:fieldId="{e559ffcc-31d3-4167-8566-47188be35015}" ma:taxonomyMulti="true" ma:sspId="cf0be0ad-272c-4e7f-a157-3f0abda6cde5" ma:termSetId="2d74a730-652b-4815-b74c-000791e0ddfc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c456731dbc904a5fb605ec556c33e883" ma:index="28" nillable="true" ma:taxonomy="true" ma:internalName="c456731dbc904a5fb605ec556c33e883" ma:taxonomyFieldName="Sub_x002d_Sector" ma:displayName="Sub-Sector" ma:default="" ma:fieldId="{c456731d-bc90-4a5f-b605-ec556c33e883}" ma:sspId="cf0be0ad-272c-4e7f-a157-3f0abda6cde5" ma:termSetId="b6d60bd7-2da3-4fd7-a377-d114adc2f2d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_x0020_Language_x0020_IDB" ma:index="30" ma:displayName="Document Language IDB" ma:format="Dropdown" ma:internalName="Document_x0020_Language_x0020_IDB" ma:readOnly="false">
      <xsd:simpleType>
        <xsd:restriction base="dms:Choice">
          <xsd:enumeration value="English"/>
          <xsd:enumeration value="French"/>
          <xsd:enumeration value="Italian"/>
          <xsd:enumeration value="Japanese"/>
          <xsd:enumeration value="Korean"/>
          <xsd:enumeration value="Other"/>
          <xsd:enumeration value="Portuguese"/>
          <xsd:enumeration value="Spanish"/>
        </xsd:restriction>
      </xsd:simpleType>
    </xsd:element>
    <xsd:element name="Division_x0020_or_x0020_Unit" ma:index="31" ma:displayName="Division or Unit" ma:internalName="Division_x0020_or_x0020_Unit" ma:readOnly="false">
      <xsd:simpleType>
        <xsd:restriction base="dms:Text">
          <xsd:maxLength value="255"/>
        </xsd:restriction>
      </xsd:simpleType>
    </xsd:element>
    <xsd:element name="Identifier" ma:index="32" nillable="true" ma:displayName="Identifier" ma:internalName="Identifier">
      <xsd:simpleType>
        <xsd:restriction base="dms:Text">
          <xsd:maxLength value="255"/>
        </xsd:restriction>
      </xsd:simpleType>
    </xsd:element>
    <xsd:element name="j8b96605ee2f4c4e988849e658583fee" ma:index="33" nillable="true" ma:taxonomy="true" ma:internalName="j8b96605ee2f4c4e988849e658583fee" ma:taxonomyFieldName="Country" ma:displayName="Country" ma:default="" ma:fieldId="{38b96605-ee2f-4c4e-9888-49e658583fee}" ma:taxonomyMulti="true" ma:sspId="cf0be0ad-272c-4e7f-a157-3f0abda6cde5" ma:termSetId="2a7cd356-0181-422a-926d-b928cc7346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peration_x0020_Type" ma:index="35" nillable="true" ma:displayName="Operation Type" ma:internalName="Operation_x0020_Type">
      <xsd:simpleType>
        <xsd:restriction base="dms:Text">
          <xsd:maxLength value="255"/>
        </xsd:restriction>
      </xsd:simpleType>
    </xsd:element>
    <xsd:element name="Package_x0020_Code" ma:index="36" nillable="true" ma:displayName="Package Code" ma:internalName="Package_x0020_Code">
      <xsd:simpleType>
        <xsd:restriction base="dms:Text">
          <xsd:maxLength value="255"/>
        </xsd:restriction>
      </xsd:simpleType>
    </xsd:element>
    <xsd:element name="Phase" ma:index="37" nillable="true" ma:displayName="Phase" ma:internalName="Phase">
      <xsd:simpleType>
        <xsd:restriction base="dms:Text">
          <xsd:maxLength value="255"/>
        </xsd:restriction>
      </xsd:simpleType>
    </xsd:element>
    <xsd:element name="Business_x0020_Area" ma:index="38" nillable="true" ma:displayName="Business Area" ma:internalName="Business_x0020_Area">
      <xsd:simpleType>
        <xsd:restriction base="dms:Text">
          <xsd:maxLength value="255"/>
        </xsd:restriction>
      </xsd:simpleType>
    </xsd:element>
    <xsd:element name="Key_x0020_Document" ma:index="39" nillable="true" ma:displayName="Key Document" ma:default="0" ma:internalName="Key_x0020_Document">
      <xsd:simpleType>
        <xsd:restriction base="dms:Boolean"/>
      </xsd:simpleType>
    </xsd:element>
    <xsd:element name="Project_x0020_Document_x0020_Type" ma:index="40" nillable="true" ma:displayName="Project Document Type" ma:internalName="Project_x0020_Document_x0020_Type">
      <xsd:simpleType>
        <xsd:restriction base="dms:Text">
          <xsd:maxLength value="255"/>
        </xsd:restriction>
      </xsd:simpleType>
    </xsd:element>
    <xsd:element name="Abstract" ma:index="41" nillable="true" ma:displayName="Abstract" ma:internalName="Abstract">
      <xsd:simpleType>
        <xsd:restriction base="dms:Note">
          <xsd:maxLength value="255"/>
        </xsd:restriction>
      </xsd:simpleType>
    </xsd:element>
    <xsd:element name="Migration_x0020_Info" ma:index="42" nillable="true" ma:displayName="Migration Info" ma:internalName="Migration_x0020_Info">
      <xsd:simpleType>
        <xsd:restriction base="dms:Note"/>
      </xsd:simpleType>
    </xsd:element>
    <xsd:element name="SISCOR_x0020_Number" ma:index="43" nillable="true" ma:displayName="SISCOR Number" ma:internalName="SISCOR_x0020_Number">
      <xsd:simpleType>
        <xsd:restriction base="dms:Text">
          <xsd:maxLength value="255"/>
        </xsd:restriction>
      </xsd:simpleType>
    </xsd:element>
    <xsd:element name="IDBDocs_x0020_Number" ma:index="44" nillable="true" ma:displayName="IDBDocs Number" ma:description="Brought over as part of Migration" ma:internalName="IDBDocs_x0020_Number">
      <xsd:simpleType>
        <xsd:restriction base="dms:Text">
          <xsd:maxLength value="255"/>
        </xsd:restriction>
      </xsd:simpleType>
    </xsd:element>
    <xsd:element name="Editor1" ma:index="45" nillable="true" ma:displayName="Editor" ma:internalName="Editor1">
      <xsd:simpleType>
        <xsd:restriction base="dms:Text">
          <xsd:maxLength value="255"/>
        </xsd:restriction>
      </xsd:simpleType>
    </xsd:element>
    <xsd:element name="Issue_x0020_Date" ma:index="46" nillable="true" ma:displayName="Issue Date" ma:format="DateOnly" ma:internalName="Issue_x0020_Date">
      <xsd:simpleType>
        <xsd:restriction base="dms:DateTime"/>
      </xsd:simpleType>
    </xsd:element>
    <xsd:element name="Publishing_x0020_House" ma:index="47" nillable="true" ma:displayName="Publishing House" ma:internalName="Publishing_x0020_House">
      <xsd:simpleType>
        <xsd:restriction base="dms:Text">
          <xsd:maxLength value="255"/>
        </xsd:restriction>
      </xsd:simpleType>
    </xsd:element>
    <xsd:element name="KP_x0020_Topics" ma:index="48" nillable="true" ma:displayName="KP Topics" ma:internalName="KP_x0020_Topics">
      <xsd:simpleType>
        <xsd:restriction base="dms:Text">
          <xsd:maxLength value="255"/>
        </xsd:restriction>
      </xsd:simpleType>
    </xsd:element>
    <xsd:element name="Region" ma:index="49" nillable="true" ma:displayName="Region" ma:internalName="Region">
      <xsd:simpleType>
        <xsd:restriction base="dms:Text">
          <xsd:maxLength value="255"/>
        </xsd:restriction>
      </xsd:simpleType>
    </xsd:element>
    <xsd:element name="Publication_x0020_Type" ma:index="50" nillable="true" ma:displayName="Publication Type" ma:internalName="Publication_x0020_Type">
      <xsd:simpleType>
        <xsd:restriction base="dms:Text">
          <xsd:maxLength value="255"/>
        </xsd:restriction>
      </xsd:simpleType>
    </xsd:element>
    <xsd:element name="Fiscal_x0020_Year_x0020_IDB" ma:index="51" nillable="true" ma:displayName="Fiscal Year IDB" ma:default="=TEXT(TODAY(),&quot;yyyy&quot;)" ma:internalName="Fiscal_x0020_Year_x0020_IDB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456731dbc904a5fb605ec556c33e883 xmlns="9c571b2f-e523-4ab2-ba2e-09e151a03ef4">
      <Terms xmlns="http://schemas.microsoft.com/office/infopath/2007/PartnerControls"/>
    </c456731dbc904a5fb605ec556c33e883>
    <Project_x0020_Document_x0020_Type xmlns="9c571b2f-e523-4ab2-ba2e-09e151a03ef4" xsi:nil="true"/>
    <Business_x0020_Area xmlns="9c571b2f-e523-4ab2-ba2e-09e151a03ef4" xsi:nil="true"/>
    <IDBDocs_x0020_Number xmlns="9c571b2f-e523-4ab2-ba2e-09e151a03ef4">40648867</IDBDocs_x0020_Number>
    <TaxCatchAll xmlns="9c571b2f-e523-4ab2-ba2e-09e151a03ef4">
      <Value>4</Value>
      <Value>3</Value>
    </TaxCatchAll>
    <Phase xmlns="9c571b2f-e523-4ab2-ba2e-09e151a03ef4" xsi:nil="true"/>
    <SISCOR_x0020_Number xmlns="9c571b2f-e523-4ab2-ba2e-09e151a03ef4" xsi:nil="true"/>
    <Division_x0020_or_x0020_Unit xmlns="9c571b2f-e523-4ab2-ba2e-09e151a03ef4">IFD/CMF</Division_x0020_or_x0020_Unit>
    <o5138a91267540169645e33d09c9ddc6 xmlns="9c571b2f-e523-4ab2-ba2e-09e151a03ef4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a6dff32e-d477-44cd-a56b-85efe9e0a56c</TermId>
        </TermInfo>
      </Terms>
    </o5138a91267540169645e33d09c9ddc6>
    <Approval_x0020_Number xmlns="9c571b2f-e523-4ab2-ba2e-09e151a03ef4" xsi:nil="true"/>
    <Document_x0020_Author xmlns="9c571b2f-e523-4ab2-ba2e-09e151a03ef4">Netto de A. C. Schneider, Maria E.</Document_x0020_Author>
    <e559ffcc31d34167856647188be35015 xmlns="9c571b2f-e523-4ab2-ba2e-09e151a03ef4">
      <Terms xmlns="http://schemas.microsoft.com/office/infopath/2007/PartnerControls"/>
    </e559ffcc31d34167856647188be35015>
    <Fiscal_x0020_Year_x0020_IDB xmlns="9c571b2f-e523-4ab2-ba2e-09e151a03ef4">2016</Fiscal_x0020_Year_x0020_IDB>
    <Other_x0020_Author xmlns="9c571b2f-e523-4ab2-ba2e-09e151a03ef4" xsi:nil="true"/>
    <fd0e48b6a66848a9885f717e5bbf40c4 xmlns="9c571b2f-e523-4ab2-ba2e-09e151a03ef4">
      <Terms xmlns="http://schemas.microsoft.com/office/infopath/2007/PartnerControls">
        <TermInfo xmlns="http://schemas.microsoft.com/office/infopath/2007/PartnerControls">
          <TermName xmlns="http://schemas.microsoft.com/office/infopath/2007/PartnerControls">IDBDocs</TermName>
          <TermId xmlns="http://schemas.microsoft.com/office/infopath/2007/PartnerControls">cca77002-e150-4b2d-ab1f-1d7a7cdcae16</TermId>
        </TermInfo>
      </Terms>
    </fd0e48b6a66848a9885f717e5bbf40c4>
    <Project_x0020_Number xmlns="9c571b2f-e523-4ab2-ba2e-09e151a03ef4">BR-L1442,BR-O0001</Project_x0020_Number>
    <Access_x0020_to_x0020_Information_x00a0_Policy xmlns="9c571b2f-e523-4ab2-ba2e-09e151a03ef4">Public</Access_x0020_to_x0020_Information_x00a0_Policy>
    <Package_x0020_Code xmlns="9c571b2f-e523-4ab2-ba2e-09e151a03ef4" xsi:nil="true"/>
    <m555d3814edf4817b4410a4e57f94ce9 xmlns="9c571b2f-e523-4ab2-ba2e-09e151a03ef4">
      <Terms xmlns="http://schemas.microsoft.com/office/infopath/2007/PartnerControls"/>
    </m555d3814edf4817b4410a4e57f94ce9>
    <Key_x0020_Document xmlns="9c571b2f-e523-4ab2-ba2e-09e151a03ef4">false</Key_x0020_Document>
    <j8b96605ee2f4c4e988849e658583fee xmlns="9c571b2f-e523-4ab2-ba2e-09e151a03ef4">
      <Terms xmlns="http://schemas.microsoft.com/office/infopath/2007/PartnerControls"/>
    </j8b96605ee2f4c4e988849e658583fee>
    <Migration_x0020_Info xmlns="9c571b2f-e523-4ab2-ba2e-09e151a03ef4">&lt;Data&gt;&lt;APPLICATION&gt;MS WORD&lt;/APPLICATION&gt;&lt;USER_STAGE&gt;Loan Proposal&lt;/USER_STAGE&gt;&lt;APPROVAL_CODE&gt;CG&lt;/APPROVAL_CODE&gt;&lt;APPROVAL_DESC&gt;Committee of the Whole&lt;/APPROVAL_DESC&gt;&lt;PD_OBJ_TYPE&gt;0&lt;/PD_OBJ_TYPE&gt;&lt;DTAPPROVAL&gt;Dec 12 2016 12:00AM&lt;/DTAPPROVAL&gt;&lt;MAKERECORD&gt;N&lt;/MAKERECORD&gt;&lt;/Data&gt;</Migration_x0020_Info>
    <Operation_x0020_Type xmlns="9c571b2f-e523-4ab2-ba2e-09e151a03ef4" xsi:nil="true"/>
    <Document_x0020_Language_x0020_IDB xmlns="9c571b2f-e523-4ab2-ba2e-09e151a03ef4">Spanish</Document_x0020_Language_x0020_IDB>
    <Identifier xmlns="9c571b2f-e523-4ab2-ba2e-09e151a03ef4"> TECFILE</Identifier>
    <Disclosure_x0020_Activity xmlns="9c571b2f-e523-4ab2-ba2e-09e151a03ef4">Loan Proposal</Disclosure_x0020_Activity>
    <Webtopic xmlns="9c571b2f-e523-4ab2-ba2e-09e151a03ef4">CM-BAN</Webtopic>
    <Issue_x0020_Date xmlns="9c571b2f-e523-4ab2-ba2e-09e151a03ef4" xsi:nil="true"/>
    <Publication_x0020_Type xmlns="9c571b2f-e523-4ab2-ba2e-09e151a03ef4" xsi:nil="true"/>
    <Abstract xmlns="9c571b2f-e523-4ab2-ba2e-09e151a03ef4" xsi:nil="true"/>
    <KP_x0020_Topics xmlns="9c571b2f-e523-4ab2-ba2e-09e151a03ef4" xsi:nil="true"/>
    <Editor1 xmlns="9c571b2f-e523-4ab2-ba2e-09e151a03ef4" xsi:nil="true"/>
    <Region xmlns="9c571b2f-e523-4ab2-ba2e-09e151a03ef4" xsi:nil="true"/>
    <Publishing_x0020_House xmlns="9c571b2f-e523-4ab2-ba2e-09e151a03ef4" xsi:nil="true"/>
  </documentManagement>
</p:properties>
</file>

<file path=customXml/itemProps1.xml><?xml version="1.0" encoding="utf-8"?>
<ds:datastoreItem xmlns:ds="http://schemas.openxmlformats.org/officeDocument/2006/customXml" ds:itemID="{7E75D621-C755-4875-8D95-7689F0D542C9}"/>
</file>

<file path=customXml/itemProps2.xml><?xml version="1.0" encoding="utf-8"?>
<ds:datastoreItem xmlns:ds="http://schemas.openxmlformats.org/officeDocument/2006/customXml" ds:itemID="{9DE5CEE7-D4C7-493F-A989-AC17C64413C0}"/>
</file>

<file path=customXml/itemProps3.xml><?xml version="1.0" encoding="utf-8"?>
<ds:datastoreItem xmlns:ds="http://schemas.openxmlformats.org/officeDocument/2006/customXml" ds:itemID="{7120CE92-9859-4DAB-8A94-2E23B0BF30C7}"/>
</file>

<file path=customXml/itemProps4.xml><?xml version="1.0" encoding="utf-8"?>
<ds:datastoreItem xmlns:ds="http://schemas.openxmlformats.org/officeDocument/2006/customXml" ds:itemID="{2B331380-EE77-4377-BE9F-39D37800A72B}"/>
</file>

<file path=customXml/itemProps5.xml><?xml version="1.0" encoding="utf-8"?>
<ds:datastoreItem xmlns:ds="http://schemas.openxmlformats.org/officeDocument/2006/customXml" ds:itemID="{4BAB221D-DCDA-4A62-AF8A-373E641AA01A}"/>
</file>

<file path=customXml/itemProps6.xml><?xml version="1.0" encoding="utf-8"?>
<ds:datastoreItem xmlns:ds="http://schemas.openxmlformats.org/officeDocument/2006/customXml" ds:itemID="{FAC4B7BC-B132-4C9F-8E19-D3FF5BA7D86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14</Pages>
  <Words>3493</Words>
  <Characters>18864</Characters>
  <Application>Microsoft Office Word</Application>
  <DocSecurity>0</DocSecurity>
  <Lines>157</Lines>
  <Paragraphs>44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Inter-American Development Bank</Company>
  <LinksUpToDate>false</LinksUpToDate>
  <CharactersWithSpaces>22313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 - ELink Opcional - Gestao de Riscos Operacoes Indiretas - BNDES - BR-L1442</dc:title>
  <dc:creator>Inter-American Development Bank</dc:creator>
  <cp:lastModifiedBy>IADB</cp:lastModifiedBy>
  <cp:revision>8</cp:revision>
  <cp:lastPrinted>2016-09-06T17:00:00Z</cp:lastPrinted>
  <dcterms:created xsi:type="dcterms:W3CDTF">2016-09-06T18:34:00Z</dcterms:created>
  <dcterms:modified xsi:type="dcterms:W3CDTF">2016-10-07T17:46:00Z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0x01010046CF21643EE8D14686A648AA6DAD08920091807F4FDEE883488AE29D74CC16911E</vt:lpwstr>
  </property>
  <property fmtid="{D5CDD505-2E9C-101B-9397-08002B2CF9AE}" pid="3" name="TaxKeyword">
    <vt:lpwstr/>
  </property>
  <property fmtid="{D5CDD505-2E9C-101B-9397-08002B2CF9AE}" pid="4" name="Function Operations IDB">
    <vt:lpwstr>4;#IDBDocs|cca77002-e150-4b2d-ab1f-1d7a7cdcae16</vt:lpwstr>
  </property>
  <property fmtid="{D5CDD505-2E9C-101B-9397-08002B2CF9AE}" pid="5" name="Sub_x002d_Sector">
    <vt:lpwstr/>
  </property>
  <property fmtid="{D5CDD505-2E9C-101B-9397-08002B2CF9AE}" pid="6" name="TaxKeywordTaxHTField">
    <vt:lpwstr/>
  </property>
  <property fmtid="{D5CDD505-2E9C-101B-9397-08002B2CF9AE}" pid="7" name="Series Operations IDB">
    <vt:lpwstr>3;#Unclassified|a6dff32e-d477-44cd-a56b-85efe9e0a56c</vt:lpwstr>
  </property>
  <property fmtid="{D5CDD505-2E9C-101B-9397-08002B2CF9AE}" pid="9" name="Country">
    <vt:lpwstr/>
  </property>
  <property fmtid="{D5CDD505-2E9C-101B-9397-08002B2CF9AE}" pid="10" name="Fund IDB">
    <vt:lpwstr/>
  </property>
  <property fmtid="{D5CDD505-2E9C-101B-9397-08002B2CF9AE}" pid="11" name="Series_x0020_Operations_x0020_IDB">
    <vt:lpwstr>3;#Unclassified|a6dff32e-d477-44cd-a56b-85efe9e0a56c</vt:lpwstr>
  </property>
  <property fmtid="{D5CDD505-2E9C-101B-9397-08002B2CF9AE}" pid="12" name="To:">
    <vt:lpwstr/>
  </property>
  <property fmtid="{D5CDD505-2E9C-101B-9397-08002B2CF9AE}" pid="13" name="From:">
    <vt:lpwstr/>
  </property>
  <property fmtid="{D5CDD505-2E9C-101B-9397-08002B2CF9AE}" pid="14" name="Sector IDB">
    <vt:lpwstr/>
  </property>
  <property fmtid="{D5CDD505-2E9C-101B-9397-08002B2CF9AE}" pid="15" name="Sub-Sector">
    <vt:lpwstr/>
  </property>
</Properties>
</file>