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EADF" w14:textId="77777777" w:rsidR="00BE0FEC" w:rsidRPr="00840CA7" w:rsidRDefault="00BE0FEC" w:rsidP="00BE0FEC">
      <w:pPr>
        <w:jc w:val="center"/>
        <w:rPr>
          <w:rFonts w:ascii="Arial" w:hAnsi="Arial" w:cs="Arial"/>
          <w:b/>
          <w:sz w:val="22"/>
          <w:szCs w:val="22"/>
          <w:lang w:val="es-ES_tradnl"/>
        </w:rPr>
      </w:pPr>
      <w:r w:rsidRPr="00840CA7">
        <w:rPr>
          <w:rFonts w:ascii="Arial" w:hAnsi="Arial" w:cs="Arial"/>
          <w:b/>
          <w:sz w:val="22"/>
          <w:szCs w:val="22"/>
          <w:lang w:val="es-ES_tradnl"/>
        </w:rPr>
        <w:t xml:space="preserve">Requerimientos y </w:t>
      </w:r>
      <w:r w:rsidR="006840F6" w:rsidRPr="00840CA7">
        <w:rPr>
          <w:rFonts w:ascii="Arial" w:hAnsi="Arial" w:cs="Arial"/>
          <w:b/>
          <w:sz w:val="22"/>
          <w:szCs w:val="22"/>
          <w:lang w:val="es-ES_tradnl"/>
        </w:rPr>
        <w:t xml:space="preserve">Análisis del Cumplimiento </w:t>
      </w:r>
      <w:r w:rsidRPr="00840CA7">
        <w:rPr>
          <w:rFonts w:ascii="Arial" w:hAnsi="Arial" w:cs="Arial"/>
          <w:b/>
          <w:sz w:val="22"/>
          <w:szCs w:val="22"/>
          <w:lang w:val="es-ES_tradnl"/>
        </w:rPr>
        <w:t>de la Política de Servicios Públicos Domiciliarios (GN-2716-6)</w:t>
      </w:r>
    </w:p>
    <w:p w14:paraId="60E6493F" w14:textId="77777777" w:rsidR="00BE0FEC" w:rsidRPr="00840CA7" w:rsidRDefault="00BE0FEC" w:rsidP="000216D6">
      <w:pPr>
        <w:jc w:val="center"/>
        <w:rPr>
          <w:rFonts w:ascii="Arial" w:hAnsi="Arial" w:cs="Arial"/>
          <w:b/>
          <w:sz w:val="22"/>
          <w:szCs w:val="22"/>
          <w:lang w:val="es-ES_tradnl"/>
        </w:rPr>
      </w:pPr>
    </w:p>
    <w:p w14:paraId="06E5CD70" w14:textId="77777777" w:rsidR="00840CA7" w:rsidRDefault="00DD3D09" w:rsidP="006A68D2">
      <w:pPr>
        <w:jc w:val="center"/>
        <w:rPr>
          <w:rFonts w:ascii="Arial" w:hAnsi="Arial" w:cs="Arial"/>
          <w:b/>
          <w:sz w:val="22"/>
          <w:szCs w:val="22"/>
          <w:lang w:val="es-ES_tradnl"/>
        </w:rPr>
      </w:pPr>
      <w:r w:rsidRPr="00840CA7">
        <w:rPr>
          <w:rFonts w:ascii="Arial" w:hAnsi="Arial" w:cs="Arial"/>
          <w:b/>
          <w:smallCaps/>
          <w:sz w:val="22"/>
          <w:szCs w:val="22"/>
          <w:lang w:val="es-ES_tradnl"/>
        </w:rPr>
        <w:t>P</w:t>
      </w:r>
      <w:r w:rsidRPr="00840CA7">
        <w:rPr>
          <w:rFonts w:ascii="Arial" w:hAnsi="Arial" w:cs="Arial"/>
          <w:b/>
          <w:sz w:val="22"/>
          <w:szCs w:val="22"/>
          <w:lang w:val="es-ES_tradnl"/>
        </w:rPr>
        <w:t xml:space="preserve">rimer Programa Bajo Línea de Crédito Condicional Multisectorial para el Fortalecimiento Fiscal y del Gasto en Inversión Pública en Barranquilla </w:t>
      </w:r>
    </w:p>
    <w:p w14:paraId="54645C8A" w14:textId="754F8673" w:rsidR="006A68D2" w:rsidRPr="00840CA7" w:rsidRDefault="006A68D2" w:rsidP="006A68D2">
      <w:pPr>
        <w:jc w:val="center"/>
        <w:rPr>
          <w:rFonts w:ascii="Arial" w:hAnsi="Arial" w:cs="Arial"/>
          <w:b/>
          <w:smallCaps/>
          <w:sz w:val="22"/>
          <w:szCs w:val="22"/>
          <w:lang w:val="es-ES_tradnl"/>
        </w:rPr>
      </w:pPr>
      <w:r w:rsidRPr="00840CA7">
        <w:rPr>
          <w:rFonts w:ascii="Arial" w:hAnsi="Arial" w:cs="Arial"/>
          <w:b/>
          <w:smallCaps/>
          <w:sz w:val="22"/>
          <w:szCs w:val="22"/>
          <w:lang w:val="es-ES_tradnl"/>
        </w:rPr>
        <w:t>(CO-L11</w:t>
      </w:r>
      <w:r w:rsidR="00DD3D09" w:rsidRPr="00840CA7">
        <w:rPr>
          <w:rFonts w:ascii="Arial" w:hAnsi="Arial" w:cs="Arial"/>
          <w:b/>
          <w:smallCaps/>
          <w:sz w:val="22"/>
          <w:szCs w:val="22"/>
          <w:lang w:val="es-ES_tradnl"/>
        </w:rPr>
        <w:t>33</w:t>
      </w:r>
      <w:r w:rsidRPr="00840CA7">
        <w:rPr>
          <w:rFonts w:ascii="Arial" w:hAnsi="Arial" w:cs="Arial"/>
          <w:b/>
          <w:smallCaps/>
          <w:sz w:val="22"/>
          <w:szCs w:val="22"/>
          <w:lang w:val="es-ES_tradnl"/>
        </w:rPr>
        <w:t>)</w:t>
      </w:r>
    </w:p>
    <w:p w14:paraId="293EF46C" w14:textId="77777777" w:rsidR="00BE0FEC" w:rsidRPr="00840CA7" w:rsidRDefault="00BE0FEC" w:rsidP="00BE0FEC">
      <w:pPr>
        <w:jc w:val="center"/>
        <w:rPr>
          <w:rFonts w:ascii="Arial" w:hAnsi="Arial" w:cs="Arial"/>
          <w:b/>
          <w:sz w:val="22"/>
          <w:szCs w:val="22"/>
          <w:lang w:val="es-ES_tradnl"/>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2377"/>
        <w:gridCol w:w="4101"/>
      </w:tblGrid>
      <w:tr w:rsidR="00813650" w:rsidRPr="006A68D2" w14:paraId="1C4A9812" w14:textId="77777777" w:rsidTr="00840CA7">
        <w:trPr>
          <w:jc w:val="center"/>
        </w:trPr>
        <w:tc>
          <w:tcPr>
            <w:tcW w:w="2247" w:type="dxa"/>
            <w:shd w:val="clear" w:color="auto" w:fill="C0C0C0"/>
            <w:vAlign w:val="center"/>
          </w:tcPr>
          <w:p w14:paraId="6F33A85A" w14:textId="77777777" w:rsidR="00813650" w:rsidRPr="006A68D2" w:rsidRDefault="00813650" w:rsidP="00F86D7F">
            <w:pPr>
              <w:jc w:val="center"/>
              <w:rPr>
                <w:rFonts w:ascii="Arial" w:hAnsi="Arial" w:cs="Arial"/>
                <w:b/>
                <w:sz w:val="18"/>
                <w:szCs w:val="18"/>
                <w:lang w:val="es-ES_tradnl"/>
              </w:rPr>
            </w:pPr>
            <w:bookmarkStart w:id="0" w:name="_Hlk497383280"/>
            <w:r w:rsidRPr="006A68D2">
              <w:rPr>
                <w:rFonts w:ascii="Arial" w:hAnsi="Arial" w:cs="Arial"/>
                <w:b/>
                <w:sz w:val="18"/>
                <w:szCs w:val="18"/>
                <w:lang w:val="es-ES_tradnl"/>
              </w:rPr>
              <w:t>Condiciones de la Política</w:t>
            </w:r>
          </w:p>
        </w:tc>
        <w:tc>
          <w:tcPr>
            <w:tcW w:w="2377" w:type="dxa"/>
            <w:shd w:val="clear" w:color="auto" w:fill="C0C0C0"/>
            <w:vAlign w:val="center"/>
          </w:tcPr>
          <w:p w14:paraId="2BCE6BB9" w14:textId="77777777" w:rsidR="00813650" w:rsidRPr="006A68D2" w:rsidRDefault="00813650" w:rsidP="00F86D7F">
            <w:pPr>
              <w:jc w:val="center"/>
              <w:rPr>
                <w:rFonts w:ascii="Arial" w:hAnsi="Arial" w:cs="Arial"/>
                <w:b/>
                <w:sz w:val="18"/>
                <w:szCs w:val="18"/>
                <w:lang w:val="es-ES_tradnl"/>
              </w:rPr>
            </w:pPr>
            <w:r w:rsidRPr="006A68D2">
              <w:rPr>
                <w:rFonts w:ascii="Arial" w:hAnsi="Arial" w:cs="Arial"/>
                <w:b/>
                <w:sz w:val="18"/>
                <w:szCs w:val="18"/>
                <w:lang w:val="es-ES_tradnl"/>
              </w:rPr>
              <w:t>Descripción</w:t>
            </w:r>
          </w:p>
        </w:tc>
        <w:tc>
          <w:tcPr>
            <w:tcW w:w="4101" w:type="dxa"/>
            <w:shd w:val="clear" w:color="auto" w:fill="C0C0C0"/>
            <w:vAlign w:val="center"/>
          </w:tcPr>
          <w:p w14:paraId="290768C2" w14:textId="77777777" w:rsidR="00813650" w:rsidRPr="006A68D2" w:rsidRDefault="00813650" w:rsidP="00F86D7F">
            <w:pPr>
              <w:ind w:left="7"/>
              <w:jc w:val="center"/>
              <w:rPr>
                <w:rFonts w:ascii="Arial" w:hAnsi="Arial" w:cs="Arial"/>
                <w:b/>
                <w:sz w:val="18"/>
                <w:szCs w:val="18"/>
                <w:lang w:val="es-ES_tradnl"/>
              </w:rPr>
            </w:pPr>
            <w:r w:rsidRPr="006A68D2">
              <w:rPr>
                <w:rFonts w:ascii="Arial" w:hAnsi="Arial" w:cs="Arial"/>
                <w:b/>
                <w:sz w:val="18"/>
                <w:szCs w:val="18"/>
                <w:lang w:val="es-ES_tradnl"/>
              </w:rPr>
              <w:t>Comentarios</w:t>
            </w:r>
          </w:p>
        </w:tc>
      </w:tr>
      <w:bookmarkEnd w:id="0"/>
      <w:tr w:rsidR="00256EBE" w:rsidRPr="00840CA7" w14:paraId="4FA0F1CA" w14:textId="77777777" w:rsidTr="00840CA7">
        <w:trPr>
          <w:trHeight w:val="1916"/>
          <w:jc w:val="center"/>
        </w:trPr>
        <w:tc>
          <w:tcPr>
            <w:tcW w:w="2247" w:type="dxa"/>
            <w:shd w:val="clear" w:color="auto" w:fill="auto"/>
            <w:vAlign w:val="center"/>
          </w:tcPr>
          <w:p w14:paraId="74B8A9DA" w14:textId="77777777" w:rsidR="00256EBE" w:rsidRPr="006A68D2" w:rsidRDefault="00256EBE" w:rsidP="00F86D7F">
            <w:pPr>
              <w:rPr>
                <w:rFonts w:ascii="Arial" w:hAnsi="Arial" w:cs="Arial"/>
                <w:bCs/>
                <w:sz w:val="18"/>
                <w:szCs w:val="18"/>
                <w:lang w:val="es-ES_tradnl"/>
              </w:rPr>
            </w:pPr>
            <w:r w:rsidRPr="006A68D2">
              <w:rPr>
                <w:rFonts w:ascii="Arial" w:hAnsi="Arial" w:cs="Arial"/>
                <w:bCs/>
                <w:sz w:val="18"/>
                <w:szCs w:val="18"/>
                <w:lang w:val="es-ES_tradnl"/>
              </w:rPr>
              <w:t>1. Sostenibilidad Financiera</w:t>
            </w:r>
          </w:p>
        </w:tc>
        <w:tc>
          <w:tcPr>
            <w:tcW w:w="2377" w:type="dxa"/>
            <w:shd w:val="clear" w:color="auto" w:fill="auto"/>
            <w:vAlign w:val="center"/>
          </w:tcPr>
          <w:p w14:paraId="6B58FCB0" w14:textId="77777777" w:rsidR="00256EBE" w:rsidRPr="006A68D2" w:rsidRDefault="00256EBE" w:rsidP="00F86D7F">
            <w:pPr>
              <w:autoSpaceDE w:val="0"/>
              <w:autoSpaceDN w:val="0"/>
              <w:adjustRightInd w:val="0"/>
              <w:jc w:val="both"/>
              <w:rPr>
                <w:rFonts w:ascii="Arial" w:eastAsiaTheme="minorHAnsi" w:hAnsi="Arial" w:cs="Arial"/>
                <w:sz w:val="18"/>
                <w:szCs w:val="18"/>
                <w:lang w:val="es-ES_tradnl"/>
              </w:rPr>
            </w:pPr>
            <w:r w:rsidRPr="006A68D2">
              <w:rPr>
                <w:rFonts w:ascii="Arial" w:eastAsiaTheme="minorHAnsi" w:hAnsi="Arial" w:cs="Arial"/>
                <w:sz w:val="18"/>
                <w:szCs w:val="18"/>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4101" w:type="dxa"/>
            <w:shd w:val="clear" w:color="auto" w:fill="auto"/>
            <w:vAlign w:val="center"/>
          </w:tcPr>
          <w:p w14:paraId="4FE2ECBD" w14:textId="77777777" w:rsidR="00FC5949" w:rsidRPr="00DF6B2A" w:rsidRDefault="00D40D30" w:rsidP="00F86D7F">
            <w:pPr>
              <w:pStyle w:val="Paragraph"/>
              <w:numPr>
                <w:ilvl w:val="0"/>
                <w:numId w:val="0"/>
              </w:numPr>
              <w:spacing w:before="0" w:after="0"/>
              <w:ind w:left="7"/>
              <w:rPr>
                <w:rFonts w:ascii="Arial" w:eastAsiaTheme="minorHAnsi" w:hAnsi="Arial" w:cs="Arial"/>
                <w:i/>
                <w:sz w:val="18"/>
                <w:szCs w:val="18"/>
                <w:lang w:val="es-ES_tradnl"/>
              </w:rPr>
            </w:pPr>
            <w:r w:rsidRPr="00DF6B2A">
              <w:rPr>
                <w:rFonts w:ascii="Arial" w:hAnsi="Arial" w:cs="Arial"/>
                <w:sz w:val="18"/>
                <w:szCs w:val="18"/>
                <w:lang w:val="es-ES_tradnl"/>
              </w:rPr>
              <w:t>En Colombia los operadores de los servicios de agua potable y saneamiento básico cubren con ingresos operativos sus costos de Operación y Mantenimiento mediante las tarifas reguladas por la Comisión de Regulación de Agua Potable y Saneamiento Básico. Según la ley, los municipios transfieren recursos de sus presupuestos para cubrir los subsidios a usuarios de zonas residenciales.</w:t>
            </w:r>
          </w:p>
        </w:tc>
      </w:tr>
      <w:tr w:rsidR="00FF326A" w:rsidRPr="00840CA7" w14:paraId="6628D0D2" w14:textId="77777777" w:rsidTr="00840CA7">
        <w:trPr>
          <w:trHeight w:val="980"/>
          <w:jc w:val="center"/>
        </w:trPr>
        <w:tc>
          <w:tcPr>
            <w:tcW w:w="2247" w:type="dxa"/>
            <w:shd w:val="clear" w:color="auto" w:fill="auto"/>
            <w:vAlign w:val="center"/>
          </w:tcPr>
          <w:p w14:paraId="6C68B822" w14:textId="77777777" w:rsidR="00FF326A" w:rsidRPr="006A68D2" w:rsidRDefault="00FF326A" w:rsidP="00F86D7F">
            <w:pPr>
              <w:rPr>
                <w:rFonts w:ascii="Arial" w:hAnsi="Arial" w:cs="Arial"/>
                <w:bCs/>
                <w:sz w:val="18"/>
                <w:szCs w:val="18"/>
                <w:lang w:val="es-ES_tradnl"/>
              </w:rPr>
            </w:pPr>
            <w:r w:rsidRPr="006A68D2">
              <w:rPr>
                <w:rFonts w:ascii="Arial" w:hAnsi="Arial" w:cs="Arial"/>
                <w:bCs/>
                <w:sz w:val="18"/>
                <w:szCs w:val="18"/>
                <w:lang w:val="es-ES_tradnl"/>
              </w:rPr>
              <w:t>2. Evaluación Económica</w:t>
            </w:r>
          </w:p>
        </w:tc>
        <w:tc>
          <w:tcPr>
            <w:tcW w:w="2377" w:type="dxa"/>
            <w:shd w:val="clear" w:color="auto" w:fill="auto"/>
            <w:vAlign w:val="center"/>
          </w:tcPr>
          <w:p w14:paraId="086CE3D2" w14:textId="77777777" w:rsidR="00FF326A" w:rsidRPr="006A68D2" w:rsidRDefault="00FF326A" w:rsidP="00F86D7F">
            <w:pPr>
              <w:jc w:val="both"/>
              <w:rPr>
                <w:rFonts w:ascii="Arial" w:hAnsi="Arial" w:cs="Arial"/>
                <w:sz w:val="18"/>
                <w:szCs w:val="18"/>
                <w:lang w:val="es-ES_tradnl"/>
              </w:rPr>
            </w:pPr>
            <w:r w:rsidRPr="006A68D2">
              <w:rPr>
                <w:rFonts w:ascii="Arial" w:hAnsi="Arial" w:cs="Arial"/>
                <w:sz w:val="18"/>
                <w:szCs w:val="18"/>
                <w:lang w:val="es-ES_tradnl"/>
              </w:rPr>
              <w:t>Los proyectos de servicios públicos domiciliarios deberán ser económicamente rentables [de acuerdo a las metodologías de evaluación costo beneficio y costo efectividad utilizadas y aceptadas por el Banco.]</w:t>
            </w:r>
          </w:p>
        </w:tc>
        <w:tc>
          <w:tcPr>
            <w:tcW w:w="4101" w:type="dxa"/>
            <w:shd w:val="clear" w:color="auto" w:fill="auto"/>
            <w:vAlign w:val="center"/>
          </w:tcPr>
          <w:p w14:paraId="7ED7676B" w14:textId="1E63BC9A" w:rsidR="00471149" w:rsidRDefault="00471149" w:rsidP="00F86D7F">
            <w:pPr>
              <w:pStyle w:val="Paragraph"/>
              <w:numPr>
                <w:ilvl w:val="0"/>
                <w:numId w:val="0"/>
              </w:numPr>
              <w:spacing w:after="0"/>
              <w:ind w:left="28"/>
              <w:rPr>
                <w:rFonts w:ascii="Arial" w:hAnsi="Arial" w:cs="Arial"/>
                <w:sz w:val="18"/>
                <w:szCs w:val="18"/>
                <w:lang w:val="es-ES_tradnl"/>
              </w:rPr>
            </w:pPr>
            <w:r w:rsidRPr="00F86D7F">
              <w:rPr>
                <w:rFonts w:ascii="Arial" w:hAnsi="Arial" w:cs="Arial"/>
                <w:sz w:val="18"/>
                <w:szCs w:val="18"/>
                <w:lang w:val="es-ES_tradnl"/>
              </w:rPr>
              <w:t>La</w:t>
            </w:r>
            <w:r w:rsidR="00FE3E13" w:rsidRPr="00F86D7F">
              <w:rPr>
                <w:rFonts w:ascii="Arial" w:hAnsi="Arial" w:cs="Arial"/>
                <w:sz w:val="18"/>
                <w:szCs w:val="18"/>
                <w:lang w:val="es-ES_tradnl"/>
              </w:rPr>
              <w:t xml:space="preserve"> Resolución 0330 del 8 de junio de 2017, </w:t>
            </w:r>
            <w:r w:rsidRPr="00F86D7F">
              <w:rPr>
                <w:rFonts w:ascii="Arial" w:hAnsi="Arial" w:cs="Arial"/>
                <w:sz w:val="18"/>
                <w:szCs w:val="18"/>
                <w:lang w:val="es-ES_tradnl"/>
              </w:rPr>
              <w:t>“Por</w:t>
            </w:r>
            <w:r w:rsidRPr="00471149">
              <w:rPr>
                <w:rFonts w:ascii="Arial" w:hAnsi="Arial" w:cs="Arial"/>
                <w:sz w:val="18"/>
                <w:szCs w:val="18"/>
                <w:lang w:val="es-ES_tradnl"/>
              </w:rPr>
              <w:t xml:space="preserve"> la cual se adopta el Reglamento Técnico para el Sector de Agua Potable y Saneamiento Básico – RAS</w:t>
            </w:r>
            <w:r>
              <w:rPr>
                <w:rFonts w:ascii="Arial" w:hAnsi="Arial" w:cs="Arial"/>
                <w:sz w:val="18"/>
                <w:szCs w:val="18"/>
                <w:lang w:val="es-ES_tradnl"/>
              </w:rPr>
              <w:t xml:space="preserve">”, reglamenta </w:t>
            </w:r>
            <w:r w:rsidRPr="00471149">
              <w:rPr>
                <w:rFonts w:ascii="Arial" w:hAnsi="Arial" w:cs="Arial"/>
                <w:sz w:val="18"/>
                <w:szCs w:val="18"/>
                <w:lang w:val="es-ES_tradnl"/>
              </w:rPr>
              <w:t>los requisitos técnicos que se deben cumplir en las etapas de diseño construcción, puesta en marcha, operación, mantenimiento y rehabilitación de la infraestructura relacionada con los servicios públicos de acueducto, alcantarillado y aseo.</w:t>
            </w:r>
          </w:p>
          <w:p w14:paraId="73472B05" w14:textId="0508A527" w:rsidR="00CD32BE" w:rsidRDefault="00CD32BE" w:rsidP="00F86D7F">
            <w:pPr>
              <w:pStyle w:val="Paragraph"/>
              <w:numPr>
                <w:ilvl w:val="0"/>
                <w:numId w:val="0"/>
              </w:numPr>
              <w:spacing w:after="0"/>
              <w:ind w:left="28"/>
              <w:rPr>
                <w:rFonts w:ascii="Arial" w:hAnsi="Arial" w:cs="Arial"/>
                <w:sz w:val="18"/>
                <w:szCs w:val="18"/>
                <w:lang w:val="es-ES_tradnl"/>
              </w:rPr>
            </w:pPr>
            <w:r>
              <w:rPr>
                <w:rFonts w:ascii="Arial" w:hAnsi="Arial" w:cs="Arial"/>
                <w:sz w:val="18"/>
                <w:szCs w:val="18"/>
                <w:lang w:val="es-ES_tradnl"/>
              </w:rPr>
              <w:t>El Artículo 10. Estudios Básicos, define, entre otros, los estudios socio-económicos como parte de los estudios básicos mínimos que deben contener los proyectos:</w:t>
            </w:r>
          </w:p>
          <w:p w14:paraId="37B47633" w14:textId="7DB5A685" w:rsidR="00CD32BE" w:rsidRPr="00F86D7F" w:rsidRDefault="00CD32BE" w:rsidP="00F86D7F">
            <w:pPr>
              <w:pStyle w:val="Paragraph"/>
              <w:numPr>
                <w:ilvl w:val="0"/>
                <w:numId w:val="0"/>
              </w:numPr>
              <w:spacing w:after="0"/>
              <w:ind w:left="178" w:right="162"/>
              <w:rPr>
                <w:rFonts w:ascii="Arial" w:hAnsi="Arial" w:cs="Arial"/>
                <w:i/>
                <w:sz w:val="18"/>
                <w:szCs w:val="18"/>
                <w:lang w:val="es-ES_tradnl"/>
              </w:rPr>
            </w:pPr>
            <w:r w:rsidRPr="00F86D7F">
              <w:rPr>
                <w:rFonts w:ascii="Arial" w:hAnsi="Arial" w:cs="Arial"/>
                <w:b/>
                <w:i/>
                <w:sz w:val="18"/>
                <w:szCs w:val="18"/>
                <w:lang w:val="es-ES_tradnl"/>
              </w:rPr>
              <w:t>9. Estudios Socioeconómicos</w:t>
            </w:r>
            <w:r w:rsidRPr="00F86D7F">
              <w:rPr>
                <w:rFonts w:ascii="Arial" w:hAnsi="Arial" w:cs="Arial"/>
                <w:i/>
                <w:sz w:val="18"/>
                <w:szCs w:val="18"/>
                <w:lang w:val="es-ES_tradnl"/>
              </w:rPr>
              <w:t xml:space="preserve">: La evaluación socio-económica de proyectos debe realizarse con el objeto de medir el aporte neto de los proyectos al bienestar de la población. Para proyectos de acueducto, alcantarillado y/o aseo se requiere como mínimo estudios socio-económicos tales como </w:t>
            </w:r>
            <w:r w:rsidRPr="00F86D7F">
              <w:rPr>
                <w:rFonts w:ascii="Arial" w:hAnsi="Arial" w:cs="Arial"/>
                <w:i/>
                <w:sz w:val="18"/>
                <w:szCs w:val="18"/>
                <w:u w:val="single"/>
                <w:lang w:val="es-ES_tradnl"/>
              </w:rPr>
              <w:t>análisis costo-eficiencia y/o análisis de costo mínimo</w:t>
            </w:r>
            <w:r w:rsidRPr="00F86D7F">
              <w:rPr>
                <w:rFonts w:ascii="Arial" w:hAnsi="Arial" w:cs="Arial"/>
                <w:i/>
                <w:sz w:val="18"/>
                <w:szCs w:val="18"/>
                <w:lang w:val="es-ES_tradnl"/>
              </w:rPr>
              <w:t>, de expansión de capacidad.</w:t>
            </w:r>
          </w:p>
          <w:p w14:paraId="70ED7ACC" w14:textId="5D6BF931" w:rsidR="00CD32BE" w:rsidRDefault="00CD32BE" w:rsidP="00F86D7F">
            <w:pPr>
              <w:pStyle w:val="Paragraph"/>
              <w:numPr>
                <w:ilvl w:val="0"/>
                <w:numId w:val="0"/>
              </w:numPr>
              <w:spacing w:after="0"/>
              <w:ind w:left="28"/>
              <w:rPr>
                <w:rFonts w:ascii="Arial" w:hAnsi="Arial" w:cs="Arial"/>
                <w:sz w:val="18"/>
                <w:szCs w:val="18"/>
                <w:lang w:val="es-ES_tradnl"/>
              </w:rPr>
            </w:pPr>
            <w:r>
              <w:rPr>
                <w:rFonts w:ascii="Arial" w:hAnsi="Arial" w:cs="Arial"/>
                <w:sz w:val="18"/>
                <w:szCs w:val="18"/>
                <w:lang w:val="es-ES_tradnl"/>
              </w:rPr>
              <w:t xml:space="preserve">Por otro lado, con el fin de realizar la selección de </w:t>
            </w:r>
            <w:r w:rsidRPr="00CD32BE">
              <w:rPr>
                <w:rFonts w:ascii="Arial" w:hAnsi="Arial" w:cs="Arial"/>
                <w:sz w:val="18"/>
                <w:szCs w:val="18"/>
                <w:lang w:val="es-ES_tradnl"/>
              </w:rPr>
              <w:t xml:space="preserve">alternativas, el </w:t>
            </w:r>
            <w:r w:rsidR="00471149" w:rsidRPr="00CD32BE">
              <w:rPr>
                <w:rFonts w:ascii="Arial" w:hAnsi="Arial" w:cs="Arial"/>
                <w:sz w:val="18"/>
                <w:szCs w:val="18"/>
                <w:lang w:val="es-ES_tradnl"/>
              </w:rPr>
              <w:t>Artículo 14. Comparación de alternativas y selección de alternativa viable</w:t>
            </w:r>
            <w:r w:rsidRPr="00CD32BE">
              <w:rPr>
                <w:rFonts w:ascii="Arial" w:hAnsi="Arial" w:cs="Arial"/>
                <w:sz w:val="18"/>
                <w:szCs w:val="18"/>
                <w:lang w:val="es-ES_tradnl"/>
              </w:rPr>
              <w:t xml:space="preserve">, establece que se deben considerar </w:t>
            </w:r>
            <w:r w:rsidR="00471149" w:rsidRPr="00CD32BE">
              <w:rPr>
                <w:rFonts w:ascii="Arial" w:hAnsi="Arial" w:cs="Arial"/>
                <w:sz w:val="18"/>
                <w:szCs w:val="18"/>
                <w:lang w:val="es-ES_tradnl"/>
              </w:rPr>
              <w:t>los</w:t>
            </w:r>
            <w:r w:rsidR="00471149">
              <w:rPr>
                <w:rFonts w:ascii="Arial" w:hAnsi="Arial" w:cs="Arial"/>
                <w:sz w:val="18"/>
                <w:szCs w:val="18"/>
                <w:lang w:val="es-ES_tradnl"/>
              </w:rPr>
              <w:t xml:space="preserve"> aspectos económicos, técnicos, sociales, ambientales, financieros, de riesgo y permisos.</w:t>
            </w:r>
            <w:r>
              <w:rPr>
                <w:rFonts w:ascii="Arial" w:hAnsi="Arial" w:cs="Arial"/>
                <w:sz w:val="18"/>
                <w:szCs w:val="18"/>
                <w:lang w:val="es-ES_tradnl"/>
              </w:rPr>
              <w:t xml:space="preserve"> Para la selección de alternativas, entre otros criterios, se encuentra el de </w:t>
            </w:r>
            <w:r w:rsidRPr="00CD32BE">
              <w:rPr>
                <w:rFonts w:ascii="Arial" w:hAnsi="Arial" w:cs="Arial"/>
                <w:sz w:val="18"/>
                <w:szCs w:val="18"/>
                <w:u w:val="single"/>
                <w:lang w:val="es-ES_tradnl"/>
              </w:rPr>
              <w:t>Sostenibilidad Económica</w:t>
            </w:r>
            <w:r w:rsidRPr="00CD32BE">
              <w:rPr>
                <w:rFonts w:ascii="Arial" w:hAnsi="Arial" w:cs="Arial"/>
                <w:sz w:val="18"/>
                <w:szCs w:val="18"/>
                <w:lang w:val="es-ES_tradnl"/>
              </w:rPr>
              <w:t>, en el cual “</w:t>
            </w:r>
            <w:r w:rsidRPr="00F86D7F">
              <w:rPr>
                <w:rFonts w:ascii="Arial" w:hAnsi="Arial" w:cs="Arial"/>
                <w:i/>
                <w:sz w:val="18"/>
                <w:szCs w:val="18"/>
                <w:lang w:val="es-ES_tradnl"/>
              </w:rPr>
              <w:t>se deberá analizar la disponibilidad de recursos y/o el análisis de viabilidad para la operación y el mantenimiento de los proyectos, con el fin de garantizar la utilización de los mismos</w:t>
            </w:r>
            <w:r>
              <w:rPr>
                <w:rFonts w:ascii="Arial" w:hAnsi="Arial" w:cs="Arial"/>
                <w:sz w:val="18"/>
                <w:szCs w:val="18"/>
                <w:lang w:val="es-ES_tradnl"/>
              </w:rPr>
              <w:t>.”</w:t>
            </w:r>
            <w:r w:rsidRPr="00CD32BE">
              <w:rPr>
                <w:rFonts w:ascii="Arial" w:hAnsi="Arial" w:cs="Arial"/>
                <w:sz w:val="18"/>
                <w:szCs w:val="18"/>
                <w:lang w:val="es-ES_tradnl"/>
              </w:rPr>
              <w:t xml:space="preserve"> </w:t>
            </w:r>
          </w:p>
          <w:p w14:paraId="29EA76C9" w14:textId="77777777" w:rsidR="00840CA7" w:rsidRDefault="00F86D7F" w:rsidP="00840CA7">
            <w:pPr>
              <w:pStyle w:val="Paragraph"/>
              <w:numPr>
                <w:ilvl w:val="0"/>
                <w:numId w:val="0"/>
              </w:numPr>
              <w:spacing w:after="0"/>
              <w:rPr>
                <w:rFonts w:ascii="Arial" w:hAnsi="Arial" w:cs="Arial"/>
                <w:sz w:val="18"/>
                <w:szCs w:val="18"/>
                <w:lang w:val="es-ES_tradnl"/>
              </w:rPr>
            </w:pPr>
            <w:r>
              <w:rPr>
                <w:rFonts w:ascii="Arial" w:hAnsi="Arial" w:cs="Arial"/>
                <w:sz w:val="18"/>
                <w:szCs w:val="18"/>
                <w:lang w:val="es-ES_tradnl"/>
              </w:rPr>
              <w:t>Finalmente</w:t>
            </w:r>
            <w:r w:rsidR="00CD32BE">
              <w:rPr>
                <w:rFonts w:ascii="Arial" w:hAnsi="Arial" w:cs="Arial"/>
                <w:sz w:val="18"/>
                <w:szCs w:val="18"/>
                <w:lang w:val="es-ES_tradnl"/>
              </w:rPr>
              <w:t xml:space="preserve">, la Metodología de selección </w:t>
            </w:r>
            <w:r w:rsidR="00840CA7">
              <w:rPr>
                <w:rFonts w:ascii="Arial" w:hAnsi="Arial" w:cs="Arial"/>
                <w:sz w:val="18"/>
                <w:szCs w:val="18"/>
                <w:lang w:val="es-ES_tradnl"/>
              </w:rPr>
              <w:t xml:space="preserve">de </w:t>
            </w:r>
            <w:r w:rsidR="00840CA7">
              <w:rPr>
                <w:rFonts w:ascii="Arial" w:hAnsi="Arial" w:cs="Arial"/>
                <w:sz w:val="18"/>
                <w:szCs w:val="18"/>
                <w:lang w:val="es-ES_tradnl"/>
              </w:rPr>
              <w:t xml:space="preserve">selección de la alternativa más favorable, </w:t>
            </w:r>
            <w:r w:rsidR="00840CA7">
              <w:rPr>
                <w:rFonts w:ascii="Arial" w:hAnsi="Arial" w:cs="Arial"/>
                <w:sz w:val="18"/>
                <w:szCs w:val="18"/>
                <w:lang w:val="es-ES_tradnl"/>
              </w:rPr>
              <w:lastRenderedPageBreak/>
              <w:t>“</w:t>
            </w:r>
            <w:r w:rsidR="00840CA7" w:rsidRPr="00F86D7F">
              <w:rPr>
                <w:rFonts w:ascii="Arial" w:hAnsi="Arial" w:cs="Arial"/>
                <w:i/>
                <w:sz w:val="18"/>
                <w:szCs w:val="18"/>
                <w:lang w:val="es-ES_tradnl"/>
              </w:rPr>
              <w:t>deberá seleccionar la mejor alternativa con base en criterios de sostenibilidad a partir de la evaluación de los aspectos económicos, técnicos, ambientales y sociales mencionados, para lo cual deberá emplear metodologías que impliquen la mínima subjetividad de valoración y el menor costo de inversión, operación y mantenimiento. La definición de variables y los valores de ponderación en la selección de la alternativa más favorable deberá evaluarse mediante el empleo de matrices multicriterio</w:t>
            </w:r>
            <w:r w:rsidR="00840CA7">
              <w:rPr>
                <w:rFonts w:ascii="Arial" w:hAnsi="Arial" w:cs="Arial"/>
                <w:i/>
                <w:sz w:val="18"/>
                <w:szCs w:val="18"/>
                <w:lang w:val="es-ES_tradnl"/>
              </w:rPr>
              <w:t>s</w:t>
            </w:r>
            <w:r w:rsidR="00840CA7">
              <w:rPr>
                <w:rFonts w:ascii="Arial" w:hAnsi="Arial" w:cs="Arial"/>
                <w:sz w:val="18"/>
                <w:szCs w:val="18"/>
                <w:lang w:val="es-ES_tradnl"/>
              </w:rPr>
              <w:t xml:space="preserve">”. </w:t>
            </w:r>
          </w:p>
          <w:p w14:paraId="546C9F51" w14:textId="22DBB691" w:rsidR="00F86D7F" w:rsidRPr="00F86D7F" w:rsidRDefault="00840CA7" w:rsidP="00840CA7">
            <w:pPr>
              <w:pStyle w:val="Paragraph"/>
              <w:numPr>
                <w:ilvl w:val="0"/>
                <w:numId w:val="0"/>
              </w:numPr>
              <w:spacing w:after="0"/>
              <w:rPr>
                <w:rFonts w:ascii="Arial" w:hAnsi="Arial" w:cs="Arial"/>
                <w:sz w:val="14"/>
                <w:szCs w:val="14"/>
                <w:lang w:val="es-ES_tradnl"/>
              </w:rPr>
            </w:pPr>
            <w:hyperlink r:id="rId13" w:history="1">
              <w:r w:rsidRPr="002C2D48">
                <w:rPr>
                  <w:rStyle w:val="Hyperlink"/>
                  <w:rFonts w:ascii="Arial" w:hAnsi="Arial" w:cs="Arial"/>
                  <w:sz w:val="14"/>
                  <w:szCs w:val="14"/>
                  <w:lang w:val="es-ES_tradnl"/>
                </w:rPr>
                <w:t>http://www.minvivienda.gov.co/ResolucionesAgua/0330%20-%202017.pdf</w:t>
              </w:r>
            </w:hyperlink>
          </w:p>
        </w:tc>
      </w:tr>
      <w:tr w:rsidR="000F1306" w:rsidRPr="006A68D2" w14:paraId="304E8EC3" w14:textId="77777777" w:rsidTr="00840CA7">
        <w:trPr>
          <w:trHeight w:val="503"/>
          <w:jc w:val="center"/>
        </w:trPr>
        <w:tc>
          <w:tcPr>
            <w:tcW w:w="2247" w:type="dxa"/>
            <w:shd w:val="clear" w:color="auto" w:fill="C0C0C0"/>
            <w:vAlign w:val="center"/>
          </w:tcPr>
          <w:p w14:paraId="46E005CB" w14:textId="77777777" w:rsidR="000F1306" w:rsidRPr="00F86D7F" w:rsidRDefault="000F1306" w:rsidP="00F86D7F">
            <w:pPr>
              <w:rPr>
                <w:rFonts w:ascii="Arial" w:hAnsi="Arial" w:cs="Arial"/>
                <w:b/>
                <w:sz w:val="18"/>
                <w:szCs w:val="18"/>
                <w:lang w:val="es-ES_tradnl"/>
              </w:rPr>
            </w:pPr>
            <w:r w:rsidRPr="00F86D7F">
              <w:rPr>
                <w:rFonts w:ascii="Arial" w:hAnsi="Arial" w:cs="Arial"/>
                <w:b/>
                <w:sz w:val="18"/>
                <w:szCs w:val="18"/>
                <w:lang w:val="es-ES_tradnl"/>
              </w:rPr>
              <w:lastRenderedPageBreak/>
              <w:t>Objetivos de la Política</w:t>
            </w:r>
          </w:p>
        </w:tc>
        <w:tc>
          <w:tcPr>
            <w:tcW w:w="2377" w:type="dxa"/>
            <w:shd w:val="clear" w:color="auto" w:fill="C0C0C0"/>
            <w:vAlign w:val="center"/>
          </w:tcPr>
          <w:p w14:paraId="1B4B201B" w14:textId="77777777" w:rsidR="000F1306" w:rsidRPr="006A68D2" w:rsidRDefault="000F1306" w:rsidP="00F86D7F">
            <w:pPr>
              <w:rPr>
                <w:rFonts w:ascii="Arial" w:hAnsi="Arial" w:cs="Arial"/>
                <w:b/>
                <w:sz w:val="18"/>
                <w:szCs w:val="18"/>
                <w:lang w:val="es-ES_tradnl"/>
              </w:rPr>
            </w:pPr>
            <w:r w:rsidRPr="006A68D2">
              <w:rPr>
                <w:rFonts w:ascii="Arial" w:hAnsi="Arial" w:cs="Arial"/>
                <w:b/>
                <w:sz w:val="18"/>
                <w:szCs w:val="18"/>
                <w:lang w:val="es-ES_tradnl"/>
              </w:rPr>
              <w:t xml:space="preserve">Descripción </w:t>
            </w:r>
          </w:p>
        </w:tc>
        <w:tc>
          <w:tcPr>
            <w:tcW w:w="4101" w:type="dxa"/>
            <w:shd w:val="clear" w:color="auto" w:fill="C0C0C0"/>
            <w:vAlign w:val="center"/>
          </w:tcPr>
          <w:p w14:paraId="2C1B59BE" w14:textId="77777777" w:rsidR="000F1306" w:rsidRPr="006A68D2" w:rsidRDefault="000F1306" w:rsidP="00F86D7F">
            <w:pPr>
              <w:ind w:left="7"/>
              <w:rPr>
                <w:rFonts w:ascii="Arial" w:hAnsi="Arial" w:cs="Arial"/>
                <w:b/>
                <w:sz w:val="18"/>
                <w:szCs w:val="18"/>
                <w:lang w:val="es-ES_tradnl"/>
              </w:rPr>
            </w:pPr>
            <w:r w:rsidRPr="006A68D2">
              <w:rPr>
                <w:rFonts w:ascii="Arial" w:hAnsi="Arial" w:cs="Arial"/>
                <w:b/>
                <w:sz w:val="18"/>
                <w:szCs w:val="18"/>
                <w:lang w:val="es-ES_tradnl"/>
              </w:rPr>
              <w:t>Comentarios</w:t>
            </w:r>
          </w:p>
        </w:tc>
      </w:tr>
      <w:tr w:rsidR="0070402A" w:rsidRPr="00840CA7" w14:paraId="1ECB20CC" w14:textId="77777777" w:rsidTr="00840CA7">
        <w:trPr>
          <w:jc w:val="center"/>
        </w:trPr>
        <w:tc>
          <w:tcPr>
            <w:tcW w:w="2247" w:type="dxa"/>
            <w:shd w:val="clear" w:color="auto" w:fill="auto"/>
            <w:vAlign w:val="center"/>
          </w:tcPr>
          <w:p w14:paraId="50C7A648" w14:textId="77777777" w:rsidR="0070402A" w:rsidRPr="006A68D2" w:rsidRDefault="0070402A" w:rsidP="00F86D7F">
            <w:pPr>
              <w:rPr>
                <w:rFonts w:ascii="Arial" w:hAnsi="Arial" w:cs="Arial"/>
                <w:bCs/>
                <w:sz w:val="18"/>
                <w:szCs w:val="18"/>
                <w:lang w:val="es-ES_tradnl"/>
              </w:rPr>
            </w:pPr>
            <w:r w:rsidRPr="006A68D2">
              <w:rPr>
                <w:rFonts w:ascii="Arial" w:hAnsi="Arial" w:cs="Arial"/>
                <w:bCs/>
                <w:sz w:val="18"/>
                <w:szCs w:val="18"/>
                <w:lang w:val="es-ES_tradnl"/>
              </w:rPr>
              <w:t>1. Fomentar el Acceso</w:t>
            </w:r>
          </w:p>
        </w:tc>
        <w:tc>
          <w:tcPr>
            <w:tcW w:w="2377" w:type="dxa"/>
            <w:shd w:val="clear" w:color="auto" w:fill="auto"/>
            <w:vAlign w:val="center"/>
          </w:tcPr>
          <w:p w14:paraId="1642F106" w14:textId="77777777" w:rsidR="0070402A" w:rsidRPr="006A68D2" w:rsidRDefault="0070402A" w:rsidP="00F86D7F">
            <w:pPr>
              <w:rPr>
                <w:rFonts w:ascii="Arial" w:hAnsi="Arial" w:cs="Arial"/>
                <w:sz w:val="18"/>
                <w:szCs w:val="18"/>
                <w:lang w:val="es-ES_tradnl"/>
              </w:rPr>
            </w:pPr>
            <w:r w:rsidRPr="006A68D2">
              <w:rPr>
                <w:rFonts w:ascii="Arial" w:hAnsi="Arial" w:cs="Arial"/>
                <w:sz w:val="18"/>
                <w:szCs w:val="18"/>
                <w:lang w:val="es-ES_tradnl"/>
              </w:rPr>
              <w:t>Las políticas deben promover el acceso a todos los usuarios, especialmente a las comunidades y grupos</w:t>
            </w:r>
            <w:r w:rsidR="00573FB0" w:rsidRPr="006A68D2">
              <w:rPr>
                <w:rFonts w:ascii="Arial" w:hAnsi="Arial" w:cs="Arial"/>
                <w:sz w:val="18"/>
                <w:szCs w:val="18"/>
                <w:lang w:val="es-ES_tradnl"/>
              </w:rPr>
              <w:t xml:space="preserve"> </w:t>
            </w:r>
            <w:r w:rsidRPr="006A68D2">
              <w:rPr>
                <w:rFonts w:ascii="Arial" w:hAnsi="Arial" w:cs="Arial"/>
                <w:sz w:val="18"/>
                <w:szCs w:val="18"/>
                <w:lang w:val="es-ES_tradnl"/>
              </w:rPr>
              <w:t xml:space="preserve">más desfavorecidos. </w:t>
            </w:r>
          </w:p>
        </w:tc>
        <w:tc>
          <w:tcPr>
            <w:tcW w:w="4101" w:type="dxa"/>
            <w:shd w:val="clear" w:color="auto" w:fill="auto"/>
            <w:vAlign w:val="center"/>
          </w:tcPr>
          <w:p w14:paraId="212536FE"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En Colombia por Ley se realiza una estratificación socio-económica con la finalidad de cobrar de manera diferencial (por estratos) los servicios públicos domiciliarios permitiendo asignar subsidios y cobrar contribuciones. De esta manera, quienes tienen más capacidad económica pagan más por los servicios públicos y contribuyen para que los estratos bajos puedan pagar sus tarifas</w:t>
            </w:r>
          </w:p>
          <w:p w14:paraId="2BBB7083" w14:textId="77777777" w:rsidR="00336474" w:rsidRPr="006A68D2" w:rsidRDefault="00336474" w:rsidP="00F86D7F">
            <w:pPr>
              <w:ind w:left="7"/>
              <w:jc w:val="both"/>
              <w:rPr>
                <w:rFonts w:ascii="Arial" w:hAnsi="Arial" w:cs="Arial"/>
                <w:sz w:val="18"/>
                <w:szCs w:val="18"/>
                <w:lang w:val="es-ES_tradnl"/>
              </w:rPr>
            </w:pPr>
          </w:p>
          <w:p w14:paraId="50D81AF2"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Los estratos socioeconómicos en los que se pueden clasificar las viviendas y/o los predios son 6, denominados así:</w:t>
            </w:r>
          </w:p>
          <w:p w14:paraId="0D8E8916"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1. Bajo-bajo</w:t>
            </w:r>
          </w:p>
          <w:p w14:paraId="302DDC4C"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2. Bajo</w:t>
            </w:r>
          </w:p>
          <w:p w14:paraId="6A691823"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3. Medio-bajo</w:t>
            </w:r>
          </w:p>
          <w:p w14:paraId="5CCFF052"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4. Medio</w:t>
            </w:r>
          </w:p>
          <w:p w14:paraId="3043726D"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5. Medio-alto</w:t>
            </w:r>
          </w:p>
          <w:p w14:paraId="26898402" w14:textId="77777777" w:rsidR="007552DB"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6. Alto</w:t>
            </w:r>
          </w:p>
          <w:p w14:paraId="049A145A" w14:textId="77777777" w:rsidR="007552DB" w:rsidRPr="006A68D2" w:rsidRDefault="007552DB" w:rsidP="00F86D7F">
            <w:pPr>
              <w:ind w:left="7"/>
              <w:jc w:val="both"/>
              <w:rPr>
                <w:rFonts w:ascii="Arial" w:hAnsi="Arial" w:cs="Arial"/>
                <w:sz w:val="18"/>
                <w:szCs w:val="18"/>
                <w:lang w:val="es-ES_tradnl"/>
              </w:rPr>
            </w:pPr>
          </w:p>
          <w:p w14:paraId="260B6915" w14:textId="5363A71F" w:rsidR="0070402A" w:rsidRPr="006A68D2" w:rsidRDefault="007552DB" w:rsidP="00F86D7F">
            <w:pPr>
              <w:ind w:left="7"/>
              <w:jc w:val="both"/>
              <w:rPr>
                <w:rFonts w:ascii="Arial" w:hAnsi="Arial" w:cs="Arial"/>
                <w:sz w:val="18"/>
                <w:szCs w:val="18"/>
                <w:lang w:val="es-ES_tradnl"/>
              </w:rPr>
            </w:pPr>
            <w:r w:rsidRPr="006A68D2">
              <w:rPr>
                <w:rFonts w:ascii="Arial" w:hAnsi="Arial" w:cs="Arial"/>
                <w:sz w:val="18"/>
                <w:szCs w:val="18"/>
                <w:lang w:val="es-ES_tradnl"/>
              </w:rPr>
              <w:t>De éstos, los estratos 1, 2 y 3 corresponden a estratos bajos que albergan a los usuarios con menores recursos, los cuales son beneficiarios de subsidios en los servicios públicos domiciliarios; los estratos 5</w:t>
            </w:r>
            <w:r w:rsidR="00DD3D09">
              <w:rPr>
                <w:rFonts w:ascii="Arial" w:hAnsi="Arial" w:cs="Arial"/>
                <w:sz w:val="18"/>
                <w:szCs w:val="18"/>
                <w:lang w:val="es-ES_tradnl"/>
              </w:rPr>
              <w:t xml:space="preserve"> </w:t>
            </w:r>
            <w:r w:rsidRPr="006A68D2">
              <w:rPr>
                <w:rFonts w:ascii="Arial" w:hAnsi="Arial" w:cs="Arial"/>
                <w:sz w:val="18"/>
                <w:szCs w:val="18"/>
                <w:lang w:val="es-ES_tradnl"/>
              </w:rPr>
              <w:t>y 6 corresponden a estratos altos que albergan a los usuarios con mayores recursos económicos, los cuales deben pagar sobrecostos (contribución) sobre el valor de los servicios públicos domiciliarios. El estrato 4 no es beneficiario de subsidios, ni debe pagar sobrecostos, paga exactamente el valor que la empresa defina como c</w:t>
            </w:r>
            <w:r w:rsidR="00336474" w:rsidRPr="006A68D2">
              <w:rPr>
                <w:rFonts w:ascii="Arial" w:hAnsi="Arial" w:cs="Arial"/>
                <w:sz w:val="18"/>
                <w:szCs w:val="18"/>
                <w:lang w:val="es-ES_tradnl"/>
              </w:rPr>
              <w:t>osto de prestación del servicio</w:t>
            </w:r>
            <w:r w:rsidR="001079B9" w:rsidRPr="006A68D2">
              <w:rPr>
                <w:rFonts w:ascii="Arial" w:hAnsi="Arial" w:cs="Arial"/>
                <w:sz w:val="18"/>
                <w:szCs w:val="18"/>
                <w:lang w:val="es-ES_tradnl"/>
              </w:rPr>
              <w:t>.</w:t>
            </w:r>
          </w:p>
        </w:tc>
      </w:tr>
      <w:tr w:rsidR="003C5424" w:rsidRPr="00840CA7" w14:paraId="461023A9" w14:textId="77777777" w:rsidTr="00840CA7">
        <w:trPr>
          <w:jc w:val="center"/>
        </w:trPr>
        <w:tc>
          <w:tcPr>
            <w:tcW w:w="2247" w:type="dxa"/>
            <w:shd w:val="clear" w:color="auto" w:fill="auto"/>
            <w:vAlign w:val="center"/>
          </w:tcPr>
          <w:p w14:paraId="71B6079A" w14:textId="77777777" w:rsidR="003C5424" w:rsidRPr="006A68D2" w:rsidRDefault="003C5424" w:rsidP="00F86D7F">
            <w:pPr>
              <w:jc w:val="both"/>
              <w:rPr>
                <w:rFonts w:ascii="Arial" w:hAnsi="Arial" w:cs="Arial"/>
                <w:bCs/>
                <w:sz w:val="18"/>
                <w:szCs w:val="18"/>
                <w:lang w:val="es-ES_tradnl"/>
              </w:rPr>
            </w:pPr>
            <w:r w:rsidRPr="006A68D2">
              <w:rPr>
                <w:rFonts w:ascii="Arial" w:hAnsi="Arial" w:cs="Arial"/>
                <w:bCs/>
                <w:sz w:val="18"/>
                <w:szCs w:val="18"/>
                <w:lang w:val="es-ES_tradnl"/>
              </w:rPr>
              <w:t>2. Suministrar el acceso al servicio en condiciones de confiabilidad y calidad adecuadas</w:t>
            </w:r>
          </w:p>
        </w:tc>
        <w:tc>
          <w:tcPr>
            <w:tcW w:w="2377" w:type="dxa"/>
            <w:shd w:val="clear" w:color="auto" w:fill="auto"/>
            <w:vAlign w:val="center"/>
          </w:tcPr>
          <w:p w14:paraId="6F4E8273" w14:textId="77777777" w:rsidR="003C5424" w:rsidRPr="006A68D2" w:rsidRDefault="003C5424" w:rsidP="00F86D7F">
            <w:pPr>
              <w:jc w:val="both"/>
              <w:rPr>
                <w:rFonts w:ascii="Arial" w:hAnsi="Arial" w:cs="Arial"/>
                <w:sz w:val="18"/>
                <w:szCs w:val="18"/>
                <w:lang w:val="es-ES_tradnl"/>
              </w:rPr>
            </w:pPr>
            <w:r w:rsidRPr="006A68D2">
              <w:rPr>
                <w:rFonts w:ascii="Arial" w:hAnsi="Arial" w:cs="Arial"/>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w:t>
            </w:r>
            <w:r w:rsidR="00573FB0" w:rsidRPr="006A68D2">
              <w:rPr>
                <w:rFonts w:ascii="Arial" w:hAnsi="Arial" w:cs="Arial"/>
                <w:sz w:val="18"/>
                <w:szCs w:val="18"/>
                <w:lang w:val="es-ES_tradnl"/>
              </w:rPr>
              <w:t xml:space="preserve"> </w:t>
            </w:r>
            <w:r w:rsidRPr="006A68D2">
              <w:rPr>
                <w:rFonts w:ascii="Arial" w:hAnsi="Arial" w:cs="Arial"/>
                <w:sz w:val="18"/>
                <w:szCs w:val="18"/>
                <w:lang w:val="es-ES_tradnl"/>
              </w:rPr>
              <w:t>controlen y hagan cumplir por medio de un sistema de sanciones e incentivos.</w:t>
            </w:r>
          </w:p>
        </w:tc>
        <w:tc>
          <w:tcPr>
            <w:tcW w:w="4101" w:type="dxa"/>
            <w:shd w:val="clear" w:color="auto" w:fill="auto"/>
            <w:vAlign w:val="center"/>
          </w:tcPr>
          <w:p w14:paraId="31EF5802" w14:textId="77777777" w:rsidR="003C5424" w:rsidRPr="006A68D2" w:rsidRDefault="00576FC3" w:rsidP="00F86D7F">
            <w:pPr>
              <w:ind w:left="7"/>
              <w:jc w:val="both"/>
              <w:rPr>
                <w:rFonts w:ascii="Arial" w:hAnsi="Arial" w:cs="Arial"/>
                <w:sz w:val="18"/>
                <w:szCs w:val="18"/>
                <w:lang w:val="es-ES_tradnl"/>
              </w:rPr>
            </w:pPr>
            <w:r w:rsidRPr="006A68D2">
              <w:rPr>
                <w:rFonts w:ascii="Arial" w:hAnsi="Arial" w:cs="Arial"/>
                <w:sz w:val="18"/>
                <w:szCs w:val="18"/>
                <w:lang w:val="es-ES_tradnl"/>
              </w:rPr>
              <w:t xml:space="preserve">Los municipios son los </w:t>
            </w:r>
            <w:r w:rsidR="00603EE1" w:rsidRPr="006A68D2">
              <w:rPr>
                <w:rFonts w:ascii="Arial" w:hAnsi="Arial" w:cs="Arial"/>
                <w:sz w:val="18"/>
                <w:szCs w:val="18"/>
                <w:lang w:val="es-ES_tradnl"/>
              </w:rPr>
              <w:t>responsables</w:t>
            </w:r>
            <w:r w:rsidRPr="006A68D2">
              <w:rPr>
                <w:rFonts w:ascii="Arial" w:hAnsi="Arial" w:cs="Arial"/>
                <w:sz w:val="18"/>
                <w:szCs w:val="18"/>
                <w:lang w:val="es-ES_tradnl"/>
              </w:rPr>
              <w:t xml:space="preserve"> del servicio de acueducto y alcantarillado. Les corresponde asegurar que se preste a sus habitantes mediante empresas de carácter público, privado o mixto. Pueden prestarlo directamente cuando el interés general lo permita y lo aconseje.</w:t>
            </w:r>
            <w:r w:rsidR="00603EE1" w:rsidRPr="006A68D2">
              <w:rPr>
                <w:rFonts w:ascii="Arial" w:hAnsi="Arial" w:cs="Arial"/>
                <w:sz w:val="18"/>
                <w:szCs w:val="18"/>
                <w:lang w:val="es-ES_tradnl"/>
              </w:rPr>
              <w:t xml:space="preserve"> L</w:t>
            </w:r>
            <w:r w:rsidRPr="006A68D2">
              <w:rPr>
                <w:rFonts w:ascii="Arial" w:hAnsi="Arial" w:cs="Arial"/>
                <w:sz w:val="18"/>
                <w:szCs w:val="18"/>
                <w:lang w:val="es-ES_tradnl"/>
              </w:rPr>
              <w:t>as tarifas</w:t>
            </w:r>
            <w:r w:rsidR="00603EE1" w:rsidRPr="006A68D2">
              <w:rPr>
                <w:rFonts w:ascii="Arial" w:hAnsi="Arial" w:cs="Arial"/>
                <w:sz w:val="18"/>
                <w:szCs w:val="18"/>
                <w:lang w:val="es-ES_tradnl"/>
              </w:rPr>
              <w:t xml:space="preserve"> son fijadas</w:t>
            </w:r>
            <w:r w:rsidRPr="006A68D2">
              <w:rPr>
                <w:rFonts w:ascii="Arial" w:hAnsi="Arial" w:cs="Arial"/>
                <w:sz w:val="18"/>
                <w:szCs w:val="18"/>
                <w:lang w:val="es-ES_tradnl"/>
              </w:rPr>
              <w:t xml:space="preserve"> de acuerdo con las fórmulas y metodologías</w:t>
            </w:r>
            <w:r w:rsidR="00603EE1" w:rsidRPr="006A68D2">
              <w:rPr>
                <w:rFonts w:ascii="Arial" w:hAnsi="Arial" w:cs="Arial"/>
                <w:sz w:val="18"/>
                <w:szCs w:val="18"/>
                <w:lang w:val="es-ES_tradnl"/>
              </w:rPr>
              <w:t xml:space="preserve"> (marco tarifario)</w:t>
            </w:r>
            <w:r w:rsidRPr="006A68D2">
              <w:rPr>
                <w:rFonts w:ascii="Arial" w:hAnsi="Arial" w:cs="Arial"/>
                <w:sz w:val="18"/>
                <w:szCs w:val="18"/>
                <w:lang w:val="es-ES_tradnl"/>
              </w:rPr>
              <w:t xml:space="preserve"> definidas por la Comisión de Regulación de Agua Potable y Saneamiento Básico (CRA). La CRA tiene como propósito fundamental regular monopolios, promover la competencia, impulsar la sostenibilidad del sector Agua Potable y Saneamiento Básico, evitando abusos de posición dominante, garantizando la prestación de servicios de calidad, con tarifas razonables y amplia cobertura. Este propósito se logra mediante el desarrollo regulatorio que involucra la participación de los usuarios y prestadores y brindando asesoría regulatoria clara, completa y oportuna; con principios y valores compartidos, con personal de alta capacidad técnica, empoderado, que trabaja en procesos eficaces que aseguran la calidad del ejercicio regulatorio, soportados en sistemas de información eficientes y tecnología de punta.</w:t>
            </w:r>
            <w:r w:rsidR="00C37504" w:rsidRPr="006A68D2">
              <w:rPr>
                <w:rFonts w:ascii="Arial" w:hAnsi="Arial" w:cs="Arial"/>
                <w:sz w:val="18"/>
                <w:szCs w:val="18"/>
                <w:lang w:val="es-ES_tradnl"/>
              </w:rPr>
              <w:t xml:space="preserve"> La Superintendencia de Servicios Públicos Domiciliarios (SSPD), Superservicios, es un organismo de carácter técnico, creado por la Constitución de 1991, que por delegación del Presidente de la República de Colombia, ejerce inspección, vigilancia y control las entidades y empresas prestadoras de servicios públicos domiciliarios.</w:t>
            </w:r>
            <w:r w:rsidR="00573FB0" w:rsidRPr="006A68D2">
              <w:rPr>
                <w:rFonts w:ascii="Arial" w:hAnsi="Arial" w:cs="Arial"/>
                <w:sz w:val="18"/>
                <w:szCs w:val="18"/>
                <w:lang w:val="es-ES_tradnl"/>
              </w:rPr>
              <w:t xml:space="preserve"> </w:t>
            </w:r>
            <w:r w:rsidR="00C37504" w:rsidRPr="006A68D2">
              <w:rPr>
                <w:rFonts w:ascii="Arial" w:hAnsi="Arial" w:cs="Arial"/>
                <w:sz w:val="18"/>
                <w:szCs w:val="18"/>
                <w:lang w:val="es-ES_tradnl"/>
              </w:rPr>
              <w:t>La Superintendencia vigila, inspecciona y controla la prestación a los servicios públicos domiciliarios atendiendo las necesidades</w:t>
            </w:r>
            <w:r w:rsidR="00573FB0" w:rsidRPr="006A68D2">
              <w:rPr>
                <w:rFonts w:ascii="Arial" w:hAnsi="Arial" w:cs="Arial"/>
                <w:sz w:val="18"/>
                <w:szCs w:val="18"/>
                <w:lang w:val="es-ES_tradnl"/>
              </w:rPr>
              <w:t xml:space="preserve"> </w:t>
            </w:r>
            <w:r w:rsidR="00C37504" w:rsidRPr="006A68D2">
              <w:rPr>
                <w:rFonts w:ascii="Arial" w:hAnsi="Arial" w:cs="Arial"/>
                <w:sz w:val="18"/>
                <w:szCs w:val="18"/>
                <w:lang w:val="es-ES_tradnl"/>
              </w:rPr>
              <w:t>y expectativas de sus clientes y grupos de interés, soportando su gestión en la eficiencia, eficacia y efectividad del desempeño de su sistema de calidad, mediante</w:t>
            </w:r>
            <w:r w:rsidR="00573FB0" w:rsidRPr="006A68D2">
              <w:rPr>
                <w:rFonts w:ascii="Arial" w:hAnsi="Arial" w:cs="Arial"/>
                <w:sz w:val="18"/>
                <w:szCs w:val="18"/>
                <w:lang w:val="es-ES_tradnl"/>
              </w:rPr>
              <w:t xml:space="preserve"> </w:t>
            </w:r>
            <w:r w:rsidR="00C37504" w:rsidRPr="006A68D2">
              <w:rPr>
                <w:rFonts w:ascii="Arial" w:hAnsi="Arial" w:cs="Arial"/>
                <w:sz w:val="18"/>
                <w:szCs w:val="18"/>
                <w:lang w:val="es-ES_tradnl"/>
              </w:rPr>
              <w:t>el mejoramiento continuo de sus procesos, con la participación activa de un equipo humano capaz, dinámico e innovador</w:t>
            </w:r>
            <w:r w:rsidR="00B561A8" w:rsidRPr="006A68D2">
              <w:rPr>
                <w:rFonts w:ascii="Arial" w:hAnsi="Arial" w:cs="Arial"/>
                <w:sz w:val="18"/>
                <w:szCs w:val="18"/>
                <w:lang w:val="es-ES_tradnl"/>
              </w:rPr>
              <w:t>.</w:t>
            </w:r>
          </w:p>
        </w:tc>
      </w:tr>
      <w:tr w:rsidR="006941F1" w:rsidRPr="00840CA7" w14:paraId="4525AF0A" w14:textId="77777777" w:rsidTr="00840CA7">
        <w:trPr>
          <w:jc w:val="center"/>
        </w:trPr>
        <w:tc>
          <w:tcPr>
            <w:tcW w:w="2247" w:type="dxa"/>
            <w:shd w:val="clear" w:color="auto" w:fill="auto"/>
            <w:vAlign w:val="center"/>
          </w:tcPr>
          <w:p w14:paraId="7434E98D" w14:textId="77777777" w:rsidR="006941F1" w:rsidRPr="006A68D2" w:rsidRDefault="006941F1" w:rsidP="00F86D7F">
            <w:pPr>
              <w:rPr>
                <w:rFonts w:ascii="Arial" w:hAnsi="Arial" w:cs="Arial"/>
                <w:bCs/>
                <w:sz w:val="18"/>
                <w:szCs w:val="18"/>
                <w:lang w:val="es-ES_tradnl"/>
              </w:rPr>
            </w:pPr>
            <w:r w:rsidRPr="006A68D2">
              <w:rPr>
                <w:rFonts w:ascii="Arial" w:hAnsi="Arial" w:cs="Arial"/>
                <w:bCs/>
                <w:sz w:val="18"/>
                <w:szCs w:val="18"/>
                <w:lang w:val="es-ES_tradnl"/>
              </w:rPr>
              <w:t>3. Suministrar un servicio en condiciones de eficiencia</w:t>
            </w:r>
          </w:p>
        </w:tc>
        <w:tc>
          <w:tcPr>
            <w:tcW w:w="2377" w:type="dxa"/>
            <w:shd w:val="clear" w:color="auto" w:fill="auto"/>
            <w:vAlign w:val="center"/>
          </w:tcPr>
          <w:p w14:paraId="2CF0BA4A" w14:textId="77777777" w:rsidR="006941F1" w:rsidRPr="006A68D2" w:rsidRDefault="006941F1" w:rsidP="00F86D7F">
            <w:pPr>
              <w:rPr>
                <w:rFonts w:ascii="Arial" w:hAnsi="Arial" w:cs="Arial"/>
                <w:sz w:val="18"/>
                <w:szCs w:val="18"/>
                <w:lang w:val="es-ES_tradnl"/>
              </w:rPr>
            </w:pPr>
            <w:r w:rsidRPr="006A68D2">
              <w:rPr>
                <w:rFonts w:ascii="Arial" w:hAnsi="Arial" w:cs="Arial"/>
                <w:sz w:val="18"/>
                <w:szCs w:val="18"/>
                <w:lang w:val="es-ES_tradnl"/>
              </w:rPr>
              <w:t>Debe asegurarse que, desde el punto de vista de la oferta, los servicios se proveen con los menores costos posibles.</w:t>
            </w:r>
          </w:p>
        </w:tc>
        <w:tc>
          <w:tcPr>
            <w:tcW w:w="4101" w:type="dxa"/>
            <w:shd w:val="clear" w:color="auto" w:fill="auto"/>
            <w:vAlign w:val="center"/>
          </w:tcPr>
          <w:p w14:paraId="2A276A4C" w14:textId="31CC098F" w:rsidR="00C90813" w:rsidRPr="006A68D2" w:rsidRDefault="006941F1" w:rsidP="00F86D7F">
            <w:pPr>
              <w:pStyle w:val="ListBullet"/>
              <w:numPr>
                <w:ilvl w:val="0"/>
                <w:numId w:val="0"/>
              </w:numPr>
              <w:spacing w:after="0"/>
              <w:ind w:left="7"/>
              <w:rPr>
                <w:rFonts w:ascii="Arial" w:hAnsi="Arial" w:cs="Arial"/>
                <w:sz w:val="18"/>
                <w:szCs w:val="18"/>
                <w:lang w:val="es-ES_tradnl" w:eastAsia="en-US"/>
              </w:rPr>
            </w:pPr>
            <w:r w:rsidRPr="006A68D2">
              <w:rPr>
                <w:rFonts w:ascii="Arial" w:hAnsi="Arial" w:cs="Arial"/>
                <w:sz w:val="18"/>
                <w:szCs w:val="18"/>
                <w:lang w:val="es-ES_tradnl" w:eastAsia="en-US"/>
              </w:rPr>
              <w:t>Durante el di</w:t>
            </w:r>
            <w:r w:rsidR="00336474" w:rsidRPr="006A68D2">
              <w:rPr>
                <w:rFonts w:ascii="Arial" w:hAnsi="Arial" w:cs="Arial"/>
                <w:sz w:val="18"/>
                <w:szCs w:val="18"/>
                <w:lang w:val="es-ES_tradnl" w:eastAsia="en-US"/>
              </w:rPr>
              <w:t xml:space="preserve">seño de todos los proyectos, se </w:t>
            </w:r>
            <w:r w:rsidRPr="006A68D2">
              <w:rPr>
                <w:rFonts w:ascii="Arial" w:hAnsi="Arial" w:cs="Arial"/>
                <w:sz w:val="18"/>
                <w:szCs w:val="18"/>
                <w:lang w:val="es-ES_tradnl" w:eastAsia="en-US"/>
              </w:rPr>
              <w:t>verifica</w:t>
            </w:r>
            <w:r w:rsidR="00336474" w:rsidRPr="006A68D2">
              <w:rPr>
                <w:rFonts w:ascii="Arial" w:hAnsi="Arial" w:cs="Arial"/>
                <w:sz w:val="18"/>
                <w:szCs w:val="18"/>
                <w:lang w:val="es-ES_tradnl" w:eastAsia="en-US"/>
              </w:rPr>
              <w:t>rá</w:t>
            </w:r>
            <w:r w:rsidRPr="006A68D2">
              <w:rPr>
                <w:rFonts w:ascii="Arial" w:hAnsi="Arial" w:cs="Arial"/>
                <w:sz w:val="18"/>
                <w:szCs w:val="18"/>
                <w:lang w:val="es-ES_tradnl" w:eastAsia="en-US"/>
              </w:rPr>
              <w:t xml:space="preserve"> que se reali</w:t>
            </w:r>
            <w:r w:rsidR="00336474" w:rsidRPr="006A68D2">
              <w:rPr>
                <w:rFonts w:ascii="Arial" w:hAnsi="Arial" w:cs="Arial"/>
                <w:sz w:val="18"/>
                <w:szCs w:val="18"/>
                <w:lang w:val="es-ES_tradnl" w:eastAsia="en-US"/>
              </w:rPr>
              <w:t>ce</w:t>
            </w:r>
            <w:r w:rsidRPr="006A68D2">
              <w:rPr>
                <w:rFonts w:ascii="Arial" w:hAnsi="Arial" w:cs="Arial"/>
                <w:sz w:val="18"/>
                <w:szCs w:val="18"/>
                <w:lang w:val="es-ES_tradnl" w:eastAsia="en-US"/>
              </w:rPr>
              <w:t xml:space="preserve"> un análisis de alternativas que permit</w:t>
            </w:r>
            <w:r w:rsidR="00336474" w:rsidRPr="006A68D2">
              <w:rPr>
                <w:rFonts w:ascii="Arial" w:hAnsi="Arial" w:cs="Arial"/>
                <w:sz w:val="18"/>
                <w:szCs w:val="18"/>
                <w:lang w:val="es-ES_tradnl" w:eastAsia="en-US"/>
              </w:rPr>
              <w:t>a</w:t>
            </w:r>
            <w:r w:rsidRPr="006A68D2">
              <w:rPr>
                <w:rFonts w:ascii="Arial" w:hAnsi="Arial" w:cs="Arial"/>
                <w:sz w:val="18"/>
                <w:szCs w:val="18"/>
                <w:lang w:val="es-ES_tradnl" w:eastAsia="en-US"/>
              </w:rPr>
              <w:t xml:space="preserve"> identificar la de mínimo costo, lo que asegura la provisión de los servicios mediante la nueva infraestructura bajo esta condición. Los proyectos </w:t>
            </w:r>
            <w:r w:rsidR="00336474" w:rsidRPr="006A68D2">
              <w:rPr>
                <w:rFonts w:ascii="Arial" w:hAnsi="Arial" w:cs="Arial"/>
                <w:sz w:val="18"/>
                <w:szCs w:val="18"/>
                <w:lang w:val="es-ES_tradnl" w:eastAsia="en-US"/>
              </w:rPr>
              <w:t xml:space="preserve">se </w:t>
            </w:r>
            <w:r w:rsidRPr="006A68D2">
              <w:rPr>
                <w:rFonts w:ascii="Arial" w:hAnsi="Arial" w:cs="Arial"/>
                <w:sz w:val="18"/>
                <w:szCs w:val="18"/>
                <w:lang w:val="es-ES_tradnl" w:eastAsia="en-US"/>
              </w:rPr>
              <w:t>desarrolla</w:t>
            </w:r>
            <w:r w:rsidR="00336474" w:rsidRPr="006A68D2">
              <w:rPr>
                <w:rFonts w:ascii="Arial" w:hAnsi="Arial" w:cs="Arial"/>
                <w:sz w:val="18"/>
                <w:szCs w:val="18"/>
                <w:lang w:val="es-ES_tradnl" w:eastAsia="en-US"/>
              </w:rPr>
              <w:t>rán</w:t>
            </w:r>
            <w:r w:rsidRPr="006A68D2">
              <w:rPr>
                <w:rFonts w:ascii="Arial" w:hAnsi="Arial" w:cs="Arial"/>
                <w:sz w:val="18"/>
                <w:szCs w:val="18"/>
                <w:lang w:val="es-ES_tradnl" w:eastAsia="en-US"/>
              </w:rPr>
              <w:t xml:space="preserve"> de acuerdo con las normas y principios de la ingeniería generalmente aceptados</w:t>
            </w:r>
            <w:r w:rsidR="008B23E0" w:rsidRPr="006A68D2">
              <w:rPr>
                <w:rFonts w:ascii="Arial" w:hAnsi="Arial" w:cs="Arial"/>
                <w:sz w:val="18"/>
                <w:szCs w:val="18"/>
                <w:lang w:val="es-ES_tradnl" w:eastAsia="en-US"/>
              </w:rPr>
              <w:t>.</w:t>
            </w:r>
            <w:r w:rsidR="004F73BF" w:rsidRPr="006A68D2">
              <w:rPr>
                <w:rFonts w:ascii="Arial" w:hAnsi="Arial" w:cs="Arial"/>
                <w:sz w:val="18"/>
                <w:szCs w:val="18"/>
                <w:lang w:val="es-ES_tradnl" w:eastAsia="en-US"/>
              </w:rPr>
              <w:t xml:space="preserve"> El ente regulador y el ente supervisor </w:t>
            </w:r>
            <w:r w:rsidR="00336474" w:rsidRPr="006A68D2">
              <w:rPr>
                <w:rFonts w:ascii="Arial" w:hAnsi="Arial" w:cs="Arial"/>
                <w:sz w:val="18"/>
                <w:szCs w:val="18"/>
                <w:lang w:val="es-ES_tradnl" w:eastAsia="en-US"/>
              </w:rPr>
              <w:t>garantizarán</w:t>
            </w:r>
            <w:r w:rsidR="004F73BF" w:rsidRPr="006A68D2">
              <w:rPr>
                <w:rFonts w:ascii="Arial" w:hAnsi="Arial" w:cs="Arial"/>
                <w:sz w:val="18"/>
                <w:szCs w:val="18"/>
                <w:lang w:val="es-ES_tradnl" w:eastAsia="en-US"/>
              </w:rPr>
              <w:t xml:space="preserve"> que la operación y mantenimiento se haga en términos eficientes para asegurar que los usuarios pagan costos mínimos para servicios adecuados, es decir, con continuidad, presión, calidad y cantidad adecuada.</w:t>
            </w:r>
          </w:p>
        </w:tc>
      </w:tr>
      <w:tr w:rsidR="006941F1" w:rsidRPr="00840CA7" w14:paraId="7D9569F5" w14:textId="77777777" w:rsidTr="00840CA7">
        <w:trPr>
          <w:jc w:val="center"/>
        </w:trPr>
        <w:tc>
          <w:tcPr>
            <w:tcW w:w="2247" w:type="dxa"/>
            <w:shd w:val="clear" w:color="auto" w:fill="auto"/>
            <w:vAlign w:val="center"/>
          </w:tcPr>
          <w:p w14:paraId="51B8ECC5" w14:textId="77777777" w:rsidR="006941F1" w:rsidRPr="006A68D2" w:rsidRDefault="006941F1" w:rsidP="00F86D7F">
            <w:pPr>
              <w:rPr>
                <w:rFonts w:ascii="Arial" w:hAnsi="Arial" w:cs="Arial"/>
                <w:bCs/>
                <w:sz w:val="18"/>
                <w:szCs w:val="18"/>
                <w:lang w:val="es-ES_tradnl"/>
              </w:rPr>
            </w:pPr>
            <w:r w:rsidRPr="006A68D2">
              <w:rPr>
                <w:rFonts w:ascii="Arial" w:hAnsi="Arial" w:cs="Arial"/>
                <w:bCs/>
                <w:sz w:val="18"/>
                <w:szCs w:val="18"/>
                <w:lang w:val="es-ES_tradnl"/>
              </w:rPr>
              <w:t>4. Generar incentivos adecuados a la demanda de servicios.</w:t>
            </w:r>
          </w:p>
        </w:tc>
        <w:tc>
          <w:tcPr>
            <w:tcW w:w="2377" w:type="dxa"/>
            <w:shd w:val="clear" w:color="auto" w:fill="auto"/>
            <w:vAlign w:val="center"/>
          </w:tcPr>
          <w:p w14:paraId="3E602F1D" w14:textId="77777777" w:rsidR="006941F1" w:rsidRPr="006A68D2" w:rsidRDefault="006941F1" w:rsidP="00F86D7F">
            <w:pPr>
              <w:rPr>
                <w:rFonts w:ascii="Arial" w:hAnsi="Arial" w:cs="Arial"/>
                <w:sz w:val="18"/>
                <w:szCs w:val="18"/>
                <w:lang w:val="es-ES_tradnl"/>
              </w:rPr>
            </w:pPr>
            <w:r w:rsidRPr="006A68D2">
              <w:rPr>
                <w:rFonts w:ascii="Arial" w:hAnsi="Arial" w:cs="Arial"/>
                <w:sz w:val="18"/>
                <w:szCs w:val="18"/>
                <w:lang w:val="es-ES_tradnl"/>
              </w:rPr>
              <w:t>Debe velarse porque existan los incentivos adecuados para que los usuarios hagan un uso de estos servicios compatible con su sostenibilidad económica, financiera y ambiental</w:t>
            </w:r>
          </w:p>
        </w:tc>
        <w:tc>
          <w:tcPr>
            <w:tcW w:w="4101" w:type="dxa"/>
            <w:tcBorders>
              <w:bottom w:val="single" w:sz="4" w:space="0" w:color="auto"/>
            </w:tcBorders>
            <w:shd w:val="clear" w:color="auto" w:fill="auto"/>
            <w:vAlign w:val="center"/>
          </w:tcPr>
          <w:p w14:paraId="0AFC3472" w14:textId="3E3FBE4E" w:rsidR="00553911" w:rsidRPr="006A68D2" w:rsidRDefault="006E5009" w:rsidP="00F86D7F">
            <w:pPr>
              <w:spacing w:before="120"/>
              <w:jc w:val="both"/>
              <w:rPr>
                <w:rFonts w:ascii="Arial" w:hAnsi="Arial" w:cs="Arial"/>
                <w:sz w:val="18"/>
                <w:szCs w:val="18"/>
                <w:lang w:val="es-ES_tradnl"/>
              </w:rPr>
            </w:pPr>
            <w:r w:rsidRPr="006A68D2">
              <w:rPr>
                <w:rFonts w:ascii="Arial" w:hAnsi="Arial" w:cs="Arial"/>
                <w:sz w:val="18"/>
                <w:szCs w:val="18"/>
                <w:lang w:val="es-ES_tradnl"/>
              </w:rPr>
              <w:t>La provisión de servicios de agua y saneamiento tendrá un impacto neto positivo, relacionado con</w:t>
            </w:r>
            <w:r w:rsidR="00336474" w:rsidRPr="006A68D2">
              <w:rPr>
                <w:rFonts w:ascii="Arial" w:hAnsi="Arial" w:cs="Arial"/>
                <w:sz w:val="18"/>
                <w:szCs w:val="18"/>
                <w:lang w:val="es-ES_tradnl"/>
              </w:rPr>
              <w:t xml:space="preserve"> el aumento de la cobertura, </w:t>
            </w:r>
            <w:r w:rsidRPr="006A68D2">
              <w:rPr>
                <w:rFonts w:ascii="Arial" w:hAnsi="Arial" w:cs="Arial"/>
                <w:sz w:val="18"/>
                <w:szCs w:val="18"/>
                <w:lang w:val="es-ES_tradnl"/>
              </w:rPr>
              <w:t xml:space="preserve">la disminución de enfermedades de origen hídrico y a la disminución de la contaminación de acuíferos por descarga de residuos cloacales. </w:t>
            </w:r>
          </w:p>
          <w:p w14:paraId="0874A2C7" w14:textId="77777777" w:rsidR="006941F1" w:rsidRPr="006A68D2" w:rsidRDefault="007B4D28" w:rsidP="00F86D7F">
            <w:pPr>
              <w:spacing w:before="120"/>
              <w:jc w:val="both"/>
              <w:rPr>
                <w:rFonts w:ascii="Arial" w:hAnsi="Arial" w:cs="Arial"/>
                <w:color w:val="FF0000"/>
                <w:sz w:val="18"/>
                <w:szCs w:val="18"/>
                <w:highlight w:val="yellow"/>
                <w:lang w:val="es-ES_tradnl"/>
              </w:rPr>
            </w:pPr>
            <w:r w:rsidRPr="006A68D2">
              <w:rPr>
                <w:rFonts w:ascii="Arial" w:hAnsi="Arial" w:cs="Arial"/>
                <w:sz w:val="18"/>
                <w:szCs w:val="18"/>
                <w:lang w:val="es-ES_tradnl"/>
              </w:rPr>
              <w:t>En relación a</w:t>
            </w:r>
            <w:r w:rsidR="00573FB0" w:rsidRPr="006A68D2">
              <w:rPr>
                <w:rFonts w:ascii="Arial" w:hAnsi="Arial" w:cs="Arial"/>
                <w:sz w:val="18"/>
                <w:szCs w:val="18"/>
                <w:lang w:val="es-ES_tradnl"/>
              </w:rPr>
              <w:t xml:space="preserve"> </w:t>
            </w:r>
            <w:r w:rsidRPr="006A68D2">
              <w:rPr>
                <w:rFonts w:ascii="Arial" w:hAnsi="Arial" w:cs="Arial"/>
                <w:sz w:val="18"/>
                <w:szCs w:val="18"/>
                <w:lang w:val="es-ES_tradnl"/>
              </w:rPr>
              <w:t>la sostenibilidad financiera, las tarifas de los operadores de los servicios de agua y saneamiento básico se calculan según resoluciones de la CRA establecidas en el marco regulatorio, y son vigil</w:t>
            </w:r>
            <w:r w:rsidR="00DC36F5" w:rsidRPr="006A68D2">
              <w:rPr>
                <w:rFonts w:ascii="Arial" w:hAnsi="Arial" w:cs="Arial"/>
                <w:sz w:val="18"/>
                <w:szCs w:val="18"/>
                <w:lang w:val="es-ES_tradnl"/>
              </w:rPr>
              <w:t>adas y monitoreadas por la SSPD, asegurando las tarifas mínimas para un servicio adecuado e incentivando el consumo. Adicionalmente los usuarios de bajos ingresos reciben un subsidio a un consumo básico de tal forma que todos tengan acceso al mínimo requerido para una buena salud y una buena higiene.</w:t>
            </w:r>
            <w:r w:rsidR="00BD5E0E" w:rsidRPr="006A68D2">
              <w:rPr>
                <w:rFonts w:ascii="Arial" w:hAnsi="Arial" w:cs="Arial"/>
                <w:sz w:val="18"/>
                <w:szCs w:val="18"/>
                <w:lang w:val="es-ES_tradnl"/>
              </w:rPr>
              <w:t xml:space="preserve"> Respecto a la sostenibilidad económica, a través de programas de gestión de la demanda se busca</w:t>
            </w:r>
            <w:r w:rsidR="00336474" w:rsidRPr="006A68D2">
              <w:rPr>
                <w:rFonts w:ascii="Arial" w:hAnsi="Arial" w:cs="Arial"/>
                <w:sz w:val="18"/>
                <w:szCs w:val="18"/>
                <w:lang w:val="es-ES_tradnl"/>
              </w:rPr>
              <w:t>rá</w:t>
            </w:r>
            <w:r w:rsidR="00BD5E0E" w:rsidRPr="006A68D2">
              <w:rPr>
                <w:rFonts w:ascii="Arial" w:hAnsi="Arial" w:cs="Arial"/>
                <w:sz w:val="18"/>
                <w:szCs w:val="18"/>
                <w:lang w:val="es-ES_tradnl"/>
              </w:rPr>
              <w:t xml:space="preserve"> promover el uso adecuado de la infraestructura de acueducto y alcantarillado a través de campañas de sensibilización, micro medición, normalización de usuarios, conexiones domiciliarias e intra domiciliarias.</w:t>
            </w:r>
            <w:r w:rsidR="00BD5E0E" w:rsidRPr="006A68D2">
              <w:rPr>
                <w:rFonts w:ascii="Arial" w:hAnsi="Arial" w:cs="Arial"/>
                <w:color w:val="FF0000"/>
                <w:sz w:val="18"/>
                <w:szCs w:val="18"/>
                <w:lang w:val="es-ES_tradnl"/>
              </w:rPr>
              <w:t xml:space="preserve"> </w:t>
            </w:r>
          </w:p>
        </w:tc>
      </w:tr>
      <w:tr w:rsidR="006941F1" w:rsidRPr="00840CA7" w14:paraId="3D24BE46" w14:textId="77777777" w:rsidTr="00840CA7">
        <w:trPr>
          <w:jc w:val="center"/>
        </w:trPr>
        <w:tc>
          <w:tcPr>
            <w:tcW w:w="2247" w:type="dxa"/>
            <w:shd w:val="clear" w:color="auto" w:fill="auto"/>
            <w:vAlign w:val="center"/>
          </w:tcPr>
          <w:p w14:paraId="680EC8A6" w14:textId="77777777" w:rsidR="006941F1" w:rsidRPr="006A68D2" w:rsidRDefault="006941F1" w:rsidP="00F86D7F">
            <w:pPr>
              <w:rPr>
                <w:rFonts w:ascii="Arial" w:hAnsi="Arial" w:cs="Arial"/>
                <w:bCs/>
                <w:sz w:val="18"/>
                <w:szCs w:val="18"/>
                <w:lang w:val="es-ES_tradnl"/>
              </w:rPr>
            </w:pPr>
            <w:r w:rsidRPr="006A68D2">
              <w:rPr>
                <w:rFonts w:ascii="Arial" w:hAnsi="Arial" w:cs="Arial"/>
                <w:bCs/>
                <w:sz w:val="18"/>
                <w:szCs w:val="18"/>
                <w:lang w:val="es-ES_tradnl"/>
              </w:rPr>
              <w:t>5. Promover la sostenibilidad de los servicios públicos domiciliarios</w:t>
            </w:r>
          </w:p>
        </w:tc>
        <w:tc>
          <w:tcPr>
            <w:tcW w:w="2377" w:type="dxa"/>
            <w:shd w:val="clear" w:color="auto" w:fill="auto"/>
            <w:vAlign w:val="center"/>
          </w:tcPr>
          <w:p w14:paraId="1A3470D5" w14:textId="77777777" w:rsidR="006941F1" w:rsidRPr="006A68D2" w:rsidRDefault="006941F1" w:rsidP="00F86D7F">
            <w:pPr>
              <w:rPr>
                <w:rFonts w:ascii="Arial" w:hAnsi="Arial" w:cs="Arial"/>
                <w:sz w:val="18"/>
                <w:szCs w:val="18"/>
                <w:lang w:val="es-ES_tradnl"/>
              </w:rPr>
            </w:pPr>
            <w:r w:rsidRPr="006A68D2">
              <w:rPr>
                <w:rFonts w:ascii="Arial" w:hAnsi="Arial" w:cs="Arial"/>
                <w:sz w:val="18"/>
                <w:szCs w:val="18"/>
                <w:lang w:val="es-ES_tradnl"/>
              </w:rPr>
              <w:t>El alcance de la sostenibilidad de los servicios públicos domiciliarios se promoverá en función de tres pilares:</w:t>
            </w:r>
          </w:p>
          <w:p w14:paraId="68D95DC3" w14:textId="77777777" w:rsidR="006941F1" w:rsidRPr="006A68D2" w:rsidRDefault="006941F1" w:rsidP="00F86D7F">
            <w:pPr>
              <w:rPr>
                <w:rFonts w:ascii="Arial" w:hAnsi="Arial" w:cs="Arial"/>
                <w:sz w:val="18"/>
                <w:szCs w:val="18"/>
                <w:lang w:val="es-ES_tradnl"/>
              </w:rPr>
            </w:pPr>
          </w:p>
          <w:p w14:paraId="75EEFF7E" w14:textId="77777777" w:rsidR="006941F1" w:rsidRPr="006A68D2" w:rsidRDefault="006941F1" w:rsidP="00F86D7F">
            <w:pPr>
              <w:rPr>
                <w:rFonts w:ascii="Arial" w:hAnsi="Arial" w:cs="Arial"/>
                <w:sz w:val="18"/>
                <w:szCs w:val="18"/>
                <w:lang w:val="es-ES_tradnl"/>
              </w:rPr>
            </w:pPr>
            <w:r w:rsidRPr="006A68D2">
              <w:rPr>
                <w:rFonts w:ascii="Arial" w:hAnsi="Arial" w:cs="Arial"/>
                <w:sz w:val="18"/>
                <w:szCs w:val="18"/>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14:paraId="6CCC7610" w14:textId="77777777" w:rsidR="006941F1" w:rsidRPr="006A68D2" w:rsidRDefault="006941F1" w:rsidP="00F86D7F">
            <w:pPr>
              <w:rPr>
                <w:rFonts w:ascii="Arial" w:hAnsi="Arial" w:cs="Arial"/>
                <w:sz w:val="18"/>
                <w:szCs w:val="18"/>
                <w:lang w:val="es-ES_tradnl"/>
              </w:rPr>
            </w:pPr>
          </w:p>
          <w:p w14:paraId="7ADA363A" w14:textId="77777777" w:rsidR="006941F1" w:rsidRPr="006A68D2" w:rsidRDefault="006941F1" w:rsidP="00F86D7F">
            <w:pPr>
              <w:rPr>
                <w:rFonts w:ascii="Arial" w:hAnsi="Arial" w:cs="Arial"/>
                <w:sz w:val="18"/>
                <w:szCs w:val="18"/>
                <w:lang w:val="es-ES_tradnl"/>
              </w:rPr>
            </w:pPr>
            <w:r w:rsidRPr="006A68D2">
              <w:rPr>
                <w:rFonts w:ascii="Arial" w:hAnsi="Arial" w:cs="Arial"/>
                <w:sz w:val="18"/>
                <w:szCs w:val="18"/>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205F3700" w14:textId="77777777" w:rsidR="006941F1" w:rsidRPr="006A68D2" w:rsidRDefault="006941F1" w:rsidP="00F86D7F">
            <w:pPr>
              <w:rPr>
                <w:rFonts w:ascii="Arial" w:hAnsi="Arial" w:cs="Arial"/>
                <w:sz w:val="18"/>
                <w:szCs w:val="18"/>
                <w:lang w:val="es-ES_tradnl"/>
              </w:rPr>
            </w:pPr>
          </w:p>
          <w:p w14:paraId="7FCDAC13" w14:textId="77777777" w:rsidR="006941F1" w:rsidRPr="006A68D2" w:rsidRDefault="006941F1" w:rsidP="00F86D7F">
            <w:pPr>
              <w:rPr>
                <w:rFonts w:ascii="Arial" w:hAnsi="Arial" w:cs="Arial"/>
                <w:sz w:val="18"/>
                <w:szCs w:val="18"/>
                <w:lang w:val="es-ES_tradnl"/>
              </w:rPr>
            </w:pPr>
            <w:r w:rsidRPr="006A68D2">
              <w:rPr>
                <w:rFonts w:ascii="Arial" w:hAnsi="Arial" w:cs="Arial"/>
                <w:sz w:val="18"/>
                <w:szCs w:val="18"/>
                <w:lang w:val="es-ES_tradnl"/>
              </w:rPr>
              <w:t>c. Sostenibilidad social: contribuyendo a incrementar el acceso al servicio y previendo mecanismos de consulta con la comunidad sobre los aspectos relevantes de la provisión del servicio.</w:t>
            </w:r>
          </w:p>
        </w:tc>
        <w:tc>
          <w:tcPr>
            <w:tcW w:w="4101" w:type="dxa"/>
            <w:tcBorders>
              <w:bottom w:val="single" w:sz="4" w:space="0" w:color="auto"/>
            </w:tcBorders>
            <w:shd w:val="clear" w:color="auto" w:fill="auto"/>
            <w:vAlign w:val="center"/>
          </w:tcPr>
          <w:p w14:paraId="104F5422" w14:textId="77777777" w:rsidR="006941F1" w:rsidRPr="006A68D2" w:rsidRDefault="006941F1" w:rsidP="00F86D7F">
            <w:pPr>
              <w:pStyle w:val="Paragraph"/>
              <w:numPr>
                <w:ilvl w:val="0"/>
                <w:numId w:val="0"/>
              </w:numPr>
              <w:spacing w:before="0" w:after="0"/>
              <w:ind w:left="7"/>
              <w:rPr>
                <w:rFonts w:ascii="Arial" w:hAnsi="Arial" w:cs="Arial"/>
                <w:sz w:val="18"/>
                <w:szCs w:val="18"/>
                <w:lang w:val="es-ES_tradnl"/>
              </w:rPr>
            </w:pPr>
            <w:r w:rsidRPr="006A68D2">
              <w:rPr>
                <w:rFonts w:ascii="Arial" w:hAnsi="Arial" w:cs="Arial"/>
                <w:i/>
                <w:sz w:val="18"/>
                <w:szCs w:val="18"/>
                <w:lang w:val="es-ES_tradnl"/>
              </w:rPr>
              <w:t>Sostenibilidad Financiera:</w:t>
            </w:r>
            <w:r w:rsidRPr="006A68D2">
              <w:rPr>
                <w:rFonts w:ascii="Arial" w:hAnsi="Arial" w:cs="Arial"/>
                <w:sz w:val="18"/>
                <w:szCs w:val="18"/>
                <w:lang w:val="es-ES_tradnl"/>
              </w:rPr>
              <w:t xml:space="preserve"> </w:t>
            </w:r>
            <w:r w:rsidR="007552DB" w:rsidRPr="006A68D2">
              <w:rPr>
                <w:rFonts w:ascii="Arial" w:hAnsi="Arial" w:cs="Arial"/>
                <w:sz w:val="18"/>
                <w:szCs w:val="18"/>
                <w:lang w:val="es-ES_tradnl"/>
              </w:rPr>
              <w:t>los operadores de los servicios de agua potable y saneamiento básico cubren con ingresos operativos sus costos de Operación y Mantenimiento mediante las tarifas reguladas por la Comisión de Regulación de Agua Potable y Saneamiento Básico. Según la ley, los municipios transfieren recursos de sus presupuestos para cubrir los subsidios a usuarios de zonas residenciales</w:t>
            </w:r>
            <w:r w:rsidRPr="006A68D2">
              <w:rPr>
                <w:rFonts w:ascii="Arial" w:hAnsi="Arial" w:cs="Arial"/>
                <w:sz w:val="18"/>
                <w:szCs w:val="18"/>
                <w:lang w:val="es-ES_tradnl"/>
              </w:rPr>
              <w:t>.</w:t>
            </w:r>
          </w:p>
          <w:p w14:paraId="4E5B6050" w14:textId="77777777" w:rsidR="00E06D16" w:rsidRPr="006A68D2" w:rsidRDefault="006941F1" w:rsidP="00F86D7F">
            <w:pPr>
              <w:pStyle w:val="Paragraph"/>
              <w:numPr>
                <w:ilvl w:val="0"/>
                <w:numId w:val="0"/>
              </w:numPr>
              <w:spacing w:after="0"/>
              <w:rPr>
                <w:rFonts w:ascii="Arial" w:hAnsi="Arial" w:cs="Arial"/>
                <w:i/>
                <w:sz w:val="18"/>
                <w:szCs w:val="18"/>
                <w:lang w:val="es-ES_tradnl"/>
              </w:rPr>
            </w:pPr>
            <w:r w:rsidRPr="006A68D2">
              <w:rPr>
                <w:rFonts w:ascii="Arial" w:hAnsi="Arial" w:cs="Arial"/>
                <w:i/>
                <w:sz w:val="18"/>
                <w:szCs w:val="18"/>
                <w:lang w:val="es-ES_tradnl"/>
              </w:rPr>
              <w:t>Sostenibilidad</w:t>
            </w:r>
            <w:r w:rsidR="00336474" w:rsidRPr="006A68D2">
              <w:rPr>
                <w:rFonts w:ascii="Arial" w:hAnsi="Arial" w:cs="Arial"/>
                <w:i/>
                <w:sz w:val="18"/>
                <w:szCs w:val="18"/>
                <w:lang w:val="es-ES_tradnl"/>
              </w:rPr>
              <w:t xml:space="preserve"> social y</w:t>
            </w:r>
            <w:r w:rsidRPr="006A68D2">
              <w:rPr>
                <w:rFonts w:ascii="Arial" w:hAnsi="Arial" w:cs="Arial"/>
                <w:i/>
                <w:sz w:val="18"/>
                <w:szCs w:val="18"/>
                <w:lang w:val="es-ES_tradnl"/>
              </w:rPr>
              <w:t xml:space="preserve"> ambiental: </w:t>
            </w:r>
            <w:r w:rsidR="00E06D16" w:rsidRPr="006A68D2">
              <w:rPr>
                <w:rFonts w:ascii="Arial" w:hAnsi="Arial" w:cs="Arial"/>
                <w:sz w:val="18"/>
                <w:szCs w:val="18"/>
                <w:lang w:val="es-ES_tradnl"/>
              </w:rPr>
              <w:t>El Marco de Gestión Ambiental y Social (MGAS) del Programa contiene los lineamientos para asegurar el cumplimiento de la política de salvaguardias durante la ejecución y operación del Programa, incluyendo aspectos de mitigación y adaptación al cambio climático.</w:t>
            </w:r>
            <w:r w:rsidR="00E06D16" w:rsidRPr="006A68D2">
              <w:rPr>
                <w:rFonts w:ascii="Arial" w:eastAsiaTheme="minorHAnsi" w:hAnsi="Arial" w:cs="Arial"/>
                <w:b/>
                <w:color w:val="FF0000"/>
                <w:sz w:val="18"/>
                <w:szCs w:val="18"/>
                <w:lang w:val="es-ES_tradnl"/>
              </w:rPr>
              <w:t xml:space="preserve"> </w:t>
            </w:r>
          </w:p>
          <w:p w14:paraId="228AAD3D" w14:textId="77777777" w:rsidR="006941F1" w:rsidRPr="006A68D2" w:rsidRDefault="006941F1" w:rsidP="00F86D7F">
            <w:pPr>
              <w:pStyle w:val="Paragraph"/>
              <w:numPr>
                <w:ilvl w:val="0"/>
                <w:numId w:val="0"/>
              </w:numPr>
              <w:spacing w:before="0" w:after="0"/>
              <w:ind w:left="7"/>
              <w:rPr>
                <w:rFonts w:ascii="Arial" w:hAnsi="Arial" w:cs="Arial"/>
                <w:i/>
                <w:sz w:val="18"/>
                <w:szCs w:val="18"/>
                <w:lang w:val="es-ES_tradnl"/>
              </w:rPr>
            </w:pPr>
          </w:p>
        </w:tc>
      </w:tr>
    </w:tbl>
    <w:p w14:paraId="45A45759" w14:textId="268F88C2" w:rsidR="000F1306" w:rsidRDefault="000F1306" w:rsidP="00F86D7F">
      <w:pPr>
        <w:rPr>
          <w:rFonts w:ascii="Arial" w:hAnsi="Arial" w:cs="Arial"/>
          <w:lang w:val="es-ES_tradnl"/>
        </w:rPr>
      </w:pPr>
    </w:p>
    <w:p w14:paraId="6B7E5450" w14:textId="67872D29" w:rsidR="00840CA7" w:rsidRDefault="00840CA7" w:rsidP="00F86D7F">
      <w:pPr>
        <w:rPr>
          <w:rFonts w:ascii="Arial" w:hAnsi="Arial" w:cs="Arial"/>
          <w:lang w:val="es-ES_tradnl"/>
        </w:rPr>
      </w:pPr>
    </w:p>
    <w:p w14:paraId="0ED201EF" w14:textId="3486928F" w:rsidR="00840CA7" w:rsidRDefault="00840CA7" w:rsidP="00F86D7F">
      <w:pPr>
        <w:rPr>
          <w:rFonts w:ascii="Arial" w:hAnsi="Arial" w:cs="Arial"/>
          <w:lang w:val="es-ES_tradnl"/>
        </w:rPr>
      </w:pPr>
    </w:p>
    <w:p w14:paraId="29B13E9C" w14:textId="5B9AE55C" w:rsidR="00840CA7" w:rsidRDefault="00840CA7" w:rsidP="00F86D7F">
      <w:pPr>
        <w:rPr>
          <w:rFonts w:ascii="Arial" w:hAnsi="Arial" w:cs="Arial"/>
          <w:lang w:val="es-ES_tradnl"/>
        </w:rPr>
      </w:pPr>
    </w:p>
    <w:p w14:paraId="605DF3F4" w14:textId="5FDBEC61" w:rsidR="00840CA7" w:rsidRDefault="00840CA7" w:rsidP="00F86D7F">
      <w:pPr>
        <w:rPr>
          <w:rFonts w:ascii="Arial" w:hAnsi="Arial" w:cs="Arial"/>
          <w:lang w:val="es-ES_tradnl"/>
        </w:rPr>
      </w:pPr>
    </w:p>
    <w:p w14:paraId="13083D0D" w14:textId="360AEADB" w:rsidR="00840CA7" w:rsidRDefault="00840CA7" w:rsidP="00F86D7F">
      <w:pPr>
        <w:rPr>
          <w:rFonts w:ascii="Arial" w:hAnsi="Arial" w:cs="Arial"/>
          <w:lang w:val="es-ES_tradnl"/>
        </w:rPr>
      </w:pPr>
    </w:p>
    <w:p w14:paraId="5BE0A1B5" w14:textId="6BEF6092" w:rsidR="00840CA7" w:rsidRDefault="00840CA7" w:rsidP="00F86D7F">
      <w:pPr>
        <w:rPr>
          <w:rFonts w:ascii="Arial" w:hAnsi="Arial" w:cs="Arial"/>
          <w:lang w:val="es-ES_tradnl"/>
        </w:rPr>
      </w:pPr>
    </w:p>
    <w:p w14:paraId="5958ADD5" w14:textId="23209FFB" w:rsidR="00840CA7" w:rsidRDefault="00840CA7" w:rsidP="00F86D7F">
      <w:pPr>
        <w:rPr>
          <w:rFonts w:ascii="Arial" w:hAnsi="Arial" w:cs="Arial"/>
          <w:lang w:val="es-ES_tradnl"/>
        </w:rPr>
      </w:pPr>
    </w:p>
    <w:p w14:paraId="35A63168" w14:textId="77777777" w:rsidR="00840CA7" w:rsidRDefault="00840CA7" w:rsidP="00F86D7F">
      <w:pPr>
        <w:rPr>
          <w:rFonts w:ascii="Arial" w:hAnsi="Arial" w:cs="Arial"/>
          <w:lang w:val="es-ES_tradnl"/>
        </w:rPr>
      </w:pPr>
    </w:p>
    <w:p w14:paraId="6BF7CDB8" w14:textId="77777777" w:rsidR="00840CA7" w:rsidRPr="006A68D2" w:rsidRDefault="00840CA7" w:rsidP="00F86D7F">
      <w:pPr>
        <w:rPr>
          <w:rFonts w:ascii="Arial" w:hAnsi="Arial" w:cs="Arial"/>
          <w:lang w:val="es-ES_tradnl"/>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813"/>
        <w:gridCol w:w="5040"/>
      </w:tblGrid>
      <w:tr w:rsidR="000F1306" w:rsidRPr="006A68D2" w14:paraId="5488C0E1" w14:textId="77777777" w:rsidTr="00840CA7">
        <w:trPr>
          <w:trHeight w:val="701"/>
          <w:jc w:val="center"/>
        </w:trPr>
        <w:tc>
          <w:tcPr>
            <w:tcW w:w="1957" w:type="dxa"/>
            <w:shd w:val="clear" w:color="auto" w:fill="C0C0C0"/>
            <w:vAlign w:val="center"/>
          </w:tcPr>
          <w:p w14:paraId="4CB7DBF4" w14:textId="77777777" w:rsidR="000F1306" w:rsidRPr="006A68D2" w:rsidRDefault="000F1306" w:rsidP="00F86D7F">
            <w:pPr>
              <w:jc w:val="center"/>
              <w:rPr>
                <w:rFonts w:ascii="Arial" w:hAnsi="Arial" w:cs="Arial"/>
                <w:b/>
                <w:sz w:val="18"/>
                <w:szCs w:val="18"/>
                <w:lang w:val="es-ES_tradnl"/>
              </w:rPr>
            </w:pPr>
            <w:bookmarkStart w:id="1" w:name="_Hlk497124619"/>
            <w:r w:rsidRPr="006A68D2">
              <w:rPr>
                <w:rFonts w:ascii="Arial" w:hAnsi="Arial" w:cs="Arial"/>
                <w:b/>
                <w:sz w:val="18"/>
                <w:szCs w:val="18"/>
                <w:lang w:val="es-ES_tradnl"/>
              </w:rPr>
              <w:t>Principios de la Política que orientan el diseño de las operaciones del Banco</w:t>
            </w:r>
            <w:bookmarkEnd w:id="1"/>
          </w:p>
        </w:tc>
        <w:tc>
          <w:tcPr>
            <w:tcW w:w="2813" w:type="dxa"/>
            <w:shd w:val="clear" w:color="auto" w:fill="C0C0C0"/>
            <w:vAlign w:val="center"/>
          </w:tcPr>
          <w:p w14:paraId="447E0BB0" w14:textId="77777777" w:rsidR="000F1306" w:rsidRPr="006A68D2" w:rsidRDefault="000F1306" w:rsidP="00F86D7F">
            <w:pPr>
              <w:jc w:val="center"/>
              <w:rPr>
                <w:rFonts w:ascii="Arial" w:hAnsi="Arial" w:cs="Arial"/>
                <w:b/>
                <w:sz w:val="18"/>
                <w:szCs w:val="18"/>
                <w:lang w:val="es-ES_tradnl"/>
              </w:rPr>
            </w:pPr>
            <w:r w:rsidRPr="006A68D2">
              <w:rPr>
                <w:rFonts w:ascii="Arial" w:hAnsi="Arial" w:cs="Arial"/>
                <w:b/>
                <w:sz w:val="18"/>
                <w:szCs w:val="18"/>
                <w:lang w:val="es-ES_tradnl"/>
              </w:rPr>
              <w:t>Descripción</w:t>
            </w:r>
          </w:p>
        </w:tc>
        <w:tc>
          <w:tcPr>
            <w:tcW w:w="5040" w:type="dxa"/>
            <w:shd w:val="clear" w:color="auto" w:fill="C0C0C0"/>
            <w:vAlign w:val="center"/>
          </w:tcPr>
          <w:p w14:paraId="329335EE" w14:textId="77777777" w:rsidR="000F1306" w:rsidRPr="006A68D2" w:rsidRDefault="000F1306" w:rsidP="00F86D7F">
            <w:pPr>
              <w:jc w:val="center"/>
              <w:rPr>
                <w:rFonts w:ascii="Arial" w:hAnsi="Arial" w:cs="Arial"/>
                <w:b/>
                <w:sz w:val="18"/>
                <w:szCs w:val="18"/>
                <w:lang w:val="es-ES_tradnl"/>
              </w:rPr>
            </w:pPr>
            <w:r w:rsidRPr="006A68D2">
              <w:rPr>
                <w:rFonts w:ascii="Arial" w:hAnsi="Arial" w:cs="Arial"/>
                <w:b/>
                <w:sz w:val="18"/>
                <w:szCs w:val="18"/>
                <w:lang w:val="es-ES_tradnl"/>
              </w:rPr>
              <w:t>Comentarios</w:t>
            </w:r>
          </w:p>
        </w:tc>
      </w:tr>
      <w:tr w:rsidR="00A37F90" w:rsidRPr="00840CA7" w14:paraId="2C6DBADE" w14:textId="77777777" w:rsidTr="00840CA7">
        <w:trPr>
          <w:jc w:val="center"/>
        </w:trPr>
        <w:tc>
          <w:tcPr>
            <w:tcW w:w="1957" w:type="dxa"/>
            <w:shd w:val="clear" w:color="auto" w:fill="auto"/>
            <w:vAlign w:val="center"/>
          </w:tcPr>
          <w:p w14:paraId="1D5C5447" w14:textId="12B7A8E0" w:rsidR="00A37F90" w:rsidRPr="00840CA7" w:rsidRDefault="00A37F90" w:rsidP="00F86D7F">
            <w:pPr>
              <w:rPr>
                <w:rFonts w:ascii="Arial" w:hAnsi="Arial" w:cs="Arial"/>
                <w:bCs/>
                <w:sz w:val="18"/>
                <w:szCs w:val="18"/>
                <w:lang w:val="es-ES_tradnl"/>
              </w:rPr>
            </w:pPr>
            <w:bookmarkStart w:id="2" w:name="_Hlk497124664"/>
            <w:r w:rsidRPr="00840CA7">
              <w:rPr>
                <w:rFonts w:ascii="Arial" w:hAnsi="Arial" w:cs="Arial"/>
                <w:bCs/>
                <w:sz w:val="18"/>
                <w:szCs w:val="18"/>
                <w:lang w:val="es-ES_tradnl"/>
              </w:rPr>
              <w:t xml:space="preserve">1. Apoyar a los países para atender las necesidades básicas </w:t>
            </w:r>
            <w:bookmarkEnd w:id="2"/>
          </w:p>
        </w:tc>
        <w:tc>
          <w:tcPr>
            <w:tcW w:w="2813" w:type="dxa"/>
            <w:shd w:val="clear" w:color="auto" w:fill="auto"/>
            <w:vAlign w:val="center"/>
          </w:tcPr>
          <w:p w14:paraId="7A19E7C7" w14:textId="77777777" w:rsidR="00A37F90" w:rsidRPr="006A68D2" w:rsidRDefault="00A37F90" w:rsidP="00F86D7F">
            <w:pPr>
              <w:jc w:val="both"/>
              <w:rPr>
                <w:rFonts w:ascii="Arial" w:hAnsi="Arial" w:cs="Arial"/>
                <w:sz w:val="18"/>
                <w:szCs w:val="18"/>
                <w:lang w:val="es-ES_tradnl"/>
              </w:rPr>
            </w:pPr>
            <w:r w:rsidRPr="006A68D2">
              <w:rPr>
                <w:rFonts w:ascii="Arial" w:hAnsi="Arial" w:cs="Arial"/>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5040" w:type="dxa"/>
            <w:shd w:val="clear" w:color="auto" w:fill="auto"/>
            <w:vAlign w:val="center"/>
          </w:tcPr>
          <w:p w14:paraId="4EDDC224" w14:textId="48744F84" w:rsidR="00814223" w:rsidRPr="00DF6B2A" w:rsidRDefault="00F86D7F" w:rsidP="00F86D7F">
            <w:pPr>
              <w:pStyle w:val="Paragraph"/>
              <w:numPr>
                <w:ilvl w:val="0"/>
                <w:numId w:val="0"/>
              </w:numPr>
              <w:spacing w:before="0" w:after="0"/>
              <w:rPr>
                <w:rFonts w:ascii="Arial" w:hAnsi="Arial" w:cs="Arial"/>
                <w:sz w:val="18"/>
                <w:szCs w:val="18"/>
                <w:lang w:val="es-ES_tradnl"/>
              </w:rPr>
            </w:pPr>
            <w:r w:rsidRPr="00F86D7F">
              <w:rPr>
                <w:rFonts w:ascii="Arial" w:hAnsi="Arial" w:cs="Arial"/>
                <w:sz w:val="18"/>
                <w:szCs w:val="18"/>
                <w:lang w:val="es-ES_tradnl"/>
              </w:rPr>
              <w:t>La viabilidad técnica de las soluciones de agua y saneamiento contempla el análisis de alternativas seleccionando aquella que sea mayor costo-eficiente y que sea aceptada por la comunidad.</w:t>
            </w:r>
          </w:p>
        </w:tc>
      </w:tr>
      <w:tr w:rsidR="00932343" w:rsidRPr="00840CA7" w14:paraId="5284B34C" w14:textId="77777777" w:rsidTr="00840CA7">
        <w:trPr>
          <w:trHeight w:val="3617"/>
          <w:jc w:val="center"/>
        </w:trPr>
        <w:tc>
          <w:tcPr>
            <w:tcW w:w="1957" w:type="dxa"/>
            <w:shd w:val="clear" w:color="auto" w:fill="auto"/>
            <w:vAlign w:val="center"/>
          </w:tcPr>
          <w:p w14:paraId="08A69DAF" w14:textId="77777777" w:rsidR="00932343" w:rsidRPr="00840CA7" w:rsidRDefault="00932343" w:rsidP="00F86D7F">
            <w:pPr>
              <w:rPr>
                <w:rFonts w:ascii="Arial" w:hAnsi="Arial" w:cs="Arial"/>
                <w:bCs/>
                <w:sz w:val="18"/>
                <w:szCs w:val="18"/>
                <w:lang w:val="es-ES_tradnl"/>
              </w:rPr>
            </w:pPr>
            <w:r w:rsidRPr="00840CA7">
              <w:rPr>
                <w:rFonts w:ascii="Arial" w:hAnsi="Arial" w:cs="Arial"/>
                <w:bCs/>
                <w:sz w:val="18"/>
                <w:szCs w:val="18"/>
                <w:lang w:val="es-ES_tradnl"/>
              </w:rPr>
              <w:t>2. Las mejoras continuas en la gobernanza de los servicios públicos domiciliarios serán clave para incrementar la eficiencia en su provisión y proteger satisfactoriamente los intereses de los usuarios</w:t>
            </w:r>
          </w:p>
        </w:tc>
        <w:tc>
          <w:tcPr>
            <w:tcW w:w="2813" w:type="dxa"/>
            <w:shd w:val="clear" w:color="auto" w:fill="auto"/>
            <w:vAlign w:val="center"/>
          </w:tcPr>
          <w:p w14:paraId="7AFBFD8A" w14:textId="77777777" w:rsidR="00932343" w:rsidRPr="006A68D2" w:rsidRDefault="00932343" w:rsidP="00F86D7F">
            <w:pPr>
              <w:jc w:val="both"/>
              <w:rPr>
                <w:rFonts w:ascii="Arial" w:hAnsi="Arial" w:cs="Arial"/>
                <w:sz w:val="18"/>
                <w:szCs w:val="18"/>
                <w:lang w:val="es-ES_tradnl"/>
              </w:rPr>
            </w:pPr>
            <w:r w:rsidRPr="006A68D2">
              <w:rPr>
                <w:rFonts w:ascii="Arial" w:hAnsi="Arial" w:cs="Arial"/>
                <w:sz w:val="18"/>
                <w:szCs w:val="18"/>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5040" w:type="dxa"/>
            <w:shd w:val="clear" w:color="auto" w:fill="auto"/>
            <w:vAlign w:val="center"/>
          </w:tcPr>
          <w:p w14:paraId="303A9577" w14:textId="60606C61" w:rsidR="00932343" w:rsidRPr="006A68D2" w:rsidRDefault="00932343" w:rsidP="00F86D7F">
            <w:pPr>
              <w:jc w:val="both"/>
              <w:rPr>
                <w:rFonts w:ascii="Arial" w:hAnsi="Arial" w:cs="Arial"/>
                <w:sz w:val="18"/>
                <w:szCs w:val="18"/>
                <w:lang w:val="es-ES_tradnl"/>
              </w:rPr>
            </w:pPr>
            <w:r w:rsidRPr="006A68D2">
              <w:rPr>
                <w:rFonts w:ascii="Arial" w:hAnsi="Arial" w:cs="Arial"/>
                <w:sz w:val="18"/>
                <w:szCs w:val="18"/>
                <w:lang w:val="es-ES_tradnl"/>
              </w:rPr>
              <w:t>La Ley 142 de 1994 prevé que la prestación del servicio y sus actividades complementarias constituyen servicios públicos esenciales y el Estado intervendrá en los mismos a fin de garantizar la calidad del bien y su disposición final para asegurar el mejoramiento de la calidad de vida de los usuarios y su prestación continua, ininterrumpida y eficiente. Bajo este marco, la estructura sectorial establecida regula y actualiza los lineamientos de política y regulación del sector de acuerdo a sus competencias y responsabilidades.</w:t>
            </w:r>
          </w:p>
        </w:tc>
      </w:tr>
      <w:tr w:rsidR="00932343" w:rsidRPr="00840CA7" w14:paraId="6E876A68" w14:textId="77777777" w:rsidTr="00840CA7">
        <w:trPr>
          <w:jc w:val="center"/>
        </w:trPr>
        <w:tc>
          <w:tcPr>
            <w:tcW w:w="1957" w:type="dxa"/>
            <w:shd w:val="clear" w:color="auto" w:fill="auto"/>
            <w:vAlign w:val="center"/>
          </w:tcPr>
          <w:p w14:paraId="47DF45DF" w14:textId="77777777" w:rsidR="00932343" w:rsidRPr="00840CA7" w:rsidRDefault="00932343" w:rsidP="00F86D7F">
            <w:pPr>
              <w:ind w:left="330" w:hanging="150"/>
              <w:rPr>
                <w:rFonts w:ascii="Arial" w:hAnsi="Arial" w:cs="Arial"/>
                <w:bCs/>
                <w:sz w:val="18"/>
                <w:szCs w:val="18"/>
                <w:lang w:val="es-ES_tradnl"/>
              </w:rPr>
            </w:pPr>
            <w:r w:rsidRPr="00840CA7">
              <w:rPr>
                <w:rFonts w:ascii="Arial" w:hAnsi="Arial" w:cs="Arial"/>
                <w:bCs/>
                <w:sz w:val="18"/>
                <w:szCs w:val="18"/>
                <w:lang w:val="es-ES_tradnl"/>
              </w:rPr>
              <w:t>A. Promover la integridad, la transparencia y la rendición de cuentas</w:t>
            </w:r>
          </w:p>
        </w:tc>
        <w:tc>
          <w:tcPr>
            <w:tcW w:w="2813" w:type="dxa"/>
            <w:shd w:val="clear" w:color="auto" w:fill="auto"/>
            <w:vAlign w:val="center"/>
          </w:tcPr>
          <w:p w14:paraId="5B885EFE" w14:textId="77777777" w:rsidR="00932343" w:rsidRPr="006A68D2" w:rsidRDefault="00932343" w:rsidP="00F86D7F">
            <w:pPr>
              <w:jc w:val="both"/>
              <w:rPr>
                <w:rFonts w:ascii="Arial" w:hAnsi="Arial" w:cs="Arial"/>
                <w:sz w:val="18"/>
                <w:szCs w:val="18"/>
                <w:lang w:val="es-ES_tradnl"/>
              </w:rPr>
            </w:pPr>
            <w:r w:rsidRPr="006A68D2">
              <w:rPr>
                <w:rFonts w:ascii="Arial" w:hAnsi="Arial" w:cs="Arial"/>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5040" w:type="dxa"/>
            <w:shd w:val="clear" w:color="auto" w:fill="auto"/>
            <w:vAlign w:val="center"/>
          </w:tcPr>
          <w:p w14:paraId="19B10E18" w14:textId="77777777" w:rsidR="00932343" w:rsidRPr="006A68D2" w:rsidRDefault="002D7A19" w:rsidP="00F86D7F">
            <w:pPr>
              <w:pStyle w:val="Paragraph"/>
              <w:numPr>
                <w:ilvl w:val="0"/>
                <w:numId w:val="0"/>
              </w:numPr>
              <w:spacing w:before="0" w:after="0"/>
              <w:rPr>
                <w:rFonts w:ascii="Arial" w:hAnsi="Arial" w:cs="Arial"/>
                <w:sz w:val="18"/>
                <w:szCs w:val="18"/>
                <w:lang w:val="es-ES_tradnl"/>
              </w:rPr>
            </w:pPr>
            <w:r w:rsidRPr="006A68D2">
              <w:rPr>
                <w:rFonts w:ascii="Arial" w:eastAsiaTheme="minorHAnsi" w:hAnsi="Arial" w:cs="Arial"/>
                <w:sz w:val="18"/>
                <w:szCs w:val="18"/>
                <w:lang w:val="es-ES_tradnl"/>
              </w:rPr>
              <w:t>E</w:t>
            </w:r>
            <w:r w:rsidRPr="006A68D2">
              <w:rPr>
                <w:rFonts w:ascii="Arial" w:hAnsi="Arial" w:cs="Arial"/>
                <w:sz w:val="18"/>
                <w:szCs w:val="18"/>
                <w:lang w:val="es-ES_tradnl"/>
              </w:rPr>
              <w:t>l arreglo institucional del sector de agua y saneamiento es conceptualmente apropiado y coherente, con clara definición y separación de funciones y responsabilidades, tanto entre las entidades como en los órdenes de gobierno. La estructura institucional se fundamenta en la separación de roles entre el gobierno nacional, encargado de la formulación de la política sectorial, la regulación y el control, y los municipios, encargados de asegurar la prestación eficiente de los servicios. Además, existen competencias intermedias en el nivel regional, asignadas a las Corporaciones Autónomas Regionales, a los Departamentos y a seccionales o direcciones territoriales pertenecientes a entidades del gobierno central.</w:t>
            </w:r>
          </w:p>
          <w:p w14:paraId="38765DB3" w14:textId="77777777" w:rsidR="002D7A19" w:rsidRPr="006A68D2" w:rsidRDefault="002D7A19" w:rsidP="00F86D7F">
            <w:pPr>
              <w:pStyle w:val="Paragraph"/>
              <w:numPr>
                <w:ilvl w:val="0"/>
                <w:numId w:val="0"/>
              </w:numPr>
              <w:spacing w:before="0" w:after="0"/>
              <w:rPr>
                <w:rFonts w:ascii="Arial" w:hAnsi="Arial" w:cs="Arial"/>
                <w:sz w:val="18"/>
                <w:szCs w:val="18"/>
                <w:lang w:val="es-ES_tradnl"/>
              </w:rPr>
            </w:pPr>
            <w:r w:rsidRPr="006A68D2">
              <w:rPr>
                <w:rFonts w:ascii="Arial" w:hAnsi="Arial" w:cs="Arial"/>
                <w:sz w:val="18"/>
                <w:szCs w:val="18"/>
                <w:lang w:val="es-ES_tradnl"/>
              </w:rPr>
              <w:t>Con la Ley 142 de 1994, art 2, estableció la intervención del estado en los servicios públicos, al fin de: i) garantizar la calidad del bien objeto del servicio público y su disposición final para asegurar el mejoramiento de la calidad de vida de los usuarios; ii) ampliación permanente de la cobertura mediante sistemas que compensen la insuficiencia de la capacidad de pago de los usuarios; iii) atención prioritaria de las necesidades básicas insatisfechas en materia de agua potable y saneamiento básico; iv) prestación continua e ininterrumpida, sin excepción alguna, salvo cuando existan razones de fuerza mayor o caso fortuito o de orden técnico o económico que así lo exijan; v) prestación eficiente; vi) libertad de competencia y no utilización abusiva de la posición dominante; vii) mecanismos que garanticen a los usuarios el acceso a los servicios y su participación en la gestión y fiscalización de su prestación; y viii) establecer un régimen tarifario proporcional para los sectores de bajos ingresos de acuerdo con los preceptos de equidad y solidaridad.</w:t>
            </w:r>
          </w:p>
          <w:p w14:paraId="7613BEB0" w14:textId="65AA0E55" w:rsidR="003E6367" w:rsidRPr="00C22526" w:rsidRDefault="003E6367" w:rsidP="00F86D7F">
            <w:pPr>
              <w:pStyle w:val="NormalWeb"/>
              <w:spacing w:before="0" w:beforeAutospacing="0" w:after="0" w:afterAutospacing="0"/>
              <w:jc w:val="both"/>
              <w:rPr>
                <w:rFonts w:ascii="Arial" w:hAnsi="Arial" w:cs="Arial"/>
                <w:sz w:val="18"/>
                <w:szCs w:val="18"/>
                <w:lang w:val="es-ES_tradnl"/>
              </w:rPr>
            </w:pPr>
            <w:r w:rsidRPr="006A68D2">
              <w:rPr>
                <w:rFonts w:ascii="Arial" w:hAnsi="Arial" w:cs="Arial"/>
                <w:sz w:val="18"/>
                <w:szCs w:val="18"/>
                <w:lang w:val="es-ES_tradnl"/>
              </w:rPr>
              <w:t>La SSPD tiene un sistema de información (Sistema Único de Información – SUI), donde todos los prestadores (independiente de su naturaleza y tamaño) debe reportar información técnica, operativa, financiera y administrativa. Esta información es pública y ha permitido que los formuladores de política y los usuarios conozcan no sólo la información tarifaria, sino también información de calidad de agua, usuarios, capacidad de producción, consumos, entre otros.</w:t>
            </w:r>
          </w:p>
        </w:tc>
      </w:tr>
      <w:tr w:rsidR="00932343" w:rsidRPr="00840CA7" w14:paraId="758D8C02" w14:textId="77777777" w:rsidTr="00840CA7">
        <w:trPr>
          <w:jc w:val="center"/>
        </w:trPr>
        <w:tc>
          <w:tcPr>
            <w:tcW w:w="1957" w:type="dxa"/>
            <w:shd w:val="clear" w:color="auto" w:fill="auto"/>
            <w:vAlign w:val="center"/>
          </w:tcPr>
          <w:p w14:paraId="5C0A1D61" w14:textId="77777777" w:rsidR="00932343" w:rsidRPr="00840CA7" w:rsidRDefault="00932343" w:rsidP="00F86D7F">
            <w:pPr>
              <w:ind w:left="330" w:hanging="150"/>
              <w:rPr>
                <w:rFonts w:ascii="Arial" w:hAnsi="Arial" w:cs="Arial"/>
                <w:bCs/>
                <w:sz w:val="18"/>
                <w:szCs w:val="18"/>
                <w:lang w:val="es-ES_tradnl"/>
              </w:rPr>
            </w:pPr>
            <w:r w:rsidRPr="00840CA7">
              <w:rPr>
                <w:rFonts w:ascii="Arial" w:hAnsi="Arial" w:cs="Arial"/>
                <w:bCs/>
                <w:sz w:val="18"/>
                <w:szCs w:val="18"/>
                <w:lang w:val="es-ES_tradnl"/>
              </w:rPr>
              <w:t>B. Analizar las características e impactos de los subsidios</w:t>
            </w:r>
          </w:p>
        </w:tc>
        <w:tc>
          <w:tcPr>
            <w:tcW w:w="2813" w:type="dxa"/>
            <w:shd w:val="clear" w:color="auto" w:fill="auto"/>
            <w:vAlign w:val="center"/>
          </w:tcPr>
          <w:p w14:paraId="0B15E6FC" w14:textId="77777777" w:rsidR="00932343" w:rsidRPr="006A68D2" w:rsidRDefault="00932343" w:rsidP="00F86D7F">
            <w:pPr>
              <w:jc w:val="both"/>
              <w:rPr>
                <w:rFonts w:ascii="Arial" w:hAnsi="Arial" w:cs="Arial"/>
                <w:sz w:val="18"/>
                <w:szCs w:val="18"/>
                <w:lang w:val="es-ES_tradnl"/>
              </w:rPr>
            </w:pPr>
            <w:r w:rsidRPr="006A68D2">
              <w:rPr>
                <w:rFonts w:ascii="Arial" w:hAnsi="Arial" w:cs="Arial"/>
                <w:sz w:val="18"/>
                <w:szCs w:val="18"/>
                <w:lang w:val="es-ES_tradnl"/>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5040" w:type="dxa"/>
            <w:shd w:val="clear" w:color="auto" w:fill="auto"/>
            <w:vAlign w:val="center"/>
          </w:tcPr>
          <w:p w14:paraId="624B15BB" w14:textId="77777777" w:rsidR="00932343" w:rsidRPr="006A68D2" w:rsidRDefault="005931CB" w:rsidP="00F86D7F">
            <w:pPr>
              <w:autoSpaceDE w:val="0"/>
              <w:autoSpaceDN w:val="0"/>
              <w:adjustRightInd w:val="0"/>
              <w:jc w:val="both"/>
              <w:rPr>
                <w:rFonts w:ascii="Arial" w:hAnsi="Arial" w:cs="Arial"/>
                <w:sz w:val="18"/>
                <w:szCs w:val="18"/>
                <w:lang w:val="es-ES_tradnl"/>
              </w:rPr>
            </w:pPr>
            <w:r w:rsidRPr="006A68D2">
              <w:rPr>
                <w:rFonts w:ascii="Arial" w:hAnsi="Arial" w:cs="Arial"/>
                <w:sz w:val="18"/>
                <w:szCs w:val="18"/>
                <w:lang w:val="es-ES_tradnl"/>
              </w:rPr>
              <w:t>En Colombia, se realiza una diferenciación tarifaria por estratos socio – económicos (</w:t>
            </w:r>
            <w:r w:rsidR="00887CEC" w:rsidRPr="006A68D2">
              <w:rPr>
                <w:rFonts w:ascii="Arial" w:hAnsi="Arial" w:cs="Arial"/>
                <w:sz w:val="18"/>
                <w:szCs w:val="18"/>
                <w:lang w:val="es-ES_tradnl"/>
              </w:rPr>
              <w:t>quienes tienen más capacidad económica pagan más por los servicios públicos y contribuyen para que los estratos bajos puedan pagar sus facturas</w:t>
            </w:r>
            <w:r w:rsidRPr="006A68D2">
              <w:rPr>
                <w:rFonts w:ascii="Arial" w:hAnsi="Arial" w:cs="Arial"/>
                <w:sz w:val="18"/>
                <w:szCs w:val="18"/>
                <w:lang w:val="es-ES_tradnl"/>
              </w:rPr>
              <w:t xml:space="preserve">) (Estrato residencial 1-6 + Estrato No – residencial). El costo de referencia es aquel estrato que no recibe subsidios y no parta contribuciones para otros estratos. Por ello sirve de referencia para los cálculos de una metodología; para el caso colombiano son el estrato 4 y el sector oficial. Subsidios es aquel estrato que recibe subsidios de otros estratos y no aporta contribuciones para otros estratos. </w:t>
            </w:r>
            <w:r w:rsidR="00887CEC" w:rsidRPr="006A68D2">
              <w:rPr>
                <w:rFonts w:ascii="Arial" w:hAnsi="Arial" w:cs="Arial"/>
                <w:sz w:val="18"/>
                <w:szCs w:val="18"/>
                <w:lang w:val="es-ES_tradnl"/>
              </w:rPr>
              <w:t>Para el caso colombiano son los estratos de menores el ingresos, el 1 (recibe un subsidio hasta del 70%), 2 (recibe un subsidio hasta del 40%) y 3 (recibe un subsidio hasta del 15%). Y Contribución es aquel estrato que no recibe subsidios y aporta contribuciones para otros estratos; para el caso colombiano son los estratos 5, 6 y no residencial. Adicionalmente, el Gobierno Nacional establece que en caso que no haya un equilibrio entre las contribuciones y los subsidios requeridos, los municipios podrán destinar parte de recursos del Sistema General de Participaciones (SGP) a cubrir estos subsidios. El SGP son las transferencias que hace el Gobierno Nacional a los departamentos y municipios para ciertos sectores, entre esos, el sector de agua potable y saneamiento básico. En los municipios del Programa la mayoría de los usuarios corresponden a los estratos 1,2, y 3</w:t>
            </w:r>
            <w:r w:rsidR="00786FDC" w:rsidRPr="006A68D2">
              <w:rPr>
                <w:rFonts w:ascii="Arial" w:hAnsi="Arial" w:cs="Arial"/>
                <w:sz w:val="18"/>
                <w:szCs w:val="18"/>
                <w:lang w:val="es-ES_tradnl"/>
              </w:rPr>
              <w:t>.</w:t>
            </w:r>
          </w:p>
        </w:tc>
      </w:tr>
      <w:tr w:rsidR="00DA61DD" w:rsidRPr="00840CA7" w14:paraId="546CC846" w14:textId="77777777" w:rsidTr="00840CA7">
        <w:trPr>
          <w:jc w:val="center"/>
        </w:trPr>
        <w:tc>
          <w:tcPr>
            <w:tcW w:w="1957" w:type="dxa"/>
            <w:shd w:val="clear" w:color="auto" w:fill="auto"/>
            <w:vAlign w:val="center"/>
          </w:tcPr>
          <w:p w14:paraId="52412A34" w14:textId="77777777" w:rsidR="00DA61DD" w:rsidRPr="00840CA7" w:rsidRDefault="00DA61DD" w:rsidP="00F86D7F">
            <w:pPr>
              <w:ind w:left="330" w:hanging="150"/>
              <w:rPr>
                <w:rFonts w:ascii="Arial" w:hAnsi="Arial" w:cs="Arial"/>
                <w:bCs/>
                <w:sz w:val="18"/>
                <w:szCs w:val="18"/>
                <w:lang w:val="es-ES_tradnl"/>
              </w:rPr>
            </w:pPr>
            <w:r w:rsidRPr="00840CA7">
              <w:rPr>
                <w:rFonts w:ascii="Arial" w:hAnsi="Arial" w:cs="Arial"/>
                <w:bCs/>
                <w:sz w:val="18"/>
                <w:szCs w:val="18"/>
                <w:lang w:val="es-ES_tradnl"/>
              </w:rPr>
              <w:t>C. Separación de Funciones para mejorar la gobernanza sectorial</w:t>
            </w:r>
          </w:p>
        </w:tc>
        <w:tc>
          <w:tcPr>
            <w:tcW w:w="2813" w:type="dxa"/>
            <w:shd w:val="clear" w:color="auto" w:fill="auto"/>
            <w:vAlign w:val="center"/>
          </w:tcPr>
          <w:p w14:paraId="28FCE1F0" w14:textId="77777777" w:rsidR="00DA61DD" w:rsidRPr="006A68D2" w:rsidRDefault="00DA61DD" w:rsidP="00F86D7F">
            <w:pPr>
              <w:jc w:val="both"/>
              <w:rPr>
                <w:rFonts w:ascii="Arial" w:hAnsi="Arial" w:cs="Arial"/>
                <w:sz w:val="18"/>
                <w:szCs w:val="18"/>
                <w:lang w:val="es-ES_tradnl"/>
              </w:rPr>
            </w:pPr>
            <w:r w:rsidRPr="006A68D2">
              <w:rPr>
                <w:rFonts w:ascii="Arial" w:hAnsi="Arial" w:cs="Arial"/>
                <w:sz w:val="18"/>
                <w:szCs w:val="18"/>
                <w:lang w:val="es-ES_tradnl"/>
              </w:rPr>
              <w:t xml:space="preserve">Deben separarse las funciones de </w:t>
            </w:r>
            <w:r w:rsidRPr="006A68D2">
              <w:rPr>
                <w:rFonts w:ascii="Arial" w:hAnsi="Arial" w:cs="Arial"/>
                <w:b/>
                <w:bCs/>
                <w:sz w:val="18"/>
                <w:szCs w:val="18"/>
                <w:lang w:val="es-ES_tradnl"/>
              </w:rPr>
              <w:t>formulador de políticas, regulador</w:t>
            </w:r>
            <w:r w:rsidRPr="006A68D2">
              <w:rPr>
                <w:rFonts w:ascii="Arial" w:hAnsi="Arial" w:cs="Arial"/>
                <w:sz w:val="18"/>
                <w:szCs w:val="18"/>
                <w:lang w:val="es-ES_tradnl"/>
              </w:rPr>
              <w:t xml:space="preserve"> y </w:t>
            </w:r>
            <w:r w:rsidRPr="006A68D2">
              <w:rPr>
                <w:rFonts w:ascii="Arial" w:hAnsi="Arial" w:cs="Arial"/>
                <w:b/>
                <w:bCs/>
                <w:sz w:val="18"/>
                <w:szCs w:val="18"/>
                <w:lang w:val="es-ES_tradnl"/>
              </w:rPr>
              <w:t>empresario</w:t>
            </w:r>
            <w:r w:rsidRPr="006A68D2">
              <w:rPr>
                <w:rFonts w:ascii="Arial" w:hAnsi="Arial" w:cs="Arial"/>
                <w:sz w:val="18"/>
                <w:szCs w:val="18"/>
                <w:lang w:val="es-ES_tradnl"/>
              </w:rPr>
              <w:t xml:space="preserve"> y asignarse a instituciones distintas y apropiadas. De esta manera, las autoridades conservarán la responsabilidad de </w:t>
            </w:r>
            <w:r w:rsidRPr="006A68D2">
              <w:rPr>
                <w:rFonts w:ascii="Arial" w:hAnsi="Arial" w:cs="Arial"/>
                <w:b/>
                <w:bCs/>
                <w:sz w:val="18"/>
                <w:szCs w:val="18"/>
                <w:lang w:val="es-ES_tradnl"/>
              </w:rPr>
              <w:t>formular la política</w:t>
            </w:r>
            <w:r w:rsidRPr="006A68D2">
              <w:rPr>
                <w:rFonts w:ascii="Arial" w:hAnsi="Arial" w:cs="Arial"/>
                <w:sz w:val="18"/>
                <w:szCs w:val="18"/>
                <w:lang w:val="es-ES_tradnl"/>
              </w:rPr>
              <w:t xml:space="preserve">, un ente público separado dictará el </w:t>
            </w:r>
            <w:r w:rsidRPr="006A68D2">
              <w:rPr>
                <w:rFonts w:ascii="Arial" w:hAnsi="Arial" w:cs="Arial"/>
                <w:b/>
                <w:bCs/>
                <w:sz w:val="18"/>
                <w:szCs w:val="18"/>
                <w:lang w:val="es-ES_tradnl"/>
              </w:rPr>
              <w:t>régimen reglamentario</w:t>
            </w:r>
            <w:r w:rsidRPr="006A68D2">
              <w:rPr>
                <w:rFonts w:ascii="Arial" w:hAnsi="Arial" w:cs="Arial"/>
                <w:sz w:val="18"/>
                <w:szCs w:val="18"/>
                <w:lang w:val="es-ES_tradnl"/>
              </w:rPr>
              <w:t xml:space="preserve"> y se asignará al proveedor del servicio una función exclusivamente </w:t>
            </w:r>
            <w:r w:rsidRPr="006A68D2">
              <w:rPr>
                <w:rFonts w:ascii="Arial" w:hAnsi="Arial" w:cs="Arial"/>
                <w:b/>
                <w:bCs/>
                <w:sz w:val="18"/>
                <w:szCs w:val="18"/>
                <w:lang w:val="es-ES_tradnl"/>
              </w:rPr>
              <w:t>empresarial</w:t>
            </w:r>
            <w:r w:rsidRPr="006A68D2">
              <w:rPr>
                <w:rFonts w:ascii="Arial" w:hAnsi="Arial" w:cs="Arial"/>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6A68D2">
              <w:rPr>
                <w:rFonts w:ascii="Arial" w:hAnsi="Arial" w:cs="Arial"/>
                <w:sz w:val="18"/>
                <w:szCs w:val="18"/>
                <w:lang w:val="es-ES"/>
              </w:rPr>
              <w:t xml:space="preserve"> </w:t>
            </w:r>
            <w:r w:rsidRPr="006A68D2">
              <w:rPr>
                <w:rFonts w:ascii="Arial" w:hAnsi="Arial" w:cs="Arial"/>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5040" w:type="dxa"/>
            <w:shd w:val="clear" w:color="auto" w:fill="auto"/>
            <w:vAlign w:val="center"/>
          </w:tcPr>
          <w:p w14:paraId="08746DE3" w14:textId="77777777" w:rsidR="00115729" w:rsidRPr="006A68D2" w:rsidRDefault="00115729" w:rsidP="00F86D7F">
            <w:pPr>
              <w:jc w:val="both"/>
              <w:rPr>
                <w:rFonts w:ascii="Arial" w:hAnsi="Arial" w:cs="Arial"/>
                <w:sz w:val="18"/>
                <w:szCs w:val="18"/>
                <w:lang w:val="es-ES_tradnl"/>
              </w:rPr>
            </w:pPr>
            <w:r w:rsidRPr="006A68D2">
              <w:rPr>
                <w:rFonts w:ascii="Arial" w:hAnsi="Arial" w:cs="Arial"/>
                <w:sz w:val="18"/>
                <w:szCs w:val="18"/>
                <w:lang w:val="es-ES_tradnl"/>
              </w:rPr>
              <w:t>La Constitución de 1991 introdujo modificaciones fundamentales al marco institucional de los servicios públicos domiciliarios en Colombia, los cuales se concretaron con la expedición del Régimen de los Servicios Públicos Domiciliarios (Ley 142 de 1994) en el año 1994, generando cambios estructurales positivos en la dinámica del sector, evidenciados en aspectos tales como incrementos en coberturas, mejor gestión empresarial, calidad y confiabilidad en el servicio, así como mayor participación del sector privado.</w:t>
            </w:r>
          </w:p>
          <w:p w14:paraId="75A84BB1" w14:textId="77777777" w:rsidR="00DA61DD" w:rsidRPr="006A68D2" w:rsidRDefault="00115729" w:rsidP="00F86D7F">
            <w:pPr>
              <w:autoSpaceDE w:val="0"/>
              <w:autoSpaceDN w:val="0"/>
              <w:adjustRightInd w:val="0"/>
              <w:jc w:val="both"/>
              <w:rPr>
                <w:rFonts w:ascii="Arial" w:hAnsi="Arial" w:cs="Arial"/>
                <w:sz w:val="18"/>
                <w:szCs w:val="18"/>
                <w:lang w:val="es-ES_tradnl"/>
              </w:rPr>
            </w:pPr>
            <w:r w:rsidRPr="006A68D2">
              <w:rPr>
                <w:rFonts w:ascii="Arial" w:hAnsi="Arial" w:cs="Arial"/>
                <w:sz w:val="18"/>
                <w:szCs w:val="18"/>
                <w:lang w:val="es-ES_tradnl"/>
              </w:rPr>
              <w:t>La Ley 142 de 1994, establece las bases de intervención del Estado en la prestación de dichos servicios, al igual que la distribución de funciones de política, regulación técnica, económica y ambiental, control y vigilancia y prestación. Para el sector de Acueducto y Saneamiento Básico, a nivel nacional, la definición de la política pública y la regulación técnica sectorial está a cargo del Ministerio de Ambiente, Vivienda y Desarrollo Territorial (MAVDT), función complementada por el Departamento Nacional de Planeación (DNP), en su rol de coordinador de la inversión pública del Gobierno en todos los sectores, y por el Ministerio de la Protección Social (MPS), en lo relacionado a los estándares de calidad del agua para consumo humano. La regulación económica de los servicios la desarrolla la Comisión de Regulación de Agua Potable y Saneamiento Básico (CRA) en términos de tarifas, calidad y medición de la eficiencia y desempeño de los prestadores, mientras la función de control y vigilancia de los mismos es llevada a cabo por la Superintendencia de Servicios Públicos Domiciliarios (SSPD), quien posee la facultad sancionatoria.</w:t>
            </w:r>
          </w:p>
        </w:tc>
      </w:tr>
      <w:tr w:rsidR="00DA61DD" w:rsidRPr="00CA4D62" w14:paraId="6935415B" w14:textId="77777777" w:rsidTr="00840CA7">
        <w:trPr>
          <w:trHeight w:val="6299"/>
          <w:jc w:val="center"/>
        </w:trPr>
        <w:tc>
          <w:tcPr>
            <w:tcW w:w="1957" w:type="dxa"/>
            <w:shd w:val="clear" w:color="auto" w:fill="auto"/>
            <w:vAlign w:val="center"/>
          </w:tcPr>
          <w:p w14:paraId="6C4C12BF" w14:textId="77777777" w:rsidR="00DA61DD" w:rsidRPr="00840CA7" w:rsidRDefault="00DA61DD" w:rsidP="00F86D7F">
            <w:pPr>
              <w:ind w:left="330" w:hanging="150"/>
              <w:rPr>
                <w:rFonts w:ascii="Arial" w:hAnsi="Arial" w:cs="Arial"/>
                <w:bCs/>
                <w:sz w:val="18"/>
                <w:szCs w:val="18"/>
                <w:lang w:val="es-ES_tradnl"/>
              </w:rPr>
            </w:pPr>
            <w:r w:rsidRPr="00840CA7">
              <w:rPr>
                <w:rFonts w:ascii="Arial" w:hAnsi="Arial" w:cs="Arial"/>
                <w:bCs/>
                <w:sz w:val="18"/>
                <w:szCs w:val="18"/>
                <w:lang w:val="es-ES_tradnl"/>
              </w:rPr>
              <w:t>D. Establecer la estructura sectorial más apropiada en el contexto de las características del servicio y los objetivos de la política</w:t>
            </w:r>
          </w:p>
        </w:tc>
        <w:tc>
          <w:tcPr>
            <w:tcW w:w="2813" w:type="dxa"/>
            <w:shd w:val="clear" w:color="auto" w:fill="auto"/>
            <w:vAlign w:val="center"/>
          </w:tcPr>
          <w:p w14:paraId="3D782A1D" w14:textId="77777777" w:rsidR="00DA61DD" w:rsidRPr="006A68D2" w:rsidRDefault="00DA61DD" w:rsidP="00F86D7F">
            <w:pPr>
              <w:jc w:val="both"/>
              <w:rPr>
                <w:rFonts w:ascii="Arial" w:hAnsi="Arial" w:cs="Arial"/>
                <w:sz w:val="18"/>
                <w:szCs w:val="18"/>
                <w:lang w:val="es-ES_tradnl"/>
              </w:rPr>
            </w:pPr>
            <w:r w:rsidRPr="006A68D2">
              <w:rPr>
                <w:rFonts w:ascii="Arial" w:hAnsi="Arial" w:cs="Arial"/>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5040" w:type="dxa"/>
            <w:shd w:val="clear" w:color="auto" w:fill="auto"/>
            <w:vAlign w:val="center"/>
          </w:tcPr>
          <w:p w14:paraId="45F476C6" w14:textId="1314929B" w:rsidR="00984239" w:rsidRDefault="00FC2284" w:rsidP="00F86D7F">
            <w:pPr>
              <w:jc w:val="both"/>
              <w:rPr>
                <w:rFonts w:ascii="Arial" w:hAnsi="Arial" w:cs="Arial"/>
                <w:sz w:val="18"/>
                <w:szCs w:val="18"/>
                <w:lang w:val="es-ES_tradnl"/>
              </w:rPr>
            </w:pPr>
            <w:r w:rsidRPr="006A68D2">
              <w:rPr>
                <w:rFonts w:ascii="Arial" w:hAnsi="Arial" w:cs="Arial"/>
                <w:sz w:val="18"/>
                <w:szCs w:val="18"/>
                <w:lang w:val="es-ES_tradnl"/>
              </w:rPr>
              <w:t>Por lo citado en puntos anteriores, se considera que existe un marco sectorial en el país que promueve la eficiencia en la gestión de los prestadores de los servicios, manteniendo un marco claro para la participación del sector privado en los mismos</w:t>
            </w:r>
            <w:r w:rsidR="00792957" w:rsidRPr="006A68D2">
              <w:rPr>
                <w:rFonts w:ascii="Arial" w:hAnsi="Arial" w:cs="Arial"/>
                <w:sz w:val="18"/>
                <w:szCs w:val="18"/>
                <w:lang w:val="es-ES_tradnl"/>
              </w:rPr>
              <w:t>.</w:t>
            </w:r>
            <w:r w:rsidR="007047CB" w:rsidRPr="006A68D2">
              <w:rPr>
                <w:rFonts w:ascii="Arial" w:hAnsi="Arial" w:cs="Arial"/>
                <w:sz w:val="18"/>
                <w:szCs w:val="18"/>
                <w:lang w:val="es-ES_tradnl"/>
              </w:rPr>
              <w:t xml:space="preserve"> </w:t>
            </w:r>
            <w:r w:rsidR="00984239" w:rsidRPr="006A68D2">
              <w:rPr>
                <w:rFonts w:ascii="Arial" w:hAnsi="Arial" w:cs="Arial"/>
                <w:sz w:val="18"/>
                <w:szCs w:val="18"/>
                <w:lang w:val="es-ES_tradnl"/>
              </w:rPr>
              <w:t>De los 1.101 municipios existentes en Colombia, 126 cuentan con más de 50.000 habitantes. En estos últimos, sólo se presentan dos casos de prestación directa por parte del municipio: San Vicente del Caguán, en el departamento de Caquetá, y Zona Bananera, en el de Magdalena. En los demás, los servicios de acueducto y alcantarillado son prestados por empresas de diversa naturaleza. En la siguiente tabla, se presenta las seis modalidades de prestación en los 126 municipios grandes:</w:t>
            </w:r>
          </w:p>
          <w:p w14:paraId="174909C5" w14:textId="77777777" w:rsidR="0079030E" w:rsidRDefault="0079030E" w:rsidP="00F86D7F">
            <w:pPr>
              <w:jc w:val="both"/>
              <w:rPr>
                <w:rFonts w:ascii="Arial" w:hAnsi="Arial" w:cs="Arial"/>
                <w:sz w:val="18"/>
                <w:szCs w:val="18"/>
                <w:lang w:val="es-ES_tradnl"/>
              </w:rPr>
            </w:pPr>
          </w:p>
          <w:tbl>
            <w:tblPr>
              <w:tblStyle w:val="TableGrid"/>
              <w:tblW w:w="0" w:type="auto"/>
              <w:jc w:val="center"/>
              <w:tblLayout w:type="fixed"/>
              <w:tblLook w:val="04A0" w:firstRow="1" w:lastRow="0" w:firstColumn="1" w:lastColumn="0" w:noHBand="0" w:noVBand="1"/>
            </w:tblPr>
            <w:tblGrid>
              <w:gridCol w:w="1505"/>
              <w:gridCol w:w="360"/>
              <w:gridCol w:w="450"/>
              <w:gridCol w:w="720"/>
              <w:gridCol w:w="442"/>
            </w:tblGrid>
            <w:tr w:rsidR="00CA4D62" w:rsidRPr="00840CA7" w14:paraId="391C08C0" w14:textId="77777777" w:rsidTr="00CA4D62">
              <w:trPr>
                <w:trHeight w:val="278"/>
                <w:jc w:val="center"/>
              </w:trPr>
              <w:tc>
                <w:tcPr>
                  <w:tcW w:w="3477" w:type="dxa"/>
                  <w:gridSpan w:val="5"/>
                  <w:vAlign w:val="center"/>
                </w:tcPr>
                <w:p w14:paraId="4E7D5468" w14:textId="77777777" w:rsidR="00CA4D62" w:rsidRPr="008D2B30" w:rsidRDefault="00CA4D62" w:rsidP="00F86D7F">
                  <w:pPr>
                    <w:jc w:val="center"/>
                    <w:rPr>
                      <w:rFonts w:ascii="Arial" w:hAnsi="Arial" w:cs="Arial"/>
                      <w:sz w:val="9"/>
                      <w:szCs w:val="9"/>
                      <w:lang w:val="es-ES_tradnl"/>
                    </w:rPr>
                  </w:pPr>
                  <w:r w:rsidRPr="008D2B30">
                    <w:rPr>
                      <w:rFonts w:ascii="Arial" w:hAnsi="Arial" w:cs="Arial"/>
                      <w:sz w:val="9"/>
                      <w:szCs w:val="9"/>
                      <w:lang w:val="es-ES_tradnl"/>
                    </w:rPr>
                    <w:t>Modalidades de prestación de los servicios de agua y saneamiento en los municipios grandes de Colombia</w:t>
                  </w:r>
                </w:p>
              </w:tc>
            </w:tr>
            <w:tr w:rsidR="00CA4D62" w:rsidRPr="008D2B30" w14:paraId="77B86A8F" w14:textId="77777777" w:rsidTr="008D2B30">
              <w:trPr>
                <w:trHeight w:val="179"/>
                <w:jc w:val="center"/>
              </w:trPr>
              <w:tc>
                <w:tcPr>
                  <w:tcW w:w="1505" w:type="dxa"/>
                  <w:vMerge w:val="restart"/>
                  <w:vAlign w:val="center"/>
                </w:tcPr>
                <w:p w14:paraId="038887F8" w14:textId="77777777" w:rsidR="00CA4D62" w:rsidRPr="008D2B30" w:rsidRDefault="00CA4D62" w:rsidP="00F86D7F">
                  <w:pPr>
                    <w:ind w:left="-43"/>
                    <w:jc w:val="center"/>
                    <w:rPr>
                      <w:rFonts w:ascii="Arial" w:hAnsi="Arial" w:cs="Arial"/>
                      <w:sz w:val="9"/>
                      <w:szCs w:val="9"/>
                      <w:lang w:val="es-ES_tradnl"/>
                    </w:rPr>
                  </w:pPr>
                  <w:r w:rsidRPr="008D2B30">
                    <w:rPr>
                      <w:rFonts w:ascii="Arial" w:hAnsi="Arial" w:cs="Arial"/>
                      <w:sz w:val="9"/>
                      <w:szCs w:val="9"/>
                      <w:lang w:val="es-ES_tradnl"/>
                    </w:rPr>
                    <w:t>Modalidad</w:t>
                  </w:r>
                </w:p>
              </w:tc>
              <w:tc>
                <w:tcPr>
                  <w:tcW w:w="810" w:type="dxa"/>
                  <w:gridSpan w:val="2"/>
                  <w:vAlign w:val="center"/>
                </w:tcPr>
                <w:p w14:paraId="27D4DCE2" w14:textId="77777777" w:rsidR="00CA4D62" w:rsidRPr="008D2B30" w:rsidRDefault="00CA4D62" w:rsidP="00F86D7F">
                  <w:pPr>
                    <w:jc w:val="center"/>
                    <w:rPr>
                      <w:rFonts w:ascii="Arial" w:hAnsi="Arial" w:cs="Arial"/>
                      <w:sz w:val="9"/>
                      <w:szCs w:val="9"/>
                      <w:lang w:val="es-ES_tradnl"/>
                    </w:rPr>
                  </w:pPr>
                  <w:r w:rsidRPr="008D2B30">
                    <w:rPr>
                      <w:rFonts w:ascii="Arial" w:hAnsi="Arial" w:cs="Arial"/>
                      <w:sz w:val="9"/>
                      <w:szCs w:val="9"/>
                      <w:lang w:val="es-ES_tradnl"/>
                    </w:rPr>
                    <w:t>Municipio</w:t>
                  </w:r>
                </w:p>
              </w:tc>
              <w:tc>
                <w:tcPr>
                  <w:tcW w:w="1162" w:type="dxa"/>
                  <w:gridSpan w:val="2"/>
                  <w:vAlign w:val="center"/>
                </w:tcPr>
                <w:p w14:paraId="2C2A8EE3" w14:textId="77777777" w:rsidR="00CA4D62" w:rsidRPr="008D2B30" w:rsidRDefault="00CA4D62" w:rsidP="00F86D7F">
                  <w:pPr>
                    <w:jc w:val="center"/>
                    <w:rPr>
                      <w:rFonts w:ascii="Arial" w:hAnsi="Arial" w:cs="Arial"/>
                      <w:sz w:val="9"/>
                      <w:szCs w:val="9"/>
                      <w:lang w:val="es-ES_tradnl"/>
                    </w:rPr>
                  </w:pPr>
                  <w:r w:rsidRPr="008D2B30">
                    <w:rPr>
                      <w:rFonts w:ascii="Arial" w:hAnsi="Arial" w:cs="Arial"/>
                      <w:sz w:val="9"/>
                      <w:szCs w:val="9"/>
                      <w:lang w:val="es-ES_tradnl"/>
                    </w:rPr>
                    <w:t>Población</w:t>
                  </w:r>
                </w:p>
              </w:tc>
            </w:tr>
            <w:tr w:rsidR="00CA4D62" w:rsidRPr="008D2B30" w14:paraId="529E7FFC" w14:textId="77777777" w:rsidTr="008D2B30">
              <w:trPr>
                <w:trHeight w:val="161"/>
                <w:jc w:val="center"/>
              </w:trPr>
              <w:tc>
                <w:tcPr>
                  <w:tcW w:w="1505" w:type="dxa"/>
                  <w:vMerge/>
                  <w:vAlign w:val="center"/>
                </w:tcPr>
                <w:p w14:paraId="78DCF6D1" w14:textId="77777777" w:rsidR="00CA4D62" w:rsidRPr="008D2B30" w:rsidRDefault="00CA4D62" w:rsidP="00F86D7F">
                  <w:pPr>
                    <w:ind w:left="-43"/>
                    <w:jc w:val="both"/>
                    <w:rPr>
                      <w:rFonts w:ascii="Arial" w:hAnsi="Arial" w:cs="Arial"/>
                      <w:sz w:val="9"/>
                      <w:szCs w:val="9"/>
                      <w:lang w:val="es-ES_tradnl"/>
                    </w:rPr>
                  </w:pPr>
                </w:p>
              </w:tc>
              <w:tc>
                <w:tcPr>
                  <w:tcW w:w="360" w:type="dxa"/>
                  <w:vAlign w:val="center"/>
                </w:tcPr>
                <w:p w14:paraId="4FF5AE54" w14:textId="77777777" w:rsidR="00CA4D62" w:rsidRPr="008D2B30" w:rsidRDefault="008D2B30" w:rsidP="00F86D7F">
                  <w:pPr>
                    <w:jc w:val="both"/>
                    <w:rPr>
                      <w:rFonts w:ascii="Arial" w:hAnsi="Arial" w:cs="Arial"/>
                      <w:sz w:val="9"/>
                      <w:szCs w:val="9"/>
                      <w:lang w:val="es-ES_tradnl"/>
                    </w:rPr>
                  </w:pPr>
                  <w:r>
                    <w:rPr>
                      <w:rFonts w:ascii="Arial" w:hAnsi="Arial" w:cs="Arial"/>
                      <w:sz w:val="9"/>
                      <w:szCs w:val="9"/>
                      <w:lang w:val="es-ES_tradnl"/>
                    </w:rPr>
                    <w:t>#</w:t>
                  </w:r>
                </w:p>
              </w:tc>
              <w:tc>
                <w:tcPr>
                  <w:tcW w:w="450" w:type="dxa"/>
                  <w:vAlign w:val="center"/>
                </w:tcPr>
                <w:p w14:paraId="1F2DB6D7" w14:textId="77777777" w:rsidR="00CA4D62" w:rsidRPr="008D2B30" w:rsidRDefault="00CA4D62" w:rsidP="00F86D7F">
                  <w:pPr>
                    <w:jc w:val="both"/>
                    <w:rPr>
                      <w:rFonts w:ascii="Arial" w:hAnsi="Arial" w:cs="Arial"/>
                      <w:sz w:val="9"/>
                      <w:szCs w:val="9"/>
                      <w:lang w:val="es-ES_tradnl"/>
                    </w:rPr>
                  </w:pPr>
                  <w:r w:rsidRPr="008D2B30">
                    <w:rPr>
                      <w:rFonts w:ascii="Arial" w:hAnsi="Arial" w:cs="Arial"/>
                      <w:sz w:val="9"/>
                      <w:szCs w:val="9"/>
                      <w:lang w:val="es-ES_tradnl"/>
                    </w:rPr>
                    <w:t>%</w:t>
                  </w:r>
                </w:p>
              </w:tc>
              <w:tc>
                <w:tcPr>
                  <w:tcW w:w="720" w:type="dxa"/>
                  <w:vAlign w:val="center"/>
                </w:tcPr>
                <w:p w14:paraId="37CC2648" w14:textId="77777777" w:rsidR="00CA4D62" w:rsidRPr="008D2B30" w:rsidRDefault="008D2B30" w:rsidP="00F86D7F">
                  <w:pPr>
                    <w:ind w:left="-108"/>
                    <w:jc w:val="center"/>
                    <w:rPr>
                      <w:rFonts w:ascii="Arial" w:hAnsi="Arial" w:cs="Arial"/>
                      <w:sz w:val="9"/>
                      <w:szCs w:val="9"/>
                      <w:lang w:val="es-ES_tradnl"/>
                    </w:rPr>
                  </w:pPr>
                  <w:r>
                    <w:rPr>
                      <w:rFonts w:ascii="Arial" w:hAnsi="Arial" w:cs="Arial"/>
                      <w:sz w:val="9"/>
                      <w:szCs w:val="9"/>
                      <w:lang w:val="es-ES_tradnl"/>
                    </w:rPr>
                    <w:t>#</w:t>
                  </w:r>
                </w:p>
              </w:tc>
              <w:tc>
                <w:tcPr>
                  <w:tcW w:w="442" w:type="dxa"/>
                  <w:vAlign w:val="center"/>
                </w:tcPr>
                <w:p w14:paraId="2DE55945" w14:textId="77777777" w:rsidR="00CA4D62" w:rsidRPr="008D2B30" w:rsidRDefault="00CA4D62" w:rsidP="00F86D7F">
                  <w:pPr>
                    <w:jc w:val="center"/>
                    <w:rPr>
                      <w:rFonts w:ascii="Arial" w:hAnsi="Arial" w:cs="Arial"/>
                      <w:sz w:val="9"/>
                      <w:szCs w:val="9"/>
                      <w:lang w:val="es-ES_tradnl"/>
                    </w:rPr>
                  </w:pPr>
                  <w:r w:rsidRPr="008D2B30">
                    <w:rPr>
                      <w:rFonts w:ascii="Arial" w:hAnsi="Arial" w:cs="Arial"/>
                      <w:sz w:val="9"/>
                      <w:szCs w:val="9"/>
                      <w:lang w:val="es-ES_tradnl"/>
                    </w:rPr>
                    <w:t>%</w:t>
                  </w:r>
                </w:p>
              </w:tc>
            </w:tr>
            <w:tr w:rsidR="00CA4D62" w:rsidRPr="008D2B30" w14:paraId="003B4FB4" w14:textId="77777777" w:rsidTr="008D2B30">
              <w:trPr>
                <w:jc w:val="center"/>
              </w:trPr>
              <w:tc>
                <w:tcPr>
                  <w:tcW w:w="1505" w:type="dxa"/>
                  <w:vAlign w:val="center"/>
                </w:tcPr>
                <w:p w14:paraId="25A0D12C" w14:textId="77777777" w:rsidR="00CA4D62" w:rsidRPr="008D2B30" w:rsidRDefault="00CA4D62" w:rsidP="00F86D7F">
                  <w:pPr>
                    <w:ind w:left="-43"/>
                    <w:jc w:val="both"/>
                    <w:rPr>
                      <w:rFonts w:ascii="Arial" w:hAnsi="Arial" w:cs="Arial"/>
                      <w:sz w:val="9"/>
                      <w:szCs w:val="9"/>
                      <w:lang w:val="es-ES_tradnl"/>
                    </w:rPr>
                  </w:pPr>
                  <w:r w:rsidRPr="008D2B30">
                    <w:rPr>
                      <w:rFonts w:ascii="Arial" w:hAnsi="Arial" w:cs="Arial"/>
                      <w:sz w:val="9"/>
                      <w:szCs w:val="9"/>
                      <w:lang w:val="es-ES_tradnl"/>
                    </w:rPr>
                    <w:t>Empresas públicas propiedad del municipio</w:t>
                  </w:r>
                </w:p>
              </w:tc>
              <w:tc>
                <w:tcPr>
                  <w:tcW w:w="360" w:type="dxa"/>
                  <w:vAlign w:val="center"/>
                </w:tcPr>
                <w:p w14:paraId="25854AAB" w14:textId="77777777" w:rsidR="00CA4D62" w:rsidRPr="008D2B30" w:rsidRDefault="00CA4D62" w:rsidP="00F86D7F">
                  <w:pPr>
                    <w:ind w:left="-108"/>
                    <w:jc w:val="right"/>
                    <w:rPr>
                      <w:rFonts w:ascii="Arial" w:hAnsi="Arial" w:cs="Arial"/>
                      <w:sz w:val="9"/>
                      <w:szCs w:val="9"/>
                      <w:lang w:val="es-ES_tradnl"/>
                    </w:rPr>
                  </w:pPr>
                  <w:r w:rsidRPr="008D2B30">
                    <w:rPr>
                      <w:rFonts w:ascii="Arial" w:hAnsi="Arial" w:cs="Arial"/>
                      <w:sz w:val="9"/>
                      <w:szCs w:val="9"/>
                      <w:lang w:val="es-ES_tradnl"/>
                    </w:rPr>
                    <w:t>69</w:t>
                  </w:r>
                </w:p>
              </w:tc>
              <w:tc>
                <w:tcPr>
                  <w:tcW w:w="450" w:type="dxa"/>
                  <w:vAlign w:val="center"/>
                </w:tcPr>
                <w:p w14:paraId="058E591E" w14:textId="77777777" w:rsidR="00CA4D62" w:rsidRPr="008D2B30" w:rsidRDefault="00CA4D62" w:rsidP="00F86D7F">
                  <w:pPr>
                    <w:jc w:val="right"/>
                    <w:rPr>
                      <w:rFonts w:ascii="Arial" w:hAnsi="Arial" w:cs="Arial"/>
                      <w:sz w:val="9"/>
                      <w:szCs w:val="9"/>
                      <w:lang w:val="es-ES_tradnl"/>
                    </w:rPr>
                  </w:pPr>
                  <w:r w:rsidRPr="008D2B30">
                    <w:rPr>
                      <w:rFonts w:ascii="Arial" w:hAnsi="Arial" w:cs="Arial"/>
                      <w:sz w:val="9"/>
                      <w:szCs w:val="9"/>
                      <w:lang w:val="es-ES_tradnl"/>
                    </w:rPr>
                    <w:t>54,8</w:t>
                  </w:r>
                </w:p>
              </w:tc>
              <w:tc>
                <w:tcPr>
                  <w:tcW w:w="720" w:type="dxa"/>
                  <w:vAlign w:val="center"/>
                </w:tcPr>
                <w:p w14:paraId="40FD82F4" w14:textId="77777777" w:rsidR="00CA4D62" w:rsidRPr="008D2B30" w:rsidRDefault="007527AC" w:rsidP="00F86D7F">
                  <w:pPr>
                    <w:jc w:val="right"/>
                    <w:rPr>
                      <w:rFonts w:ascii="Arial" w:hAnsi="Arial" w:cs="Arial"/>
                      <w:sz w:val="9"/>
                      <w:szCs w:val="9"/>
                      <w:lang w:val="es-ES_tradnl"/>
                    </w:rPr>
                  </w:pPr>
                  <w:r w:rsidRPr="008D2B30">
                    <w:rPr>
                      <w:rFonts w:ascii="Arial" w:hAnsi="Arial" w:cs="Arial"/>
                      <w:sz w:val="9"/>
                      <w:szCs w:val="9"/>
                      <w:lang w:val="es-ES_tradnl"/>
                    </w:rPr>
                    <w:t>21.091.182</w:t>
                  </w:r>
                </w:p>
              </w:tc>
              <w:tc>
                <w:tcPr>
                  <w:tcW w:w="442" w:type="dxa"/>
                  <w:vAlign w:val="center"/>
                </w:tcPr>
                <w:p w14:paraId="5895A72D" w14:textId="77777777" w:rsidR="00CA4D62" w:rsidRPr="008D2B30" w:rsidRDefault="007527AC" w:rsidP="00F86D7F">
                  <w:pPr>
                    <w:jc w:val="right"/>
                    <w:rPr>
                      <w:rFonts w:ascii="Arial" w:hAnsi="Arial" w:cs="Arial"/>
                      <w:sz w:val="9"/>
                      <w:szCs w:val="9"/>
                      <w:lang w:val="es-ES_tradnl"/>
                    </w:rPr>
                  </w:pPr>
                  <w:r w:rsidRPr="008D2B30">
                    <w:rPr>
                      <w:rFonts w:ascii="Arial" w:hAnsi="Arial" w:cs="Arial"/>
                      <w:sz w:val="9"/>
                      <w:szCs w:val="9"/>
                      <w:lang w:val="es-ES_tradnl"/>
                    </w:rPr>
                    <w:t>63,6</w:t>
                  </w:r>
                </w:p>
              </w:tc>
            </w:tr>
            <w:tr w:rsidR="00CA4D62" w:rsidRPr="008D2B30" w14:paraId="43EED87A" w14:textId="77777777" w:rsidTr="008D2B30">
              <w:trPr>
                <w:jc w:val="center"/>
              </w:trPr>
              <w:tc>
                <w:tcPr>
                  <w:tcW w:w="1505" w:type="dxa"/>
                  <w:vAlign w:val="center"/>
                </w:tcPr>
                <w:p w14:paraId="7E6D6482" w14:textId="77777777" w:rsidR="00CA4D62" w:rsidRPr="008D2B30" w:rsidRDefault="00CA4D62" w:rsidP="00F86D7F">
                  <w:pPr>
                    <w:ind w:left="-43"/>
                    <w:jc w:val="both"/>
                    <w:rPr>
                      <w:rFonts w:ascii="Arial" w:hAnsi="Arial" w:cs="Arial"/>
                      <w:sz w:val="9"/>
                      <w:szCs w:val="9"/>
                      <w:lang w:val="es-ES_tradnl"/>
                    </w:rPr>
                  </w:pPr>
                  <w:r w:rsidRPr="008D2B30">
                    <w:rPr>
                      <w:rFonts w:ascii="Arial" w:hAnsi="Arial" w:cs="Arial"/>
                      <w:sz w:val="9"/>
                      <w:szCs w:val="9"/>
                      <w:lang w:val="es-ES_tradnl"/>
                    </w:rPr>
                    <w:t>Contratos con operador privado</w:t>
                  </w:r>
                </w:p>
              </w:tc>
              <w:tc>
                <w:tcPr>
                  <w:tcW w:w="360" w:type="dxa"/>
                  <w:vAlign w:val="center"/>
                </w:tcPr>
                <w:p w14:paraId="45B5D14E" w14:textId="77777777" w:rsidR="00CA4D62" w:rsidRPr="008D2B30" w:rsidRDefault="00CA4D62" w:rsidP="00F86D7F">
                  <w:pPr>
                    <w:ind w:left="-108"/>
                    <w:jc w:val="right"/>
                    <w:rPr>
                      <w:rFonts w:ascii="Arial" w:hAnsi="Arial" w:cs="Arial"/>
                      <w:sz w:val="9"/>
                      <w:szCs w:val="9"/>
                      <w:lang w:val="es-ES_tradnl"/>
                    </w:rPr>
                  </w:pPr>
                  <w:r w:rsidRPr="008D2B30">
                    <w:rPr>
                      <w:rFonts w:ascii="Arial" w:hAnsi="Arial" w:cs="Arial"/>
                      <w:sz w:val="9"/>
                      <w:szCs w:val="9"/>
                      <w:lang w:val="es-ES_tradnl"/>
                    </w:rPr>
                    <w:t>26</w:t>
                  </w:r>
                </w:p>
              </w:tc>
              <w:tc>
                <w:tcPr>
                  <w:tcW w:w="450" w:type="dxa"/>
                  <w:vAlign w:val="center"/>
                </w:tcPr>
                <w:p w14:paraId="6B2B6BC9" w14:textId="77777777" w:rsidR="00CA4D62" w:rsidRPr="008D2B30" w:rsidRDefault="00CA4D62" w:rsidP="00F86D7F">
                  <w:pPr>
                    <w:jc w:val="right"/>
                    <w:rPr>
                      <w:rFonts w:ascii="Arial" w:hAnsi="Arial" w:cs="Arial"/>
                      <w:sz w:val="9"/>
                      <w:szCs w:val="9"/>
                      <w:lang w:val="es-ES_tradnl"/>
                    </w:rPr>
                  </w:pPr>
                  <w:r w:rsidRPr="008D2B30">
                    <w:rPr>
                      <w:rFonts w:ascii="Arial" w:hAnsi="Arial" w:cs="Arial"/>
                      <w:sz w:val="9"/>
                      <w:szCs w:val="9"/>
                      <w:lang w:val="es-ES_tradnl"/>
                    </w:rPr>
                    <w:t>20,6</w:t>
                  </w:r>
                </w:p>
              </w:tc>
              <w:tc>
                <w:tcPr>
                  <w:tcW w:w="720" w:type="dxa"/>
                  <w:vAlign w:val="center"/>
                </w:tcPr>
                <w:p w14:paraId="7BD2DEAC" w14:textId="77777777" w:rsidR="00CA4D62" w:rsidRPr="008D2B30" w:rsidRDefault="007527AC" w:rsidP="00F86D7F">
                  <w:pPr>
                    <w:jc w:val="right"/>
                    <w:rPr>
                      <w:rFonts w:ascii="Arial" w:hAnsi="Arial" w:cs="Arial"/>
                      <w:sz w:val="9"/>
                      <w:szCs w:val="9"/>
                      <w:lang w:val="es-ES_tradnl"/>
                    </w:rPr>
                  </w:pPr>
                  <w:r w:rsidRPr="008D2B30">
                    <w:rPr>
                      <w:rFonts w:ascii="Arial" w:hAnsi="Arial" w:cs="Arial"/>
                      <w:sz w:val="9"/>
                      <w:szCs w:val="9"/>
                      <w:lang w:val="es-ES_tradnl"/>
                    </w:rPr>
                    <w:t>7.131.055</w:t>
                  </w:r>
                </w:p>
              </w:tc>
              <w:tc>
                <w:tcPr>
                  <w:tcW w:w="442" w:type="dxa"/>
                  <w:vAlign w:val="center"/>
                </w:tcPr>
                <w:p w14:paraId="63B578F9" w14:textId="77777777" w:rsidR="00CA4D62" w:rsidRPr="008D2B30" w:rsidRDefault="007527AC" w:rsidP="00F86D7F">
                  <w:pPr>
                    <w:jc w:val="right"/>
                    <w:rPr>
                      <w:rFonts w:ascii="Arial" w:hAnsi="Arial" w:cs="Arial"/>
                      <w:sz w:val="9"/>
                      <w:szCs w:val="9"/>
                      <w:lang w:val="es-ES_tradnl"/>
                    </w:rPr>
                  </w:pPr>
                  <w:r w:rsidRPr="008D2B30">
                    <w:rPr>
                      <w:rFonts w:ascii="Arial" w:hAnsi="Arial" w:cs="Arial"/>
                      <w:sz w:val="9"/>
                      <w:szCs w:val="9"/>
                      <w:lang w:val="es-ES_tradnl"/>
                    </w:rPr>
                    <w:t>21,5</w:t>
                  </w:r>
                </w:p>
              </w:tc>
            </w:tr>
            <w:tr w:rsidR="00CA4D62" w:rsidRPr="008D2B30" w14:paraId="1D7BEF64" w14:textId="77777777" w:rsidTr="008D2B30">
              <w:trPr>
                <w:jc w:val="center"/>
              </w:trPr>
              <w:tc>
                <w:tcPr>
                  <w:tcW w:w="1505" w:type="dxa"/>
                  <w:vAlign w:val="center"/>
                </w:tcPr>
                <w:p w14:paraId="3CF38900" w14:textId="77777777" w:rsidR="00CA4D62" w:rsidRPr="008D2B30" w:rsidRDefault="00CA4D62" w:rsidP="00F86D7F">
                  <w:pPr>
                    <w:ind w:left="-43"/>
                    <w:jc w:val="both"/>
                    <w:rPr>
                      <w:rFonts w:ascii="Arial" w:hAnsi="Arial" w:cs="Arial"/>
                      <w:sz w:val="9"/>
                      <w:szCs w:val="9"/>
                      <w:lang w:val="es-ES_tradnl"/>
                    </w:rPr>
                  </w:pPr>
                  <w:r w:rsidRPr="008D2B30">
                    <w:rPr>
                      <w:rFonts w:ascii="Arial" w:hAnsi="Arial" w:cs="Arial"/>
                      <w:sz w:val="9"/>
                      <w:szCs w:val="9"/>
                      <w:lang w:val="es-ES_tradnl"/>
                    </w:rPr>
                    <w:t>Empresa mixta con mayoría pública</w:t>
                  </w:r>
                </w:p>
              </w:tc>
              <w:tc>
                <w:tcPr>
                  <w:tcW w:w="360" w:type="dxa"/>
                  <w:vAlign w:val="center"/>
                </w:tcPr>
                <w:p w14:paraId="65DBA62E" w14:textId="77777777" w:rsidR="00CA4D62" w:rsidRPr="008D2B30" w:rsidRDefault="00CA4D62" w:rsidP="00F86D7F">
                  <w:pPr>
                    <w:ind w:left="-108"/>
                    <w:jc w:val="right"/>
                    <w:rPr>
                      <w:rFonts w:ascii="Arial" w:hAnsi="Arial" w:cs="Arial"/>
                      <w:sz w:val="9"/>
                      <w:szCs w:val="9"/>
                      <w:lang w:val="es-ES_tradnl"/>
                    </w:rPr>
                  </w:pPr>
                  <w:r w:rsidRPr="008D2B30">
                    <w:rPr>
                      <w:rFonts w:ascii="Arial" w:hAnsi="Arial" w:cs="Arial"/>
                      <w:sz w:val="9"/>
                      <w:szCs w:val="9"/>
                      <w:lang w:val="es-ES_tradnl"/>
                    </w:rPr>
                    <w:t>4</w:t>
                  </w:r>
                </w:p>
              </w:tc>
              <w:tc>
                <w:tcPr>
                  <w:tcW w:w="450" w:type="dxa"/>
                  <w:vAlign w:val="center"/>
                </w:tcPr>
                <w:p w14:paraId="3683231B" w14:textId="77777777" w:rsidR="00CA4D62" w:rsidRPr="008D2B30" w:rsidRDefault="00CA4D62" w:rsidP="00F86D7F">
                  <w:pPr>
                    <w:jc w:val="right"/>
                    <w:rPr>
                      <w:rFonts w:ascii="Arial" w:hAnsi="Arial" w:cs="Arial"/>
                      <w:sz w:val="9"/>
                      <w:szCs w:val="9"/>
                      <w:lang w:val="es-ES_tradnl"/>
                    </w:rPr>
                  </w:pPr>
                  <w:r w:rsidRPr="008D2B30">
                    <w:rPr>
                      <w:rFonts w:ascii="Arial" w:hAnsi="Arial" w:cs="Arial"/>
                      <w:sz w:val="9"/>
                      <w:szCs w:val="9"/>
                      <w:lang w:val="es-ES_tradnl"/>
                    </w:rPr>
                    <w:t>3,2</w:t>
                  </w:r>
                </w:p>
              </w:tc>
              <w:tc>
                <w:tcPr>
                  <w:tcW w:w="720" w:type="dxa"/>
                  <w:vAlign w:val="center"/>
                </w:tcPr>
                <w:p w14:paraId="5FE687F7" w14:textId="77777777" w:rsidR="00CA4D62" w:rsidRPr="008D2B30" w:rsidRDefault="007527AC" w:rsidP="00F86D7F">
                  <w:pPr>
                    <w:jc w:val="right"/>
                    <w:rPr>
                      <w:rFonts w:ascii="Arial" w:hAnsi="Arial" w:cs="Arial"/>
                      <w:sz w:val="9"/>
                      <w:szCs w:val="9"/>
                      <w:lang w:val="es-ES_tradnl"/>
                    </w:rPr>
                  </w:pPr>
                  <w:r w:rsidRPr="008D2B30">
                    <w:rPr>
                      <w:rFonts w:ascii="Arial" w:hAnsi="Arial" w:cs="Arial"/>
                      <w:sz w:val="9"/>
                      <w:szCs w:val="9"/>
                      <w:lang w:val="es-ES_tradnl"/>
                    </w:rPr>
                    <w:t>1.372.219</w:t>
                  </w:r>
                </w:p>
              </w:tc>
              <w:tc>
                <w:tcPr>
                  <w:tcW w:w="442" w:type="dxa"/>
                  <w:vAlign w:val="center"/>
                </w:tcPr>
                <w:p w14:paraId="29FB01AC" w14:textId="77777777" w:rsidR="00CA4D62" w:rsidRPr="008D2B30" w:rsidRDefault="007527AC" w:rsidP="00F86D7F">
                  <w:pPr>
                    <w:jc w:val="right"/>
                    <w:rPr>
                      <w:rFonts w:ascii="Arial" w:hAnsi="Arial" w:cs="Arial"/>
                      <w:sz w:val="9"/>
                      <w:szCs w:val="9"/>
                      <w:lang w:val="es-ES_tradnl"/>
                    </w:rPr>
                  </w:pPr>
                  <w:r w:rsidRPr="008D2B30">
                    <w:rPr>
                      <w:rFonts w:ascii="Arial" w:hAnsi="Arial" w:cs="Arial"/>
                      <w:sz w:val="9"/>
                      <w:szCs w:val="9"/>
                      <w:lang w:val="es-ES_tradnl"/>
                    </w:rPr>
                    <w:t>4,1</w:t>
                  </w:r>
                </w:p>
              </w:tc>
            </w:tr>
            <w:tr w:rsidR="00CA4D62" w:rsidRPr="008D2B30" w14:paraId="1DCD98A0" w14:textId="77777777" w:rsidTr="008D2B30">
              <w:trPr>
                <w:jc w:val="center"/>
              </w:trPr>
              <w:tc>
                <w:tcPr>
                  <w:tcW w:w="1505" w:type="dxa"/>
                  <w:vAlign w:val="center"/>
                </w:tcPr>
                <w:p w14:paraId="369B82E1" w14:textId="77777777" w:rsidR="00CA4D62" w:rsidRPr="008D2B30" w:rsidRDefault="00CA4D62" w:rsidP="00F86D7F">
                  <w:pPr>
                    <w:ind w:left="-43"/>
                    <w:jc w:val="both"/>
                    <w:rPr>
                      <w:rFonts w:ascii="Arial" w:hAnsi="Arial" w:cs="Arial"/>
                      <w:sz w:val="9"/>
                      <w:szCs w:val="9"/>
                      <w:lang w:val="pt-BR"/>
                    </w:rPr>
                  </w:pPr>
                  <w:r w:rsidRPr="008D2B30">
                    <w:rPr>
                      <w:rFonts w:ascii="Arial" w:hAnsi="Arial" w:cs="Arial"/>
                      <w:sz w:val="9"/>
                      <w:szCs w:val="9"/>
                      <w:lang w:val="pt-BR"/>
                    </w:rPr>
                    <w:t>Empresa pública regional o departamental</w:t>
                  </w:r>
                </w:p>
              </w:tc>
              <w:tc>
                <w:tcPr>
                  <w:tcW w:w="360" w:type="dxa"/>
                  <w:vAlign w:val="center"/>
                </w:tcPr>
                <w:p w14:paraId="06F8CA62" w14:textId="77777777" w:rsidR="00CA4D62" w:rsidRPr="008D2B30" w:rsidRDefault="00CA4D62" w:rsidP="00F86D7F">
                  <w:pPr>
                    <w:ind w:left="-108"/>
                    <w:jc w:val="right"/>
                    <w:rPr>
                      <w:rFonts w:ascii="Arial" w:hAnsi="Arial" w:cs="Arial"/>
                      <w:sz w:val="9"/>
                      <w:szCs w:val="9"/>
                      <w:lang w:val="pt-BR"/>
                    </w:rPr>
                  </w:pPr>
                  <w:r w:rsidRPr="008D2B30">
                    <w:rPr>
                      <w:rFonts w:ascii="Arial" w:hAnsi="Arial" w:cs="Arial"/>
                      <w:sz w:val="9"/>
                      <w:szCs w:val="9"/>
                      <w:lang w:val="pt-BR"/>
                    </w:rPr>
                    <w:t>8</w:t>
                  </w:r>
                </w:p>
              </w:tc>
              <w:tc>
                <w:tcPr>
                  <w:tcW w:w="450" w:type="dxa"/>
                  <w:vAlign w:val="center"/>
                </w:tcPr>
                <w:p w14:paraId="1178C083" w14:textId="77777777" w:rsidR="00CA4D62" w:rsidRPr="008D2B30" w:rsidRDefault="00CA4D62" w:rsidP="00F86D7F">
                  <w:pPr>
                    <w:jc w:val="right"/>
                    <w:rPr>
                      <w:rFonts w:ascii="Arial" w:hAnsi="Arial" w:cs="Arial"/>
                      <w:sz w:val="9"/>
                      <w:szCs w:val="9"/>
                      <w:lang w:val="pt-BR"/>
                    </w:rPr>
                  </w:pPr>
                  <w:r w:rsidRPr="008D2B30">
                    <w:rPr>
                      <w:rFonts w:ascii="Arial" w:hAnsi="Arial" w:cs="Arial"/>
                      <w:sz w:val="9"/>
                      <w:szCs w:val="9"/>
                      <w:lang w:val="pt-BR"/>
                    </w:rPr>
                    <w:t>6,3</w:t>
                  </w:r>
                </w:p>
              </w:tc>
              <w:tc>
                <w:tcPr>
                  <w:tcW w:w="720" w:type="dxa"/>
                  <w:vAlign w:val="center"/>
                </w:tcPr>
                <w:p w14:paraId="607E09D3" w14:textId="77777777" w:rsidR="00CA4D62" w:rsidRPr="008D2B30" w:rsidRDefault="007527AC" w:rsidP="00F86D7F">
                  <w:pPr>
                    <w:jc w:val="right"/>
                    <w:rPr>
                      <w:rFonts w:ascii="Arial" w:hAnsi="Arial" w:cs="Arial"/>
                      <w:sz w:val="9"/>
                      <w:szCs w:val="9"/>
                      <w:lang w:val="pt-BR"/>
                    </w:rPr>
                  </w:pPr>
                  <w:r w:rsidRPr="008D2B30">
                    <w:rPr>
                      <w:rFonts w:ascii="Arial" w:hAnsi="Arial" w:cs="Arial"/>
                      <w:sz w:val="9"/>
                      <w:szCs w:val="9"/>
                      <w:lang w:val="pt-BR"/>
                    </w:rPr>
                    <w:t>556.228</w:t>
                  </w:r>
                </w:p>
              </w:tc>
              <w:tc>
                <w:tcPr>
                  <w:tcW w:w="442" w:type="dxa"/>
                  <w:vAlign w:val="center"/>
                </w:tcPr>
                <w:p w14:paraId="5E4BD23F" w14:textId="77777777" w:rsidR="00CA4D62" w:rsidRPr="008D2B30" w:rsidRDefault="007527AC" w:rsidP="00F86D7F">
                  <w:pPr>
                    <w:jc w:val="right"/>
                    <w:rPr>
                      <w:rFonts w:ascii="Arial" w:hAnsi="Arial" w:cs="Arial"/>
                      <w:sz w:val="9"/>
                      <w:szCs w:val="9"/>
                      <w:lang w:val="pt-BR"/>
                    </w:rPr>
                  </w:pPr>
                  <w:r w:rsidRPr="008D2B30">
                    <w:rPr>
                      <w:rFonts w:ascii="Arial" w:hAnsi="Arial" w:cs="Arial"/>
                      <w:sz w:val="9"/>
                      <w:szCs w:val="9"/>
                      <w:lang w:val="pt-BR"/>
                    </w:rPr>
                    <w:t>1,7</w:t>
                  </w:r>
                </w:p>
              </w:tc>
            </w:tr>
            <w:tr w:rsidR="00CA4D62" w:rsidRPr="008D2B30" w14:paraId="21554852" w14:textId="77777777" w:rsidTr="008D2B30">
              <w:trPr>
                <w:jc w:val="center"/>
              </w:trPr>
              <w:tc>
                <w:tcPr>
                  <w:tcW w:w="1505" w:type="dxa"/>
                  <w:vAlign w:val="center"/>
                </w:tcPr>
                <w:p w14:paraId="7364EE84" w14:textId="77777777" w:rsidR="00CA4D62" w:rsidRPr="008D2B30" w:rsidRDefault="00CA4D62" w:rsidP="00F86D7F">
                  <w:pPr>
                    <w:ind w:left="-43"/>
                    <w:jc w:val="both"/>
                    <w:rPr>
                      <w:rFonts w:ascii="Arial" w:hAnsi="Arial" w:cs="Arial"/>
                      <w:sz w:val="9"/>
                      <w:szCs w:val="9"/>
                      <w:lang w:val="es-CO"/>
                    </w:rPr>
                  </w:pPr>
                  <w:r w:rsidRPr="008D2B30">
                    <w:rPr>
                      <w:rFonts w:ascii="Arial" w:hAnsi="Arial" w:cs="Arial"/>
                      <w:sz w:val="9"/>
                      <w:szCs w:val="9"/>
                      <w:lang w:val="es-CO"/>
                    </w:rPr>
                    <w:t>Empresa pública de otro municipio</w:t>
                  </w:r>
                </w:p>
              </w:tc>
              <w:tc>
                <w:tcPr>
                  <w:tcW w:w="360" w:type="dxa"/>
                  <w:vAlign w:val="center"/>
                </w:tcPr>
                <w:p w14:paraId="021F273B" w14:textId="77777777" w:rsidR="00CA4D62" w:rsidRPr="008D2B30" w:rsidRDefault="00CA4D62" w:rsidP="00F86D7F">
                  <w:pPr>
                    <w:ind w:left="-108"/>
                    <w:jc w:val="right"/>
                    <w:rPr>
                      <w:rFonts w:ascii="Arial" w:hAnsi="Arial" w:cs="Arial"/>
                      <w:sz w:val="9"/>
                      <w:szCs w:val="9"/>
                      <w:lang w:val="es-CO"/>
                    </w:rPr>
                  </w:pPr>
                  <w:r w:rsidRPr="008D2B30">
                    <w:rPr>
                      <w:rFonts w:ascii="Arial" w:hAnsi="Arial" w:cs="Arial"/>
                      <w:sz w:val="9"/>
                      <w:szCs w:val="9"/>
                      <w:lang w:val="es-CO"/>
                    </w:rPr>
                    <w:t>17</w:t>
                  </w:r>
                </w:p>
              </w:tc>
              <w:tc>
                <w:tcPr>
                  <w:tcW w:w="450" w:type="dxa"/>
                  <w:vAlign w:val="center"/>
                </w:tcPr>
                <w:p w14:paraId="0030BDDB" w14:textId="77777777" w:rsidR="00CA4D62" w:rsidRPr="008D2B30" w:rsidRDefault="00CA4D62" w:rsidP="00F86D7F">
                  <w:pPr>
                    <w:jc w:val="right"/>
                    <w:rPr>
                      <w:rFonts w:ascii="Arial" w:hAnsi="Arial" w:cs="Arial"/>
                      <w:sz w:val="9"/>
                      <w:szCs w:val="9"/>
                      <w:lang w:val="es-CO"/>
                    </w:rPr>
                  </w:pPr>
                  <w:r w:rsidRPr="008D2B30">
                    <w:rPr>
                      <w:rFonts w:ascii="Arial" w:hAnsi="Arial" w:cs="Arial"/>
                      <w:sz w:val="9"/>
                      <w:szCs w:val="9"/>
                      <w:lang w:val="es-CO"/>
                    </w:rPr>
                    <w:t>13,5</w:t>
                  </w:r>
                </w:p>
              </w:tc>
              <w:tc>
                <w:tcPr>
                  <w:tcW w:w="720" w:type="dxa"/>
                  <w:vAlign w:val="center"/>
                </w:tcPr>
                <w:p w14:paraId="68F02F9C" w14:textId="77777777" w:rsidR="00CA4D62" w:rsidRPr="008D2B30" w:rsidRDefault="007527AC" w:rsidP="00F86D7F">
                  <w:pPr>
                    <w:jc w:val="right"/>
                    <w:rPr>
                      <w:rFonts w:ascii="Arial" w:hAnsi="Arial" w:cs="Arial"/>
                      <w:sz w:val="9"/>
                      <w:szCs w:val="9"/>
                      <w:lang w:val="es-CO"/>
                    </w:rPr>
                  </w:pPr>
                  <w:r w:rsidRPr="008D2B30">
                    <w:rPr>
                      <w:rFonts w:ascii="Arial" w:hAnsi="Arial" w:cs="Arial"/>
                      <w:sz w:val="9"/>
                      <w:szCs w:val="9"/>
                      <w:lang w:val="es-CO"/>
                    </w:rPr>
                    <w:t>2.866.610</w:t>
                  </w:r>
                </w:p>
              </w:tc>
              <w:tc>
                <w:tcPr>
                  <w:tcW w:w="442" w:type="dxa"/>
                  <w:vAlign w:val="center"/>
                </w:tcPr>
                <w:p w14:paraId="615F5539" w14:textId="77777777" w:rsidR="00CA4D62" w:rsidRPr="008D2B30" w:rsidRDefault="007527AC" w:rsidP="00F86D7F">
                  <w:pPr>
                    <w:jc w:val="right"/>
                    <w:rPr>
                      <w:rFonts w:ascii="Arial" w:hAnsi="Arial" w:cs="Arial"/>
                      <w:sz w:val="9"/>
                      <w:szCs w:val="9"/>
                      <w:lang w:val="es-CO"/>
                    </w:rPr>
                  </w:pPr>
                  <w:r w:rsidRPr="008D2B30">
                    <w:rPr>
                      <w:rFonts w:ascii="Arial" w:hAnsi="Arial" w:cs="Arial"/>
                      <w:sz w:val="9"/>
                      <w:szCs w:val="9"/>
                      <w:lang w:val="es-CO"/>
                    </w:rPr>
                    <w:t>8,6</w:t>
                  </w:r>
                </w:p>
              </w:tc>
            </w:tr>
            <w:tr w:rsidR="00CA4D62" w:rsidRPr="008D2B30" w14:paraId="316458A2" w14:textId="77777777" w:rsidTr="008D2B30">
              <w:trPr>
                <w:jc w:val="center"/>
              </w:trPr>
              <w:tc>
                <w:tcPr>
                  <w:tcW w:w="1505" w:type="dxa"/>
                  <w:vAlign w:val="center"/>
                </w:tcPr>
                <w:p w14:paraId="5FC438BF" w14:textId="77777777" w:rsidR="00CA4D62" w:rsidRPr="008D2B30" w:rsidRDefault="00CA4D62" w:rsidP="00F86D7F">
                  <w:pPr>
                    <w:ind w:left="-43"/>
                    <w:jc w:val="both"/>
                    <w:rPr>
                      <w:rFonts w:ascii="Arial" w:hAnsi="Arial" w:cs="Arial"/>
                      <w:sz w:val="9"/>
                      <w:szCs w:val="9"/>
                      <w:lang w:val="es-CO"/>
                    </w:rPr>
                  </w:pPr>
                  <w:r w:rsidRPr="008D2B30">
                    <w:rPr>
                      <w:rFonts w:ascii="Arial" w:hAnsi="Arial" w:cs="Arial"/>
                      <w:sz w:val="9"/>
                      <w:szCs w:val="9"/>
                      <w:lang w:val="es-CO"/>
                    </w:rPr>
                    <w:t>Prestación directa por el municipio</w:t>
                  </w:r>
                </w:p>
              </w:tc>
              <w:tc>
                <w:tcPr>
                  <w:tcW w:w="360" w:type="dxa"/>
                  <w:vAlign w:val="center"/>
                </w:tcPr>
                <w:p w14:paraId="05C1D1C1" w14:textId="77777777" w:rsidR="00CA4D62" w:rsidRPr="008D2B30" w:rsidRDefault="00CA4D62" w:rsidP="00F86D7F">
                  <w:pPr>
                    <w:ind w:left="-108"/>
                    <w:jc w:val="right"/>
                    <w:rPr>
                      <w:rFonts w:ascii="Arial" w:hAnsi="Arial" w:cs="Arial"/>
                      <w:sz w:val="9"/>
                      <w:szCs w:val="9"/>
                      <w:lang w:val="es-CO"/>
                    </w:rPr>
                  </w:pPr>
                  <w:r w:rsidRPr="008D2B30">
                    <w:rPr>
                      <w:rFonts w:ascii="Arial" w:hAnsi="Arial" w:cs="Arial"/>
                      <w:sz w:val="9"/>
                      <w:szCs w:val="9"/>
                      <w:lang w:val="es-CO"/>
                    </w:rPr>
                    <w:t>2</w:t>
                  </w:r>
                </w:p>
              </w:tc>
              <w:tc>
                <w:tcPr>
                  <w:tcW w:w="450" w:type="dxa"/>
                  <w:vAlign w:val="center"/>
                </w:tcPr>
                <w:p w14:paraId="77988ED5" w14:textId="77777777" w:rsidR="00CA4D62" w:rsidRPr="008D2B30" w:rsidRDefault="00CA4D62" w:rsidP="00F86D7F">
                  <w:pPr>
                    <w:jc w:val="right"/>
                    <w:rPr>
                      <w:rFonts w:ascii="Arial" w:hAnsi="Arial" w:cs="Arial"/>
                      <w:sz w:val="9"/>
                      <w:szCs w:val="9"/>
                      <w:lang w:val="es-CO"/>
                    </w:rPr>
                  </w:pPr>
                  <w:r w:rsidRPr="008D2B30">
                    <w:rPr>
                      <w:rFonts w:ascii="Arial" w:hAnsi="Arial" w:cs="Arial"/>
                      <w:sz w:val="9"/>
                      <w:szCs w:val="9"/>
                      <w:lang w:val="es-CO"/>
                    </w:rPr>
                    <w:t>1,6</w:t>
                  </w:r>
                </w:p>
              </w:tc>
              <w:tc>
                <w:tcPr>
                  <w:tcW w:w="720" w:type="dxa"/>
                  <w:vAlign w:val="center"/>
                </w:tcPr>
                <w:p w14:paraId="32AC8AA6" w14:textId="77777777" w:rsidR="00CA4D62" w:rsidRPr="008D2B30" w:rsidRDefault="007527AC" w:rsidP="00F86D7F">
                  <w:pPr>
                    <w:jc w:val="right"/>
                    <w:rPr>
                      <w:rFonts w:ascii="Arial" w:hAnsi="Arial" w:cs="Arial"/>
                      <w:sz w:val="9"/>
                      <w:szCs w:val="9"/>
                      <w:lang w:val="es-CO"/>
                    </w:rPr>
                  </w:pPr>
                  <w:r w:rsidRPr="008D2B30">
                    <w:rPr>
                      <w:rFonts w:ascii="Arial" w:hAnsi="Arial" w:cs="Arial"/>
                      <w:sz w:val="9"/>
                      <w:szCs w:val="9"/>
                      <w:lang w:val="es-CO"/>
                    </w:rPr>
                    <w:t>126.890</w:t>
                  </w:r>
                </w:p>
              </w:tc>
              <w:tc>
                <w:tcPr>
                  <w:tcW w:w="442" w:type="dxa"/>
                  <w:vAlign w:val="center"/>
                </w:tcPr>
                <w:p w14:paraId="204FD328" w14:textId="77777777" w:rsidR="00CA4D62" w:rsidRPr="008D2B30" w:rsidRDefault="007527AC" w:rsidP="00F86D7F">
                  <w:pPr>
                    <w:jc w:val="right"/>
                    <w:rPr>
                      <w:rFonts w:ascii="Arial" w:hAnsi="Arial" w:cs="Arial"/>
                      <w:sz w:val="9"/>
                      <w:szCs w:val="9"/>
                      <w:lang w:val="es-CO"/>
                    </w:rPr>
                  </w:pPr>
                  <w:r w:rsidRPr="008D2B30">
                    <w:rPr>
                      <w:rFonts w:ascii="Arial" w:hAnsi="Arial" w:cs="Arial"/>
                      <w:sz w:val="9"/>
                      <w:szCs w:val="9"/>
                      <w:lang w:val="es-CO"/>
                    </w:rPr>
                    <w:t>0,4</w:t>
                  </w:r>
                </w:p>
              </w:tc>
            </w:tr>
            <w:tr w:rsidR="00CA4D62" w:rsidRPr="008D2B30" w14:paraId="63DA028F" w14:textId="77777777" w:rsidTr="008D2B30">
              <w:trPr>
                <w:jc w:val="center"/>
              </w:trPr>
              <w:tc>
                <w:tcPr>
                  <w:tcW w:w="1505" w:type="dxa"/>
                  <w:vAlign w:val="center"/>
                </w:tcPr>
                <w:p w14:paraId="71A9140B" w14:textId="77777777" w:rsidR="00CA4D62" w:rsidRPr="008D2B30" w:rsidRDefault="00CA4D62" w:rsidP="00F86D7F">
                  <w:pPr>
                    <w:ind w:left="-43"/>
                    <w:jc w:val="both"/>
                    <w:rPr>
                      <w:rFonts w:ascii="Arial" w:hAnsi="Arial" w:cs="Arial"/>
                      <w:sz w:val="9"/>
                      <w:szCs w:val="9"/>
                      <w:lang w:val="es-CO"/>
                    </w:rPr>
                  </w:pPr>
                  <w:r w:rsidRPr="008D2B30">
                    <w:rPr>
                      <w:rFonts w:ascii="Arial" w:hAnsi="Arial" w:cs="Arial"/>
                      <w:sz w:val="9"/>
                      <w:szCs w:val="9"/>
                      <w:lang w:val="es-CO"/>
                    </w:rPr>
                    <w:t>Total</w:t>
                  </w:r>
                </w:p>
              </w:tc>
              <w:tc>
                <w:tcPr>
                  <w:tcW w:w="360" w:type="dxa"/>
                  <w:vAlign w:val="center"/>
                </w:tcPr>
                <w:p w14:paraId="7E72D7FD" w14:textId="77777777" w:rsidR="00CA4D62" w:rsidRPr="008D2B30" w:rsidRDefault="00CA4D62" w:rsidP="00F86D7F">
                  <w:pPr>
                    <w:ind w:left="-108"/>
                    <w:jc w:val="right"/>
                    <w:rPr>
                      <w:rFonts w:ascii="Arial" w:hAnsi="Arial" w:cs="Arial"/>
                      <w:sz w:val="9"/>
                      <w:szCs w:val="9"/>
                      <w:lang w:val="es-CO"/>
                    </w:rPr>
                  </w:pPr>
                  <w:r w:rsidRPr="008D2B30">
                    <w:rPr>
                      <w:rFonts w:ascii="Arial" w:hAnsi="Arial" w:cs="Arial"/>
                      <w:sz w:val="9"/>
                      <w:szCs w:val="9"/>
                      <w:lang w:val="es-CO"/>
                    </w:rPr>
                    <w:t>126</w:t>
                  </w:r>
                </w:p>
              </w:tc>
              <w:tc>
                <w:tcPr>
                  <w:tcW w:w="450" w:type="dxa"/>
                  <w:vAlign w:val="center"/>
                </w:tcPr>
                <w:p w14:paraId="16D4F7A1" w14:textId="77777777" w:rsidR="00CA4D62" w:rsidRPr="008D2B30" w:rsidRDefault="00CA4D62" w:rsidP="00F86D7F">
                  <w:pPr>
                    <w:jc w:val="right"/>
                    <w:rPr>
                      <w:rFonts w:ascii="Arial" w:hAnsi="Arial" w:cs="Arial"/>
                      <w:sz w:val="9"/>
                      <w:szCs w:val="9"/>
                      <w:lang w:val="es-CO"/>
                    </w:rPr>
                  </w:pPr>
                  <w:r w:rsidRPr="008D2B30">
                    <w:rPr>
                      <w:rFonts w:ascii="Arial" w:hAnsi="Arial" w:cs="Arial"/>
                      <w:sz w:val="9"/>
                      <w:szCs w:val="9"/>
                      <w:lang w:val="es-CO"/>
                    </w:rPr>
                    <w:t>100</w:t>
                  </w:r>
                </w:p>
              </w:tc>
              <w:tc>
                <w:tcPr>
                  <w:tcW w:w="720" w:type="dxa"/>
                  <w:vAlign w:val="center"/>
                </w:tcPr>
                <w:p w14:paraId="032C9291" w14:textId="77777777" w:rsidR="00CA4D62" w:rsidRPr="008D2B30" w:rsidRDefault="007527AC" w:rsidP="00F86D7F">
                  <w:pPr>
                    <w:jc w:val="right"/>
                    <w:rPr>
                      <w:rFonts w:ascii="Arial" w:hAnsi="Arial" w:cs="Arial"/>
                      <w:sz w:val="9"/>
                      <w:szCs w:val="9"/>
                      <w:lang w:val="es-CO"/>
                    </w:rPr>
                  </w:pPr>
                  <w:r w:rsidRPr="008D2B30">
                    <w:rPr>
                      <w:rFonts w:ascii="Arial" w:hAnsi="Arial" w:cs="Arial"/>
                      <w:sz w:val="9"/>
                      <w:szCs w:val="9"/>
                      <w:lang w:val="es-CO"/>
                    </w:rPr>
                    <w:t>33.172.665</w:t>
                  </w:r>
                </w:p>
              </w:tc>
              <w:tc>
                <w:tcPr>
                  <w:tcW w:w="442" w:type="dxa"/>
                  <w:vAlign w:val="center"/>
                </w:tcPr>
                <w:p w14:paraId="5FFF6531" w14:textId="77777777" w:rsidR="00CA4D62" w:rsidRPr="008D2B30" w:rsidRDefault="007527AC" w:rsidP="00F86D7F">
                  <w:pPr>
                    <w:jc w:val="right"/>
                    <w:rPr>
                      <w:rFonts w:ascii="Arial" w:hAnsi="Arial" w:cs="Arial"/>
                      <w:sz w:val="9"/>
                      <w:szCs w:val="9"/>
                      <w:lang w:val="es-CO"/>
                    </w:rPr>
                  </w:pPr>
                  <w:r w:rsidRPr="008D2B30">
                    <w:rPr>
                      <w:rFonts w:ascii="Arial" w:hAnsi="Arial" w:cs="Arial"/>
                      <w:sz w:val="9"/>
                      <w:szCs w:val="9"/>
                      <w:lang w:val="es-CO"/>
                    </w:rPr>
                    <w:t>100</w:t>
                  </w:r>
                </w:p>
              </w:tc>
            </w:tr>
          </w:tbl>
          <w:p w14:paraId="3DA11F29" w14:textId="77777777" w:rsidR="00162EB8" w:rsidRPr="00CA4D62" w:rsidRDefault="00162EB8" w:rsidP="00F86D7F">
            <w:pPr>
              <w:jc w:val="both"/>
              <w:rPr>
                <w:rFonts w:ascii="Arial" w:hAnsi="Arial" w:cs="Arial"/>
                <w:sz w:val="18"/>
                <w:szCs w:val="18"/>
                <w:lang w:val="es-CO"/>
              </w:rPr>
            </w:pPr>
          </w:p>
        </w:tc>
      </w:tr>
      <w:tr w:rsidR="00DA61DD" w:rsidRPr="00840CA7" w14:paraId="49D608FE" w14:textId="77777777" w:rsidTr="00840CA7">
        <w:trPr>
          <w:jc w:val="center"/>
        </w:trPr>
        <w:tc>
          <w:tcPr>
            <w:tcW w:w="1957" w:type="dxa"/>
            <w:shd w:val="clear" w:color="auto" w:fill="auto"/>
            <w:vAlign w:val="center"/>
          </w:tcPr>
          <w:p w14:paraId="3B193B9E" w14:textId="77777777" w:rsidR="00DA61DD" w:rsidRPr="00840CA7" w:rsidRDefault="00DA61DD" w:rsidP="00F86D7F">
            <w:pPr>
              <w:ind w:left="330" w:hanging="150"/>
              <w:rPr>
                <w:rFonts w:ascii="Arial" w:hAnsi="Arial" w:cs="Arial"/>
                <w:bCs/>
                <w:sz w:val="18"/>
                <w:szCs w:val="18"/>
                <w:lang w:val="es-ES_tradnl"/>
              </w:rPr>
            </w:pPr>
            <w:r w:rsidRPr="00840CA7">
              <w:rPr>
                <w:rFonts w:ascii="Arial" w:hAnsi="Arial" w:cs="Arial"/>
                <w:bCs/>
                <w:sz w:val="18"/>
                <w:szCs w:val="18"/>
                <w:lang w:val="es-ES_tradnl"/>
              </w:rPr>
              <w:t>E.</w:t>
            </w:r>
            <w:r w:rsidRPr="00840CA7">
              <w:rPr>
                <w:rFonts w:ascii="Arial" w:hAnsi="Arial" w:cs="Arial"/>
                <w:sz w:val="18"/>
                <w:szCs w:val="18"/>
                <w:lang w:val="es-ES"/>
              </w:rPr>
              <w:t xml:space="preserve"> </w:t>
            </w:r>
            <w:r w:rsidRPr="00840CA7">
              <w:rPr>
                <w:rFonts w:ascii="Arial" w:hAnsi="Arial" w:cs="Arial"/>
                <w:bCs/>
                <w:sz w:val="18"/>
                <w:szCs w:val="18"/>
                <w:lang w:val="es-ES_tradnl"/>
              </w:rPr>
              <w:t>El rol de la regulación económica para incentivar la eficiencia, la inversión y proteger los derechos de los usuarios</w:t>
            </w:r>
          </w:p>
        </w:tc>
        <w:tc>
          <w:tcPr>
            <w:tcW w:w="2813" w:type="dxa"/>
            <w:shd w:val="clear" w:color="auto" w:fill="auto"/>
            <w:vAlign w:val="center"/>
          </w:tcPr>
          <w:p w14:paraId="5210E407" w14:textId="77777777" w:rsidR="00DA61DD" w:rsidRPr="006A68D2" w:rsidRDefault="00DA61DD" w:rsidP="00F86D7F">
            <w:pPr>
              <w:jc w:val="both"/>
              <w:rPr>
                <w:rFonts w:ascii="Arial" w:hAnsi="Arial" w:cs="Arial"/>
                <w:bCs/>
                <w:sz w:val="18"/>
                <w:szCs w:val="18"/>
                <w:lang w:val="es-ES_tradnl"/>
              </w:rPr>
            </w:pPr>
            <w:r w:rsidRPr="006A68D2">
              <w:rPr>
                <w:rFonts w:ascii="Arial" w:hAnsi="Arial" w:cs="Arial"/>
                <w:bCs/>
                <w:sz w:val="18"/>
                <w:szCs w:val="18"/>
                <w:lang w:val="es-ES_tradnl"/>
              </w:rPr>
              <w:t>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5040" w:type="dxa"/>
            <w:shd w:val="clear" w:color="auto" w:fill="auto"/>
            <w:vAlign w:val="center"/>
          </w:tcPr>
          <w:p w14:paraId="6D08D341" w14:textId="77777777" w:rsidR="00DD309C" w:rsidRPr="006A68D2" w:rsidRDefault="00DD309C" w:rsidP="00F86D7F">
            <w:pPr>
              <w:pStyle w:val="NormalWeb"/>
              <w:spacing w:before="0" w:beforeAutospacing="0" w:after="0" w:afterAutospacing="0"/>
              <w:jc w:val="both"/>
              <w:rPr>
                <w:rFonts w:ascii="Arial" w:hAnsi="Arial" w:cs="Arial"/>
                <w:sz w:val="18"/>
                <w:szCs w:val="18"/>
                <w:lang w:val="es-ES_tradnl"/>
              </w:rPr>
            </w:pPr>
            <w:r w:rsidRPr="006A68D2">
              <w:rPr>
                <w:rFonts w:ascii="Arial" w:hAnsi="Arial" w:cs="Arial"/>
                <w:sz w:val="18"/>
                <w:szCs w:val="18"/>
                <w:lang w:val="es-ES_tradnl"/>
              </w:rPr>
              <w:t>De acuerdo con la Constitución Política Colombiana, (artículo 365), los servicios públicos son inherentes a la finalidad social del Estado y es deber de éste asegurar su prestación eficiente a todos los habitantes del territorio nacional.</w:t>
            </w:r>
          </w:p>
          <w:p w14:paraId="069D6857" w14:textId="77777777" w:rsidR="00DD309C" w:rsidRPr="006A68D2" w:rsidRDefault="00DD309C" w:rsidP="00F86D7F">
            <w:pPr>
              <w:pStyle w:val="NormalWeb"/>
              <w:spacing w:before="0" w:beforeAutospacing="0" w:after="0" w:afterAutospacing="0"/>
              <w:jc w:val="both"/>
              <w:rPr>
                <w:rFonts w:ascii="Arial" w:hAnsi="Arial" w:cs="Arial"/>
                <w:sz w:val="18"/>
                <w:szCs w:val="18"/>
                <w:lang w:val="es-ES_tradnl"/>
              </w:rPr>
            </w:pPr>
            <w:r w:rsidRPr="006A68D2">
              <w:rPr>
                <w:rFonts w:ascii="Arial" w:hAnsi="Arial" w:cs="Arial"/>
                <w:sz w:val="18"/>
                <w:szCs w:val="18"/>
                <w:lang w:val="es-ES_tradnl"/>
              </w:rPr>
              <w:t xml:space="preserve">Los servicios públicos están sometidos al régimen jurídico que está fijado por la Ley 142 de 1994, y los mismos pueden ser prestados por el Estado, directa o indirectamente, por comunidades organizadas, o por particulares, manteniendo el Estado la regulación, el control y la vigilancia de dichos servicios. </w:t>
            </w:r>
          </w:p>
          <w:p w14:paraId="46B93293" w14:textId="5D64E245" w:rsidR="00196AF6" w:rsidRPr="006A68D2" w:rsidRDefault="00DD309C" w:rsidP="00F86D7F">
            <w:pPr>
              <w:pStyle w:val="NormalWeb"/>
              <w:spacing w:before="0" w:beforeAutospacing="0" w:after="0" w:afterAutospacing="0"/>
              <w:jc w:val="both"/>
              <w:rPr>
                <w:rFonts w:ascii="Arial" w:hAnsi="Arial" w:cs="Arial"/>
                <w:sz w:val="18"/>
                <w:szCs w:val="18"/>
                <w:lang w:val="es-ES_tradnl"/>
              </w:rPr>
            </w:pPr>
            <w:r w:rsidRPr="006A68D2">
              <w:rPr>
                <w:rFonts w:ascii="Arial" w:hAnsi="Arial" w:cs="Arial"/>
                <w:sz w:val="18"/>
                <w:szCs w:val="18"/>
                <w:lang w:val="es-ES_tradnl"/>
              </w:rPr>
              <w:t>Bajo este marco, en el sector de agua potable</w:t>
            </w:r>
            <w:r w:rsidR="00845AFF" w:rsidRPr="006A68D2">
              <w:rPr>
                <w:rFonts w:ascii="Arial" w:hAnsi="Arial" w:cs="Arial"/>
                <w:sz w:val="18"/>
                <w:szCs w:val="18"/>
                <w:lang w:val="es-ES_tradnl"/>
              </w:rPr>
              <w:t xml:space="preserve"> </w:t>
            </w:r>
            <w:r w:rsidRPr="006A68D2">
              <w:rPr>
                <w:rFonts w:ascii="Arial" w:hAnsi="Arial" w:cs="Arial"/>
                <w:sz w:val="18"/>
                <w:szCs w:val="18"/>
                <w:lang w:val="es-ES_tradnl"/>
              </w:rPr>
              <w:t>y saneamiento básico, a los municipios l</w:t>
            </w:r>
            <w:r w:rsidR="008C5698" w:rsidRPr="006A68D2">
              <w:rPr>
                <w:rFonts w:ascii="Arial" w:hAnsi="Arial" w:cs="Arial"/>
                <w:sz w:val="18"/>
                <w:szCs w:val="18"/>
                <w:lang w:val="es-ES_tradnl"/>
              </w:rPr>
              <w:t xml:space="preserve">es corresponde asegurar que se preste a sus habitantes </w:t>
            </w:r>
            <w:r w:rsidRPr="006A68D2">
              <w:rPr>
                <w:rFonts w:ascii="Arial" w:hAnsi="Arial" w:cs="Arial"/>
                <w:sz w:val="18"/>
                <w:szCs w:val="18"/>
                <w:lang w:val="es-ES_tradnl"/>
              </w:rPr>
              <w:t xml:space="preserve">ya sea </w:t>
            </w:r>
            <w:r w:rsidR="008C5698" w:rsidRPr="006A68D2">
              <w:rPr>
                <w:rFonts w:ascii="Arial" w:hAnsi="Arial" w:cs="Arial"/>
                <w:sz w:val="18"/>
                <w:szCs w:val="18"/>
                <w:lang w:val="es-ES_tradnl"/>
              </w:rPr>
              <w:t>mediante empresas de carácter público, privado o mixto</w:t>
            </w:r>
            <w:r w:rsidRPr="006A68D2">
              <w:rPr>
                <w:rFonts w:ascii="Arial" w:hAnsi="Arial" w:cs="Arial"/>
                <w:sz w:val="18"/>
                <w:szCs w:val="18"/>
                <w:lang w:val="es-ES_tradnl"/>
              </w:rPr>
              <w:t xml:space="preserve">, o </w:t>
            </w:r>
            <w:r w:rsidR="008C5698" w:rsidRPr="006A68D2">
              <w:rPr>
                <w:rFonts w:ascii="Arial" w:hAnsi="Arial" w:cs="Arial"/>
                <w:sz w:val="18"/>
                <w:szCs w:val="18"/>
                <w:lang w:val="es-ES_tradnl"/>
              </w:rPr>
              <w:t>prestarlo directamente cuando el interés general lo permita y lo aconseje. En caso de prestación directa, fijan las tarifas de acuerdo con las fórmulas y metodologías definidas por la Comisión de Regulación de Agua Potable y Saneamiento Básico (CRA). Si son empresas las prestadoras de los servicios, corresponde a sus juntas directivas la fijación de las tarifas, con arreglo, igualmente, a las metodologías establecidas por la CRA. Los Concejos fijan el monto de las contribuciones</w:t>
            </w:r>
            <w:r w:rsidR="00F378F8" w:rsidRPr="006A68D2">
              <w:rPr>
                <w:rFonts w:ascii="Arial" w:hAnsi="Arial" w:cs="Arial"/>
                <w:sz w:val="18"/>
                <w:szCs w:val="18"/>
                <w:lang w:val="es-ES_tradnl"/>
              </w:rPr>
              <w:t xml:space="preserve"> especiales </w:t>
            </w:r>
            <w:r w:rsidR="008C5698" w:rsidRPr="006A68D2">
              <w:rPr>
                <w:rFonts w:ascii="Arial" w:hAnsi="Arial" w:cs="Arial"/>
                <w:sz w:val="18"/>
                <w:szCs w:val="18"/>
                <w:lang w:val="es-ES_tradnl"/>
              </w:rPr>
              <w:t xml:space="preserve">y subsidios y pueden incluirse en los presupuestos municipales partidas destinadas a subsidiar las inversiones o a los usuarios </w:t>
            </w:r>
            <w:r w:rsidR="00F378F8" w:rsidRPr="006A68D2">
              <w:rPr>
                <w:rFonts w:ascii="Arial" w:hAnsi="Arial" w:cs="Arial"/>
                <w:sz w:val="18"/>
                <w:szCs w:val="18"/>
                <w:lang w:val="es-ES_tradnl"/>
              </w:rPr>
              <w:t xml:space="preserve">residenciales ubicados en </w:t>
            </w:r>
            <w:r w:rsidR="008C5698" w:rsidRPr="006A68D2">
              <w:rPr>
                <w:rFonts w:ascii="Arial" w:hAnsi="Arial" w:cs="Arial"/>
                <w:sz w:val="18"/>
                <w:szCs w:val="18"/>
                <w:lang w:val="es-ES_tradnl"/>
              </w:rPr>
              <w:t>los estratos bajos. Los municipios con más de 1.000.000 de habitantes pueden ejercer funciones de autoridad ambiental al igual que las Áreas Metropolitanas.</w:t>
            </w:r>
            <w:r w:rsidR="00573FB0" w:rsidRPr="006A68D2">
              <w:rPr>
                <w:rFonts w:ascii="Arial" w:hAnsi="Arial" w:cs="Arial"/>
                <w:sz w:val="18"/>
                <w:szCs w:val="18"/>
                <w:lang w:val="es-ES_tradnl"/>
              </w:rPr>
              <w:t xml:space="preserve"> </w:t>
            </w:r>
            <w:r w:rsidR="008C5698" w:rsidRPr="006A68D2">
              <w:rPr>
                <w:rFonts w:ascii="Arial" w:hAnsi="Arial" w:cs="Arial"/>
                <w:sz w:val="18"/>
                <w:szCs w:val="18"/>
                <w:lang w:val="es-ES_tradnl"/>
              </w:rPr>
              <w:t>Los departamentos tienen funciones de coordinación y apoyo. Pueden asistir técnica,</w:t>
            </w:r>
            <w:r w:rsidR="00F378F8" w:rsidRPr="006A68D2">
              <w:rPr>
                <w:rFonts w:ascii="Arial" w:hAnsi="Arial" w:cs="Arial"/>
                <w:sz w:val="18"/>
                <w:szCs w:val="18"/>
                <w:lang w:val="es-ES_tradnl"/>
              </w:rPr>
              <w:t xml:space="preserve"> </w:t>
            </w:r>
            <w:r w:rsidR="008C5698" w:rsidRPr="006A68D2">
              <w:rPr>
                <w:rFonts w:ascii="Arial" w:hAnsi="Arial" w:cs="Arial"/>
                <w:sz w:val="18"/>
                <w:szCs w:val="18"/>
                <w:lang w:val="es-ES_tradnl"/>
              </w:rPr>
              <w:t>financiera y administrativamente a las empresas prestadoras del servicio o a los municipios que lo prestan directamente. Los departamentos pueden organizar sistemas de coordinación entre entidades prestadoras y promover las asociaciones de municipios. Esta es una función muy importante pues aunque el servicio es municipal, con el crecimiento demográfico, es preciso recurrir a fuentes de agua que son regionales y esto demanda una labor de coordinación que debe ser ejercida por los departamentos. La CRA tiene como propósito fundamental regular monopolios, promover la competencia, impulsar la sostenibilidad del sector Agua Potable y Saneamiento Básico, evitando abusos de posición dominante, garantizando la prestación de servicios de calidad, con tarifas razonables y amplia cobertura. Este propósito se logra mediante el desarrollo regulatorio que involucra la participación de los usuarios y prestadores y brindando asesoría regulatoria clara, completa y oportuna; con principios y valores compartidos, con personal de alta capacidad técnica, empoderado, que trabaja en procesos eficaces que aseguran la calidad del ejercicio regulatorio, soportados en sistemas de información eficientes y tecnología de punta.</w:t>
            </w:r>
            <w:r w:rsidR="0059625A" w:rsidRPr="006A68D2">
              <w:rPr>
                <w:rFonts w:ascii="Arial" w:hAnsi="Arial" w:cs="Arial"/>
                <w:sz w:val="18"/>
                <w:szCs w:val="18"/>
                <w:lang w:val="es-ES_tradnl"/>
              </w:rPr>
              <w:t xml:space="preserve"> La Superintendencia de Servicios Públicos Domiciliarios (SSPD), Superservicios, es un organismo de carácter técnico, creado por la Constitución de 1991, que por delegación del Presidente de la República de Colombia, ejerce inspección, vigilancia y control las entidades y empresas prestadoras de servicios públicos domiciliarios.</w:t>
            </w:r>
            <w:r w:rsidR="00573FB0" w:rsidRPr="006A68D2">
              <w:rPr>
                <w:rFonts w:ascii="Arial" w:hAnsi="Arial" w:cs="Arial"/>
                <w:sz w:val="18"/>
                <w:szCs w:val="18"/>
                <w:lang w:val="es-ES_tradnl"/>
              </w:rPr>
              <w:t xml:space="preserve"> </w:t>
            </w:r>
            <w:r w:rsidR="0059625A" w:rsidRPr="006A68D2">
              <w:rPr>
                <w:rFonts w:ascii="Arial" w:hAnsi="Arial" w:cs="Arial"/>
                <w:sz w:val="18"/>
                <w:szCs w:val="18"/>
                <w:lang w:val="es-ES_tradnl"/>
              </w:rPr>
              <w:t>La Superintendencia vigila, inspecciona y controla la prestación a los servicios públicos domiciliarios atendiendo las necesidades</w:t>
            </w:r>
            <w:r w:rsidR="00573FB0" w:rsidRPr="006A68D2">
              <w:rPr>
                <w:rFonts w:ascii="Arial" w:hAnsi="Arial" w:cs="Arial"/>
                <w:sz w:val="18"/>
                <w:szCs w:val="18"/>
                <w:lang w:val="es-ES_tradnl"/>
              </w:rPr>
              <w:t xml:space="preserve"> </w:t>
            </w:r>
            <w:r w:rsidR="0059625A" w:rsidRPr="006A68D2">
              <w:rPr>
                <w:rFonts w:ascii="Arial" w:hAnsi="Arial" w:cs="Arial"/>
                <w:sz w:val="18"/>
                <w:szCs w:val="18"/>
                <w:lang w:val="es-ES_tradnl"/>
              </w:rPr>
              <w:t>y expectativas de sus clientes y grupos de interés, soportando su gestión en la eficiencia, eficacia y efectividad del desempeño de su sistema de calidad, mediante</w:t>
            </w:r>
            <w:r w:rsidR="00573FB0" w:rsidRPr="006A68D2">
              <w:rPr>
                <w:rFonts w:ascii="Arial" w:hAnsi="Arial" w:cs="Arial"/>
                <w:sz w:val="18"/>
                <w:szCs w:val="18"/>
                <w:lang w:val="es-ES_tradnl"/>
              </w:rPr>
              <w:t xml:space="preserve"> </w:t>
            </w:r>
            <w:r w:rsidR="0059625A" w:rsidRPr="006A68D2">
              <w:rPr>
                <w:rFonts w:ascii="Arial" w:hAnsi="Arial" w:cs="Arial"/>
                <w:sz w:val="18"/>
                <w:szCs w:val="18"/>
                <w:lang w:val="es-ES_tradnl"/>
              </w:rPr>
              <w:t>el mejoramiento continuo de sus procesos, con la participación activa de un equipo humano capaz, dinámico e innovador</w:t>
            </w:r>
            <w:r w:rsidR="006A652A" w:rsidRPr="006A68D2">
              <w:rPr>
                <w:rFonts w:ascii="Arial" w:hAnsi="Arial" w:cs="Arial"/>
                <w:sz w:val="18"/>
                <w:szCs w:val="18"/>
                <w:lang w:val="es-ES_tradnl"/>
              </w:rPr>
              <w:t>. La Superintendencia de Servicios Públicos Domiciliarios, en cumplimiento con su función de entidad nacional encargada de sancionar a</w:t>
            </w:r>
            <w:r w:rsidR="00573FB0" w:rsidRPr="006A68D2">
              <w:rPr>
                <w:rFonts w:ascii="Arial" w:hAnsi="Arial" w:cs="Arial"/>
                <w:sz w:val="18"/>
                <w:szCs w:val="18"/>
                <w:lang w:val="es-ES_tradnl"/>
              </w:rPr>
              <w:t xml:space="preserve"> </w:t>
            </w:r>
            <w:r w:rsidR="006A652A" w:rsidRPr="006A68D2">
              <w:rPr>
                <w:rFonts w:ascii="Arial" w:hAnsi="Arial" w:cs="Arial"/>
                <w:sz w:val="18"/>
                <w:szCs w:val="18"/>
                <w:lang w:val="es-ES_tradnl"/>
              </w:rPr>
              <w:t>las empresas prestadoras de servicios públicos domiciliarios que incumplan con las normas a que están comprometidas.</w:t>
            </w:r>
            <w:r w:rsidR="003E6367" w:rsidRPr="006A68D2">
              <w:rPr>
                <w:rFonts w:ascii="Arial" w:hAnsi="Arial" w:cs="Arial"/>
                <w:sz w:val="18"/>
                <w:szCs w:val="18"/>
                <w:lang w:val="es-ES_tradnl"/>
              </w:rPr>
              <w:t xml:space="preserve"> La SSPD tiene un sistema de información (Sistema Único de Información – SUI), donde todos los prestadores (independiente de su naturaleza y tamaño) debe reportar información técnica, operativa, financiera y administrativa. Esta información es pública y ha permitido que los formuladores de política y los usuarios conozcan no sólo la información tarifaria, sino también información de calidad de agua, usuarios, capacidad de producción, consumos, entre otros.</w:t>
            </w:r>
          </w:p>
        </w:tc>
      </w:tr>
      <w:tr w:rsidR="008A4FEC" w:rsidRPr="00840CA7" w14:paraId="4EEE2536" w14:textId="77777777" w:rsidTr="00840CA7">
        <w:trPr>
          <w:trHeight w:val="1266"/>
          <w:jc w:val="center"/>
        </w:trPr>
        <w:tc>
          <w:tcPr>
            <w:tcW w:w="1957" w:type="dxa"/>
            <w:shd w:val="clear" w:color="auto" w:fill="auto"/>
            <w:vAlign w:val="center"/>
          </w:tcPr>
          <w:p w14:paraId="3323DF13" w14:textId="77777777" w:rsidR="008A4FEC" w:rsidRPr="00840CA7" w:rsidRDefault="008A4FEC" w:rsidP="00F86D7F">
            <w:pPr>
              <w:ind w:left="330" w:hanging="150"/>
              <w:rPr>
                <w:rFonts w:ascii="Arial" w:hAnsi="Arial" w:cs="Arial"/>
                <w:i/>
                <w:sz w:val="18"/>
                <w:szCs w:val="18"/>
                <w:lang w:val="es-ES_tradnl"/>
              </w:rPr>
            </w:pPr>
            <w:bookmarkStart w:id="3" w:name="_GoBack" w:colFirst="0" w:colLast="0"/>
            <w:r w:rsidRPr="00840CA7">
              <w:rPr>
                <w:rFonts w:ascii="Arial" w:hAnsi="Arial" w:cs="Arial"/>
                <w:i/>
                <w:sz w:val="18"/>
                <w:szCs w:val="18"/>
                <w:lang w:val="es-ES_tradnl"/>
              </w:rPr>
              <w:t xml:space="preserve">F. Generar condiciones adecuadas para que la participación privada sea una opción viable para la provisión de servicios públicos </w:t>
            </w:r>
            <w:r w:rsidRPr="00840CA7">
              <w:rPr>
                <w:rFonts w:ascii="Arial" w:hAnsi="Arial" w:cs="Arial"/>
                <w:bCs/>
                <w:i/>
                <w:sz w:val="18"/>
                <w:szCs w:val="18"/>
                <w:lang w:val="es-ES_tradnl"/>
              </w:rPr>
              <w:t>domiciliarios</w:t>
            </w:r>
          </w:p>
        </w:tc>
        <w:tc>
          <w:tcPr>
            <w:tcW w:w="2813" w:type="dxa"/>
            <w:shd w:val="clear" w:color="auto" w:fill="auto"/>
            <w:vAlign w:val="center"/>
          </w:tcPr>
          <w:p w14:paraId="0231BDD6" w14:textId="77777777" w:rsidR="008A4FEC" w:rsidRPr="006A68D2" w:rsidRDefault="008A4FEC" w:rsidP="00F86D7F">
            <w:pPr>
              <w:jc w:val="both"/>
              <w:rPr>
                <w:rFonts w:ascii="Arial" w:hAnsi="Arial" w:cs="Arial"/>
                <w:sz w:val="18"/>
                <w:szCs w:val="18"/>
                <w:lang w:val="es-ES_tradnl"/>
              </w:rPr>
            </w:pPr>
            <w:r w:rsidRPr="006A68D2">
              <w:rPr>
                <w:rFonts w:ascii="Arial" w:hAnsi="Arial" w:cs="Arial"/>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5040" w:type="dxa"/>
            <w:shd w:val="clear" w:color="auto" w:fill="auto"/>
            <w:vAlign w:val="center"/>
          </w:tcPr>
          <w:p w14:paraId="494C7DBA" w14:textId="77777777" w:rsidR="008A4FEC" w:rsidRPr="006A68D2" w:rsidRDefault="008A4FEC" w:rsidP="00F86D7F">
            <w:pPr>
              <w:jc w:val="both"/>
              <w:rPr>
                <w:rFonts w:ascii="Arial" w:hAnsi="Arial" w:cs="Arial"/>
                <w:sz w:val="18"/>
                <w:szCs w:val="18"/>
                <w:lang w:val="es-ES_tradnl"/>
              </w:rPr>
            </w:pPr>
            <w:r w:rsidRPr="006A68D2">
              <w:rPr>
                <w:rFonts w:ascii="Arial" w:hAnsi="Arial" w:cs="Arial"/>
                <w:sz w:val="18"/>
                <w:szCs w:val="18"/>
                <w:lang w:val="es-ES_tradnl"/>
              </w:rPr>
              <w:t>La Constitución Política Colombiana, (artículo 365), estableció que los servicios públicos están sometidos al régimen jurídico que está fijado por la Ley 142 de 1994, y los mismos pueden ser prestados por el Estado, directa o indirectamente, por comunidades organizadas, o por particulares, manteniendo el Estado la regulación, el control y la vigilancia de dichos servicios.</w:t>
            </w:r>
          </w:p>
          <w:p w14:paraId="16803140" w14:textId="77777777" w:rsidR="008A4FEC" w:rsidRPr="006A68D2" w:rsidRDefault="008A4FEC" w:rsidP="00F86D7F">
            <w:pPr>
              <w:jc w:val="both"/>
              <w:rPr>
                <w:rFonts w:ascii="Arial" w:hAnsi="Arial" w:cs="Arial"/>
                <w:sz w:val="18"/>
                <w:szCs w:val="18"/>
                <w:lang w:val="es-ES_tradnl"/>
              </w:rPr>
            </w:pPr>
          </w:p>
        </w:tc>
      </w:tr>
      <w:tr w:rsidR="00FD228A" w:rsidRPr="00840CA7" w14:paraId="0B878F70" w14:textId="77777777" w:rsidTr="00840CA7">
        <w:trPr>
          <w:trHeight w:val="440"/>
          <w:jc w:val="center"/>
        </w:trPr>
        <w:tc>
          <w:tcPr>
            <w:tcW w:w="1957" w:type="dxa"/>
            <w:shd w:val="clear" w:color="auto" w:fill="auto"/>
            <w:vAlign w:val="center"/>
          </w:tcPr>
          <w:p w14:paraId="211674F7" w14:textId="77777777" w:rsidR="00FD228A" w:rsidRPr="00840CA7" w:rsidRDefault="00FD228A" w:rsidP="00F86D7F">
            <w:pPr>
              <w:ind w:left="330" w:hanging="150"/>
              <w:rPr>
                <w:rFonts w:ascii="Arial" w:hAnsi="Arial" w:cs="Arial"/>
                <w:i/>
                <w:sz w:val="18"/>
                <w:szCs w:val="18"/>
                <w:lang w:val="es-ES"/>
              </w:rPr>
            </w:pPr>
            <w:r w:rsidRPr="00840CA7">
              <w:rPr>
                <w:rFonts w:ascii="Arial" w:hAnsi="Arial" w:cs="Arial"/>
                <w:i/>
                <w:sz w:val="18"/>
                <w:szCs w:val="18"/>
                <w:lang w:val="es-ES"/>
              </w:rPr>
              <w:t xml:space="preserve">G. </w:t>
            </w:r>
            <w:r w:rsidRPr="00840CA7">
              <w:rPr>
                <w:rFonts w:ascii="Arial" w:hAnsi="Arial" w:cs="Arial"/>
                <w:bCs/>
                <w:i/>
                <w:sz w:val="18"/>
                <w:szCs w:val="18"/>
                <w:lang w:val="es-ES_tradnl"/>
              </w:rPr>
              <w:t>Fortalecer</w:t>
            </w:r>
            <w:r w:rsidRPr="00840CA7">
              <w:rPr>
                <w:rFonts w:ascii="Arial" w:hAnsi="Arial" w:cs="Arial"/>
                <w:i/>
                <w:sz w:val="18"/>
                <w:szCs w:val="18"/>
                <w:lang w:val="es-ES"/>
              </w:rPr>
              <w:t xml:space="preserve"> la gestión de la infraestructura utilizada para la prestación de los servicios públicos domiciliarios.</w:t>
            </w:r>
          </w:p>
        </w:tc>
        <w:tc>
          <w:tcPr>
            <w:tcW w:w="2813" w:type="dxa"/>
            <w:shd w:val="clear" w:color="auto" w:fill="auto"/>
            <w:vAlign w:val="center"/>
          </w:tcPr>
          <w:p w14:paraId="7591F43B" w14:textId="77777777" w:rsidR="00FD228A" w:rsidRPr="006A68D2" w:rsidRDefault="00FD228A" w:rsidP="00F86D7F">
            <w:pPr>
              <w:jc w:val="both"/>
              <w:rPr>
                <w:rFonts w:ascii="Arial" w:hAnsi="Arial" w:cs="Arial"/>
                <w:sz w:val="18"/>
                <w:szCs w:val="18"/>
                <w:lang w:val="es-ES"/>
              </w:rPr>
            </w:pPr>
            <w:r w:rsidRPr="006A68D2">
              <w:rPr>
                <w:rFonts w:ascii="Arial" w:hAnsi="Arial" w:cs="Arial"/>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5040" w:type="dxa"/>
            <w:shd w:val="clear" w:color="auto" w:fill="auto"/>
            <w:vAlign w:val="center"/>
          </w:tcPr>
          <w:p w14:paraId="7B5366BA" w14:textId="77777777" w:rsidR="00FD228A" w:rsidRPr="006A68D2" w:rsidRDefault="00FD228A" w:rsidP="00F86D7F">
            <w:pPr>
              <w:pStyle w:val="CFIJAENB"/>
              <w:ind w:left="0"/>
              <w:rPr>
                <w:rFonts w:cs="Arial"/>
                <w:sz w:val="18"/>
                <w:szCs w:val="18"/>
                <w:lang w:eastAsia="en-US"/>
              </w:rPr>
            </w:pPr>
            <w:r w:rsidRPr="006A68D2">
              <w:rPr>
                <w:rFonts w:cs="Arial"/>
                <w:sz w:val="18"/>
                <w:szCs w:val="18"/>
                <w:lang w:eastAsia="en-US"/>
              </w:rPr>
              <w:t>El marco normativo de prestación de los servicios en Colombia, Ley 142 de 194, art.28 establece que las empresas tienen la obligación de efectuar el mantenimiento y reparación de las redes locales, cuyos costos serán a cargo de ellas, en la estructura tarifaria.</w:t>
            </w:r>
          </w:p>
          <w:p w14:paraId="56B6E327" w14:textId="77777777" w:rsidR="00F86D7F" w:rsidRDefault="00F86D7F" w:rsidP="00F86D7F">
            <w:pPr>
              <w:pStyle w:val="CFIJAENB"/>
              <w:ind w:left="0"/>
              <w:rPr>
                <w:rFonts w:cs="Arial"/>
                <w:sz w:val="18"/>
                <w:szCs w:val="18"/>
                <w:lang w:eastAsia="en-US"/>
              </w:rPr>
            </w:pPr>
          </w:p>
          <w:p w14:paraId="4998F1F8" w14:textId="448DBB78" w:rsidR="00FD228A" w:rsidRPr="006A68D2" w:rsidRDefault="00FD228A" w:rsidP="00F86D7F">
            <w:pPr>
              <w:pStyle w:val="CFIJAENB"/>
              <w:ind w:left="0"/>
              <w:rPr>
                <w:rFonts w:cs="Arial"/>
                <w:i/>
                <w:sz w:val="18"/>
                <w:szCs w:val="18"/>
                <w:lang w:eastAsia="en-US"/>
              </w:rPr>
            </w:pPr>
            <w:r w:rsidRPr="006A68D2">
              <w:rPr>
                <w:rFonts w:cs="Arial"/>
                <w:sz w:val="18"/>
                <w:szCs w:val="18"/>
                <w:lang w:eastAsia="en-US"/>
              </w:rPr>
              <w:t xml:space="preserve">En la identificación de necesidades, mediante el programa se dará prioridad a fortalecer la gestión de la prestación de los servicios de agua potable y saneamiento básico, con el apoyo </w:t>
            </w:r>
            <w:r w:rsidR="00F86D7F">
              <w:rPr>
                <w:rFonts w:cs="Arial"/>
                <w:sz w:val="18"/>
                <w:szCs w:val="18"/>
                <w:lang w:eastAsia="en-US"/>
              </w:rPr>
              <w:t>políticas de mantenimiento de activos y optimizar el uso de las infraestructura.</w:t>
            </w:r>
          </w:p>
        </w:tc>
      </w:tr>
      <w:tr w:rsidR="003D7BAB" w:rsidRPr="00840CA7" w14:paraId="0E20F771" w14:textId="77777777" w:rsidTr="00840CA7">
        <w:trPr>
          <w:jc w:val="center"/>
        </w:trPr>
        <w:tc>
          <w:tcPr>
            <w:tcW w:w="1957" w:type="dxa"/>
            <w:shd w:val="clear" w:color="auto" w:fill="auto"/>
            <w:vAlign w:val="center"/>
          </w:tcPr>
          <w:p w14:paraId="6A967515" w14:textId="77777777" w:rsidR="003D7BAB" w:rsidRPr="00840CA7" w:rsidRDefault="003D7BAB" w:rsidP="00F86D7F">
            <w:pPr>
              <w:rPr>
                <w:rFonts w:ascii="Arial" w:hAnsi="Arial" w:cs="Arial"/>
                <w:sz w:val="18"/>
                <w:szCs w:val="18"/>
                <w:lang w:val="es-ES"/>
              </w:rPr>
            </w:pPr>
            <w:r w:rsidRPr="00840CA7">
              <w:rPr>
                <w:rFonts w:ascii="Arial" w:hAnsi="Arial" w:cs="Arial"/>
                <w:sz w:val="18"/>
                <w:szCs w:val="18"/>
                <w:lang w:val="es-ES"/>
              </w:rPr>
              <w:t>3. Promover la innovación para fomentar la eficiencia, el acceso y la sostenibilidad ambiental</w:t>
            </w:r>
          </w:p>
        </w:tc>
        <w:tc>
          <w:tcPr>
            <w:tcW w:w="2813" w:type="dxa"/>
            <w:shd w:val="clear" w:color="auto" w:fill="auto"/>
            <w:vAlign w:val="center"/>
          </w:tcPr>
          <w:p w14:paraId="291685B7" w14:textId="77777777" w:rsidR="003D7BAB" w:rsidRPr="006A68D2" w:rsidRDefault="003D7BAB" w:rsidP="00F86D7F">
            <w:pPr>
              <w:jc w:val="both"/>
              <w:rPr>
                <w:rFonts w:ascii="Arial" w:hAnsi="Arial" w:cs="Arial"/>
                <w:sz w:val="18"/>
                <w:szCs w:val="18"/>
                <w:lang w:val="es-ES"/>
              </w:rPr>
            </w:pPr>
            <w:r w:rsidRPr="006A68D2">
              <w:rPr>
                <w:rFonts w:ascii="Arial" w:hAnsi="Arial" w:cs="Arial"/>
                <w:sz w:val="18"/>
                <w:szCs w:val="18"/>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5040" w:type="dxa"/>
            <w:shd w:val="clear" w:color="auto" w:fill="auto"/>
            <w:vAlign w:val="center"/>
          </w:tcPr>
          <w:p w14:paraId="60148436" w14:textId="69B51FF4" w:rsidR="003D7BAB" w:rsidRPr="006A68D2" w:rsidRDefault="00CE35EE" w:rsidP="00F86D7F">
            <w:pPr>
              <w:jc w:val="both"/>
              <w:rPr>
                <w:rFonts w:ascii="Arial" w:hAnsi="Arial" w:cs="Arial"/>
                <w:sz w:val="18"/>
                <w:szCs w:val="18"/>
                <w:lang w:val="es-ES_tradnl"/>
              </w:rPr>
            </w:pPr>
            <w:r w:rsidRPr="006A68D2">
              <w:rPr>
                <w:rFonts w:ascii="Arial" w:hAnsi="Arial" w:cs="Arial"/>
                <w:sz w:val="18"/>
                <w:szCs w:val="18"/>
                <w:lang w:val="es-ES_tradnl"/>
              </w:rPr>
              <w:t xml:space="preserve">Las soluciones tecnológicas a implementar en el programa se seleccionan aplicando estudios de alternativas que permiten seleccionar las de menor costo de inversión más operación y mantenimiento que cumplan con los requisitos técnicos, ambientales y sociales que establece la normativa. El  </w:t>
            </w:r>
            <w:r w:rsidR="00F86D7F">
              <w:rPr>
                <w:rFonts w:ascii="Arial" w:hAnsi="Arial" w:cs="Arial"/>
                <w:sz w:val="18"/>
                <w:szCs w:val="18"/>
                <w:lang w:val="es-ES_tradnl"/>
              </w:rPr>
              <w:t>P</w:t>
            </w:r>
            <w:r w:rsidRPr="006A68D2">
              <w:rPr>
                <w:rFonts w:ascii="Arial" w:hAnsi="Arial" w:cs="Arial"/>
                <w:sz w:val="18"/>
                <w:szCs w:val="18"/>
                <w:lang w:val="es-ES_tradnl"/>
              </w:rPr>
              <w:t xml:space="preserve">rograma financia programas de gestión de la demanda, focalizados en mejoras de la infraestructura con la finalidad de aumentar la disponibilidad del recurso y la calidad del servicio (mediante obras de rehabilitación, sectorización de redes, control de pérdidas), y reducir costos operacionales. Por otra parte, el programa incluye la financiación de mejora de las instalaciones sanitarias internas de la población que no tiene el servicio con la finalidad de facilitar la conexión al agua y el alcantarillado de la población de menores recursos. </w:t>
            </w:r>
          </w:p>
        </w:tc>
      </w:tr>
      <w:bookmarkEnd w:id="3"/>
    </w:tbl>
    <w:p w14:paraId="21C16C24" w14:textId="77777777" w:rsidR="003B02C4" w:rsidRPr="006A68D2" w:rsidRDefault="003B02C4" w:rsidP="003100CE">
      <w:pPr>
        <w:spacing w:after="120"/>
        <w:rPr>
          <w:rFonts w:ascii="Arial" w:hAnsi="Arial" w:cs="Arial"/>
          <w:lang w:val="es-ES"/>
        </w:rPr>
      </w:pPr>
    </w:p>
    <w:sectPr w:rsidR="003B02C4" w:rsidRPr="006A68D2" w:rsidSect="009B38CC">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D6B2" w14:textId="77777777" w:rsidR="00935C5D" w:rsidRDefault="00935C5D" w:rsidP="00B72604">
      <w:r>
        <w:separator/>
      </w:r>
    </w:p>
  </w:endnote>
  <w:endnote w:type="continuationSeparator" w:id="0">
    <w:p w14:paraId="06DEADE2" w14:textId="77777777" w:rsidR="00935C5D" w:rsidRDefault="00935C5D" w:rsidP="00B72604">
      <w:r>
        <w:continuationSeparator/>
      </w:r>
    </w:p>
  </w:endnote>
  <w:endnote w:type="continuationNotice" w:id="1">
    <w:p w14:paraId="4008F99F" w14:textId="77777777" w:rsidR="00935C5D" w:rsidRDefault="0093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FAF3" w14:textId="77777777" w:rsidR="00935C5D" w:rsidRDefault="00935C5D" w:rsidP="00B72604">
      <w:r>
        <w:separator/>
      </w:r>
    </w:p>
  </w:footnote>
  <w:footnote w:type="continuationSeparator" w:id="0">
    <w:p w14:paraId="60CBAFE1" w14:textId="77777777" w:rsidR="00935C5D" w:rsidRDefault="00935C5D" w:rsidP="00B72604">
      <w:r>
        <w:continuationSeparator/>
      </w:r>
    </w:p>
  </w:footnote>
  <w:footnote w:type="continuationNotice" w:id="1">
    <w:p w14:paraId="5711C3A9" w14:textId="77777777" w:rsidR="00935C5D" w:rsidRDefault="00935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168209085"/>
      <w:docPartObj>
        <w:docPartGallery w:val="Page Numbers (Top of Page)"/>
        <w:docPartUnique/>
      </w:docPartObj>
    </w:sdtPr>
    <w:sdtEndPr/>
    <w:sdtContent>
      <w:p w14:paraId="79FB5635" w14:textId="5EF0194F" w:rsidR="006A68D2" w:rsidRPr="00840CA7" w:rsidRDefault="006A68D2" w:rsidP="00F97646">
        <w:pPr>
          <w:pStyle w:val="Header"/>
          <w:tabs>
            <w:tab w:val="clear" w:pos="4680"/>
            <w:tab w:val="clear" w:pos="9360"/>
            <w:tab w:val="right" w:pos="8640"/>
          </w:tabs>
          <w:jc w:val="right"/>
          <w:rPr>
            <w:rFonts w:ascii="Arial" w:hAnsi="Arial" w:cs="Arial"/>
            <w:sz w:val="18"/>
            <w:szCs w:val="20"/>
            <w:lang w:val="pt-BR"/>
          </w:rPr>
        </w:pPr>
        <w:r w:rsidRPr="00840CA7">
          <w:rPr>
            <w:rFonts w:ascii="Arial" w:hAnsi="Arial" w:cs="Arial"/>
            <w:sz w:val="18"/>
            <w:szCs w:val="20"/>
            <w:lang w:val="pt-BR"/>
          </w:rPr>
          <w:t>CO-</w:t>
        </w:r>
        <w:r w:rsidR="00C22526" w:rsidRPr="00840CA7">
          <w:rPr>
            <w:rFonts w:ascii="Arial" w:hAnsi="Arial" w:cs="Arial"/>
            <w:sz w:val="18"/>
            <w:szCs w:val="20"/>
            <w:lang w:val="pt-BR"/>
          </w:rPr>
          <w:t>1133</w:t>
        </w:r>
      </w:p>
      <w:p w14:paraId="3A27184E" w14:textId="2F7FB248" w:rsidR="006A68D2" w:rsidRPr="00840CA7" w:rsidRDefault="006A68D2" w:rsidP="00F97646">
        <w:pPr>
          <w:pStyle w:val="Header"/>
          <w:tabs>
            <w:tab w:val="clear" w:pos="4680"/>
            <w:tab w:val="clear" w:pos="9360"/>
          </w:tabs>
          <w:ind w:left="7200"/>
          <w:jc w:val="right"/>
          <w:rPr>
            <w:rFonts w:ascii="Arial" w:hAnsi="Arial" w:cs="Arial"/>
            <w:sz w:val="18"/>
            <w:szCs w:val="20"/>
            <w:lang w:val="pt-BR"/>
          </w:rPr>
        </w:pPr>
        <w:r w:rsidRPr="00840CA7">
          <w:rPr>
            <w:rFonts w:ascii="Arial" w:hAnsi="Arial" w:cs="Arial"/>
            <w:sz w:val="18"/>
            <w:szCs w:val="20"/>
            <w:lang w:val="pt-BR"/>
          </w:rPr>
          <w:t xml:space="preserve">Página </w:t>
        </w:r>
        <w:r w:rsidRPr="00840CA7">
          <w:rPr>
            <w:rFonts w:ascii="Arial" w:hAnsi="Arial" w:cs="Arial"/>
            <w:bCs/>
            <w:sz w:val="18"/>
            <w:szCs w:val="20"/>
          </w:rPr>
          <w:fldChar w:fldCharType="begin"/>
        </w:r>
        <w:r w:rsidRPr="00840CA7">
          <w:rPr>
            <w:rFonts w:ascii="Arial" w:hAnsi="Arial" w:cs="Arial"/>
            <w:bCs/>
            <w:sz w:val="18"/>
            <w:szCs w:val="20"/>
            <w:lang w:val="pt-BR"/>
          </w:rPr>
          <w:instrText xml:space="preserve"> PAGE </w:instrText>
        </w:r>
        <w:r w:rsidRPr="00840CA7">
          <w:rPr>
            <w:rFonts w:ascii="Arial" w:hAnsi="Arial" w:cs="Arial"/>
            <w:bCs/>
            <w:sz w:val="18"/>
            <w:szCs w:val="20"/>
          </w:rPr>
          <w:fldChar w:fldCharType="separate"/>
        </w:r>
        <w:r w:rsidR="00935C5D">
          <w:rPr>
            <w:rFonts w:ascii="Arial" w:hAnsi="Arial" w:cs="Arial"/>
            <w:bCs/>
            <w:noProof/>
            <w:sz w:val="18"/>
            <w:szCs w:val="20"/>
            <w:lang w:val="pt-BR"/>
          </w:rPr>
          <w:t>1</w:t>
        </w:r>
        <w:r w:rsidRPr="00840CA7">
          <w:rPr>
            <w:rFonts w:ascii="Arial" w:hAnsi="Arial" w:cs="Arial"/>
            <w:bCs/>
            <w:sz w:val="18"/>
            <w:szCs w:val="20"/>
          </w:rPr>
          <w:fldChar w:fldCharType="end"/>
        </w:r>
        <w:r w:rsidRPr="00840CA7">
          <w:rPr>
            <w:rFonts w:ascii="Arial" w:hAnsi="Arial" w:cs="Arial"/>
            <w:bCs/>
            <w:sz w:val="18"/>
            <w:szCs w:val="20"/>
            <w:lang w:val="pt-BR"/>
          </w:rPr>
          <w:t xml:space="preserve"> </w:t>
        </w:r>
        <w:r w:rsidRPr="00840CA7">
          <w:rPr>
            <w:rFonts w:ascii="Arial" w:hAnsi="Arial" w:cs="Arial"/>
            <w:sz w:val="18"/>
            <w:szCs w:val="20"/>
            <w:lang w:val="pt-BR"/>
          </w:rPr>
          <w:t xml:space="preserve">de </w:t>
        </w:r>
        <w:r w:rsidRPr="00840CA7">
          <w:rPr>
            <w:rFonts w:ascii="Arial" w:hAnsi="Arial" w:cs="Arial"/>
            <w:bCs/>
            <w:sz w:val="18"/>
            <w:szCs w:val="20"/>
          </w:rPr>
          <w:fldChar w:fldCharType="begin"/>
        </w:r>
        <w:r w:rsidRPr="00840CA7">
          <w:rPr>
            <w:rFonts w:ascii="Arial" w:hAnsi="Arial" w:cs="Arial"/>
            <w:bCs/>
            <w:sz w:val="18"/>
            <w:szCs w:val="20"/>
            <w:lang w:val="pt-BR"/>
          </w:rPr>
          <w:instrText xml:space="preserve"> NUMPAGES  </w:instrText>
        </w:r>
        <w:r w:rsidRPr="00840CA7">
          <w:rPr>
            <w:rFonts w:ascii="Arial" w:hAnsi="Arial" w:cs="Arial"/>
            <w:bCs/>
            <w:sz w:val="18"/>
            <w:szCs w:val="20"/>
          </w:rPr>
          <w:fldChar w:fldCharType="separate"/>
        </w:r>
        <w:r w:rsidR="00935C5D">
          <w:rPr>
            <w:rFonts w:ascii="Arial" w:hAnsi="Arial" w:cs="Arial"/>
            <w:bCs/>
            <w:noProof/>
            <w:sz w:val="18"/>
            <w:szCs w:val="20"/>
            <w:lang w:val="pt-BR"/>
          </w:rPr>
          <w:t>1</w:t>
        </w:r>
        <w:r w:rsidRPr="00840CA7">
          <w:rPr>
            <w:rFonts w:ascii="Arial" w:hAnsi="Arial" w:cs="Arial"/>
            <w:bCs/>
            <w:sz w:val="18"/>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73"/>
        </w:tabs>
        <w:ind w:left="1273"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 w15:restartNumberingAfterBreak="0">
    <w:nsid w:val="09AF2B98"/>
    <w:multiLevelType w:val="multilevel"/>
    <w:tmpl w:val="4C2CC41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15:restartNumberingAfterBreak="0">
    <w:nsid w:val="0DAB7FC9"/>
    <w:multiLevelType w:val="multilevel"/>
    <w:tmpl w:val="7AFC857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160320B5"/>
    <w:multiLevelType w:val="multilevel"/>
    <w:tmpl w:val="7C5448D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15:restartNumberingAfterBreak="0">
    <w:nsid w:val="172E7663"/>
    <w:multiLevelType w:val="hybridMultilevel"/>
    <w:tmpl w:val="A3D81D94"/>
    <w:lvl w:ilvl="0" w:tplc="3DCE8444">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810CB"/>
    <w:multiLevelType w:val="hybridMultilevel"/>
    <w:tmpl w:val="38E4DCCE"/>
    <w:lvl w:ilvl="0" w:tplc="CA86ED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533A"/>
    <w:multiLevelType w:val="multilevel"/>
    <w:tmpl w:val="BA3076C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lvl>
    <w:lvl w:ilvl="2">
      <w:start w:val="1"/>
      <w:numFmt w:val="lowerLetter"/>
      <w:pStyle w:val="SubHeading1"/>
      <w:lvlText w:val="%3)"/>
      <w:lvlJc w:val="left"/>
      <w:pPr>
        <w:tabs>
          <w:tab w:val="num" w:pos="5976"/>
        </w:tabs>
        <w:ind w:left="5976" w:hanging="576"/>
      </w:pPr>
    </w:lvl>
    <w:lvl w:ilvl="3">
      <w:start w:val="1"/>
      <w:numFmt w:val="lowerRoman"/>
      <w:pStyle w:val="Subheading2"/>
      <w:lvlText w:val="(%4)"/>
      <w:lvlJc w:val="right"/>
      <w:pPr>
        <w:tabs>
          <w:tab w:val="num" w:pos="6480"/>
        </w:tabs>
        <w:ind w:left="6480" w:hanging="288"/>
      </w:pPr>
    </w:lvl>
    <w:lvl w:ilvl="4">
      <w:start w:val="1"/>
      <w:numFmt w:val="none"/>
      <w:lvlText w:val=""/>
      <w:lvlJc w:val="left"/>
      <w:pPr>
        <w:tabs>
          <w:tab w:val="num" w:pos="5112"/>
        </w:tabs>
        <w:ind w:left="5112" w:hanging="1008"/>
      </w:pPr>
    </w:lvl>
    <w:lvl w:ilvl="5">
      <w:start w:val="1"/>
      <w:numFmt w:val="none"/>
      <w:lvlText w:val=""/>
      <w:lvlJc w:val="left"/>
      <w:pPr>
        <w:tabs>
          <w:tab w:val="num" w:pos="5256"/>
        </w:tabs>
        <w:ind w:left="5256" w:hanging="1152"/>
      </w:pPr>
    </w:lvl>
    <w:lvl w:ilvl="6">
      <w:start w:val="1"/>
      <w:numFmt w:val="none"/>
      <w:lvlText w:val=""/>
      <w:lvlJc w:val="left"/>
      <w:pPr>
        <w:tabs>
          <w:tab w:val="num" w:pos="5400"/>
        </w:tabs>
        <w:ind w:left="5400" w:hanging="1296"/>
      </w:pPr>
    </w:lvl>
    <w:lvl w:ilvl="7">
      <w:start w:val="1"/>
      <w:numFmt w:val="none"/>
      <w:lvlText w:val=""/>
      <w:lvlJc w:val="left"/>
      <w:pPr>
        <w:tabs>
          <w:tab w:val="num" w:pos="5544"/>
        </w:tabs>
        <w:ind w:left="5544" w:hanging="1440"/>
      </w:pPr>
    </w:lvl>
    <w:lvl w:ilvl="8">
      <w:start w:val="1"/>
      <w:numFmt w:val="none"/>
      <w:lvlText w:val=""/>
      <w:lvlJc w:val="left"/>
      <w:pPr>
        <w:tabs>
          <w:tab w:val="num" w:pos="5688"/>
        </w:tabs>
        <w:ind w:left="5688" w:hanging="1584"/>
      </w:pPr>
    </w:lvl>
  </w:abstractNum>
  <w:abstractNum w:abstractNumId="10" w15:restartNumberingAfterBreak="0">
    <w:nsid w:val="29705FC8"/>
    <w:multiLevelType w:val="hybridMultilevel"/>
    <w:tmpl w:val="93C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F7B21"/>
    <w:multiLevelType w:val="hybridMultilevel"/>
    <w:tmpl w:val="F36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C125A"/>
    <w:multiLevelType w:val="hybridMultilevel"/>
    <w:tmpl w:val="641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D5077"/>
    <w:multiLevelType w:val="multilevel"/>
    <w:tmpl w:val="4DE84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15" w15:restartNumberingAfterBreak="0">
    <w:nsid w:val="63742036"/>
    <w:multiLevelType w:val="multilevel"/>
    <w:tmpl w:val="F45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A7AFA"/>
    <w:multiLevelType w:val="multilevel"/>
    <w:tmpl w:val="36C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6179D"/>
    <w:multiLevelType w:val="multilevel"/>
    <w:tmpl w:val="49D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9"/>
  </w:num>
  <w:num w:numId="7">
    <w:abstractNumId w:val="3"/>
    <w:lvlOverride w:ilvl="0">
      <w:startOverride w:val="544"/>
    </w:lvlOverride>
    <w:lvlOverride w:ilvl="1">
      <w:startOverride w:val="89"/>
    </w:lvlOverride>
  </w:num>
  <w:num w:numId="8">
    <w:abstractNumId w:val="14"/>
  </w:num>
  <w:num w:numId="9">
    <w:abstractNumId w:val="1"/>
  </w:num>
  <w:num w:numId="10">
    <w:abstractNumId w:val="10"/>
  </w:num>
  <w:num w:numId="11">
    <w:abstractNumId w:val="11"/>
  </w:num>
  <w:num w:numId="12">
    <w:abstractNumId w:val="5"/>
  </w:num>
  <w:num w:numId="13">
    <w:abstractNumId w:val="7"/>
  </w:num>
  <w:num w:numId="14">
    <w:abstractNumId w:val="12"/>
  </w:num>
  <w:num w:numId="15">
    <w:abstractNumId w:val="8"/>
  </w:num>
  <w:num w:numId="16">
    <w:abstractNumId w:val="3"/>
  </w:num>
  <w:num w:numId="17">
    <w:abstractNumId w:val="1"/>
  </w:num>
  <w:num w:numId="18">
    <w:abstractNumId w:val="1"/>
  </w:num>
  <w:num w:numId="19">
    <w:abstractNumId w:val="16"/>
  </w:num>
  <w:num w:numId="20">
    <w:abstractNumId w:val="15"/>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1"/>
    <w:rsid w:val="000018DE"/>
    <w:rsid w:val="0000667C"/>
    <w:rsid w:val="000105E2"/>
    <w:rsid w:val="00010A1E"/>
    <w:rsid w:val="00015D4F"/>
    <w:rsid w:val="000166EC"/>
    <w:rsid w:val="000216D6"/>
    <w:rsid w:val="00022671"/>
    <w:rsid w:val="00024447"/>
    <w:rsid w:val="000301E4"/>
    <w:rsid w:val="00033BEF"/>
    <w:rsid w:val="00036263"/>
    <w:rsid w:val="0004566D"/>
    <w:rsid w:val="0005004D"/>
    <w:rsid w:val="00060E7F"/>
    <w:rsid w:val="000640A0"/>
    <w:rsid w:val="00064F88"/>
    <w:rsid w:val="00066B5B"/>
    <w:rsid w:val="00071A12"/>
    <w:rsid w:val="00074C84"/>
    <w:rsid w:val="0008127B"/>
    <w:rsid w:val="0008572D"/>
    <w:rsid w:val="000878E8"/>
    <w:rsid w:val="000941DD"/>
    <w:rsid w:val="000A45C0"/>
    <w:rsid w:val="000B3484"/>
    <w:rsid w:val="000B6849"/>
    <w:rsid w:val="000C6EE2"/>
    <w:rsid w:val="000D4407"/>
    <w:rsid w:val="000E0C3F"/>
    <w:rsid w:val="000E42A6"/>
    <w:rsid w:val="000E52E1"/>
    <w:rsid w:val="000F1306"/>
    <w:rsid w:val="000F1881"/>
    <w:rsid w:val="00101141"/>
    <w:rsid w:val="001079B9"/>
    <w:rsid w:val="001115FB"/>
    <w:rsid w:val="001152CF"/>
    <w:rsid w:val="00115729"/>
    <w:rsid w:val="00120449"/>
    <w:rsid w:val="0012102E"/>
    <w:rsid w:val="0012165B"/>
    <w:rsid w:val="00122913"/>
    <w:rsid w:val="00124F40"/>
    <w:rsid w:val="00131EA5"/>
    <w:rsid w:val="00140ECE"/>
    <w:rsid w:val="00154CC9"/>
    <w:rsid w:val="00162EB8"/>
    <w:rsid w:val="001651D9"/>
    <w:rsid w:val="001666EA"/>
    <w:rsid w:val="00186926"/>
    <w:rsid w:val="00191CD4"/>
    <w:rsid w:val="00196AF6"/>
    <w:rsid w:val="00197176"/>
    <w:rsid w:val="001A0CFC"/>
    <w:rsid w:val="001B0897"/>
    <w:rsid w:val="001B3B01"/>
    <w:rsid w:val="001C013D"/>
    <w:rsid w:val="001D6C3A"/>
    <w:rsid w:val="001E46EF"/>
    <w:rsid w:val="001F50F7"/>
    <w:rsid w:val="002004C3"/>
    <w:rsid w:val="00206462"/>
    <w:rsid w:val="00220396"/>
    <w:rsid w:val="0022142A"/>
    <w:rsid w:val="00223BFC"/>
    <w:rsid w:val="00256EBE"/>
    <w:rsid w:val="00260963"/>
    <w:rsid w:val="00262F31"/>
    <w:rsid w:val="00270A79"/>
    <w:rsid w:val="00274A5F"/>
    <w:rsid w:val="00294D87"/>
    <w:rsid w:val="002973D1"/>
    <w:rsid w:val="002A08BB"/>
    <w:rsid w:val="002B229F"/>
    <w:rsid w:val="002B29C2"/>
    <w:rsid w:val="002B5737"/>
    <w:rsid w:val="002B6E68"/>
    <w:rsid w:val="002B7E37"/>
    <w:rsid w:val="002C2B2B"/>
    <w:rsid w:val="002D000D"/>
    <w:rsid w:val="002D4037"/>
    <w:rsid w:val="002D5CE0"/>
    <w:rsid w:val="002D7A19"/>
    <w:rsid w:val="002D7AB7"/>
    <w:rsid w:val="002E236F"/>
    <w:rsid w:val="002E3C4E"/>
    <w:rsid w:val="002E53CF"/>
    <w:rsid w:val="002E6D11"/>
    <w:rsid w:val="002F6647"/>
    <w:rsid w:val="00304F3B"/>
    <w:rsid w:val="00305235"/>
    <w:rsid w:val="003100CE"/>
    <w:rsid w:val="003227BB"/>
    <w:rsid w:val="00323893"/>
    <w:rsid w:val="00325C4E"/>
    <w:rsid w:val="00327F29"/>
    <w:rsid w:val="0033068E"/>
    <w:rsid w:val="00332836"/>
    <w:rsid w:val="0033336C"/>
    <w:rsid w:val="00336474"/>
    <w:rsid w:val="00353117"/>
    <w:rsid w:val="00357537"/>
    <w:rsid w:val="00367261"/>
    <w:rsid w:val="003853F6"/>
    <w:rsid w:val="003865AD"/>
    <w:rsid w:val="0039287D"/>
    <w:rsid w:val="003A042C"/>
    <w:rsid w:val="003A14B3"/>
    <w:rsid w:val="003B02C4"/>
    <w:rsid w:val="003B55DF"/>
    <w:rsid w:val="003B5AB2"/>
    <w:rsid w:val="003C3DDE"/>
    <w:rsid w:val="003C5424"/>
    <w:rsid w:val="003C64FB"/>
    <w:rsid w:val="003D5B41"/>
    <w:rsid w:val="003D6315"/>
    <w:rsid w:val="003D7BAB"/>
    <w:rsid w:val="003E0618"/>
    <w:rsid w:val="003E0B21"/>
    <w:rsid w:val="003E0DF0"/>
    <w:rsid w:val="003E6367"/>
    <w:rsid w:val="003F4487"/>
    <w:rsid w:val="003F48CF"/>
    <w:rsid w:val="003F78EE"/>
    <w:rsid w:val="00407BF0"/>
    <w:rsid w:val="004138F9"/>
    <w:rsid w:val="004173EC"/>
    <w:rsid w:val="00420DA6"/>
    <w:rsid w:val="00421410"/>
    <w:rsid w:val="00424215"/>
    <w:rsid w:val="0043212B"/>
    <w:rsid w:val="004359CD"/>
    <w:rsid w:val="00444A98"/>
    <w:rsid w:val="004479AD"/>
    <w:rsid w:val="00456597"/>
    <w:rsid w:val="00471149"/>
    <w:rsid w:val="00473544"/>
    <w:rsid w:val="0048033F"/>
    <w:rsid w:val="0048384B"/>
    <w:rsid w:val="00485E4D"/>
    <w:rsid w:val="00496607"/>
    <w:rsid w:val="004A262B"/>
    <w:rsid w:val="004A6418"/>
    <w:rsid w:val="004B3077"/>
    <w:rsid w:val="004B6023"/>
    <w:rsid w:val="004C1E1E"/>
    <w:rsid w:val="004C2D78"/>
    <w:rsid w:val="004C5831"/>
    <w:rsid w:val="004C5EF6"/>
    <w:rsid w:val="004D7636"/>
    <w:rsid w:val="004D78F0"/>
    <w:rsid w:val="004E0892"/>
    <w:rsid w:val="004E2BFE"/>
    <w:rsid w:val="004E2DF5"/>
    <w:rsid w:val="004E6E8C"/>
    <w:rsid w:val="004F2B14"/>
    <w:rsid w:val="004F73BF"/>
    <w:rsid w:val="005057ED"/>
    <w:rsid w:val="005135D7"/>
    <w:rsid w:val="0051497D"/>
    <w:rsid w:val="00527713"/>
    <w:rsid w:val="00527F88"/>
    <w:rsid w:val="00533433"/>
    <w:rsid w:val="00534BE3"/>
    <w:rsid w:val="005418DF"/>
    <w:rsid w:val="00542B73"/>
    <w:rsid w:val="0054665B"/>
    <w:rsid w:val="0055292C"/>
    <w:rsid w:val="00553263"/>
    <w:rsid w:val="00553911"/>
    <w:rsid w:val="00560F84"/>
    <w:rsid w:val="00561894"/>
    <w:rsid w:val="005633F6"/>
    <w:rsid w:val="0056359E"/>
    <w:rsid w:val="00563D9C"/>
    <w:rsid w:val="00567085"/>
    <w:rsid w:val="005676D8"/>
    <w:rsid w:val="00573FB0"/>
    <w:rsid w:val="00575D50"/>
    <w:rsid w:val="00576FC3"/>
    <w:rsid w:val="0057785A"/>
    <w:rsid w:val="00580191"/>
    <w:rsid w:val="005821B3"/>
    <w:rsid w:val="00590F44"/>
    <w:rsid w:val="005931CB"/>
    <w:rsid w:val="0059625A"/>
    <w:rsid w:val="005977DE"/>
    <w:rsid w:val="005A019F"/>
    <w:rsid w:val="005A7D8C"/>
    <w:rsid w:val="005B012C"/>
    <w:rsid w:val="005B20A0"/>
    <w:rsid w:val="005C112F"/>
    <w:rsid w:val="005C2DF9"/>
    <w:rsid w:val="005C4811"/>
    <w:rsid w:val="005D1D0F"/>
    <w:rsid w:val="005D2F29"/>
    <w:rsid w:val="005F04E3"/>
    <w:rsid w:val="00600BF9"/>
    <w:rsid w:val="00601DF8"/>
    <w:rsid w:val="00603EE1"/>
    <w:rsid w:val="00605D11"/>
    <w:rsid w:val="00614E30"/>
    <w:rsid w:val="006256DC"/>
    <w:rsid w:val="00640137"/>
    <w:rsid w:val="00664467"/>
    <w:rsid w:val="0067714B"/>
    <w:rsid w:val="0068015B"/>
    <w:rsid w:val="006840F6"/>
    <w:rsid w:val="00690D98"/>
    <w:rsid w:val="00691441"/>
    <w:rsid w:val="00692C1F"/>
    <w:rsid w:val="006941F1"/>
    <w:rsid w:val="0069471F"/>
    <w:rsid w:val="006A652A"/>
    <w:rsid w:val="006A68D2"/>
    <w:rsid w:val="006B6013"/>
    <w:rsid w:val="006B6F1B"/>
    <w:rsid w:val="006C23EB"/>
    <w:rsid w:val="006C2B99"/>
    <w:rsid w:val="006C4863"/>
    <w:rsid w:val="006C4BCA"/>
    <w:rsid w:val="006C69F4"/>
    <w:rsid w:val="006C7921"/>
    <w:rsid w:val="006D22E2"/>
    <w:rsid w:val="006D3336"/>
    <w:rsid w:val="006D4A79"/>
    <w:rsid w:val="006E1CE9"/>
    <w:rsid w:val="006E3B5A"/>
    <w:rsid w:val="006E42A2"/>
    <w:rsid w:val="006E5009"/>
    <w:rsid w:val="006E5F14"/>
    <w:rsid w:val="00703D79"/>
    <w:rsid w:val="0070402A"/>
    <w:rsid w:val="007047CB"/>
    <w:rsid w:val="007146AD"/>
    <w:rsid w:val="00720A31"/>
    <w:rsid w:val="007304D3"/>
    <w:rsid w:val="00731E2B"/>
    <w:rsid w:val="00735EDF"/>
    <w:rsid w:val="007437CB"/>
    <w:rsid w:val="0075121F"/>
    <w:rsid w:val="007527AC"/>
    <w:rsid w:val="007552DB"/>
    <w:rsid w:val="00772038"/>
    <w:rsid w:val="007727DA"/>
    <w:rsid w:val="00776571"/>
    <w:rsid w:val="007857EF"/>
    <w:rsid w:val="00786FDC"/>
    <w:rsid w:val="0079030E"/>
    <w:rsid w:val="00792957"/>
    <w:rsid w:val="007970C9"/>
    <w:rsid w:val="007A25B9"/>
    <w:rsid w:val="007A2DCC"/>
    <w:rsid w:val="007A5503"/>
    <w:rsid w:val="007A5D6A"/>
    <w:rsid w:val="007B23C8"/>
    <w:rsid w:val="007B4D28"/>
    <w:rsid w:val="007B6A67"/>
    <w:rsid w:val="007C01B6"/>
    <w:rsid w:val="007C31ED"/>
    <w:rsid w:val="007C72C6"/>
    <w:rsid w:val="007D0E58"/>
    <w:rsid w:val="007D7650"/>
    <w:rsid w:val="007D7C85"/>
    <w:rsid w:val="007E201D"/>
    <w:rsid w:val="007E2508"/>
    <w:rsid w:val="007E3287"/>
    <w:rsid w:val="007F2F03"/>
    <w:rsid w:val="008030E2"/>
    <w:rsid w:val="00805ABB"/>
    <w:rsid w:val="00812BF8"/>
    <w:rsid w:val="00813650"/>
    <w:rsid w:val="00814223"/>
    <w:rsid w:val="00830D4A"/>
    <w:rsid w:val="00840CA7"/>
    <w:rsid w:val="00845AFF"/>
    <w:rsid w:val="00847A10"/>
    <w:rsid w:val="0086415B"/>
    <w:rsid w:val="00870DB0"/>
    <w:rsid w:val="00872FF4"/>
    <w:rsid w:val="008751CA"/>
    <w:rsid w:val="00887CEC"/>
    <w:rsid w:val="00894562"/>
    <w:rsid w:val="00894CCD"/>
    <w:rsid w:val="008957EA"/>
    <w:rsid w:val="0089733E"/>
    <w:rsid w:val="008A4FEC"/>
    <w:rsid w:val="008B0C6D"/>
    <w:rsid w:val="008B23E0"/>
    <w:rsid w:val="008B636C"/>
    <w:rsid w:val="008C0E36"/>
    <w:rsid w:val="008C5698"/>
    <w:rsid w:val="008D2B30"/>
    <w:rsid w:val="008D5C04"/>
    <w:rsid w:val="008E3A32"/>
    <w:rsid w:val="008E68AA"/>
    <w:rsid w:val="008F3683"/>
    <w:rsid w:val="008F5924"/>
    <w:rsid w:val="009040E5"/>
    <w:rsid w:val="009076BD"/>
    <w:rsid w:val="009120FE"/>
    <w:rsid w:val="00912AE0"/>
    <w:rsid w:val="00923B34"/>
    <w:rsid w:val="009276F0"/>
    <w:rsid w:val="00932343"/>
    <w:rsid w:val="00935C5D"/>
    <w:rsid w:val="00945E5A"/>
    <w:rsid w:val="00960729"/>
    <w:rsid w:val="009834A9"/>
    <w:rsid w:val="00984239"/>
    <w:rsid w:val="0098758F"/>
    <w:rsid w:val="009876DD"/>
    <w:rsid w:val="00991651"/>
    <w:rsid w:val="00992DE9"/>
    <w:rsid w:val="009934CD"/>
    <w:rsid w:val="00995892"/>
    <w:rsid w:val="00995ADA"/>
    <w:rsid w:val="009A016C"/>
    <w:rsid w:val="009A463C"/>
    <w:rsid w:val="009A5C2E"/>
    <w:rsid w:val="009A7122"/>
    <w:rsid w:val="009B38CC"/>
    <w:rsid w:val="009B6098"/>
    <w:rsid w:val="009C5D53"/>
    <w:rsid w:val="009D06C8"/>
    <w:rsid w:val="009D0850"/>
    <w:rsid w:val="009D1F89"/>
    <w:rsid w:val="009D2FED"/>
    <w:rsid w:val="009E274E"/>
    <w:rsid w:val="009E6E3E"/>
    <w:rsid w:val="009F1616"/>
    <w:rsid w:val="009F7BD4"/>
    <w:rsid w:val="00A05AB1"/>
    <w:rsid w:val="00A16065"/>
    <w:rsid w:val="00A27D62"/>
    <w:rsid w:val="00A3529B"/>
    <w:rsid w:val="00A3798E"/>
    <w:rsid w:val="00A37F90"/>
    <w:rsid w:val="00A414FF"/>
    <w:rsid w:val="00A44FC9"/>
    <w:rsid w:val="00A541BB"/>
    <w:rsid w:val="00A541F4"/>
    <w:rsid w:val="00A67558"/>
    <w:rsid w:val="00A874E0"/>
    <w:rsid w:val="00A87653"/>
    <w:rsid w:val="00A90601"/>
    <w:rsid w:val="00A95F05"/>
    <w:rsid w:val="00AA1821"/>
    <w:rsid w:val="00AA1964"/>
    <w:rsid w:val="00AA6446"/>
    <w:rsid w:val="00AB17DE"/>
    <w:rsid w:val="00AB1B2E"/>
    <w:rsid w:val="00AB4A91"/>
    <w:rsid w:val="00AB5324"/>
    <w:rsid w:val="00AB7080"/>
    <w:rsid w:val="00AD0F07"/>
    <w:rsid w:val="00AD2552"/>
    <w:rsid w:val="00AD7EA5"/>
    <w:rsid w:val="00AE01B7"/>
    <w:rsid w:val="00AE022F"/>
    <w:rsid w:val="00AE6E64"/>
    <w:rsid w:val="00AF0BB0"/>
    <w:rsid w:val="00AF45AF"/>
    <w:rsid w:val="00B01479"/>
    <w:rsid w:val="00B029B9"/>
    <w:rsid w:val="00B040CF"/>
    <w:rsid w:val="00B13B4B"/>
    <w:rsid w:val="00B30E53"/>
    <w:rsid w:val="00B31F66"/>
    <w:rsid w:val="00B34409"/>
    <w:rsid w:val="00B347BD"/>
    <w:rsid w:val="00B37190"/>
    <w:rsid w:val="00B41EB9"/>
    <w:rsid w:val="00B45D92"/>
    <w:rsid w:val="00B47D24"/>
    <w:rsid w:val="00B53A4A"/>
    <w:rsid w:val="00B561A8"/>
    <w:rsid w:val="00B572FF"/>
    <w:rsid w:val="00B6322B"/>
    <w:rsid w:val="00B706F2"/>
    <w:rsid w:val="00B716E8"/>
    <w:rsid w:val="00B72604"/>
    <w:rsid w:val="00B72D56"/>
    <w:rsid w:val="00B762C9"/>
    <w:rsid w:val="00B834BC"/>
    <w:rsid w:val="00B859B6"/>
    <w:rsid w:val="00B915BE"/>
    <w:rsid w:val="00B91614"/>
    <w:rsid w:val="00B94CEF"/>
    <w:rsid w:val="00BA063D"/>
    <w:rsid w:val="00BD3E26"/>
    <w:rsid w:val="00BD5E0E"/>
    <w:rsid w:val="00BD68A5"/>
    <w:rsid w:val="00BE0FEC"/>
    <w:rsid w:val="00BE1AD4"/>
    <w:rsid w:val="00BE1B62"/>
    <w:rsid w:val="00BE6737"/>
    <w:rsid w:val="00BE6F5B"/>
    <w:rsid w:val="00BF646D"/>
    <w:rsid w:val="00C11B5B"/>
    <w:rsid w:val="00C13196"/>
    <w:rsid w:val="00C21A95"/>
    <w:rsid w:val="00C22526"/>
    <w:rsid w:val="00C22731"/>
    <w:rsid w:val="00C25C2A"/>
    <w:rsid w:val="00C303C1"/>
    <w:rsid w:val="00C37504"/>
    <w:rsid w:val="00C411DA"/>
    <w:rsid w:val="00C44BD6"/>
    <w:rsid w:val="00C507CE"/>
    <w:rsid w:val="00C5491D"/>
    <w:rsid w:val="00C54D22"/>
    <w:rsid w:val="00C571F5"/>
    <w:rsid w:val="00C620F8"/>
    <w:rsid w:val="00C66FC4"/>
    <w:rsid w:val="00C90813"/>
    <w:rsid w:val="00C92933"/>
    <w:rsid w:val="00C93876"/>
    <w:rsid w:val="00CA4D62"/>
    <w:rsid w:val="00CA60A9"/>
    <w:rsid w:val="00CA68E4"/>
    <w:rsid w:val="00CA69BF"/>
    <w:rsid w:val="00CB0D6E"/>
    <w:rsid w:val="00CB3580"/>
    <w:rsid w:val="00CB6565"/>
    <w:rsid w:val="00CB77BC"/>
    <w:rsid w:val="00CD32BE"/>
    <w:rsid w:val="00CD6AEC"/>
    <w:rsid w:val="00CE2AC7"/>
    <w:rsid w:val="00CE2CD7"/>
    <w:rsid w:val="00CE33C6"/>
    <w:rsid w:val="00CE35EE"/>
    <w:rsid w:val="00CE4C6C"/>
    <w:rsid w:val="00CE5546"/>
    <w:rsid w:val="00CF3EEF"/>
    <w:rsid w:val="00CF4275"/>
    <w:rsid w:val="00D06EBC"/>
    <w:rsid w:val="00D12643"/>
    <w:rsid w:val="00D17943"/>
    <w:rsid w:val="00D20152"/>
    <w:rsid w:val="00D31C06"/>
    <w:rsid w:val="00D345A0"/>
    <w:rsid w:val="00D40D30"/>
    <w:rsid w:val="00D4736E"/>
    <w:rsid w:val="00D4750B"/>
    <w:rsid w:val="00D51EE8"/>
    <w:rsid w:val="00D53C58"/>
    <w:rsid w:val="00D5534D"/>
    <w:rsid w:val="00D630FF"/>
    <w:rsid w:val="00D633B6"/>
    <w:rsid w:val="00D669F5"/>
    <w:rsid w:val="00D66FE8"/>
    <w:rsid w:val="00D756A5"/>
    <w:rsid w:val="00D77B05"/>
    <w:rsid w:val="00D802A5"/>
    <w:rsid w:val="00D8138A"/>
    <w:rsid w:val="00D9070D"/>
    <w:rsid w:val="00D9258B"/>
    <w:rsid w:val="00D974A1"/>
    <w:rsid w:val="00D974A4"/>
    <w:rsid w:val="00DA08C1"/>
    <w:rsid w:val="00DA3E6F"/>
    <w:rsid w:val="00DA61DD"/>
    <w:rsid w:val="00DA7E1A"/>
    <w:rsid w:val="00DB17B7"/>
    <w:rsid w:val="00DB5CA2"/>
    <w:rsid w:val="00DC165D"/>
    <w:rsid w:val="00DC2061"/>
    <w:rsid w:val="00DC2FAD"/>
    <w:rsid w:val="00DC36F5"/>
    <w:rsid w:val="00DC3F72"/>
    <w:rsid w:val="00DC472F"/>
    <w:rsid w:val="00DC50E9"/>
    <w:rsid w:val="00DD309C"/>
    <w:rsid w:val="00DD3D09"/>
    <w:rsid w:val="00DF688D"/>
    <w:rsid w:val="00DF6B2A"/>
    <w:rsid w:val="00E06D16"/>
    <w:rsid w:val="00E078BC"/>
    <w:rsid w:val="00E130F6"/>
    <w:rsid w:val="00E2175F"/>
    <w:rsid w:val="00E24407"/>
    <w:rsid w:val="00E27D8E"/>
    <w:rsid w:val="00E34B56"/>
    <w:rsid w:val="00E36E78"/>
    <w:rsid w:val="00E53E1B"/>
    <w:rsid w:val="00E6100E"/>
    <w:rsid w:val="00E6139A"/>
    <w:rsid w:val="00E6177B"/>
    <w:rsid w:val="00E63A79"/>
    <w:rsid w:val="00E9650B"/>
    <w:rsid w:val="00E967AF"/>
    <w:rsid w:val="00EB2E25"/>
    <w:rsid w:val="00EB4D24"/>
    <w:rsid w:val="00EB73C6"/>
    <w:rsid w:val="00EC5CD4"/>
    <w:rsid w:val="00EC6A11"/>
    <w:rsid w:val="00EC725D"/>
    <w:rsid w:val="00ED0DF1"/>
    <w:rsid w:val="00ED31AC"/>
    <w:rsid w:val="00ED5E5B"/>
    <w:rsid w:val="00EF4CB1"/>
    <w:rsid w:val="00F013C9"/>
    <w:rsid w:val="00F013D5"/>
    <w:rsid w:val="00F03BE1"/>
    <w:rsid w:val="00F05AAE"/>
    <w:rsid w:val="00F06490"/>
    <w:rsid w:val="00F10006"/>
    <w:rsid w:val="00F10521"/>
    <w:rsid w:val="00F1124F"/>
    <w:rsid w:val="00F17736"/>
    <w:rsid w:val="00F246AF"/>
    <w:rsid w:val="00F378F8"/>
    <w:rsid w:val="00F427E4"/>
    <w:rsid w:val="00F46760"/>
    <w:rsid w:val="00F529C0"/>
    <w:rsid w:val="00F539D0"/>
    <w:rsid w:val="00F53E8E"/>
    <w:rsid w:val="00F63D76"/>
    <w:rsid w:val="00F65E97"/>
    <w:rsid w:val="00F71508"/>
    <w:rsid w:val="00F812AA"/>
    <w:rsid w:val="00F81358"/>
    <w:rsid w:val="00F8666A"/>
    <w:rsid w:val="00F86D7F"/>
    <w:rsid w:val="00F9446E"/>
    <w:rsid w:val="00F95C7E"/>
    <w:rsid w:val="00F97646"/>
    <w:rsid w:val="00FA1524"/>
    <w:rsid w:val="00FA4C6A"/>
    <w:rsid w:val="00FA7917"/>
    <w:rsid w:val="00FA7EE0"/>
    <w:rsid w:val="00FC0D74"/>
    <w:rsid w:val="00FC2284"/>
    <w:rsid w:val="00FC5949"/>
    <w:rsid w:val="00FD228A"/>
    <w:rsid w:val="00FE2B92"/>
    <w:rsid w:val="00FE3E13"/>
    <w:rsid w:val="00FE7DA0"/>
    <w:rsid w:val="00FF16A0"/>
    <w:rsid w:val="00FF1A93"/>
    <w:rsid w:val="00FF3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CB9C"/>
  <w15:docId w15:val="{39CC9220-F4C4-4BA9-996F-E9038000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D9070D"/>
    <w:rPr>
      <w:sz w:val="16"/>
      <w:szCs w:val="16"/>
    </w:rPr>
  </w:style>
  <w:style w:type="paragraph" w:styleId="CommentText">
    <w:name w:val="annotation text"/>
    <w:basedOn w:val="Normal"/>
    <w:link w:val="CommentTextChar"/>
    <w:unhideWhenUsed/>
    <w:rsid w:val="00D9070D"/>
    <w:rPr>
      <w:sz w:val="20"/>
      <w:szCs w:val="20"/>
    </w:rPr>
  </w:style>
  <w:style w:type="character" w:customStyle="1" w:styleId="CommentTextChar">
    <w:name w:val="Comment Text Char"/>
    <w:basedOn w:val="DefaultParagraphFont"/>
    <w:link w:val="CommentText"/>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 w:type="paragraph" w:customStyle="1" w:styleId="Chapter">
    <w:name w:val="Chapter"/>
    <w:basedOn w:val="Normal"/>
    <w:next w:val="Normal"/>
    <w:uiPriority w:val="99"/>
    <w:rsid w:val="00B72604"/>
    <w:pPr>
      <w:numPr>
        <w:numId w:val="3"/>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uiPriority w:val="99"/>
    <w:qFormat/>
    <w:rsid w:val="00B72604"/>
    <w:pPr>
      <w:numPr>
        <w:ilvl w:val="1"/>
        <w:numId w:val="3"/>
      </w:numPr>
      <w:spacing w:before="120"/>
      <w:jc w:val="both"/>
      <w:outlineLvl w:val="1"/>
    </w:pPr>
    <w:rPr>
      <w:szCs w:val="20"/>
      <w:lang w:val="es-ES"/>
    </w:rPr>
  </w:style>
  <w:style w:type="paragraph" w:customStyle="1" w:styleId="subpar">
    <w:name w:val="subpar"/>
    <w:basedOn w:val="BodyTextIndent3"/>
    <w:uiPriority w:val="99"/>
    <w:rsid w:val="00B72604"/>
    <w:pPr>
      <w:numPr>
        <w:ilvl w:val="2"/>
        <w:numId w:val="3"/>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uiPriority w:val="99"/>
    <w:rsid w:val="00B72604"/>
    <w:pPr>
      <w:numPr>
        <w:ilvl w:val="3"/>
      </w:numPr>
      <w:tabs>
        <w:tab w:val="clear" w:pos="1584"/>
        <w:tab w:val="left" w:pos="0"/>
      </w:tabs>
      <w:ind w:left="2880" w:hanging="360"/>
    </w:pPr>
  </w:style>
  <w:style w:type="paragraph" w:styleId="FootnoteText">
    <w:name w:val="footnote text"/>
    <w:aliases w:val="fn,texto de nota al pie,Nota a pie/Bibliog,footnote,foottextfra,F,single space,footnote text,Texto de rodapé,nota_rodapé,nota de rodapé,Texto nota pie IIRSA,Texto nota pie Car Car,ft,Footnote Text Char Char,Char,Char Char Char Char,Texto"/>
    <w:basedOn w:val="Normal"/>
    <w:link w:val="FootnoteTextChar"/>
    <w:uiPriority w:val="99"/>
    <w:unhideWhenUsed/>
    <w:qFormat/>
    <w:rsid w:val="00B72604"/>
    <w:rPr>
      <w:rFonts w:asciiTheme="minorHAnsi" w:eastAsiaTheme="minorEastAsia" w:hAnsiTheme="minorHAnsi" w:cstheme="minorBidi"/>
      <w:sz w:val="20"/>
      <w:szCs w:val="20"/>
    </w:rPr>
  </w:style>
  <w:style w:type="character" w:customStyle="1" w:styleId="FootnoteTextChar">
    <w:name w:val="Footnote Text Char"/>
    <w:aliases w:val="fn Char,texto de nota al pie Char,Nota a pie/Bibliog Char,footnote Char,foottextfra Char,F Char,single space Char,footnote text Char,Texto de rodapé Char,nota_rodapé Char,nota de rodapé Char,Texto nota pie IIRSA Char,ft Char,Char Char"/>
    <w:basedOn w:val="DefaultParagraphFont"/>
    <w:link w:val="FootnoteText"/>
    <w:uiPriority w:val="99"/>
    <w:rsid w:val="00B72604"/>
    <w:rPr>
      <w:rFonts w:eastAsiaTheme="minorEastAsia"/>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16 Point"/>
    <w:basedOn w:val="DefaultParagraphFont"/>
    <w:link w:val="BVIfnrCharCharCharCharCharCharChar"/>
    <w:uiPriority w:val="99"/>
    <w:unhideWhenUsed/>
    <w:rsid w:val="00B72604"/>
    <w:rPr>
      <w:vertAlign w:val="superscript"/>
    </w:rPr>
  </w:style>
  <w:style w:type="paragraph" w:styleId="BodyTextIndent">
    <w:name w:val="Body Text Indent"/>
    <w:basedOn w:val="Normal"/>
    <w:link w:val="BodyTextIndentChar"/>
    <w:uiPriority w:val="99"/>
    <w:semiHidden/>
    <w:unhideWhenUsed/>
    <w:rsid w:val="00B72604"/>
    <w:pPr>
      <w:spacing w:after="120"/>
      <w:ind w:left="360"/>
    </w:pPr>
  </w:style>
  <w:style w:type="character" w:customStyle="1" w:styleId="BodyTextIndentChar">
    <w:name w:val="Body Text Indent Char"/>
    <w:basedOn w:val="DefaultParagraphFont"/>
    <w:link w:val="BodyTextIndent"/>
    <w:uiPriority w:val="99"/>
    <w:semiHidden/>
    <w:rsid w:val="00B7260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726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2604"/>
    <w:rPr>
      <w:rFonts w:ascii="Times New Roman" w:eastAsia="Times New Roman" w:hAnsi="Times New Roman" w:cs="Times New Roman"/>
      <w:sz w:val="16"/>
      <w:szCs w:val="16"/>
    </w:rPr>
  </w:style>
  <w:style w:type="character" w:customStyle="1" w:styleId="Heading7Char">
    <w:name w:val="Heading 7 Char"/>
    <w:rsid w:val="006D4A79"/>
    <w:rPr>
      <w:rFonts w:ascii="Arial" w:eastAsia="Times New Roman" w:hAnsi="Arial" w:cs="Times New Roman"/>
      <w:sz w:val="24"/>
      <w:szCs w:val="20"/>
    </w:rPr>
  </w:style>
  <w:style w:type="paragraph" w:customStyle="1" w:styleId="FirstHeading">
    <w:name w:val="FirstHeading"/>
    <w:basedOn w:val="Normal"/>
    <w:rsid w:val="002B6E68"/>
    <w:pPr>
      <w:keepNext/>
      <w:numPr>
        <w:numId w:val="6"/>
      </w:numPr>
      <w:tabs>
        <w:tab w:val="left" w:pos="0"/>
        <w:tab w:val="left" w:pos="86"/>
      </w:tabs>
      <w:spacing w:before="120" w:after="120"/>
    </w:pPr>
    <w:rPr>
      <w:b/>
      <w:lang w:val="es-ES_tradnl"/>
    </w:rPr>
  </w:style>
  <w:style w:type="paragraph" w:customStyle="1" w:styleId="SecHeading">
    <w:name w:val="SecHeading"/>
    <w:basedOn w:val="Normal"/>
    <w:next w:val="Normal"/>
    <w:rsid w:val="002B6E68"/>
    <w:pPr>
      <w:keepNext/>
      <w:numPr>
        <w:ilvl w:val="1"/>
        <w:numId w:val="6"/>
      </w:numPr>
      <w:tabs>
        <w:tab w:val="clear" w:pos="5400"/>
        <w:tab w:val="num" w:pos="1296"/>
      </w:tabs>
      <w:spacing w:before="120" w:after="120"/>
      <w:ind w:left="1296"/>
    </w:pPr>
    <w:rPr>
      <w:b/>
      <w:lang w:val="es-ES_tradnl"/>
    </w:rPr>
  </w:style>
  <w:style w:type="paragraph" w:customStyle="1" w:styleId="SubHeading1">
    <w:name w:val="SubHeading1"/>
    <w:basedOn w:val="SecHeading"/>
    <w:rsid w:val="002B6E68"/>
    <w:pPr>
      <w:numPr>
        <w:ilvl w:val="2"/>
      </w:numPr>
      <w:tabs>
        <w:tab w:val="clear" w:pos="5976"/>
        <w:tab w:val="num" w:pos="1872"/>
      </w:tabs>
      <w:ind w:left="1872"/>
    </w:pPr>
  </w:style>
  <w:style w:type="paragraph" w:customStyle="1" w:styleId="Subheading2">
    <w:name w:val="Subheading2"/>
    <w:basedOn w:val="SecHeading"/>
    <w:rsid w:val="002B6E68"/>
    <w:pPr>
      <w:numPr>
        <w:ilvl w:val="3"/>
      </w:numPr>
      <w:tabs>
        <w:tab w:val="clear" w:pos="6480"/>
        <w:tab w:val="num" w:pos="2376"/>
      </w:tabs>
      <w:ind w:left="2376"/>
    </w:p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2B6E68"/>
    <w:pPr>
      <w:spacing w:after="160" w:line="240" w:lineRule="exact"/>
    </w:pPr>
    <w:rPr>
      <w:rFonts w:asciiTheme="minorHAnsi" w:eastAsiaTheme="minorHAnsi" w:hAnsiTheme="minorHAnsi" w:cstheme="minorBidi"/>
      <w:sz w:val="22"/>
      <w:szCs w:val="22"/>
      <w:vertAlign w:val="superscript"/>
    </w:rPr>
  </w:style>
  <w:style w:type="character" w:customStyle="1" w:styleId="ParagraphChar">
    <w:name w:val="Paragraph Char"/>
    <w:link w:val="Paragraph"/>
    <w:uiPriority w:val="99"/>
    <w:locked/>
    <w:rsid w:val="00B47D24"/>
    <w:rPr>
      <w:rFonts w:ascii="Times New Roman" w:eastAsia="Times New Roman" w:hAnsi="Times New Roman" w:cs="Times New Roman"/>
      <w:sz w:val="24"/>
      <w:szCs w:val="20"/>
      <w:lang w:val="es-ES"/>
    </w:rPr>
  </w:style>
  <w:style w:type="paragraph" w:styleId="Header">
    <w:name w:val="header"/>
    <w:basedOn w:val="Normal"/>
    <w:link w:val="HeaderChar"/>
    <w:uiPriority w:val="99"/>
    <w:unhideWhenUsed/>
    <w:rsid w:val="00120449"/>
    <w:pPr>
      <w:tabs>
        <w:tab w:val="center" w:pos="4680"/>
        <w:tab w:val="right" w:pos="9360"/>
      </w:tabs>
    </w:pPr>
  </w:style>
  <w:style w:type="character" w:customStyle="1" w:styleId="HeaderChar">
    <w:name w:val="Header Char"/>
    <w:basedOn w:val="DefaultParagraphFont"/>
    <w:link w:val="Header"/>
    <w:uiPriority w:val="99"/>
    <w:rsid w:val="001204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0449"/>
    <w:pPr>
      <w:tabs>
        <w:tab w:val="center" w:pos="4680"/>
        <w:tab w:val="right" w:pos="9360"/>
      </w:tabs>
    </w:pPr>
  </w:style>
  <w:style w:type="character" w:customStyle="1" w:styleId="FooterChar">
    <w:name w:val="Footer Char"/>
    <w:basedOn w:val="DefaultParagraphFont"/>
    <w:link w:val="Footer"/>
    <w:uiPriority w:val="99"/>
    <w:rsid w:val="00120449"/>
    <w:rPr>
      <w:rFonts w:ascii="Times New Roman" w:eastAsia="Times New Roman" w:hAnsi="Times New Roman" w:cs="Times New Roman"/>
      <w:sz w:val="24"/>
      <w:szCs w:val="24"/>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rsid w:val="00534BE3"/>
    <w:pPr>
      <w:spacing w:after="120"/>
      <w:jc w:val="both"/>
    </w:pPr>
    <w:rPr>
      <w:rFonts w:ascii="Garamond" w:hAnsi="Garamond"/>
      <w:lang w:eastAsia="en-NZ"/>
    </w:rPr>
  </w:style>
  <w:style w:type="character" w:customStyle="1" w:styleId="BodyTextChar">
    <w:name w:val="Body Text Char"/>
    <w:basedOn w:val="DefaultParagraphFont"/>
    <w:uiPriority w:val="99"/>
    <w:semiHidden/>
    <w:rsid w:val="00534BE3"/>
    <w:rPr>
      <w:rFonts w:ascii="Times New Roman" w:eastAsia="Times New Roman" w:hAnsi="Times New Roman" w:cs="Times New Roman"/>
      <w:sz w:val="24"/>
      <w:szCs w:val="24"/>
    </w:rPr>
  </w:style>
  <w:style w:type="paragraph" w:styleId="ListBullet">
    <w:name w:val="List Bullet"/>
    <w:basedOn w:val="BodyText"/>
    <w:rsid w:val="00534BE3"/>
    <w:pPr>
      <w:numPr>
        <w:numId w:val="9"/>
      </w:numPr>
    </w:pPr>
  </w:style>
  <w:style w:type="paragraph" w:styleId="ListBullet2">
    <w:name w:val="List Bullet 2"/>
    <w:basedOn w:val="BodyText"/>
    <w:rsid w:val="00534BE3"/>
    <w:pPr>
      <w:numPr>
        <w:ilvl w:val="1"/>
        <w:numId w:val="9"/>
      </w:numPr>
      <w:tabs>
        <w:tab w:val="clear" w:pos="1273"/>
        <w:tab w:val="num" w:pos="1287"/>
        <w:tab w:val="num" w:pos="2736"/>
      </w:tabs>
      <w:ind w:left="1287" w:hanging="1296"/>
    </w:pPr>
  </w:style>
  <w:style w:type="paragraph" w:styleId="ListBullet3">
    <w:name w:val="List Bullet 3"/>
    <w:basedOn w:val="BodyText"/>
    <w:rsid w:val="00534BE3"/>
    <w:pPr>
      <w:numPr>
        <w:ilvl w:val="2"/>
        <w:numId w:val="9"/>
      </w:numPr>
      <w:tabs>
        <w:tab w:val="clear" w:pos="1571"/>
        <w:tab w:val="num" w:pos="2592"/>
      </w:tabs>
      <w:ind w:left="2592" w:hanging="432"/>
    </w:pPr>
  </w:style>
  <w:style w:type="paragraph" w:styleId="ListBullet4">
    <w:name w:val="List Bullet 4"/>
    <w:basedOn w:val="BodyText"/>
    <w:rsid w:val="00534BE3"/>
    <w:pPr>
      <w:numPr>
        <w:ilvl w:val="3"/>
        <w:numId w:val="9"/>
      </w:numPr>
      <w:ind w:left="2304" w:hanging="864"/>
    </w:pPr>
  </w:style>
  <w:style w:type="paragraph" w:customStyle="1" w:styleId="BoxBullet1">
    <w:name w:val="Box Bullet 1"/>
    <w:basedOn w:val="Normal"/>
    <w:rsid w:val="00534BE3"/>
    <w:pPr>
      <w:numPr>
        <w:numId w:val="8"/>
      </w:numPr>
      <w:spacing w:before="30" w:after="30"/>
      <w:jc w:val="both"/>
    </w:pPr>
    <w:rPr>
      <w:rFonts w:ascii="Garamond" w:hAnsi="Garamond"/>
      <w:sz w:val="22"/>
      <w:lang w:eastAsia="en-NZ"/>
    </w:rPr>
  </w:style>
  <w:style w:type="paragraph" w:customStyle="1" w:styleId="BoxBullet2">
    <w:name w:val="Box Bullet 2"/>
    <w:basedOn w:val="Normal"/>
    <w:rsid w:val="00534BE3"/>
    <w:pPr>
      <w:numPr>
        <w:ilvl w:val="1"/>
        <w:numId w:val="8"/>
      </w:numPr>
      <w:spacing w:before="30" w:after="30"/>
      <w:jc w:val="both"/>
    </w:pPr>
    <w:rPr>
      <w:rFonts w:ascii="Garamond" w:hAnsi="Garamond"/>
      <w:sz w:val="22"/>
      <w:lang w:eastAsia="en-NZ"/>
    </w:rPr>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34BE3"/>
    <w:rPr>
      <w:rFonts w:ascii="Garamond" w:eastAsia="Times New Roman" w:hAnsi="Garamond" w:cs="Times New Roman"/>
      <w:sz w:val="24"/>
      <w:szCs w:val="24"/>
      <w:lang w:eastAsia="en-NZ"/>
    </w:rPr>
  </w:style>
  <w:style w:type="paragraph" w:customStyle="1" w:styleId="CFIJAENB">
    <w:name w:val="( C )  FIJA EN &quot;B&quot;"/>
    <w:basedOn w:val="Normal"/>
    <w:rsid w:val="00262F31"/>
    <w:pPr>
      <w:ind w:left="703"/>
      <w:jc w:val="both"/>
    </w:pPr>
    <w:rPr>
      <w:rFonts w:ascii="Arial" w:hAnsi="Arial"/>
      <w:sz w:val="20"/>
      <w:szCs w:val="20"/>
      <w:lang w:val="es-ES_tradnl" w:eastAsia="es-ES"/>
    </w:rPr>
  </w:style>
  <w:style w:type="paragraph" w:customStyle="1" w:styleId="BoxNumberedText">
    <w:name w:val="Box Numbered Text"/>
    <w:basedOn w:val="Normal"/>
    <w:rsid w:val="005A019F"/>
    <w:pPr>
      <w:numPr>
        <w:numId w:val="12"/>
      </w:numPr>
      <w:spacing w:before="30" w:after="30"/>
      <w:jc w:val="both"/>
    </w:pPr>
    <w:rPr>
      <w:rFonts w:ascii="Garamond" w:hAnsi="Garamond"/>
      <w:sz w:val="22"/>
      <w:lang w:eastAsia="en-NZ"/>
    </w:rPr>
  </w:style>
  <w:style w:type="paragraph" w:styleId="Title">
    <w:name w:val="Title"/>
    <w:basedOn w:val="Normal"/>
    <w:next w:val="Normal"/>
    <w:link w:val="TitleChar"/>
    <w:uiPriority w:val="10"/>
    <w:qFormat/>
    <w:rsid w:val="00304F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F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05235"/>
    <w:pPr>
      <w:spacing w:before="100" w:beforeAutospacing="1" w:after="100" w:afterAutospacing="1"/>
    </w:pPr>
  </w:style>
  <w:style w:type="character" w:customStyle="1" w:styleId="subtextoazubullets">
    <w:name w:val="subtexto_azu_bullets"/>
    <w:rsid w:val="006941F1"/>
  </w:style>
  <w:style w:type="character" w:customStyle="1" w:styleId="apple-converted-space">
    <w:name w:val="apple-converted-space"/>
    <w:basedOn w:val="DefaultParagraphFont"/>
    <w:rsid w:val="00C37504"/>
  </w:style>
  <w:style w:type="table" w:styleId="TableGrid">
    <w:name w:val="Table Grid"/>
    <w:basedOn w:val="TableNormal"/>
    <w:uiPriority w:val="59"/>
    <w:rsid w:val="00CA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D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89305">
      <w:bodyDiv w:val="1"/>
      <w:marLeft w:val="0"/>
      <w:marRight w:val="0"/>
      <w:marTop w:val="0"/>
      <w:marBottom w:val="0"/>
      <w:divBdr>
        <w:top w:val="none" w:sz="0" w:space="0" w:color="auto"/>
        <w:left w:val="none" w:sz="0" w:space="0" w:color="auto"/>
        <w:bottom w:val="none" w:sz="0" w:space="0" w:color="auto"/>
        <w:right w:val="none" w:sz="0" w:space="0" w:color="auto"/>
      </w:divBdr>
    </w:div>
    <w:div w:id="1085344569">
      <w:bodyDiv w:val="1"/>
      <w:marLeft w:val="0"/>
      <w:marRight w:val="0"/>
      <w:marTop w:val="0"/>
      <w:marBottom w:val="0"/>
      <w:divBdr>
        <w:top w:val="none" w:sz="0" w:space="0" w:color="auto"/>
        <w:left w:val="none" w:sz="0" w:space="0" w:color="auto"/>
        <w:bottom w:val="none" w:sz="0" w:space="0" w:color="auto"/>
        <w:right w:val="none" w:sz="0" w:space="0" w:color="auto"/>
      </w:divBdr>
    </w:div>
    <w:div w:id="1176765737">
      <w:bodyDiv w:val="1"/>
      <w:marLeft w:val="0"/>
      <w:marRight w:val="0"/>
      <w:marTop w:val="0"/>
      <w:marBottom w:val="0"/>
      <w:divBdr>
        <w:top w:val="none" w:sz="0" w:space="0" w:color="auto"/>
        <w:left w:val="none" w:sz="0" w:space="0" w:color="auto"/>
        <w:bottom w:val="none" w:sz="0" w:space="0" w:color="auto"/>
        <w:right w:val="none" w:sz="0" w:space="0" w:color="auto"/>
      </w:divBdr>
    </w:div>
    <w:div w:id="14074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invivienda.gov.co/ResolucionesAgua/0330%20-%202017.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28AC2D679BEB549B33A44BAC537A8A5" ma:contentTypeVersion="30" ma:contentTypeDescription="A content type to manage public (operations) IDB documents" ma:contentTypeScope="" ma:versionID="bb95a9dcb384dac1b062ed75d7779ad5">
  <xsd:schema xmlns:xsd="http://www.w3.org/2001/XMLSchema" xmlns:xs="http://www.w3.org/2001/XMLSchema" xmlns:p="http://schemas.microsoft.com/office/2006/metadata/properties" xmlns:ns2="cdc7663a-08f0-4737-9e8c-148ce897a09c" targetNamespace="http://schemas.microsoft.com/office/2006/metadata/properties" ma:root="true" ma:fieldsID="bd48a1f5a889781971fc5aabd9fbf88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40647862</IDBDocs_x0020_Number>
    <TaxCatchAll xmlns="cdc7663a-08f0-4737-9e8c-148ce897a09c">
      <Value>41</Value>
      <Value>27</Value>
      <Value>3</Value>
      <Value>31</Value>
      <Value>42</Value>
    </TaxCatchAll>
    <Phase xmlns="cdc7663a-08f0-4737-9e8c-148ce897a09c" xsi:nil="true"/>
    <SISCOR_x0020_Number xmlns="cdc7663a-08f0-4737-9e8c-148ce897a09c" xsi:nil="true"/>
    <Division_x0020_or_x0020_Unit xmlns="cdc7663a-08f0-4737-9e8c-148ce897a09c">CSD/HUD</Division_x0020_or_x0020_Unit>
    <Approval_x0020_Number xmlns="cdc7663a-08f0-4737-9e8c-148ce897a09c">3392/OC-CO;</Approval_x0020_Number>
    <Document_x0020_Author xmlns="cdc7663a-08f0-4737-9e8c-148ce897a09c">Lopez Ghio, Ramiro Andres</Document_x0020_Author>
    <Fiscal_x0020_Year_x0020_IDB xmlns="cdc7663a-08f0-4737-9e8c-148ce897a09c">2017</Fiscal_x0020_Year_x0020_IDB>
    <Other_x0020_Author xmlns="cdc7663a-08f0-4737-9e8c-148ce897a09c" xsi:nil="true"/>
    <Project_x0020_Number xmlns="cdc7663a-08f0-4737-9e8c-148ce897a09c">CO-L1133</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WORD&lt;/APPLICATION&gt;&lt;USER_STAGE&gt;Loan Proposal&lt;/USER_STAGE&gt;&lt;PD_OBJ_TYPE&gt;0&lt;/PD_OBJ_TYPE&gt;&lt;MAKERECORD&gt;N&lt;/MAKERECORD&gt;&lt;/Data&gt;</Migration_x0020_Info>
    <Operation_x0020_Type xmlns="cdc7663a-08f0-4737-9e8c-148ce897a09c">Loan Operation</Operation_x0020_Type>
    <Document_x0020_Language_x0020_IDB xmlns="cdc7663a-08f0-4737-9e8c-148ce897a09c">Spanish</Document_x0020_Language_x0020_IDB>
    <Identifier xmlns="cdc7663a-08f0-4737-9e8c-148ce897a09c"> TECFILE</Identifier>
    <Access_x0020_to_x0020_Information_x00a0_Policy xmlns="cdc7663a-08f0-4737-9e8c-148ce897a09c">Public - Simultaneous Disclosure</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d64eac7c-6cd0-4be4-b4cc-4d2eef10277e</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URBAN DEVELOPMENT AND HOUSING</TermName>
          <TermId xmlns="http://schemas.microsoft.com/office/infopath/2007/PartnerControls">d14615ee-683d-4ec6-a5cf-ae743c6c4ac1</TermId>
        </TermInfo>
      </Terms>
    </nddeef1749674d76abdbe4b239a70bc6>
    <Record_x0020_Number xmlns="cdc7663a-08f0-4737-9e8c-148ce897a09c">R0001338320</Record_x0020_Number>
    <_dlc_DocId xmlns="cdc7663a-08f0-4737-9e8c-148ce897a09c">EZSHARE-1291792719-74</_dlc_DocId>
    <_dlc_DocIdUrl xmlns="cdc7663a-08f0-4737-9e8c-148ce897a09c">
      <Url>https://idbg.sharepoint.com/teams/EZ-CO-LON/CO-L1133/_layouts/15/DocIdRedir.aspx?ID=EZSHARE-1291792719-74</Url>
      <Description>EZSHARE-1291792719-74</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244A9B0-D859-42CA-A57E-1C513859E2F1}">
  <ds:schemaRefs>
    <ds:schemaRef ds:uri="http://schemas.microsoft.com/sharepoint/v3/contenttype/forms"/>
  </ds:schemaRefs>
</ds:datastoreItem>
</file>

<file path=customXml/itemProps2.xml><?xml version="1.0" encoding="utf-8"?>
<ds:datastoreItem xmlns:ds="http://schemas.openxmlformats.org/officeDocument/2006/customXml" ds:itemID="{79FE75EE-9F30-4E09-B9E2-037051EC26D3}"/>
</file>

<file path=customXml/itemProps3.xml><?xml version="1.0" encoding="utf-8"?>
<ds:datastoreItem xmlns:ds="http://schemas.openxmlformats.org/officeDocument/2006/customXml" ds:itemID="{B36AFDC2-AFF5-4EF9-8C1E-F97EACEE3FC9}"/>
</file>

<file path=customXml/itemProps4.xml><?xml version="1.0" encoding="utf-8"?>
<ds:datastoreItem xmlns:ds="http://schemas.openxmlformats.org/officeDocument/2006/customXml" ds:itemID="{56B097EB-19FA-40F4-88B3-E0CAC2639A6D}">
  <ds:schemaRefs>
    <ds:schemaRef ds:uri="http://schemas.microsoft.com/office/2006/metadata/properties"/>
    <ds:schemaRef ds:uri="http://schemas.microsoft.com/office/infopath/2007/PartnerControls"/>
    <ds:schemaRef ds:uri="9c571b2f-e523-4ab2-ba2e-09e151a03ef4"/>
  </ds:schemaRefs>
</ds:datastoreItem>
</file>

<file path=customXml/itemProps5.xml><?xml version="1.0" encoding="utf-8"?>
<ds:datastoreItem xmlns:ds="http://schemas.openxmlformats.org/officeDocument/2006/customXml" ds:itemID="{83555D6A-7358-46C0-BF47-2E4AADF8CEA0}"/>
</file>

<file path=customXml/itemProps6.xml><?xml version="1.0" encoding="utf-8"?>
<ds:datastoreItem xmlns:ds="http://schemas.openxmlformats.org/officeDocument/2006/customXml" ds:itemID="{FBE4216E-A417-48DF-AC98-0F53F0FB6472}">
  <ds:schemaRefs>
    <ds:schemaRef ds:uri="http://schemas.openxmlformats.org/officeDocument/2006/bibliography"/>
  </ds:schemaRefs>
</ds:datastoreItem>
</file>

<file path=customXml/itemProps7.xml><?xml version="1.0" encoding="utf-8"?>
<ds:datastoreItem xmlns:ds="http://schemas.openxmlformats.org/officeDocument/2006/customXml" ds:itemID="{3E196424-7B0C-432E-9838-4DA04DB38C04}"/>
</file>

<file path=customXml/itemProps8.xml><?xml version="1.0" encoding="utf-8"?>
<ds:datastoreItem xmlns:ds="http://schemas.openxmlformats.org/officeDocument/2006/customXml" ds:itemID="{2AD0091F-D54F-4DE1-8C5A-5FF3B25FE6CB}"/>
</file>

<file path=docProps/app.xml><?xml version="1.0" encoding="utf-8"?>
<Properties xmlns="http://schemas.openxmlformats.org/officeDocument/2006/extended-properties" xmlns:vt="http://schemas.openxmlformats.org/officeDocument/2006/docPropsVTypes">
  <Template>Normal.dotm</Template>
  <TotalTime>96</TotalTime>
  <Pages>10</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Requerimientos de la Política de Servicios Públicos Domiciliarios</vt:lpstr>
    </vt:vector>
  </TitlesOfParts>
  <Company>Inter-American Development Bank</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Requerimientos de la Política de Servicios Públicos Domiciliarios</dc:title>
  <dc:creator>Inter-American Development Bank</dc:creator>
  <cp:keywords/>
  <cp:lastModifiedBy>Gonzalez Herrera, Beatriz Maria</cp:lastModifiedBy>
  <cp:revision>8</cp:revision>
  <cp:lastPrinted>2015-05-19T15:05:00Z</cp:lastPrinted>
  <dcterms:created xsi:type="dcterms:W3CDTF">2017-10-30T15:43:00Z</dcterms:created>
  <dcterms:modified xsi:type="dcterms:W3CDTF">2017-11-02T14:59:00Z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Function Operations IDB">
    <vt:lpwstr>3;#Legal|4a833e0c-b04e-4136-8e27-6c06cac1e274</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8" name="Country">
    <vt:lpwstr>27;#Colombia|c7d386d6-75f3-4fc0-bde8-e021ccd68f5c</vt:lpwstr>
  </property>
  <property fmtid="{D5CDD505-2E9C-101B-9397-08002B2CF9AE}" pid="9" name="Fund IDB">
    <vt:lpwstr>31;#ORC|c028a4b2-ad8b-4cf4-9cac-a2ae6a778e23</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41;#URBAN DEVELOPMENT AND HOUSING|d14615ee-683d-4ec6-a5cf-ae743c6c4ac1</vt:lpwstr>
  </property>
  <property fmtid="{D5CDD505-2E9C-101B-9397-08002B2CF9AE}" pid="14" name="Sub-Sector">
    <vt:lpwstr>42;#HOUSING|d64eac7c-6cd0-4be4-b4cc-4d2eef10277e</vt:lpwstr>
  </property>
  <property fmtid="{D5CDD505-2E9C-101B-9397-08002B2CF9AE}" pid="15" name="_dlc_DocIdItemGuid">
    <vt:lpwstr>ef58ceae-4926-4711-93d1-e42bdf2cb835</vt:lpwstr>
  </property>
  <property fmtid="{D5CDD505-2E9C-101B-9397-08002B2CF9AE}" pid="16" name="ContentTypeId">
    <vt:lpwstr>0x0101001A458A224826124E8B45B1D613300CFC00F28AC2D679BEB549B33A44BAC537A8A5</vt:lpwstr>
  </property>
</Properties>
</file>