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06" w:rsidRPr="005F7004" w:rsidRDefault="00C21B06" w:rsidP="00C21B06">
      <w:pPr>
        <w:spacing w:after="0" w:line="20" w:lineRule="atLeast"/>
        <w:jc w:val="center"/>
        <w:rPr>
          <w:rFonts w:ascii="Arial" w:hAnsi="Arial" w:cs="Arial"/>
          <w:b/>
          <w:lang w:val="es-ES_tradnl"/>
        </w:rPr>
      </w:pPr>
      <w:r w:rsidRPr="005F7004">
        <w:rPr>
          <w:rFonts w:ascii="Arial" w:hAnsi="Arial" w:cs="Arial"/>
          <w:b/>
          <w:lang w:val="es-ES_tradnl"/>
        </w:rPr>
        <w:t>COLOMBIA</w:t>
      </w:r>
    </w:p>
    <w:p w:rsidR="00C21B06" w:rsidRPr="005F7004" w:rsidRDefault="00C21B06" w:rsidP="00C21B06">
      <w:pPr>
        <w:spacing w:after="0" w:line="20" w:lineRule="atLeast"/>
        <w:jc w:val="center"/>
        <w:rPr>
          <w:rFonts w:ascii="Arial" w:hAnsi="Arial" w:cs="Arial"/>
          <w:b/>
          <w:lang w:val="es-ES_tradnl"/>
        </w:rPr>
      </w:pPr>
    </w:p>
    <w:p w:rsidR="00144FD1" w:rsidRPr="005F7004" w:rsidRDefault="00144FD1" w:rsidP="00144FD1">
      <w:pPr>
        <w:spacing w:after="0" w:line="20" w:lineRule="atLeast"/>
        <w:jc w:val="center"/>
        <w:rPr>
          <w:rFonts w:ascii="Arial" w:hAnsi="Arial" w:cs="Arial"/>
          <w:b/>
          <w:lang w:val="es-ES_tradnl"/>
        </w:rPr>
      </w:pPr>
      <w:r w:rsidRPr="005F7004">
        <w:rPr>
          <w:rFonts w:ascii="Arial" w:hAnsi="Arial" w:cs="Arial"/>
          <w:b/>
          <w:lang w:val="es-ES_tradnl"/>
        </w:rPr>
        <w:t>TERCERA OPERACIÓN BAJO LA LÍNEA DE CRÉDITO CONDICIONAL MULTISECTORIAL: PROGRAMA DE FORTALECIMIENTO FISCAL Y DEL GASTO EN INVERSIÓN PÚBLICA PARA ENTIDADES TERRITORIALES</w:t>
      </w:r>
      <w:r w:rsidR="00286983">
        <w:rPr>
          <w:rFonts w:ascii="Arial" w:hAnsi="Arial" w:cs="Arial"/>
          <w:b/>
          <w:lang w:val="es-ES_tradnl"/>
        </w:rPr>
        <w:t xml:space="preserve"> Y SUS EMPRESAS DE SERVICIOS PÚBLICOS</w:t>
      </w:r>
    </w:p>
    <w:p w:rsidR="00793043" w:rsidRPr="005F7004" w:rsidRDefault="00144FD1" w:rsidP="00144FD1">
      <w:pPr>
        <w:spacing w:after="0" w:line="20" w:lineRule="atLeast"/>
        <w:jc w:val="center"/>
        <w:rPr>
          <w:rFonts w:ascii="Arial" w:hAnsi="Arial" w:cs="Arial"/>
          <w:b/>
          <w:lang w:val="es-CO"/>
        </w:rPr>
      </w:pPr>
      <w:r w:rsidRPr="005F7004">
        <w:rPr>
          <w:rFonts w:ascii="Arial" w:hAnsi="Arial" w:cs="Arial"/>
          <w:b/>
          <w:lang w:val="es-ES_tradnl"/>
        </w:rPr>
        <w:t>(CO-L1165)</w:t>
      </w:r>
    </w:p>
    <w:p w:rsidR="00FF08AF" w:rsidRDefault="00FF08AF" w:rsidP="00C21B06">
      <w:pPr>
        <w:spacing w:after="0" w:line="20" w:lineRule="atLeast"/>
        <w:jc w:val="center"/>
        <w:rPr>
          <w:rFonts w:ascii="Arial" w:hAnsi="Arial" w:cs="Arial"/>
          <w:b/>
          <w:lang w:val="es-ES_tradnl"/>
        </w:rPr>
      </w:pPr>
    </w:p>
    <w:p w:rsidR="00C21B06" w:rsidRPr="00FF08AF" w:rsidRDefault="00C21B06" w:rsidP="00C21B06">
      <w:pPr>
        <w:spacing w:after="0" w:line="20" w:lineRule="atLeast"/>
        <w:jc w:val="center"/>
        <w:rPr>
          <w:rFonts w:ascii="Arial" w:hAnsi="Arial" w:cs="Arial"/>
          <w:b/>
          <w:sz w:val="26"/>
          <w:szCs w:val="26"/>
          <w:lang w:val="es-ES_tradnl"/>
        </w:rPr>
      </w:pPr>
      <w:r w:rsidRPr="00FF08AF">
        <w:rPr>
          <w:rFonts w:ascii="Arial" w:hAnsi="Arial" w:cs="Arial"/>
          <w:b/>
          <w:sz w:val="26"/>
          <w:szCs w:val="26"/>
          <w:lang w:val="es-ES_tradnl"/>
        </w:rPr>
        <w:t>PERFIL DE CIUDAD</w:t>
      </w:r>
    </w:p>
    <w:p w:rsidR="00C21B06" w:rsidRPr="005F7004" w:rsidRDefault="00FF08AF" w:rsidP="00C21B06">
      <w:pPr>
        <w:spacing w:after="0" w:line="20" w:lineRule="atLeast"/>
        <w:jc w:val="center"/>
        <w:rPr>
          <w:rFonts w:ascii="Arial" w:hAnsi="Arial" w:cs="Arial"/>
          <w:b/>
          <w:lang w:val="es-ES_tradnl"/>
        </w:rPr>
      </w:pPr>
      <w:r w:rsidRPr="00FF08AF">
        <w:rPr>
          <w:rFonts w:ascii="Arial" w:hAnsi="Arial" w:cs="Arial"/>
          <w:b/>
          <w:sz w:val="26"/>
          <w:szCs w:val="26"/>
          <w:lang w:val="es-ES_tradnl"/>
        </w:rPr>
        <w:t xml:space="preserve">Municipio de </w:t>
      </w:r>
      <w:r>
        <w:rPr>
          <w:rFonts w:ascii="Arial" w:hAnsi="Arial" w:cs="Arial"/>
          <w:b/>
          <w:sz w:val="26"/>
          <w:szCs w:val="26"/>
          <w:lang w:val="es-ES_tradnl"/>
        </w:rPr>
        <w:t xml:space="preserve">Santiago de </w:t>
      </w:r>
      <w:r w:rsidRPr="00FF08AF">
        <w:rPr>
          <w:rFonts w:ascii="Arial" w:hAnsi="Arial" w:cs="Arial"/>
          <w:b/>
          <w:sz w:val="26"/>
          <w:szCs w:val="26"/>
          <w:lang w:val="es-ES_tradnl"/>
        </w:rPr>
        <w:t>Cali</w:t>
      </w:r>
    </w:p>
    <w:p w:rsidR="00C21B06" w:rsidRPr="005F7004" w:rsidRDefault="00C21B06" w:rsidP="00C21B06">
      <w:pPr>
        <w:spacing w:after="0" w:line="20" w:lineRule="atLeast"/>
        <w:jc w:val="center"/>
        <w:rPr>
          <w:rFonts w:ascii="Arial" w:hAnsi="Arial" w:cs="Arial"/>
          <w:b/>
          <w:lang w:val="es-ES_tradnl"/>
        </w:rPr>
      </w:pPr>
    </w:p>
    <w:p w:rsidR="00C21B06" w:rsidRPr="005F7004" w:rsidRDefault="00C21B06" w:rsidP="00C21B06">
      <w:pPr>
        <w:spacing w:after="0" w:line="20" w:lineRule="atLeast"/>
        <w:jc w:val="center"/>
        <w:rPr>
          <w:rFonts w:ascii="Arial" w:hAnsi="Arial" w:cs="Arial"/>
          <w:b/>
          <w:lang w:val="es-ES_tradnl"/>
        </w:rPr>
      </w:pPr>
    </w:p>
    <w:p w:rsidR="00C21B06" w:rsidRPr="005F7004" w:rsidRDefault="00C21B06" w:rsidP="00C21B06">
      <w:pPr>
        <w:pStyle w:val="ListParagraph"/>
        <w:numPr>
          <w:ilvl w:val="0"/>
          <w:numId w:val="1"/>
        </w:numPr>
        <w:spacing w:after="0" w:line="20" w:lineRule="atLeast"/>
        <w:jc w:val="both"/>
        <w:rPr>
          <w:rFonts w:ascii="Arial" w:hAnsi="Arial" w:cs="Arial"/>
          <w:b/>
          <w:lang w:val="es-ES_tradnl"/>
        </w:rPr>
      </w:pPr>
      <w:r w:rsidRPr="005F7004">
        <w:rPr>
          <w:rFonts w:ascii="Arial" w:hAnsi="Arial" w:cs="Arial"/>
          <w:b/>
          <w:lang w:val="es-ES_tradnl"/>
        </w:rPr>
        <w:t xml:space="preserve">MARCO DE REFERENCIA: </w:t>
      </w:r>
    </w:p>
    <w:p w:rsidR="00C21B06" w:rsidRPr="005F7004" w:rsidRDefault="00C21B06" w:rsidP="00C21B06">
      <w:pPr>
        <w:pStyle w:val="ListParagraph"/>
        <w:spacing w:after="0" w:line="20" w:lineRule="atLeast"/>
        <w:ind w:left="1080"/>
        <w:jc w:val="both"/>
        <w:rPr>
          <w:rFonts w:ascii="Arial" w:hAnsi="Arial" w:cs="Arial"/>
          <w:lang w:val="es-ES_tradnl"/>
        </w:rPr>
      </w:pPr>
    </w:p>
    <w:p w:rsidR="00C21B06" w:rsidRPr="005F7004" w:rsidRDefault="00C21B06" w:rsidP="00C21B06">
      <w:pPr>
        <w:pStyle w:val="ListParagraph"/>
        <w:numPr>
          <w:ilvl w:val="0"/>
          <w:numId w:val="2"/>
        </w:numPr>
        <w:spacing w:after="0" w:line="20" w:lineRule="atLeast"/>
        <w:jc w:val="both"/>
        <w:rPr>
          <w:rFonts w:ascii="Arial" w:hAnsi="Arial" w:cs="Arial"/>
          <w:lang w:val="es-ES_tradnl"/>
        </w:rPr>
      </w:pPr>
      <w:r w:rsidRPr="005F7004">
        <w:rPr>
          <w:rFonts w:ascii="Arial" w:hAnsi="Arial" w:cs="Arial"/>
          <w:b/>
          <w:lang w:val="es-ES_tradnl"/>
        </w:rPr>
        <w:t>Datos Generales</w:t>
      </w:r>
    </w:p>
    <w:p w:rsidR="00C21B06" w:rsidRPr="005F7004" w:rsidRDefault="00C21B06" w:rsidP="00C21B06">
      <w:pPr>
        <w:pStyle w:val="ListParagraph"/>
        <w:spacing w:after="0" w:line="20" w:lineRule="atLeast"/>
        <w:ind w:left="792"/>
        <w:jc w:val="both"/>
        <w:rPr>
          <w:rFonts w:ascii="Arial" w:hAnsi="Arial" w:cs="Arial"/>
          <w:lang w:val="es-ES_tradnl"/>
        </w:rPr>
      </w:pPr>
    </w:p>
    <w:p w:rsidR="00692C40" w:rsidRPr="005F7004" w:rsidRDefault="00C21B06" w:rsidP="00692C40">
      <w:pPr>
        <w:pStyle w:val="ListParagraph"/>
        <w:numPr>
          <w:ilvl w:val="1"/>
          <w:numId w:val="1"/>
        </w:numPr>
        <w:spacing w:after="0" w:line="20" w:lineRule="atLeast"/>
        <w:jc w:val="both"/>
        <w:rPr>
          <w:rFonts w:ascii="Arial" w:hAnsi="Arial" w:cs="Arial"/>
          <w:lang w:val="es-ES_tradnl"/>
        </w:rPr>
      </w:pPr>
      <w:r w:rsidRPr="005F7004">
        <w:rPr>
          <w:rFonts w:ascii="Arial" w:hAnsi="Arial" w:cs="Arial"/>
          <w:lang w:val="es-ES_tradnl"/>
        </w:rPr>
        <w:t xml:space="preserve"> </w:t>
      </w:r>
      <w:r w:rsidR="00692C40" w:rsidRPr="005F7004">
        <w:rPr>
          <w:rFonts w:ascii="Arial" w:hAnsi="Arial" w:cs="Arial"/>
          <w:lang w:val="es-ES_tradnl"/>
        </w:rPr>
        <w:t xml:space="preserve">Cali es la ciudad capital del Departamento del Valle del Cauca, ubicada en el suroccidente del </w:t>
      </w:r>
      <w:r w:rsidR="00A51F5D" w:rsidRPr="005F7004">
        <w:rPr>
          <w:rFonts w:ascii="Arial" w:hAnsi="Arial" w:cs="Arial"/>
          <w:lang w:val="es-ES_tradnl"/>
        </w:rPr>
        <w:t>país</w:t>
      </w:r>
      <w:r w:rsidR="00FD6EDC" w:rsidRPr="005F7004">
        <w:rPr>
          <w:rFonts w:ascii="Arial" w:hAnsi="Arial" w:cs="Arial"/>
          <w:lang w:val="es-ES_tradnl"/>
        </w:rPr>
        <w:t xml:space="preserve">. Cuenta con una ubicación estratégica al estar cerca del </w:t>
      </w:r>
      <w:r w:rsidR="00A51F5D" w:rsidRPr="005F7004">
        <w:rPr>
          <w:rFonts w:ascii="Arial" w:hAnsi="Arial" w:cs="Arial"/>
          <w:lang w:val="es-ES_tradnl"/>
        </w:rPr>
        <w:t xml:space="preserve">puerto de Buenaventura, el más importante del país, por el inmenso movimiento de carga de importación y exportación. </w:t>
      </w:r>
    </w:p>
    <w:p w:rsidR="00A51F5D" w:rsidRPr="005F7004" w:rsidRDefault="00A51F5D" w:rsidP="0083657F">
      <w:pPr>
        <w:pStyle w:val="ListParagraph"/>
        <w:spacing w:after="0" w:line="20" w:lineRule="atLeast"/>
        <w:ind w:left="792"/>
        <w:jc w:val="both"/>
        <w:rPr>
          <w:rFonts w:ascii="Arial" w:hAnsi="Arial" w:cs="Arial"/>
          <w:lang w:val="es-ES_tradnl"/>
        </w:rPr>
      </w:pPr>
    </w:p>
    <w:p w:rsidR="00C21B06" w:rsidRPr="005F7004" w:rsidRDefault="00C21B06" w:rsidP="00A51F5D">
      <w:pPr>
        <w:pStyle w:val="ListParagraph"/>
        <w:numPr>
          <w:ilvl w:val="1"/>
          <w:numId w:val="1"/>
        </w:numPr>
        <w:spacing w:after="0" w:line="20" w:lineRule="atLeast"/>
        <w:jc w:val="both"/>
        <w:rPr>
          <w:rFonts w:ascii="Arial" w:hAnsi="Arial" w:cs="Arial"/>
          <w:lang w:val="es-ES_tradnl"/>
        </w:rPr>
      </w:pPr>
      <w:r w:rsidRPr="005F7004">
        <w:rPr>
          <w:rFonts w:ascii="Arial" w:hAnsi="Arial" w:cs="Arial"/>
          <w:lang w:val="es-ES_tradnl"/>
        </w:rPr>
        <w:t xml:space="preserve">La población total del municipio, proyectada por el Departamento Administrativo Nacional de Estadística (DANE) es de </w:t>
      </w:r>
      <w:r w:rsidR="00A07C0D" w:rsidRPr="005F7004">
        <w:rPr>
          <w:rFonts w:ascii="Arial" w:hAnsi="Arial" w:cs="Arial"/>
          <w:lang w:val="es-ES_tradnl"/>
        </w:rPr>
        <w:t>2</w:t>
      </w:r>
      <w:r w:rsidR="00A51F5D" w:rsidRPr="005F7004">
        <w:rPr>
          <w:rFonts w:ascii="Arial" w:hAnsi="Arial" w:cs="Arial"/>
          <w:lang w:val="es-ES_tradnl"/>
        </w:rPr>
        <w:t>,369,829</w:t>
      </w:r>
      <w:r w:rsidR="00A07C0D" w:rsidRPr="005F7004">
        <w:rPr>
          <w:rFonts w:ascii="Arial" w:hAnsi="Arial" w:cs="Arial"/>
          <w:lang w:val="es-ES_tradnl"/>
        </w:rPr>
        <w:t xml:space="preserve"> </w:t>
      </w:r>
      <w:r w:rsidR="001754E1" w:rsidRPr="005F7004">
        <w:rPr>
          <w:rFonts w:ascii="Arial" w:hAnsi="Arial" w:cs="Arial"/>
          <w:lang w:val="es-ES_tradnl"/>
        </w:rPr>
        <w:t>habitantes, equivalente al 4,8</w:t>
      </w:r>
      <w:r w:rsidRPr="005F7004">
        <w:rPr>
          <w:rFonts w:ascii="Arial" w:hAnsi="Arial" w:cs="Arial"/>
          <w:lang w:val="es-ES_tradnl"/>
        </w:rPr>
        <w:t xml:space="preserve">% del total de la población nacional, de los cuales </w:t>
      </w:r>
      <w:r w:rsidR="00D50213" w:rsidRPr="005F7004">
        <w:rPr>
          <w:rFonts w:ascii="Arial" w:hAnsi="Arial" w:cs="Arial"/>
          <w:lang w:val="es-ES_tradnl"/>
        </w:rPr>
        <w:t>el 98,3%</w:t>
      </w:r>
      <w:r w:rsidRPr="005F7004">
        <w:rPr>
          <w:rFonts w:ascii="Arial" w:hAnsi="Arial" w:cs="Arial"/>
          <w:lang w:val="es-ES_tradnl"/>
        </w:rPr>
        <w:t xml:space="preserve"> habitan en el casco urbano.</w:t>
      </w:r>
      <w:r w:rsidR="00E55492" w:rsidRPr="005F7004">
        <w:rPr>
          <w:rFonts w:ascii="Arial" w:hAnsi="Arial" w:cs="Arial"/>
          <w:lang w:val="es-ES_tradnl"/>
        </w:rPr>
        <w:t xml:space="preserve"> Esto hace que sea la tercera ciudad con mayor población en Colombia. </w:t>
      </w:r>
      <w:r w:rsidRPr="005F7004">
        <w:rPr>
          <w:rFonts w:ascii="Arial" w:hAnsi="Arial" w:cs="Arial"/>
          <w:lang w:val="es-ES_tradnl"/>
        </w:rPr>
        <w:t xml:space="preserve"> El promedio</w:t>
      </w:r>
      <w:r w:rsidR="0083657F" w:rsidRPr="005F7004">
        <w:rPr>
          <w:rFonts w:ascii="Arial" w:hAnsi="Arial" w:cs="Arial"/>
          <w:lang w:val="es-ES_tradnl"/>
        </w:rPr>
        <w:t xml:space="preserve"> de personas por hogar es de 3,5</w:t>
      </w:r>
      <w:r w:rsidRPr="005F7004">
        <w:rPr>
          <w:rFonts w:ascii="Arial" w:hAnsi="Arial" w:cs="Arial"/>
          <w:lang w:val="es-ES_tradnl"/>
        </w:rPr>
        <w:t xml:space="preserve"> habitantes. </w:t>
      </w:r>
    </w:p>
    <w:p w:rsidR="00C21B06" w:rsidRPr="005F7004" w:rsidRDefault="00C21B06" w:rsidP="00C21B06">
      <w:pPr>
        <w:pStyle w:val="ListParagraph"/>
        <w:spacing w:after="0" w:line="20" w:lineRule="atLeast"/>
        <w:ind w:left="792"/>
        <w:jc w:val="both"/>
        <w:rPr>
          <w:rFonts w:ascii="Arial" w:hAnsi="Arial" w:cs="Arial"/>
          <w:lang w:val="es-ES_tradnl"/>
        </w:rPr>
      </w:pPr>
    </w:p>
    <w:p w:rsidR="009D0F7C" w:rsidRPr="005F7004" w:rsidRDefault="00C21B06" w:rsidP="00C21B06">
      <w:pPr>
        <w:pStyle w:val="ListParagraph"/>
        <w:numPr>
          <w:ilvl w:val="1"/>
          <w:numId w:val="1"/>
        </w:numPr>
        <w:spacing w:after="0" w:line="20" w:lineRule="atLeast"/>
        <w:jc w:val="both"/>
        <w:rPr>
          <w:rFonts w:ascii="Arial" w:hAnsi="Arial" w:cs="Arial"/>
          <w:lang w:val="es-ES_tradnl"/>
        </w:rPr>
      </w:pPr>
      <w:r w:rsidRPr="005F7004">
        <w:rPr>
          <w:rFonts w:ascii="Arial" w:hAnsi="Arial" w:cs="Arial"/>
          <w:lang w:val="es-ES_tradnl"/>
        </w:rPr>
        <w:t>Las principales actividades económicas desarrolladas en el municipio están relacionadas con la prestación de servicios</w:t>
      </w:r>
      <w:r w:rsidR="00252594" w:rsidRPr="005F7004">
        <w:rPr>
          <w:rFonts w:ascii="Arial" w:hAnsi="Arial" w:cs="Arial"/>
          <w:lang w:val="es-ES_tradnl"/>
        </w:rPr>
        <w:t>, la industria y las actividades agropecuarias</w:t>
      </w:r>
      <w:r w:rsidRPr="005F7004">
        <w:rPr>
          <w:rFonts w:ascii="Arial" w:hAnsi="Arial" w:cs="Arial"/>
          <w:lang w:val="es-ES_tradnl"/>
        </w:rPr>
        <w:t xml:space="preserve">. </w:t>
      </w:r>
      <w:r w:rsidR="00252594" w:rsidRPr="005F7004">
        <w:rPr>
          <w:rFonts w:ascii="Arial" w:hAnsi="Arial" w:cs="Arial"/>
          <w:lang w:val="es-ES_tradnl"/>
        </w:rPr>
        <w:t xml:space="preserve">Dentro del sector de servicios lo más importantes son comerciales, banca, transporte y las comunicaciones.  </w:t>
      </w:r>
      <w:r w:rsidR="009D0F7C" w:rsidRPr="005F7004">
        <w:rPr>
          <w:rFonts w:ascii="Arial" w:hAnsi="Arial" w:cs="Arial"/>
          <w:lang w:val="es-ES_tradnl"/>
        </w:rPr>
        <w:t>En cuanto a la agricultura el producto más importante</w:t>
      </w:r>
      <w:r w:rsidR="00FD6EDC" w:rsidRPr="005F7004">
        <w:rPr>
          <w:rFonts w:ascii="Arial" w:hAnsi="Arial" w:cs="Arial"/>
          <w:lang w:val="es-ES_tradnl"/>
        </w:rPr>
        <w:t xml:space="preserve"> es la caña de azúcar ya que cuentan con las plantaciones </w:t>
      </w:r>
      <w:r w:rsidR="00192EE0" w:rsidRPr="005F7004">
        <w:rPr>
          <w:rFonts w:ascii="Arial" w:hAnsi="Arial" w:cs="Arial"/>
          <w:lang w:val="es-ES_tradnl"/>
        </w:rPr>
        <w:t>más</w:t>
      </w:r>
      <w:r w:rsidR="00FD6EDC" w:rsidRPr="005F7004">
        <w:rPr>
          <w:rFonts w:ascii="Arial" w:hAnsi="Arial" w:cs="Arial"/>
          <w:lang w:val="es-ES_tradnl"/>
        </w:rPr>
        <w:t xml:space="preserve"> importantes del país. Le siguen la caña panelera, el sorgo, yuca, algodón soya, maíz, café, palma africana y cacao. En cuanto a la industria se destaca el procesamiento de azúcar, la producción de químicos, fármacos y plásticos y la industria editorial. </w:t>
      </w:r>
    </w:p>
    <w:p w:rsidR="007B6A2F" w:rsidRPr="005F7004" w:rsidRDefault="007B6A2F" w:rsidP="007B6A2F">
      <w:pPr>
        <w:rPr>
          <w:rFonts w:ascii="Arial" w:hAnsi="Arial" w:cs="Arial"/>
          <w:lang w:val="es-ES_tradnl"/>
        </w:rPr>
      </w:pPr>
    </w:p>
    <w:p w:rsidR="007B6A2F" w:rsidRPr="005F7004" w:rsidRDefault="007B6A2F" w:rsidP="007B6A2F">
      <w:pPr>
        <w:pStyle w:val="ListParagraph"/>
        <w:numPr>
          <w:ilvl w:val="0"/>
          <w:numId w:val="2"/>
        </w:numPr>
        <w:spacing w:after="0" w:line="20" w:lineRule="atLeast"/>
        <w:jc w:val="both"/>
        <w:rPr>
          <w:rFonts w:ascii="Arial" w:hAnsi="Arial" w:cs="Arial"/>
          <w:b/>
          <w:lang w:val="es-ES_tradnl"/>
        </w:rPr>
      </w:pPr>
      <w:r w:rsidRPr="005F7004">
        <w:rPr>
          <w:rFonts w:ascii="Arial" w:hAnsi="Arial" w:cs="Arial"/>
          <w:b/>
          <w:lang w:val="es-ES_tradnl"/>
        </w:rPr>
        <w:t xml:space="preserve">Principales desafíos para la sostenibilidad urbana </w:t>
      </w:r>
    </w:p>
    <w:p w:rsidR="007B6A2F" w:rsidRPr="005F7004" w:rsidRDefault="007B6A2F" w:rsidP="007B6A2F">
      <w:pPr>
        <w:pStyle w:val="ListParagraph"/>
        <w:spacing w:after="0" w:line="20" w:lineRule="atLeast"/>
        <w:ind w:left="1080"/>
        <w:jc w:val="both"/>
        <w:rPr>
          <w:rFonts w:ascii="Arial" w:hAnsi="Arial" w:cs="Arial"/>
          <w:b/>
          <w:lang w:val="es-ES_tradnl"/>
        </w:rPr>
      </w:pPr>
    </w:p>
    <w:p w:rsidR="007B6A2F" w:rsidRPr="005F7004" w:rsidRDefault="007B6A2F" w:rsidP="00862112">
      <w:pPr>
        <w:pStyle w:val="ListParagraph"/>
        <w:numPr>
          <w:ilvl w:val="1"/>
          <w:numId w:val="1"/>
        </w:numPr>
        <w:spacing w:after="0" w:line="20" w:lineRule="atLeast"/>
        <w:jc w:val="both"/>
        <w:rPr>
          <w:rFonts w:ascii="Arial" w:hAnsi="Arial" w:cs="Arial"/>
          <w:lang w:val="es-ES_tradnl"/>
        </w:rPr>
      </w:pPr>
      <w:r w:rsidRPr="005F7004">
        <w:rPr>
          <w:rFonts w:ascii="Arial" w:hAnsi="Arial" w:cs="Arial"/>
          <w:u w:val="single"/>
          <w:lang w:val="es-ES_tradnl"/>
        </w:rPr>
        <w:t>Dimensión de sostenibilidad ambiental.</w:t>
      </w:r>
      <w:r w:rsidRPr="005F7004">
        <w:rPr>
          <w:rFonts w:ascii="Arial" w:hAnsi="Arial" w:cs="Arial"/>
          <w:lang w:val="es-ES_tradnl"/>
        </w:rPr>
        <w:t xml:space="preserve"> Según datos obtenidos de</w:t>
      </w:r>
      <w:r w:rsidR="00655D6F" w:rsidRPr="005F7004">
        <w:rPr>
          <w:rFonts w:ascii="Arial" w:hAnsi="Arial" w:cs="Arial"/>
          <w:lang w:val="es-ES_tradnl"/>
        </w:rPr>
        <w:t>l</w:t>
      </w:r>
      <w:r w:rsidRPr="005F7004">
        <w:rPr>
          <w:rFonts w:ascii="Arial" w:hAnsi="Arial" w:cs="Arial"/>
          <w:lang w:val="es-ES_tradnl"/>
        </w:rPr>
        <w:t xml:space="preserve"> Plan de Desarrollo</w:t>
      </w:r>
      <w:r w:rsidR="00EE641F" w:rsidRPr="005F7004">
        <w:rPr>
          <w:rFonts w:ascii="Arial" w:hAnsi="Arial" w:cs="Arial"/>
          <w:lang w:val="es-ES_tradnl"/>
        </w:rPr>
        <w:t xml:space="preserve"> 2016 – 2019 “Cali Progresa Contigo”</w:t>
      </w:r>
      <w:r w:rsidRPr="005F7004">
        <w:rPr>
          <w:rFonts w:ascii="Arial" w:hAnsi="Arial" w:cs="Arial"/>
          <w:lang w:val="es-ES_tradnl"/>
        </w:rPr>
        <w:t xml:space="preserve">, </w:t>
      </w:r>
      <w:r w:rsidR="00AE3689" w:rsidRPr="005F7004">
        <w:rPr>
          <w:rFonts w:ascii="Arial" w:hAnsi="Arial" w:cs="Arial"/>
          <w:lang w:val="es-ES_tradnl"/>
        </w:rPr>
        <w:t>Cali en Cifras 2014</w:t>
      </w:r>
      <w:r w:rsidRPr="005F7004">
        <w:rPr>
          <w:rFonts w:ascii="Arial" w:hAnsi="Arial" w:cs="Arial"/>
          <w:lang w:val="es-ES_tradnl"/>
        </w:rPr>
        <w:t xml:space="preserve">, </w:t>
      </w:r>
      <w:r w:rsidR="00655D6F" w:rsidRPr="005F7004">
        <w:rPr>
          <w:rFonts w:ascii="Arial" w:hAnsi="Arial" w:cs="Arial"/>
          <w:lang w:val="es-ES_tradnl"/>
        </w:rPr>
        <w:t xml:space="preserve">y </w:t>
      </w:r>
      <w:r w:rsidR="00862112" w:rsidRPr="005F7004">
        <w:rPr>
          <w:rFonts w:ascii="Arial" w:hAnsi="Arial" w:cs="Arial"/>
          <w:lang w:val="es-ES_tradnl"/>
        </w:rPr>
        <w:t>el Informe Anual</w:t>
      </w:r>
      <w:r w:rsidR="00655D6F" w:rsidRPr="005F7004">
        <w:rPr>
          <w:rFonts w:ascii="Arial" w:hAnsi="Arial" w:cs="Arial"/>
          <w:lang w:val="es-ES_tradnl"/>
        </w:rPr>
        <w:t xml:space="preserve"> de Calidad de Vida </w:t>
      </w:r>
      <w:r w:rsidR="00862112" w:rsidRPr="005F7004">
        <w:rPr>
          <w:rFonts w:ascii="Arial" w:hAnsi="Arial" w:cs="Arial"/>
          <w:lang w:val="es-ES_tradnl"/>
        </w:rPr>
        <w:t xml:space="preserve">2015 “Una mirada a los Objetivos de Desarrollo Sostenible” producido por la iniciativa </w:t>
      </w:r>
      <w:r w:rsidR="00655D6F" w:rsidRPr="005F7004">
        <w:rPr>
          <w:rFonts w:ascii="Arial" w:hAnsi="Arial" w:cs="Arial"/>
          <w:lang w:val="es-ES_tradnl"/>
        </w:rPr>
        <w:t>“</w:t>
      </w:r>
      <w:r w:rsidR="007715BE" w:rsidRPr="005F7004">
        <w:rPr>
          <w:rFonts w:ascii="Arial" w:hAnsi="Arial" w:cs="Arial"/>
          <w:lang w:val="es-ES_tradnl"/>
        </w:rPr>
        <w:t>Cali cómo vamos</w:t>
      </w:r>
      <w:r w:rsidR="00655D6F" w:rsidRPr="005F7004">
        <w:rPr>
          <w:rFonts w:ascii="Arial" w:hAnsi="Arial" w:cs="Arial"/>
          <w:lang w:val="es-ES_tradnl"/>
        </w:rPr>
        <w:t>”</w:t>
      </w:r>
      <w:r w:rsidRPr="005F7004">
        <w:rPr>
          <w:rFonts w:ascii="Arial" w:hAnsi="Arial" w:cs="Arial"/>
          <w:lang w:val="es-ES_tradnl"/>
        </w:rPr>
        <w:t>, en la dimensión de sostenibilidad ambiental, los principales desafíos de Cali se identifican en los siguientes ámbitos:</w:t>
      </w:r>
    </w:p>
    <w:p w:rsidR="007B6A2F" w:rsidRPr="005F7004" w:rsidRDefault="007B6A2F" w:rsidP="007B6A2F">
      <w:pPr>
        <w:pStyle w:val="ListParagraph"/>
        <w:spacing w:after="0" w:line="20" w:lineRule="atLeast"/>
        <w:ind w:left="792"/>
        <w:jc w:val="both"/>
        <w:rPr>
          <w:rFonts w:ascii="Arial" w:hAnsi="Arial" w:cs="Arial"/>
          <w:lang w:val="es-ES_tradnl"/>
        </w:rPr>
      </w:pPr>
    </w:p>
    <w:p w:rsidR="007B6A2F" w:rsidRPr="005F7004" w:rsidRDefault="00A001D4" w:rsidP="007B6A2F">
      <w:pPr>
        <w:pStyle w:val="ListParagraph"/>
        <w:numPr>
          <w:ilvl w:val="2"/>
          <w:numId w:val="1"/>
        </w:numPr>
        <w:spacing w:after="0" w:line="20" w:lineRule="atLeast"/>
        <w:jc w:val="both"/>
        <w:rPr>
          <w:rFonts w:ascii="Arial" w:hAnsi="Arial" w:cs="Arial"/>
          <w:lang w:val="es-ES_tradnl"/>
        </w:rPr>
      </w:pPr>
      <w:r w:rsidRPr="005F7004">
        <w:rPr>
          <w:rFonts w:ascii="Arial" w:hAnsi="Arial" w:cs="Arial"/>
          <w:u w:val="single"/>
          <w:lang w:val="es-ES_tradnl"/>
        </w:rPr>
        <w:t>Agua potable, saneamiento básico y drenaje.</w:t>
      </w:r>
      <w:r w:rsidRPr="005F7004">
        <w:rPr>
          <w:rFonts w:ascii="Arial" w:hAnsi="Arial" w:cs="Arial"/>
          <w:lang w:val="es-ES_tradnl"/>
        </w:rPr>
        <w:t xml:space="preserve"> La ciudad de Ca</w:t>
      </w:r>
      <w:r w:rsidR="00AE3689" w:rsidRPr="005F7004">
        <w:rPr>
          <w:rFonts w:ascii="Arial" w:hAnsi="Arial" w:cs="Arial"/>
          <w:lang w:val="es-ES_tradnl"/>
        </w:rPr>
        <w:t>l</w:t>
      </w:r>
      <w:r w:rsidRPr="005F7004">
        <w:rPr>
          <w:rFonts w:ascii="Arial" w:hAnsi="Arial" w:cs="Arial"/>
          <w:lang w:val="es-ES_tradnl"/>
        </w:rPr>
        <w:t>i, de acuerdo a los datos del operador y los diferentes reportes en los sistemas de información para el año 2</w:t>
      </w:r>
      <w:r w:rsidR="00AE3689" w:rsidRPr="005F7004">
        <w:rPr>
          <w:rFonts w:ascii="Arial" w:hAnsi="Arial" w:cs="Arial"/>
          <w:lang w:val="es-ES_tradnl"/>
        </w:rPr>
        <w:t>015</w:t>
      </w:r>
      <w:r w:rsidRPr="005F7004">
        <w:rPr>
          <w:rFonts w:ascii="Arial" w:hAnsi="Arial" w:cs="Arial"/>
          <w:lang w:val="es-ES_tradnl"/>
        </w:rPr>
        <w:t xml:space="preserve"> contaba con una cobertura del </w:t>
      </w:r>
      <w:r w:rsidR="00AE3689" w:rsidRPr="005F7004">
        <w:rPr>
          <w:rFonts w:ascii="Arial" w:hAnsi="Arial" w:cs="Arial"/>
          <w:lang w:val="es-ES_tradnl"/>
        </w:rPr>
        <w:t>99,2</w:t>
      </w:r>
      <w:r w:rsidRPr="005F7004">
        <w:rPr>
          <w:rFonts w:ascii="Arial" w:hAnsi="Arial" w:cs="Arial"/>
          <w:lang w:val="es-ES_tradnl"/>
        </w:rPr>
        <w:t xml:space="preserve">% en acueducto y </w:t>
      </w:r>
      <w:r w:rsidR="00AE3689" w:rsidRPr="005F7004">
        <w:rPr>
          <w:rFonts w:ascii="Arial" w:hAnsi="Arial" w:cs="Arial"/>
          <w:lang w:val="es-ES_tradnl"/>
        </w:rPr>
        <w:t xml:space="preserve">97,2% en alcantarillado, y </w:t>
      </w:r>
      <w:r w:rsidRPr="005F7004">
        <w:rPr>
          <w:rFonts w:ascii="Arial" w:hAnsi="Arial" w:cs="Arial"/>
          <w:lang w:val="es-ES_tradnl"/>
        </w:rPr>
        <w:t xml:space="preserve">una planta de tratamiento de aguas </w:t>
      </w:r>
      <w:r w:rsidRPr="005F7004">
        <w:rPr>
          <w:rFonts w:ascii="Arial" w:hAnsi="Arial" w:cs="Arial"/>
          <w:lang w:val="es-ES_tradnl"/>
        </w:rPr>
        <w:lastRenderedPageBreak/>
        <w:t xml:space="preserve">residuales (PTAR – Cañaveralejo) con la capacidad de tratar el 70% de las aguas residuales generadas en la ciudad. El operador de los servicios públicos de agua, alcantarillado y energía son la Empresas Municipales de Cali –  EMCALI. En acueducto se cuenta con una adecuada prestación del servicio y un agua calificada sin riesgo por parte de la autoridad competente, quedando como reto para la Empresa de Servicios Públicos disminuir los índices de agua no contabilizada que alcanza el 66%. Respecto al drenaje de aguas pluviales, se encuentra igualmente a cargo de Emcali, gran parte de los hogares del oriente de la ciudad se ha visto afectado inundaciones generadas por las precipitaciones en épocas de lluvia y el fenómeno de la Niña, </w:t>
      </w:r>
      <w:r w:rsidR="00AE3689" w:rsidRPr="005F7004">
        <w:rPr>
          <w:rFonts w:ascii="Arial" w:hAnsi="Arial" w:cs="Arial"/>
          <w:lang w:val="es-ES_tradnl"/>
        </w:rPr>
        <w:t>Otro problema de los drenajes urbanos es la disposición de basuras en los mismos como el vertido de aguas residuales directamente a estos cuerpos.</w:t>
      </w:r>
    </w:p>
    <w:p w:rsidR="007B6A2F" w:rsidRPr="005F7004" w:rsidRDefault="007B6A2F" w:rsidP="007B6A2F">
      <w:pPr>
        <w:pStyle w:val="ListParagraph"/>
        <w:spacing w:after="0" w:line="20" w:lineRule="atLeast"/>
        <w:ind w:left="1224"/>
        <w:jc w:val="both"/>
        <w:rPr>
          <w:rFonts w:ascii="Arial" w:hAnsi="Arial" w:cs="Arial"/>
          <w:lang w:val="es-ES_tradnl"/>
        </w:rPr>
      </w:pPr>
    </w:p>
    <w:p w:rsidR="007B6A2F" w:rsidRPr="005F7004" w:rsidRDefault="007B6A2F" w:rsidP="007B6A2F">
      <w:pPr>
        <w:pStyle w:val="ListParagraph"/>
        <w:numPr>
          <w:ilvl w:val="2"/>
          <w:numId w:val="1"/>
        </w:numPr>
        <w:spacing w:after="0" w:line="20" w:lineRule="atLeast"/>
        <w:jc w:val="both"/>
        <w:rPr>
          <w:rFonts w:ascii="Arial" w:hAnsi="Arial" w:cs="Arial"/>
          <w:lang w:val="es-ES_tradnl"/>
        </w:rPr>
      </w:pPr>
      <w:r w:rsidRPr="005F7004">
        <w:rPr>
          <w:rFonts w:ascii="Arial" w:hAnsi="Arial" w:cs="Arial"/>
          <w:u w:val="single"/>
          <w:lang w:val="es-ES_tradnl"/>
        </w:rPr>
        <w:t>Gestión de Residuos Sólidos.</w:t>
      </w:r>
      <w:r w:rsidRPr="005F7004">
        <w:rPr>
          <w:rFonts w:ascii="Arial" w:hAnsi="Arial" w:cs="Arial"/>
          <w:lang w:val="es-ES_tradnl"/>
        </w:rPr>
        <w:t xml:space="preserve"> </w:t>
      </w:r>
      <w:r w:rsidR="007715BE" w:rsidRPr="005F7004">
        <w:rPr>
          <w:rFonts w:ascii="Arial" w:hAnsi="Arial" w:cs="Arial"/>
          <w:lang w:val="es-ES_tradnl"/>
        </w:rPr>
        <w:t xml:space="preserve">Cali </w:t>
      </w:r>
      <w:r w:rsidRPr="005F7004">
        <w:rPr>
          <w:rFonts w:ascii="Arial" w:hAnsi="Arial" w:cs="Arial"/>
          <w:lang w:val="es-ES_tradnl"/>
        </w:rPr>
        <w:t xml:space="preserve">cuenta con una cobertura en la recolección del 100% los cuales son dispuestos en el Relleno Sanitario </w:t>
      </w:r>
      <w:r w:rsidR="007715BE" w:rsidRPr="005F7004">
        <w:rPr>
          <w:rFonts w:ascii="Arial" w:hAnsi="Arial" w:cs="Arial"/>
          <w:lang w:val="es-ES_tradnl"/>
        </w:rPr>
        <w:t>Yotoco</w:t>
      </w:r>
      <w:r w:rsidRPr="005F7004">
        <w:rPr>
          <w:rFonts w:ascii="Arial" w:hAnsi="Arial" w:cs="Arial"/>
          <w:lang w:val="es-ES_tradnl"/>
        </w:rPr>
        <w:t>.</w:t>
      </w:r>
      <w:r w:rsidRPr="005F7004">
        <w:rPr>
          <w:rStyle w:val="FootnoteReference"/>
          <w:rFonts w:ascii="Arial" w:hAnsi="Arial" w:cs="Arial"/>
          <w:lang w:val="es-ES_tradnl"/>
        </w:rPr>
        <w:t xml:space="preserve"> </w:t>
      </w:r>
      <w:r w:rsidRPr="005F7004">
        <w:rPr>
          <w:rFonts w:ascii="Arial" w:hAnsi="Arial" w:cs="Arial"/>
          <w:lang w:val="es-ES_tradnl"/>
        </w:rPr>
        <w:t xml:space="preserve">La ciudad genera </w:t>
      </w:r>
      <w:r w:rsidR="007715BE" w:rsidRPr="005F7004">
        <w:rPr>
          <w:rFonts w:ascii="Arial" w:hAnsi="Arial" w:cs="Arial"/>
          <w:lang w:val="es-ES_tradnl"/>
        </w:rPr>
        <w:t xml:space="preserve">1.300 </w:t>
      </w:r>
      <w:r w:rsidRPr="005F7004">
        <w:rPr>
          <w:rFonts w:ascii="Arial" w:hAnsi="Arial" w:cs="Arial"/>
          <w:lang w:val="es-ES_tradnl"/>
        </w:rPr>
        <w:t xml:space="preserve">toneladas por día de residuos sólidos. Aunque no existe un reporte exacto del porcentaje de residuos que son dispuestos en cuerpos de agua, es de público conocimiento los problemas que se presentan por los niveles de disposición en los canales de la ciudad. </w:t>
      </w:r>
      <w:r w:rsidR="00B5109F" w:rsidRPr="005F7004">
        <w:rPr>
          <w:rFonts w:ascii="Arial" w:hAnsi="Arial" w:cs="Arial"/>
          <w:lang w:val="es-ES_tradnl"/>
        </w:rPr>
        <w:t>Sobre este aspecto e</w:t>
      </w:r>
      <w:r w:rsidRPr="005F7004">
        <w:rPr>
          <w:rFonts w:ascii="Arial" w:hAnsi="Arial" w:cs="Arial"/>
          <w:lang w:val="es-ES_tradnl"/>
        </w:rPr>
        <w:t>n términos generales se puede concluir que los factores causantes de esta problemática son dos: i) la ausencia de consciencia ciudadana para disponer los residuos sólidos en sitios adecuados; y ii) la deficiencia que presentan los servicios de recolección de residuos..</w:t>
      </w:r>
      <w:r w:rsidR="00577640" w:rsidRPr="005F7004">
        <w:rPr>
          <w:rFonts w:ascii="Arial" w:hAnsi="Arial" w:cs="Arial"/>
          <w:lang w:val="es-ES_tradnl"/>
        </w:rPr>
        <w:t xml:space="preserve"> </w:t>
      </w:r>
      <w:r w:rsidR="00B308C8" w:rsidRPr="005F7004">
        <w:rPr>
          <w:rFonts w:ascii="Arial" w:hAnsi="Arial" w:cs="Arial"/>
          <w:lang w:val="es-ES_tradnl"/>
        </w:rPr>
        <w:t xml:space="preserve">El Plan de Desarrollo municipal </w:t>
      </w:r>
      <w:r w:rsidR="00577640" w:rsidRPr="005F7004">
        <w:rPr>
          <w:rFonts w:ascii="Arial" w:hAnsi="Arial" w:cs="Arial"/>
          <w:lang w:val="es-ES_tradnl"/>
        </w:rPr>
        <w:t>orientará la Implementación del Plan de Gestión Integral de Residuos Sólidos – PGIRS 2015 – 2027 adoptado mediante Decreto Municipal 1147 de 2015, siendo el instrumento de planificación de la prestación del servicio público de aseo y la gestión integral de los residuos del Municipio (zona urbana y rural), con miras hacia el mejoramiento de la calidad ambiental, la prevención y reducción de riesgos asociados al manejo de los residuos sólidos</w:t>
      </w:r>
      <w:r w:rsidR="00B308C8" w:rsidRPr="005F7004">
        <w:rPr>
          <w:rFonts w:ascii="Arial" w:hAnsi="Arial" w:cs="Arial"/>
          <w:lang w:val="es-ES_tradnl"/>
        </w:rPr>
        <w:t>.</w:t>
      </w:r>
    </w:p>
    <w:p w:rsidR="007B6A2F" w:rsidRPr="005F7004" w:rsidRDefault="007B6A2F" w:rsidP="007B6A2F">
      <w:pPr>
        <w:pStyle w:val="ListParagraph"/>
        <w:spacing w:after="0" w:line="20" w:lineRule="atLeast"/>
        <w:ind w:left="1224"/>
        <w:jc w:val="both"/>
        <w:rPr>
          <w:rFonts w:ascii="Arial" w:hAnsi="Arial" w:cs="Arial"/>
          <w:lang w:val="es-ES_tradnl"/>
        </w:rPr>
      </w:pPr>
    </w:p>
    <w:p w:rsidR="007B6A2F" w:rsidRPr="005F7004" w:rsidRDefault="007B6A2F" w:rsidP="00531AE8">
      <w:pPr>
        <w:pStyle w:val="ListParagraph"/>
        <w:numPr>
          <w:ilvl w:val="2"/>
          <w:numId w:val="1"/>
        </w:numPr>
        <w:spacing w:after="0" w:line="20" w:lineRule="atLeast"/>
        <w:jc w:val="both"/>
        <w:rPr>
          <w:rFonts w:ascii="Arial" w:hAnsi="Arial" w:cs="Arial"/>
          <w:lang w:val="es-ES_tradnl"/>
        </w:rPr>
      </w:pPr>
      <w:r w:rsidRPr="005F7004">
        <w:rPr>
          <w:rFonts w:ascii="Arial" w:hAnsi="Arial" w:cs="Arial"/>
          <w:u w:val="single"/>
          <w:lang w:val="es-ES_tradnl"/>
        </w:rPr>
        <w:t>Energía.</w:t>
      </w:r>
      <w:r w:rsidRPr="005F7004">
        <w:rPr>
          <w:rFonts w:ascii="Arial" w:hAnsi="Arial" w:cs="Arial"/>
          <w:lang w:val="es-ES_tradnl"/>
        </w:rPr>
        <w:t xml:space="preserve"> </w:t>
      </w:r>
      <w:r w:rsidR="00862112" w:rsidRPr="005F7004">
        <w:rPr>
          <w:rFonts w:ascii="Arial" w:hAnsi="Arial" w:cs="Arial"/>
          <w:lang w:val="es-ES_tradnl"/>
        </w:rPr>
        <w:t>El servicio de energía en la ciudad es prestado por EMCALI</w:t>
      </w:r>
      <w:r w:rsidR="00531AE8" w:rsidRPr="005F7004">
        <w:rPr>
          <w:rFonts w:ascii="Arial" w:hAnsi="Arial" w:cs="Arial"/>
          <w:lang w:val="es-ES_tradnl"/>
        </w:rPr>
        <w:t xml:space="preserve"> EICE ESP, empresa que retornó a la administración municipal en el año 2013 tras trece años de intervención por parte de la Superintendencia de Servicios Públicos. Según el Informe de Gestión de la empresa para el año 2014</w:t>
      </w:r>
      <w:r w:rsidR="002B13EF" w:rsidRPr="005F7004">
        <w:rPr>
          <w:rFonts w:ascii="Arial" w:hAnsi="Arial" w:cs="Arial"/>
          <w:lang w:val="es-ES_tradnl"/>
        </w:rPr>
        <w:t>, l</w:t>
      </w:r>
      <w:r w:rsidR="00531AE8" w:rsidRPr="005F7004">
        <w:rPr>
          <w:rFonts w:ascii="Arial" w:hAnsi="Arial" w:cs="Arial"/>
          <w:lang w:val="es-ES_tradnl"/>
        </w:rPr>
        <w:t>a distribución de energía que se realiza con la infraestructura eléctrica de propiedad de la compañía (S</w:t>
      </w:r>
      <w:r w:rsidR="0037192D" w:rsidRPr="005F7004">
        <w:rPr>
          <w:rFonts w:ascii="Arial" w:hAnsi="Arial" w:cs="Arial"/>
          <w:lang w:val="es-ES_tradnl"/>
        </w:rPr>
        <w:t xml:space="preserve">istema de </w:t>
      </w:r>
      <w:r w:rsidR="00531AE8" w:rsidRPr="005F7004">
        <w:rPr>
          <w:rFonts w:ascii="Arial" w:hAnsi="Arial" w:cs="Arial"/>
          <w:lang w:val="es-ES_tradnl"/>
        </w:rPr>
        <w:t>D</w:t>
      </w:r>
      <w:r w:rsidR="0037192D" w:rsidRPr="005F7004">
        <w:rPr>
          <w:rFonts w:ascii="Arial" w:hAnsi="Arial" w:cs="Arial"/>
          <w:lang w:val="es-ES_tradnl"/>
        </w:rPr>
        <w:t xml:space="preserve">istribución </w:t>
      </w:r>
      <w:r w:rsidR="00531AE8" w:rsidRPr="005F7004">
        <w:rPr>
          <w:rFonts w:ascii="Arial" w:hAnsi="Arial" w:cs="Arial"/>
          <w:lang w:val="es-ES_tradnl"/>
        </w:rPr>
        <w:t>L</w:t>
      </w:r>
      <w:r w:rsidR="0037192D" w:rsidRPr="005F7004">
        <w:rPr>
          <w:rFonts w:ascii="Arial" w:hAnsi="Arial" w:cs="Arial"/>
          <w:lang w:val="es-ES_tradnl"/>
        </w:rPr>
        <w:t>ocal - SDL</w:t>
      </w:r>
      <w:r w:rsidR="00531AE8" w:rsidRPr="005F7004">
        <w:rPr>
          <w:rFonts w:ascii="Arial" w:hAnsi="Arial" w:cs="Arial"/>
          <w:lang w:val="es-ES_tradnl"/>
        </w:rPr>
        <w:t>) abarca los municipios de Santiago de Cali, Yumbo y Puerto Tejada llegando hasta los usuarios finales. Debido a la actividad de Compra – Venta de Energía (Comercialización), EMCALI cuenta con una participación importante a nivel local y nacional tanto en el Mercado Regulado como en el Mercado No Regulado.</w:t>
      </w:r>
      <w:r w:rsidR="0037192D" w:rsidRPr="005F7004">
        <w:rPr>
          <w:rFonts w:ascii="Arial" w:hAnsi="Arial" w:cs="Arial"/>
          <w:lang w:val="es-ES_tradnl"/>
        </w:rPr>
        <w:t xml:space="preserve"> </w:t>
      </w:r>
      <w:r w:rsidR="00577640" w:rsidRPr="005F7004">
        <w:rPr>
          <w:rFonts w:ascii="Arial" w:hAnsi="Arial" w:cs="Arial"/>
          <w:lang w:val="es-ES_tradnl"/>
        </w:rPr>
        <w:t xml:space="preserve">La cobertura es del 96,7% para el año 2015 </w:t>
      </w:r>
    </w:p>
    <w:p w:rsidR="007B6A2F" w:rsidRPr="005F7004" w:rsidRDefault="007B6A2F" w:rsidP="007B6A2F">
      <w:pPr>
        <w:spacing w:after="0" w:line="20" w:lineRule="atLeast"/>
        <w:jc w:val="both"/>
        <w:rPr>
          <w:rFonts w:ascii="Arial" w:hAnsi="Arial" w:cs="Arial"/>
          <w:lang w:val="es-ES_tradnl"/>
        </w:rPr>
      </w:pPr>
    </w:p>
    <w:p w:rsidR="007B6A2F" w:rsidRPr="005F7004" w:rsidRDefault="007B6A2F" w:rsidP="007B6A2F">
      <w:pPr>
        <w:pStyle w:val="ListParagraph"/>
        <w:numPr>
          <w:ilvl w:val="2"/>
          <w:numId w:val="1"/>
        </w:numPr>
        <w:spacing w:after="0" w:line="20" w:lineRule="atLeast"/>
        <w:ind w:left="1296"/>
        <w:jc w:val="both"/>
        <w:rPr>
          <w:rFonts w:ascii="Arial" w:hAnsi="Arial" w:cs="Arial"/>
          <w:lang w:val="es-ES_tradnl"/>
        </w:rPr>
      </w:pPr>
      <w:r w:rsidRPr="005F7004">
        <w:rPr>
          <w:rFonts w:ascii="Arial" w:hAnsi="Arial" w:cs="Arial"/>
          <w:u w:val="single"/>
          <w:lang w:val="es-ES_tradnl"/>
        </w:rPr>
        <w:t>Mitigación del Cambio Climático.</w:t>
      </w:r>
      <w:r w:rsidRPr="005F7004">
        <w:rPr>
          <w:rFonts w:ascii="Arial" w:hAnsi="Arial" w:cs="Arial"/>
          <w:lang w:val="es-ES_tradnl"/>
        </w:rPr>
        <w:t xml:space="preserve"> La ciudad de Ca</w:t>
      </w:r>
      <w:r w:rsidR="00EF47E8" w:rsidRPr="005F7004">
        <w:rPr>
          <w:rFonts w:ascii="Arial" w:hAnsi="Arial" w:cs="Arial"/>
          <w:lang w:val="es-ES_tradnl"/>
        </w:rPr>
        <w:t>li</w:t>
      </w:r>
      <w:r w:rsidRPr="005F7004">
        <w:rPr>
          <w:rFonts w:ascii="Arial" w:hAnsi="Arial" w:cs="Arial"/>
          <w:lang w:val="es-ES_tradnl"/>
        </w:rPr>
        <w:t xml:space="preserve"> </w:t>
      </w:r>
      <w:r w:rsidR="00EF47E8" w:rsidRPr="005F7004">
        <w:rPr>
          <w:rFonts w:ascii="Arial" w:hAnsi="Arial" w:cs="Arial"/>
          <w:lang w:val="es-ES_tradnl"/>
        </w:rPr>
        <w:t>tiene estipulado en su Plan de Desarrollo</w:t>
      </w:r>
      <w:r w:rsidRPr="005F7004">
        <w:rPr>
          <w:rFonts w:ascii="Arial" w:hAnsi="Arial" w:cs="Arial"/>
          <w:lang w:val="es-ES_tradnl"/>
        </w:rPr>
        <w:t xml:space="preserve"> fortalecer su capacidad de adaptación a</w:t>
      </w:r>
      <w:r w:rsidR="00EF47E8" w:rsidRPr="005F7004">
        <w:rPr>
          <w:rFonts w:ascii="Arial" w:hAnsi="Arial" w:cs="Arial"/>
          <w:lang w:val="es-ES_tradnl"/>
        </w:rPr>
        <w:t>l Cambio Climático</w:t>
      </w:r>
      <w:r w:rsidR="00655D6F" w:rsidRPr="005F7004">
        <w:rPr>
          <w:rFonts w:ascii="Arial" w:hAnsi="Arial" w:cs="Arial"/>
          <w:lang w:val="es-ES_tradnl"/>
        </w:rPr>
        <w:t xml:space="preserve"> a </w:t>
      </w:r>
      <w:r w:rsidR="00EF47E8" w:rsidRPr="005F7004">
        <w:rPr>
          <w:rFonts w:ascii="Arial" w:hAnsi="Arial" w:cs="Arial"/>
          <w:lang w:val="es-ES_tradnl"/>
        </w:rPr>
        <w:t>través de acciones como</w:t>
      </w:r>
      <w:r w:rsidR="00655D6F" w:rsidRPr="005F7004">
        <w:rPr>
          <w:rFonts w:ascii="Arial" w:hAnsi="Arial" w:cs="Arial"/>
          <w:lang w:val="es-ES_tradnl"/>
        </w:rPr>
        <w:t xml:space="preserve"> la</w:t>
      </w:r>
      <w:r w:rsidR="00EF47E8" w:rsidRPr="005F7004">
        <w:rPr>
          <w:rFonts w:ascii="Arial" w:hAnsi="Arial" w:cs="Arial"/>
          <w:lang w:val="es-ES_tradnl"/>
        </w:rPr>
        <w:t xml:space="preserve"> genera</w:t>
      </w:r>
      <w:r w:rsidR="00655D6F" w:rsidRPr="005F7004">
        <w:rPr>
          <w:rFonts w:ascii="Arial" w:hAnsi="Arial" w:cs="Arial"/>
          <w:lang w:val="es-ES_tradnl"/>
        </w:rPr>
        <w:t>ción de</w:t>
      </w:r>
      <w:r w:rsidR="00EF47E8" w:rsidRPr="005F7004">
        <w:rPr>
          <w:rFonts w:ascii="Arial" w:hAnsi="Arial" w:cs="Arial"/>
          <w:lang w:val="es-ES_tradnl"/>
        </w:rPr>
        <w:t xml:space="preserve"> espacios públicos más verdes los cuales enriquecen el paisaje urbano y reducen el impacto de la ciudad construida sobre el medio ambiente. Estos a su vez aumentarán la oxigenación, contribuirán en la regulación hídrica y la recarga del manto acuífero, propiciando la biodiversidad, esto en el contexto del cambio </w:t>
      </w:r>
      <w:r w:rsidR="00EF47E8" w:rsidRPr="005F7004">
        <w:rPr>
          <w:rFonts w:ascii="Arial" w:hAnsi="Arial" w:cs="Arial"/>
          <w:lang w:val="es-ES_tradnl"/>
        </w:rPr>
        <w:lastRenderedPageBreak/>
        <w:t xml:space="preserve">climático global permitirá una ciudad más sustentable. </w:t>
      </w:r>
      <w:r w:rsidR="006905A8" w:rsidRPr="005F7004">
        <w:rPr>
          <w:rFonts w:ascii="Arial" w:hAnsi="Arial" w:cs="Arial"/>
          <w:lang w:val="es-ES_tradnl"/>
        </w:rPr>
        <w:t>De la misma manera</w:t>
      </w:r>
      <w:r w:rsidR="00EF47E8" w:rsidRPr="005F7004">
        <w:rPr>
          <w:rFonts w:ascii="Arial" w:hAnsi="Arial" w:cs="Arial"/>
          <w:lang w:val="es-ES_tradnl"/>
        </w:rPr>
        <w:t xml:space="preserve"> se plantea desarrollar programas ambientales y educativos de asistencia para el desarrollo de áreas estratégicas productoras de agua y reforestación, conservando el recurso hídrico, contribuyendo a la soberanía y la seguridad alimentaria, disminuyendo la contaminación de agua, del aire y del suelo por residuos, por químicos u otras sustancias o elementos físicos o biológicos, promoviendo la gestión integral de residuos, contribuyendo a mitigar la generación de gases de efecto invernadero, propendiendo por la sostenibilidad ambiental y la adaptación de los socio-ecosistemas al cambio climático, con el concurso del sector público, privado, la academia y la sociedad civil</w:t>
      </w:r>
      <w:r w:rsidR="00655D6F" w:rsidRPr="005F7004">
        <w:rPr>
          <w:rFonts w:ascii="Arial" w:hAnsi="Arial" w:cs="Arial"/>
          <w:lang w:val="es-ES_tradnl"/>
        </w:rPr>
        <w:t>.</w:t>
      </w:r>
    </w:p>
    <w:p w:rsidR="007B6A2F" w:rsidRPr="005F7004" w:rsidRDefault="007B6A2F" w:rsidP="007B6A2F">
      <w:pPr>
        <w:autoSpaceDE w:val="0"/>
        <w:autoSpaceDN w:val="0"/>
        <w:adjustRightInd w:val="0"/>
        <w:spacing w:after="0" w:line="20" w:lineRule="atLeast"/>
        <w:jc w:val="both"/>
        <w:rPr>
          <w:rFonts w:ascii="Arial" w:hAnsi="Arial" w:cs="Arial"/>
          <w:lang w:val="es-ES_tradnl"/>
        </w:rPr>
      </w:pPr>
    </w:p>
    <w:p w:rsidR="007B6A2F" w:rsidRPr="005F7004" w:rsidRDefault="007B6A2F" w:rsidP="007B6A2F">
      <w:pPr>
        <w:pStyle w:val="ListParagraph"/>
        <w:numPr>
          <w:ilvl w:val="1"/>
          <w:numId w:val="1"/>
        </w:numPr>
        <w:spacing w:after="0" w:line="20" w:lineRule="atLeast"/>
        <w:jc w:val="both"/>
        <w:rPr>
          <w:rFonts w:ascii="Arial" w:hAnsi="Arial" w:cs="Arial"/>
          <w:lang w:val="es-ES_tradnl"/>
        </w:rPr>
      </w:pPr>
      <w:r w:rsidRPr="005F7004">
        <w:rPr>
          <w:rFonts w:ascii="Arial" w:hAnsi="Arial" w:cs="Arial"/>
          <w:u w:val="single"/>
          <w:lang w:val="es-ES_tradnl"/>
        </w:rPr>
        <w:t>Dimensión de sostenibilidad urbana</w:t>
      </w:r>
      <w:r w:rsidRPr="005F7004">
        <w:rPr>
          <w:rFonts w:ascii="Arial" w:hAnsi="Arial" w:cs="Arial"/>
          <w:lang w:val="es-ES_tradnl"/>
        </w:rPr>
        <w:t xml:space="preserve">. </w:t>
      </w:r>
      <w:r w:rsidR="00F60802" w:rsidRPr="005F7004">
        <w:rPr>
          <w:rFonts w:ascii="Arial" w:hAnsi="Arial" w:cs="Arial"/>
          <w:lang w:val="es-ES_tradnl"/>
        </w:rPr>
        <w:t xml:space="preserve">De acuerdo con las fuentes de información consultadas, Cali en Cifras 2014, Plan de Desarrollo, Plan de Ordenamiento Territorial y Encuesta de Calidad de Vida “Cali Como Vamos 2015”, es posible </w:t>
      </w:r>
      <w:r w:rsidRPr="005F7004">
        <w:rPr>
          <w:rFonts w:ascii="Arial" w:hAnsi="Arial" w:cs="Arial"/>
          <w:lang w:val="es-ES_tradnl"/>
        </w:rPr>
        <w:t xml:space="preserve">evidenciar que existen algunos aspectos específicos que merecen ser atendidos con prioridad: la planificación urbana y el ordenamiento territorial, el déficit de vivienda, el manejo de espacios públicos, áreas verdes y de recreación, y movilidad y transporte. </w:t>
      </w:r>
    </w:p>
    <w:p w:rsidR="007B6A2F" w:rsidRPr="005F7004" w:rsidRDefault="007B6A2F" w:rsidP="007B6A2F">
      <w:pPr>
        <w:pStyle w:val="ListParagraph"/>
        <w:spacing w:after="0" w:line="20" w:lineRule="atLeast"/>
        <w:ind w:left="792"/>
        <w:jc w:val="both"/>
        <w:rPr>
          <w:rFonts w:ascii="Arial" w:hAnsi="Arial" w:cs="Arial"/>
          <w:lang w:val="es-ES_tradnl"/>
        </w:rPr>
      </w:pPr>
    </w:p>
    <w:p w:rsidR="007B6A2F" w:rsidRPr="005F7004" w:rsidRDefault="007B6A2F" w:rsidP="00FE64C8">
      <w:pPr>
        <w:pStyle w:val="ListParagraph"/>
        <w:numPr>
          <w:ilvl w:val="2"/>
          <w:numId w:val="1"/>
        </w:numPr>
        <w:spacing w:after="0" w:line="20" w:lineRule="atLeast"/>
        <w:jc w:val="both"/>
        <w:rPr>
          <w:rFonts w:ascii="Arial" w:hAnsi="Arial" w:cs="Arial"/>
          <w:lang w:val="es-ES_tradnl"/>
        </w:rPr>
      </w:pPr>
      <w:r w:rsidRPr="005F7004">
        <w:rPr>
          <w:rFonts w:ascii="Arial" w:hAnsi="Arial" w:cs="Arial"/>
          <w:u w:val="single"/>
          <w:lang w:val="es-ES_tradnl"/>
        </w:rPr>
        <w:t>Planificación urbana y ordenamiento territorial.</w:t>
      </w:r>
      <w:r w:rsidRPr="005F7004">
        <w:rPr>
          <w:rFonts w:ascii="Arial" w:hAnsi="Arial" w:cs="Arial"/>
          <w:lang w:val="es-ES_tradnl"/>
        </w:rPr>
        <w:t xml:space="preserve"> </w:t>
      </w:r>
      <w:r w:rsidR="00E55F49" w:rsidRPr="005F7004">
        <w:rPr>
          <w:rFonts w:ascii="Arial" w:hAnsi="Arial" w:cs="Arial"/>
          <w:lang w:val="es-ES_tradnl"/>
        </w:rPr>
        <w:t>E</w:t>
      </w:r>
      <w:r w:rsidR="008E55A9" w:rsidRPr="005F7004">
        <w:rPr>
          <w:rFonts w:ascii="Arial" w:hAnsi="Arial" w:cs="Arial"/>
          <w:lang w:val="es-ES_tradnl"/>
        </w:rPr>
        <w:t xml:space="preserve">l Plan de Ordenamiento – POT, </w:t>
      </w:r>
      <w:r w:rsidR="00E55F49" w:rsidRPr="005F7004">
        <w:rPr>
          <w:rFonts w:ascii="Arial" w:hAnsi="Arial" w:cs="Arial"/>
          <w:lang w:val="es-ES_tradnl"/>
        </w:rPr>
        <w:t xml:space="preserve">plantea </w:t>
      </w:r>
      <w:r w:rsidR="008E55A9" w:rsidRPr="005F7004">
        <w:rPr>
          <w:rFonts w:ascii="Arial" w:hAnsi="Arial" w:cs="Arial"/>
          <w:lang w:val="es-ES_tradnl"/>
        </w:rPr>
        <w:t xml:space="preserve">para Cali un desarrollo urbano compacto que dinamice diversas zonas de la ciudad, facilitando el crecimiento e incluyendo su ruralidad bajo criterios de sustentabilidad y sostenibilidad ambiental, humana, económica y equidad social. </w:t>
      </w:r>
      <w:r w:rsidR="00E55F49" w:rsidRPr="005F7004">
        <w:rPr>
          <w:rFonts w:ascii="Arial" w:hAnsi="Arial" w:cs="Arial"/>
          <w:lang w:val="es-ES_tradnl"/>
        </w:rPr>
        <w:t xml:space="preserve">Por su parte, </w:t>
      </w:r>
      <w:r w:rsidR="008E55A9" w:rsidRPr="005F7004">
        <w:rPr>
          <w:rFonts w:ascii="Arial" w:hAnsi="Arial" w:cs="Arial"/>
          <w:lang w:val="es-ES_tradnl"/>
        </w:rPr>
        <w:t xml:space="preserve">el plan de desarrollo 2016 – 2019 tiene en cuenta estos principios y toma como base la responsabilidad ambiental en el desarrollo de los sistemas urbanos - </w:t>
      </w:r>
      <w:r w:rsidR="00FE64C8" w:rsidRPr="005F7004">
        <w:rPr>
          <w:rFonts w:ascii="Arial" w:hAnsi="Arial" w:cs="Arial"/>
          <w:lang w:val="es-ES_tradnl"/>
        </w:rPr>
        <w:t>espacio público, equipamientos, servicios públicos y movilidad</w:t>
      </w:r>
      <w:r w:rsidR="00E55F49" w:rsidRPr="005F7004">
        <w:rPr>
          <w:rFonts w:ascii="Arial" w:hAnsi="Arial" w:cs="Arial"/>
          <w:lang w:val="es-ES_tradnl"/>
        </w:rPr>
        <w:t xml:space="preserve"> </w:t>
      </w:r>
      <w:r w:rsidR="00FE64C8" w:rsidRPr="005F7004">
        <w:rPr>
          <w:rFonts w:ascii="Arial" w:hAnsi="Arial" w:cs="Arial"/>
          <w:lang w:val="es-ES_tradnl"/>
        </w:rPr>
        <w:t xml:space="preserve">- </w:t>
      </w:r>
      <w:r w:rsidR="008E55A9" w:rsidRPr="005F7004">
        <w:rPr>
          <w:rFonts w:ascii="Arial" w:hAnsi="Arial" w:cs="Arial"/>
          <w:lang w:val="es-ES_tradnl"/>
        </w:rPr>
        <w:t xml:space="preserve">para lograr condiciones de </w:t>
      </w:r>
      <w:r w:rsidR="00FE64C8" w:rsidRPr="005F7004">
        <w:rPr>
          <w:rFonts w:ascii="Arial" w:hAnsi="Arial" w:cs="Arial"/>
          <w:lang w:val="es-ES_tradnl"/>
        </w:rPr>
        <w:t>eficiencia, equidad, competitividad y disfrute de sus habitantes</w:t>
      </w:r>
      <w:r w:rsidR="008E55A9" w:rsidRPr="005F7004">
        <w:rPr>
          <w:rFonts w:ascii="Arial" w:hAnsi="Arial" w:cs="Arial"/>
          <w:lang w:val="es-ES_tradnl"/>
        </w:rPr>
        <w:t xml:space="preserve">. </w:t>
      </w:r>
      <w:r w:rsidRPr="005F7004">
        <w:rPr>
          <w:rFonts w:ascii="Arial" w:hAnsi="Arial" w:cs="Arial"/>
          <w:lang w:val="es-ES_tradnl"/>
        </w:rPr>
        <w:t xml:space="preserve">En </w:t>
      </w:r>
      <w:r w:rsidR="008E55A9" w:rsidRPr="005F7004">
        <w:rPr>
          <w:rFonts w:ascii="Arial" w:hAnsi="Arial" w:cs="Arial"/>
          <w:lang w:val="es-ES_tradnl"/>
        </w:rPr>
        <w:t>relación los instrumentos de planificación con que cuenta la ciudad, e</w:t>
      </w:r>
      <w:r w:rsidRPr="005F7004">
        <w:rPr>
          <w:rFonts w:ascii="Arial" w:hAnsi="Arial" w:cs="Arial"/>
          <w:lang w:val="es-ES_tradnl"/>
        </w:rPr>
        <w:t>l Plan de Ordenamiento Territorial (POT)</w:t>
      </w:r>
      <w:r w:rsidR="008E55A9" w:rsidRPr="005F7004">
        <w:rPr>
          <w:rFonts w:ascii="Arial" w:hAnsi="Arial" w:cs="Arial"/>
          <w:lang w:val="es-ES_tradnl"/>
        </w:rPr>
        <w:t xml:space="preserve"> contó con </w:t>
      </w:r>
      <w:r w:rsidR="00FE64C8" w:rsidRPr="005F7004">
        <w:rPr>
          <w:rFonts w:ascii="Arial" w:hAnsi="Arial" w:cs="Arial"/>
          <w:lang w:val="es-ES_tradnl"/>
        </w:rPr>
        <w:t xml:space="preserve">la revisión ordinaria de contenido de largo plazo </w:t>
      </w:r>
      <w:r w:rsidR="008E55A9" w:rsidRPr="005F7004">
        <w:rPr>
          <w:rFonts w:ascii="Arial" w:hAnsi="Arial" w:cs="Arial"/>
          <w:lang w:val="es-ES_tradnl"/>
        </w:rPr>
        <w:t xml:space="preserve">y </w:t>
      </w:r>
      <w:r w:rsidR="00FE64C8" w:rsidRPr="005F7004">
        <w:rPr>
          <w:rFonts w:ascii="Arial" w:hAnsi="Arial" w:cs="Arial"/>
          <w:lang w:val="es-ES_tradnl"/>
        </w:rPr>
        <w:t>fue adoptada mediante el Acuerdo N° 0373 de 2014</w:t>
      </w:r>
      <w:r w:rsidR="008E55A9" w:rsidRPr="005F7004">
        <w:rPr>
          <w:rFonts w:ascii="Arial" w:hAnsi="Arial" w:cs="Arial"/>
          <w:lang w:val="es-ES_tradnl"/>
        </w:rPr>
        <w:t>.</w:t>
      </w:r>
    </w:p>
    <w:p w:rsidR="007B6A2F" w:rsidRPr="005F7004" w:rsidRDefault="007B6A2F" w:rsidP="007B6A2F">
      <w:pPr>
        <w:pStyle w:val="ListParagraph"/>
        <w:spacing w:after="0" w:line="20" w:lineRule="atLeast"/>
        <w:ind w:left="792"/>
        <w:jc w:val="both"/>
        <w:rPr>
          <w:rFonts w:ascii="Arial" w:hAnsi="Arial" w:cs="Arial"/>
          <w:lang w:val="es-ES_tradnl"/>
        </w:rPr>
      </w:pPr>
    </w:p>
    <w:p w:rsidR="00976B55" w:rsidRPr="005F7004" w:rsidRDefault="007B6A2F" w:rsidP="00B365ED">
      <w:pPr>
        <w:pStyle w:val="ListParagraph"/>
        <w:numPr>
          <w:ilvl w:val="2"/>
          <w:numId w:val="1"/>
        </w:numPr>
        <w:spacing w:after="0" w:line="20" w:lineRule="atLeast"/>
        <w:jc w:val="both"/>
        <w:rPr>
          <w:rFonts w:ascii="Arial" w:hAnsi="Arial" w:cs="Arial"/>
          <w:lang w:val="es-CO"/>
        </w:rPr>
      </w:pPr>
      <w:r w:rsidRPr="005F7004">
        <w:rPr>
          <w:rFonts w:ascii="Arial" w:hAnsi="Arial" w:cs="Arial"/>
          <w:u w:val="single"/>
          <w:lang w:val="es-CO"/>
        </w:rPr>
        <w:t>Vivienda.</w:t>
      </w:r>
      <w:r w:rsidR="00144FD1" w:rsidRPr="005F7004">
        <w:rPr>
          <w:rFonts w:ascii="Arial" w:hAnsi="Arial" w:cs="Arial"/>
          <w:u w:val="single"/>
          <w:lang w:val="es-CO"/>
        </w:rPr>
        <w:t xml:space="preserve"> En</w:t>
      </w:r>
      <w:r w:rsidR="002F0DAA" w:rsidRPr="005F7004">
        <w:rPr>
          <w:rFonts w:ascii="Arial" w:hAnsi="Arial" w:cs="Arial"/>
          <w:u w:val="single"/>
          <w:lang w:val="es-CO"/>
        </w:rPr>
        <w:t xml:space="preserve"> el marco de la formulación del Plan de Ordenamiento Territorial, en el año 2000 se inició la investigación </w:t>
      </w:r>
      <w:r w:rsidR="002F0DAA" w:rsidRPr="005F7004">
        <w:rPr>
          <w:rFonts w:ascii="Arial" w:hAnsi="Arial" w:cs="Arial"/>
          <w:lang w:val="es-CO"/>
        </w:rPr>
        <w:t>“La gestión habitacional en el POT de Cali”, orientado hacia la consolidación del Plan Estratégico de Vivienda</w:t>
      </w:r>
      <w:r w:rsidR="00B365ED" w:rsidRPr="005F7004">
        <w:rPr>
          <w:rFonts w:ascii="Arial" w:hAnsi="Arial" w:cs="Arial"/>
          <w:lang w:val="es-CO"/>
        </w:rPr>
        <w:t>, con el objetivo de “contener el crecimiento del déficit cuantitativo de vivienda y reducir el déficit cualitativo, de manera que contribuya simultáneamente al mejoramiento de la calidad de vida de la población en condiciones de pobreza; a elevar la calidad urbanística de las áreas residenciales y a evitar el desborde del crecimiento urbano hacia áreas no urbanizables”</w:t>
      </w:r>
      <w:r w:rsidR="002F0DAA" w:rsidRPr="005F7004">
        <w:rPr>
          <w:rFonts w:ascii="Arial" w:hAnsi="Arial" w:cs="Arial"/>
          <w:lang w:val="es-CO"/>
        </w:rPr>
        <w:t>. En dicho estudio se realizó una caracterización</w:t>
      </w:r>
      <w:r w:rsidR="00B365ED" w:rsidRPr="005F7004">
        <w:rPr>
          <w:rFonts w:ascii="Arial" w:hAnsi="Arial" w:cs="Arial"/>
          <w:lang w:val="es-CO"/>
        </w:rPr>
        <w:t xml:space="preserve">, entre otros aspectos, sobre </w:t>
      </w:r>
      <w:r w:rsidR="002F0DAA" w:rsidRPr="005F7004">
        <w:rPr>
          <w:rFonts w:ascii="Arial" w:hAnsi="Arial" w:cs="Arial"/>
          <w:lang w:val="es-CO"/>
        </w:rPr>
        <w:t>las condiciones habitacionales, modalidades de propiedad, posibilidades de adquisición de vivienda</w:t>
      </w:r>
      <w:r w:rsidR="00B365ED" w:rsidRPr="005F7004">
        <w:rPr>
          <w:rFonts w:ascii="Arial" w:hAnsi="Arial" w:cs="Arial"/>
          <w:lang w:val="es-CO"/>
        </w:rPr>
        <w:t xml:space="preserve"> y deficits, abordando a parte de los cualitativos y cuantitativos, los de localización (relativos a vulnerabilidad y riesgo, contaminación y condiciones de inseguridad), deficiencia en la prestación de servicios públicos y espacio público. </w:t>
      </w:r>
      <w:r w:rsidR="002F0DAA" w:rsidRPr="005F7004">
        <w:rPr>
          <w:rFonts w:ascii="Arial" w:hAnsi="Arial" w:cs="Arial"/>
          <w:lang w:val="es-CO"/>
        </w:rPr>
        <w:t xml:space="preserve">Si bien este estudio arrojó importantes resultados para abordar el tema de la vivienda y soluciones en el mediano y largo plazo, </w:t>
      </w:r>
      <w:r w:rsidR="00B365ED" w:rsidRPr="005F7004">
        <w:rPr>
          <w:rFonts w:ascii="Arial" w:hAnsi="Arial" w:cs="Arial"/>
          <w:lang w:val="es-CO"/>
        </w:rPr>
        <w:t xml:space="preserve">este </w:t>
      </w:r>
      <w:r w:rsidR="002F0DAA" w:rsidRPr="005F7004">
        <w:rPr>
          <w:rFonts w:ascii="Arial" w:hAnsi="Arial" w:cs="Arial"/>
          <w:lang w:val="es-CO"/>
        </w:rPr>
        <w:t xml:space="preserve">no tuvo continuidad para lograr su adopción e implementación, por lo cual resulta un insumo que en la actualidad requeriría </w:t>
      </w:r>
      <w:r w:rsidR="002F0DAA" w:rsidRPr="005F7004">
        <w:rPr>
          <w:rFonts w:ascii="Arial" w:hAnsi="Arial" w:cs="Arial"/>
          <w:lang w:val="es-CO"/>
        </w:rPr>
        <w:lastRenderedPageBreak/>
        <w:t xml:space="preserve">ser actualizado. </w:t>
      </w:r>
      <w:r w:rsidR="00B365ED" w:rsidRPr="005F7004">
        <w:rPr>
          <w:rFonts w:ascii="Arial" w:hAnsi="Arial" w:cs="Arial"/>
          <w:lang w:val="es-CO"/>
        </w:rPr>
        <w:t xml:space="preserve">En cuanto al déficit de vivienda, Cali cuenta con un 14,22% de déficit cuantitativo y </w:t>
      </w:r>
      <w:r w:rsidR="00976B55" w:rsidRPr="005F7004">
        <w:rPr>
          <w:rFonts w:ascii="Arial" w:hAnsi="Arial" w:cs="Arial"/>
          <w:lang w:val="es-CO"/>
        </w:rPr>
        <w:t>3,88% cualitativo.</w:t>
      </w:r>
      <w:r w:rsidR="00976B55" w:rsidRPr="005F7004">
        <w:rPr>
          <w:rStyle w:val="FootnoteReference"/>
          <w:rFonts w:ascii="Arial" w:hAnsi="Arial" w:cs="Arial"/>
          <w:lang w:val="es-AR"/>
        </w:rPr>
        <w:footnoteReference w:id="1"/>
      </w:r>
      <w:r w:rsidR="00976B55" w:rsidRPr="005F7004">
        <w:rPr>
          <w:rFonts w:ascii="Arial" w:hAnsi="Arial" w:cs="Arial"/>
          <w:lang w:val="es-CO"/>
        </w:rPr>
        <w:t xml:space="preserve"> </w:t>
      </w:r>
    </w:p>
    <w:p w:rsidR="007B6A2F" w:rsidRPr="005F7004" w:rsidRDefault="007B6A2F" w:rsidP="007B6A2F">
      <w:pPr>
        <w:pStyle w:val="ListParagraph"/>
        <w:numPr>
          <w:ilvl w:val="2"/>
          <w:numId w:val="1"/>
        </w:numPr>
        <w:spacing w:after="0" w:line="20" w:lineRule="atLeast"/>
        <w:jc w:val="both"/>
        <w:rPr>
          <w:rFonts w:ascii="Arial" w:hAnsi="Arial" w:cs="Arial"/>
          <w:lang w:val="es-ES_tradnl"/>
        </w:rPr>
      </w:pPr>
      <w:r w:rsidRPr="005F7004">
        <w:rPr>
          <w:rFonts w:ascii="Arial" w:hAnsi="Arial" w:cs="Arial"/>
          <w:u w:val="single"/>
          <w:lang w:val="es-ES_tradnl"/>
        </w:rPr>
        <w:t>Espacios públicos y recreacionales.</w:t>
      </w:r>
      <w:r w:rsidRPr="005F7004">
        <w:rPr>
          <w:rFonts w:ascii="Arial" w:hAnsi="Arial" w:cs="Arial"/>
          <w:lang w:val="es-ES_tradnl"/>
        </w:rPr>
        <w:t xml:space="preserve"> En lo que respecta a los espacios públicos, </w:t>
      </w:r>
      <w:r w:rsidR="00976B55" w:rsidRPr="005F7004">
        <w:rPr>
          <w:rFonts w:ascii="Arial" w:hAnsi="Arial" w:cs="Arial"/>
          <w:lang w:val="es-CO"/>
        </w:rPr>
        <w:t>Cali cuenta con 27,6 Ha por cada 100.000 habitantes (2,76 m</w:t>
      </w:r>
      <w:r w:rsidR="00976B55" w:rsidRPr="005F7004">
        <w:rPr>
          <w:rFonts w:ascii="Arial" w:hAnsi="Arial" w:cs="Arial"/>
          <w:vertAlign w:val="superscript"/>
          <w:lang w:val="es-CO"/>
        </w:rPr>
        <w:t>2</w:t>
      </w:r>
      <w:r w:rsidR="00976B55" w:rsidRPr="005F7004">
        <w:rPr>
          <w:rFonts w:ascii="Arial" w:hAnsi="Arial" w:cs="Arial"/>
          <w:lang w:val="es-CO"/>
        </w:rPr>
        <w:t>/hab),</w:t>
      </w:r>
      <w:r w:rsidR="00976B55" w:rsidRPr="005F7004">
        <w:rPr>
          <w:rStyle w:val="FootnoteReference"/>
          <w:rFonts w:ascii="Arial" w:hAnsi="Arial" w:cs="Arial"/>
          <w:lang w:val="es-AR"/>
        </w:rPr>
        <w:footnoteReference w:id="2"/>
      </w:r>
      <w:r w:rsidR="00976B55" w:rsidRPr="005F7004">
        <w:rPr>
          <w:rFonts w:ascii="Arial" w:hAnsi="Arial" w:cs="Arial"/>
          <w:lang w:val="es-CO"/>
        </w:rPr>
        <w:t xml:space="preserve"> cifra que todavía se encuentra por debajo de la media nacional de 33,0 Ha por cada 100.000 habitantes (3,3 </w:t>
      </w:r>
      <w:r w:rsidR="005F7004" w:rsidRPr="005F7004">
        <w:rPr>
          <w:rFonts w:ascii="Arial" w:hAnsi="Arial" w:cs="Arial"/>
          <w:lang w:val="es-CO"/>
        </w:rPr>
        <w:t>m</w:t>
      </w:r>
      <w:r w:rsidR="005F7004" w:rsidRPr="005F7004">
        <w:rPr>
          <w:rFonts w:ascii="Arial" w:hAnsi="Arial" w:cs="Arial"/>
          <w:vertAlign w:val="superscript"/>
          <w:lang w:val="es-CO"/>
        </w:rPr>
        <w:t>2</w:t>
      </w:r>
      <w:r w:rsidR="00976B55" w:rsidRPr="005F7004">
        <w:rPr>
          <w:rFonts w:ascii="Arial" w:hAnsi="Arial" w:cs="Arial"/>
          <w:lang w:val="es-CO"/>
        </w:rPr>
        <w:t>/hab)</w:t>
      </w:r>
      <w:r w:rsidR="00976B55" w:rsidRPr="005F7004">
        <w:rPr>
          <w:rStyle w:val="FootnoteReference"/>
          <w:rFonts w:ascii="Arial" w:hAnsi="Arial" w:cs="Arial"/>
        </w:rPr>
        <w:footnoteReference w:id="3"/>
      </w:r>
      <w:r w:rsidR="00976B55" w:rsidRPr="005F7004">
        <w:rPr>
          <w:rFonts w:ascii="Arial" w:hAnsi="Arial" w:cs="Arial"/>
          <w:lang w:val="es-CO"/>
        </w:rPr>
        <w:t xml:space="preserve"> y muy distante </w:t>
      </w:r>
      <w:r w:rsidR="00976B55" w:rsidRPr="005F7004">
        <w:rPr>
          <w:rFonts w:ascii="Arial" w:hAnsi="Arial" w:cs="Arial"/>
          <w:lang w:val="es-ES_tradnl"/>
        </w:rPr>
        <w:t>del valor deseable en Colombia el Decreto No.1504 de1998</w:t>
      </w:r>
      <w:r w:rsidR="00976B55" w:rsidRPr="005F7004">
        <w:rPr>
          <w:rStyle w:val="FootnoteReference"/>
          <w:rFonts w:ascii="Arial" w:hAnsi="Arial" w:cs="Arial"/>
          <w:lang w:val="es-ES_tradnl"/>
        </w:rPr>
        <w:footnoteReference w:id="4"/>
      </w:r>
      <w:r w:rsidR="00976B55" w:rsidRPr="005F7004">
        <w:rPr>
          <w:rFonts w:ascii="Arial" w:hAnsi="Arial" w:cs="Arial"/>
          <w:lang w:val="es-ES_tradnl"/>
        </w:rPr>
        <w:t xml:space="preserve"> establece que el índice ideal de espacio público debe ser de 15m</w:t>
      </w:r>
      <w:r w:rsidR="00976B55" w:rsidRPr="005F7004">
        <w:rPr>
          <w:rFonts w:ascii="Arial" w:hAnsi="Arial" w:cs="Arial"/>
          <w:vertAlign w:val="superscript"/>
          <w:lang w:val="es-ES_tradnl"/>
        </w:rPr>
        <w:t>2</w:t>
      </w:r>
      <w:r w:rsidR="00976B55" w:rsidRPr="005F7004">
        <w:rPr>
          <w:rFonts w:ascii="Arial" w:hAnsi="Arial" w:cs="Arial"/>
          <w:lang w:val="es-ES_tradnl"/>
        </w:rPr>
        <w:t xml:space="preserve"> por habitante</w:t>
      </w:r>
      <w:r w:rsidR="00976B55" w:rsidRPr="005F7004">
        <w:rPr>
          <w:rStyle w:val="FootnoteReference"/>
          <w:rFonts w:ascii="Arial" w:hAnsi="Arial" w:cs="Arial"/>
          <w:lang w:val="es-ES_tradnl"/>
        </w:rPr>
        <w:footnoteReference w:id="5"/>
      </w:r>
      <w:r w:rsidR="00976B55" w:rsidRPr="005F7004">
        <w:rPr>
          <w:rFonts w:ascii="Arial" w:hAnsi="Arial" w:cs="Arial"/>
          <w:lang w:val="es-ES_tradnl"/>
        </w:rPr>
        <w:t xml:space="preserve">. </w:t>
      </w:r>
    </w:p>
    <w:p w:rsidR="007B6A2F" w:rsidRPr="005F7004" w:rsidRDefault="007B6A2F" w:rsidP="007B6A2F">
      <w:pPr>
        <w:spacing w:after="0" w:line="20" w:lineRule="atLeast"/>
        <w:jc w:val="both"/>
        <w:rPr>
          <w:rFonts w:ascii="Arial" w:hAnsi="Arial" w:cs="Arial"/>
          <w:lang w:val="es-ES_tradnl"/>
        </w:rPr>
      </w:pPr>
    </w:p>
    <w:p w:rsidR="007B6A2F" w:rsidRPr="005F7004" w:rsidRDefault="007B6A2F" w:rsidP="00FE64C8">
      <w:pPr>
        <w:pStyle w:val="ListParagraph"/>
        <w:numPr>
          <w:ilvl w:val="2"/>
          <w:numId w:val="1"/>
        </w:numPr>
        <w:autoSpaceDE w:val="0"/>
        <w:autoSpaceDN w:val="0"/>
        <w:adjustRightInd w:val="0"/>
        <w:spacing w:after="0" w:line="20" w:lineRule="atLeast"/>
        <w:jc w:val="both"/>
        <w:rPr>
          <w:rFonts w:ascii="Arial" w:hAnsi="Arial" w:cs="Arial"/>
          <w:lang w:val="es-ES_tradnl"/>
        </w:rPr>
      </w:pPr>
      <w:r w:rsidRPr="005F7004">
        <w:rPr>
          <w:rFonts w:ascii="Arial" w:hAnsi="Arial" w:cs="Arial"/>
          <w:u w:val="single"/>
          <w:lang w:val="es-ES_tradnl"/>
        </w:rPr>
        <w:t>Movilidad y transporte urbano.</w:t>
      </w:r>
      <w:r w:rsidRPr="005F7004">
        <w:rPr>
          <w:rFonts w:ascii="Arial" w:hAnsi="Arial" w:cs="Arial"/>
          <w:lang w:val="es-ES_tradnl"/>
        </w:rPr>
        <w:t xml:space="preserve"> </w:t>
      </w:r>
      <w:r w:rsidR="004C5C64" w:rsidRPr="005F7004">
        <w:rPr>
          <w:rFonts w:ascii="Arial" w:hAnsi="Arial" w:cs="Arial"/>
          <w:lang w:val="es-ES_tradnl"/>
        </w:rPr>
        <w:t>En la actualidad la ciud</w:t>
      </w:r>
      <w:r w:rsidR="00FE64C8" w:rsidRPr="005F7004">
        <w:rPr>
          <w:rFonts w:ascii="Arial" w:hAnsi="Arial" w:cs="Arial"/>
          <w:lang w:val="es-ES_tradnl"/>
        </w:rPr>
        <w:t>ad se encuentra en proceso de fo</w:t>
      </w:r>
      <w:r w:rsidR="004C5C64" w:rsidRPr="005F7004">
        <w:rPr>
          <w:rFonts w:ascii="Arial" w:hAnsi="Arial" w:cs="Arial"/>
          <w:lang w:val="es-ES_tradnl"/>
        </w:rPr>
        <w:t>rmulacion de su Plan Integral de Movilidad Urbana – Visión 2026</w:t>
      </w:r>
      <w:r w:rsidR="00FE64C8" w:rsidRPr="005F7004">
        <w:rPr>
          <w:rFonts w:ascii="Arial" w:hAnsi="Arial" w:cs="Arial"/>
          <w:lang w:val="es-ES_tradnl"/>
        </w:rPr>
        <w:t xml:space="preserve"> (PIMU)</w:t>
      </w:r>
      <w:r w:rsidR="004C5C64" w:rsidRPr="005F7004">
        <w:rPr>
          <w:rFonts w:ascii="Arial" w:hAnsi="Arial" w:cs="Arial"/>
          <w:lang w:val="es-ES_tradnl"/>
        </w:rPr>
        <w:t>. En el marco de dicho plan, y según la La Ley 1083 de 2006 ‘Por medio de la cual se establecen algunas normas sobre planeación urbana sostenible y se dictan otras disposiciones’, se establecen tres aspectos fundamentales: (i) prelación a los modos alternativos de  transporte (peatón y bicicleta); (ii) prelación a los sistemas de transporte público con combustibles limpios; y (iii) decisiones deberán estar basadas en un Plan de Movilidad Urbana</w:t>
      </w:r>
      <w:r w:rsidR="00FE64C8" w:rsidRPr="005F7004">
        <w:rPr>
          <w:rFonts w:ascii="Arial" w:hAnsi="Arial" w:cs="Arial"/>
          <w:lang w:val="es-ES_tradnl"/>
        </w:rPr>
        <w:t xml:space="preserve">, en concordancia con el </w:t>
      </w:r>
      <w:r w:rsidR="004C5C64" w:rsidRPr="005F7004">
        <w:rPr>
          <w:rFonts w:ascii="Arial" w:hAnsi="Arial" w:cs="Arial"/>
          <w:lang w:val="es-ES_tradnl"/>
        </w:rPr>
        <w:t>Plan de Desarrollo</w:t>
      </w:r>
      <w:r w:rsidR="00FE64C8" w:rsidRPr="005F7004">
        <w:rPr>
          <w:rFonts w:ascii="Arial" w:hAnsi="Arial" w:cs="Arial"/>
          <w:lang w:val="es-ES_tradnl"/>
        </w:rPr>
        <w:t xml:space="preserve"> que propone un territorio con un sistema de movilidad, donde se respete el peatón y tenga prioridad el transporte público y los medios alternativos sobre el automóvil particular.</w:t>
      </w:r>
      <w:r w:rsidR="004C5C64" w:rsidRPr="005F7004">
        <w:rPr>
          <w:rFonts w:ascii="Arial" w:hAnsi="Arial" w:cs="Arial"/>
          <w:lang w:val="es-ES_tradnl"/>
        </w:rPr>
        <w:t xml:space="preserve"> </w:t>
      </w:r>
    </w:p>
    <w:p w:rsidR="007B6A2F" w:rsidRPr="005F7004" w:rsidRDefault="007B6A2F" w:rsidP="007B6A2F">
      <w:pPr>
        <w:pStyle w:val="ListParagraph"/>
        <w:autoSpaceDE w:val="0"/>
        <w:autoSpaceDN w:val="0"/>
        <w:adjustRightInd w:val="0"/>
        <w:spacing w:after="0" w:line="20" w:lineRule="atLeast"/>
        <w:ind w:left="1224"/>
        <w:jc w:val="both"/>
        <w:rPr>
          <w:rFonts w:ascii="Arial" w:hAnsi="Arial" w:cs="Arial"/>
          <w:lang w:val="es-ES_tradnl"/>
        </w:rPr>
      </w:pPr>
    </w:p>
    <w:p w:rsidR="00F60802" w:rsidRPr="005F7004" w:rsidRDefault="007B6A2F" w:rsidP="00B365ED">
      <w:pPr>
        <w:pStyle w:val="ListParagraph"/>
        <w:numPr>
          <w:ilvl w:val="1"/>
          <w:numId w:val="1"/>
        </w:numPr>
        <w:spacing w:after="0" w:line="20" w:lineRule="atLeast"/>
        <w:jc w:val="both"/>
        <w:rPr>
          <w:rFonts w:ascii="Arial" w:hAnsi="Arial" w:cs="Arial"/>
          <w:lang w:val="es-ES_tradnl"/>
        </w:rPr>
      </w:pPr>
      <w:r w:rsidRPr="005F7004">
        <w:rPr>
          <w:rFonts w:ascii="Arial" w:hAnsi="Arial" w:cs="Arial"/>
          <w:u w:val="single"/>
          <w:lang w:val="es-ES_tradnl"/>
        </w:rPr>
        <w:t>Servicios Sociales</w:t>
      </w:r>
      <w:r w:rsidR="005F7004" w:rsidRPr="005F7004">
        <w:rPr>
          <w:rFonts w:ascii="Arial" w:hAnsi="Arial" w:cs="Arial"/>
          <w:u w:val="single"/>
          <w:lang w:val="es-ES_tradnl"/>
        </w:rPr>
        <w:t xml:space="preserve"> (educación)</w:t>
      </w:r>
      <w:r w:rsidRPr="005F7004">
        <w:rPr>
          <w:rFonts w:ascii="Arial" w:hAnsi="Arial" w:cs="Arial"/>
          <w:u w:val="single"/>
          <w:lang w:val="es-ES_tradnl"/>
        </w:rPr>
        <w:t>:</w:t>
      </w:r>
      <w:r w:rsidRPr="005F7004">
        <w:rPr>
          <w:rFonts w:ascii="Arial" w:hAnsi="Arial" w:cs="Arial"/>
          <w:lang w:val="es-ES_tradnl"/>
        </w:rPr>
        <w:t xml:space="preserve"> </w:t>
      </w:r>
      <w:r w:rsidR="00F60802" w:rsidRPr="005F7004">
        <w:rPr>
          <w:rFonts w:ascii="Arial" w:hAnsi="Arial" w:cs="Arial"/>
          <w:bCs/>
          <w:lang w:val="es-CO"/>
        </w:rPr>
        <w:t>Una</w:t>
      </w:r>
      <w:r w:rsidR="00F60802" w:rsidRPr="005F7004">
        <w:rPr>
          <w:rFonts w:ascii="Arial" w:hAnsi="Arial" w:cs="Arial"/>
          <w:bCs/>
          <w:lang w:val="es-CO" w:bidi="si-LK"/>
        </w:rPr>
        <w:t xml:space="preserve"> de las principales restricciones que debe afrontar últimamente el diseño de política educativa en materia de acceso se relaciona con la poca confiabilidad de las proyecciones de </w:t>
      </w:r>
      <w:r w:rsidR="00F60802" w:rsidRPr="005F7004">
        <w:rPr>
          <w:rFonts w:ascii="Arial" w:hAnsi="Arial" w:cs="Arial"/>
          <w:lang w:val="es-ES_tradnl"/>
        </w:rPr>
        <w:t>población</w:t>
      </w:r>
      <w:r w:rsidR="00F60802" w:rsidRPr="005F7004">
        <w:rPr>
          <w:rFonts w:ascii="Arial" w:hAnsi="Arial" w:cs="Arial"/>
          <w:bCs/>
          <w:lang w:val="es-CO" w:bidi="si-LK"/>
        </w:rPr>
        <w:t xml:space="preserve"> del DANE. Después de 11 años de haberse realizado el último censo, </w:t>
      </w:r>
      <w:r w:rsidR="00F60802" w:rsidRPr="005F7004">
        <w:rPr>
          <w:rFonts w:ascii="Arial" w:hAnsi="Arial" w:cs="Arial"/>
          <w:lang w:val="es-CO" w:bidi="si-LK"/>
        </w:rPr>
        <w:t>buena</w:t>
      </w:r>
      <w:r w:rsidR="00F60802" w:rsidRPr="005F7004">
        <w:rPr>
          <w:rFonts w:ascii="Arial" w:hAnsi="Arial" w:cs="Arial"/>
          <w:bCs/>
          <w:lang w:val="es-CO" w:bidi="si-LK"/>
        </w:rPr>
        <w:t xml:space="preserve"> </w:t>
      </w:r>
      <w:r w:rsidR="00F60802" w:rsidRPr="005F7004">
        <w:rPr>
          <w:rFonts w:ascii="Arial" w:hAnsi="Arial" w:cs="Arial"/>
          <w:lang w:val="es-CO" w:bidi="si-LK"/>
        </w:rPr>
        <w:t>parte</w:t>
      </w:r>
      <w:r w:rsidR="00F60802" w:rsidRPr="005F7004">
        <w:rPr>
          <w:rFonts w:ascii="Arial" w:hAnsi="Arial" w:cs="Arial"/>
          <w:bCs/>
          <w:lang w:val="es-CO" w:bidi="si-LK"/>
        </w:rPr>
        <w:t xml:space="preserve"> de los cuales estuvo caracterizada por inusitados movimientos poblacionales internos, la utilidad de las proyecciones de población resulta limitada. Sin embargo, la inexistencia de fuentes de información alternativas sobre el tema obliga el empleo de estas proyecciones.</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5F7004" w:rsidRDefault="00F60802" w:rsidP="00B365ED">
      <w:pPr>
        <w:pStyle w:val="ListParagraph"/>
        <w:numPr>
          <w:ilvl w:val="2"/>
          <w:numId w:val="1"/>
        </w:numPr>
        <w:autoSpaceDE w:val="0"/>
        <w:autoSpaceDN w:val="0"/>
        <w:adjustRightInd w:val="0"/>
        <w:spacing w:after="0" w:line="20" w:lineRule="atLeast"/>
        <w:jc w:val="both"/>
        <w:rPr>
          <w:rFonts w:ascii="Arial" w:hAnsi="Arial" w:cs="Arial"/>
          <w:bCs/>
          <w:lang w:val="es-CO"/>
        </w:rPr>
      </w:pPr>
      <w:r w:rsidRPr="00F103AB">
        <w:rPr>
          <w:rFonts w:ascii="Arial" w:hAnsi="Arial" w:cs="Arial"/>
          <w:bCs/>
          <w:lang w:val="es-CO"/>
        </w:rPr>
        <w:t xml:space="preserve">Las </w:t>
      </w:r>
      <w:r w:rsidRPr="00F103AB">
        <w:rPr>
          <w:rFonts w:ascii="Arial" w:hAnsi="Arial" w:cs="Arial"/>
          <w:bCs/>
          <w:lang w:val="es-CO" w:bidi="si-LK"/>
        </w:rPr>
        <w:t>gráficas</w:t>
      </w:r>
      <w:r w:rsidRPr="00F103AB">
        <w:rPr>
          <w:rFonts w:ascii="Arial" w:hAnsi="Arial" w:cs="Arial"/>
          <w:bCs/>
          <w:lang w:val="es-CO"/>
        </w:rPr>
        <w:t xml:space="preserve"> siguientes muestran el comportamiento de la población en edad </w:t>
      </w:r>
      <w:r w:rsidRPr="005F7004">
        <w:rPr>
          <w:rFonts w:ascii="Arial" w:hAnsi="Arial" w:cs="Arial"/>
          <w:bCs/>
          <w:lang w:val="es-CO"/>
        </w:rPr>
        <w:t xml:space="preserve">escolar de Cali. La gráfica de la izquierda deja ver que entre 2011 y 2015 la población en edad escolar cae en un poco más de 11.000 </w:t>
      </w:r>
      <w:r w:rsidRPr="005F7004">
        <w:rPr>
          <w:rFonts w:ascii="Arial" w:hAnsi="Arial" w:cs="Arial"/>
          <w:lang w:val="es-CO" w:bidi="si-LK"/>
        </w:rPr>
        <w:t>habitantes</w:t>
      </w:r>
      <w:r w:rsidRPr="005F7004">
        <w:rPr>
          <w:rFonts w:ascii="Arial" w:hAnsi="Arial" w:cs="Arial"/>
          <w:bCs/>
          <w:lang w:val="es-CO"/>
        </w:rPr>
        <w:t xml:space="preserve">, caída que se concentra en la población entre 11 y 14 años, principalmente. Por otra parte, la gráfica de la </w:t>
      </w:r>
      <w:r w:rsidRPr="005F7004">
        <w:rPr>
          <w:rFonts w:ascii="Arial" w:hAnsi="Arial" w:cs="Arial"/>
          <w:lang w:val="es-ES_tradnl"/>
        </w:rPr>
        <w:t>derecha</w:t>
      </w:r>
      <w:r w:rsidRPr="005F7004">
        <w:rPr>
          <w:rFonts w:ascii="Arial" w:hAnsi="Arial" w:cs="Arial"/>
          <w:bCs/>
          <w:lang w:val="es-CO"/>
        </w:rPr>
        <w:t xml:space="preserve"> muestra la población de 2015 según sexo, en donde, en todos los casos, el número de hombres es ligeramente superior al de mujeres. Esto hace que el Índice de Paridad de Género se ubique por debajo de 1, en todos los casos.</w:t>
      </w:r>
    </w:p>
    <w:p w:rsidR="00F60802" w:rsidRPr="005F7004" w:rsidRDefault="00F60802" w:rsidP="00F60802">
      <w:pPr>
        <w:autoSpaceDE w:val="0"/>
        <w:autoSpaceDN w:val="0"/>
        <w:adjustRightInd w:val="0"/>
        <w:spacing w:after="0"/>
        <w:rPr>
          <w:rFonts w:ascii="Arial" w:hAnsi="Arial" w:cs="Arial"/>
          <w:lang w:val="es-CO" w:bidi="si-LK"/>
        </w:rPr>
      </w:pPr>
    </w:p>
    <w:p w:rsidR="0037192D" w:rsidRPr="005F7004" w:rsidRDefault="0037192D" w:rsidP="00F60802">
      <w:pPr>
        <w:autoSpaceDE w:val="0"/>
        <w:autoSpaceDN w:val="0"/>
        <w:adjustRightInd w:val="0"/>
        <w:spacing w:after="0"/>
        <w:jc w:val="center"/>
        <w:rPr>
          <w:rFonts w:ascii="Arial" w:hAnsi="Arial" w:cs="Arial"/>
          <w:b/>
          <w:bCs/>
          <w:i/>
          <w:iCs/>
          <w:lang w:val="es-CO" w:bidi="si-LK"/>
        </w:rPr>
      </w:pPr>
    </w:p>
    <w:p w:rsidR="0037192D" w:rsidRPr="005F7004" w:rsidRDefault="0037192D" w:rsidP="00F60802">
      <w:pPr>
        <w:autoSpaceDE w:val="0"/>
        <w:autoSpaceDN w:val="0"/>
        <w:adjustRightInd w:val="0"/>
        <w:spacing w:after="0"/>
        <w:jc w:val="center"/>
        <w:rPr>
          <w:rFonts w:ascii="Arial" w:hAnsi="Arial" w:cs="Arial"/>
          <w:b/>
          <w:bCs/>
          <w:i/>
          <w:iCs/>
          <w:lang w:val="es-CO" w:bidi="si-LK"/>
        </w:rPr>
      </w:pPr>
    </w:p>
    <w:p w:rsidR="0037192D" w:rsidRPr="005F7004" w:rsidRDefault="0037192D" w:rsidP="00F60802">
      <w:pPr>
        <w:autoSpaceDE w:val="0"/>
        <w:autoSpaceDN w:val="0"/>
        <w:adjustRightInd w:val="0"/>
        <w:spacing w:after="0"/>
        <w:jc w:val="center"/>
        <w:rPr>
          <w:rFonts w:ascii="Arial" w:hAnsi="Arial" w:cs="Arial"/>
          <w:b/>
          <w:bCs/>
          <w:i/>
          <w:iCs/>
          <w:lang w:val="es-CO" w:bidi="si-LK"/>
        </w:rPr>
      </w:pPr>
    </w:p>
    <w:p w:rsidR="0037192D" w:rsidRPr="005F7004" w:rsidRDefault="0037192D" w:rsidP="00F60802">
      <w:pPr>
        <w:autoSpaceDE w:val="0"/>
        <w:autoSpaceDN w:val="0"/>
        <w:adjustRightInd w:val="0"/>
        <w:spacing w:after="0"/>
        <w:jc w:val="center"/>
        <w:rPr>
          <w:rFonts w:ascii="Arial" w:hAnsi="Arial" w:cs="Arial"/>
          <w:b/>
          <w:bCs/>
          <w:i/>
          <w:iCs/>
          <w:lang w:val="es-CO" w:bidi="si-LK"/>
        </w:rPr>
      </w:pPr>
    </w:p>
    <w:p w:rsidR="0037192D" w:rsidRPr="005F7004" w:rsidRDefault="0037192D" w:rsidP="00F60802">
      <w:pPr>
        <w:autoSpaceDE w:val="0"/>
        <w:autoSpaceDN w:val="0"/>
        <w:adjustRightInd w:val="0"/>
        <w:spacing w:after="0"/>
        <w:jc w:val="center"/>
        <w:rPr>
          <w:rFonts w:ascii="Arial" w:hAnsi="Arial" w:cs="Arial"/>
          <w:b/>
          <w:bCs/>
          <w:i/>
          <w:iCs/>
          <w:lang w:val="es-CO" w:bidi="si-LK"/>
        </w:rPr>
      </w:pPr>
    </w:p>
    <w:p w:rsidR="00F60802" w:rsidRPr="005F7004" w:rsidRDefault="00B365ED" w:rsidP="00F60802">
      <w:pPr>
        <w:autoSpaceDE w:val="0"/>
        <w:autoSpaceDN w:val="0"/>
        <w:adjustRightInd w:val="0"/>
        <w:spacing w:after="0"/>
        <w:jc w:val="center"/>
        <w:rPr>
          <w:rFonts w:ascii="Arial" w:hAnsi="Arial" w:cs="Arial"/>
          <w:b/>
          <w:bCs/>
          <w:i/>
          <w:iCs/>
          <w:lang w:val="es-CO" w:bidi="si-LK"/>
        </w:rPr>
      </w:pPr>
      <w:r w:rsidRPr="005F7004">
        <w:rPr>
          <w:rFonts w:ascii="Arial" w:hAnsi="Arial" w:cs="Arial"/>
          <w:b/>
          <w:bCs/>
          <w:i/>
          <w:iCs/>
          <w:lang w:val="es-CO" w:bidi="si-LK"/>
        </w:rPr>
        <w:t xml:space="preserve">Gráfica No 1. </w:t>
      </w:r>
      <w:r w:rsidR="00F60802" w:rsidRPr="005F7004">
        <w:rPr>
          <w:rFonts w:ascii="Arial" w:hAnsi="Arial" w:cs="Arial"/>
          <w:b/>
          <w:bCs/>
          <w:i/>
          <w:iCs/>
          <w:lang w:val="es-CO" w:bidi="si-LK"/>
        </w:rPr>
        <w:t>Población en Edad Escolar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5F7004" w:rsidTr="00C06B88">
        <w:tc>
          <w:tcPr>
            <w:tcW w:w="4414" w:type="dxa"/>
          </w:tcPr>
          <w:p w:rsidR="00F60802" w:rsidRPr="005F7004" w:rsidRDefault="00F60802" w:rsidP="00C06B88">
            <w:pPr>
              <w:autoSpaceDE w:val="0"/>
              <w:autoSpaceDN w:val="0"/>
              <w:adjustRightInd w:val="0"/>
              <w:spacing w:line="276" w:lineRule="auto"/>
              <w:jc w:val="center"/>
              <w:rPr>
                <w:rFonts w:ascii="Arial" w:hAnsi="Arial" w:cs="Arial"/>
                <w:b/>
                <w:bCs/>
                <w:i/>
                <w:iCs/>
                <w:lang w:bidi="si-LK"/>
              </w:rPr>
            </w:pPr>
            <w:r w:rsidRPr="005F7004">
              <w:rPr>
                <w:rFonts w:ascii="Arial" w:hAnsi="Arial" w:cs="Arial"/>
                <w:b/>
                <w:bCs/>
                <w:i/>
                <w:iCs/>
                <w:lang w:bidi="si-LK"/>
              </w:rPr>
              <w:t xml:space="preserve">Proyecciones, 2011 – 2015 </w:t>
            </w:r>
          </w:p>
        </w:tc>
        <w:tc>
          <w:tcPr>
            <w:tcW w:w="4414" w:type="dxa"/>
          </w:tcPr>
          <w:p w:rsidR="00F60802" w:rsidRPr="005F7004" w:rsidRDefault="00F60802" w:rsidP="00C06B88">
            <w:pPr>
              <w:autoSpaceDE w:val="0"/>
              <w:autoSpaceDN w:val="0"/>
              <w:adjustRightInd w:val="0"/>
              <w:spacing w:line="276" w:lineRule="auto"/>
              <w:jc w:val="center"/>
              <w:rPr>
                <w:rFonts w:ascii="Arial" w:hAnsi="Arial" w:cs="Arial"/>
                <w:b/>
                <w:bCs/>
                <w:i/>
                <w:iCs/>
                <w:lang w:bidi="si-LK"/>
              </w:rPr>
            </w:pPr>
            <w:r w:rsidRPr="005F7004">
              <w:rPr>
                <w:rFonts w:ascii="Arial" w:hAnsi="Arial" w:cs="Arial"/>
                <w:b/>
                <w:bCs/>
                <w:i/>
                <w:iCs/>
                <w:lang w:bidi="si-LK"/>
              </w:rPr>
              <w:t>Por Sexo, 2015</w:t>
            </w:r>
          </w:p>
        </w:tc>
      </w:tr>
    </w:tbl>
    <w:p w:rsidR="00F60802" w:rsidRPr="005F7004" w:rsidRDefault="00F60802" w:rsidP="00F60802">
      <w:pPr>
        <w:autoSpaceDE w:val="0"/>
        <w:autoSpaceDN w:val="0"/>
        <w:adjustRightInd w:val="0"/>
        <w:spacing w:after="0"/>
        <w:jc w:val="center"/>
        <w:rPr>
          <w:rFonts w:ascii="Arial" w:hAnsi="Arial" w:cs="Arial"/>
          <w:lang w:bidi="si-LK"/>
        </w:rPr>
      </w:pPr>
      <w:r w:rsidRPr="005F7004">
        <w:rPr>
          <w:rFonts w:ascii="Arial" w:hAnsi="Arial" w:cs="Arial"/>
          <w:noProof/>
          <w:lang w:val="es-CO" w:eastAsia="es-CO"/>
        </w:rPr>
        <w:drawing>
          <wp:inline distT="0" distB="0" distL="0" distR="0">
            <wp:extent cx="2706392" cy="162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392" cy="1620000"/>
                    </a:xfrm>
                    <a:prstGeom prst="rect">
                      <a:avLst/>
                    </a:prstGeom>
                    <a:noFill/>
                  </pic:spPr>
                </pic:pic>
              </a:graphicData>
            </a:graphic>
          </wp:inline>
        </w:drawing>
      </w:r>
      <w:r w:rsidRPr="005F7004">
        <w:rPr>
          <w:rFonts w:ascii="Arial" w:hAnsi="Arial" w:cs="Arial"/>
          <w:noProof/>
          <w:lang w:val="es-CO" w:eastAsia="es-CO"/>
        </w:rPr>
        <w:drawing>
          <wp:inline distT="0" distB="0" distL="0" distR="0">
            <wp:extent cx="2546617" cy="1620000"/>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617" cy="1620000"/>
                    </a:xfrm>
                    <a:prstGeom prst="rect">
                      <a:avLst/>
                    </a:prstGeom>
                    <a:noFill/>
                  </pic:spPr>
                </pic:pic>
              </a:graphicData>
            </a:graphic>
          </wp:inline>
        </w:drawing>
      </w:r>
    </w:p>
    <w:p w:rsidR="00F60802" w:rsidRPr="005F7004" w:rsidRDefault="00F74456" w:rsidP="00F60802">
      <w:pPr>
        <w:autoSpaceDE w:val="0"/>
        <w:autoSpaceDN w:val="0"/>
        <w:adjustRightInd w:val="0"/>
        <w:spacing w:after="0"/>
        <w:jc w:val="both"/>
        <w:rPr>
          <w:rFonts w:ascii="Arial" w:hAnsi="Arial" w:cs="Arial"/>
          <w:lang w:val="es-CO" w:bidi="si-LK"/>
        </w:rPr>
      </w:pPr>
      <w:r w:rsidRPr="005F7004">
        <w:rPr>
          <w:rFonts w:ascii="Arial" w:hAnsi="Arial" w:cs="Arial"/>
          <w:lang w:val="es-CO" w:bidi="si-LK"/>
        </w:rPr>
        <w:t xml:space="preserve">      Fuente: Proyecciones de Población, DANE</w:t>
      </w:r>
    </w:p>
    <w:p w:rsidR="00F60802" w:rsidRPr="005F7004" w:rsidRDefault="00F60802" w:rsidP="00F60802">
      <w:pPr>
        <w:autoSpaceDE w:val="0"/>
        <w:autoSpaceDN w:val="0"/>
        <w:adjustRightInd w:val="0"/>
        <w:spacing w:after="0"/>
        <w:jc w:val="both"/>
        <w:rPr>
          <w:rFonts w:ascii="Arial" w:hAnsi="Arial" w:cs="Arial"/>
          <w:lang w:val="es-CO" w:bidi="si-LK"/>
        </w:rPr>
      </w:pPr>
    </w:p>
    <w:p w:rsidR="00F60802" w:rsidRPr="005F7004"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5F7004">
        <w:rPr>
          <w:rFonts w:ascii="Arial" w:hAnsi="Arial" w:cs="Arial"/>
          <w:b/>
          <w:lang w:val="es-CO"/>
        </w:rPr>
        <w:t>Matrícula</w:t>
      </w:r>
      <w:r w:rsidRPr="005F7004">
        <w:rPr>
          <w:rFonts w:ascii="Arial" w:hAnsi="Arial" w:cs="Arial"/>
          <w:b/>
          <w:bCs/>
          <w:lang w:val="es-CO" w:bidi="si-LK"/>
        </w:rPr>
        <w:t xml:space="preserve"> Total. </w:t>
      </w:r>
      <w:r w:rsidRPr="005F7004">
        <w:rPr>
          <w:rFonts w:ascii="Arial" w:hAnsi="Arial" w:cs="Arial"/>
          <w:lang w:val="es-CO" w:bidi="si-LK"/>
        </w:rPr>
        <w:t xml:space="preserve">Del lado de la oferta, al igual que el conjunto del país, Cali registra una reducción de la población </w:t>
      </w:r>
      <w:r w:rsidRPr="005F7004">
        <w:rPr>
          <w:rFonts w:ascii="Arial" w:hAnsi="Arial" w:cs="Arial"/>
          <w:bCs/>
          <w:lang w:val="es-CO"/>
        </w:rPr>
        <w:t>atendida</w:t>
      </w:r>
      <w:r w:rsidRPr="005F7004">
        <w:rPr>
          <w:rFonts w:ascii="Arial" w:hAnsi="Arial" w:cs="Arial"/>
          <w:lang w:val="es-CO" w:bidi="si-LK"/>
        </w:rPr>
        <w:t xml:space="preserve"> en lo que va corrido de la presente década. Entre 2011 y </w:t>
      </w:r>
      <w:r w:rsidRPr="005F7004">
        <w:rPr>
          <w:rFonts w:ascii="Arial" w:hAnsi="Arial" w:cs="Arial"/>
          <w:bCs/>
          <w:lang w:val="es-CO"/>
        </w:rPr>
        <w:t>2015</w:t>
      </w:r>
      <w:r w:rsidRPr="005F7004">
        <w:rPr>
          <w:rFonts w:ascii="Arial" w:hAnsi="Arial" w:cs="Arial"/>
          <w:lang w:val="es-CO" w:bidi="si-LK"/>
        </w:rPr>
        <w:t xml:space="preserve"> la matrícula total, oficial y no oficial, pasa de 458 mil a 402 mil estudiantes, significando una reducción del 12%. Primaria y secundaria, con 24 mil y 18 mil cupos menos en 2015, son los niveles educativos que más ven caer la matrícula. </w:t>
      </w:r>
    </w:p>
    <w:p w:rsidR="00F60802" w:rsidRPr="005F7004" w:rsidRDefault="00F60802" w:rsidP="00F60802">
      <w:pPr>
        <w:autoSpaceDE w:val="0"/>
        <w:autoSpaceDN w:val="0"/>
        <w:adjustRightInd w:val="0"/>
        <w:spacing w:after="0"/>
        <w:jc w:val="both"/>
        <w:rPr>
          <w:rFonts w:ascii="Arial" w:hAnsi="Arial" w:cs="Arial"/>
          <w:lang w:val="es-CO"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5F7004">
        <w:rPr>
          <w:rFonts w:ascii="Arial" w:hAnsi="Arial" w:cs="Arial"/>
          <w:lang w:val="es-CO" w:bidi="si-LK"/>
        </w:rPr>
        <w:t>En materia de equidad de género, la gráfica siguiente muestra cómo la matrícula registra un comportamiento diferente del de la población en edad escolar. Mientras en transición y primaria la población</w:t>
      </w:r>
      <w:r w:rsidRPr="00F103AB">
        <w:rPr>
          <w:rFonts w:ascii="Arial" w:hAnsi="Arial" w:cs="Arial"/>
          <w:lang w:val="es-CO" w:bidi="si-LK"/>
        </w:rPr>
        <w:t xml:space="preserve"> de niños y matriculados supera en 4 puntos porcentuales al </w:t>
      </w:r>
      <w:r w:rsidRPr="00B365ED">
        <w:rPr>
          <w:rFonts w:ascii="Arial" w:hAnsi="Arial" w:cs="Arial"/>
          <w:bCs/>
          <w:lang w:val="es-CO"/>
        </w:rPr>
        <w:t>de</w:t>
      </w:r>
      <w:r w:rsidRPr="00F103AB">
        <w:rPr>
          <w:rFonts w:ascii="Arial" w:hAnsi="Arial" w:cs="Arial"/>
          <w:lang w:val="es-CO" w:bidi="si-LK"/>
        </w:rPr>
        <w:t xml:space="preserve"> las </w:t>
      </w:r>
      <w:r w:rsidRPr="00F103AB">
        <w:rPr>
          <w:rFonts w:ascii="Arial" w:hAnsi="Arial" w:cs="Arial"/>
          <w:bCs/>
          <w:lang w:val="es-CO"/>
        </w:rPr>
        <w:t>niñas</w:t>
      </w:r>
      <w:r w:rsidRPr="00F103AB">
        <w:rPr>
          <w:rFonts w:ascii="Arial" w:hAnsi="Arial" w:cs="Arial"/>
          <w:lang w:val="es-CO" w:bidi="si-LK"/>
        </w:rPr>
        <w:t>, en secundaria y media es mayor la participación de las niñas que de los niños. Es especialmente llamativo el caso de media, en donde el número de niñas supera al de niños en casi un 20%.</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B365ED" w:rsidRDefault="00B365ED" w:rsidP="00F60802">
      <w:pPr>
        <w:autoSpaceDE w:val="0"/>
        <w:autoSpaceDN w:val="0"/>
        <w:adjustRightInd w:val="0"/>
        <w:spacing w:after="0"/>
        <w:jc w:val="center"/>
        <w:rPr>
          <w:rFonts w:ascii="Arial" w:hAnsi="Arial" w:cs="Arial"/>
          <w:b/>
          <w:bCs/>
          <w:i/>
          <w:iCs/>
          <w:sz w:val="18"/>
          <w:szCs w:val="18"/>
          <w:lang w:bidi="si-LK"/>
        </w:rPr>
      </w:pPr>
      <w:r w:rsidRPr="00B365ED">
        <w:rPr>
          <w:rFonts w:ascii="Arial" w:hAnsi="Arial" w:cs="Arial"/>
          <w:b/>
          <w:bCs/>
          <w:i/>
          <w:iCs/>
          <w:sz w:val="18"/>
          <w:szCs w:val="18"/>
          <w:lang w:val="es-CO" w:bidi="si-LK"/>
        </w:rPr>
        <w:t xml:space="preserve">Gráfica No 2. </w:t>
      </w:r>
      <w:r w:rsidR="00F60802" w:rsidRPr="00B365ED">
        <w:rPr>
          <w:rFonts w:ascii="Arial" w:hAnsi="Arial" w:cs="Arial"/>
          <w:b/>
          <w:bCs/>
          <w:i/>
          <w:iCs/>
          <w:sz w:val="18"/>
          <w:szCs w:val="18"/>
          <w:lang w:bidi="si-LK"/>
        </w:rPr>
        <w:t>Matrícula Total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B365ED" w:rsidTr="00C06B88">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 xml:space="preserve">2011 – 2015 </w:t>
            </w:r>
          </w:p>
        </w:tc>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Por Sexo, 2015</w:t>
            </w:r>
          </w:p>
        </w:tc>
      </w:tr>
    </w:tbl>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13621" cy="162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621"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2546617" cy="1620000"/>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6617" cy="1620000"/>
                    </a:xfrm>
                    <a:prstGeom prst="rect">
                      <a:avLst/>
                    </a:prstGeom>
                    <a:noFill/>
                  </pic:spPr>
                </pic:pic>
              </a:graphicData>
            </a:graphic>
          </wp:inline>
        </w:drawing>
      </w:r>
    </w:p>
    <w:p w:rsidR="00F60802" w:rsidRPr="00F103AB" w:rsidRDefault="00F60802" w:rsidP="00F60802">
      <w:pPr>
        <w:autoSpaceDE w:val="0"/>
        <w:autoSpaceDN w:val="0"/>
        <w:adjustRightInd w:val="0"/>
        <w:spacing w:after="0"/>
        <w:jc w:val="both"/>
        <w:rPr>
          <w:rFonts w:ascii="Arial" w:hAnsi="Arial" w:cs="Arial"/>
          <w:sz w:val="18"/>
          <w:szCs w:val="18"/>
          <w:lang w:bidi="si-LK"/>
        </w:rPr>
      </w:pPr>
      <w:r w:rsidRPr="00F103AB">
        <w:rPr>
          <w:rFonts w:ascii="Arial" w:hAnsi="Arial" w:cs="Arial"/>
          <w:sz w:val="18"/>
          <w:szCs w:val="18"/>
          <w:lang w:bidi="si-LK"/>
        </w:rPr>
        <w:t xml:space="preserve">      Fuente: SIMAT, MEN</w:t>
      </w:r>
    </w:p>
    <w:p w:rsidR="00F60802" w:rsidRPr="00F103AB" w:rsidRDefault="00F60802" w:rsidP="00F60802">
      <w:pPr>
        <w:autoSpaceDE w:val="0"/>
        <w:autoSpaceDN w:val="0"/>
        <w:adjustRightInd w:val="0"/>
        <w:spacing w:after="0"/>
        <w:jc w:val="both"/>
        <w:rPr>
          <w:rFonts w:ascii="Arial" w:hAnsi="Arial" w:cs="Arial"/>
          <w:lang w:bidi="si-LK"/>
        </w:rPr>
      </w:pPr>
    </w:p>
    <w:p w:rsidR="00F60802"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lang w:val="es-CO"/>
        </w:rPr>
        <w:t>Cobertura</w:t>
      </w:r>
      <w:r w:rsidRPr="00F103AB">
        <w:rPr>
          <w:rFonts w:ascii="Arial" w:hAnsi="Arial" w:cs="Arial"/>
          <w:b/>
          <w:bCs/>
          <w:lang w:val="es-CO" w:bidi="si-LK"/>
        </w:rPr>
        <w:t xml:space="preserve"> Bruta. </w:t>
      </w:r>
      <w:r w:rsidRPr="00F103AB">
        <w:rPr>
          <w:rFonts w:ascii="Arial" w:hAnsi="Arial" w:cs="Arial"/>
          <w:lang w:val="es-CO" w:bidi="si-LK"/>
        </w:rPr>
        <w:t xml:space="preserve">La cobertura bruta, al combinar la estructura de la población en edad </w:t>
      </w:r>
      <w:r w:rsidRPr="00B365ED">
        <w:rPr>
          <w:rFonts w:ascii="Arial" w:hAnsi="Arial" w:cs="Arial"/>
          <w:bCs/>
          <w:lang w:val="es-CO"/>
        </w:rPr>
        <w:t>escolar</w:t>
      </w:r>
      <w:r w:rsidRPr="00F103AB">
        <w:rPr>
          <w:rFonts w:ascii="Arial" w:hAnsi="Arial" w:cs="Arial"/>
          <w:lang w:val="es-CO" w:bidi="si-LK"/>
        </w:rPr>
        <w:t xml:space="preserve"> y de la matrícula, muestra que las diferencias entre niñas y niños se van aumentando, entendidas como una mayor participación de las niñas de las oportunidades educativas que brinda el municipio de Cali. Como lo muestra la gráfica siguiente, en transición y </w:t>
      </w:r>
      <w:r w:rsidRPr="00F103AB">
        <w:rPr>
          <w:rFonts w:ascii="Arial" w:hAnsi="Arial" w:cs="Arial"/>
          <w:lang w:val="es-CO" w:bidi="si-LK"/>
        </w:rPr>
        <w:lastRenderedPageBreak/>
        <w:t>primaria las tasas de participación de los niños y las niñas son muy similares. En secundaria la tasa de cobertura bruta para las niñas es un 3% superior a la de los niños. En media esa distancia crece al 21%, superior a la estimada para la matrícula.</w:t>
      </w:r>
    </w:p>
    <w:p w:rsidR="00B365ED" w:rsidRPr="00F103AB" w:rsidRDefault="00B365ED" w:rsidP="00B365ED">
      <w:pPr>
        <w:pStyle w:val="ListParagraph"/>
        <w:autoSpaceDE w:val="0"/>
        <w:autoSpaceDN w:val="0"/>
        <w:adjustRightInd w:val="0"/>
        <w:spacing w:after="0" w:line="20" w:lineRule="atLeast"/>
        <w:ind w:left="1224"/>
        <w:jc w:val="both"/>
        <w:rPr>
          <w:rFonts w:ascii="Arial" w:hAnsi="Arial" w:cs="Arial"/>
          <w:lang w:val="es-CO" w:bidi="si-LK"/>
        </w:rPr>
      </w:pPr>
    </w:p>
    <w:p w:rsidR="00F60802" w:rsidRPr="00F60802" w:rsidRDefault="00B365ED" w:rsidP="00B365ED">
      <w:pPr>
        <w:autoSpaceDE w:val="0"/>
        <w:autoSpaceDN w:val="0"/>
        <w:adjustRightInd w:val="0"/>
        <w:spacing w:after="0"/>
        <w:jc w:val="center"/>
        <w:rPr>
          <w:rFonts w:ascii="Arial" w:hAnsi="Arial" w:cs="Arial"/>
          <w:lang w:val="es-CO" w:bidi="si-LK"/>
        </w:rPr>
      </w:pPr>
      <w:r w:rsidRPr="00B365ED">
        <w:rPr>
          <w:rFonts w:ascii="Arial" w:hAnsi="Arial" w:cs="Arial"/>
          <w:b/>
          <w:bCs/>
          <w:i/>
          <w:iCs/>
          <w:sz w:val="18"/>
          <w:szCs w:val="18"/>
          <w:lang w:val="es-CO" w:bidi="si-LK"/>
        </w:rPr>
        <w:t xml:space="preserve">Gráfica No </w:t>
      </w:r>
      <w:r>
        <w:rPr>
          <w:rFonts w:ascii="Arial" w:hAnsi="Arial" w:cs="Arial"/>
          <w:b/>
          <w:bCs/>
          <w:i/>
          <w:iCs/>
          <w:sz w:val="18"/>
          <w:szCs w:val="18"/>
          <w:lang w:val="es-CO" w:bidi="si-LK"/>
        </w:rPr>
        <w:t>3. Cobertura bruta</w:t>
      </w:r>
    </w:p>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546617" cy="162000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6617" cy="1620000"/>
                    </a:xfrm>
                    <a:prstGeom prst="rect">
                      <a:avLst/>
                    </a:prstGeom>
                    <a:noFill/>
                  </pic:spPr>
                </pic:pic>
              </a:graphicData>
            </a:graphic>
          </wp:inline>
        </w:drawing>
      </w:r>
    </w:p>
    <w:p w:rsidR="00F60802" w:rsidRPr="00F103AB" w:rsidRDefault="00F60802" w:rsidP="00F60802">
      <w:pPr>
        <w:autoSpaceDE w:val="0"/>
        <w:autoSpaceDN w:val="0"/>
        <w:adjustRightInd w:val="0"/>
        <w:spacing w:after="0"/>
        <w:ind w:left="1816" w:firstLine="454"/>
        <w:jc w:val="both"/>
        <w:rPr>
          <w:rFonts w:ascii="Arial" w:hAnsi="Arial" w:cs="Arial"/>
          <w:sz w:val="18"/>
          <w:szCs w:val="18"/>
          <w:lang w:bidi="si-LK"/>
        </w:rPr>
      </w:pPr>
      <w:r w:rsidRPr="00F103AB">
        <w:rPr>
          <w:rFonts w:ascii="Arial" w:hAnsi="Arial" w:cs="Arial"/>
          <w:sz w:val="18"/>
          <w:szCs w:val="18"/>
          <w:lang w:bidi="si-LK"/>
        </w:rPr>
        <w:t xml:space="preserve">   Fuente: SIMAT, MEN</w:t>
      </w:r>
    </w:p>
    <w:p w:rsidR="00F60802" w:rsidRPr="00F103AB" w:rsidRDefault="00F60802" w:rsidP="00F60802">
      <w:pPr>
        <w:autoSpaceDE w:val="0"/>
        <w:autoSpaceDN w:val="0"/>
        <w:adjustRightInd w:val="0"/>
        <w:spacing w:after="0"/>
        <w:jc w:val="both"/>
        <w:rPr>
          <w:rFonts w:ascii="Arial" w:hAnsi="Arial" w:cs="Arial"/>
          <w:lang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lang w:val="es-CO"/>
        </w:rPr>
        <w:t>Cobertura</w:t>
      </w:r>
      <w:r w:rsidRPr="00F103AB">
        <w:rPr>
          <w:rFonts w:ascii="Arial" w:hAnsi="Arial" w:cs="Arial"/>
          <w:b/>
          <w:bCs/>
          <w:lang w:val="es-CO" w:bidi="si-LK"/>
        </w:rPr>
        <w:t xml:space="preserve"> Neta. </w:t>
      </w:r>
      <w:r w:rsidRPr="00F103AB">
        <w:rPr>
          <w:rFonts w:ascii="Arial" w:hAnsi="Arial" w:cs="Arial"/>
          <w:lang w:val="es-CO" w:bidi="si-LK"/>
        </w:rPr>
        <w:t xml:space="preserve">La tasa de cobertura neta por su parte, muestra a nivel general una caída prácticamente continua entre 2011 y 2015, para todos los niveles educativos. Caída que se sitúa entre 17 puntos para transición y 7 puntos porcentuales para primaria. Otro </w:t>
      </w:r>
      <w:r w:rsidRPr="00B365ED">
        <w:rPr>
          <w:rFonts w:ascii="Arial" w:hAnsi="Arial" w:cs="Arial"/>
          <w:bCs/>
          <w:lang w:val="es-CO"/>
        </w:rPr>
        <w:t>aspecto</w:t>
      </w:r>
      <w:r w:rsidRPr="00F103AB">
        <w:rPr>
          <w:rFonts w:ascii="Arial" w:hAnsi="Arial" w:cs="Arial"/>
          <w:lang w:val="es-CO" w:bidi="si-LK"/>
        </w:rPr>
        <w:t xml:space="preserve"> a destacar es que Cali, una de las 4 principales ciudades del país, registra tasas de cobertura neta por debajo del promedio nacional. Si se tiene en cuenta que tales tasas a nivel nacional son de 77% en transición, 88% en primaria, 74% en secundaria y 46% en media, para 2015 sólo la cobertura neta de las niñas en media superó el promedio nacional.</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lang w:val="es-CO" w:bidi="si-LK"/>
        </w:rPr>
        <w:t>En materia de equidad de género, se observa que en secundaria y media la brecha entre ni</w:t>
      </w:r>
      <w:r w:rsidRPr="00B365ED">
        <w:rPr>
          <w:rFonts w:ascii="Arial" w:hAnsi="Arial" w:cs="Arial"/>
          <w:bCs/>
          <w:lang w:val="es-CO"/>
        </w:rPr>
        <w:t>ñ</w:t>
      </w:r>
      <w:r w:rsidRPr="00F103AB">
        <w:rPr>
          <w:rFonts w:ascii="Arial" w:hAnsi="Arial" w:cs="Arial"/>
          <w:lang w:val="es-CO" w:bidi="si-LK"/>
        </w:rPr>
        <w:t>as y niños se amplia, llegando a 1,29 en media. Ello se explicaría porque los hombres tienen mayores niveles de extraedad.</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B365ED" w:rsidRDefault="00B365ED" w:rsidP="00F60802">
      <w:pPr>
        <w:autoSpaceDE w:val="0"/>
        <w:autoSpaceDN w:val="0"/>
        <w:adjustRightInd w:val="0"/>
        <w:spacing w:after="0"/>
        <w:jc w:val="center"/>
        <w:rPr>
          <w:rFonts w:ascii="Arial" w:hAnsi="Arial" w:cs="Arial"/>
          <w:b/>
          <w:bCs/>
          <w:i/>
          <w:iCs/>
          <w:sz w:val="18"/>
          <w:szCs w:val="18"/>
          <w:lang w:bidi="si-LK"/>
        </w:rPr>
      </w:pPr>
      <w:r w:rsidRPr="00B365ED">
        <w:rPr>
          <w:rFonts w:ascii="Arial" w:hAnsi="Arial" w:cs="Arial"/>
          <w:b/>
          <w:bCs/>
          <w:i/>
          <w:iCs/>
          <w:sz w:val="18"/>
          <w:szCs w:val="18"/>
          <w:lang w:val="es-CO" w:bidi="si-LK"/>
        </w:rPr>
        <w:t xml:space="preserve">Gráfica No 4. </w:t>
      </w:r>
      <w:r w:rsidR="00F60802" w:rsidRPr="00B365ED">
        <w:rPr>
          <w:rFonts w:ascii="Arial" w:hAnsi="Arial" w:cs="Arial"/>
          <w:b/>
          <w:bCs/>
          <w:i/>
          <w:iCs/>
          <w:sz w:val="18"/>
          <w:szCs w:val="18"/>
          <w:lang w:bidi="si-LK"/>
        </w:rPr>
        <w:t>Cobertura Neta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B365ED" w:rsidTr="00C06B88">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 xml:space="preserve">2011 – 2015 </w:t>
            </w:r>
          </w:p>
        </w:tc>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Por Sexo, 2015</w:t>
            </w:r>
          </w:p>
        </w:tc>
      </w:tr>
    </w:tbl>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6393" cy="162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6393"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2542556" cy="1620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2556" cy="1620000"/>
                    </a:xfrm>
                    <a:prstGeom prst="rect">
                      <a:avLst/>
                    </a:prstGeom>
                    <a:noFill/>
                  </pic:spPr>
                </pic:pic>
              </a:graphicData>
            </a:graphic>
          </wp:inline>
        </w:drawing>
      </w:r>
    </w:p>
    <w:p w:rsidR="00F60802" w:rsidRPr="00F103AB" w:rsidRDefault="00F60802" w:rsidP="00F60802">
      <w:pPr>
        <w:autoSpaceDE w:val="0"/>
        <w:autoSpaceDN w:val="0"/>
        <w:adjustRightInd w:val="0"/>
        <w:spacing w:after="0"/>
        <w:jc w:val="both"/>
        <w:rPr>
          <w:rFonts w:ascii="Arial" w:hAnsi="Arial" w:cs="Arial"/>
          <w:sz w:val="18"/>
          <w:szCs w:val="18"/>
          <w:lang w:bidi="si-LK"/>
        </w:rPr>
      </w:pPr>
      <w:r w:rsidRPr="00F103AB">
        <w:rPr>
          <w:rFonts w:ascii="Arial" w:hAnsi="Arial" w:cs="Arial"/>
          <w:sz w:val="18"/>
          <w:szCs w:val="18"/>
          <w:lang w:bidi="si-LK"/>
        </w:rPr>
        <w:t xml:space="preserve">      Fuente: SIMAT, MEN</w:t>
      </w:r>
    </w:p>
    <w:p w:rsidR="00F60802" w:rsidRPr="00F103AB" w:rsidRDefault="00F60802" w:rsidP="00F60802">
      <w:pPr>
        <w:autoSpaceDE w:val="0"/>
        <w:autoSpaceDN w:val="0"/>
        <w:adjustRightInd w:val="0"/>
        <w:spacing w:after="0"/>
        <w:jc w:val="both"/>
        <w:rPr>
          <w:rFonts w:ascii="Arial" w:hAnsi="Arial" w:cs="Arial"/>
          <w:lang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lang w:val="es-CO"/>
        </w:rPr>
        <w:t>Asistencia</w:t>
      </w:r>
      <w:r w:rsidRPr="00F103AB">
        <w:rPr>
          <w:rFonts w:ascii="Arial" w:hAnsi="Arial" w:cs="Arial"/>
          <w:b/>
          <w:bCs/>
          <w:lang w:val="es-CO" w:bidi="si-LK"/>
        </w:rPr>
        <w:t xml:space="preserve"> Escolar. </w:t>
      </w:r>
      <w:r w:rsidRPr="00F103AB">
        <w:rPr>
          <w:rFonts w:ascii="Arial" w:hAnsi="Arial" w:cs="Arial"/>
          <w:lang w:val="es-CO" w:bidi="si-LK"/>
        </w:rPr>
        <w:t xml:space="preserve">Al explorar el acceso a la educación, no desde el nivel educativo sino desde la edad del estudiante, la primera gráfica muestra una disminución muy importante de la participación  que, salvo el nivel de media, se situó en 10 puntos porcentuales entre el inicio y el final del período </w:t>
      </w:r>
      <w:r w:rsidRPr="00F103AB">
        <w:rPr>
          <w:rFonts w:ascii="Arial" w:hAnsi="Arial" w:cs="Arial"/>
          <w:lang w:val="es-CO" w:bidi="si-LK"/>
        </w:rPr>
        <w:lastRenderedPageBreak/>
        <w:t xml:space="preserve">analizado. Más aún, en 2015 la asistencia escolar en Cali se ubicó significativamente por debajo de los promedios nacionales. A nivel nacional los resultados de 2015 fueron de 77%, 88%, 90% y 77% en transición, primaria, secundaria y media, respectivamente. </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lang w:val="es-CO" w:bidi="si-LK"/>
        </w:rPr>
        <w:t>En cuanto a las diferencias en la participación de niños y niñas, solamente el nivel de media muestra una ventaja importante de las niñas (1,08). Esto confirmaría lo afirmado anteriormente respecto de las tasa de extraedad, que serían mayores entre los niños, impactando en mayor proporción el comportamiento de las tasas de cobertura.</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B365ED" w:rsidRDefault="00B365ED" w:rsidP="00F60802">
      <w:pPr>
        <w:autoSpaceDE w:val="0"/>
        <w:autoSpaceDN w:val="0"/>
        <w:adjustRightInd w:val="0"/>
        <w:spacing w:after="0"/>
        <w:jc w:val="center"/>
        <w:rPr>
          <w:rFonts w:ascii="Arial" w:hAnsi="Arial" w:cs="Arial"/>
          <w:b/>
          <w:bCs/>
          <w:i/>
          <w:iCs/>
          <w:sz w:val="18"/>
          <w:szCs w:val="18"/>
          <w:lang w:bidi="si-LK"/>
        </w:rPr>
      </w:pPr>
      <w:r w:rsidRPr="00B365ED">
        <w:rPr>
          <w:rFonts w:ascii="Arial" w:hAnsi="Arial" w:cs="Arial"/>
          <w:b/>
          <w:bCs/>
          <w:i/>
          <w:iCs/>
          <w:sz w:val="18"/>
          <w:szCs w:val="18"/>
          <w:lang w:val="es-CO" w:bidi="si-LK"/>
        </w:rPr>
        <w:t xml:space="preserve">Gráfica No 5. </w:t>
      </w:r>
      <w:r w:rsidR="00F60802" w:rsidRPr="00B365ED">
        <w:rPr>
          <w:rFonts w:ascii="Arial" w:hAnsi="Arial" w:cs="Arial"/>
          <w:b/>
          <w:bCs/>
          <w:i/>
          <w:iCs/>
          <w:sz w:val="18"/>
          <w:szCs w:val="18"/>
          <w:lang w:bidi="si-LK"/>
        </w:rPr>
        <w:t>Asistencia Escolar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B365ED" w:rsidTr="00C06B88">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 xml:space="preserve">2011 – 2015 </w:t>
            </w:r>
          </w:p>
        </w:tc>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Por Sexo, 2015</w:t>
            </w:r>
          </w:p>
        </w:tc>
      </w:tr>
    </w:tbl>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6393" cy="162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6393"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2538045" cy="1620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8045" cy="1620000"/>
                    </a:xfrm>
                    <a:prstGeom prst="rect">
                      <a:avLst/>
                    </a:prstGeom>
                    <a:noFill/>
                  </pic:spPr>
                </pic:pic>
              </a:graphicData>
            </a:graphic>
          </wp:inline>
        </w:drawing>
      </w:r>
    </w:p>
    <w:p w:rsidR="00F60802" w:rsidRPr="00F103AB" w:rsidRDefault="00F60802" w:rsidP="00F60802">
      <w:pPr>
        <w:autoSpaceDE w:val="0"/>
        <w:autoSpaceDN w:val="0"/>
        <w:adjustRightInd w:val="0"/>
        <w:spacing w:after="0"/>
        <w:jc w:val="both"/>
        <w:rPr>
          <w:rFonts w:ascii="Arial" w:hAnsi="Arial" w:cs="Arial"/>
          <w:sz w:val="18"/>
          <w:szCs w:val="18"/>
          <w:lang w:bidi="si-LK"/>
        </w:rPr>
      </w:pPr>
      <w:r w:rsidRPr="00F103AB">
        <w:rPr>
          <w:rFonts w:ascii="Arial" w:hAnsi="Arial" w:cs="Arial"/>
          <w:sz w:val="18"/>
          <w:szCs w:val="18"/>
          <w:lang w:bidi="si-LK"/>
        </w:rPr>
        <w:t xml:space="preserve">      Fuente: SIMAT, MEN</w:t>
      </w:r>
    </w:p>
    <w:p w:rsidR="00F60802" w:rsidRDefault="00F60802" w:rsidP="00F60802">
      <w:pPr>
        <w:autoSpaceDE w:val="0"/>
        <w:autoSpaceDN w:val="0"/>
        <w:adjustRightInd w:val="0"/>
        <w:spacing w:after="0"/>
        <w:jc w:val="both"/>
        <w:rPr>
          <w:rFonts w:ascii="Arial" w:hAnsi="Arial" w:cs="Arial"/>
          <w:lang w:bidi="si-LK"/>
        </w:rPr>
      </w:pPr>
    </w:p>
    <w:p w:rsidR="00B365ED" w:rsidRPr="00F103AB" w:rsidRDefault="00B365ED" w:rsidP="00F60802">
      <w:pPr>
        <w:autoSpaceDE w:val="0"/>
        <w:autoSpaceDN w:val="0"/>
        <w:adjustRightInd w:val="0"/>
        <w:spacing w:after="0"/>
        <w:jc w:val="both"/>
        <w:rPr>
          <w:rFonts w:ascii="Arial" w:hAnsi="Arial" w:cs="Arial"/>
          <w:lang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bCs/>
          <w:lang w:val="es-CO" w:bidi="si-LK"/>
        </w:rPr>
        <w:t xml:space="preserve">Matrícula por Fuente. </w:t>
      </w:r>
      <w:r w:rsidRPr="00F103AB">
        <w:rPr>
          <w:rFonts w:ascii="Arial" w:hAnsi="Arial" w:cs="Arial"/>
          <w:lang w:val="es-CO" w:bidi="si-LK"/>
        </w:rPr>
        <w:t>Explorando el comportamiento de la matrícula por fuente de financiación, la gráfica siguiente muestra una reducción de la matrícula de aproximadamente 24 mil estudiantes, tanto en el sector no oficial como en el oficial. La matrícula privada financiada con recursos oficiales, mediante la contratación de la prestación del servicio, cae en aproximadamente 8 mil estudiantes, entre 2011 y 2015. Por otra parte, la gráfica de la derecha deja ver los altos niveles de contratación de la prestación del servicio educativo en la ciudad de Cali. Mientras que, a nivel nacional, la contratación de la prestación del servicio educativo con establecimientos educativos privados representa tan sólo el 4% del total de la matrícula, en Cali esta participación sube al 25%. En otras palabras, uno de cada cuatro niños que estudian en Cali va a un colegio privado con el cual el municipio contrató la prestación del servicio, mediante la figura de subsidios. El alto nivel de la contratación del servicio con establecimientos educativos privados constituiría justificación de un proyecto de infraestructura educativa.</w:t>
      </w:r>
    </w:p>
    <w:p w:rsidR="00F60802" w:rsidRDefault="00F60802" w:rsidP="00F60802">
      <w:pPr>
        <w:autoSpaceDE w:val="0"/>
        <w:autoSpaceDN w:val="0"/>
        <w:adjustRightInd w:val="0"/>
        <w:spacing w:after="0"/>
        <w:jc w:val="both"/>
        <w:rPr>
          <w:rFonts w:ascii="Arial" w:hAnsi="Arial" w:cs="Arial"/>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Default="00B365ED" w:rsidP="00F60802">
      <w:pPr>
        <w:autoSpaceDE w:val="0"/>
        <w:autoSpaceDN w:val="0"/>
        <w:adjustRightInd w:val="0"/>
        <w:spacing w:after="0"/>
        <w:jc w:val="both"/>
        <w:rPr>
          <w:rFonts w:ascii="Arial" w:hAnsi="Arial" w:cs="Arial"/>
          <w:b/>
          <w:bCs/>
          <w:i/>
          <w:iCs/>
          <w:sz w:val="18"/>
          <w:szCs w:val="18"/>
          <w:lang w:val="es-CO" w:bidi="si-LK"/>
        </w:rPr>
      </w:pPr>
    </w:p>
    <w:p w:rsidR="00B365ED" w:rsidRPr="00F60802" w:rsidRDefault="00B365ED" w:rsidP="00B365ED">
      <w:pPr>
        <w:autoSpaceDE w:val="0"/>
        <w:autoSpaceDN w:val="0"/>
        <w:adjustRightInd w:val="0"/>
        <w:spacing w:after="0"/>
        <w:jc w:val="center"/>
        <w:rPr>
          <w:rFonts w:ascii="Arial" w:hAnsi="Arial" w:cs="Arial"/>
          <w:lang w:val="es-CO" w:bidi="si-LK"/>
        </w:rPr>
      </w:pPr>
      <w:r w:rsidRPr="00B365ED">
        <w:rPr>
          <w:rFonts w:ascii="Arial" w:hAnsi="Arial" w:cs="Arial"/>
          <w:b/>
          <w:bCs/>
          <w:i/>
          <w:iCs/>
          <w:sz w:val="18"/>
          <w:szCs w:val="18"/>
          <w:lang w:val="es-CO" w:bidi="si-LK"/>
        </w:rPr>
        <w:t xml:space="preserve">Gráfica No </w:t>
      </w:r>
      <w:r>
        <w:rPr>
          <w:rFonts w:ascii="Arial" w:hAnsi="Arial" w:cs="Arial"/>
          <w:b/>
          <w:bCs/>
          <w:i/>
          <w:iCs/>
          <w:sz w:val="18"/>
          <w:szCs w:val="18"/>
          <w:lang w:val="es-CO" w:bidi="si-LK"/>
        </w:rPr>
        <w:t>6. Matrícula por fuente</w:t>
      </w:r>
    </w:p>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2077" cy="162000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2077"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1654653" cy="1440000"/>
            <wp:effectExtent l="0" t="0" r="317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626" t="2767" r="9435" b="4703"/>
                    <a:stretch/>
                  </pic:blipFill>
                  <pic:spPr bwMode="auto">
                    <a:xfrm>
                      <a:off x="0" y="0"/>
                      <a:ext cx="1654653"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F60802" w:rsidRPr="00F103AB" w:rsidRDefault="00F60802" w:rsidP="00F60802">
      <w:pPr>
        <w:autoSpaceDE w:val="0"/>
        <w:autoSpaceDN w:val="0"/>
        <w:adjustRightInd w:val="0"/>
        <w:spacing w:after="0"/>
        <w:jc w:val="both"/>
        <w:rPr>
          <w:rFonts w:ascii="Arial" w:hAnsi="Arial" w:cs="Arial"/>
          <w:sz w:val="18"/>
          <w:szCs w:val="18"/>
          <w:lang w:bidi="si-LK"/>
        </w:rPr>
      </w:pPr>
      <w:r w:rsidRPr="00F103AB">
        <w:rPr>
          <w:rFonts w:ascii="Arial" w:hAnsi="Arial" w:cs="Arial"/>
          <w:sz w:val="18"/>
          <w:szCs w:val="18"/>
          <w:lang w:bidi="si-LK"/>
        </w:rPr>
        <w:t xml:space="preserve">                    Fuente: SIMAT, MEN</w:t>
      </w:r>
    </w:p>
    <w:p w:rsidR="00F60802" w:rsidRPr="00F103AB" w:rsidRDefault="00F60802" w:rsidP="00F60802">
      <w:pPr>
        <w:autoSpaceDE w:val="0"/>
        <w:autoSpaceDN w:val="0"/>
        <w:adjustRightInd w:val="0"/>
        <w:spacing w:after="0"/>
        <w:jc w:val="both"/>
        <w:rPr>
          <w:rFonts w:ascii="Arial" w:hAnsi="Arial" w:cs="Arial"/>
          <w:lang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bCs/>
          <w:lang w:val="es-CO" w:bidi="si-LK"/>
        </w:rPr>
        <w:t xml:space="preserve">Estructura Institucional. </w:t>
      </w:r>
      <w:r w:rsidRPr="00F103AB">
        <w:rPr>
          <w:rFonts w:ascii="Arial" w:hAnsi="Arial" w:cs="Arial"/>
          <w:lang w:val="es-CO" w:bidi="si-LK"/>
        </w:rPr>
        <w:t xml:space="preserve">Según la matrícula reportada al SIMAT en 2015, en Cali la oferta educativa está organizada en 93 instituciones educativas, a las cuales pertenecen las 340 sedes en que se distribuye dicha oferta. Ello significa que, en promedio, cada institución educativa estaría conformada por 4 sedes, aproximadamente. Los establecimientos educativos oficiales ascienden a 715, los cuales cuentan con una sede única. </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B365ED" w:rsidRDefault="00B365ED" w:rsidP="00F60802">
      <w:pPr>
        <w:autoSpaceDE w:val="0"/>
        <w:autoSpaceDN w:val="0"/>
        <w:adjustRightInd w:val="0"/>
        <w:spacing w:after="0"/>
        <w:jc w:val="center"/>
        <w:rPr>
          <w:rFonts w:ascii="Arial" w:hAnsi="Arial" w:cs="Arial"/>
          <w:b/>
          <w:bCs/>
          <w:i/>
          <w:iCs/>
          <w:sz w:val="18"/>
          <w:szCs w:val="18"/>
          <w:lang w:bidi="si-LK"/>
        </w:rPr>
      </w:pPr>
      <w:r w:rsidRPr="00B365ED">
        <w:rPr>
          <w:rFonts w:ascii="Arial" w:hAnsi="Arial" w:cs="Arial"/>
          <w:b/>
          <w:bCs/>
          <w:i/>
          <w:iCs/>
          <w:sz w:val="18"/>
          <w:szCs w:val="18"/>
          <w:lang w:val="es-CO" w:bidi="si-LK"/>
        </w:rPr>
        <w:t xml:space="preserve">Gráfica No 7. </w:t>
      </w:r>
      <w:r w:rsidR="00F60802" w:rsidRPr="00B365ED">
        <w:rPr>
          <w:rFonts w:ascii="Arial" w:hAnsi="Arial" w:cs="Arial"/>
          <w:b/>
          <w:bCs/>
          <w:i/>
          <w:iCs/>
          <w:sz w:val="18"/>
          <w:szCs w:val="18"/>
          <w:lang w:bidi="si-LK"/>
        </w:rPr>
        <w:t>Estructura Institucional</w:t>
      </w:r>
    </w:p>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3007103" cy="1800000"/>
            <wp:effectExtent l="0" t="0" r="317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07103" cy="1800000"/>
                    </a:xfrm>
                    <a:prstGeom prst="rect">
                      <a:avLst/>
                    </a:prstGeom>
                    <a:noFill/>
                  </pic:spPr>
                </pic:pic>
              </a:graphicData>
            </a:graphic>
          </wp:inline>
        </w:drawing>
      </w:r>
    </w:p>
    <w:p w:rsidR="00F60802" w:rsidRPr="00F103AB" w:rsidRDefault="00F60802" w:rsidP="00F60802">
      <w:pPr>
        <w:autoSpaceDE w:val="0"/>
        <w:autoSpaceDN w:val="0"/>
        <w:adjustRightInd w:val="0"/>
        <w:spacing w:after="0"/>
        <w:ind w:left="1362" w:firstLine="454"/>
        <w:jc w:val="both"/>
        <w:rPr>
          <w:rFonts w:ascii="Arial" w:hAnsi="Arial" w:cs="Arial"/>
          <w:sz w:val="18"/>
          <w:szCs w:val="18"/>
          <w:lang w:bidi="si-LK"/>
        </w:rPr>
      </w:pPr>
      <w:r w:rsidRPr="00F103AB">
        <w:rPr>
          <w:rFonts w:ascii="Arial" w:hAnsi="Arial" w:cs="Arial"/>
          <w:sz w:val="18"/>
          <w:szCs w:val="18"/>
          <w:lang w:bidi="si-LK"/>
        </w:rPr>
        <w:t xml:space="preserve">     Fuente: SIMAT, MEN</w:t>
      </w:r>
    </w:p>
    <w:p w:rsidR="00F60802" w:rsidRPr="00F103AB" w:rsidRDefault="00F60802" w:rsidP="00F60802">
      <w:pPr>
        <w:autoSpaceDE w:val="0"/>
        <w:autoSpaceDN w:val="0"/>
        <w:adjustRightInd w:val="0"/>
        <w:spacing w:after="0"/>
        <w:jc w:val="both"/>
        <w:rPr>
          <w:rFonts w:ascii="Arial" w:hAnsi="Arial" w:cs="Arial"/>
          <w:lang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bCs/>
          <w:lang w:val="es-CO" w:bidi="si-LK"/>
        </w:rPr>
        <w:t xml:space="preserve">Tasa de Deserción. </w:t>
      </w:r>
      <w:r w:rsidRPr="00F103AB">
        <w:rPr>
          <w:rFonts w:ascii="Arial" w:hAnsi="Arial" w:cs="Arial"/>
          <w:lang w:val="es-CO" w:bidi="si-LK"/>
        </w:rPr>
        <w:t xml:space="preserve">Si bien el acceso al </w:t>
      </w:r>
      <w:r w:rsidRPr="00F103AB">
        <w:rPr>
          <w:rFonts w:ascii="Arial" w:hAnsi="Arial" w:cs="Arial"/>
          <w:b/>
          <w:bCs/>
          <w:lang w:val="es-CO" w:bidi="si-LK"/>
        </w:rPr>
        <w:t>servicio</w:t>
      </w:r>
      <w:r w:rsidRPr="00F103AB">
        <w:rPr>
          <w:rFonts w:ascii="Arial" w:hAnsi="Arial" w:cs="Arial"/>
          <w:lang w:val="es-CO" w:bidi="si-LK"/>
        </w:rPr>
        <w:t xml:space="preserve"> educativo constituye uno de los principales objetivos de la política educativa la permanencia representa un factor esencial para para asegurar el cumplimiento del derecho a la educación. Revisando la evolución entre 2011 y 2015 de la tasa deserción intra-anual muestra una ligera caída, que se sitúa entre 0,5 puntos porcentuales y 1 punto porcentual, en primaria y media respectivamente. Para el año 2013 la deserción escolar en los establecimientos educativos de Cali se situó por debajo del promedio nacional, que ascendió a 4,1% en primaria, 5,7%en secundaria y 3,9% en media. En cuanto a las diferencias por sexo, se observa que en todos los niveles educativos la deserción escolar es mayor en los niños. </w:t>
      </w:r>
    </w:p>
    <w:p w:rsidR="00F60802" w:rsidRPr="00F60802" w:rsidRDefault="00F60802" w:rsidP="00F60802">
      <w:pPr>
        <w:autoSpaceDE w:val="0"/>
        <w:autoSpaceDN w:val="0"/>
        <w:adjustRightInd w:val="0"/>
        <w:spacing w:after="0"/>
        <w:jc w:val="both"/>
        <w:rPr>
          <w:rFonts w:ascii="Arial" w:hAnsi="Arial" w:cs="Arial"/>
          <w:lang w:val="es-CO" w:bidi="si-LK"/>
        </w:rPr>
      </w:pPr>
    </w:p>
    <w:p w:rsidR="0037192D" w:rsidRPr="002B13EF" w:rsidRDefault="0037192D" w:rsidP="00F60802">
      <w:pPr>
        <w:autoSpaceDE w:val="0"/>
        <w:autoSpaceDN w:val="0"/>
        <w:adjustRightInd w:val="0"/>
        <w:spacing w:after="0"/>
        <w:jc w:val="center"/>
        <w:rPr>
          <w:rFonts w:ascii="Arial" w:hAnsi="Arial" w:cs="Arial"/>
          <w:b/>
          <w:bCs/>
          <w:i/>
          <w:iCs/>
          <w:lang w:val="es-CO" w:bidi="si-LK"/>
        </w:rPr>
      </w:pPr>
    </w:p>
    <w:p w:rsidR="0037192D" w:rsidRDefault="0037192D" w:rsidP="00F60802">
      <w:pPr>
        <w:autoSpaceDE w:val="0"/>
        <w:autoSpaceDN w:val="0"/>
        <w:adjustRightInd w:val="0"/>
        <w:spacing w:after="0"/>
        <w:jc w:val="center"/>
        <w:rPr>
          <w:rFonts w:ascii="Arial" w:hAnsi="Arial" w:cs="Arial"/>
          <w:b/>
          <w:bCs/>
          <w:i/>
          <w:iCs/>
          <w:lang w:val="es-CO" w:bidi="si-LK"/>
        </w:rPr>
      </w:pPr>
    </w:p>
    <w:p w:rsidR="00B365ED" w:rsidRPr="002B13EF" w:rsidRDefault="00B365ED" w:rsidP="00F60802">
      <w:pPr>
        <w:autoSpaceDE w:val="0"/>
        <w:autoSpaceDN w:val="0"/>
        <w:adjustRightInd w:val="0"/>
        <w:spacing w:after="0"/>
        <w:jc w:val="center"/>
        <w:rPr>
          <w:rFonts w:ascii="Arial" w:hAnsi="Arial" w:cs="Arial"/>
          <w:b/>
          <w:bCs/>
          <w:i/>
          <w:iCs/>
          <w:lang w:val="es-CO" w:bidi="si-LK"/>
        </w:rPr>
      </w:pPr>
    </w:p>
    <w:p w:rsidR="0037192D" w:rsidRPr="002B13EF" w:rsidRDefault="0037192D" w:rsidP="00F60802">
      <w:pPr>
        <w:autoSpaceDE w:val="0"/>
        <w:autoSpaceDN w:val="0"/>
        <w:adjustRightInd w:val="0"/>
        <w:spacing w:after="0"/>
        <w:jc w:val="center"/>
        <w:rPr>
          <w:rFonts w:ascii="Arial" w:hAnsi="Arial" w:cs="Arial"/>
          <w:b/>
          <w:bCs/>
          <w:i/>
          <w:iCs/>
          <w:lang w:val="es-CO" w:bidi="si-LK"/>
        </w:rPr>
      </w:pPr>
    </w:p>
    <w:p w:rsidR="00F60802" w:rsidRPr="00B365ED" w:rsidRDefault="00B365ED" w:rsidP="00F60802">
      <w:pPr>
        <w:autoSpaceDE w:val="0"/>
        <w:autoSpaceDN w:val="0"/>
        <w:adjustRightInd w:val="0"/>
        <w:spacing w:after="0"/>
        <w:jc w:val="center"/>
        <w:rPr>
          <w:rFonts w:ascii="Arial" w:hAnsi="Arial" w:cs="Arial"/>
          <w:b/>
          <w:bCs/>
          <w:i/>
          <w:iCs/>
          <w:sz w:val="18"/>
          <w:szCs w:val="18"/>
          <w:lang w:bidi="si-LK"/>
        </w:rPr>
      </w:pPr>
      <w:r w:rsidRPr="00B365ED">
        <w:rPr>
          <w:rFonts w:ascii="Arial" w:hAnsi="Arial" w:cs="Arial"/>
          <w:b/>
          <w:bCs/>
          <w:i/>
          <w:iCs/>
          <w:sz w:val="18"/>
          <w:szCs w:val="18"/>
          <w:lang w:val="es-CO" w:bidi="si-LK"/>
        </w:rPr>
        <w:t xml:space="preserve">Gráfica No 8. </w:t>
      </w:r>
      <w:r w:rsidR="00F60802" w:rsidRPr="00B365ED">
        <w:rPr>
          <w:rFonts w:ascii="Arial" w:hAnsi="Arial" w:cs="Arial"/>
          <w:b/>
          <w:bCs/>
          <w:i/>
          <w:iCs/>
          <w:sz w:val="18"/>
          <w:szCs w:val="18"/>
          <w:lang w:bidi="si-LK"/>
        </w:rPr>
        <w:t>Tasa de Deserción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B365ED" w:rsidTr="00C06B88">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 xml:space="preserve">2011 – 2013 </w:t>
            </w:r>
          </w:p>
        </w:tc>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Por Sexo, 2013</w:t>
            </w:r>
          </w:p>
        </w:tc>
      </w:tr>
    </w:tbl>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6393" cy="162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6393"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2538045" cy="162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8045" cy="1620000"/>
                    </a:xfrm>
                    <a:prstGeom prst="rect">
                      <a:avLst/>
                    </a:prstGeom>
                    <a:noFill/>
                  </pic:spPr>
                </pic:pic>
              </a:graphicData>
            </a:graphic>
          </wp:inline>
        </w:drawing>
      </w:r>
    </w:p>
    <w:p w:rsidR="00F60802" w:rsidRPr="00F103AB" w:rsidRDefault="00F60802" w:rsidP="00F60802">
      <w:pPr>
        <w:autoSpaceDE w:val="0"/>
        <w:autoSpaceDN w:val="0"/>
        <w:adjustRightInd w:val="0"/>
        <w:spacing w:after="0"/>
        <w:jc w:val="both"/>
        <w:rPr>
          <w:rFonts w:ascii="Arial" w:hAnsi="Arial" w:cs="Arial"/>
          <w:sz w:val="18"/>
          <w:szCs w:val="18"/>
          <w:lang w:bidi="si-LK"/>
        </w:rPr>
      </w:pPr>
      <w:r w:rsidRPr="00F103AB">
        <w:rPr>
          <w:rFonts w:ascii="Arial" w:hAnsi="Arial" w:cs="Arial"/>
          <w:sz w:val="18"/>
          <w:szCs w:val="18"/>
          <w:lang w:bidi="si-LK"/>
        </w:rPr>
        <w:t xml:space="preserve">      Fuente: C-600, DANE</w:t>
      </w:r>
    </w:p>
    <w:p w:rsidR="00F60802" w:rsidRPr="00F103AB" w:rsidRDefault="00F60802" w:rsidP="00F60802">
      <w:pPr>
        <w:autoSpaceDE w:val="0"/>
        <w:autoSpaceDN w:val="0"/>
        <w:adjustRightInd w:val="0"/>
        <w:spacing w:after="0"/>
        <w:jc w:val="both"/>
        <w:rPr>
          <w:rFonts w:ascii="Arial" w:hAnsi="Arial" w:cs="Arial"/>
          <w:lang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bCs/>
          <w:lang w:val="es-CO" w:bidi="si-LK"/>
        </w:rPr>
        <w:t xml:space="preserve">Tasa de Reprobación. </w:t>
      </w:r>
      <w:r w:rsidRPr="00F103AB">
        <w:rPr>
          <w:rFonts w:ascii="Arial" w:hAnsi="Arial" w:cs="Arial"/>
          <w:lang w:val="es-CO" w:bidi="si-LK"/>
        </w:rPr>
        <w:t xml:space="preserve">Otro aspecto a tener en cuenta se relaciona con la reprobación escolar como elemento constitutivo del fracaso escolar y su asociación con la repitencia y la deserción. Lo primero que llama la atención es el incremento inusitado de la tasa de reprobación entre 2010 y 2011, especialmente en secundaria y media, cuando casi se duplica. Por otra parte, contrario a lo observado en materia de deserción, la reprobación escolar en Cali se ubica por encima de los promedios nacionales, al ascender en 2013 a 7,1% en primaria, 12,4% en secundaria y 7,9% en media. </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B365ED" w:rsidRDefault="00B365ED" w:rsidP="00F60802">
      <w:pPr>
        <w:autoSpaceDE w:val="0"/>
        <w:autoSpaceDN w:val="0"/>
        <w:adjustRightInd w:val="0"/>
        <w:spacing w:after="0"/>
        <w:jc w:val="center"/>
        <w:rPr>
          <w:rFonts w:ascii="Arial" w:hAnsi="Arial" w:cs="Arial"/>
          <w:b/>
          <w:bCs/>
          <w:i/>
          <w:iCs/>
          <w:lang w:val="es-CO" w:bidi="si-LK"/>
        </w:rPr>
      </w:pPr>
      <w:r w:rsidRPr="00B365ED">
        <w:rPr>
          <w:rFonts w:ascii="Arial" w:hAnsi="Arial" w:cs="Arial"/>
          <w:b/>
          <w:bCs/>
          <w:i/>
          <w:iCs/>
          <w:sz w:val="18"/>
          <w:szCs w:val="18"/>
          <w:lang w:val="es-CO" w:bidi="si-LK"/>
        </w:rPr>
        <w:t xml:space="preserve">Gráfica No </w:t>
      </w:r>
      <w:r>
        <w:rPr>
          <w:rFonts w:ascii="Arial" w:hAnsi="Arial" w:cs="Arial"/>
          <w:b/>
          <w:bCs/>
          <w:i/>
          <w:iCs/>
          <w:sz w:val="18"/>
          <w:szCs w:val="18"/>
          <w:lang w:val="es-CO" w:bidi="si-LK"/>
        </w:rPr>
        <w:t xml:space="preserve">9. </w:t>
      </w:r>
      <w:r w:rsidR="00F60802" w:rsidRPr="00B365ED">
        <w:rPr>
          <w:rFonts w:ascii="Arial" w:hAnsi="Arial" w:cs="Arial"/>
          <w:b/>
          <w:bCs/>
          <w:i/>
          <w:iCs/>
          <w:lang w:val="es-CO" w:bidi="si-LK"/>
        </w:rPr>
        <w:t>Tasa de Reprobación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F103AB" w:rsidTr="00C06B88">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 xml:space="preserve">2011 – 2013 </w:t>
            </w:r>
          </w:p>
        </w:tc>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Por Sexo, 2013</w:t>
            </w:r>
          </w:p>
        </w:tc>
      </w:tr>
    </w:tbl>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6393" cy="1620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6393"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2538045" cy="16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8045" cy="1620000"/>
                    </a:xfrm>
                    <a:prstGeom prst="rect">
                      <a:avLst/>
                    </a:prstGeom>
                    <a:noFill/>
                  </pic:spPr>
                </pic:pic>
              </a:graphicData>
            </a:graphic>
          </wp:inline>
        </w:drawing>
      </w:r>
    </w:p>
    <w:p w:rsidR="00F60802" w:rsidRDefault="00F60802" w:rsidP="00F60802">
      <w:pPr>
        <w:autoSpaceDE w:val="0"/>
        <w:autoSpaceDN w:val="0"/>
        <w:adjustRightInd w:val="0"/>
        <w:spacing w:after="0"/>
        <w:jc w:val="both"/>
        <w:rPr>
          <w:rFonts w:ascii="Arial" w:hAnsi="Arial" w:cs="Arial"/>
          <w:sz w:val="18"/>
          <w:szCs w:val="18"/>
          <w:lang w:bidi="si-LK"/>
        </w:rPr>
      </w:pPr>
      <w:r w:rsidRPr="00F103AB">
        <w:rPr>
          <w:rFonts w:ascii="Arial" w:hAnsi="Arial" w:cs="Arial"/>
          <w:sz w:val="18"/>
          <w:szCs w:val="18"/>
          <w:lang w:bidi="si-LK"/>
        </w:rPr>
        <w:t xml:space="preserve">      Fuente: C-600, DANE</w:t>
      </w:r>
    </w:p>
    <w:p w:rsidR="00B365ED" w:rsidRPr="00F103AB" w:rsidRDefault="00B365ED" w:rsidP="00F60802">
      <w:pPr>
        <w:autoSpaceDE w:val="0"/>
        <w:autoSpaceDN w:val="0"/>
        <w:adjustRightInd w:val="0"/>
        <w:spacing w:after="0"/>
        <w:jc w:val="both"/>
        <w:rPr>
          <w:rFonts w:ascii="Arial" w:hAnsi="Arial" w:cs="Arial"/>
          <w:sz w:val="18"/>
          <w:szCs w:val="18"/>
          <w:lang w:bidi="si-LK"/>
        </w:rPr>
      </w:pPr>
    </w:p>
    <w:p w:rsidR="00F60802" w:rsidRPr="00F60802"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lang w:val="es-CO" w:bidi="si-LK"/>
        </w:rPr>
        <w:t>Por último, las diferencias en materia de deserción por sexo los niños resultan los más afectados, especialmente en secundaria y media. En secundaria casi 2 de cada 10 niños pierde el año, mientras en el caso de las niñas es un poco más de 1 por cada 10.</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F103AB" w:rsidRDefault="00F60802" w:rsidP="00B365ED">
      <w:pPr>
        <w:pStyle w:val="ListParagraph"/>
        <w:numPr>
          <w:ilvl w:val="2"/>
          <w:numId w:val="1"/>
        </w:numPr>
        <w:autoSpaceDE w:val="0"/>
        <w:autoSpaceDN w:val="0"/>
        <w:adjustRightInd w:val="0"/>
        <w:spacing w:after="0" w:line="20" w:lineRule="atLeast"/>
        <w:jc w:val="both"/>
        <w:rPr>
          <w:rFonts w:ascii="Arial" w:hAnsi="Arial" w:cs="Arial"/>
          <w:lang w:val="es-CO" w:bidi="si-LK"/>
        </w:rPr>
      </w:pPr>
      <w:r w:rsidRPr="00F103AB">
        <w:rPr>
          <w:rFonts w:ascii="Arial" w:hAnsi="Arial" w:cs="Arial"/>
          <w:b/>
          <w:bCs/>
          <w:lang w:val="es-CO" w:bidi="si-LK"/>
        </w:rPr>
        <w:t xml:space="preserve">Tasa de Repitencia. </w:t>
      </w:r>
      <w:r w:rsidRPr="00F103AB">
        <w:rPr>
          <w:rFonts w:ascii="Arial" w:hAnsi="Arial" w:cs="Arial"/>
          <w:lang w:val="es-CO" w:bidi="si-LK"/>
        </w:rPr>
        <w:t xml:space="preserve">El último indicador asociado a la eficiencia interna abordado en esta caracterización se refiere a la tasa de repitencia, dejando ver un aumento importante, especialmente en secundaria, cuando entre 2009 y 2013 se triplica al pasar de 2,4% a 6,7%. Los datos de 2013 muestran que los establecimientos educativos oficiales de Cali se ubican por debajo del promedio nacional: 4,2% en primaria, 7,4% en secundaria y 3,9% en media. Finalmente, al igual que en los casos anteriores, los niños registran un </w:t>
      </w:r>
      <w:r w:rsidRPr="00F103AB">
        <w:rPr>
          <w:rFonts w:ascii="Arial" w:hAnsi="Arial" w:cs="Arial"/>
          <w:lang w:val="es-CO" w:bidi="si-LK"/>
        </w:rPr>
        <w:lastRenderedPageBreak/>
        <w:t>situación menos favorable que las niñas, cuando sus tasas de repitencia son superiores, especialmente en secundaria y media.</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B365ED" w:rsidRDefault="00B365ED" w:rsidP="00F60802">
      <w:pPr>
        <w:autoSpaceDE w:val="0"/>
        <w:autoSpaceDN w:val="0"/>
        <w:adjustRightInd w:val="0"/>
        <w:spacing w:after="0"/>
        <w:jc w:val="center"/>
        <w:rPr>
          <w:rFonts w:ascii="Arial" w:hAnsi="Arial" w:cs="Arial"/>
          <w:b/>
          <w:bCs/>
          <w:i/>
          <w:iCs/>
          <w:sz w:val="18"/>
          <w:szCs w:val="18"/>
          <w:lang w:bidi="si-LK"/>
        </w:rPr>
      </w:pPr>
      <w:r w:rsidRPr="00B365ED">
        <w:rPr>
          <w:rFonts w:ascii="Arial" w:hAnsi="Arial" w:cs="Arial"/>
          <w:b/>
          <w:bCs/>
          <w:i/>
          <w:iCs/>
          <w:sz w:val="18"/>
          <w:szCs w:val="18"/>
          <w:lang w:val="es-CO" w:bidi="si-LK"/>
        </w:rPr>
        <w:t xml:space="preserve">Gráfica No 10. </w:t>
      </w:r>
      <w:r w:rsidR="00F60802" w:rsidRPr="00B365ED">
        <w:rPr>
          <w:rFonts w:ascii="Arial" w:hAnsi="Arial" w:cs="Arial"/>
          <w:b/>
          <w:bCs/>
          <w:i/>
          <w:iCs/>
          <w:sz w:val="18"/>
          <w:szCs w:val="18"/>
          <w:lang w:bidi="si-LK"/>
        </w:rPr>
        <w:t>Tasa de Repitencia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0802" w:rsidRPr="00B365ED" w:rsidTr="00C06B88">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 xml:space="preserve">2011 – 2013 </w:t>
            </w:r>
          </w:p>
        </w:tc>
        <w:tc>
          <w:tcPr>
            <w:tcW w:w="4414" w:type="dxa"/>
          </w:tcPr>
          <w:p w:rsidR="00F60802" w:rsidRPr="00B365ED" w:rsidRDefault="00F60802" w:rsidP="00C06B88">
            <w:pPr>
              <w:autoSpaceDE w:val="0"/>
              <w:autoSpaceDN w:val="0"/>
              <w:adjustRightInd w:val="0"/>
              <w:spacing w:line="276" w:lineRule="auto"/>
              <w:jc w:val="center"/>
              <w:rPr>
                <w:rFonts w:ascii="Arial" w:hAnsi="Arial" w:cs="Arial"/>
                <w:b/>
                <w:bCs/>
                <w:i/>
                <w:iCs/>
                <w:sz w:val="18"/>
                <w:szCs w:val="18"/>
                <w:lang w:bidi="si-LK"/>
              </w:rPr>
            </w:pPr>
            <w:r w:rsidRPr="00B365ED">
              <w:rPr>
                <w:rFonts w:ascii="Arial" w:hAnsi="Arial" w:cs="Arial"/>
                <w:b/>
                <w:bCs/>
                <w:i/>
                <w:iCs/>
                <w:sz w:val="18"/>
                <w:szCs w:val="18"/>
                <w:lang w:bidi="si-LK"/>
              </w:rPr>
              <w:t>Por Sexo, 2013</w:t>
            </w:r>
          </w:p>
        </w:tc>
      </w:tr>
    </w:tbl>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6393" cy="1620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6393" cy="1620000"/>
                    </a:xfrm>
                    <a:prstGeom prst="rect">
                      <a:avLst/>
                    </a:prstGeom>
                    <a:noFill/>
                  </pic:spPr>
                </pic:pic>
              </a:graphicData>
            </a:graphic>
          </wp:inline>
        </w:drawing>
      </w:r>
      <w:r w:rsidRPr="00F103AB">
        <w:rPr>
          <w:rFonts w:ascii="Arial" w:hAnsi="Arial" w:cs="Arial"/>
          <w:noProof/>
          <w:lang w:val="es-CO" w:eastAsia="es-CO"/>
        </w:rPr>
        <w:drawing>
          <wp:inline distT="0" distB="0" distL="0" distR="0">
            <wp:extent cx="2542557" cy="1620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2557" cy="1620000"/>
                    </a:xfrm>
                    <a:prstGeom prst="rect">
                      <a:avLst/>
                    </a:prstGeom>
                    <a:noFill/>
                  </pic:spPr>
                </pic:pic>
              </a:graphicData>
            </a:graphic>
          </wp:inline>
        </w:drawing>
      </w:r>
    </w:p>
    <w:p w:rsidR="00F60802" w:rsidRPr="00622374" w:rsidRDefault="00F60802" w:rsidP="00F60802">
      <w:pPr>
        <w:autoSpaceDE w:val="0"/>
        <w:autoSpaceDN w:val="0"/>
        <w:adjustRightInd w:val="0"/>
        <w:spacing w:after="0"/>
        <w:jc w:val="both"/>
        <w:rPr>
          <w:rFonts w:ascii="Arial" w:hAnsi="Arial" w:cs="Arial"/>
          <w:sz w:val="18"/>
          <w:szCs w:val="18"/>
          <w:lang w:val="es-CO" w:bidi="si-LK"/>
        </w:rPr>
      </w:pPr>
      <w:r w:rsidRPr="00622374">
        <w:rPr>
          <w:rFonts w:ascii="Arial" w:hAnsi="Arial" w:cs="Arial"/>
          <w:sz w:val="18"/>
          <w:szCs w:val="18"/>
          <w:lang w:val="es-CO" w:bidi="si-LK"/>
        </w:rPr>
        <w:t xml:space="preserve">      Fuente: C-600, DANE</w:t>
      </w:r>
    </w:p>
    <w:p w:rsidR="00F60802" w:rsidRPr="00622374" w:rsidRDefault="00F60802" w:rsidP="00F60802">
      <w:pPr>
        <w:autoSpaceDE w:val="0"/>
        <w:autoSpaceDN w:val="0"/>
        <w:adjustRightInd w:val="0"/>
        <w:spacing w:after="0"/>
        <w:jc w:val="both"/>
        <w:rPr>
          <w:rFonts w:ascii="Arial" w:hAnsi="Arial" w:cs="Arial"/>
          <w:lang w:val="es-CO" w:bidi="si-LK"/>
        </w:rPr>
      </w:pPr>
    </w:p>
    <w:p w:rsidR="00F60802" w:rsidRPr="00622374" w:rsidRDefault="00622374" w:rsidP="00622374">
      <w:pPr>
        <w:pStyle w:val="ListParagraph"/>
        <w:autoSpaceDE w:val="0"/>
        <w:autoSpaceDN w:val="0"/>
        <w:adjustRightInd w:val="0"/>
        <w:spacing w:after="0"/>
        <w:ind w:left="567"/>
        <w:jc w:val="center"/>
        <w:rPr>
          <w:rFonts w:ascii="Arial" w:hAnsi="Arial" w:cs="Arial"/>
          <w:b/>
          <w:bCs/>
          <w:sz w:val="18"/>
          <w:szCs w:val="18"/>
          <w:lang w:val="es-CO" w:bidi="si-LK"/>
        </w:rPr>
      </w:pPr>
      <w:r w:rsidRPr="00622374">
        <w:rPr>
          <w:rFonts w:ascii="Arial" w:hAnsi="Arial" w:cs="Arial"/>
          <w:b/>
          <w:bCs/>
          <w:i/>
          <w:iCs/>
          <w:sz w:val="18"/>
          <w:szCs w:val="18"/>
          <w:lang w:val="es-CO" w:bidi="si-LK"/>
        </w:rPr>
        <w:t xml:space="preserve">Gráfica No 11. </w:t>
      </w:r>
      <w:r w:rsidR="00F60802" w:rsidRPr="00622374">
        <w:rPr>
          <w:rFonts w:ascii="Arial" w:hAnsi="Arial" w:cs="Arial"/>
          <w:b/>
          <w:bCs/>
          <w:sz w:val="18"/>
          <w:szCs w:val="18"/>
          <w:lang w:val="es-CO" w:bidi="si-LK"/>
        </w:rPr>
        <w:t>SGP (miles de millones de $)</w:t>
      </w:r>
    </w:p>
    <w:p w:rsidR="00F60802" w:rsidRPr="00F60802" w:rsidRDefault="00F60802" w:rsidP="00F60802">
      <w:pPr>
        <w:autoSpaceDE w:val="0"/>
        <w:autoSpaceDN w:val="0"/>
        <w:adjustRightInd w:val="0"/>
        <w:spacing w:after="0"/>
        <w:jc w:val="both"/>
        <w:rPr>
          <w:rFonts w:ascii="Arial" w:hAnsi="Arial" w:cs="Arial"/>
          <w:lang w:val="es-CO" w:bidi="si-LK"/>
        </w:rPr>
      </w:pPr>
    </w:p>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706393" cy="1620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6393" cy="1620000"/>
                    </a:xfrm>
                    <a:prstGeom prst="rect">
                      <a:avLst/>
                    </a:prstGeom>
                    <a:noFill/>
                  </pic:spPr>
                </pic:pic>
              </a:graphicData>
            </a:graphic>
          </wp:inline>
        </w:drawing>
      </w:r>
    </w:p>
    <w:p w:rsidR="00F60802" w:rsidRPr="00004E79" w:rsidRDefault="00F60802" w:rsidP="00F60802">
      <w:pPr>
        <w:autoSpaceDE w:val="0"/>
        <w:autoSpaceDN w:val="0"/>
        <w:adjustRightInd w:val="0"/>
        <w:spacing w:after="0"/>
        <w:ind w:left="1362" w:firstLine="454"/>
        <w:jc w:val="both"/>
        <w:rPr>
          <w:rFonts w:ascii="Arial" w:hAnsi="Arial" w:cs="Arial"/>
          <w:sz w:val="18"/>
          <w:szCs w:val="18"/>
          <w:lang w:val="es-CO" w:bidi="si-LK"/>
        </w:rPr>
      </w:pPr>
      <w:r w:rsidRPr="007A4DBF">
        <w:rPr>
          <w:rFonts w:ascii="Arial" w:hAnsi="Arial" w:cs="Arial"/>
          <w:sz w:val="18"/>
          <w:szCs w:val="18"/>
          <w:lang w:val="es-CO" w:bidi="si-LK"/>
        </w:rPr>
        <w:t xml:space="preserve">         </w:t>
      </w:r>
      <w:r w:rsidRPr="00004E79">
        <w:rPr>
          <w:rFonts w:ascii="Arial" w:hAnsi="Arial" w:cs="Arial"/>
          <w:sz w:val="18"/>
          <w:szCs w:val="18"/>
          <w:lang w:val="es-CO" w:bidi="si-LK"/>
        </w:rPr>
        <w:t>Fuente: CONPES Sociales, DNP</w:t>
      </w:r>
    </w:p>
    <w:p w:rsidR="00F60802" w:rsidRPr="00004E79" w:rsidRDefault="00F60802" w:rsidP="00F60802">
      <w:pPr>
        <w:autoSpaceDE w:val="0"/>
        <w:autoSpaceDN w:val="0"/>
        <w:adjustRightInd w:val="0"/>
        <w:spacing w:after="0"/>
        <w:jc w:val="both"/>
        <w:rPr>
          <w:rFonts w:ascii="Arial" w:hAnsi="Arial" w:cs="Arial"/>
          <w:lang w:val="es-CO" w:bidi="si-LK"/>
        </w:rPr>
      </w:pPr>
    </w:p>
    <w:p w:rsidR="00F60802" w:rsidRPr="00622374" w:rsidRDefault="00622374" w:rsidP="00622374">
      <w:pPr>
        <w:pStyle w:val="ListParagraph"/>
        <w:autoSpaceDE w:val="0"/>
        <w:autoSpaceDN w:val="0"/>
        <w:adjustRightInd w:val="0"/>
        <w:spacing w:after="0"/>
        <w:ind w:left="567"/>
        <w:jc w:val="center"/>
        <w:rPr>
          <w:rFonts w:ascii="Arial" w:hAnsi="Arial" w:cs="Arial"/>
          <w:b/>
          <w:bCs/>
          <w:sz w:val="18"/>
          <w:szCs w:val="18"/>
          <w:lang w:val="es-CO" w:bidi="si-LK"/>
        </w:rPr>
      </w:pPr>
      <w:r w:rsidRPr="00622374">
        <w:rPr>
          <w:rFonts w:ascii="Arial" w:hAnsi="Arial" w:cs="Arial"/>
          <w:b/>
          <w:bCs/>
          <w:i/>
          <w:iCs/>
          <w:sz w:val="18"/>
          <w:szCs w:val="18"/>
          <w:lang w:val="es-CO" w:bidi="si-LK"/>
        </w:rPr>
        <w:t xml:space="preserve">Gráfica No 12. </w:t>
      </w:r>
      <w:r w:rsidR="00F60802" w:rsidRPr="00622374">
        <w:rPr>
          <w:rFonts w:ascii="Arial" w:hAnsi="Arial" w:cs="Arial"/>
          <w:b/>
          <w:bCs/>
          <w:sz w:val="18"/>
          <w:szCs w:val="18"/>
          <w:lang w:val="es-CO" w:bidi="si-LK"/>
        </w:rPr>
        <w:t>Índice Sintético de Calidad Educativa (2016)</w:t>
      </w:r>
    </w:p>
    <w:p w:rsidR="00F60802" w:rsidRPr="00A65FA5" w:rsidRDefault="00F60802" w:rsidP="00F60802">
      <w:pPr>
        <w:autoSpaceDE w:val="0"/>
        <w:autoSpaceDN w:val="0"/>
        <w:adjustRightInd w:val="0"/>
        <w:spacing w:after="0"/>
        <w:jc w:val="both"/>
        <w:rPr>
          <w:rFonts w:ascii="Arial" w:hAnsi="Arial" w:cs="Arial"/>
          <w:lang w:val="es-CO" w:bidi="si-LK"/>
        </w:rPr>
      </w:pPr>
    </w:p>
    <w:p w:rsidR="00F60802" w:rsidRPr="00F103AB" w:rsidRDefault="00F60802" w:rsidP="00F60802">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extent cx="2683363" cy="1620000"/>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83363" cy="1620000"/>
                    </a:xfrm>
                    <a:prstGeom prst="rect">
                      <a:avLst/>
                    </a:prstGeom>
                    <a:noFill/>
                  </pic:spPr>
                </pic:pic>
              </a:graphicData>
            </a:graphic>
          </wp:inline>
        </w:drawing>
      </w:r>
    </w:p>
    <w:p w:rsidR="00F60802" w:rsidRDefault="00F60802" w:rsidP="00F60802">
      <w:pPr>
        <w:pStyle w:val="ListParagraph"/>
        <w:autoSpaceDE w:val="0"/>
        <w:autoSpaceDN w:val="0"/>
        <w:adjustRightInd w:val="0"/>
        <w:spacing w:after="0" w:line="20" w:lineRule="atLeast"/>
        <w:ind w:left="792"/>
        <w:jc w:val="both"/>
        <w:rPr>
          <w:rFonts w:ascii="Arial" w:hAnsi="Arial" w:cs="Arial"/>
          <w:highlight w:val="cyan"/>
          <w:lang w:val="es-ES_tradnl"/>
        </w:rPr>
      </w:pPr>
    </w:p>
    <w:p w:rsidR="00622374" w:rsidRDefault="00622374" w:rsidP="00F60802">
      <w:pPr>
        <w:pStyle w:val="ListParagraph"/>
        <w:autoSpaceDE w:val="0"/>
        <w:autoSpaceDN w:val="0"/>
        <w:adjustRightInd w:val="0"/>
        <w:spacing w:after="0" w:line="20" w:lineRule="atLeast"/>
        <w:ind w:left="792"/>
        <w:jc w:val="both"/>
        <w:rPr>
          <w:rFonts w:ascii="Arial" w:hAnsi="Arial" w:cs="Arial"/>
          <w:highlight w:val="cyan"/>
          <w:lang w:val="es-ES_tradnl"/>
        </w:rPr>
      </w:pPr>
    </w:p>
    <w:p w:rsidR="00622374" w:rsidRDefault="00622374" w:rsidP="00F60802">
      <w:pPr>
        <w:pStyle w:val="ListParagraph"/>
        <w:autoSpaceDE w:val="0"/>
        <w:autoSpaceDN w:val="0"/>
        <w:adjustRightInd w:val="0"/>
        <w:spacing w:after="0" w:line="20" w:lineRule="atLeast"/>
        <w:ind w:left="792"/>
        <w:jc w:val="both"/>
        <w:rPr>
          <w:rFonts w:ascii="Arial" w:hAnsi="Arial" w:cs="Arial"/>
          <w:highlight w:val="cyan"/>
          <w:lang w:val="es-ES_tradnl"/>
        </w:rPr>
      </w:pPr>
    </w:p>
    <w:p w:rsidR="00622374" w:rsidRDefault="00622374" w:rsidP="00F60802">
      <w:pPr>
        <w:pStyle w:val="ListParagraph"/>
        <w:autoSpaceDE w:val="0"/>
        <w:autoSpaceDN w:val="0"/>
        <w:adjustRightInd w:val="0"/>
        <w:spacing w:after="0" w:line="20" w:lineRule="atLeast"/>
        <w:ind w:left="792"/>
        <w:jc w:val="both"/>
        <w:rPr>
          <w:rFonts w:ascii="Arial" w:hAnsi="Arial" w:cs="Arial"/>
          <w:highlight w:val="cyan"/>
          <w:lang w:val="es-ES_tradnl"/>
        </w:rPr>
      </w:pPr>
    </w:p>
    <w:p w:rsidR="00622374" w:rsidRPr="007B6A2F" w:rsidRDefault="00622374" w:rsidP="00F60802">
      <w:pPr>
        <w:pStyle w:val="ListParagraph"/>
        <w:autoSpaceDE w:val="0"/>
        <w:autoSpaceDN w:val="0"/>
        <w:adjustRightInd w:val="0"/>
        <w:spacing w:after="0" w:line="20" w:lineRule="atLeast"/>
        <w:ind w:left="792"/>
        <w:jc w:val="both"/>
        <w:rPr>
          <w:rFonts w:ascii="Arial" w:hAnsi="Arial" w:cs="Arial"/>
          <w:highlight w:val="cyan"/>
          <w:lang w:val="es-ES_tradnl"/>
        </w:rPr>
      </w:pPr>
    </w:p>
    <w:p w:rsidR="007B6A2F" w:rsidRPr="00627D4F" w:rsidRDefault="007B6A2F" w:rsidP="007B6A2F">
      <w:pPr>
        <w:autoSpaceDE w:val="0"/>
        <w:autoSpaceDN w:val="0"/>
        <w:adjustRightInd w:val="0"/>
        <w:spacing w:after="0" w:line="20" w:lineRule="atLeast"/>
        <w:jc w:val="both"/>
        <w:rPr>
          <w:rFonts w:ascii="Arial" w:hAnsi="Arial" w:cs="Arial"/>
          <w:lang w:val="es-ES_tradnl"/>
        </w:rPr>
      </w:pPr>
    </w:p>
    <w:p w:rsidR="007B6A2F" w:rsidRPr="00FC797F" w:rsidRDefault="007B6A2F" w:rsidP="007B6A2F">
      <w:pPr>
        <w:pStyle w:val="ListParagraph"/>
        <w:numPr>
          <w:ilvl w:val="1"/>
          <w:numId w:val="1"/>
        </w:numPr>
        <w:tabs>
          <w:tab w:val="left" w:pos="810"/>
          <w:tab w:val="left" w:pos="1440"/>
        </w:tabs>
        <w:spacing w:after="0" w:line="20" w:lineRule="atLeast"/>
        <w:ind w:left="720"/>
        <w:jc w:val="both"/>
        <w:rPr>
          <w:rFonts w:ascii="Arial" w:hAnsi="Arial" w:cs="Arial"/>
          <w:lang w:val="es-ES"/>
        </w:rPr>
      </w:pPr>
      <w:r w:rsidRPr="00FC797F">
        <w:rPr>
          <w:rFonts w:ascii="Arial" w:hAnsi="Arial" w:cs="Arial"/>
          <w:u w:val="single"/>
          <w:lang w:val="es-ES_tradnl"/>
        </w:rPr>
        <w:lastRenderedPageBreak/>
        <w:t>Dimensión fiscal y gobernabilidad.</w:t>
      </w:r>
      <w:r w:rsidRPr="00FC797F">
        <w:rPr>
          <w:rFonts w:ascii="Arial" w:hAnsi="Arial" w:cs="Arial"/>
          <w:lang w:val="es-ES_tradnl"/>
        </w:rPr>
        <w:t xml:space="preserve"> </w:t>
      </w:r>
      <w:r w:rsidR="00FC797F">
        <w:rPr>
          <w:rFonts w:ascii="Arial" w:hAnsi="Arial" w:cs="Arial"/>
          <w:lang w:val="es-ES_tradnl"/>
        </w:rPr>
        <w:t>Como</w:t>
      </w:r>
      <w:r w:rsidR="00FC797F" w:rsidRPr="00FC797F">
        <w:rPr>
          <w:rFonts w:ascii="Arial" w:hAnsi="Arial" w:cs="Arial"/>
          <w:lang w:val="es-ES"/>
        </w:rPr>
        <w:t xml:space="preserve"> resultado del  exceso de gasto y a su sobreendeudamiento a finales de la década del 90, el municipio de Santiago de Cali sufrió una crisis fiscal y financiera que </w:t>
      </w:r>
      <w:r w:rsidR="00FC797F">
        <w:rPr>
          <w:rFonts w:ascii="Arial" w:hAnsi="Arial" w:cs="Arial"/>
          <w:lang w:val="es-ES"/>
        </w:rPr>
        <w:t>conllevó a</w:t>
      </w:r>
      <w:r w:rsidR="00FC797F" w:rsidRPr="00FC797F">
        <w:rPr>
          <w:rFonts w:ascii="Arial" w:hAnsi="Arial" w:cs="Arial"/>
          <w:lang w:val="es-ES"/>
        </w:rPr>
        <w:t xml:space="preserve"> sucesivos déficit, insostenibilidad de la deuda y crisis administrativa. Esta situación llevó a que en el año 2001 la Administración municipal  suscribiera  un Programa de Saneamiento Fiscal y Financiero con las entidades acreedoras y con la Nación (en el marco de la ley 617 de 2000) con el objetivo de brindar viabilidad fiscal y financiera al municipio. El programa de Saneamiento Fiscal y Financiero incluyó un acuerdo de reestructuración de la deuda financiera por COP $443.700 millones, una política de racionalización del gasto y una reforma administrativa con un contrato de empréstito por COP  $123.000 millones para garantizar el pago de las indemnizaciones y pasivos ocasionados por dicha reforma</w:t>
      </w:r>
      <w:r w:rsidRPr="00FC797F">
        <w:rPr>
          <w:rFonts w:ascii="Arial" w:hAnsi="Arial" w:cs="Arial"/>
          <w:lang w:val="es-ES"/>
        </w:rPr>
        <w:t xml:space="preserve">. </w:t>
      </w:r>
    </w:p>
    <w:p w:rsidR="00FC797F" w:rsidRPr="004E1CE3" w:rsidRDefault="00FC797F" w:rsidP="00FC797F">
      <w:pPr>
        <w:pStyle w:val="Paragraph"/>
        <w:numPr>
          <w:ilvl w:val="2"/>
          <w:numId w:val="17"/>
        </w:numPr>
        <w:ind w:left="1080"/>
        <w:rPr>
          <w:rFonts w:ascii="Arial" w:hAnsi="Arial" w:cs="Arial"/>
          <w:sz w:val="22"/>
          <w:szCs w:val="22"/>
          <w:lang w:val="es-ES"/>
        </w:rPr>
      </w:pPr>
      <w:r w:rsidRPr="004E1CE3">
        <w:rPr>
          <w:rFonts w:ascii="Arial" w:hAnsi="Arial" w:cs="Arial"/>
          <w:sz w:val="22"/>
          <w:szCs w:val="22"/>
          <w:lang w:val="es-ES"/>
        </w:rPr>
        <w:t>Resultado de lo anterior, en la última década las  finanzas de Cali  han venido reflejando las bondades del acuerdo de saneamiento fiscal el cual fue necesario para restablecer la solidez económica y financiera de la Ciudad.</w:t>
      </w:r>
    </w:p>
    <w:p w:rsidR="007B6A2F" w:rsidRPr="005F7004" w:rsidRDefault="00FC797F" w:rsidP="00622374">
      <w:pPr>
        <w:pStyle w:val="Paragraph"/>
        <w:numPr>
          <w:ilvl w:val="2"/>
          <w:numId w:val="17"/>
        </w:numPr>
        <w:ind w:left="1080"/>
        <w:rPr>
          <w:rFonts w:ascii="Arial" w:eastAsiaTheme="minorEastAsia" w:hAnsi="Arial" w:cs="Arial"/>
          <w:sz w:val="22"/>
          <w:szCs w:val="22"/>
          <w:lang w:val="es-ES"/>
        </w:rPr>
      </w:pPr>
      <w:r w:rsidRPr="004E1CE3">
        <w:rPr>
          <w:rFonts w:ascii="Arial" w:hAnsi="Arial" w:cs="Arial"/>
          <w:sz w:val="22"/>
          <w:szCs w:val="22"/>
          <w:lang w:val="es-ES"/>
        </w:rPr>
        <w:t>Gracias al acuerdo de reestructuración de pasivos, Cali  ha logrado poner sus finanzas públicas en orden, recuperándose así de situaciones de insolvencia que caracterizaron la ciudad en periodos precedentes. Todo ello se ha traducido en un mejoramiento sostenido en su desempeño fiscal, de acuerdo con las mediciones que anualmente realiza el DNP.</w:t>
      </w:r>
      <w:r w:rsidR="004E1CE3" w:rsidRPr="004E1CE3">
        <w:rPr>
          <w:rFonts w:ascii="Arial" w:hAnsi="Arial" w:cs="Arial"/>
          <w:sz w:val="22"/>
          <w:szCs w:val="22"/>
          <w:vertAlign w:val="superscript"/>
          <w:lang w:val="es-ES"/>
        </w:rPr>
        <w:footnoteReference w:id="6"/>
      </w:r>
      <w:r w:rsidRPr="004E1CE3">
        <w:rPr>
          <w:rFonts w:ascii="Arial" w:hAnsi="Arial" w:cs="Arial"/>
          <w:sz w:val="22"/>
          <w:szCs w:val="22"/>
          <w:lang w:val="es-ES"/>
        </w:rPr>
        <w:t xml:space="preserve"> Desde esta perspectiva, Cali viene mejorando su posición fiscal en la última década, en términos de la sostenibilidad del gasto de funcionamiento, la capacidad de generación </w:t>
      </w:r>
      <w:r w:rsidRPr="005F7004">
        <w:rPr>
          <w:rFonts w:ascii="Arial" w:hAnsi="Arial" w:cs="Arial"/>
          <w:sz w:val="22"/>
          <w:szCs w:val="22"/>
          <w:lang w:val="es-ES"/>
        </w:rPr>
        <w:t>ahorros para el pago de las acreencias, el crecimiento de la inversión pública, el esfuerzo fiscal y el respaldo del endeudamiento. Es así como la calificación del desempeño fiscal de Cali pasó de 49,7 puntos (de máximo 100 posibles) en 2004 a 70.1  puntos en 2014.</w:t>
      </w:r>
      <w:r w:rsidR="007B6A2F" w:rsidRPr="005F7004">
        <w:rPr>
          <w:rFonts w:ascii="Arial" w:eastAsiaTheme="minorEastAsia" w:hAnsi="Arial" w:cs="Arial"/>
          <w:sz w:val="22"/>
          <w:szCs w:val="22"/>
          <w:lang w:val="es-ES"/>
        </w:rPr>
        <w:tab/>
      </w:r>
    </w:p>
    <w:p w:rsidR="004E1CE3" w:rsidRPr="005F7004" w:rsidRDefault="004E1CE3" w:rsidP="004E1CE3">
      <w:pPr>
        <w:pStyle w:val="Paragraph"/>
        <w:numPr>
          <w:ilvl w:val="2"/>
          <w:numId w:val="17"/>
        </w:numPr>
        <w:ind w:left="1080"/>
        <w:rPr>
          <w:rFonts w:ascii="Arial" w:eastAsiaTheme="minorEastAsia" w:hAnsi="Arial" w:cs="Arial"/>
          <w:color w:val="000000" w:themeColor="text1"/>
          <w:kern w:val="24"/>
          <w:sz w:val="22"/>
          <w:szCs w:val="22"/>
          <w:lang w:val="es-CO"/>
        </w:rPr>
      </w:pPr>
      <w:r w:rsidRPr="005F7004">
        <w:rPr>
          <w:rFonts w:ascii="Arial" w:eastAsiaTheme="minorEastAsia" w:hAnsi="Arial" w:cs="Arial"/>
          <w:color w:val="000000" w:themeColor="text1"/>
          <w:kern w:val="24"/>
          <w:sz w:val="22"/>
          <w:szCs w:val="22"/>
          <w:lang w:val="es-CO"/>
        </w:rPr>
        <w:t>Hasta el año 2011, la situación fiscal del Municipio era evidentemente precaria caracterizada por un lento ritmo de crecimiento en los ingresos. Solo a partir de la recuperación de la autonomía tributaria</w:t>
      </w:r>
      <w:r w:rsidRPr="005F7004">
        <w:rPr>
          <w:rStyle w:val="FootnoteReference"/>
          <w:rFonts w:ascii="Arial" w:eastAsiaTheme="minorEastAsia" w:hAnsi="Arial" w:cs="Arial"/>
          <w:color w:val="000000" w:themeColor="text1"/>
          <w:kern w:val="24"/>
          <w:sz w:val="22"/>
          <w:szCs w:val="22"/>
          <w:lang w:val="es-CO"/>
        </w:rPr>
        <w:footnoteReference w:id="7"/>
      </w:r>
      <w:r w:rsidRPr="005F7004">
        <w:rPr>
          <w:rFonts w:ascii="Arial" w:eastAsiaTheme="minorEastAsia" w:hAnsi="Arial" w:cs="Arial"/>
          <w:color w:val="000000" w:themeColor="text1"/>
          <w:kern w:val="24"/>
          <w:sz w:val="22"/>
          <w:szCs w:val="22"/>
          <w:lang w:val="es-CO"/>
        </w:rPr>
        <w:t xml:space="preserve"> en 2012 las finanzas municipales comenzaron a reflejar el resultado de las acciones enfocadas a fortalecer la base tributaria. </w:t>
      </w:r>
    </w:p>
    <w:p w:rsidR="004E1CE3" w:rsidRPr="005F7004" w:rsidRDefault="004E1CE3" w:rsidP="004E1CE3">
      <w:pPr>
        <w:pStyle w:val="Paragraph"/>
        <w:numPr>
          <w:ilvl w:val="2"/>
          <w:numId w:val="17"/>
        </w:numPr>
        <w:ind w:left="1080"/>
        <w:rPr>
          <w:rFonts w:ascii="Arial" w:eastAsiaTheme="minorEastAsia" w:hAnsi="Arial" w:cs="Arial"/>
          <w:color w:val="000000" w:themeColor="text1"/>
          <w:kern w:val="24"/>
          <w:sz w:val="22"/>
          <w:szCs w:val="22"/>
          <w:lang w:val="es-CO"/>
        </w:rPr>
      </w:pPr>
      <w:r w:rsidRPr="005F7004">
        <w:rPr>
          <w:rFonts w:ascii="Arial" w:eastAsiaTheme="minorEastAsia" w:hAnsi="Arial" w:cs="Arial"/>
          <w:color w:val="000000" w:themeColor="text1"/>
          <w:kern w:val="24"/>
          <w:sz w:val="22"/>
          <w:szCs w:val="22"/>
          <w:lang w:val="es-CO"/>
        </w:rPr>
        <w:t xml:space="preserve">De acuerdo con las cifras oficiales reportadas por la Alcaldía, entre 2012 y 2015 (Cuadro 1) las rentas tributarias vienen creciendo sostenidamente a una tasa real promedio del 16.1%. En particular el impuesto Predial creció a una tasa del 20.8%. Dicho crecimiento se ha traducido en una ganancia de participación de los impuestos con respecto a los ingresos totales, los cuales pasaron de representar el 38% en 2012 a 43% en 2015. El aumento del recaudo de los ingresos tributarios se explica principalmente por la dinámica del impuesto predial y del impuesto de industria y comercio, los cuales representaron el 67% del total del recaudo tributario en 2015. Este crecimiento es el resultado de los alivios tributarios ofrecidos a los contribuyentes (ampliación en las fechas de pago, descuentos por pronto pago), programas de </w:t>
      </w:r>
      <w:r w:rsidRPr="005F7004">
        <w:rPr>
          <w:rFonts w:ascii="Arial" w:eastAsiaTheme="minorEastAsia" w:hAnsi="Arial" w:cs="Arial"/>
          <w:color w:val="000000" w:themeColor="text1"/>
          <w:kern w:val="24"/>
          <w:sz w:val="22"/>
          <w:szCs w:val="22"/>
          <w:lang w:val="es-CO"/>
        </w:rPr>
        <w:lastRenderedPageBreak/>
        <w:t>fiscalización,  seguimiento para recuperación de cartera, crecimiento del sector de la construcción</w:t>
      </w:r>
      <w:r w:rsidRPr="005F7004">
        <w:rPr>
          <w:rStyle w:val="FootnoteReference"/>
          <w:rFonts w:ascii="Arial" w:eastAsiaTheme="minorEastAsia" w:hAnsi="Arial" w:cs="Arial"/>
          <w:color w:val="000000" w:themeColor="text1"/>
          <w:kern w:val="24"/>
          <w:sz w:val="22"/>
          <w:szCs w:val="22"/>
          <w:lang w:val="es-CO"/>
        </w:rPr>
        <w:footnoteReference w:id="8"/>
      </w:r>
      <w:r w:rsidRPr="005F7004">
        <w:rPr>
          <w:rFonts w:ascii="Arial" w:eastAsiaTheme="minorEastAsia" w:hAnsi="Arial" w:cs="Arial"/>
          <w:color w:val="000000" w:themeColor="text1"/>
          <w:kern w:val="24"/>
          <w:sz w:val="22"/>
          <w:szCs w:val="22"/>
          <w:lang w:val="es-CO"/>
        </w:rPr>
        <w:t xml:space="preserve"> y a la actualización catastral en 2012 y 2013. </w:t>
      </w:r>
    </w:p>
    <w:p w:rsidR="004E1CE3" w:rsidRPr="004E1CE3" w:rsidRDefault="004E1CE3" w:rsidP="004E1CE3">
      <w:pPr>
        <w:pStyle w:val="ListParagraph"/>
        <w:spacing w:after="0" w:line="240" w:lineRule="auto"/>
        <w:ind w:left="480"/>
        <w:jc w:val="both"/>
        <w:textAlignment w:val="baseline"/>
        <w:rPr>
          <w:rFonts w:ascii="Arial" w:eastAsiaTheme="minorEastAsia" w:hAnsi="Arial" w:cs="Arial"/>
          <w:color w:val="000000" w:themeColor="text1"/>
          <w:kern w:val="24"/>
          <w:sz w:val="24"/>
          <w:szCs w:val="24"/>
          <w:lang w:val="es-CO"/>
        </w:rPr>
      </w:pPr>
    </w:p>
    <w:p w:rsidR="007B6A2F" w:rsidRPr="006E47DF" w:rsidRDefault="007B6A2F" w:rsidP="007B6A2F">
      <w:pPr>
        <w:pStyle w:val="ListParagraph"/>
        <w:ind w:left="0"/>
        <w:rPr>
          <w:rFonts w:ascii="Arial" w:hAnsi="Arial" w:cs="Arial"/>
          <w:lang w:val="es-ES"/>
        </w:rPr>
      </w:pPr>
      <w:r w:rsidRPr="006E47DF">
        <w:rPr>
          <w:rFonts w:ascii="Arial" w:hAnsi="Arial" w:cs="Arial"/>
          <w:noProof/>
          <w:lang w:val="es-CO" w:eastAsia="es-CO"/>
        </w:rPr>
        <w:drawing>
          <wp:inline distT="0" distB="0" distL="0" distR="0">
            <wp:extent cx="5943600" cy="3989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989705"/>
                    </a:xfrm>
                    <a:prstGeom prst="rect">
                      <a:avLst/>
                    </a:prstGeom>
                    <a:noFill/>
                    <a:ln>
                      <a:noFill/>
                    </a:ln>
                  </pic:spPr>
                </pic:pic>
              </a:graphicData>
            </a:graphic>
          </wp:inline>
        </w:drawing>
      </w:r>
    </w:p>
    <w:p w:rsidR="007B6A2F" w:rsidRPr="006E47DF" w:rsidRDefault="007B6A2F" w:rsidP="00622374">
      <w:pPr>
        <w:pStyle w:val="Paragraph"/>
        <w:numPr>
          <w:ilvl w:val="2"/>
          <w:numId w:val="17"/>
        </w:numPr>
        <w:ind w:left="1080"/>
        <w:rPr>
          <w:rFonts w:ascii="Arial" w:hAnsi="Arial" w:cs="Arial"/>
          <w:sz w:val="22"/>
          <w:szCs w:val="22"/>
          <w:lang w:val="es-ES"/>
        </w:rPr>
      </w:pPr>
      <w:r w:rsidRPr="006E47DF">
        <w:rPr>
          <w:rFonts w:ascii="Arial" w:hAnsi="Arial" w:cs="Arial"/>
          <w:sz w:val="22"/>
          <w:szCs w:val="22"/>
          <w:lang w:val="es-ES"/>
        </w:rPr>
        <w:t>Por su parte, los ingresos no tributarios tuvieron un crecimiento promedio anual del 4.4% explicado en su mayoría por la contribución por valorización asociada al nuevo plan de obras (MEGAOBRAS). Sin embargo, existe un importante espacio para incrementar la recaudación de los ingresos por plusvalías.</w:t>
      </w:r>
    </w:p>
    <w:p w:rsidR="007B6A2F" w:rsidRPr="006E47DF" w:rsidRDefault="007B6A2F" w:rsidP="00622374">
      <w:pPr>
        <w:pStyle w:val="Paragraph"/>
        <w:numPr>
          <w:ilvl w:val="2"/>
          <w:numId w:val="17"/>
        </w:numPr>
        <w:ind w:left="1080"/>
        <w:rPr>
          <w:rFonts w:ascii="Arial" w:hAnsi="Arial" w:cs="Arial"/>
          <w:sz w:val="22"/>
          <w:szCs w:val="22"/>
          <w:lang w:val="es-ES"/>
        </w:rPr>
      </w:pPr>
      <w:r w:rsidRPr="006E47DF">
        <w:rPr>
          <w:rFonts w:ascii="Arial" w:hAnsi="Arial" w:cs="Arial"/>
          <w:sz w:val="22"/>
          <w:szCs w:val="22"/>
          <w:lang w:val="es-ES"/>
        </w:rPr>
        <w:t xml:space="preserve">Por el lado del Gasto, además de los pagos atados a los compromisos de la deuda pública, el municipio mantiene unos gastos de funcionamiento del 18% de los gastos totales, los cuales sólo crecieron el 0,5% entre 2012 – 2015, representados en servicios personales, gastos generales y transferencias pagadas por nóminas y las destinadas por ley a al Concejo y los órganos de control. </w:t>
      </w:r>
    </w:p>
    <w:p w:rsidR="007B6A2F" w:rsidRPr="006E47DF" w:rsidRDefault="007B6A2F" w:rsidP="00622374">
      <w:pPr>
        <w:pStyle w:val="Paragraph"/>
        <w:numPr>
          <w:ilvl w:val="2"/>
          <w:numId w:val="17"/>
        </w:numPr>
        <w:ind w:left="1080"/>
        <w:rPr>
          <w:rFonts w:ascii="Arial" w:hAnsi="Arial" w:cs="Arial"/>
          <w:sz w:val="22"/>
          <w:szCs w:val="22"/>
          <w:lang w:val="es-ES"/>
        </w:rPr>
      </w:pPr>
      <w:r w:rsidRPr="006E47DF">
        <w:rPr>
          <w:rFonts w:ascii="Arial" w:hAnsi="Arial" w:cs="Arial"/>
          <w:sz w:val="22"/>
          <w:szCs w:val="22"/>
          <w:lang w:val="es-ES"/>
        </w:rPr>
        <w:t xml:space="preserve">Para el año 2015 Los Servicios Personales representaron el 24% de los gastos de funcionamiento, con un decrecimiento promedio real durante el periodo </w:t>
      </w:r>
      <w:r w:rsidRPr="006E47DF">
        <w:rPr>
          <w:rFonts w:ascii="Arial" w:hAnsi="Arial" w:cs="Arial"/>
          <w:sz w:val="22"/>
          <w:szCs w:val="22"/>
          <w:lang w:val="es-ES"/>
        </w:rPr>
        <w:br/>
        <w:t xml:space="preserve">2012-2015 del 11,2%. Estos Gastos incluyen los Gastos Salariales y Pensionales Asociados a la nómina de la Administración Central. </w:t>
      </w:r>
    </w:p>
    <w:p w:rsidR="007B6A2F" w:rsidRPr="006E47DF" w:rsidRDefault="007B6A2F" w:rsidP="00622374">
      <w:pPr>
        <w:pStyle w:val="Paragraph"/>
        <w:numPr>
          <w:ilvl w:val="2"/>
          <w:numId w:val="17"/>
        </w:numPr>
        <w:ind w:left="1080"/>
        <w:rPr>
          <w:rFonts w:ascii="Arial" w:hAnsi="Arial" w:cs="Arial"/>
          <w:sz w:val="22"/>
          <w:szCs w:val="22"/>
          <w:lang w:val="es-ES"/>
        </w:rPr>
      </w:pPr>
      <w:r w:rsidRPr="006E47DF">
        <w:rPr>
          <w:rFonts w:ascii="Arial" w:hAnsi="Arial" w:cs="Arial"/>
          <w:sz w:val="22"/>
          <w:szCs w:val="22"/>
          <w:lang w:val="es-ES"/>
        </w:rPr>
        <w:lastRenderedPageBreak/>
        <w:t xml:space="preserve">Las Transferencias de Funcionamiento, que incluyen las ordenadas por Ley a los Órganos de Control, a la Corporación ambiental - CVC, Fonpet y Cuerpo de Bomberos entre otros, representaron 65% de los gastos de funcionamiento para el año 2015 y con una variación del 2,8% promedio anual durante el periodo 2002-2015. </w:t>
      </w:r>
    </w:p>
    <w:p w:rsidR="007B6A2F" w:rsidRPr="006E47DF" w:rsidRDefault="007B6A2F" w:rsidP="00622374">
      <w:pPr>
        <w:pStyle w:val="Paragraph"/>
        <w:numPr>
          <w:ilvl w:val="2"/>
          <w:numId w:val="17"/>
        </w:numPr>
        <w:ind w:left="1080"/>
        <w:rPr>
          <w:rFonts w:ascii="Arial" w:hAnsi="Arial" w:cs="Arial"/>
          <w:sz w:val="22"/>
          <w:szCs w:val="22"/>
          <w:lang w:val="es-ES"/>
        </w:rPr>
      </w:pPr>
      <w:r w:rsidRPr="006E47DF">
        <w:rPr>
          <w:rFonts w:ascii="Arial" w:hAnsi="Arial" w:cs="Arial"/>
          <w:sz w:val="22"/>
          <w:szCs w:val="22"/>
          <w:lang w:val="es-ES"/>
        </w:rPr>
        <w:t xml:space="preserve">Los Gastos Generales para el año 2015 representaron el 12% de los Gastos de Funcionamiento con un crecimiento para el período del 11% promedio anual; estos gastos incluyen mantenimiento de locaciones y equipos, adquisición de equipo y material de trabajo, seguros, entre otros. </w:t>
      </w:r>
    </w:p>
    <w:p w:rsidR="007B6A2F" w:rsidRPr="006E47DF" w:rsidRDefault="007B6A2F" w:rsidP="00622374">
      <w:pPr>
        <w:pStyle w:val="Paragraph"/>
        <w:numPr>
          <w:ilvl w:val="2"/>
          <w:numId w:val="17"/>
        </w:numPr>
        <w:ind w:left="1080"/>
        <w:rPr>
          <w:rFonts w:ascii="Arial" w:hAnsi="Arial" w:cs="Arial"/>
          <w:sz w:val="22"/>
          <w:szCs w:val="22"/>
          <w:lang w:val="es-ES"/>
        </w:rPr>
      </w:pPr>
      <w:r w:rsidRPr="006E47DF">
        <w:rPr>
          <w:rFonts w:ascii="Arial" w:hAnsi="Arial" w:cs="Arial"/>
          <w:sz w:val="22"/>
          <w:szCs w:val="22"/>
          <w:lang w:val="es-ES"/>
        </w:rPr>
        <w:t>En términos de las normas de disciplina y responsabilidad fiscal, el Municipio ha cumplido los límites de gastos de funcionamiento con respecto a los ingresos corrientes de libre destinación, de acuerdo con lo establecido en la ley 617 de 2000. Para el 2015 el indicador fue del 35% frente al 50% que le permite la ley.</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 xml:space="preserve">El gasto de inversión del municipio representó el 81% del gasto total en 2015, creciendo en términos reales entre 2012 – 2015 a un ritmo promedio de 15% por año, con una inversión pública de Col$2.055.065 millones en el año 2015, de los cuales Col$979.380 millones se destinaron a la Formación Bruta de Capital Fijo. Sin embargo, Cali presenta deficiencias en su capacidad de formular proyectos de inversión pública estratégicos para la ciudad, lo que se ha traducido en una baja capacidad de ejecución del gasto de inversión, tal como lo evidencia los recursos resultan sin ejecutar (Recursos del Balance) en forma recurrente al finalizar cada vigencia. </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 xml:space="preserve">En el anterior contexto y dado los crecientes recursos que está recaudando la Alcaldía, la Administración municipal debe fortalecer su capacidad de planeación y de inversión municipal, fortaleciendo técnicamente a la Alcaldía en estructuración de proyectos y en su capacidad de generación de alternativas de inversión y manejo de mecanismos financieros que faciliten la inversión en el municipio tanto pública como privada. </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En términos de deuda, el saldo de la deuda financiera vigente, asciende a Col$191.857 millones, lo que representa el 13% de los ingresos corrientes del Municipio. Es importante reconocer la notable disminución del endeudamiento del Municipio; el saldo de deuda disminuyó en un 44% entre 2012 y 2015, lo cual le permite a la Ciudad liberar espacio para la inversión, mejorar los indicadores de sostenibilidad y aumentar la capacidad de endeudamiento.</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No obstante lo anterior, la Alcaldía cuenta con más de 3.000 procesos judiciales instaurados en su contra por un monto de Col$1.217.850 millones, de los cuales   el 22% (Col$146 mil millones) constituye pasivos exigibles</w:t>
      </w:r>
      <w:r w:rsidRPr="006E47DF">
        <w:rPr>
          <w:rFonts w:ascii="Arial" w:hAnsi="Arial" w:cs="Arial"/>
          <w:sz w:val="22"/>
          <w:szCs w:val="22"/>
          <w:lang w:val="es-ES"/>
        </w:rPr>
        <w:footnoteReference w:id="9"/>
      </w:r>
      <w:r w:rsidRPr="006E47DF">
        <w:rPr>
          <w:rFonts w:ascii="Arial" w:hAnsi="Arial" w:cs="Arial"/>
          <w:sz w:val="22"/>
          <w:szCs w:val="22"/>
          <w:lang w:val="es-ES"/>
        </w:rPr>
        <w:t>.</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 xml:space="preserve">Lo anterior le  plantea al Gobierno de la Ciudad, de un lado, fortalecer las capacidades de la Administración para identificar adecuadamente las acreencias en curso y las nuevas que viene experimentando el municipio y, de otro lado, crear un modelo de defensa jurídica que blinde a la entidad de pretensiones injustificadas y minimice la pérdida de procesos. Ello implica crear un sistema de gestión de obligaciones contingentes, con el fin de </w:t>
      </w:r>
      <w:r w:rsidRPr="006E47DF">
        <w:rPr>
          <w:rFonts w:ascii="Arial" w:hAnsi="Arial" w:cs="Arial"/>
          <w:sz w:val="22"/>
          <w:szCs w:val="22"/>
          <w:lang w:val="es-ES"/>
        </w:rPr>
        <w:lastRenderedPageBreak/>
        <w:t>disminuir los gastos asociados a las demandas judiciales, realizar las respectivas provisiones y mejorar la planeación financiera de mediano plazo.</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De acuerdo al Marco Fiscal de Mediano Plazo 2016-2026, presentado por la Alcaldía para dar cumplimiento a la Ley 819 de 2003, el gobierno local prevé superávits primarios hasta el 2018, suficientes para cubrir el servicio de la deuda (ver cuadro 2). Esta senda indica que el Municipio genera los suficientes recursos para atender las obligaciones de gasto planeadas en el mediano plazo, y honrar el pago de la deuda tal como lo determina la programación convenida con los acreedores sin adquirir deuda adicional en el horizonte analizado. Para el 2016 el superávit primario es 5,20 veces el pago de los intereses, con lo que se dispone de un margen considerable en caso de mayor volatilidad en el mercado financiero.</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Capacidad de endeudamiento del Municipio de Santiago de Cali. De acuerdo con la Ley 358 de 1997 y la Ley 819 de 2003, una entidad territorial tendrá capacidad de pago (autonomía para endeudarse- SEMAFORO VERDE), cuando los indicadores dispuestos por la ley incluido el nuevo crédito presenten los siguientes niveles:</w:t>
      </w:r>
    </w:p>
    <w:p w:rsidR="007B6A2F" w:rsidRPr="0037192D" w:rsidRDefault="007B6A2F" w:rsidP="00327570">
      <w:pPr>
        <w:pStyle w:val="SubHeading1"/>
        <w:spacing w:before="0" w:after="0"/>
        <w:rPr>
          <w:rFonts w:ascii="Arial" w:hAnsi="Arial" w:cs="Arial"/>
          <w:b w:val="0"/>
          <w:sz w:val="22"/>
          <w:szCs w:val="22"/>
        </w:rPr>
      </w:pPr>
      <w:r w:rsidRPr="0037192D">
        <w:rPr>
          <w:rFonts w:ascii="Arial" w:hAnsi="Arial" w:cs="Arial"/>
          <w:b w:val="0"/>
          <w:sz w:val="22"/>
          <w:szCs w:val="22"/>
        </w:rPr>
        <w:t>SOLVENCIA</w:t>
      </w:r>
      <w:r w:rsidRPr="0037192D">
        <w:rPr>
          <w:rFonts w:ascii="Arial" w:hAnsi="Arial" w:cs="Arial"/>
          <w:b w:val="0"/>
          <w:sz w:val="22"/>
          <w:szCs w:val="22"/>
          <w:vertAlign w:val="superscript"/>
        </w:rPr>
        <w:footnoteReference w:id="10"/>
      </w:r>
      <w:r w:rsidRPr="0037192D">
        <w:rPr>
          <w:rFonts w:ascii="Arial" w:hAnsi="Arial" w:cs="Arial"/>
          <w:b w:val="0"/>
          <w:sz w:val="22"/>
          <w:szCs w:val="22"/>
        </w:rPr>
        <w:t>: Intereses deuda / ahorro operacional ≤ 40% y</w:t>
      </w:r>
    </w:p>
    <w:p w:rsidR="007B6A2F" w:rsidRPr="0037192D" w:rsidRDefault="007B6A2F" w:rsidP="00327570">
      <w:pPr>
        <w:pStyle w:val="SubHeading1"/>
        <w:spacing w:before="0" w:after="0"/>
        <w:rPr>
          <w:rFonts w:ascii="Arial" w:hAnsi="Arial" w:cs="Arial"/>
          <w:b w:val="0"/>
          <w:sz w:val="22"/>
          <w:szCs w:val="22"/>
        </w:rPr>
      </w:pPr>
      <w:r w:rsidRPr="0037192D">
        <w:rPr>
          <w:rFonts w:ascii="Arial" w:hAnsi="Arial" w:cs="Arial"/>
          <w:b w:val="0"/>
          <w:sz w:val="22"/>
          <w:szCs w:val="22"/>
        </w:rPr>
        <w:t>SOSTENIBILIDAD</w:t>
      </w:r>
      <w:r w:rsidRPr="0037192D">
        <w:rPr>
          <w:rFonts w:ascii="Arial" w:hAnsi="Arial" w:cs="Arial"/>
          <w:b w:val="0"/>
          <w:sz w:val="22"/>
          <w:szCs w:val="22"/>
          <w:vertAlign w:val="superscript"/>
        </w:rPr>
        <w:footnoteReference w:id="11"/>
      </w:r>
      <w:r w:rsidRPr="0037192D">
        <w:rPr>
          <w:rFonts w:ascii="Arial" w:hAnsi="Arial" w:cs="Arial"/>
          <w:b w:val="0"/>
          <w:sz w:val="22"/>
          <w:szCs w:val="22"/>
        </w:rPr>
        <w:t>: Saldo deuda / ingresos corrientes &lt; 80%</w:t>
      </w:r>
    </w:p>
    <w:p w:rsidR="007B6A2F" w:rsidRPr="0037192D" w:rsidRDefault="007B6A2F" w:rsidP="00327570">
      <w:pPr>
        <w:pStyle w:val="SubHeading1"/>
        <w:spacing w:before="0" w:after="0"/>
        <w:rPr>
          <w:rFonts w:ascii="Arial" w:hAnsi="Arial" w:cs="Arial"/>
          <w:b w:val="0"/>
          <w:sz w:val="22"/>
          <w:szCs w:val="22"/>
        </w:rPr>
      </w:pPr>
      <w:r w:rsidRPr="0037192D">
        <w:rPr>
          <w:rFonts w:ascii="Arial" w:hAnsi="Arial" w:cs="Arial"/>
          <w:b w:val="0"/>
          <w:sz w:val="22"/>
          <w:szCs w:val="22"/>
        </w:rPr>
        <w:t>SUPERÁVIT PRIMARIO</w:t>
      </w:r>
      <w:r w:rsidRPr="0037192D">
        <w:rPr>
          <w:rFonts w:ascii="Arial" w:hAnsi="Arial" w:cs="Arial"/>
          <w:b w:val="0"/>
          <w:sz w:val="22"/>
          <w:szCs w:val="22"/>
          <w:vertAlign w:val="superscript"/>
        </w:rPr>
        <w:footnoteReference w:id="12"/>
      </w:r>
      <w:r w:rsidRPr="0037192D">
        <w:rPr>
          <w:rFonts w:ascii="Arial" w:hAnsi="Arial" w:cs="Arial"/>
          <w:b w:val="0"/>
          <w:sz w:val="22"/>
          <w:szCs w:val="22"/>
        </w:rPr>
        <w:t xml:space="preserve"> / Intereses, debe ser mayor o igual a 100%.</w:t>
      </w:r>
    </w:p>
    <w:p w:rsidR="007B6A2F" w:rsidRPr="006E47DF" w:rsidRDefault="007B6A2F" w:rsidP="0037192D">
      <w:pPr>
        <w:pStyle w:val="Paragraph"/>
        <w:numPr>
          <w:ilvl w:val="2"/>
          <w:numId w:val="8"/>
        </w:numPr>
        <w:ind w:left="1080"/>
        <w:rPr>
          <w:rFonts w:ascii="Arial" w:hAnsi="Arial" w:cs="Arial"/>
          <w:sz w:val="22"/>
          <w:szCs w:val="22"/>
          <w:lang w:val="es-ES"/>
        </w:rPr>
      </w:pPr>
      <w:r w:rsidRPr="006E47DF">
        <w:rPr>
          <w:rFonts w:ascii="Arial" w:hAnsi="Arial" w:cs="Arial"/>
          <w:sz w:val="22"/>
          <w:szCs w:val="22"/>
          <w:lang w:val="es-ES"/>
        </w:rPr>
        <w:t xml:space="preserve">Por lo anterior y dadas las proyecciones de Ingresos Corrientes y Ahorro Operacional presentadas en el MFMP y el perfil de amortizaciones e intereses de deuda actual, el municipio cumpliría con los niveles de Solvencia y Superávit Primario. Así mismo, el indicador de Sostenibilidad sería de 21,38% en 2016, 13,59% en 2017 y 6,5% en 2018, con lo cual el espacio de endeudamiento sería de aproximadamente Col$500 mil millones en 2016. Sin embargo, de acuerdo con lo informado por la Secretaría de Hacienda Municipal, tienen estimado que el crédito sea desembolsado en tres montos de Col$100.000 millones anuales a partir del 2017, para lo cual la ciudad contaría con el espacio de endeudamiento suficiente para asumir el crédito, tal como se evidencia en los análisis reflejados en el </w:t>
      </w:r>
      <w:r w:rsidR="004E1CE3">
        <w:rPr>
          <w:rFonts w:ascii="Arial" w:hAnsi="Arial" w:cs="Arial"/>
          <w:sz w:val="22"/>
          <w:szCs w:val="22"/>
          <w:lang w:val="es-ES"/>
        </w:rPr>
        <w:t>C</w:t>
      </w:r>
      <w:r w:rsidRPr="006E47DF">
        <w:rPr>
          <w:rFonts w:ascii="Arial" w:hAnsi="Arial" w:cs="Arial"/>
          <w:sz w:val="22"/>
          <w:szCs w:val="22"/>
          <w:lang w:val="es-ES"/>
        </w:rPr>
        <w:t>uadro 2.</w:t>
      </w:r>
    </w:p>
    <w:p w:rsidR="007B6A2F" w:rsidRPr="006E47DF" w:rsidRDefault="007B6A2F" w:rsidP="007B6A2F">
      <w:pPr>
        <w:jc w:val="both"/>
        <w:rPr>
          <w:rFonts w:ascii="Arial" w:hAnsi="Arial" w:cs="Arial"/>
          <w:lang w:val="es-ES"/>
        </w:rPr>
      </w:pPr>
      <w:r w:rsidRPr="006E47DF">
        <w:rPr>
          <w:rFonts w:ascii="Arial" w:hAnsi="Arial" w:cs="Arial"/>
          <w:noProof/>
          <w:lang w:val="es-CO" w:eastAsia="es-CO"/>
        </w:rPr>
        <w:lastRenderedPageBreak/>
        <w:drawing>
          <wp:inline distT="0" distB="0" distL="0" distR="0">
            <wp:extent cx="5943600" cy="3287843"/>
            <wp:effectExtent l="0" t="0" r="0" b="8255"/>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287843"/>
                    </a:xfrm>
                    <a:prstGeom prst="rect">
                      <a:avLst/>
                    </a:prstGeom>
                    <a:noFill/>
                    <a:ln>
                      <a:noFill/>
                    </a:ln>
                  </pic:spPr>
                </pic:pic>
              </a:graphicData>
            </a:graphic>
          </wp:inline>
        </w:drawing>
      </w:r>
    </w:p>
    <w:p w:rsidR="007B6A2F" w:rsidRPr="006E47DF" w:rsidRDefault="007B6A2F" w:rsidP="00327570">
      <w:pPr>
        <w:pStyle w:val="Paragraph"/>
        <w:numPr>
          <w:ilvl w:val="2"/>
          <w:numId w:val="8"/>
        </w:numPr>
        <w:ind w:left="1170"/>
        <w:rPr>
          <w:rFonts w:ascii="Arial" w:hAnsi="Arial" w:cs="Arial"/>
          <w:sz w:val="22"/>
          <w:szCs w:val="22"/>
          <w:lang w:val="es-ES"/>
        </w:rPr>
      </w:pPr>
      <w:r w:rsidRPr="006E47DF">
        <w:rPr>
          <w:rFonts w:ascii="Arial" w:hAnsi="Arial" w:cs="Arial"/>
          <w:sz w:val="22"/>
          <w:szCs w:val="22"/>
          <w:lang w:val="es-ES"/>
        </w:rPr>
        <w:t xml:space="preserve">Por lo anterior, es evidente que el Municipio tiene la posibilidad de adquirir nuevos recursos a través de crédito de forma autónoma. Sin embargo, como el Municipio está en el Programa de Saneamiento Fiscal hasta el año 2018 cualquier empréstito adicional requiere de la autorización del Comité de Seguimiento al Programa de Ajuste Fiscal y Financiero. </w:t>
      </w:r>
    </w:p>
    <w:p w:rsidR="007B6A2F" w:rsidRPr="006E47DF" w:rsidRDefault="007B6A2F" w:rsidP="00327570">
      <w:pPr>
        <w:pStyle w:val="Paragraph"/>
        <w:numPr>
          <w:ilvl w:val="2"/>
          <w:numId w:val="8"/>
        </w:numPr>
        <w:ind w:left="1170"/>
        <w:rPr>
          <w:rFonts w:ascii="Arial" w:hAnsi="Arial" w:cs="Arial"/>
          <w:sz w:val="22"/>
          <w:szCs w:val="22"/>
          <w:lang w:val="es-ES"/>
        </w:rPr>
      </w:pPr>
      <w:r w:rsidRPr="006E47DF">
        <w:rPr>
          <w:rFonts w:ascii="Arial" w:hAnsi="Arial" w:cs="Arial"/>
          <w:sz w:val="22"/>
          <w:szCs w:val="22"/>
          <w:lang w:val="es-ES"/>
        </w:rPr>
        <w:t>La Alcaldía de Cali, después de su diagnóstico y ejercicio de planeación estratégica, ha identificado que requiere de forma prioritaria las tecnologías de información para fortalecerse institucionalmente, optimizar las finanzas (tal como se evidencia en el diagnostico anteriormente descrito), hacer más eficiente el uso de los recursos municipales, reducir los riesgos de corrupción y prestar mejores servicios a la ciudadanía.</w:t>
      </w:r>
    </w:p>
    <w:p w:rsidR="007B6A2F" w:rsidRPr="006E47DF" w:rsidRDefault="007B6A2F" w:rsidP="00327570">
      <w:pPr>
        <w:pStyle w:val="Paragraph"/>
        <w:numPr>
          <w:ilvl w:val="2"/>
          <w:numId w:val="8"/>
        </w:numPr>
        <w:ind w:left="1170"/>
        <w:rPr>
          <w:rFonts w:ascii="Arial" w:hAnsi="Arial" w:cs="Arial"/>
          <w:sz w:val="22"/>
          <w:szCs w:val="22"/>
          <w:lang w:val="es-ES"/>
        </w:rPr>
      </w:pPr>
      <w:r w:rsidRPr="006E47DF">
        <w:rPr>
          <w:rFonts w:ascii="Arial" w:hAnsi="Arial" w:cs="Arial"/>
          <w:sz w:val="22"/>
          <w:szCs w:val="22"/>
          <w:lang w:val="es-ES"/>
        </w:rPr>
        <w:t xml:space="preserve">En la búsqueda del Fortalecimiento Institucional y financiero de la Administración municipal  y de mejora de sus  procesos internos se propone la implementación de la  Plataforma Integradora que  permita:  i) gestionar la Alcaldía en Función de resultados: vincular la formulación y ejecución del presupuesto y sus proyectos a los objetivos estratégicos, ii) </w:t>
      </w:r>
      <w:r w:rsidR="00826201" w:rsidRPr="00826201">
        <w:rPr>
          <w:rFonts w:ascii="Arial" w:hAnsi="Arial" w:cs="Arial"/>
          <w:sz w:val="22"/>
          <w:szCs w:val="22"/>
          <w:lang w:val="es-ES"/>
        </w:rPr>
        <w:t>Optimizar la gestión de cobranza de tributos: optimizar la cobranza de tributos y bajar los tiempos de recuperación de cartera</w:t>
      </w:r>
      <w:r w:rsidRPr="006E47DF">
        <w:rPr>
          <w:rFonts w:ascii="Arial" w:hAnsi="Arial" w:cs="Arial"/>
          <w:sz w:val="22"/>
          <w:szCs w:val="22"/>
          <w:lang w:val="es-ES"/>
        </w:rPr>
        <w:t xml:space="preserve">, iii) </w:t>
      </w:r>
      <w:r w:rsidR="00826201" w:rsidRPr="00826201">
        <w:rPr>
          <w:rFonts w:ascii="Arial" w:hAnsi="Arial" w:cs="Arial"/>
          <w:sz w:val="22"/>
          <w:szCs w:val="22"/>
          <w:lang w:val="es-ES"/>
        </w:rPr>
        <w:t>Estructurar una Vista 360° del ciudadano: tener una visión integral del ciudadano y todas sus interacciones con la ciudad, ya sea como contribuyente, beneficiario o simplemente para emitir su opinión o queja, y participar en los procesos de la Administración municipal.</w:t>
      </w:r>
      <w:r w:rsidRPr="006E47DF">
        <w:rPr>
          <w:rFonts w:ascii="Arial" w:hAnsi="Arial" w:cs="Arial"/>
          <w:sz w:val="22"/>
          <w:szCs w:val="22"/>
          <w:lang w:val="es-ES"/>
        </w:rPr>
        <w:t xml:space="preserve"> El desempeño financiero de Cali puede mejorar si se elevan las capacidades de administración financiera. Estas capacidades implican mejorar los procedimientos de planificación financiera de mediano plazo, la implementación y ejecución del presupuesto y la adopción de procedimientos e información compatibles con los estándares internacionales.</w:t>
      </w:r>
    </w:p>
    <w:p w:rsidR="007B6A2F" w:rsidRDefault="007B6A2F" w:rsidP="007B6A2F">
      <w:pPr>
        <w:pStyle w:val="ListParagraph"/>
        <w:tabs>
          <w:tab w:val="left" w:pos="810"/>
          <w:tab w:val="left" w:pos="1440"/>
        </w:tabs>
        <w:spacing w:after="0" w:line="20" w:lineRule="atLeast"/>
        <w:jc w:val="both"/>
        <w:rPr>
          <w:rFonts w:ascii="Arial" w:hAnsi="Arial" w:cs="Arial"/>
          <w:lang w:val="es-ES"/>
        </w:rPr>
      </w:pPr>
    </w:p>
    <w:p w:rsidR="00327570" w:rsidRDefault="00327570" w:rsidP="007B6A2F">
      <w:pPr>
        <w:pStyle w:val="ListParagraph"/>
        <w:tabs>
          <w:tab w:val="left" w:pos="810"/>
          <w:tab w:val="left" w:pos="1440"/>
        </w:tabs>
        <w:spacing w:after="0" w:line="20" w:lineRule="atLeast"/>
        <w:jc w:val="both"/>
        <w:rPr>
          <w:rFonts w:ascii="Arial" w:hAnsi="Arial" w:cs="Arial"/>
          <w:lang w:val="es-ES"/>
        </w:rPr>
      </w:pPr>
    </w:p>
    <w:p w:rsidR="00327570" w:rsidRPr="00923F8A" w:rsidRDefault="00327570" w:rsidP="007B6A2F">
      <w:pPr>
        <w:pStyle w:val="ListParagraph"/>
        <w:tabs>
          <w:tab w:val="left" w:pos="810"/>
          <w:tab w:val="left" w:pos="1440"/>
        </w:tabs>
        <w:spacing w:after="0" w:line="20" w:lineRule="atLeast"/>
        <w:jc w:val="both"/>
        <w:rPr>
          <w:rFonts w:ascii="Arial" w:hAnsi="Arial" w:cs="Arial"/>
          <w:lang w:val="es-ES"/>
        </w:rPr>
      </w:pPr>
    </w:p>
    <w:p w:rsidR="007B6A2F" w:rsidRPr="00923F8A" w:rsidRDefault="007B6A2F" w:rsidP="007B6A2F">
      <w:pPr>
        <w:pStyle w:val="ListParagraph"/>
        <w:numPr>
          <w:ilvl w:val="0"/>
          <w:numId w:val="1"/>
        </w:numPr>
        <w:spacing w:after="0" w:line="20" w:lineRule="atLeast"/>
        <w:jc w:val="both"/>
        <w:rPr>
          <w:rFonts w:ascii="Arial" w:hAnsi="Arial" w:cs="Arial"/>
          <w:b/>
          <w:lang w:val="es-ES_tradnl"/>
        </w:rPr>
      </w:pPr>
      <w:r w:rsidRPr="00923F8A">
        <w:rPr>
          <w:rFonts w:ascii="Arial" w:hAnsi="Arial" w:cs="Arial"/>
          <w:b/>
          <w:lang w:val="es-ES_tradnl"/>
        </w:rPr>
        <w:t>ESTRATEGIA Y JUSTIFICACION DE LA PARTICIPACION DEL BANCO</w:t>
      </w:r>
    </w:p>
    <w:p w:rsidR="007B6A2F" w:rsidRDefault="007B6A2F" w:rsidP="007B6A2F">
      <w:pPr>
        <w:pStyle w:val="ListParagraph"/>
        <w:spacing w:after="0" w:line="20" w:lineRule="atLeast"/>
        <w:ind w:left="360"/>
        <w:jc w:val="both"/>
        <w:rPr>
          <w:rFonts w:ascii="Arial" w:hAnsi="Arial" w:cs="Arial"/>
          <w:b/>
          <w:lang w:val="es-ES_tradnl"/>
        </w:rPr>
      </w:pPr>
    </w:p>
    <w:p w:rsidR="007B6A2F" w:rsidRDefault="007B6A2F" w:rsidP="007B6A2F">
      <w:pPr>
        <w:pStyle w:val="ListParagraph"/>
        <w:numPr>
          <w:ilvl w:val="1"/>
          <w:numId w:val="1"/>
        </w:numPr>
        <w:spacing w:after="0" w:line="20" w:lineRule="atLeast"/>
        <w:jc w:val="both"/>
        <w:rPr>
          <w:rFonts w:ascii="Arial" w:hAnsi="Arial" w:cs="Arial"/>
          <w:lang w:val="es-ES_tradnl"/>
        </w:rPr>
      </w:pPr>
      <w:r>
        <w:rPr>
          <w:rFonts w:ascii="Arial" w:hAnsi="Arial" w:cs="Arial"/>
          <w:lang w:val="es-ES_tradnl"/>
        </w:rPr>
        <w:t>La Estrategia del Tercer</w:t>
      </w:r>
      <w:r w:rsidR="00FF08AF">
        <w:rPr>
          <w:rFonts w:ascii="Arial" w:hAnsi="Arial" w:cs="Arial"/>
          <w:lang w:val="es-ES_tradnl"/>
        </w:rPr>
        <w:t xml:space="preserve"> Programa</w:t>
      </w:r>
      <w:r>
        <w:rPr>
          <w:rFonts w:ascii="Arial" w:hAnsi="Arial" w:cs="Arial"/>
          <w:lang w:val="es-ES_tradnl"/>
        </w:rPr>
        <w:t xml:space="preserve"> </w:t>
      </w:r>
      <w:r w:rsidR="00FF08AF" w:rsidRPr="00AD21C5">
        <w:rPr>
          <w:rFonts w:ascii="Arial" w:hAnsi="Arial" w:cs="Arial"/>
          <w:lang w:val="es-ES_tradnl"/>
        </w:rPr>
        <w:t>de fortalecimiento fiscal y del gasto en inversión pública para entidades territoriales y sus empresas de servicios públicos</w:t>
      </w:r>
      <w:r>
        <w:rPr>
          <w:rFonts w:ascii="Arial" w:hAnsi="Arial" w:cs="Arial"/>
          <w:lang w:val="es-ES_tradnl"/>
        </w:rPr>
        <w:t xml:space="preserve"> (CO-L1165) consiste en atender las necesidades de financiamiento de las ciudades participantes asegurando a su vez la sostenibilidad fiscal del municipio</w:t>
      </w:r>
      <w:r w:rsidR="00FF08AF">
        <w:rPr>
          <w:rFonts w:ascii="Arial" w:hAnsi="Arial" w:cs="Arial"/>
          <w:lang w:val="es-ES_tradnl"/>
        </w:rPr>
        <w:t>/distito</w:t>
      </w:r>
      <w:r>
        <w:rPr>
          <w:rFonts w:ascii="Arial" w:hAnsi="Arial" w:cs="Arial"/>
          <w:lang w:val="es-ES_tradnl"/>
        </w:rPr>
        <w:t>. Lo anterior implica la identificación de un plan pluri-anual de inversiones que incorpore acciones prioritarias en materia de asistencia técnica y proyectos de inversión en servicios públicos y desarrollo municipa</w:t>
      </w:r>
      <w:r w:rsidR="00FF08AF">
        <w:rPr>
          <w:rFonts w:ascii="Arial" w:hAnsi="Arial" w:cs="Arial"/>
          <w:lang w:val="es-ES_tradnl"/>
        </w:rPr>
        <w:t>/distrita</w:t>
      </w:r>
      <w:r>
        <w:rPr>
          <w:rFonts w:ascii="Arial" w:hAnsi="Arial" w:cs="Arial"/>
          <w:lang w:val="es-ES_tradnl"/>
        </w:rPr>
        <w:t>l. Para asegurar el cumplimiento de esta estrategia, en el marco de este Tercer Programa, se prevé la aplicación de los siguientes criterios de elegibilidad: (i) las entidades proponentes de los proyectos podrán ser l</w:t>
      </w:r>
      <w:r w:rsidR="00FF08AF">
        <w:rPr>
          <w:rFonts w:ascii="Arial" w:hAnsi="Arial" w:cs="Arial"/>
          <w:lang w:val="es-ES_tradnl"/>
        </w:rPr>
        <w:t>o</w:t>
      </w:r>
      <w:r>
        <w:rPr>
          <w:rFonts w:ascii="Arial" w:hAnsi="Arial" w:cs="Arial"/>
          <w:lang w:val="es-ES_tradnl"/>
        </w:rPr>
        <w:t>s municip</w:t>
      </w:r>
      <w:r w:rsidR="00FF08AF">
        <w:rPr>
          <w:rFonts w:ascii="Arial" w:hAnsi="Arial" w:cs="Arial"/>
          <w:lang w:val="es-ES_tradnl"/>
        </w:rPr>
        <w:t>ios/distritos</w:t>
      </w:r>
      <w:r>
        <w:rPr>
          <w:rFonts w:ascii="Arial" w:hAnsi="Arial" w:cs="Arial"/>
          <w:lang w:val="es-ES_tradnl"/>
        </w:rPr>
        <w:t>, las entidades proveedoras de servicios públicos legalmente constituidas, y/o las agencias de desarrollo urbano/metropolitano en las cuales el municipio</w:t>
      </w:r>
      <w:r w:rsidR="00FF08AF">
        <w:rPr>
          <w:rFonts w:ascii="Arial" w:hAnsi="Arial" w:cs="Arial"/>
          <w:lang w:val="es-ES_tradnl"/>
        </w:rPr>
        <w:t>/distrito</w:t>
      </w:r>
      <w:r>
        <w:rPr>
          <w:rFonts w:ascii="Arial" w:hAnsi="Arial" w:cs="Arial"/>
          <w:lang w:val="es-ES_tradnl"/>
        </w:rPr>
        <w:t xml:space="preserve"> tenga participación; (ii) las prioridades y demandas identificadas para el financiamiento deberán ser parte Plan de Desarrollo Municipal, del Plan de Acción</w:t>
      </w:r>
      <w:r w:rsidR="00286983">
        <w:rPr>
          <w:rFonts w:ascii="Arial" w:hAnsi="Arial" w:cs="Arial"/>
          <w:lang w:val="es-ES_tradnl"/>
        </w:rPr>
        <w:t xml:space="preserve"> del Programa </w:t>
      </w:r>
      <w:r>
        <w:rPr>
          <w:rFonts w:ascii="Arial" w:hAnsi="Arial" w:cs="Arial"/>
          <w:lang w:val="es-ES_tradnl"/>
        </w:rPr>
        <w:t>C</w:t>
      </w:r>
      <w:r w:rsidR="00286983">
        <w:rPr>
          <w:rFonts w:ascii="Arial" w:hAnsi="Arial" w:cs="Arial"/>
          <w:lang w:val="es-ES_tradnl"/>
        </w:rPr>
        <w:t xml:space="preserve">iudades </w:t>
      </w:r>
      <w:r>
        <w:rPr>
          <w:rFonts w:ascii="Arial" w:hAnsi="Arial" w:cs="Arial"/>
          <w:lang w:val="es-ES_tradnl"/>
        </w:rPr>
        <w:t>E</w:t>
      </w:r>
      <w:r w:rsidR="00286983">
        <w:rPr>
          <w:rFonts w:ascii="Arial" w:hAnsi="Arial" w:cs="Arial"/>
          <w:lang w:val="es-ES_tradnl"/>
        </w:rPr>
        <w:t xml:space="preserve">mergentes y </w:t>
      </w:r>
      <w:r>
        <w:rPr>
          <w:rFonts w:ascii="Arial" w:hAnsi="Arial" w:cs="Arial"/>
          <w:lang w:val="es-ES_tradnl"/>
        </w:rPr>
        <w:t>S</w:t>
      </w:r>
      <w:r w:rsidR="00286983">
        <w:rPr>
          <w:rFonts w:ascii="Arial" w:hAnsi="Arial" w:cs="Arial"/>
          <w:lang w:val="es-ES_tradnl"/>
        </w:rPr>
        <w:t>ostenibles -CES</w:t>
      </w:r>
      <w:r>
        <w:rPr>
          <w:rFonts w:ascii="Arial" w:hAnsi="Arial" w:cs="Arial"/>
          <w:lang w:val="es-ES_tradnl"/>
        </w:rPr>
        <w:t xml:space="preserve"> correspondiente, o del Plan de inversiones Sectoriales del municipio</w:t>
      </w:r>
      <w:r w:rsidR="00FF08AF">
        <w:rPr>
          <w:rFonts w:ascii="Arial" w:hAnsi="Arial" w:cs="Arial"/>
          <w:lang w:val="es-ES_tradnl"/>
        </w:rPr>
        <w:t>/distrito</w:t>
      </w:r>
      <w:r>
        <w:rPr>
          <w:rFonts w:ascii="Arial" w:hAnsi="Arial" w:cs="Arial"/>
          <w:lang w:val="es-ES_tradnl"/>
        </w:rPr>
        <w:t>; (iii) los sectores elegibles son los que se proponen en el Tercer Programa de la Línea CCLIP (CO-L1165) con FINDETER; y (iv) los proyectos y las acciones identificadas deberán contar con los estudios correspondientes para ser ejecutadas en el corto y mediano plazos y en el período de ejecución del préstamo.</w:t>
      </w:r>
      <w:bookmarkStart w:id="0" w:name="_GoBack"/>
      <w:bookmarkEnd w:id="0"/>
    </w:p>
    <w:p w:rsidR="007B6A2F" w:rsidRDefault="007B6A2F" w:rsidP="007B6A2F">
      <w:pPr>
        <w:pStyle w:val="ListParagraph"/>
        <w:spacing w:after="0" w:line="20" w:lineRule="atLeast"/>
        <w:ind w:left="792" w:firstLine="720"/>
        <w:jc w:val="both"/>
        <w:rPr>
          <w:rFonts w:ascii="Arial" w:hAnsi="Arial" w:cs="Arial"/>
          <w:lang w:val="es-ES_tradnl"/>
        </w:rPr>
      </w:pPr>
    </w:p>
    <w:p w:rsidR="007B6A2F" w:rsidRDefault="007B6A2F" w:rsidP="007B6A2F">
      <w:pPr>
        <w:pStyle w:val="ListParagraph"/>
        <w:spacing w:after="0" w:line="20" w:lineRule="atLeast"/>
        <w:ind w:left="792"/>
        <w:jc w:val="both"/>
        <w:rPr>
          <w:rFonts w:ascii="Arial" w:hAnsi="Arial" w:cs="Arial"/>
          <w:lang w:val="es-ES_tradnl"/>
        </w:rPr>
      </w:pPr>
    </w:p>
    <w:p w:rsidR="007B6A2F" w:rsidRDefault="007B6A2F" w:rsidP="007B6A2F">
      <w:pPr>
        <w:pStyle w:val="ListParagraph"/>
        <w:numPr>
          <w:ilvl w:val="0"/>
          <w:numId w:val="1"/>
        </w:numPr>
        <w:spacing w:after="0" w:line="20" w:lineRule="atLeast"/>
        <w:jc w:val="both"/>
        <w:rPr>
          <w:rFonts w:ascii="Arial" w:hAnsi="Arial" w:cs="Arial"/>
          <w:b/>
          <w:lang w:val="es-ES_tradnl"/>
        </w:rPr>
      </w:pPr>
      <w:r>
        <w:rPr>
          <w:rFonts w:ascii="Arial" w:hAnsi="Arial" w:cs="Arial"/>
          <w:b/>
          <w:lang w:val="es-ES_tradnl"/>
        </w:rPr>
        <w:t>OBJETIVO Y DESCRIPCION DEL PROGRAMA DE INVERSIONES</w:t>
      </w:r>
    </w:p>
    <w:p w:rsidR="007B6A2F" w:rsidRDefault="007B6A2F" w:rsidP="007B6A2F">
      <w:pPr>
        <w:pStyle w:val="ListParagraph"/>
        <w:spacing w:after="0" w:line="20" w:lineRule="atLeast"/>
        <w:ind w:left="360"/>
        <w:jc w:val="both"/>
        <w:rPr>
          <w:rFonts w:ascii="Arial" w:hAnsi="Arial" w:cs="Arial"/>
          <w:b/>
          <w:lang w:val="es-ES_tradnl"/>
        </w:rPr>
      </w:pPr>
    </w:p>
    <w:p w:rsidR="007B6A2F" w:rsidRDefault="007B6A2F" w:rsidP="007B6A2F">
      <w:pPr>
        <w:pStyle w:val="ListParagraph"/>
        <w:numPr>
          <w:ilvl w:val="1"/>
          <w:numId w:val="1"/>
        </w:numPr>
        <w:spacing w:after="0" w:line="20" w:lineRule="atLeast"/>
        <w:jc w:val="both"/>
        <w:rPr>
          <w:rFonts w:ascii="Arial" w:hAnsi="Arial" w:cs="Arial"/>
          <w:lang w:val="es-ES_tradnl"/>
        </w:rPr>
      </w:pPr>
      <w:bookmarkStart w:id="1" w:name="_Toc364690836"/>
      <w:bookmarkStart w:id="2" w:name="_Toc364690796"/>
      <w:bookmarkStart w:id="3" w:name="_Toc364690720"/>
      <w:bookmarkStart w:id="4" w:name="_Toc364690598"/>
      <w:bookmarkStart w:id="5" w:name="_Toc364690548"/>
      <w:bookmarkStart w:id="6" w:name="_Toc364690476"/>
      <w:r>
        <w:rPr>
          <w:rFonts w:ascii="Arial" w:hAnsi="Arial" w:cs="Arial"/>
          <w:lang w:val="es-ES_tradnl"/>
        </w:rPr>
        <w:t>El objetivo general del Plan de Inversiones de la ciudad es contribuir a la mejora de la sostenibilidad fiscal</w:t>
      </w:r>
      <w:r w:rsidR="00826201">
        <w:rPr>
          <w:rFonts w:ascii="Arial" w:hAnsi="Arial" w:cs="Arial"/>
          <w:lang w:val="es-ES_tradnl"/>
        </w:rPr>
        <w:t>,</w:t>
      </w:r>
      <w:r>
        <w:rPr>
          <w:rFonts w:ascii="Arial" w:hAnsi="Arial" w:cs="Arial"/>
          <w:lang w:val="es-ES_tradnl"/>
        </w:rPr>
        <w:t xml:space="preserve"> </w:t>
      </w:r>
      <w:r w:rsidR="00826201" w:rsidRPr="00826201">
        <w:rPr>
          <w:rFonts w:ascii="Arial" w:hAnsi="Arial" w:cs="Arial"/>
          <w:lang w:val="es-ES_tradnl"/>
        </w:rPr>
        <w:t>el fortalecimiento institucional y la infraestructura y calidad de la educación del municipio de Santiago de Cali</w:t>
      </w:r>
      <w:r>
        <w:rPr>
          <w:rFonts w:ascii="Arial" w:hAnsi="Arial" w:cs="Arial"/>
          <w:lang w:val="es-ES_tradnl"/>
        </w:rPr>
        <w:t xml:space="preserve">. Los objetivos específicos de esta operación son: </w:t>
      </w:r>
      <w:bookmarkEnd w:id="1"/>
      <w:bookmarkEnd w:id="2"/>
      <w:bookmarkEnd w:id="3"/>
      <w:bookmarkEnd w:id="4"/>
      <w:bookmarkEnd w:id="5"/>
      <w:bookmarkEnd w:id="6"/>
      <w:r>
        <w:rPr>
          <w:rFonts w:ascii="Arial" w:hAnsi="Arial" w:cs="Arial"/>
          <w:lang w:val="es-ES_tradnl"/>
        </w:rPr>
        <w:t>(i) mejorar el desempeño fiscal en términos de ingresos, gasto público y gestión financiera; (ii)</w:t>
      </w:r>
      <w:r w:rsidR="00826201" w:rsidRPr="00826201">
        <w:rPr>
          <w:lang w:val="es-CO"/>
        </w:rPr>
        <w:t xml:space="preserve"> </w:t>
      </w:r>
      <w:r w:rsidR="00826201" w:rsidRPr="00826201">
        <w:rPr>
          <w:rFonts w:ascii="Arial" w:hAnsi="Arial" w:cs="Arial"/>
          <w:lang w:val="es-ES_tradnl"/>
        </w:rPr>
        <w:t>Mejoramiento y Calidad del servicio  educativo</w:t>
      </w:r>
      <w:r>
        <w:rPr>
          <w:rFonts w:ascii="Arial" w:hAnsi="Arial" w:cs="Arial"/>
          <w:lang w:val="es-ES_tradnl"/>
        </w:rPr>
        <w:t>.</w:t>
      </w:r>
    </w:p>
    <w:p w:rsidR="007B6A2F" w:rsidRDefault="007B6A2F" w:rsidP="007B6A2F">
      <w:pPr>
        <w:pStyle w:val="ListParagraph"/>
        <w:spacing w:after="0" w:line="20" w:lineRule="atLeast"/>
        <w:ind w:left="792"/>
        <w:jc w:val="both"/>
        <w:rPr>
          <w:rFonts w:ascii="Arial" w:hAnsi="Arial" w:cs="Arial"/>
          <w:lang w:val="es-ES_tradnl"/>
        </w:rPr>
      </w:pPr>
    </w:p>
    <w:p w:rsidR="00976B55" w:rsidRPr="00976B55" w:rsidRDefault="007B6A2F" w:rsidP="00976B55">
      <w:pPr>
        <w:pStyle w:val="ListParagraph"/>
        <w:numPr>
          <w:ilvl w:val="1"/>
          <w:numId w:val="1"/>
        </w:numPr>
        <w:spacing w:after="0" w:line="20" w:lineRule="atLeast"/>
        <w:jc w:val="both"/>
        <w:rPr>
          <w:rFonts w:ascii="Arial" w:hAnsi="Arial" w:cs="Arial"/>
          <w:lang w:val="es-ES_tradnl"/>
        </w:rPr>
      </w:pPr>
      <w:r w:rsidRPr="00976B55">
        <w:rPr>
          <w:rFonts w:ascii="Arial" w:hAnsi="Arial" w:cs="Arial"/>
          <w:lang w:val="es-ES_tradnl"/>
        </w:rPr>
        <w:t xml:space="preserve">El Plan de Inversiones preliminarmente identificado durante la Misión de Análisis de </w:t>
      </w:r>
      <w:r w:rsidR="00976B55" w:rsidRPr="00976B55">
        <w:rPr>
          <w:rFonts w:ascii="Arial" w:hAnsi="Arial" w:cs="Arial"/>
          <w:lang w:val="es-ES_tradnl"/>
        </w:rPr>
        <w:t>julio</w:t>
      </w:r>
      <w:r w:rsidRPr="00976B55">
        <w:rPr>
          <w:rFonts w:ascii="Arial" w:hAnsi="Arial" w:cs="Arial"/>
          <w:lang w:val="es-ES_tradnl"/>
        </w:rPr>
        <w:t xml:space="preserve"> de 2016, y acordado con FINDETER y la Alcaldía</w:t>
      </w:r>
      <w:r w:rsidR="00976B55" w:rsidRPr="00976B55">
        <w:rPr>
          <w:rFonts w:ascii="Arial" w:hAnsi="Arial" w:cs="Arial"/>
          <w:lang w:val="es-ES_tradnl"/>
        </w:rPr>
        <w:t xml:space="preserve"> está relacionado de manera directa con</w:t>
      </w:r>
      <w:r w:rsidR="00535264">
        <w:rPr>
          <w:rFonts w:ascii="Arial" w:hAnsi="Arial" w:cs="Arial"/>
          <w:lang w:val="es-ES_tradnl"/>
        </w:rPr>
        <w:t xml:space="preserve"> los siguientes proyectos: (i) </w:t>
      </w:r>
      <w:r w:rsidR="00976B55" w:rsidRPr="00976B55">
        <w:rPr>
          <w:rFonts w:ascii="Arial" w:hAnsi="Arial" w:cs="Arial"/>
          <w:lang w:val="es-ES_tradnl"/>
        </w:rPr>
        <w:t xml:space="preserve">el </w:t>
      </w:r>
      <w:r w:rsidR="00535264" w:rsidRPr="00976B55">
        <w:rPr>
          <w:rFonts w:ascii="Arial" w:hAnsi="Arial" w:cs="Arial"/>
          <w:lang w:val="es-ES_tradnl"/>
        </w:rPr>
        <w:t>Programa de Mejoramiento de la Calidad Educativa</w:t>
      </w:r>
      <w:r w:rsidR="00976B55" w:rsidRPr="00976B55">
        <w:rPr>
          <w:rFonts w:ascii="Arial" w:hAnsi="Arial" w:cs="Arial"/>
          <w:lang w:val="es-ES_tradnl"/>
        </w:rPr>
        <w:t>, cuyo Objetivo General es fortalecer la calidad y la oferta educativa integral que genere igualdad de oportunidades de progreso y prosperidad, contribuyendo a cerrar brechas de inequidad, centrada en la institución educativa y en la que participa toda la sociedad, formando mejores seres humanos, ciudadanos con valores éticos, respetuosos de lo público, que ejercen los derechos humanos y conviven en paz, para el mejoramiento del tejido social, humano y productivo del Municipio de Santiago de Cali</w:t>
      </w:r>
      <w:r w:rsidR="00535264">
        <w:rPr>
          <w:rFonts w:ascii="Arial" w:hAnsi="Arial" w:cs="Arial"/>
          <w:lang w:val="es-ES_tradnl"/>
        </w:rPr>
        <w:t xml:space="preserve">; y (ii) </w:t>
      </w:r>
      <w:r w:rsidR="007A4DBF" w:rsidRPr="007A4DBF">
        <w:rPr>
          <w:rFonts w:ascii="Arial" w:hAnsi="Arial" w:cs="Arial"/>
          <w:lang w:val="es-ES_tradnl"/>
        </w:rPr>
        <w:t xml:space="preserve">la asesoría de Telemática e Informática de Alcaldía </w:t>
      </w:r>
      <w:r w:rsidR="00535264">
        <w:rPr>
          <w:rFonts w:ascii="Arial" w:hAnsi="Arial" w:cs="Arial"/>
          <w:lang w:val="es-ES_tradnl"/>
        </w:rPr>
        <w:t xml:space="preserve">que </w:t>
      </w:r>
      <w:r w:rsidR="007A4DBF" w:rsidRPr="007A4DBF">
        <w:rPr>
          <w:rFonts w:ascii="Arial" w:hAnsi="Arial" w:cs="Arial"/>
          <w:lang w:val="es-ES_tradnl"/>
        </w:rPr>
        <w:t xml:space="preserve">incorpora  un programa de proyectos </w:t>
      </w:r>
      <w:r w:rsidR="00535264">
        <w:rPr>
          <w:rFonts w:ascii="Arial" w:hAnsi="Arial" w:cs="Arial"/>
          <w:lang w:val="es-ES_tradnl"/>
        </w:rPr>
        <w:t xml:space="preserve">de </w:t>
      </w:r>
      <w:r w:rsidR="007A4DBF" w:rsidRPr="007A4DBF">
        <w:rPr>
          <w:rFonts w:ascii="Arial" w:hAnsi="Arial" w:cs="Arial"/>
          <w:lang w:val="es-ES_tradnl"/>
        </w:rPr>
        <w:t>fortalecimiento institucional y fiscal a través de una Plataforma Integradora, con un mapa de ruta  a tres años, considerando las principales prioridades de la Administración municipal  y apalancándose sobre las tendencias tecnológicas actuales para proveer una mayor capacidad financiera y fiscal</w:t>
      </w:r>
      <w:r w:rsidR="00976B55" w:rsidRPr="00976B55">
        <w:rPr>
          <w:rFonts w:ascii="Arial" w:hAnsi="Arial" w:cs="Arial"/>
          <w:lang w:val="es-ES_tradnl"/>
        </w:rPr>
        <w:t>.</w:t>
      </w:r>
    </w:p>
    <w:p w:rsidR="00976B55" w:rsidRDefault="00976B55" w:rsidP="00976B55">
      <w:pPr>
        <w:autoSpaceDE w:val="0"/>
        <w:autoSpaceDN w:val="0"/>
        <w:adjustRightInd w:val="0"/>
        <w:spacing w:after="0"/>
        <w:rPr>
          <w:rFonts w:ascii="Arial" w:hAnsi="Arial" w:cs="Arial"/>
          <w:lang w:val="es-CO" w:bidi="si-LK"/>
        </w:rPr>
      </w:pPr>
    </w:p>
    <w:p w:rsidR="00535264" w:rsidRDefault="00535264" w:rsidP="00976B55">
      <w:pPr>
        <w:autoSpaceDE w:val="0"/>
        <w:autoSpaceDN w:val="0"/>
        <w:adjustRightInd w:val="0"/>
        <w:spacing w:after="0"/>
        <w:rPr>
          <w:rFonts w:ascii="Arial" w:hAnsi="Arial" w:cs="Arial"/>
          <w:lang w:val="es-CO" w:bidi="si-LK"/>
        </w:rPr>
      </w:pPr>
    </w:p>
    <w:p w:rsidR="00535264" w:rsidRDefault="00535264" w:rsidP="00976B55">
      <w:pPr>
        <w:autoSpaceDE w:val="0"/>
        <w:autoSpaceDN w:val="0"/>
        <w:adjustRightInd w:val="0"/>
        <w:spacing w:after="0"/>
        <w:rPr>
          <w:rFonts w:ascii="Arial" w:hAnsi="Arial" w:cs="Arial"/>
          <w:lang w:val="es-CO" w:bidi="si-LK"/>
        </w:rPr>
      </w:pPr>
    </w:p>
    <w:p w:rsidR="00535264" w:rsidRDefault="00535264" w:rsidP="00976B55">
      <w:pPr>
        <w:autoSpaceDE w:val="0"/>
        <w:autoSpaceDN w:val="0"/>
        <w:adjustRightInd w:val="0"/>
        <w:spacing w:after="0"/>
        <w:rPr>
          <w:rFonts w:ascii="Arial" w:hAnsi="Arial" w:cs="Arial"/>
          <w:lang w:val="es-CO" w:bidi="si-LK"/>
        </w:rPr>
      </w:pPr>
    </w:p>
    <w:tbl>
      <w:tblPr>
        <w:tblW w:w="9370" w:type="dxa"/>
        <w:tblInd w:w="60" w:type="dxa"/>
        <w:tblCellMar>
          <w:left w:w="70" w:type="dxa"/>
          <w:right w:w="70" w:type="dxa"/>
        </w:tblCellMar>
        <w:tblLook w:val="04A0" w:firstRow="1" w:lastRow="0" w:firstColumn="1" w:lastColumn="0" w:noHBand="0" w:noVBand="1"/>
      </w:tblPr>
      <w:tblGrid>
        <w:gridCol w:w="4690"/>
        <w:gridCol w:w="2970"/>
        <w:gridCol w:w="1710"/>
      </w:tblGrid>
      <w:tr w:rsidR="00535264" w:rsidRPr="00FF08AF" w:rsidTr="00535264">
        <w:trPr>
          <w:trHeight w:val="420"/>
        </w:trPr>
        <w:tc>
          <w:tcPr>
            <w:tcW w:w="4690"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rsidR="00535264" w:rsidRPr="000E701E" w:rsidRDefault="00535264" w:rsidP="00C06B88">
            <w:pPr>
              <w:spacing w:after="0" w:line="240" w:lineRule="auto"/>
              <w:jc w:val="center"/>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Nombre de proyecto</w:t>
            </w:r>
          </w:p>
        </w:tc>
        <w:tc>
          <w:tcPr>
            <w:tcW w:w="2970"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rsidR="00535264" w:rsidRPr="000E701E" w:rsidRDefault="00535264" w:rsidP="00C06B88">
            <w:pPr>
              <w:spacing w:after="0" w:line="240" w:lineRule="auto"/>
              <w:jc w:val="center"/>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Entidad Resposable</w:t>
            </w:r>
          </w:p>
        </w:tc>
        <w:tc>
          <w:tcPr>
            <w:tcW w:w="1710"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rsidR="00535264" w:rsidRPr="000E701E" w:rsidRDefault="00535264" w:rsidP="00C06B88">
            <w:pPr>
              <w:spacing w:after="0" w:line="240" w:lineRule="auto"/>
              <w:jc w:val="center"/>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Monto de financiamiento (en miles USD)</w:t>
            </w:r>
          </w:p>
        </w:tc>
      </w:tr>
      <w:tr w:rsidR="00535264" w:rsidRPr="00FF08AF" w:rsidTr="00535264">
        <w:trPr>
          <w:trHeight w:val="420"/>
        </w:trPr>
        <w:tc>
          <w:tcPr>
            <w:tcW w:w="4690" w:type="dxa"/>
            <w:vMerge/>
            <w:tcBorders>
              <w:top w:val="single" w:sz="8" w:space="0" w:color="auto"/>
              <w:left w:val="single" w:sz="8" w:space="0" w:color="auto"/>
              <w:bottom w:val="single" w:sz="8" w:space="0" w:color="000000"/>
              <w:right w:val="single" w:sz="8" w:space="0" w:color="auto"/>
            </w:tcBorders>
            <w:vAlign w:val="center"/>
            <w:hideMark/>
          </w:tcPr>
          <w:p w:rsidR="00535264" w:rsidRPr="000E701E" w:rsidRDefault="00535264" w:rsidP="00C06B88">
            <w:pPr>
              <w:spacing w:after="0" w:line="240" w:lineRule="auto"/>
              <w:rPr>
                <w:rFonts w:ascii="Arial" w:eastAsia="Times New Roman" w:hAnsi="Arial" w:cs="Arial"/>
                <w:b/>
                <w:bCs/>
                <w:color w:val="000000"/>
                <w:sz w:val="16"/>
                <w:szCs w:val="16"/>
                <w:lang w:val="es-CO" w:eastAsia="es-CO"/>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535264" w:rsidRPr="000E701E" w:rsidRDefault="00535264" w:rsidP="00C06B88">
            <w:pPr>
              <w:spacing w:after="0" w:line="240" w:lineRule="auto"/>
              <w:rPr>
                <w:rFonts w:ascii="Arial" w:eastAsia="Times New Roman" w:hAnsi="Arial" w:cs="Arial"/>
                <w:b/>
                <w:bCs/>
                <w:color w:val="000000"/>
                <w:sz w:val="16"/>
                <w:szCs w:val="16"/>
                <w:lang w:val="es-CO" w:eastAsia="es-CO"/>
              </w:rPr>
            </w:pPr>
          </w:p>
        </w:tc>
        <w:tc>
          <w:tcPr>
            <w:tcW w:w="1710" w:type="dxa"/>
            <w:vMerge/>
            <w:tcBorders>
              <w:top w:val="single" w:sz="8" w:space="0" w:color="auto"/>
              <w:left w:val="single" w:sz="8" w:space="0" w:color="auto"/>
              <w:bottom w:val="single" w:sz="8" w:space="0" w:color="000000"/>
              <w:right w:val="single" w:sz="8" w:space="0" w:color="auto"/>
            </w:tcBorders>
            <w:vAlign w:val="center"/>
            <w:hideMark/>
          </w:tcPr>
          <w:p w:rsidR="00535264" w:rsidRPr="000E701E" w:rsidRDefault="00535264" w:rsidP="00C06B88">
            <w:pPr>
              <w:spacing w:after="0" w:line="240" w:lineRule="auto"/>
              <w:rPr>
                <w:rFonts w:ascii="Arial" w:eastAsia="Times New Roman" w:hAnsi="Arial" w:cs="Arial"/>
                <w:b/>
                <w:bCs/>
                <w:color w:val="000000"/>
                <w:sz w:val="16"/>
                <w:szCs w:val="16"/>
                <w:lang w:val="es-CO" w:eastAsia="es-CO"/>
              </w:rPr>
            </w:pPr>
          </w:p>
        </w:tc>
      </w:tr>
      <w:tr w:rsidR="00535264" w:rsidRPr="000E701E" w:rsidTr="00535264">
        <w:trPr>
          <w:trHeight w:val="525"/>
        </w:trPr>
        <w:tc>
          <w:tcPr>
            <w:tcW w:w="4690" w:type="dxa"/>
            <w:tcBorders>
              <w:top w:val="nil"/>
              <w:left w:val="single" w:sz="8" w:space="0" w:color="auto"/>
              <w:bottom w:val="single" w:sz="4"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Componente 1: Mejora de la Gestión Fiscal e institucional</w:t>
            </w:r>
          </w:p>
        </w:tc>
        <w:tc>
          <w:tcPr>
            <w:tcW w:w="2970" w:type="dxa"/>
            <w:tcBorders>
              <w:top w:val="nil"/>
              <w:left w:val="single" w:sz="8" w:space="0" w:color="auto"/>
              <w:bottom w:val="single" w:sz="8" w:space="0" w:color="000000"/>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 </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10.000</w:t>
            </w:r>
          </w:p>
        </w:tc>
      </w:tr>
      <w:tr w:rsidR="00535264" w:rsidRPr="000E701E" w:rsidTr="00535264">
        <w:trPr>
          <w:trHeight w:val="480"/>
        </w:trPr>
        <w:tc>
          <w:tcPr>
            <w:tcW w:w="46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1.1 Ventanilla única de Servicios al Ciudadano: Impuestos, Beneficios y radicados</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Secretaría de Hacienda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1.500</w:t>
            </w:r>
          </w:p>
        </w:tc>
      </w:tr>
      <w:tr w:rsidR="00535264" w:rsidRPr="000E701E" w:rsidTr="00535264">
        <w:trPr>
          <w:trHeight w:val="273"/>
        </w:trPr>
        <w:tc>
          <w:tcPr>
            <w:tcW w:w="4690" w:type="dxa"/>
            <w:tcBorders>
              <w:top w:val="nil"/>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1.2 Plataforma Integradora vista 360 del ciudadano</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Secretaría General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2.000</w:t>
            </w:r>
          </w:p>
        </w:tc>
      </w:tr>
      <w:tr w:rsidR="00535264" w:rsidRPr="000E701E" w:rsidTr="00535264">
        <w:trPr>
          <w:trHeight w:val="480"/>
        </w:trPr>
        <w:tc>
          <w:tcPr>
            <w:tcW w:w="4690" w:type="dxa"/>
            <w:tcBorders>
              <w:top w:val="nil"/>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 xml:space="preserve">1.3 Sistema Integrado de Gestión Financiera, Contable y cartera </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Secretaría de Hacienda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1.500</w:t>
            </w:r>
          </w:p>
        </w:tc>
      </w:tr>
      <w:tr w:rsidR="00535264" w:rsidRPr="000E701E" w:rsidTr="00535264">
        <w:trPr>
          <w:trHeight w:val="480"/>
        </w:trPr>
        <w:tc>
          <w:tcPr>
            <w:tcW w:w="4690" w:type="dxa"/>
            <w:tcBorders>
              <w:top w:val="nil"/>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 xml:space="preserve">1.4. Sistema de Información para la gestión del Plan de Desarrollo  </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Secretaría de Planeación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1.500</w:t>
            </w:r>
          </w:p>
        </w:tc>
      </w:tr>
      <w:tr w:rsidR="00535264" w:rsidRPr="000E701E" w:rsidTr="00535264">
        <w:trPr>
          <w:trHeight w:val="336"/>
        </w:trPr>
        <w:tc>
          <w:tcPr>
            <w:tcW w:w="4690" w:type="dxa"/>
            <w:tcBorders>
              <w:top w:val="nil"/>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 xml:space="preserve">1.5 Sistema de Contratación Integral </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Secretaria de Hacienda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1.000</w:t>
            </w:r>
          </w:p>
        </w:tc>
      </w:tr>
      <w:tr w:rsidR="00535264" w:rsidRPr="000E701E" w:rsidTr="00535264">
        <w:trPr>
          <w:trHeight w:val="315"/>
        </w:trPr>
        <w:tc>
          <w:tcPr>
            <w:tcW w:w="4690" w:type="dxa"/>
            <w:tcBorders>
              <w:top w:val="nil"/>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1.6 Datos Inteligentes y Participación Ciudadana</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 Secretaria de Hacienda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1.500</w:t>
            </w:r>
          </w:p>
        </w:tc>
      </w:tr>
      <w:tr w:rsidR="00535264" w:rsidRPr="000E701E" w:rsidTr="00535264">
        <w:trPr>
          <w:trHeight w:val="315"/>
        </w:trPr>
        <w:tc>
          <w:tcPr>
            <w:tcW w:w="4690" w:type="dxa"/>
            <w:tcBorders>
              <w:top w:val="nil"/>
              <w:left w:val="single" w:sz="8" w:space="0" w:color="auto"/>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8"/>
                <w:lang w:val="es-ES" w:eastAsia="es-CO"/>
              </w:rPr>
              <w:t xml:space="preserve">1.7 Infraestructura Tecnológica para la Educación </w:t>
            </w:r>
          </w:p>
        </w:tc>
        <w:tc>
          <w:tcPr>
            <w:tcW w:w="297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 Secretaria de Hacienda de Cali</w:t>
            </w:r>
          </w:p>
        </w:tc>
        <w:tc>
          <w:tcPr>
            <w:tcW w:w="1710" w:type="dxa"/>
            <w:tcBorders>
              <w:top w:val="nil"/>
              <w:left w:val="nil"/>
              <w:bottom w:val="single" w:sz="8" w:space="0" w:color="auto"/>
              <w:right w:val="single" w:sz="8" w:space="0" w:color="auto"/>
            </w:tcBorders>
            <w:shd w:val="clear" w:color="auto" w:fill="auto"/>
            <w:vAlign w:val="center"/>
            <w:hideMark/>
          </w:tcPr>
          <w:p w:rsidR="00535264" w:rsidRPr="000E701E" w:rsidRDefault="00535264" w:rsidP="00C06B88">
            <w:pPr>
              <w:spacing w:after="0" w:line="240" w:lineRule="auto"/>
              <w:jc w:val="right"/>
              <w:rPr>
                <w:rFonts w:ascii="Arial" w:eastAsia="Times New Roman" w:hAnsi="Arial" w:cs="Arial"/>
                <w:color w:val="000000"/>
                <w:sz w:val="16"/>
                <w:szCs w:val="16"/>
                <w:lang w:val="es-CO" w:eastAsia="es-CO"/>
              </w:rPr>
            </w:pPr>
            <w:r w:rsidRPr="000E701E">
              <w:rPr>
                <w:rFonts w:ascii="Arial" w:eastAsia="Times New Roman" w:hAnsi="Arial" w:cs="Arial"/>
                <w:color w:val="000000"/>
                <w:sz w:val="16"/>
                <w:szCs w:val="16"/>
                <w:lang w:val="es-ES_tradnl" w:eastAsia="es-CO"/>
              </w:rPr>
              <w:t>1.000</w:t>
            </w:r>
          </w:p>
        </w:tc>
      </w:tr>
      <w:tr w:rsidR="00535264" w:rsidRPr="000E701E" w:rsidTr="00535264">
        <w:trPr>
          <w:trHeight w:val="462"/>
        </w:trPr>
        <w:tc>
          <w:tcPr>
            <w:tcW w:w="4690" w:type="dxa"/>
            <w:tcBorders>
              <w:top w:val="nil"/>
              <w:left w:val="single" w:sz="8" w:space="0" w:color="auto"/>
              <w:bottom w:val="single" w:sz="4" w:space="0" w:color="auto"/>
              <w:right w:val="single" w:sz="8" w:space="0" w:color="auto"/>
            </w:tcBorders>
            <w:shd w:val="clear" w:color="auto" w:fill="auto"/>
            <w:vAlign w:val="center"/>
            <w:hideMark/>
          </w:tcPr>
          <w:p w:rsidR="00535264" w:rsidRPr="000E701E" w:rsidRDefault="00535264" w:rsidP="00535264">
            <w:pPr>
              <w:spacing w:after="0" w:line="240" w:lineRule="auto"/>
              <w:jc w:val="both"/>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 xml:space="preserve">Componente </w:t>
            </w:r>
            <w:r>
              <w:rPr>
                <w:rFonts w:ascii="Arial" w:eastAsia="Times New Roman" w:hAnsi="Arial" w:cs="Arial"/>
                <w:b/>
                <w:bCs/>
                <w:color w:val="000000"/>
                <w:sz w:val="16"/>
                <w:szCs w:val="16"/>
                <w:lang w:val="es-ES_tradnl" w:eastAsia="es-CO"/>
              </w:rPr>
              <w:t>3</w:t>
            </w:r>
            <w:r w:rsidRPr="000E701E">
              <w:rPr>
                <w:rFonts w:ascii="Arial" w:eastAsia="Times New Roman" w:hAnsi="Arial" w:cs="Arial"/>
                <w:b/>
                <w:bCs/>
                <w:color w:val="000000"/>
                <w:sz w:val="16"/>
                <w:szCs w:val="16"/>
                <w:lang w:val="es-ES_tradnl" w:eastAsia="es-CO"/>
              </w:rPr>
              <w:t>: Programa de mejoramiento de la calidad educativa</w:t>
            </w:r>
          </w:p>
        </w:tc>
        <w:tc>
          <w:tcPr>
            <w:tcW w:w="2970" w:type="dxa"/>
            <w:tcBorders>
              <w:top w:val="nil"/>
              <w:left w:val="single" w:sz="8" w:space="0" w:color="auto"/>
              <w:bottom w:val="single" w:sz="8" w:space="0" w:color="000000"/>
              <w:right w:val="single" w:sz="8" w:space="0" w:color="auto"/>
            </w:tcBorders>
            <w:shd w:val="clear" w:color="auto" w:fill="auto"/>
            <w:vAlign w:val="center"/>
            <w:hideMark/>
          </w:tcPr>
          <w:p w:rsidR="00535264" w:rsidRPr="000E701E" w:rsidRDefault="00535264" w:rsidP="00C06B88">
            <w:pPr>
              <w:spacing w:after="0" w:line="240" w:lineRule="auto"/>
              <w:jc w:val="both"/>
              <w:rPr>
                <w:rFonts w:ascii="Arial" w:eastAsia="Times New Roman" w:hAnsi="Arial" w:cs="Arial"/>
                <w:b/>
                <w:bCs/>
                <w:color w:val="000000"/>
                <w:sz w:val="16"/>
                <w:szCs w:val="16"/>
                <w:lang w:val="es-CO" w:eastAsia="es-CO"/>
              </w:rPr>
            </w:pPr>
            <w:r w:rsidRPr="000E701E">
              <w:rPr>
                <w:rFonts w:ascii="Arial" w:eastAsia="Times New Roman" w:hAnsi="Arial" w:cs="Arial"/>
                <w:b/>
                <w:bCs/>
                <w:color w:val="000000"/>
                <w:sz w:val="16"/>
                <w:szCs w:val="16"/>
                <w:lang w:val="es-ES_tradnl" w:eastAsia="es-CO"/>
              </w:rPr>
              <w:t> </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535264" w:rsidRPr="000E701E" w:rsidRDefault="00D973F7" w:rsidP="00C06B88">
            <w:pPr>
              <w:spacing w:after="0" w:line="240" w:lineRule="auto"/>
              <w:jc w:val="right"/>
              <w:rPr>
                <w:rFonts w:ascii="Arial" w:eastAsia="Times New Roman" w:hAnsi="Arial" w:cs="Arial"/>
                <w:b/>
                <w:bCs/>
                <w:color w:val="000000"/>
                <w:sz w:val="16"/>
                <w:szCs w:val="16"/>
                <w:lang w:val="es-CO" w:eastAsia="es-CO"/>
              </w:rPr>
            </w:pPr>
            <w:r>
              <w:rPr>
                <w:rFonts w:ascii="Arial" w:eastAsia="Times New Roman" w:hAnsi="Arial" w:cs="Arial"/>
                <w:b/>
                <w:bCs/>
                <w:color w:val="000000"/>
                <w:sz w:val="16"/>
                <w:szCs w:val="16"/>
                <w:lang w:val="es-ES_tradnl" w:eastAsia="es-CO"/>
              </w:rPr>
              <w:t>84.000</w:t>
            </w:r>
          </w:p>
        </w:tc>
      </w:tr>
      <w:tr w:rsidR="00D973F7" w:rsidRPr="00D973F7" w:rsidTr="00535264">
        <w:trPr>
          <w:trHeight w:val="462"/>
        </w:trPr>
        <w:tc>
          <w:tcPr>
            <w:tcW w:w="4690" w:type="dxa"/>
            <w:tcBorders>
              <w:top w:val="nil"/>
              <w:left w:val="single" w:sz="8" w:space="0" w:color="auto"/>
              <w:bottom w:val="single" w:sz="4" w:space="0" w:color="auto"/>
              <w:right w:val="single" w:sz="8" w:space="0" w:color="auto"/>
            </w:tcBorders>
            <w:shd w:val="clear" w:color="auto" w:fill="auto"/>
            <w:vAlign w:val="center"/>
          </w:tcPr>
          <w:p w:rsidR="00D973F7" w:rsidRPr="00796C08" w:rsidRDefault="00D973F7" w:rsidP="00D973F7">
            <w:pPr>
              <w:spacing w:after="0" w:line="20" w:lineRule="atLeast"/>
              <w:rPr>
                <w:rFonts w:ascii="Arial" w:eastAsia="Times New Roman" w:hAnsi="Arial" w:cs="Arial"/>
                <w:sz w:val="18"/>
                <w:szCs w:val="18"/>
                <w:lang w:val="es-CO"/>
              </w:rPr>
            </w:pPr>
            <w:r>
              <w:rPr>
                <w:rFonts w:ascii="Arial" w:eastAsia="Times New Roman" w:hAnsi="Arial" w:cs="Arial"/>
                <w:sz w:val="18"/>
                <w:szCs w:val="18"/>
                <w:lang w:val="es-CO"/>
              </w:rPr>
              <w:t xml:space="preserve">3.1 Cali con educación inicial </w:t>
            </w:r>
          </w:p>
        </w:tc>
        <w:tc>
          <w:tcPr>
            <w:tcW w:w="2970" w:type="dxa"/>
            <w:tcBorders>
              <w:top w:val="nil"/>
              <w:left w:val="single" w:sz="8" w:space="0" w:color="auto"/>
              <w:bottom w:val="single" w:sz="8" w:space="0" w:color="000000"/>
              <w:right w:val="single" w:sz="8" w:space="0" w:color="auto"/>
            </w:tcBorders>
            <w:shd w:val="clear" w:color="auto" w:fill="auto"/>
            <w:vAlign w:val="center"/>
          </w:tcPr>
          <w:p w:rsidR="00D973F7" w:rsidRPr="000E701E" w:rsidRDefault="00D973F7" w:rsidP="00C06B88">
            <w:pPr>
              <w:spacing w:after="0" w:line="240" w:lineRule="auto"/>
              <w:jc w:val="both"/>
              <w:rPr>
                <w:rFonts w:ascii="Arial" w:eastAsia="Times New Roman" w:hAnsi="Arial" w:cs="Arial"/>
                <w:b/>
                <w:bCs/>
                <w:color w:val="000000"/>
                <w:sz w:val="16"/>
                <w:szCs w:val="16"/>
                <w:lang w:val="es-ES_tradnl" w:eastAsia="es-CO"/>
              </w:rPr>
            </w:pPr>
            <w:r w:rsidRPr="000E701E">
              <w:rPr>
                <w:rFonts w:ascii="Arial" w:eastAsia="Times New Roman" w:hAnsi="Arial" w:cs="Arial"/>
                <w:color w:val="000000"/>
                <w:sz w:val="16"/>
                <w:szCs w:val="16"/>
                <w:lang w:val="es-ES_tradnl" w:eastAsia="es-CO"/>
              </w:rPr>
              <w:t>Secretaría de Educación de Cali.</w:t>
            </w:r>
          </w:p>
        </w:tc>
        <w:tc>
          <w:tcPr>
            <w:tcW w:w="1710" w:type="dxa"/>
            <w:tcBorders>
              <w:top w:val="nil"/>
              <w:left w:val="single" w:sz="8" w:space="0" w:color="auto"/>
              <w:bottom w:val="single" w:sz="8" w:space="0" w:color="000000"/>
              <w:right w:val="single" w:sz="8" w:space="0" w:color="auto"/>
            </w:tcBorders>
            <w:shd w:val="clear" w:color="auto" w:fill="auto"/>
            <w:vAlign w:val="center"/>
          </w:tcPr>
          <w:p w:rsidR="00D973F7" w:rsidRPr="00D973F7" w:rsidRDefault="00D973F7" w:rsidP="00C06B88">
            <w:pPr>
              <w:spacing w:after="0" w:line="240" w:lineRule="auto"/>
              <w:jc w:val="right"/>
              <w:rPr>
                <w:rFonts w:ascii="Arial" w:eastAsia="Times New Roman" w:hAnsi="Arial" w:cs="Arial"/>
                <w:bCs/>
                <w:color w:val="000000"/>
                <w:sz w:val="16"/>
                <w:szCs w:val="16"/>
                <w:lang w:val="es-ES_tradnl" w:eastAsia="es-CO"/>
              </w:rPr>
            </w:pPr>
            <w:r w:rsidRPr="00D973F7">
              <w:rPr>
                <w:rFonts w:ascii="Arial" w:eastAsia="Times New Roman" w:hAnsi="Arial" w:cs="Arial"/>
                <w:bCs/>
                <w:color w:val="000000"/>
                <w:sz w:val="16"/>
                <w:szCs w:val="16"/>
                <w:lang w:val="es-ES_tradnl" w:eastAsia="es-CO"/>
              </w:rPr>
              <w:t>10.000</w:t>
            </w:r>
          </w:p>
        </w:tc>
      </w:tr>
      <w:tr w:rsidR="00D973F7" w:rsidRPr="00D973F7" w:rsidTr="00535264">
        <w:trPr>
          <w:trHeight w:val="462"/>
        </w:trPr>
        <w:tc>
          <w:tcPr>
            <w:tcW w:w="4690" w:type="dxa"/>
            <w:tcBorders>
              <w:top w:val="nil"/>
              <w:left w:val="single" w:sz="8" w:space="0" w:color="auto"/>
              <w:bottom w:val="single" w:sz="4" w:space="0" w:color="auto"/>
              <w:right w:val="single" w:sz="8" w:space="0" w:color="auto"/>
            </w:tcBorders>
            <w:shd w:val="clear" w:color="auto" w:fill="auto"/>
            <w:vAlign w:val="center"/>
          </w:tcPr>
          <w:p w:rsidR="00D973F7" w:rsidRPr="00796C08" w:rsidRDefault="00D973F7" w:rsidP="00D973F7">
            <w:pPr>
              <w:spacing w:after="0" w:line="20" w:lineRule="atLeast"/>
              <w:rPr>
                <w:rFonts w:ascii="Arial" w:eastAsia="Times New Roman" w:hAnsi="Arial" w:cs="Arial"/>
                <w:sz w:val="18"/>
                <w:szCs w:val="18"/>
                <w:lang w:val="es-CO"/>
              </w:rPr>
            </w:pPr>
            <w:r>
              <w:rPr>
                <w:rFonts w:ascii="Arial" w:eastAsia="Times New Roman" w:hAnsi="Arial" w:cs="Arial"/>
                <w:sz w:val="18"/>
                <w:szCs w:val="18"/>
                <w:lang w:val="es-CO"/>
              </w:rPr>
              <w:t>3.2 Cali con escuelas dignas y seguras</w:t>
            </w:r>
          </w:p>
        </w:tc>
        <w:tc>
          <w:tcPr>
            <w:tcW w:w="2970" w:type="dxa"/>
            <w:tcBorders>
              <w:top w:val="nil"/>
              <w:left w:val="single" w:sz="8" w:space="0" w:color="auto"/>
              <w:bottom w:val="single" w:sz="8" w:space="0" w:color="000000"/>
              <w:right w:val="single" w:sz="8" w:space="0" w:color="auto"/>
            </w:tcBorders>
            <w:shd w:val="clear" w:color="auto" w:fill="auto"/>
            <w:vAlign w:val="center"/>
          </w:tcPr>
          <w:p w:rsidR="00D973F7" w:rsidRPr="000E701E" w:rsidRDefault="00D973F7" w:rsidP="00C06B88">
            <w:pPr>
              <w:spacing w:after="0" w:line="240" w:lineRule="auto"/>
              <w:jc w:val="both"/>
              <w:rPr>
                <w:rFonts w:ascii="Arial" w:eastAsia="Times New Roman" w:hAnsi="Arial" w:cs="Arial"/>
                <w:b/>
                <w:bCs/>
                <w:color w:val="000000"/>
                <w:sz w:val="16"/>
                <w:szCs w:val="16"/>
                <w:lang w:val="es-ES_tradnl" w:eastAsia="es-CO"/>
              </w:rPr>
            </w:pPr>
            <w:r w:rsidRPr="000E701E">
              <w:rPr>
                <w:rFonts w:ascii="Arial" w:eastAsia="Times New Roman" w:hAnsi="Arial" w:cs="Arial"/>
                <w:color w:val="000000"/>
                <w:sz w:val="16"/>
                <w:szCs w:val="16"/>
                <w:lang w:val="es-ES_tradnl" w:eastAsia="es-CO"/>
              </w:rPr>
              <w:t>Secretaría de Educación de Cali.</w:t>
            </w:r>
          </w:p>
        </w:tc>
        <w:tc>
          <w:tcPr>
            <w:tcW w:w="1710" w:type="dxa"/>
            <w:tcBorders>
              <w:top w:val="nil"/>
              <w:left w:val="single" w:sz="8" w:space="0" w:color="auto"/>
              <w:bottom w:val="single" w:sz="8" w:space="0" w:color="000000"/>
              <w:right w:val="single" w:sz="8" w:space="0" w:color="auto"/>
            </w:tcBorders>
            <w:shd w:val="clear" w:color="auto" w:fill="auto"/>
            <w:vAlign w:val="center"/>
          </w:tcPr>
          <w:p w:rsidR="00D973F7" w:rsidRPr="00D973F7" w:rsidRDefault="00D973F7" w:rsidP="00C06B88">
            <w:pPr>
              <w:spacing w:after="0" w:line="240" w:lineRule="auto"/>
              <w:jc w:val="right"/>
              <w:rPr>
                <w:rFonts w:ascii="Arial" w:eastAsia="Times New Roman" w:hAnsi="Arial" w:cs="Arial"/>
                <w:bCs/>
                <w:color w:val="000000"/>
                <w:sz w:val="16"/>
                <w:szCs w:val="16"/>
                <w:lang w:val="es-ES_tradnl" w:eastAsia="es-CO"/>
              </w:rPr>
            </w:pPr>
            <w:r w:rsidRPr="00D973F7">
              <w:rPr>
                <w:rFonts w:ascii="Arial" w:eastAsia="Times New Roman" w:hAnsi="Arial" w:cs="Arial"/>
                <w:bCs/>
                <w:color w:val="000000"/>
                <w:sz w:val="16"/>
                <w:szCs w:val="16"/>
                <w:lang w:val="es-ES_tradnl" w:eastAsia="es-CO"/>
              </w:rPr>
              <w:t>53.000</w:t>
            </w:r>
          </w:p>
        </w:tc>
      </w:tr>
      <w:tr w:rsidR="00D973F7" w:rsidRPr="00D973F7" w:rsidTr="00535264">
        <w:trPr>
          <w:trHeight w:val="462"/>
        </w:trPr>
        <w:tc>
          <w:tcPr>
            <w:tcW w:w="4690" w:type="dxa"/>
            <w:tcBorders>
              <w:top w:val="nil"/>
              <w:left w:val="single" w:sz="8" w:space="0" w:color="auto"/>
              <w:bottom w:val="single" w:sz="4" w:space="0" w:color="auto"/>
              <w:right w:val="single" w:sz="8" w:space="0" w:color="auto"/>
            </w:tcBorders>
            <w:shd w:val="clear" w:color="auto" w:fill="auto"/>
            <w:vAlign w:val="center"/>
          </w:tcPr>
          <w:p w:rsidR="00D973F7" w:rsidRPr="00796C08" w:rsidRDefault="00D973F7" w:rsidP="00D973F7">
            <w:pPr>
              <w:spacing w:after="0" w:line="20" w:lineRule="atLeast"/>
              <w:rPr>
                <w:rFonts w:ascii="Arial" w:eastAsia="Times New Roman" w:hAnsi="Arial" w:cs="Arial"/>
                <w:sz w:val="18"/>
                <w:szCs w:val="18"/>
                <w:lang w:val="es-CO"/>
              </w:rPr>
            </w:pPr>
            <w:r>
              <w:rPr>
                <w:rFonts w:ascii="Arial" w:eastAsia="Times New Roman" w:hAnsi="Arial" w:cs="Arial"/>
                <w:sz w:val="18"/>
                <w:szCs w:val="18"/>
                <w:lang w:val="es-CO"/>
              </w:rPr>
              <w:t>3.3 Cali con calidad educativa</w:t>
            </w:r>
          </w:p>
        </w:tc>
        <w:tc>
          <w:tcPr>
            <w:tcW w:w="2970" w:type="dxa"/>
            <w:tcBorders>
              <w:top w:val="nil"/>
              <w:left w:val="single" w:sz="8" w:space="0" w:color="auto"/>
              <w:bottom w:val="single" w:sz="8" w:space="0" w:color="000000"/>
              <w:right w:val="single" w:sz="8" w:space="0" w:color="auto"/>
            </w:tcBorders>
            <w:shd w:val="clear" w:color="auto" w:fill="auto"/>
            <w:vAlign w:val="center"/>
          </w:tcPr>
          <w:p w:rsidR="00D973F7" w:rsidRPr="000E701E" w:rsidRDefault="00D973F7" w:rsidP="00C06B88">
            <w:pPr>
              <w:spacing w:after="0" w:line="240" w:lineRule="auto"/>
              <w:jc w:val="both"/>
              <w:rPr>
                <w:rFonts w:ascii="Arial" w:eastAsia="Times New Roman" w:hAnsi="Arial" w:cs="Arial"/>
                <w:b/>
                <w:bCs/>
                <w:color w:val="000000"/>
                <w:sz w:val="16"/>
                <w:szCs w:val="16"/>
                <w:lang w:val="es-ES_tradnl" w:eastAsia="es-CO"/>
              </w:rPr>
            </w:pPr>
            <w:r w:rsidRPr="000E701E">
              <w:rPr>
                <w:rFonts w:ascii="Arial" w:eastAsia="Times New Roman" w:hAnsi="Arial" w:cs="Arial"/>
                <w:color w:val="000000"/>
                <w:sz w:val="16"/>
                <w:szCs w:val="16"/>
                <w:lang w:val="es-ES_tradnl" w:eastAsia="es-CO"/>
              </w:rPr>
              <w:t>Secretaría de Educación de Cali.</w:t>
            </w:r>
          </w:p>
        </w:tc>
        <w:tc>
          <w:tcPr>
            <w:tcW w:w="1710" w:type="dxa"/>
            <w:tcBorders>
              <w:top w:val="nil"/>
              <w:left w:val="single" w:sz="8" w:space="0" w:color="auto"/>
              <w:bottom w:val="single" w:sz="8" w:space="0" w:color="000000"/>
              <w:right w:val="single" w:sz="8" w:space="0" w:color="auto"/>
            </w:tcBorders>
            <w:shd w:val="clear" w:color="auto" w:fill="auto"/>
            <w:vAlign w:val="center"/>
          </w:tcPr>
          <w:p w:rsidR="00D973F7" w:rsidRPr="00D973F7" w:rsidRDefault="00D973F7" w:rsidP="00C06B88">
            <w:pPr>
              <w:spacing w:after="0" w:line="240" w:lineRule="auto"/>
              <w:jc w:val="right"/>
              <w:rPr>
                <w:rFonts w:ascii="Arial" w:eastAsia="Times New Roman" w:hAnsi="Arial" w:cs="Arial"/>
                <w:bCs/>
                <w:color w:val="000000"/>
                <w:sz w:val="16"/>
                <w:szCs w:val="16"/>
                <w:lang w:val="es-ES_tradnl" w:eastAsia="es-CO"/>
              </w:rPr>
            </w:pPr>
            <w:r w:rsidRPr="00D973F7">
              <w:rPr>
                <w:rFonts w:ascii="Arial" w:eastAsia="Times New Roman" w:hAnsi="Arial" w:cs="Arial"/>
                <w:bCs/>
                <w:color w:val="000000"/>
                <w:sz w:val="16"/>
                <w:szCs w:val="16"/>
                <w:lang w:val="es-ES_tradnl" w:eastAsia="es-CO"/>
              </w:rPr>
              <w:t>21</w:t>
            </w:r>
            <w:r>
              <w:rPr>
                <w:rFonts w:ascii="Arial" w:eastAsia="Times New Roman" w:hAnsi="Arial" w:cs="Arial"/>
                <w:bCs/>
                <w:color w:val="000000"/>
                <w:sz w:val="16"/>
                <w:szCs w:val="16"/>
                <w:lang w:val="es-ES_tradnl" w:eastAsia="es-CO"/>
              </w:rPr>
              <w:t>.000</w:t>
            </w:r>
          </w:p>
        </w:tc>
      </w:tr>
      <w:tr w:rsidR="00D973F7" w:rsidRPr="000E701E" w:rsidTr="00535264">
        <w:trPr>
          <w:trHeight w:val="315"/>
        </w:trPr>
        <w:tc>
          <w:tcPr>
            <w:tcW w:w="7660" w:type="dxa"/>
            <w:gridSpan w:val="2"/>
            <w:tcBorders>
              <w:top w:val="single" w:sz="8" w:space="0" w:color="auto"/>
              <w:left w:val="single" w:sz="8" w:space="0" w:color="auto"/>
              <w:bottom w:val="single" w:sz="8" w:space="0" w:color="auto"/>
              <w:right w:val="single" w:sz="8" w:space="0" w:color="000000"/>
            </w:tcBorders>
            <w:shd w:val="clear" w:color="000000" w:fill="C2D69B"/>
            <w:vAlign w:val="center"/>
            <w:hideMark/>
          </w:tcPr>
          <w:p w:rsidR="00D973F7" w:rsidRPr="000E701E" w:rsidRDefault="00D973F7" w:rsidP="00C06B88">
            <w:pPr>
              <w:spacing w:after="0" w:line="240" w:lineRule="auto"/>
              <w:jc w:val="both"/>
              <w:rPr>
                <w:rFonts w:ascii="Arial" w:eastAsia="Times New Roman" w:hAnsi="Arial" w:cs="Arial"/>
                <w:b/>
                <w:bCs/>
                <w:color w:val="000000"/>
                <w:sz w:val="18"/>
                <w:szCs w:val="18"/>
                <w:lang w:val="es-CO" w:eastAsia="es-CO"/>
              </w:rPr>
            </w:pPr>
            <w:r w:rsidRPr="000E701E">
              <w:rPr>
                <w:rFonts w:ascii="Arial" w:eastAsia="Times New Roman" w:hAnsi="Arial" w:cs="Arial"/>
                <w:b/>
                <w:bCs/>
                <w:color w:val="000000"/>
                <w:sz w:val="18"/>
                <w:szCs w:val="18"/>
                <w:lang w:val="es-ES_tradnl" w:eastAsia="es-CO"/>
              </w:rPr>
              <w:t>TOTAL</w:t>
            </w:r>
          </w:p>
        </w:tc>
        <w:tc>
          <w:tcPr>
            <w:tcW w:w="1710" w:type="dxa"/>
            <w:tcBorders>
              <w:top w:val="nil"/>
              <w:left w:val="nil"/>
              <w:bottom w:val="single" w:sz="8" w:space="0" w:color="auto"/>
              <w:right w:val="single" w:sz="8" w:space="0" w:color="auto"/>
            </w:tcBorders>
            <w:shd w:val="clear" w:color="000000" w:fill="C2D69B"/>
            <w:vAlign w:val="center"/>
            <w:hideMark/>
          </w:tcPr>
          <w:p w:rsidR="00D973F7" w:rsidRPr="000E701E" w:rsidRDefault="00D973F7" w:rsidP="00C06B88">
            <w:pPr>
              <w:spacing w:after="0" w:line="240" w:lineRule="auto"/>
              <w:jc w:val="right"/>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ES_tradnl" w:eastAsia="es-CO"/>
              </w:rPr>
              <w:t>94.000</w:t>
            </w:r>
          </w:p>
        </w:tc>
      </w:tr>
    </w:tbl>
    <w:p w:rsidR="00535264" w:rsidRDefault="00535264" w:rsidP="00976B55">
      <w:pPr>
        <w:autoSpaceDE w:val="0"/>
        <w:autoSpaceDN w:val="0"/>
        <w:adjustRightInd w:val="0"/>
        <w:spacing w:after="0"/>
        <w:rPr>
          <w:rFonts w:ascii="Arial" w:hAnsi="Arial" w:cs="Arial"/>
          <w:lang w:val="es-CO" w:bidi="si-LK"/>
        </w:rPr>
      </w:pPr>
    </w:p>
    <w:p w:rsidR="00535264" w:rsidRDefault="00535264" w:rsidP="00976B55">
      <w:pPr>
        <w:autoSpaceDE w:val="0"/>
        <w:autoSpaceDN w:val="0"/>
        <w:adjustRightInd w:val="0"/>
        <w:spacing w:after="0"/>
        <w:rPr>
          <w:rFonts w:ascii="Arial" w:hAnsi="Arial" w:cs="Arial"/>
          <w:lang w:val="es-CO" w:bidi="si-LK"/>
        </w:rPr>
      </w:pPr>
    </w:p>
    <w:p w:rsidR="00535264" w:rsidRDefault="00535264" w:rsidP="00535264">
      <w:pPr>
        <w:pStyle w:val="ListParagraph"/>
        <w:numPr>
          <w:ilvl w:val="0"/>
          <w:numId w:val="1"/>
        </w:numPr>
        <w:spacing w:after="0" w:line="20" w:lineRule="atLeast"/>
        <w:jc w:val="both"/>
        <w:rPr>
          <w:rFonts w:ascii="Arial" w:hAnsi="Arial" w:cs="Arial"/>
          <w:b/>
          <w:lang w:val="es-ES_tradnl"/>
        </w:rPr>
      </w:pPr>
      <w:r w:rsidRPr="00E44915">
        <w:rPr>
          <w:rFonts w:ascii="Arial" w:hAnsi="Arial" w:cs="Arial"/>
          <w:b/>
          <w:lang w:val="es-ES_tradnl"/>
        </w:rPr>
        <w:t>MATRIZ DE RESULTADOS</w:t>
      </w:r>
    </w:p>
    <w:p w:rsidR="00D973F7" w:rsidRPr="00D973F7" w:rsidRDefault="00D973F7" w:rsidP="00D973F7">
      <w:pPr>
        <w:spacing w:after="0" w:line="20" w:lineRule="atLeast"/>
        <w:jc w:val="both"/>
        <w:rPr>
          <w:rFonts w:ascii="Arial" w:hAnsi="Arial" w:cs="Arial"/>
          <w:b/>
          <w:lang w:val="es-ES_tradnl"/>
        </w:rPr>
      </w:pPr>
    </w:p>
    <w:tbl>
      <w:tblPr>
        <w:tblStyle w:val="TableGrid"/>
        <w:tblpPr w:leftFromText="180" w:rightFromText="180" w:vertAnchor="text" w:horzAnchor="margin" w:tblpY="231"/>
        <w:tblW w:w="9468" w:type="dxa"/>
        <w:tblLook w:val="04A0" w:firstRow="1" w:lastRow="0" w:firstColumn="1" w:lastColumn="0" w:noHBand="0" w:noVBand="1"/>
      </w:tblPr>
      <w:tblGrid>
        <w:gridCol w:w="3528"/>
        <w:gridCol w:w="2340"/>
        <w:gridCol w:w="1260"/>
        <w:gridCol w:w="2340"/>
      </w:tblGrid>
      <w:tr w:rsidR="00535264" w:rsidRPr="00FA3663" w:rsidTr="00535264">
        <w:tc>
          <w:tcPr>
            <w:tcW w:w="3528" w:type="dxa"/>
            <w:shd w:val="clear" w:color="auto" w:fill="C2D69B" w:themeFill="accent3" w:themeFillTint="99"/>
            <w:vAlign w:val="center"/>
          </w:tcPr>
          <w:p w:rsidR="00535264" w:rsidRPr="00F60FD0" w:rsidRDefault="00535264" w:rsidP="00C06B88">
            <w:pPr>
              <w:pStyle w:val="ListParagraph"/>
              <w:spacing w:line="20" w:lineRule="atLeast"/>
              <w:ind w:left="0"/>
              <w:jc w:val="center"/>
              <w:rPr>
                <w:rFonts w:ascii="Arial" w:hAnsi="Arial" w:cs="Arial"/>
                <w:b/>
                <w:sz w:val="18"/>
                <w:szCs w:val="18"/>
                <w:lang w:val="es-ES_tradnl"/>
              </w:rPr>
            </w:pPr>
            <w:r w:rsidRPr="00F60FD0">
              <w:rPr>
                <w:rFonts w:ascii="Arial" w:hAnsi="Arial" w:cs="Arial"/>
                <w:b/>
                <w:sz w:val="18"/>
                <w:szCs w:val="18"/>
                <w:lang w:val="es-ES_tradnl"/>
              </w:rPr>
              <w:t>Indicador</w:t>
            </w:r>
          </w:p>
        </w:tc>
        <w:tc>
          <w:tcPr>
            <w:tcW w:w="2340" w:type="dxa"/>
            <w:shd w:val="clear" w:color="auto" w:fill="C2D69B" w:themeFill="accent3" w:themeFillTint="99"/>
            <w:vAlign w:val="center"/>
          </w:tcPr>
          <w:p w:rsidR="00535264" w:rsidRPr="00F60FD0" w:rsidRDefault="00535264" w:rsidP="00C06B88">
            <w:pPr>
              <w:pStyle w:val="ListParagraph"/>
              <w:spacing w:line="20" w:lineRule="atLeast"/>
              <w:ind w:left="0"/>
              <w:jc w:val="center"/>
              <w:rPr>
                <w:rFonts w:ascii="Arial" w:hAnsi="Arial" w:cs="Arial"/>
                <w:b/>
                <w:sz w:val="18"/>
                <w:szCs w:val="18"/>
                <w:lang w:val="es-ES_tradnl"/>
              </w:rPr>
            </w:pPr>
            <w:r w:rsidRPr="00F60FD0">
              <w:rPr>
                <w:rFonts w:ascii="Arial" w:hAnsi="Arial" w:cs="Arial"/>
                <w:b/>
                <w:sz w:val="18"/>
                <w:szCs w:val="18"/>
                <w:lang w:val="es-ES_tradnl"/>
              </w:rPr>
              <w:t>Línea de Base</w:t>
            </w:r>
          </w:p>
        </w:tc>
        <w:tc>
          <w:tcPr>
            <w:tcW w:w="1260" w:type="dxa"/>
            <w:shd w:val="clear" w:color="auto" w:fill="C2D69B" w:themeFill="accent3" w:themeFillTint="99"/>
            <w:vAlign w:val="center"/>
          </w:tcPr>
          <w:p w:rsidR="00535264" w:rsidRPr="00F60FD0" w:rsidRDefault="00535264" w:rsidP="00C06B88">
            <w:pPr>
              <w:pStyle w:val="ListParagraph"/>
              <w:spacing w:line="20" w:lineRule="atLeast"/>
              <w:ind w:left="0"/>
              <w:jc w:val="center"/>
              <w:rPr>
                <w:rFonts w:ascii="Arial" w:hAnsi="Arial" w:cs="Arial"/>
                <w:b/>
                <w:sz w:val="18"/>
                <w:szCs w:val="18"/>
                <w:lang w:val="es-ES_tradnl"/>
              </w:rPr>
            </w:pPr>
            <w:r w:rsidRPr="00F60FD0">
              <w:rPr>
                <w:rFonts w:ascii="Arial" w:hAnsi="Arial" w:cs="Arial"/>
                <w:b/>
                <w:sz w:val="18"/>
                <w:szCs w:val="18"/>
                <w:lang w:val="es-ES_tradnl"/>
              </w:rPr>
              <w:t>Meta (2020)</w:t>
            </w:r>
          </w:p>
        </w:tc>
        <w:tc>
          <w:tcPr>
            <w:tcW w:w="2340" w:type="dxa"/>
            <w:shd w:val="clear" w:color="auto" w:fill="C2D69B" w:themeFill="accent3" w:themeFillTint="99"/>
            <w:vAlign w:val="center"/>
          </w:tcPr>
          <w:p w:rsidR="00535264" w:rsidRPr="00F60FD0" w:rsidRDefault="00535264" w:rsidP="00C06B88">
            <w:pPr>
              <w:pStyle w:val="ListParagraph"/>
              <w:spacing w:line="20" w:lineRule="atLeast"/>
              <w:ind w:left="0"/>
              <w:jc w:val="center"/>
              <w:rPr>
                <w:rFonts w:ascii="Arial" w:hAnsi="Arial" w:cs="Arial"/>
                <w:b/>
                <w:sz w:val="18"/>
                <w:szCs w:val="18"/>
                <w:lang w:val="es-ES_tradnl"/>
              </w:rPr>
            </w:pPr>
            <w:r w:rsidRPr="00F60FD0">
              <w:rPr>
                <w:rFonts w:ascii="Arial" w:hAnsi="Arial" w:cs="Arial"/>
                <w:b/>
                <w:sz w:val="18"/>
                <w:szCs w:val="18"/>
                <w:lang w:val="es-ES_tradnl"/>
              </w:rPr>
              <w:t>Medios de Verificación</w:t>
            </w:r>
          </w:p>
        </w:tc>
      </w:tr>
      <w:tr w:rsidR="00535264" w:rsidRPr="00FF08AF" w:rsidTr="00535264">
        <w:tc>
          <w:tcPr>
            <w:tcW w:w="3528" w:type="dxa"/>
            <w:vAlign w:val="center"/>
          </w:tcPr>
          <w:p w:rsidR="00535264" w:rsidRPr="00FA3663" w:rsidRDefault="00535264" w:rsidP="00D973F7">
            <w:pPr>
              <w:jc w:val="both"/>
              <w:rPr>
                <w:rFonts w:ascii="Arial" w:eastAsia="Times New Roman" w:hAnsi="Arial" w:cs="Arial"/>
                <w:b/>
                <w:bCs/>
                <w:color w:val="000000"/>
                <w:sz w:val="18"/>
                <w:szCs w:val="18"/>
                <w:lang w:val="es-CO" w:eastAsia="es-CO"/>
              </w:rPr>
            </w:pPr>
            <w:r w:rsidRPr="00FA3663">
              <w:rPr>
                <w:rFonts w:ascii="Arial" w:eastAsia="Times New Roman" w:hAnsi="Arial" w:cs="Arial"/>
                <w:b/>
                <w:bCs/>
                <w:color w:val="000000"/>
                <w:sz w:val="18"/>
                <w:szCs w:val="18"/>
                <w:lang w:val="es-ES_tradnl" w:eastAsia="es-CO"/>
              </w:rPr>
              <w:t xml:space="preserve">Componente </w:t>
            </w:r>
            <w:r w:rsidR="00D973F7">
              <w:rPr>
                <w:rFonts w:ascii="Arial" w:eastAsia="Times New Roman" w:hAnsi="Arial" w:cs="Arial"/>
                <w:b/>
                <w:bCs/>
                <w:color w:val="000000"/>
                <w:sz w:val="18"/>
                <w:szCs w:val="18"/>
                <w:lang w:val="es-ES_tradnl" w:eastAsia="es-CO"/>
              </w:rPr>
              <w:t>3</w:t>
            </w:r>
            <w:r w:rsidRPr="00FA3663">
              <w:rPr>
                <w:rFonts w:ascii="Arial" w:eastAsia="Times New Roman" w:hAnsi="Arial" w:cs="Arial"/>
                <w:b/>
                <w:bCs/>
                <w:color w:val="000000"/>
                <w:sz w:val="18"/>
                <w:szCs w:val="18"/>
                <w:lang w:val="es-ES_tradnl" w:eastAsia="es-CO"/>
              </w:rPr>
              <w:t>: Programa de mejoramiento de la calidad educativa</w:t>
            </w:r>
          </w:p>
        </w:tc>
        <w:tc>
          <w:tcPr>
            <w:tcW w:w="2340" w:type="dxa"/>
            <w:vAlign w:val="center"/>
          </w:tcPr>
          <w:p w:rsidR="00535264" w:rsidRPr="00FA3663" w:rsidRDefault="00535264" w:rsidP="00C06B88">
            <w:pPr>
              <w:pStyle w:val="ListParagraph"/>
              <w:spacing w:line="20" w:lineRule="atLeast"/>
              <w:ind w:left="0"/>
              <w:jc w:val="both"/>
              <w:rPr>
                <w:rFonts w:ascii="Arial" w:hAnsi="Arial" w:cs="Arial"/>
                <w:sz w:val="18"/>
                <w:szCs w:val="18"/>
                <w:highlight w:val="yellow"/>
                <w:lang w:val="es-ES_tradnl"/>
              </w:rPr>
            </w:pPr>
          </w:p>
        </w:tc>
        <w:tc>
          <w:tcPr>
            <w:tcW w:w="1260" w:type="dxa"/>
            <w:vAlign w:val="center"/>
          </w:tcPr>
          <w:p w:rsidR="00535264" w:rsidRPr="00FA3663" w:rsidRDefault="00535264" w:rsidP="00C06B88">
            <w:pPr>
              <w:pStyle w:val="ListParagraph"/>
              <w:spacing w:line="20" w:lineRule="atLeast"/>
              <w:ind w:left="0"/>
              <w:jc w:val="both"/>
              <w:rPr>
                <w:rFonts w:ascii="Arial" w:hAnsi="Arial" w:cs="Arial"/>
                <w:sz w:val="18"/>
                <w:szCs w:val="18"/>
                <w:highlight w:val="yellow"/>
                <w:lang w:val="es-ES_tradnl"/>
              </w:rPr>
            </w:pPr>
          </w:p>
        </w:tc>
        <w:tc>
          <w:tcPr>
            <w:tcW w:w="2340" w:type="dxa"/>
            <w:vAlign w:val="center"/>
          </w:tcPr>
          <w:p w:rsidR="00535264" w:rsidRPr="00FA3663" w:rsidRDefault="00535264" w:rsidP="00C06B88">
            <w:pPr>
              <w:pStyle w:val="ListParagraph"/>
              <w:spacing w:line="20" w:lineRule="atLeast"/>
              <w:ind w:left="0"/>
              <w:jc w:val="both"/>
              <w:rPr>
                <w:rFonts w:ascii="Arial" w:hAnsi="Arial" w:cs="Arial"/>
                <w:sz w:val="18"/>
                <w:szCs w:val="18"/>
                <w:highlight w:val="yellow"/>
                <w:lang w:val="es-ES_tradnl"/>
              </w:rPr>
            </w:pPr>
          </w:p>
        </w:tc>
      </w:tr>
      <w:tr w:rsidR="00D973F7" w:rsidRPr="00D973F7" w:rsidTr="00535264">
        <w:tc>
          <w:tcPr>
            <w:tcW w:w="3528" w:type="dxa"/>
            <w:vAlign w:val="center"/>
          </w:tcPr>
          <w:p w:rsidR="00D973F7" w:rsidRPr="00796C08" w:rsidRDefault="00D973F7" w:rsidP="00A54772">
            <w:pPr>
              <w:spacing w:line="20" w:lineRule="atLeast"/>
              <w:rPr>
                <w:rFonts w:ascii="Arial" w:eastAsia="Times New Roman" w:hAnsi="Arial" w:cs="Arial"/>
                <w:sz w:val="18"/>
                <w:szCs w:val="18"/>
                <w:lang w:val="es-CO"/>
              </w:rPr>
            </w:pPr>
            <w:r w:rsidRPr="00796C08">
              <w:rPr>
                <w:rFonts w:ascii="Arial" w:eastAsia="Times New Roman" w:hAnsi="Arial" w:cs="Arial"/>
                <w:sz w:val="18"/>
                <w:szCs w:val="18"/>
                <w:lang w:val="es-CO"/>
              </w:rPr>
              <w:t>Nuevos cupos de transición y primera infancia creados</w:t>
            </w:r>
            <w:r>
              <w:rPr>
                <w:rFonts w:ascii="Arial" w:eastAsia="Times New Roman" w:hAnsi="Arial" w:cs="Arial"/>
                <w:sz w:val="18"/>
                <w:szCs w:val="18"/>
                <w:lang w:val="es-CO"/>
              </w:rPr>
              <w:t xml:space="preserve"> </w:t>
            </w:r>
          </w:p>
        </w:tc>
        <w:tc>
          <w:tcPr>
            <w:tcW w:w="234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27.300</w:t>
            </w:r>
          </w:p>
        </w:tc>
        <w:tc>
          <w:tcPr>
            <w:tcW w:w="126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29.300</w:t>
            </w:r>
          </w:p>
        </w:tc>
        <w:tc>
          <w:tcPr>
            <w:tcW w:w="2340" w:type="dxa"/>
            <w:vAlign w:val="center"/>
          </w:tcPr>
          <w:p w:rsidR="00D973F7" w:rsidRPr="00796C08" w:rsidRDefault="00D973F7" w:rsidP="00A54772">
            <w:pPr>
              <w:spacing w:line="20" w:lineRule="atLeast"/>
              <w:rPr>
                <w:rFonts w:ascii="Arial" w:hAnsi="Arial" w:cs="Arial"/>
                <w:sz w:val="18"/>
                <w:szCs w:val="18"/>
                <w:lang w:val="es-CO"/>
              </w:rPr>
            </w:pPr>
            <w:r w:rsidRPr="003277AE">
              <w:rPr>
                <w:rFonts w:ascii="Arial" w:hAnsi="Arial" w:cs="Arial"/>
                <w:sz w:val="18"/>
                <w:szCs w:val="18"/>
                <w:lang w:val="es-CO"/>
              </w:rPr>
              <w:t xml:space="preserve">Reportes del </w:t>
            </w:r>
            <w:r w:rsidRPr="00110ED4">
              <w:rPr>
                <w:rFonts w:ascii="Arial" w:hAnsi="Arial" w:cs="Arial"/>
                <w:sz w:val="18"/>
                <w:szCs w:val="18"/>
                <w:lang w:val="es-CO"/>
              </w:rPr>
              <w:t>Sistema Integrado de Matrícula</w:t>
            </w:r>
            <w:r>
              <w:rPr>
                <w:rFonts w:ascii="Arial" w:hAnsi="Arial" w:cs="Arial"/>
                <w:sz w:val="18"/>
                <w:szCs w:val="18"/>
                <w:lang w:val="es-CO"/>
              </w:rPr>
              <w:t xml:space="preserve"> (SIMAT)</w:t>
            </w:r>
          </w:p>
        </w:tc>
      </w:tr>
      <w:tr w:rsidR="00D973F7" w:rsidRPr="005F7004" w:rsidTr="00535264">
        <w:tc>
          <w:tcPr>
            <w:tcW w:w="3528" w:type="dxa"/>
            <w:vAlign w:val="center"/>
          </w:tcPr>
          <w:p w:rsidR="00D973F7" w:rsidRPr="00796C08" w:rsidRDefault="00D973F7" w:rsidP="00A54772">
            <w:pPr>
              <w:spacing w:line="20" w:lineRule="atLeast"/>
              <w:rPr>
                <w:rFonts w:ascii="Arial" w:eastAsia="Times New Roman" w:hAnsi="Arial" w:cs="Arial"/>
                <w:sz w:val="18"/>
                <w:szCs w:val="18"/>
                <w:lang w:val="es-CO"/>
              </w:rPr>
            </w:pPr>
            <w:r w:rsidRPr="00796C08">
              <w:rPr>
                <w:rFonts w:ascii="Arial" w:eastAsia="Times New Roman" w:hAnsi="Arial" w:cs="Arial"/>
                <w:sz w:val="18"/>
                <w:szCs w:val="18"/>
                <w:lang w:val="es-CO"/>
              </w:rPr>
              <w:t>Nuevos cupos de básica primaria creados</w:t>
            </w:r>
          </w:p>
        </w:tc>
        <w:tc>
          <w:tcPr>
            <w:tcW w:w="234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168.000</w:t>
            </w:r>
          </w:p>
        </w:tc>
        <w:tc>
          <w:tcPr>
            <w:tcW w:w="126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181.000</w:t>
            </w:r>
          </w:p>
        </w:tc>
        <w:tc>
          <w:tcPr>
            <w:tcW w:w="2340" w:type="dxa"/>
            <w:vAlign w:val="center"/>
          </w:tcPr>
          <w:p w:rsidR="00D973F7" w:rsidRPr="00796C08" w:rsidRDefault="00D973F7" w:rsidP="00A54772">
            <w:pPr>
              <w:spacing w:line="20" w:lineRule="atLeast"/>
              <w:rPr>
                <w:rFonts w:ascii="Arial" w:hAnsi="Arial" w:cs="Arial"/>
                <w:sz w:val="18"/>
                <w:szCs w:val="18"/>
                <w:lang w:val="es-CO"/>
              </w:rPr>
            </w:pPr>
            <w:r w:rsidRPr="003277AE">
              <w:rPr>
                <w:rFonts w:ascii="Arial" w:hAnsi="Arial" w:cs="Arial"/>
                <w:sz w:val="18"/>
                <w:szCs w:val="18"/>
                <w:lang w:val="es-CO"/>
              </w:rPr>
              <w:t xml:space="preserve">Reportes del </w:t>
            </w:r>
            <w:r w:rsidRPr="00110ED4">
              <w:rPr>
                <w:rFonts w:ascii="Arial" w:hAnsi="Arial" w:cs="Arial"/>
                <w:sz w:val="18"/>
                <w:szCs w:val="18"/>
                <w:lang w:val="es-CO"/>
              </w:rPr>
              <w:t>Sistema Integrado de Matrícula</w:t>
            </w:r>
            <w:r>
              <w:rPr>
                <w:rFonts w:ascii="Arial" w:hAnsi="Arial" w:cs="Arial"/>
                <w:sz w:val="18"/>
                <w:szCs w:val="18"/>
                <w:lang w:val="es-CO"/>
              </w:rPr>
              <w:t xml:space="preserve"> (SIMAT)</w:t>
            </w:r>
          </w:p>
        </w:tc>
      </w:tr>
      <w:tr w:rsidR="00D973F7" w:rsidRPr="00D973F7" w:rsidTr="00535264">
        <w:tc>
          <w:tcPr>
            <w:tcW w:w="3528" w:type="dxa"/>
            <w:vAlign w:val="center"/>
          </w:tcPr>
          <w:p w:rsidR="00D973F7" w:rsidRPr="00796C08" w:rsidRDefault="00D973F7" w:rsidP="00A54772">
            <w:pPr>
              <w:spacing w:line="20" w:lineRule="atLeast"/>
              <w:rPr>
                <w:rFonts w:ascii="Arial" w:eastAsia="Times New Roman" w:hAnsi="Arial" w:cs="Arial"/>
                <w:sz w:val="18"/>
                <w:szCs w:val="18"/>
                <w:lang w:val="es-CO"/>
              </w:rPr>
            </w:pPr>
            <w:r w:rsidRPr="00796C08">
              <w:rPr>
                <w:rFonts w:ascii="Arial" w:eastAsia="Times New Roman" w:hAnsi="Arial" w:cs="Arial"/>
                <w:sz w:val="18"/>
                <w:szCs w:val="18"/>
                <w:lang w:val="es-CO"/>
              </w:rPr>
              <w:t>Nuevos cupos de básica secundaria creados</w:t>
            </w:r>
          </w:p>
        </w:tc>
        <w:tc>
          <w:tcPr>
            <w:tcW w:w="234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139.000</w:t>
            </w:r>
          </w:p>
        </w:tc>
        <w:tc>
          <w:tcPr>
            <w:tcW w:w="126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150.500</w:t>
            </w:r>
          </w:p>
        </w:tc>
        <w:tc>
          <w:tcPr>
            <w:tcW w:w="2340" w:type="dxa"/>
            <w:vAlign w:val="center"/>
          </w:tcPr>
          <w:p w:rsidR="00D973F7" w:rsidRPr="00796C08" w:rsidRDefault="00D973F7" w:rsidP="00A54772">
            <w:pPr>
              <w:spacing w:line="20" w:lineRule="atLeast"/>
              <w:rPr>
                <w:rFonts w:ascii="Arial" w:hAnsi="Arial" w:cs="Arial"/>
                <w:sz w:val="18"/>
                <w:szCs w:val="18"/>
                <w:lang w:val="es-CO"/>
              </w:rPr>
            </w:pPr>
            <w:r w:rsidRPr="003277AE">
              <w:rPr>
                <w:rFonts w:ascii="Arial" w:hAnsi="Arial" w:cs="Arial"/>
                <w:sz w:val="18"/>
                <w:szCs w:val="18"/>
                <w:lang w:val="es-CO"/>
              </w:rPr>
              <w:t xml:space="preserve">Reportes del </w:t>
            </w:r>
            <w:r w:rsidRPr="00110ED4">
              <w:rPr>
                <w:rFonts w:ascii="Arial" w:hAnsi="Arial" w:cs="Arial"/>
                <w:sz w:val="18"/>
                <w:szCs w:val="18"/>
                <w:lang w:val="es-CO"/>
              </w:rPr>
              <w:t>Sistema Integrado de Matrícula</w:t>
            </w:r>
            <w:r>
              <w:rPr>
                <w:rFonts w:ascii="Arial" w:hAnsi="Arial" w:cs="Arial"/>
                <w:sz w:val="18"/>
                <w:szCs w:val="18"/>
                <w:lang w:val="es-CO"/>
              </w:rPr>
              <w:t xml:space="preserve"> (SIMAT)</w:t>
            </w:r>
          </w:p>
        </w:tc>
      </w:tr>
      <w:tr w:rsidR="00D973F7" w:rsidRPr="00D973F7" w:rsidTr="00D973F7">
        <w:trPr>
          <w:trHeight w:val="308"/>
        </w:trPr>
        <w:tc>
          <w:tcPr>
            <w:tcW w:w="3528" w:type="dxa"/>
            <w:vAlign w:val="center"/>
          </w:tcPr>
          <w:p w:rsidR="00D973F7" w:rsidRPr="00796C08" w:rsidRDefault="00D973F7" w:rsidP="00A54772">
            <w:pPr>
              <w:spacing w:line="20" w:lineRule="atLeast"/>
              <w:rPr>
                <w:rFonts w:ascii="Arial" w:eastAsia="Times New Roman" w:hAnsi="Arial" w:cs="Arial"/>
                <w:sz w:val="18"/>
                <w:szCs w:val="18"/>
                <w:lang w:val="es-CO"/>
              </w:rPr>
            </w:pPr>
            <w:r w:rsidRPr="00796C08">
              <w:rPr>
                <w:rFonts w:ascii="Arial" w:eastAsia="Times New Roman" w:hAnsi="Arial" w:cs="Arial"/>
                <w:sz w:val="18"/>
                <w:szCs w:val="18"/>
                <w:lang w:val="es-CO"/>
              </w:rPr>
              <w:t>Nuevos cupos de media creados</w:t>
            </w:r>
          </w:p>
        </w:tc>
        <w:tc>
          <w:tcPr>
            <w:tcW w:w="234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57.000</w:t>
            </w:r>
          </w:p>
        </w:tc>
        <w:tc>
          <w:tcPr>
            <w:tcW w:w="1260" w:type="dxa"/>
            <w:vAlign w:val="center"/>
          </w:tcPr>
          <w:p w:rsidR="00D973F7" w:rsidRPr="00796C08" w:rsidRDefault="00D973F7" w:rsidP="00A54772">
            <w:pPr>
              <w:spacing w:line="20" w:lineRule="atLeast"/>
              <w:jc w:val="center"/>
              <w:rPr>
                <w:rFonts w:ascii="Arial" w:eastAsia="Times New Roman" w:hAnsi="Arial" w:cs="Arial"/>
                <w:sz w:val="18"/>
                <w:szCs w:val="18"/>
                <w:lang w:val="es-CO"/>
              </w:rPr>
            </w:pPr>
            <w:r w:rsidRPr="00796C08">
              <w:rPr>
                <w:rFonts w:ascii="Arial" w:eastAsia="Times New Roman" w:hAnsi="Arial" w:cs="Arial"/>
                <w:sz w:val="18"/>
                <w:szCs w:val="18"/>
                <w:lang w:val="es-CO"/>
              </w:rPr>
              <w:t>62.100</w:t>
            </w:r>
          </w:p>
        </w:tc>
        <w:tc>
          <w:tcPr>
            <w:tcW w:w="2340" w:type="dxa"/>
            <w:vAlign w:val="center"/>
          </w:tcPr>
          <w:p w:rsidR="00D973F7" w:rsidRPr="00796C08" w:rsidRDefault="00D973F7" w:rsidP="00A54772">
            <w:pPr>
              <w:spacing w:line="20" w:lineRule="atLeast"/>
              <w:rPr>
                <w:rFonts w:ascii="Arial" w:hAnsi="Arial" w:cs="Arial"/>
                <w:sz w:val="18"/>
                <w:szCs w:val="18"/>
                <w:lang w:val="es-CO"/>
              </w:rPr>
            </w:pPr>
            <w:r w:rsidRPr="003277AE">
              <w:rPr>
                <w:rFonts w:ascii="Arial" w:hAnsi="Arial" w:cs="Arial"/>
                <w:sz w:val="18"/>
                <w:szCs w:val="18"/>
                <w:lang w:val="es-CO"/>
              </w:rPr>
              <w:t xml:space="preserve">Reportes del </w:t>
            </w:r>
            <w:r w:rsidRPr="00110ED4">
              <w:rPr>
                <w:rFonts w:ascii="Arial" w:hAnsi="Arial" w:cs="Arial"/>
                <w:sz w:val="18"/>
                <w:szCs w:val="18"/>
                <w:lang w:val="es-CO"/>
              </w:rPr>
              <w:t>Sistema Integrado de Matrícula</w:t>
            </w:r>
            <w:r>
              <w:rPr>
                <w:rFonts w:ascii="Arial" w:hAnsi="Arial" w:cs="Arial"/>
                <w:sz w:val="18"/>
                <w:szCs w:val="18"/>
                <w:lang w:val="es-CO"/>
              </w:rPr>
              <w:t xml:space="preserve"> (SIMAT)</w:t>
            </w:r>
          </w:p>
        </w:tc>
      </w:tr>
      <w:tr w:rsidR="00D973F7" w:rsidRPr="00FF08AF" w:rsidTr="00535264">
        <w:tc>
          <w:tcPr>
            <w:tcW w:w="3528" w:type="dxa"/>
            <w:vAlign w:val="center"/>
          </w:tcPr>
          <w:p w:rsidR="00D973F7" w:rsidRPr="008C6AD3" w:rsidRDefault="00D973F7" w:rsidP="00A54772">
            <w:pPr>
              <w:spacing w:line="20" w:lineRule="atLeast"/>
              <w:rPr>
                <w:rFonts w:ascii="Arial" w:eastAsia="Times New Roman" w:hAnsi="Arial" w:cs="Arial"/>
                <w:sz w:val="18"/>
                <w:szCs w:val="18"/>
                <w:lang w:val="es-CO"/>
              </w:rPr>
            </w:pPr>
            <w:r w:rsidRPr="008C6AD3">
              <w:rPr>
                <w:rFonts w:ascii="Arial" w:eastAsia="Times New Roman" w:hAnsi="Arial" w:cs="Arial"/>
                <w:sz w:val="18"/>
                <w:szCs w:val="18"/>
                <w:lang w:val="es-CO"/>
              </w:rPr>
              <w:t>Docentes de básica y media capacitados</w:t>
            </w:r>
          </w:p>
        </w:tc>
        <w:tc>
          <w:tcPr>
            <w:tcW w:w="2340" w:type="dxa"/>
            <w:vAlign w:val="center"/>
          </w:tcPr>
          <w:p w:rsidR="00D973F7" w:rsidRPr="008C6AD3" w:rsidRDefault="00D973F7" w:rsidP="00A54772">
            <w:pPr>
              <w:spacing w:line="20" w:lineRule="atLeast"/>
              <w:jc w:val="center"/>
              <w:rPr>
                <w:rFonts w:ascii="Arial" w:eastAsia="Times New Roman" w:hAnsi="Arial" w:cs="Arial"/>
                <w:sz w:val="18"/>
                <w:szCs w:val="18"/>
                <w:lang w:val="es-CO"/>
              </w:rPr>
            </w:pPr>
            <w:r w:rsidRPr="008C6AD3">
              <w:rPr>
                <w:rFonts w:ascii="Arial" w:eastAsia="Times New Roman" w:hAnsi="Arial" w:cs="Arial"/>
                <w:sz w:val="18"/>
                <w:szCs w:val="18"/>
                <w:lang w:val="es-CO"/>
              </w:rPr>
              <w:t>0</w:t>
            </w:r>
          </w:p>
        </w:tc>
        <w:tc>
          <w:tcPr>
            <w:tcW w:w="1260" w:type="dxa"/>
            <w:vAlign w:val="center"/>
          </w:tcPr>
          <w:p w:rsidR="00D973F7" w:rsidRPr="008C6AD3" w:rsidRDefault="00D973F7" w:rsidP="00A54772">
            <w:pPr>
              <w:spacing w:line="20" w:lineRule="atLeast"/>
              <w:jc w:val="center"/>
              <w:rPr>
                <w:rFonts w:ascii="Arial" w:eastAsia="Times New Roman" w:hAnsi="Arial" w:cs="Arial"/>
                <w:sz w:val="18"/>
                <w:szCs w:val="18"/>
                <w:lang w:val="es-CO"/>
              </w:rPr>
            </w:pPr>
            <w:r w:rsidRPr="008C6AD3">
              <w:rPr>
                <w:rFonts w:ascii="Arial" w:eastAsia="Times New Roman" w:hAnsi="Arial" w:cs="Arial"/>
                <w:sz w:val="18"/>
                <w:szCs w:val="18"/>
                <w:lang w:val="es-CO"/>
              </w:rPr>
              <w:t>11.000</w:t>
            </w:r>
          </w:p>
        </w:tc>
        <w:tc>
          <w:tcPr>
            <w:tcW w:w="2340" w:type="dxa"/>
            <w:vAlign w:val="center"/>
          </w:tcPr>
          <w:p w:rsidR="00D973F7" w:rsidRPr="008C6AD3" w:rsidRDefault="00D973F7" w:rsidP="00A54772">
            <w:pPr>
              <w:spacing w:line="20" w:lineRule="atLeast"/>
              <w:rPr>
                <w:rFonts w:ascii="Arial" w:hAnsi="Arial" w:cs="Arial"/>
                <w:sz w:val="18"/>
                <w:szCs w:val="18"/>
                <w:lang w:val="es-CO"/>
              </w:rPr>
            </w:pPr>
            <w:r>
              <w:rPr>
                <w:rFonts w:ascii="Arial" w:hAnsi="Arial" w:cs="Arial"/>
                <w:sz w:val="18"/>
                <w:szCs w:val="18"/>
                <w:lang w:val="es-CO"/>
              </w:rPr>
              <w:t xml:space="preserve">Reportes del </w:t>
            </w:r>
            <w:r w:rsidRPr="00FC399B">
              <w:rPr>
                <w:rFonts w:ascii="Arial" w:hAnsi="Arial" w:cs="Arial"/>
                <w:sz w:val="18"/>
                <w:szCs w:val="18"/>
                <w:lang w:val="es-CO"/>
              </w:rPr>
              <w:t>Sistema de Gestión de la Calidad Educativa (SIGCE)</w:t>
            </w:r>
          </w:p>
        </w:tc>
      </w:tr>
      <w:tr w:rsidR="00D973F7" w:rsidRPr="005F7004" w:rsidTr="00535264">
        <w:tc>
          <w:tcPr>
            <w:tcW w:w="3528" w:type="dxa"/>
            <w:vAlign w:val="center"/>
          </w:tcPr>
          <w:p w:rsidR="00D973F7" w:rsidRPr="008C6AD3" w:rsidRDefault="00D973F7" w:rsidP="00A54772">
            <w:pPr>
              <w:spacing w:line="20" w:lineRule="atLeast"/>
              <w:rPr>
                <w:rFonts w:ascii="Arial" w:eastAsia="Times New Roman" w:hAnsi="Arial" w:cs="Arial"/>
                <w:sz w:val="18"/>
                <w:szCs w:val="18"/>
                <w:lang w:val="es-CO"/>
              </w:rPr>
            </w:pPr>
            <w:r w:rsidRPr="008C6AD3">
              <w:rPr>
                <w:rFonts w:ascii="Arial" w:eastAsia="Times New Roman" w:hAnsi="Arial" w:cs="Arial"/>
                <w:sz w:val="18"/>
                <w:szCs w:val="18"/>
                <w:lang w:val="es-CO"/>
              </w:rPr>
              <w:t>Estudiantes atendidos en Jornada Única</w:t>
            </w:r>
          </w:p>
        </w:tc>
        <w:tc>
          <w:tcPr>
            <w:tcW w:w="2340" w:type="dxa"/>
            <w:vAlign w:val="center"/>
          </w:tcPr>
          <w:p w:rsidR="00D973F7" w:rsidRPr="008C6AD3" w:rsidRDefault="00D973F7" w:rsidP="00A54772">
            <w:pPr>
              <w:spacing w:line="20" w:lineRule="atLeast"/>
              <w:jc w:val="center"/>
              <w:rPr>
                <w:rFonts w:ascii="Arial" w:eastAsia="Times New Roman" w:hAnsi="Arial" w:cs="Arial"/>
                <w:sz w:val="18"/>
                <w:szCs w:val="18"/>
                <w:lang w:val="es-CO"/>
              </w:rPr>
            </w:pPr>
            <w:r w:rsidRPr="008C6AD3">
              <w:rPr>
                <w:rFonts w:ascii="Arial" w:eastAsia="Times New Roman" w:hAnsi="Arial" w:cs="Arial"/>
                <w:sz w:val="18"/>
                <w:szCs w:val="18"/>
                <w:lang w:val="es-CO"/>
              </w:rPr>
              <w:t>28.000</w:t>
            </w:r>
          </w:p>
        </w:tc>
        <w:tc>
          <w:tcPr>
            <w:tcW w:w="1260" w:type="dxa"/>
            <w:vAlign w:val="center"/>
          </w:tcPr>
          <w:p w:rsidR="00D973F7" w:rsidRPr="008C6AD3" w:rsidRDefault="00D973F7" w:rsidP="00A54772">
            <w:pPr>
              <w:spacing w:line="20" w:lineRule="atLeast"/>
              <w:jc w:val="center"/>
              <w:rPr>
                <w:rFonts w:ascii="Arial" w:eastAsia="Times New Roman" w:hAnsi="Arial" w:cs="Arial"/>
                <w:sz w:val="18"/>
                <w:szCs w:val="18"/>
                <w:lang w:val="es-CO"/>
              </w:rPr>
            </w:pPr>
            <w:r w:rsidRPr="008C6AD3">
              <w:rPr>
                <w:rFonts w:ascii="Arial" w:eastAsia="Times New Roman" w:hAnsi="Arial" w:cs="Arial"/>
                <w:sz w:val="18"/>
                <w:szCs w:val="18"/>
                <w:lang w:val="es-CO"/>
              </w:rPr>
              <w:t>40.000</w:t>
            </w:r>
          </w:p>
        </w:tc>
        <w:tc>
          <w:tcPr>
            <w:tcW w:w="2340" w:type="dxa"/>
            <w:vAlign w:val="center"/>
          </w:tcPr>
          <w:p w:rsidR="00D973F7" w:rsidRPr="008C6AD3" w:rsidRDefault="00D973F7" w:rsidP="00A54772">
            <w:pPr>
              <w:spacing w:line="20" w:lineRule="atLeast"/>
              <w:rPr>
                <w:rFonts w:ascii="Arial" w:hAnsi="Arial" w:cs="Arial"/>
                <w:sz w:val="18"/>
                <w:szCs w:val="18"/>
                <w:lang w:val="es-CO"/>
              </w:rPr>
            </w:pPr>
            <w:r w:rsidRPr="003277AE">
              <w:rPr>
                <w:rFonts w:ascii="Arial" w:hAnsi="Arial" w:cs="Arial"/>
                <w:sz w:val="18"/>
                <w:szCs w:val="18"/>
                <w:lang w:val="es-CO"/>
              </w:rPr>
              <w:t xml:space="preserve">Reportes del </w:t>
            </w:r>
            <w:r w:rsidRPr="00110ED4">
              <w:rPr>
                <w:rFonts w:ascii="Arial" w:hAnsi="Arial" w:cs="Arial"/>
                <w:sz w:val="18"/>
                <w:szCs w:val="18"/>
                <w:lang w:val="es-CO"/>
              </w:rPr>
              <w:t>Sistema Integrado de Matrícula</w:t>
            </w:r>
            <w:r>
              <w:rPr>
                <w:rFonts w:ascii="Arial" w:hAnsi="Arial" w:cs="Arial"/>
                <w:sz w:val="18"/>
                <w:szCs w:val="18"/>
                <w:lang w:val="es-CO"/>
              </w:rPr>
              <w:t xml:space="preserve"> (SIMAT)</w:t>
            </w:r>
          </w:p>
        </w:tc>
      </w:tr>
    </w:tbl>
    <w:p w:rsidR="00535264" w:rsidRDefault="00535264" w:rsidP="00976B55">
      <w:pPr>
        <w:autoSpaceDE w:val="0"/>
        <w:autoSpaceDN w:val="0"/>
        <w:adjustRightInd w:val="0"/>
        <w:spacing w:after="0"/>
        <w:rPr>
          <w:rFonts w:ascii="Arial" w:hAnsi="Arial" w:cs="Arial"/>
          <w:lang w:val="es-CO" w:bidi="si-LK"/>
        </w:rPr>
      </w:pPr>
    </w:p>
    <w:p w:rsidR="007B6A2F" w:rsidRPr="00196C02" w:rsidRDefault="007B6A2F" w:rsidP="007B6A2F">
      <w:pPr>
        <w:pStyle w:val="ListParagraph"/>
        <w:numPr>
          <w:ilvl w:val="0"/>
          <w:numId w:val="1"/>
        </w:numPr>
        <w:spacing w:after="0" w:line="20" w:lineRule="atLeast"/>
        <w:jc w:val="both"/>
        <w:rPr>
          <w:rFonts w:ascii="Arial" w:hAnsi="Arial" w:cs="Arial"/>
          <w:lang w:val="es-ES_tradnl"/>
        </w:rPr>
      </w:pPr>
      <w:r w:rsidRPr="00196C02">
        <w:rPr>
          <w:rFonts w:ascii="Arial" w:hAnsi="Arial" w:cs="Arial"/>
          <w:b/>
          <w:lang w:val="es-ES_tradnl"/>
        </w:rPr>
        <w:t>MECANISMO DE EJECUCI</w:t>
      </w:r>
      <w:r>
        <w:rPr>
          <w:rFonts w:ascii="Arial" w:hAnsi="Arial" w:cs="Arial"/>
          <w:b/>
          <w:lang w:val="es-ES_tradnl"/>
        </w:rPr>
        <w:t>Ó</w:t>
      </w:r>
      <w:r w:rsidRPr="00196C02">
        <w:rPr>
          <w:rFonts w:ascii="Arial" w:hAnsi="Arial" w:cs="Arial"/>
          <w:b/>
          <w:lang w:val="es-ES_tradnl"/>
        </w:rPr>
        <w:t>N</w:t>
      </w:r>
    </w:p>
    <w:p w:rsidR="007B6A2F" w:rsidRPr="00196C02" w:rsidRDefault="007B6A2F" w:rsidP="007B6A2F">
      <w:pPr>
        <w:pStyle w:val="ListParagraph"/>
        <w:spacing w:after="0" w:line="20" w:lineRule="atLeast"/>
        <w:ind w:left="360"/>
        <w:jc w:val="both"/>
        <w:rPr>
          <w:rFonts w:ascii="Arial" w:hAnsi="Arial" w:cs="Arial"/>
          <w:lang w:val="es-ES_tradnl"/>
        </w:rPr>
      </w:pPr>
    </w:p>
    <w:p w:rsidR="007B6A2F" w:rsidRDefault="007B6A2F" w:rsidP="007B6A2F">
      <w:pPr>
        <w:pStyle w:val="ListParagraph"/>
        <w:numPr>
          <w:ilvl w:val="1"/>
          <w:numId w:val="1"/>
        </w:numPr>
        <w:spacing w:after="0" w:line="20" w:lineRule="atLeast"/>
        <w:jc w:val="both"/>
        <w:rPr>
          <w:rFonts w:ascii="Arial" w:hAnsi="Arial" w:cs="Arial"/>
          <w:lang w:val="es-ES_tradnl"/>
        </w:rPr>
      </w:pPr>
      <w:r>
        <w:rPr>
          <w:rFonts w:ascii="Arial" w:hAnsi="Arial" w:cs="Arial"/>
          <w:b/>
          <w:lang w:val="es-ES_tradnl"/>
        </w:rPr>
        <w:t xml:space="preserve">Componente </w:t>
      </w:r>
      <w:r w:rsidR="00082409">
        <w:rPr>
          <w:rFonts w:ascii="Arial" w:hAnsi="Arial" w:cs="Arial"/>
          <w:b/>
          <w:lang w:val="es-ES_tradnl"/>
        </w:rPr>
        <w:t>1</w:t>
      </w:r>
      <w:r>
        <w:rPr>
          <w:rFonts w:ascii="Arial" w:hAnsi="Arial" w:cs="Arial"/>
          <w:b/>
          <w:lang w:val="es-ES_tradnl"/>
        </w:rPr>
        <w:t xml:space="preserve">- Mejora de la Gestión Fiscal. </w:t>
      </w:r>
      <w:r w:rsidR="003E7EEE" w:rsidRPr="003E7EEE">
        <w:rPr>
          <w:rFonts w:ascii="Arial" w:hAnsi="Arial" w:cs="Arial"/>
          <w:lang w:val="es-ES_tradnl"/>
        </w:rPr>
        <w:t>La responsabilidad por la ejecución de este componente corresponde a las Secretarías de Hacienda (encargada  del diseño de la política financiera, la recaudación de impuestos, gestionar recursos de crédito y transferencias, efectuar el servicio de deuda de la Alcaldía, realizar la administración financiera,  y administrar las compras y contrataciones), Planeación (coordinar la formulación y seguimiento a la ejecución del Plan de Desarrollo del Municipio) y Secretaría General  de la Alcaldía de Cali (encargada de coordinar la gestión de las diferentes dependencias de la Administración y su relación con instituciones y ciudadanía en general)</w:t>
      </w:r>
      <w:r>
        <w:rPr>
          <w:rFonts w:ascii="Arial" w:hAnsi="Arial" w:cs="Arial"/>
          <w:lang w:val="es-ES_tradnl"/>
        </w:rPr>
        <w:t>.</w:t>
      </w:r>
    </w:p>
    <w:p w:rsidR="007B6A2F" w:rsidRPr="003E7EEE" w:rsidRDefault="007B6A2F" w:rsidP="007B6A2F">
      <w:pPr>
        <w:spacing w:after="0" w:line="20" w:lineRule="atLeast"/>
        <w:jc w:val="both"/>
        <w:rPr>
          <w:rFonts w:ascii="Arial" w:hAnsi="Arial" w:cs="Arial"/>
          <w:lang w:val="es-ES_tradnl"/>
        </w:rPr>
      </w:pPr>
    </w:p>
    <w:p w:rsidR="003E7EEE" w:rsidRPr="00BF7A3E" w:rsidRDefault="003E7EEE" w:rsidP="003E7EEE">
      <w:pPr>
        <w:pStyle w:val="Default"/>
        <w:jc w:val="both"/>
        <w:rPr>
          <w:b/>
          <w:sz w:val="22"/>
          <w:szCs w:val="22"/>
          <w:u w:val="single"/>
          <w:lang w:val="es-ES"/>
        </w:rPr>
      </w:pPr>
      <w:r w:rsidRPr="00BF7A3E">
        <w:rPr>
          <w:b/>
          <w:sz w:val="22"/>
          <w:szCs w:val="22"/>
          <w:u w:val="single"/>
          <w:lang w:val="es-ES"/>
        </w:rPr>
        <w:t xml:space="preserve">Ventanilla Única de Servicios al Ciudadano: Impuestos, Beneficios, Radicados. </w:t>
      </w:r>
      <w:r w:rsidRPr="00BF7A3E">
        <w:rPr>
          <w:color w:val="auto"/>
          <w:sz w:val="22"/>
          <w:szCs w:val="22"/>
          <w:lang w:val="es-ES_tradnl"/>
        </w:rPr>
        <w:t xml:space="preserve">Este proyecto pretende proveer a la Administración municipal con procedimientos y tecnologías  de última generación para mejorar la atención  a sus ciudadanos. La ventanilla única permite a los ciudadanos encontrar todos sus trámites (ej. gestión de impuestos y beneficios) y realizar sus radicados desde un solo punto, ya sea digital o físico. Con una solución tecnológica como la descrita se permitirá alcanzar comunidades antes difícilmente atendidas como las ubicadas en los territorios de Inclusión y oportunidad. </w:t>
      </w:r>
      <w:r w:rsidRPr="00BF7A3E">
        <w:rPr>
          <w:sz w:val="22"/>
          <w:szCs w:val="22"/>
          <w:lang w:val="es-ES_tradnl"/>
        </w:rPr>
        <w:t>El proyecto permitirá atender los siguientes requerimientos:</w:t>
      </w:r>
    </w:p>
    <w:p w:rsidR="003E7EEE" w:rsidRPr="00BF7A3E" w:rsidRDefault="003E7EEE" w:rsidP="003E7EEE">
      <w:pPr>
        <w:pStyle w:val="Default"/>
        <w:spacing w:after="50"/>
        <w:jc w:val="both"/>
        <w:rPr>
          <w:sz w:val="22"/>
          <w:szCs w:val="22"/>
          <w:lang w:val="es-ES_tradnl"/>
        </w:rPr>
      </w:pP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Gestión de Beneficios: Gestionar todas las aplicaciones de ciudadanos a Beneficios que otorga la ciudad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Gestión de Recaudos Gestionar todos los pagos o recaudos que efectúe la Alcaldía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Gestión de Servicios en Línea, para entregar servicios oportunos a los ciudadanos dónde, cuándo y cómo ellos lo necesitan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Plataforma integrada de gestión financiera: para planear, seleccionar, gestionar y evaluar todos los programas y beneficios desde una sola plataforma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Gestión de Tramites: para simplificar trámites como procesos de permisos, licencias e inspecciones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Registro de radicados en línea Registro de radicados en línea con la posibilidad de agregar documentos de soporte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Registro de Peticiones, Quejas y Reclamos por parte de los ciudadanos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Consulta de Estados con la posibilidad de conocer el estado de un caso registrado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Registro de radicados en ventanilla física </w:t>
      </w:r>
    </w:p>
    <w:p w:rsidR="003E7EEE" w:rsidRPr="00BF7A3E" w:rsidRDefault="003E7EEE" w:rsidP="003E7EEE">
      <w:pPr>
        <w:pStyle w:val="Default"/>
        <w:numPr>
          <w:ilvl w:val="0"/>
          <w:numId w:val="33"/>
        </w:numPr>
        <w:spacing w:after="50"/>
        <w:jc w:val="both"/>
        <w:rPr>
          <w:sz w:val="22"/>
          <w:szCs w:val="22"/>
          <w:lang w:val="es-ES_tradnl"/>
        </w:rPr>
      </w:pPr>
      <w:r w:rsidRPr="00BF7A3E">
        <w:rPr>
          <w:sz w:val="22"/>
          <w:szCs w:val="22"/>
          <w:lang w:val="es-ES_tradnl"/>
        </w:rPr>
        <w:t xml:space="preserve">Registro de radicados desde una ventanilla física con la posibilidad de adjuntar documentos de soporte a múltiples canales </w:t>
      </w:r>
    </w:p>
    <w:p w:rsidR="003E7EEE" w:rsidRPr="00BF7A3E" w:rsidRDefault="003E7EEE" w:rsidP="003E7EEE">
      <w:pPr>
        <w:pStyle w:val="Default"/>
        <w:numPr>
          <w:ilvl w:val="0"/>
          <w:numId w:val="33"/>
        </w:numPr>
        <w:jc w:val="both"/>
        <w:rPr>
          <w:sz w:val="22"/>
          <w:szCs w:val="22"/>
          <w:lang w:val="es-ES_tradnl"/>
        </w:rPr>
      </w:pPr>
      <w:r w:rsidRPr="00BF7A3E">
        <w:rPr>
          <w:sz w:val="22"/>
          <w:szCs w:val="22"/>
          <w:lang w:val="es-ES_tradnl"/>
        </w:rPr>
        <w:t xml:space="preserve">Registro de las preguntas a través de diferentes canales como página Web, correo electrónico, chat, redes sociales, entre otros. </w:t>
      </w:r>
    </w:p>
    <w:p w:rsidR="003E7EE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 xml:space="preserve">Entre los beneficios más destacados de este proyectos se encuentran los siguientes: i) disponer de  una vista única para el contribuyente facilitando su entendimiento y transparencia, ii) Incremento en  los niveles de cobranza, iii)  ayudar a los ciudadanos con información relevante, de interés y de forma consistente, iv) optimización de la comunicación entre institucional para poder compartir mejores prácticas. v) Servicios personalizados que responden a los ciudadanos a través de su canal o dispositivo preferido a la hora de su preferencia, vi) experiencia de última generación para los </w:t>
      </w:r>
      <w:r w:rsidRPr="00BF7A3E">
        <w:rPr>
          <w:sz w:val="22"/>
          <w:szCs w:val="22"/>
          <w:lang w:val="es-ES"/>
        </w:rPr>
        <w:lastRenderedPageBreak/>
        <w:t xml:space="preserve">ciudadanos, para que puedan registrar sus preguntas a través de diferentes canales, vii) eficiencia en los procesos de respuesta a los ciudadanos, viii) transparencia para el ciudadano, de manera que puede conocer el estado de sus peticiones y ix) eficiencia en la gestión de la ventanilla física.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b/>
          <w:sz w:val="22"/>
          <w:szCs w:val="22"/>
          <w:u w:val="single"/>
          <w:lang w:val="es-ES"/>
        </w:rPr>
      </w:pPr>
      <w:r w:rsidRPr="00BF7A3E">
        <w:rPr>
          <w:b/>
          <w:sz w:val="22"/>
          <w:szCs w:val="22"/>
          <w:u w:val="single"/>
          <w:lang w:val="es-ES"/>
        </w:rPr>
        <w:t>Plataforma Integradora Vista 360 del Ciudadano</w:t>
      </w:r>
      <w:r w:rsidRPr="00BF7A3E">
        <w:rPr>
          <w:sz w:val="22"/>
          <w:szCs w:val="22"/>
          <w:lang w:val="es-ES"/>
        </w:rPr>
        <w:t>. La Administración municipal puede tener una visión integral del ciudadano a través de todas las secretarías, incluyendo todos los aspectos relevantes del ciudadano, tales como: datos maestros, impuestos pagados, acuerdos de pago, beneficios recibidos, radicados, casos abiertos, entre mucha otra información. Al visualizar integralmente al ciudadano, comunidades vulnerables en situación de pobreza y pobreza extrema podrán ser caracterizadas para que la Administración municipal sea más efectiva en su lucha por reducir la desigualdad.</w:t>
      </w:r>
      <w:r w:rsidRPr="00BF7A3E">
        <w:rPr>
          <w:sz w:val="22"/>
          <w:szCs w:val="22"/>
          <w:lang w:val="es-ES_tradnl"/>
        </w:rPr>
        <w:t xml:space="preserve"> El proyecto permitirá atender los siguientes requerimientos:</w:t>
      </w:r>
    </w:p>
    <w:p w:rsidR="003E7EEE" w:rsidRPr="00BF7A3E" w:rsidRDefault="003E7EEE" w:rsidP="003E7EEE">
      <w:pPr>
        <w:pStyle w:val="Default"/>
        <w:ind w:firstLine="60"/>
        <w:jc w:val="both"/>
        <w:rPr>
          <w:sz w:val="22"/>
          <w:szCs w:val="22"/>
          <w:lang w:val="es-ES"/>
        </w:rPr>
      </w:pPr>
    </w:p>
    <w:p w:rsidR="003E7EEE" w:rsidRPr="00BF7A3E" w:rsidRDefault="003E7EEE" w:rsidP="003E7EEE">
      <w:pPr>
        <w:pStyle w:val="Default"/>
        <w:numPr>
          <w:ilvl w:val="0"/>
          <w:numId w:val="34"/>
        </w:numPr>
        <w:jc w:val="both"/>
        <w:rPr>
          <w:sz w:val="22"/>
          <w:szCs w:val="22"/>
          <w:lang w:val="es-ES"/>
        </w:rPr>
      </w:pPr>
      <w:r w:rsidRPr="00BF7A3E">
        <w:rPr>
          <w:sz w:val="22"/>
          <w:szCs w:val="22"/>
          <w:lang w:val="es-ES"/>
        </w:rPr>
        <w:t>Gestión de Datos Maestros de los Ciudadanos: Se brinda la capacidad de gobierno de los datos de los ciudadanos incluyendo fuentes externas (secretarias, diversos tipos de sistemas) o manejando un esquema de gobierno centralizado.</w:t>
      </w:r>
    </w:p>
    <w:p w:rsidR="003E7EEE" w:rsidRPr="00BF7A3E" w:rsidRDefault="003E7EEE" w:rsidP="003E7EEE">
      <w:pPr>
        <w:pStyle w:val="Default"/>
        <w:numPr>
          <w:ilvl w:val="0"/>
          <w:numId w:val="34"/>
        </w:numPr>
        <w:jc w:val="both"/>
        <w:rPr>
          <w:sz w:val="22"/>
          <w:szCs w:val="22"/>
          <w:lang w:val="es-ES"/>
        </w:rPr>
      </w:pPr>
      <w:r w:rsidRPr="00BF7A3E">
        <w:rPr>
          <w:sz w:val="22"/>
          <w:szCs w:val="22"/>
          <w:lang w:val="es-ES"/>
        </w:rPr>
        <w:t>Consolidación de información transaccional: Se puede consolidar la información relevante de impuestos, beneficios y casos (radicados) para brindar una vista 360° integral.</w:t>
      </w:r>
    </w:p>
    <w:p w:rsidR="003E7EEE" w:rsidRPr="00BF7A3E" w:rsidRDefault="003E7EEE" w:rsidP="003E7EEE">
      <w:pPr>
        <w:pStyle w:val="Default"/>
        <w:numPr>
          <w:ilvl w:val="0"/>
          <w:numId w:val="34"/>
        </w:numPr>
        <w:jc w:val="both"/>
        <w:rPr>
          <w:sz w:val="22"/>
          <w:szCs w:val="22"/>
          <w:lang w:val="es-ES"/>
        </w:rPr>
      </w:pPr>
      <w:r w:rsidRPr="00BF7A3E">
        <w:rPr>
          <w:sz w:val="22"/>
          <w:szCs w:val="22"/>
          <w:lang w:val="es-ES"/>
        </w:rPr>
        <w:t xml:space="preserve">Gestión Documental: una plataforma de gestión documental que soporte los ciclos de vida de los documentos incluyendo aspectos como tablas de retención, manejo de expedientes, gestión de correspondencia de entrada y salida, trazabilidad, gestión de archivo físico, préstamo de documentos, entre otros.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 xml:space="preserve">Entre los beneficios más destacados de este proyectos se encuentran los siguientes: i) Información centralizada y oficial de los ciudadanos, ii) colaboración con entidades gubernamentales para construir la visión integral del Ciudadano, iii) los funcionarios de la Alcaldía pueden tener una visión completa del Ciudadano, iv) capacidad de responder rápidamente al ciudadano al contar con la Información necesaria, v) Integración de la plataforma de gestión documental con los procesos de de la Administración.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b/>
          <w:sz w:val="22"/>
          <w:szCs w:val="22"/>
          <w:u w:val="single"/>
          <w:lang w:val="es-ES"/>
        </w:rPr>
        <w:t>Sistema integrado de Gestión Financiera, contable y Cartera</w:t>
      </w:r>
      <w:r w:rsidRPr="00BF7A3E">
        <w:rPr>
          <w:sz w:val="22"/>
          <w:szCs w:val="22"/>
          <w:lang w:val="es-ES"/>
        </w:rPr>
        <w:t>. La Administración municipal podría llegar a la excelencia en la gestión financiera y contable optimizando sus procesos financieros. Al integrar la gestión financiera y contable con la cobranza de la Administración municipal, esta puede incrementar su efectividad a través de los Sistemas de Información registrando acuerdos de pago con los contribuyentes y permitiendo dar seguimiento a la cobranza y así diseñar e implementar diferentes estrategias de recuperación de cartera.</w:t>
      </w:r>
      <w:r w:rsidRPr="00BF7A3E">
        <w:rPr>
          <w:sz w:val="22"/>
          <w:szCs w:val="22"/>
          <w:lang w:val="es-ES_tradnl"/>
        </w:rPr>
        <w:t xml:space="preserve"> El proyecto permitirá atender los siguientes requerimientos:</w:t>
      </w:r>
    </w:p>
    <w:p w:rsidR="003E7EEE" w:rsidRPr="00BF7A3E" w:rsidRDefault="003E7EEE" w:rsidP="003E7EEE">
      <w:pPr>
        <w:pStyle w:val="Default"/>
        <w:jc w:val="both"/>
        <w:rPr>
          <w:sz w:val="22"/>
          <w:szCs w:val="22"/>
          <w:lang w:val="es-ES"/>
        </w:rPr>
      </w:pPr>
    </w:p>
    <w:p w:rsidR="003E7EEE" w:rsidRPr="00BF7A3E" w:rsidRDefault="003E7EEE" w:rsidP="003E7EEE">
      <w:pPr>
        <w:pStyle w:val="Default"/>
        <w:numPr>
          <w:ilvl w:val="0"/>
          <w:numId w:val="35"/>
        </w:numPr>
        <w:spacing w:after="51"/>
        <w:jc w:val="both"/>
        <w:rPr>
          <w:sz w:val="22"/>
          <w:szCs w:val="22"/>
          <w:lang w:val="es-ES"/>
        </w:rPr>
      </w:pPr>
      <w:r w:rsidRPr="00BF7A3E">
        <w:rPr>
          <w:sz w:val="22"/>
          <w:szCs w:val="22"/>
          <w:lang w:val="es-ES"/>
        </w:rPr>
        <w:t>Capacidad de reporte automático de la contabilidad.</w:t>
      </w:r>
    </w:p>
    <w:p w:rsidR="003E7EEE" w:rsidRPr="00BF7A3E" w:rsidRDefault="003E7EEE" w:rsidP="003E7EEE">
      <w:pPr>
        <w:pStyle w:val="Default"/>
        <w:numPr>
          <w:ilvl w:val="0"/>
          <w:numId w:val="35"/>
        </w:numPr>
        <w:spacing w:after="51"/>
        <w:jc w:val="both"/>
        <w:rPr>
          <w:sz w:val="22"/>
          <w:szCs w:val="22"/>
          <w:lang w:val="es-ES"/>
        </w:rPr>
      </w:pPr>
      <w:r w:rsidRPr="00BF7A3E">
        <w:rPr>
          <w:sz w:val="22"/>
          <w:szCs w:val="22"/>
          <w:lang w:val="es-ES"/>
        </w:rPr>
        <w:t xml:space="preserve">Análisis avanzados de la Cobranza a través de Listas de Trabajo </w:t>
      </w:r>
    </w:p>
    <w:p w:rsidR="003E7EEE" w:rsidRPr="00BF7A3E" w:rsidRDefault="003E7EEE" w:rsidP="003E7EEE">
      <w:pPr>
        <w:pStyle w:val="Default"/>
        <w:numPr>
          <w:ilvl w:val="0"/>
          <w:numId w:val="35"/>
        </w:numPr>
        <w:spacing w:after="51"/>
        <w:jc w:val="both"/>
        <w:rPr>
          <w:sz w:val="22"/>
          <w:szCs w:val="22"/>
          <w:lang w:val="es-ES"/>
        </w:rPr>
      </w:pPr>
      <w:r w:rsidRPr="00BF7A3E">
        <w:rPr>
          <w:sz w:val="22"/>
          <w:szCs w:val="22"/>
          <w:lang w:val="es-ES"/>
        </w:rPr>
        <w:t xml:space="preserve">realizar el contacto con el ciudadano a través de diferentes canales. </w:t>
      </w:r>
    </w:p>
    <w:p w:rsidR="003E7EEE" w:rsidRPr="00BF7A3E" w:rsidRDefault="003E7EEE" w:rsidP="003E7EEE">
      <w:pPr>
        <w:pStyle w:val="Default"/>
        <w:numPr>
          <w:ilvl w:val="0"/>
          <w:numId w:val="35"/>
        </w:numPr>
        <w:spacing w:after="51"/>
        <w:jc w:val="both"/>
        <w:rPr>
          <w:sz w:val="22"/>
          <w:szCs w:val="22"/>
          <w:lang w:val="es-ES"/>
        </w:rPr>
      </w:pPr>
      <w:r w:rsidRPr="00BF7A3E">
        <w:rPr>
          <w:sz w:val="22"/>
          <w:szCs w:val="22"/>
          <w:lang w:val="es-ES"/>
        </w:rPr>
        <w:t xml:space="preserve">Permitir a los contribuyentes la generación de aclaraciones/ reclamos para optimizar el servicio que se les presta  </w:t>
      </w:r>
    </w:p>
    <w:p w:rsidR="003E7EEE" w:rsidRPr="00BF7A3E" w:rsidRDefault="003E7EEE" w:rsidP="003E7EEE">
      <w:pPr>
        <w:pStyle w:val="Default"/>
        <w:numPr>
          <w:ilvl w:val="0"/>
          <w:numId w:val="35"/>
        </w:numPr>
        <w:jc w:val="both"/>
        <w:rPr>
          <w:sz w:val="22"/>
          <w:szCs w:val="22"/>
          <w:lang w:val="es-ES"/>
        </w:rPr>
      </w:pPr>
      <w:r w:rsidRPr="00BF7A3E">
        <w:rPr>
          <w:sz w:val="22"/>
          <w:szCs w:val="22"/>
          <w:lang w:val="es-ES"/>
        </w:rPr>
        <w:t xml:space="preserve">Registro de notas aclaratorias solicitadas por los contribuyentes sobre facturas, notas de crédito, descuentos, líneas de crédito, bloqueo de documentos  aplicación de pagos, entre otros. </w:t>
      </w:r>
    </w:p>
    <w:p w:rsidR="003E7EEE" w:rsidRPr="00BF7A3E" w:rsidRDefault="003E7EEE" w:rsidP="003E7EEE">
      <w:pPr>
        <w:pStyle w:val="Default"/>
        <w:numPr>
          <w:ilvl w:val="0"/>
          <w:numId w:val="35"/>
        </w:numPr>
        <w:jc w:val="both"/>
        <w:rPr>
          <w:sz w:val="22"/>
          <w:szCs w:val="22"/>
          <w:lang w:val="es-ES"/>
        </w:rPr>
      </w:pPr>
      <w:r w:rsidRPr="00BF7A3E">
        <w:rPr>
          <w:sz w:val="22"/>
          <w:szCs w:val="22"/>
          <w:lang w:val="es-ES"/>
        </w:rPr>
        <w:t xml:space="preserve">Aprobación o rechazo de descuentos y notas de crédito aplicación de pagos. </w:t>
      </w:r>
    </w:p>
    <w:p w:rsidR="003E7EEE" w:rsidRPr="00BF7A3E" w:rsidRDefault="003E7EEE" w:rsidP="003E7EEE">
      <w:pPr>
        <w:pStyle w:val="Default"/>
        <w:spacing w:after="53"/>
        <w:jc w:val="both"/>
        <w:rPr>
          <w:b/>
          <w:bCs/>
          <w:sz w:val="22"/>
          <w:szCs w:val="22"/>
          <w:lang w:val="es-ES"/>
        </w:rPr>
      </w:pPr>
    </w:p>
    <w:p w:rsidR="003E7EEE" w:rsidRPr="00BF7A3E" w:rsidRDefault="003E7EEE" w:rsidP="003E7EEE">
      <w:pPr>
        <w:pStyle w:val="Default"/>
        <w:spacing w:after="53"/>
        <w:jc w:val="both"/>
        <w:rPr>
          <w:sz w:val="22"/>
          <w:szCs w:val="22"/>
          <w:lang w:val="es-ES"/>
        </w:rPr>
      </w:pPr>
      <w:r w:rsidRPr="00BF7A3E">
        <w:rPr>
          <w:sz w:val="22"/>
          <w:szCs w:val="22"/>
          <w:lang w:val="es-ES"/>
        </w:rPr>
        <w:lastRenderedPageBreak/>
        <w:t xml:space="preserve">Entre los beneficios más destacados de este proyectos se encuentran los siguientes: i) generación de estados financieros a nivel de segmento y centro de beneficio, ii) realización de valoraciones para cumplir principios contables, iii) reportes financieros en tiempo real, iv) optimiza el proceso para altos volúmenes de partidas abiertas de las diferentes rentas y otros cobros, v) realizar una cobranza proactiva y efectiva, vi) visibilidad completa de las obligaciones de los contribuyentes en un solo punto de acceso, vii) reducción efectiva de días de cartera mediante la reducción de los retrasos de pagos, viii) proveer Información real en el momento oportuno, lo cual permite mejorar la  toma de decisiones, ix) permitir el diseño de campañas de cobros para agilizar el recaudo,  x) analizar la cuenta por cobrar en función a los vencimientos para determinar los días cartera , xi) permitir dar seguimiento a los acuerdos de pago, aclaraciones y promesas de pago registrados.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b/>
          <w:sz w:val="22"/>
          <w:szCs w:val="22"/>
          <w:u w:val="single"/>
          <w:lang w:val="es-ES"/>
        </w:rPr>
        <w:t>Sistema de Información para la Gestión del Plan de Desarrollo.</w:t>
      </w:r>
      <w:r w:rsidRPr="00BF7A3E">
        <w:rPr>
          <w:sz w:val="22"/>
          <w:szCs w:val="22"/>
          <w:lang w:val="es-ES"/>
        </w:rPr>
        <w:t xml:space="preserve"> </w:t>
      </w:r>
      <w:r w:rsidR="00FA3663">
        <w:rPr>
          <w:sz w:val="22"/>
          <w:szCs w:val="22"/>
          <w:lang w:val="es-ES"/>
        </w:rPr>
        <w:t>El objetico es l</w:t>
      </w:r>
      <w:r w:rsidRPr="00BF7A3E">
        <w:rPr>
          <w:sz w:val="22"/>
          <w:szCs w:val="22"/>
          <w:lang w:val="es-ES"/>
        </w:rPr>
        <w:t>ograr la excelencia en la ejecución del Plan de Desarrollo teniendo en cuenta el dinamismo de la Gestión Pública en donde se debe articular la planificación, ejecución, seguimiento, evaluación, control y rendición de cuentas de las estrategias de desarrollo de la Administración municipal, sobre la base de las metas acordadas en el Plan de Desarrollo. Programas bandera de la administración municipal como TIO`s han demandado este tipo de sistemas de información. Ellos podrán ser gestionados más efectivamente y maximizar su impacto en la comunidad a la que apuntan.</w:t>
      </w:r>
      <w:r w:rsidRPr="00BF7A3E">
        <w:rPr>
          <w:sz w:val="22"/>
          <w:szCs w:val="22"/>
          <w:lang w:val="es-ES_tradnl"/>
        </w:rPr>
        <w:t xml:space="preserve"> El proyecto permitirá atender los siguientes requerimientos:</w:t>
      </w:r>
    </w:p>
    <w:p w:rsidR="003E7EEE" w:rsidRPr="00BF7A3E" w:rsidRDefault="003E7EEE" w:rsidP="003E7EEE">
      <w:pPr>
        <w:pStyle w:val="Default"/>
        <w:jc w:val="both"/>
        <w:rPr>
          <w:sz w:val="22"/>
          <w:szCs w:val="22"/>
          <w:lang w:val="es-ES"/>
        </w:rPr>
      </w:pP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Medir el desempeño y monitorear  resultados del plan de desarrollo. </w:t>
      </w: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Ofrece un amigable monitoreo de los proyectos a través de reportes y tableros de control </w:t>
      </w: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Evaluar rápidamente los cambios y/o avances y ejecutar acciones pertinentes en las áreas que lo requieran Mejora la Visibilidad y Toma de Decisiones. </w:t>
      </w: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Centralizar la gestión de los indicadores de rendimiento ofreciendo consistencia y transparencia </w:t>
      </w: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Alinear las metas, iniciativas y las métricas </w:t>
      </w: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Llevar la estrategia a todos los niveles en la alcaldía, </w:t>
      </w:r>
    </w:p>
    <w:p w:rsidR="003E7EEE" w:rsidRPr="00BF7A3E" w:rsidRDefault="003E7EEE" w:rsidP="003E7EEE">
      <w:pPr>
        <w:pStyle w:val="Default"/>
        <w:numPr>
          <w:ilvl w:val="0"/>
          <w:numId w:val="36"/>
        </w:numPr>
        <w:spacing w:after="53"/>
        <w:jc w:val="both"/>
        <w:rPr>
          <w:sz w:val="22"/>
          <w:szCs w:val="22"/>
          <w:lang w:val="es-ES"/>
        </w:rPr>
      </w:pPr>
      <w:r w:rsidRPr="00BF7A3E">
        <w:rPr>
          <w:sz w:val="22"/>
          <w:szCs w:val="22"/>
          <w:lang w:val="es-ES"/>
        </w:rPr>
        <w:t xml:space="preserve">Inteligente manejo de los recursos. </w:t>
      </w:r>
    </w:p>
    <w:p w:rsidR="003E7EEE" w:rsidRPr="00BF7A3E" w:rsidRDefault="003E7EEE" w:rsidP="003E7EEE">
      <w:pPr>
        <w:pStyle w:val="Default"/>
        <w:numPr>
          <w:ilvl w:val="0"/>
          <w:numId w:val="36"/>
        </w:numPr>
        <w:jc w:val="both"/>
        <w:rPr>
          <w:sz w:val="22"/>
          <w:szCs w:val="22"/>
          <w:lang w:val="es-ES"/>
        </w:rPr>
      </w:pPr>
      <w:r w:rsidRPr="00BF7A3E">
        <w:rPr>
          <w:sz w:val="22"/>
          <w:szCs w:val="22"/>
          <w:lang w:val="es-ES"/>
        </w:rPr>
        <w:t>Asignar prioridad a las iniciativas de mayor impacto.</w:t>
      </w:r>
    </w:p>
    <w:p w:rsidR="003E7EEE" w:rsidRPr="00BF7A3E" w:rsidRDefault="003E7EEE" w:rsidP="003E7EEE">
      <w:pPr>
        <w:pStyle w:val="Default"/>
        <w:jc w:val="both"/>
        <w:rPr>
          <w:sz w:val="22"/>
          <w:szCs w:val="22"/>
          <w:lang w:val="es-ES"/>
        </w:rPr>
      </w:pPr>
    </w:p>
    <w:p w:rsidR="003E7EEE" w:rsidRDefault="003E7EEE" w:rsidP="003E7EEE">
      <w:pPr>
        <w:pStyle w:val="Default"/>
        <w:jc w:val="both"/>
        <w:rPr>
          <w:sz w:val="22"/>
          <w:szCs w:val="22"/>
          <w:lang w:val="es-ES"/>
        </w:rPr>
      </w:pPr>
      <w:r w:rsidRPr="00BF7A3E">
        <w:rPr>
          <w:sz w:val="22"/>
          <w:szCs w:val="22"/>
          <w:lang w:val="es-ES"/>
        </w:rPr>
        <w:t>Entre los beneficios más destacados de este proyectos se encuentran los siguientes:</w:t>
      </w:r>
    </w:p>
    <w:p w:rsidR="003E7EEE" w:rsidRPr="00BF7A3E" w:rsidRDefault="003E7EEE" w:rsidP="003E7EEE">
      <w:pPr>
        <w:pStyle w:val="Default"/>
        <w:jc w:val="both"/>
        <w:rPr>
          <w:sz w:val="22"/>
          <w:szCs w:val="22"/>
          <w:lang w:val="es-ES"/>
        </w:rPr>
      </w:pPr>
    </w:p>
    <w:p w:rsidR="003E7EEE" w:rsidRPr="00BF7A3E" w:rsidRDefault="003E7EEE" w:rsidP="003E7EEE">
      <w:pPr>
        <w:pStyle w:val="Default"/>
        <w:spacing w:after="53"/>
        <w:jc w:val="both"/>
        <w:rPr>
          <w:sz w:val="22"/>
          <w:szCs w:val="22"/>
          <w:lang w:val="es-ES"/>
        </w:rPr>
      </w:pPr>
      <w:r>
        <w:rPr>
          <w:b/>
          <w:bCs/>
          <w:sz w:val="22"/>
          <w:szCs w:val="22"/>
          <w:lang w:val="es-ES"/>
        </w:rPr>
        <w:t xml:space="preserve">- </w:t>
      </w:r>
      <w:r w:rsidRPr="00BF7A3E">
        <w:rPr>
          <w:b/>
          <w:bCs/>
          <w:sz w:val="22"/>
          <w:szCs w:val="22"/>
          <w:lang w:val="es-ES"/>
        </w:rPr>
        <w:t xml:space="preserve">Lograr las metas de la ejecución de los proyectos </w:t>
      </w:r>
      <w:r w:rsidRPr="00BF7A3E">
        <w:rPr>
          <w:sz w:val="22"/>
          <w:szCs w:val="22"/>
          <w:lang w:val="es-ES"/>
        </w:rPr>
        <w:t xml:space="preserve">con el beneficio identificado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Responder oportunamente al dinamismo </w:t>
      </w:r>
      <w:r w:rsidRPr="00BF7A3E">
        <w:rPr>
          <w:sz w:val="22"/>
          <w:szCs w:val="22"/>
          <w:lang w:val="es-ES"/>
        </w:rPr>
        <w:t xml:space="preserve">de los cambios presentados en la ejecución de los proyectos.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Medir de manera efectiva los avances físicos </w:t>
      </w:r>
      <w:r w:rsidRPr="00BF7A3E">
        <w:rPr>
          <w:sz w:val="22"/>
          <w:szCs w:val="22"/>
          <w:lang w:val="es-ES"/>
        </w:rPr>
        <w:t xml:space="preserve">de los proyectos y su impacto y Contribución al Plan de desarrollo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Mostrar cómo la Alcaldía está llevando a cabo sus procesos </w:t>
      </w:r>
      <w:r w:rsidRPr="00BF7A3E">
        <w:rPr>
          <w:sz w:val="22"/>
          <w:szCs w:val="22"/>
          <w:lang w:val="es-ES"/>
        </w:rPr>
        <w:t xml:space="preserve">para alcanzar sus objetivos estratégicos fijados en el Plan de Desarrollo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Permitir el acceso a los datos en tiempo real </w:t>
      </w:r>
      <w:r w:rsidRPr="00BF7A3E">
        <w:rPr>
          <w:sz w:val="22"/>
          <w:szCs w:val="22"/>
          <w:lang w:val="es-ES"/>
        </w:rPr>
        <w:t xml:space="preserve">en cualquier momento y lugar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Colaborar con las decisiones presupuestarias</w:t>
      </w:r>
      <w:r w:rsidRPr="00BF7A3E">
        <w:rPr>
          <w:sz w:val="22"/>
          <w:szCs w:val="22"/>
          <w:lang w:val="es-ES"/>
        </w:rPr>
        <w:t xml:space="preserve">, de recursos e inversiones de los proyectos </w:t>
      </w:r>
    </w:p>
    <w:p w:rsidR="003E7EEE" w:rsidRPr="00BF7A3E" w:rsidRDefault="003E7EEE" w:rsidP="003E7EEE">
      <w:pPr>
        <w:pStyle w:val="Default"/>
        <w:jc w:val="both"/>
        <w:rPr>
          <w:sz w:val="22"/>
          <w:szCs w:val="22"/>
          <w:lang w:val="es-ES"/>
        </w:rPr>
      </w:pPr>
      <w:r w:rsidRPr="00BF7A3E">
        <w:rPr>
          <w:sz w:val="22"/>
          <w:szCs w:val="22"/>
          <w:lang w:val="es-ES"/>
        </w:rPr>
        <w:lastRenderedPageBreak/>
        <w:t xml:space="preserve">- </w:t>
      </w:r>
      <w:r w:rsidRPr="00BF7A3E">
        <w:rPr>
          <w:b/>
          <w:bCs/>
          <w:sz w:val="22"/>
          <w:szCs w:val="22"/>
          <w:lang w:val="es-ES"/>
        </w:rPr>
        <w:t xml:space="preserve">Permitir distribuir los recursos correctamente </w:t>
      </w:r>
      <w:r w:rsidRPr="00BF7A3E">
        <w:rPr>
          <w:sz w:val="22"/>
          <w:szCs w:val="22"/>
          <w:lang w:val="es-ES"/>
        </w:rPr>
        <w:t>para garantizar que los objetivos de la administración se pueden lograr.</w:t>
      </w:r>
    </w:p>
    <w:p w:rsidR="003E7EEE" w:rsidRDefault="003E7EEE" w:rsidP="003E7EEE">
      <w:pPr>
        <w:pStyle w:val="Default"/>
        <w:jc w:val="both"/>
        <w:rPr>
          <w:b/>
          <w:sz w:val="22"/>
          <w:szCs w:val="22"/>
          <w:u w:val="single"/>
          <w:lang w:val="es-ES"/>
        </w:rPr>
      </w:pPr>
    </w:p>
    <w:p w:rsidR="003E7EEE" w:rsidRPr="00BF7A3E" w:rsidRDefault="003E7EEE" w:rsidP="003E7EEE">
      <w:pPr>
        <w:pStyle w:val="Default"/>
        <w:jc w:val="both"/>
        <w:rPr>
          <w:b/>
          <w:sz w:val="22"/>
          <w:szCs w:val="22"/>
          <w:u w:val="single"/>
          <w:lang w:val="es-ES"/>
        </w:rPr>
      </w:pPr>
      <w:r w:rsidRPr="00BF7A3E">
        <w:rPr>
          <w:b/>
          <w:sz w:val="22"/>
          <w:szCs w:val="22"/>
          <w:u w:val="single"/>
          <w:lang w:val="es-ES"/>
        </w:rPr>
        <w:t xml:space="preserve">Sistema de Contratación integral </w:t>
      </w:r>
    </w:p>
    <w:p w:rsidR="00FA3663" w:rsidRDefault="00FA3663"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 xml:space="preserve">La administración municipal podrá Clasificar, enriquecer y analizar los datos de gastos para identificar nuevas oportunidades de ahorro. Reducir los costos y mejorar la eficiencia en su proceso de abastecimiento. También podrá manejar todo el ciclo de vida del contrato con facilidad, segmentar y gestionar a proveedores claves a través de su ciclo de vida y hacer un seguimiento del desempeño y riesgo del proveedor. </w:t>
      </w:r>
    </w:p>
    <w:p w:rsidR="003E7EEE" w:rsidRDefault="003E7EEE" w:rsidP="003E7EEE">
      <w:pPr>
        <w:pStyle w:val="Default"/>
        <w:jc w:val="both"/>
        <w:rPr>
          <w:sz w:val="22"/>
          <w:szCs w:val="22"/>
          <w:lang w:val="es-CO"/>
        </w:rPr>
      </w:pPr>
    </w:p>
    <w:p w:rsidR="003E7EEE" w:rsidRPr="00BF7A3E" w:rsidRDefault="003E7EEE" w:rsidP="003E7EEE">
      <w:pPr>
        <w:pStyle w:val="Default"/>
        <w:jc w:val="both"/>
        <w:rPr>
          <w:sz w:val="22"/>
          <w:szCs w:val="22"/>
          <w:lang w:val="es-ES"/>
        </w:rPr>
      </w:pPr>
      <w:r w:rsidRPr="00BF7A3E">
        <w:rPr>
          <w:sz w:val="22"/>
          <w:szCs w:val="22"/>
          <w:lang w:val="es-CO"/>
        </w:rPr>
        <w:t>Requerimientos no funcionales</w:t>
      </w:r>
      <w:r>
        <w:rPr>
          <w:sz w:val="22"/>
          <w:szCs w:val="22"/>
          <w:lang w:val="es-CO"/>
        </w:rPr>
        <w:t>:</w:t>
      </w:r>
    </w:p>
    <w:p w:rsidR="003E7EEE" w:rsidRPr="00BF7A3E" w:rsidRDefault="003E7EEE" w:rsidP="003E7EEE">
      <w:pPr>
        <w:pStyle w:val="Default"/>
        <w:jc w:val="both"/>
        <w:rPr>
          <w:sz w:val="22"/>
          <w:szCs w:val="22"/>
          <w:lang w:val="es-CO"/>
        </w:rPr>
      </w:pPr>
    </w:p>
    <w:p w:rsidR="003E7EEE" w:rsidRPr="00BF7A3E" w:rsidRDefault="003E7EEE" w:rsidP="003E7EEE">
      <w:pPr>
        <w:pStyle w:val="Default"/>
        <w:spacing w:after="53"/>
        <w:jc w:val="both"/>
        <w:rPr>
          <w:sz w:val="22"/>
          <w:szCs w:val="22"/>
          <w:lang w:val="es-CO"/>
        </w:rPr>
      </w:pPr>
      <w:r w:rsidRPr="00BF7A3E">
        <w:rPr>
          <w:sz w:val="22"/>
          <w:szCs w:val="22"/>
          <w:lang w:val="es-CO"/>
        </w:rPr>
        <w:t xml:space="preserve">Análisis de los Gastos </w:t>
      </w:r>
    </w:p>
    <w:p w:rsidR="003E7EEE" w:rsidRPr="00BF7A3E" w:rsidRDefault="003E7EEE" w:rsidP="003E7EEE">
      <w:pPr>
        <w:pStyle w:val="Default"/>
        <w:jc w:val="both"/>
        <w:rPr>
          <w:sz w:val="22"/>
          <w:szCs w:val="22"/>
          <w:lang w:val="es-CO"/>
        </w:rPr>
      </w:pPr>
      <w:r w:rsidRPr="00BF7A3E">
        <w:rPr>
          <w:sz w:val="22"/>
          <w:szCs w:val="22"/>
          <w:lang w:val="es-CO"/>
        </w:rPr>
        <w:t xml:space="preserve">- </w:t>
      </w:r>
      <w:r w:rsidRPr="00BF7A3E">
        <w:rPr>
          <w:b/>
          <w:bCs/>
          <w:sz w:val="22"/>
          <w:szCs w:val="22"/>
          <w:lang w:val="es-CO"/>
        </w:rPr>
        <w:t xml:space="preserve">Fase Pre Contractual </w:t>
      </w:r>
      <w:r w:rsidRPr="00BF7A3E">
        <w:rPr>
          <w:sz w:val="22"/>
          <w:szCs w:val="22"/>
          <w:lang w:val="es-CO"/>
        </w:rPr>
        <w:t xml:space="preserve">(Sourcing) </w:t>
      </w:r>
    </w:p>
    <w:p w:rsidR="003E7EEE" w:rsidRPr="00BF7A3E" w:rsidRDefault="003E7EEE" w:rsidP="003E7EEE">
      <w:pPr>
        <w:pStyle w:val="Default"/>
        <w:jc w:val="both"/>
        <w:rPr>
          <w:sz w:val="22"/>
          <w:szCs w:val="22"/>
          <w:lang w:val="es-CO"/>
        </w:rPr>
      </w:pPr>
    </w:p>
    <w:p w:rsidR="003E7EEE" w:rsidRPr="00BF7A3E" w:rsidRDefault="003E7EEE" w:rsidP="003E7EEE">
      <w:pPr>
        <w:pStyle w:val="Default"/>
        <w:spacing w:after="53"/>
        <w:jc w:val="both"/>
        <w:rPr>
          <w:sz w:val="22"/>
          <w:szCs w:val="22"/>
          <w:lang w:val="es-ES"/>
        </w:rPr>
      </w:pPr>
      <w:r w:rsidRPr="00BF7A3E">
        <w:rPr>
          <w:sz w:val="22"/>
          <w:szCs w:val="22"/>
          <w:lang w:val="es-ES"/>
        </w:rPr>
        <w:t xml:space="preserve">Gestión de Contratos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Gestión de contratos globales o marco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Compras operacionales </w:t>
      </w:r>
      <w:r w:rsidRPr="00BF7A3E">
        <w:rPr>
          <w:sz w:val="22"/>
          <w:szCs w:val="22"/>
          <w:lang w:val="es-ES"/>
        </w:rPr>
        <w:t xml:space="preserve">(del día a día) </w:t>
      </w:r>
    </w:p>
    <w:p w:rsidR="003E7EEE" w:rsidRPr="00BF7A3E" w:rsidRDefault="003E7EEE" w:rsidP="003E7EEE">
      <w:pPr>
        <w:pStyle w:val="Default"/>
        <w:spacing w:after="53"/>
        <w:jc w:val="both"/>
        <w:rPr>
          <w:sz w:val="22"/>
          <w:szCs w:val="22"/>
          <w:lang w:val="es-CO"/>
        </w:rPr>
      </w:pPr>
      <w:r w:rsidRPr="00BF7A3E">
        <w:rPr>
          <w:sz w:val="22"/>
          <w:szCs w:val="22"/>
          <w:lang w:val="es-CO"/>
        </w:rPr>
        <w:t xml:space="preserve">- </w:t>
      </w:r>
      <w:r w:rsidRPr="00BF7A3E">
        <w:rPr>
          <w:b/>
          <w:bCs/>
          <w:sz w:val="22"/>
          <w:szCs w:val="22"/>
          <w:lang w:val="es-CO"/>
        </w:rPr>
        <w:t xml:space="preserve">Gestión de Facturas </w:t>
      </w:r>
      <w:r w:rsidRPr="00BF7A3E">
        <w:rPr>
          <w:sz w:val="22"/>
          <w:szCs w:val="22"/>
          <w:lang w:val="es-CO"/>
        </w:rPr>
        <w:t xml:space="preserve">(Invoice Management) </w:t>
      </w:r>
    </w:p>
    <w:p w:rsidR="003E7EEE" w:rsidRPr="00BF7A3E" w:rsidRDefault="003E7EEE" w:rsidP="003E7EEE">
      <w:pPr>
        <w:pStyle w:val="Default"/>
        <w:jc w:val="both"/>
        <w:rPr>
          <w:sz w:val="22"/>
          <w:szCs w:val="22"/>
          <w:lang w:val="es-CO"/>
        </w:rPr>
      </w:pPr>
      <w:r w:rsidRPr="00BF7A3E">
        <w:rPr>
          <w:sz w:val="22"/>
          <w:szCs w:val="22"/>
          <w:lang w:val="es-CO"/>
        </w:rPr>
        <w:t xml:space="preserve">- Gestión de Proveedores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 xml:space="preserve">Beneficios Buscados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Visión coherente </w:t>
      </w:r>
      <w:r w:rsidRPr="00BF7A3E">
        <w:rPr>
          <w:sz w:val="22"/>
          <w:szCs w:val="22"/>
          <w:lang w:val="es-ES"/>
        </w:rPr>
        <w:t xml:space="preserve">y consistente de volúmenes de compra. -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Elaboración y medición de Metas </w:t>
      </w:r>
      <w:r w:rsidRPr="00BF7A3E">
        <w:rPr>
          <w:sz w:val="22"/>
          <w:szCs w:val="22"/>
          <w:lang w:val="es-ES"/>
        </w:rPr>
        <w:t xml:space="preserve">e Indicadores de Compras-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Visibilidad y Focalización del Gasto -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Generación de ahorros </w:t>
      </w:r>
      <w:r w:rsidRPr="00BF7A3E">
        <w:rPr>
          <w:sz w:val="22"/>
          <w:szCs w:val="22"/>
          <w:lang w:val="es-ES"/>
        </w:rPr>
        <w:t xml:space="preserve">e incremento del gasto controlable. -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Desarrollo de una base de proveedores </w:t>
      </w:r>
      <w:r w:rsidRPr="00BF7A3E">
        <w:rPr>
          <w:sz w:val="22"/>
          <w:szCs w:val="22"/>
          <w:lang w:val="es-ES"/>
        </w:rPr>
        <w:t xml:space="preserve">calificada. -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Permite </w:t>
      </w:r>
      <w:r w:rsidRPr="00BF7A3E">
        <w:rPr>
          <w:b/>
          <w:bCs/>
          <w:sz w:val="22"/>
          <w:szCs w:val="22"/>
          <w:lang w:val="es-ES"/>
        </w:rPr>
        <w:t>reducir los tiempos de aprovisionamiento</w:t>
      </w:r>
      <w:r w:rsidRPr="00BF7A3E">
        <w:rPr>
          <w:sz w:val="22"/>
          <w:szCs w:val="22"/>
          <w:lang w:val="es-ES"/>
        </w:rPr>
        <w:t xml:space="preserve">.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Capacidad de poder </w:t>
      </w:r>
      <w:r w:rsidRPr="00BF7A3E">
        <w:rPr>
          <w:b/>
          <w:bCs/>
          <w:sz w:val="22"/>
          <w:szCs w:val="22"/>
          <w:lang w:val="es-ES"/>
        </w:rPr>
        <w:t xml:space="preserve">procesar todas las facturas de sus proveedores </w:t>
      </w:r>
      <w:r w:rsidRPr="00BF7A3E">
        <w:rPr>
          <w:sz w:val="22"/>
          <w:szCs w:val="22"/>
          <w:lang w:val="es-ES"/>
        </w:rPr>
        <w:t xml:space="preserve">desde la llegada a la empresa hasta su pago-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La </w:t>
      </w:r>
      <w:r w:rsidRPr="00BF7A3E">
        <w:rPr>
          <w:b/>
          <w:bCs/>
          <w:sz w:val="22"/>
          <w:szCs w:val="22"/>
          <w:lang w:val="es-ES"/>
        </w:rPr>
        <w:t xml:space="preserve">utilización consistente y sistemática de los términos </w:t>
      </w:r>
      <w:r w:rsidRPr="00BF7A3E">
        <w:rPr>
          <w:sz w:val="22"/>
          <w:szCs w:val="22"/>
          <w:lang w:val="es-ES"/>
        </w:rPr>
        <w:t xml:space="preserve">y condiciones negociados contribuyen a los objetivos de niveles de ahorro -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Trazabilidad a todos los eventos </w:t>
      </w:r>
      <w:r w:rsidRPr="00BF7A3E">
        <w:rPr>
          <w:sz w:val="22"/>
          <w:szCs w:val="22"/>
          <w:lang w:val="es-ES"/>
        </w:rPr>
        <w:t xml:space="preserve">relevantes del ciclo de vida del contrato (Pólizas, Garantías, Vencimientos)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Reducción significativa de costos operativos </w:t>
      </w:r>
      <w:r w:rsidRPr="00BF7A3E">
        <w:rPr>
          <w:sz w:val="22"/>
          <w:szCs w:val="22"/>
          <w:lang w:val="es-ES"/>
        </w:rPr>
        <w:t xml:space="preserve">gracias a procesos automatizados e integrados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Aumento de niveles de ahorro </w:t>
      </w:r>
      <w:r w:rsidRPr="00BF7A3E">
        <w:rPr>
          <w:sz w:val="22"/>
          <w:szCs w:val="22"/>
          <w:lang w:val="es-ES"/>
        </w:rPr>
        <w:t xml:space="preserve">con procedimientos centralizados • Incremento de la utilización de contratos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w:t>
      </w:r>
      <w:r w:rsidRPr="00BF7A3E">
        <w:rPr>
          <w:b/>
          <w:bCs/>
          <w:sz w:val="22"/>
          <w:szCs w:val="22"/>
          <w:lang w:val="es-ES"/>
        </w:rPr>
        <w:t xml:space="preserve">Optimización de tareas de compra </w:t>
      </w:r>
      <w:r w:rsidRPr="00BF7A3E">
        <w:rPr>
          <w:sz w:val="22"/>
          <w:szCs w:val="22"/>
          <w:lang w:val="es-ES"/>
        </w:rPr>
        <w:t xml:space="preserve">hacia actividades que generan valor aumentando la productividad. </w:t>
      </w:r>
    </w:p>
    <w:p w:rsidR="003E7EEE" w:rsidRPr="00BF7A3E" w:rsidRDefault="003E7EEE" w:rsidP="003E7EEE">
      <w:pPr>
        <w:pStyle w:val="Default"/>
        <w:spacing w:after="53"/>
        <w:jc w:val="both"/>
        <w:rPr>
          <w:sz w:val="22"/>
          <w:szCs w:val="22"/>
          <w:lang w:val="es-ES"/>
        </w:rPr>
      </w:pPr>
      <w:r w:rsidRPr="00BF7A3E">
        <w:rPr>
          <w:sz w:val="22"/>
          <w:szCs w:val="22"/>
          <w:lang w:val="es-ES"/>
        </w:rPr>
        <w:t xml:space="preserve">- Las evaluaciones de proveedores para el </w:t>
      </w:r>
      <w:r w:rsidRPr="00BF7A3E">
        <w:rPr>
          <w:b/>
          <w:bCs/>
          <w:sz w:val="22"/>
          <w:szCs w:val="22"/>
          <w:lang w:val="es-ES"/>
        </w:rPr>
        <w:t xml:space="preserve">aumento de la transparencia </w:t>
      </w:r>
      <w:r w:rsidRPr="00BF7A3E">
        <w:rPr>
          <w:sz w:val="22"/>
          <w:szCs w:val="22"/>
          <w:lang w:val="es-ES"/>
        </w:rPr>
        <w:t xml:space="preserve">y contribuir al desempeño en pos de los intereses de la Alcaldía. </w:t>
      </w:r>
    </w:p>
    <w:p w:rsidR="003E7EEE" w:rsidRPr="00BF7A3E" w:rsidRDefault="003E7EEE" w:rsidP="003E7EEE">
      <w:pPr>
        <w:pStyle w:val="Default"/>
        <w:jc w:val="both"/>
        <w:rPr>
          <w:sz w:val="22"/>
          <w:szCs w:val="22"/>
          <w:lang w:val="es-ES"/>
        </w:rPr>
      </w:pPr>
      <w:r w:rsidRPr="00BF7A3E">
        <w:rPr>
          <w:sz w:val="22"/>
          <w:szCs w:val="22"/>
          <w:lang w:val="es-ES"/>
        </w:rPr>
        <w:t xml:space="preserve">- </w:t>
      </w:r>
      <w:r w:rsidRPr="00BF7A3E">
        <w:rPr>
          <w:b/>
          <w:bCs/>
          <w:sz w:val="22"/>
          <w:szCs w:val="22"/>
          <w:lang w:val="es-ES"/>
        </w:rPr>
        <w:t xml:space="preserve">La integración de proveedores </w:t>
      </w:r>
      <w:r w:rsidRPr="00BF7A3E">
        <w:rPr>
          <w:sz w:val="22"/>
          <w:szCs w:val="22"/>
          <w:lang w:val="es-ES"/>
        </w:rPr>
        <w:t xml:space="preserve">acelera los ciclos de compra y aumenta la eficiencia y productividad.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b/>
          <w:sz w:val="22"/>
          <w:szCs w:val="22"/>
          <w:u w:val="single"/>
          <w:lang w:val="es-ES"/>
        </w:rPr>
        <w:t>Datos inteligentes y participación Ciudadana</w:t>
      </w:r>
      <w:r w:rsidRPr="00BF7A3E">
        <w:rPr>
          <w:sz w:val="22"/>
          <w:szCs w:val="22"/>
          <w:lang w:val="es-ES"/>
        </w:rPr>
        <w:t xml:space="preserve"> </w:t>
      </w:r>
    </w:p>
    <w:p w:rsidR="00FA3663" w:rsidRDefault="00FA3663"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 xml:space="preserve">La Administración Municipal podrá perfilar mejorar a la ciudadanía y mediante este conocimiento impulsar campañas de cultura ciudadana que mejoren la convivencia y seguridad. Así mismo contar con analíticos en tiempo real que permitan una adecuada toma de decisiones. </w:t>
      </w:r>
    </w:p>
    <w:p w:rsidR="003E7EEE" w:rsidRPr="00BF7A3E" w:rsidRDefault="003E7EEE" w:rsidP="003E7EEE">
      <w:pPr>
        <w:pStyle w:val="Default"/>
        <w:jc w:val="both"/>
        <w:rPr>
          <w:sz w:val="22"/>
          <w:szCs w:val="22"/>
          <w:lang w:val="es-ES"/>
        </w:rPr>
      </w:pPr>
      <w:r w:rsidRPr="00BF7A3E">
        <w:rPr>
          <w:sz w:val="22"/>
          <w:szCs w:val="22"/>
          <w:lang w:val="es-ES"/>
        </w:rPr>
        <w:t>Requerimientos funcionales. La analítica de datos es una capacidad tecnológica que beneficia y maximizará programas multisectoriales como TIO`s quienes de este tipo de herramientas tecnológicas para la gestión efectiva de sus recursos</w:t>
      </w:r>
    </w:p>
    <w:p w:rsidR="003E7EEE" w:rsidRPr="00BF7A3E" w:rsidRDefault="003E7EEE" w:rsidP="003E7EEE">
      <w:pPr>
        <w:pStyle w:val="Default"/>
        <w:jc w:val="both"/>
        <w:rPr>
          <w:sz w:val="22"/>
          <w:szCs w:val="22"/>
          <w:lang w:val="es-CO"/>
        </w:rPr>
      </w:pPr>
    </w:p>
    <w:p w:rsidR="003E7EEE" w:rsidRPr="00BF7A3E" w:rsidRDefault="002A3908" w:rsidP="003E7EEE">
      <w:pPr>
        <w:pStyle w:val="Default"/>
        <w:jc w:val="both"/>
        <w:rPr>
          <w:sz w:val="22"/>
          <w:szCs w:val="22"/>
          <w:lang w:val="es-ES"/>
        </w:rPr>
      </w:pPr>
      <w:r>
        <w:rPr>
          <w:b/>
          <w:bCs/>
          <w:sz w:val="22"/>
          <w:szCs w:val="22"/>
          <w:lang w:val="es-ES"/>
        </w:rPr>
        <w:t xml:space="preserve">- </w:t>
      </w:r>
      <w:r w:rsidR="003E7EEE" w:rsidRPr="00BF7A3E">
        <w:rPr>
          <w:b/>
          <w:bCs/>
          <w:sz w:val="22"/>
          <w:szCs w:val="22"/>
          <w:lang w:val="es-ES"/>
        </w:rPr>
        <w:t xml:space="preserve">Escuchar, Capturar y analizar las interacciones de los ciudadanos </w:t>
      </w:r>
      <w:r w:rsidR="003E7EEE" w:rsidRPr="00BF7A3E">
        <w:rPr>
          <w:sz w:val="22"/>
          <w:szCs w:val="22"/>
          <w:lang w:val="es-ES"/>
        </w:rPr>
        <w:t xml:space="preserve">a través de los diferentes canales.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Obtener información </w:t>
      </w:r>
      <w:r w:rsidRPr="00BF7A3E">
        <w:rPr>
          <w:sz w:val="22"/>
          <w:szCs w:val="22"/>
          <w:lang w:val="es-ES"/>
        </w:rPr>
        <w:t xml:space="preserve">de tendencias de redes sociales.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Seleccionar los ciudadanos adecuados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Realizar segmentaciones de ciudadanos de manera rápida y específica</w:t>
      </w:r>
      <w:r w:rsidRPr="00BF7A3E">
        <w:rPr>
          <w:sz w:val="22"/>
          <w:szCs w:val="22"/>
          <w:lang w:val="es-ES"/>
        </w:rPr>
        <w:t xml:space="preserve">, interpretando su comportamiento con calificaciones.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Permitir realizar </w:t>
      </w:r>
      <w:r w:rsidRPr="00BF7A3E">
        <w:rPr>
          <w:b/>
          <w:bCs/>
          <w:sz w:val="22"/>
          <w:szCs w:val="22"/>
          <w:lang w:val="es-ES"/>
        </w:rPr>
        <w:t>Campañas para ciudadanos</w:t>
      </w:r>
      <w:r w:rsidRPr="00BF7A3E">
        <w:rPr>
          <w:sz w:val="22"/>
          <w:szCs w:val="22"/>
          <w:lang w:val="es-ES"/>
        </w:rPr>
        <w:t xml:space="preserve">, y así ejecutar campañas personalizadas a partir de los segmentos de ciudadanos, para fomentar cambios culturales. </w:t>
      </w:r>
    </w:p>
    <w:p w:rsidR="003E7EEE" w:rsidRPr="00BF7A3E" w:rsidRDefault="003E7EEE" w:rsidP="003E7EEE">
      <w:pPr>
        <w:pStyle w:val="Default"/>
        <w:jc w:val="both"/>
        <w:rPr>
          <w:sz w:val="22"/>
          <w:szCs w:val="22"/>
          <w:lang w:val="es-ES"/>
        </w:rPr>
      </w:pPr>
      <w:r w:rsidRPr="00BF7A3E">
        <w:rPr>
          <w:sz w:val="22"/>
          <w:szCs w:val="22"/>
          <w:lang w:val="es-ES"/>
        </w:rPr>
        <w:t xml:space="preserve">- Permitir </w:t>
      </w:r>
      <w:r w:rsidRPr="00BF7A3E">
        <w:rPr>
          <w:b/>
          <w:bCs/>
          <w:sz w:val="22"/>
          <w:szCs w:val="22"/>
          <w:lang w:val="es-ES"/>
        </w:rPr>
        <w:t xml:space="preserve">analizar decisiones en tiempo real, </w:t>
      </w:r>
      <w:r w:rsidRPr="00BF7A3E">
        <w:rPr>
          <w:sz w:val="22"/>
          <w:szCs w:val="22"/>
          <w:lang w:val="es-ES"/>
        </w:rPr>
        <w:t xml:space="preserve">para analizar el éxito de las campañas a través de la participación de los ciudadanos y analizar el impacto de los programas y gestión pública en general. </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 xml:space="preserve">Beneficios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Conocimiento y entendimiento de las situaciones de los ciudadanos </w:t>
      </w:r>
      <w:r w:rsidRPr="00BF7A3E">
        <w:rPr>
          <w:sz w:val="22"/>
          <w:szCs w:val="22"/>
          <w:lang w:val="es-ES"/>
        </w:rPr>
        <w:t xml:space="preserve">y sus eventos de vida para poder predecir sus necesidades y servicios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Campañas para poder fomentar la cultura ciudadana </w:t>
      </w:r>
      <w:r w:rsidRPr="00BF7A3E">
        <w:rPr>
          <w:sz w:val="22"/>
          <w:szCs w:val="22"/>
          <w:lang w:val="es-ES"/>
        </w:rPr>
        <w:t xml:space="preserve">en grupos de ciudadanos específicos para mayor efectividad </w:t>
      </w:r>
    </w:p>
    <w:p w:rsidR="003E7EEE" w:rsidRPr="00BF7A3E" w:rsidRDefault="003E7EEE" w:rsidP="003E7EEE">
      <w:pPr>
        <w:pStyle w:val="Default"/>
        <w:jc w:val="both"/>
        <w:rPr>
          <w:sz w:val="22"/>
          <w:szCs w:val="22"/>
          <w:lang w:val="es-ES"/>
        </w:rPr>
      </w:pPr>
      <w:r w:rsidRPr="00BF7A3E">
        <w:rPr>
          <w:sz w:val="22"/>
          <w:szCs w:val="22"/>
          <w:lang w:val="es-ES"/>
        </w:rPr>
        <w:t xml:space="preserve">- </w:t>
      </w:r>
      <w:r w:rsidRPr="00BF7A3E">
        <w:rPr>
          <w:b/>
          <w:bCs/>
          <w:sz w:val="22"/>
          <w:szCs w:val="22"/>
          <w:lang w:val="es-ES"/>
        </w:rPr>
        <w:t xml:space="preserve">Lograr mayor eficiencia en la gestión pública </w:t>
      </w:r>
      <w:r w:rsidRPr="00BF7A3E">
        <w:rPr>
          <w:sz w:val="22"/>
          <w:szCs w:val="22"/>
          <w:lang w:val="es-ES"/>
        </w:rPr>
        <w:t xml:space="preserve">a través del análisis del impacto de los programas </w:t>
      </w:r>
    </w:p>
    <w:p w:rsidR="003E7EEE" w:rsidRPr="00BF7A3E" w:rsidRDefault="003E7EEE" w:rsidP="003E7EEE">
      <w:pPr>
        <w:pStyle w:val="Default"/>
        <w:jc w:val="both"/>
        <w:rPr>
          <w:sz w:val="22"/>
          <w:szCs w:val="22"/>
          <w:lang w:val="es-ES"/>
        </w:rPr>
      </w:pPr>
    </w:p>
    <w:p w:rsidR="003E7EEE" w:rsidRPr="002A3908" w:rsidRDefault="003E7EEE" w:rsidP="003E7EEE">
      <w:pPr>
        <w:pStyle w:val="Default"/>
        <w:jc w:val="both"/>
        <w:rPr>
          <w:b/>
          <w:sz w:val="22"/>
          <w:szCs w:val="22"/>
          <w:lang w:val="es-ES"/>
        </w:rPr>
      </w:pPr>
      <w:r w:rsidRPr="002A3908">
        <w:rPr>
          <w:b/>
          <w:sz w:val="22"/>
          <w:szCs w:val="22"/>
          <w:lang w:val="es-ES"/>
        </w:rPr>
        <w:t xml:space="preserve">Infraestructura de Tecnológica para la educación </w:t>
      </w:r>
    </w:p>
    <w:p w:rsidR="003E7EEE" w:rsidRPr="00BF7A3E" w:rsidRDefault="003E7EEE" w:rsidP="003E7EEE">
      <w:pPr>
        <w:pStyle w:val="Default"/>
        <w:jc w:val="both"/>
        <w:rPr>
          <w:sz w:val="22"/>
          <w:szCs w:val="22"/>
          <w:lang w:val="es-ES"/>
        </w:rPr>
      </w:pPr>
      <w:r w:rsidRPr="00BF7A3E">
        <w:rPr>
          <w:sz w:val="22"/>
          <w:szCs w:val="22"/>
          <w:lang w:val="es-ES"/>
        </w:rPr>
        <w:t xml:space="preserve">La alcaldía requiere disponer de una plataforma tecnológica robusta, escalable y de muy alto desempeño, </w:t>
      </w:r>
      <w:r>
        <w:rPr>
          <w:sz w:val="22"/>
          <w:szCs w:val="22"/>
          <w:lang w:val="es-ES"/>
        </w:rPr>
        <w:t>que ofrezca asegurar la forma có</w:t>
      </w:r>
      <w:r w:rsidRPr="00BF7A3E">
        <w:rPr>
          <w:sz w:val="22"/>
          <w:szCs w:val="22"/>
          <w:lang w:val="es-ES"/>
        </w:rPr>
        <w:t>mo interactúan las diferentes secretarías del Municipio. Esta infraestructura debe brindar la conexión con REMI con los centros de educación pública facilitará la operación de sistemas de información para la secretaría de Educación que permitan la fiscalización de la inversión que se realizará en el Gran proyecto de educación al cual hace parte la presente propuesta.</w:t>
      </w:r>
    </w:p>
    <w:p w:rsidR="003E7EEE" w:rsidRPr="00BF7A3E" w:rsidRDefault="003E7EEE" w:rsidP="003E7EEE">
      <w:pPr>
        <w:pStyle w:val="Default"/>
        <w:jc w:val="both"/>
        <w:rPr>
          <w:sz w:val="22"/>
          <w:szCs w:val="22"/>
          <w:lang w:val="es-ES"/>
        </w:rPr>
      </w:pPr>
    </w:p>
    <w:p w:rsidR="003E7EEE" w:rsidRPr="00BF7A3E" w:rsidRDefault="003E7EEE" w:rsidP="003E7EEE">
      <w:pPr>
        <w:pStyle w:val="Default"/>
        <w:jc w:val="both"/>
        <w:rPr>
          <w:sz w:val="22"/>
          <w:szCs w:val="22"/>
          <w:lang w:val="es-ES"/>
        </w:rPr>
      </w:pPr>
      <w:r w:rsidRPr="00BF7A3E">
        <w:rPr>
          <w:sz w:val="22"/>
          <w:szCs w:val="22"/>
          <w:lang w:val="es-ES"/>
        </w:rPr>
        <w:t>Para obtener los beneficios estratégicos este programa requiere la conectividad que le permita la operación de los Sistemas de información para la gestión administrativa de esta infraestructura como software de mesa de ayuda y software de contenidos educativos, servicios que podrían ser transportados de forma más sostenible al mediano y largo plazo través de la conexión de REMI. Escuelas ubicadas en Territorios de Inclusión y oportunidad podrán beneficiarse ampliamente de las mejoras administrativas, pues son ellos los que inicialmente han recibido los beneficios de TITA.</w:t>
      </w:r>
    </w:p>
    <w:p w:rsidR="003E7EEE" w:rsidRPr="00BF7A3E" w:rsidRDefault="003E7EEE" w:rsidP="003E7EEE">
      <w:pPr>
        <w:pStyle w:val="Default"/>
        <w:jc w:val="both"/>
        <w:rPr>
          <w:sz w:val="22"/>
          <w:szCs w:val="22"/>
          <w:lang w:val="es-ES"/>
        </w:rPr>
      </w:pPr>
    </w:p>
    <w:p w:rsidR="003E7EEE" w:rsidRDefault="002A3908" w:rsidP="003E7EEE">
      <w:pPr>
        <w:pStyle w:val="Default"/>
        <w:jc w:val="both"/>
        <w:rPr>
          <w:sz w:val="22"/>
          <w:szCs w:val="22"/>
          <w:lang w:val="es-ES"/>
        </w:rPr>
      </w:pPr>
      <w:r>
        <w:rPr>
          <w:sz w:val="22"/>
          <w:szCs w:val="22"/>
          <w:lang w:val="es-ES"/>
        </w:rPr>
        <w:t>Requerimientos no funcionales:</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Plataforma: </w:t>
      </w:r>
      <w:r w:rsidRPr="00BF7A3E">
        <w:rPr>
          <w:sz w:val="22"/>
          <w:szCs w:val="22"/>
          <w:lang w:val="es-ES"/>
        </w:rPr>
        <w:t xml:space="preserve">Plataforma en memoria de datos altamente escalable y que ofrece información en línea del ciudadano y todas sus interacciones con el municipio. </w:t>
      </w:r>
    </w:p>
    <w:p w:rsidR="003E7EEE" w:rsidRPr="00BF7A3E" w:rsidRDefault="003E7EEE" w:rsidP="003E7EEE">
      <w:pPr>
        <w:pStyle w:val="Default"/>
        <w:jc w:val="both"/>
        <w:rPr>
          <w:sz w:val="22"/>
          <w:szCs w:val="22"/>
          <w:lang w:val="es-ES"/>
        </w:rPr>
      </w:pPr>
      <w:r w:rsidRPr="00BF7A3E">
        <w:rPr>
          <w:sz w:val="22"/>
          <w:szCs w:val="22"/>
          <w:lang w:val="es-ES"/>
        </w:rPr>
        <w:lastRenderedPageBreak/>
        <w:t xml:space="preserve">- </w:t>
      </w:r>
      <w:r w:rsidRPr="00BF7A3E">
        <w:rPr>
          <w:b/>
          <w:bCs/>
          <w:sz w:val="22"/>
          <w:szCs w:val="22"/>
          <w:lang w:val="es-ES"/>
        </w:rPr>
        <w:t xml:space="preserve">Plataforma en la nube </w:t>
      </w:r>
      <w:r w:rsidRPr="00BF7A3E">
        <w:rPr>
          <w:sz w:val="22"/>
          <w:szCs w:val="22"/>
          <w:lang w:val="es-ES"/>
        </w:rPr>
        <w:t xml:space="preserve">para creación de aplicaciones en la nube con capacidad de integración con modelos de Internet de las Cosas y plataformas On Premise para disparar eventos.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Gestión de Datos Maestros </w:t>
      </w:r>
      <w:r w:rsidRPr="00BF7A3E">
        <w:rPr>
          <w:sz w:val="22"/>
          <w:szCs w:val="22"/>
          <w:lang w:val="es-ES"/>
        </w:rPr>
        <w:t xml:space="preserve">le permitirá contar con una plataforma consolidada y unificada de datos maestros del ciudadano.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Obtener una única información del ciudadano </w:t>
      </w:r>
      <w:r w:rsidRPr="00BF7A3E">
        <w:rPr>
          <w:sz w:val="22"/>
          <w:szCs w:val="22"/>
          <w:lang w:val="es-ES"/>
        </w:rPr>
        <w:t xml:space="preserve">desde una vista única centralizada del dato maestro.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Mejorar la Seguridad </w:t>
      </w:r>
      <w:r w:rsidRPr="00BF7A3E">
        <w:rPr>
          <w:sz w:val="22"/>
          <w:szCs w:val="22"/>
          <w:lang w:val="es-ES"/>
        </w:rPr>
        <w:t xml:space="preserve">al unificar los mecanismos de acceso y control de usuarios en una única plataforma de autenticación, que consolide contraseñas y autorizaciones y hagan más eficiente el acceso a las diferentes aplicaciones de negocio.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Conectividad privada municipal </w:t>
      </w:r>
      <w:r w:rsidRPr="00BF7A3E">
        <w:rPr>
          <w:sz w:val="22"/>
          <w:szCs w:val="22"/>
          <w:lang w:val="es-ES"/>
        </w:rPr>
        <w:t>de alta velocidad para todas las 2</w:t>
      </w:r>
      <w:r w:rsidRPr="00BF7A3E">
        <w:rPr>
          <w:b/>
          <w:bCs/>
          <w:sz w:val="22"/>
          <w:szCs w:val="22"/>
          <w:lang w:val="es-ES"/>
        </w:rPr>
        <w:t xml:space="preserve">74 sedes educativas </w:t>
      </w:r>
    </w:p>
    <w:p w:rsidR="003E7EEE" w:rsidRPr="00BF7A3E" w:rsidRDefault="003E7EEE" w:rsidP="003E7EEE">
      <w:pPr>
        <w:pStyle w:val="Default"/>
        <w:jc w:val="both"/>
        <w:rPr>
          <w:sz w:val="22"/>
          <w:szCs w:val="22"/>
          <w:lang w:val="es-ES"/>
        </w:rPr>
      </w:pPr>
      <w:r w:rsidRPr="00BF7A3E">
        <w:rPr>
          <w:sz w:val="22"/>
          <w:szCs w:val="22"/>
          <w:lang w:val="es-ES"/>
        </w:rPr>
        <w:t xml:space="preserve">- Operar de forma más ágil, a menor costo, los </w:t>
      </w:r>
      <w:r w:rsidRPr="00BF7A3E">
        <w:rPr>
          <w:b/>
          <w:bCs/>
          <w:sz w:val="22"/>
          <w:szCs w:val="22"/>
          <w:lang w:val="es-ES"/>
        </w:rPr>
        <w:t>Sistemas de Información para la administración de la educación</w:t>
      </w:r>
      <w:r w:rsidRPr="00BF7A3E">
        <w:rPr>
          <w:sz w:val="22"/>
          <w:szCs w:val="22"/>
          <w:lang w:val="es-ES"/>
        </w:rPr>
        <w:t xml:space="preserve">, de forma sofisticada, confiable y segura </w:t>
      </w:r>
    </w:p>
    <w:p w:rsidR="003E7EEE" w:rsidRPr="00BF7A3E" w:rsidRDefault="003E7EEE" w:rsidP="003E7EEE">
      <w:pPr>
        <w:pStyle w:val="Default"/>
        <w:jc w:val="both"/>
        <w:rPr>
          <w:sz w:val="22"/>
          <w:szCs w:val="22"/>
          <w:lang w:val="es-ES"/>
        </w:rPr>
      </w:pPr>
    </w:p>
    <w:p w:rsidR="003E7EEE" w:rsidRDefault="002A3908" w:rsidP="003E7EEE">
      <w:pPr>
        <w:pStyle w:val="Default"/>
        <w:jc w:val="both"/>
        <w:rPr>
          <w:sz w:val="22"/>
          <w:szCs w:val="22"/>
          <w:lang w:val="es-ES"/>
        </w:rPr>
      </w:pPr>
      <w:r>
        <w:rPr>
          <w:sz w:val="22"/>
          <w:szCs w:val="22"/>
          <w:lang w:val="es-ES"/>
        </w:rPr>
        <w:t>Beneficios buscados:</w:t>
      </w:r>
    </w:p>
    <w:p w:rsidR="00C06B88" w:rsidRPr="00BF7A3E" w:rsidRDefault="00C06B88" w:rsidP="003E7EEE">
      <w:pPr>
        <w:pStyle w:val="Default"/>
        <w:jc w:val="both"/>
        <w:rPr>
          <w:sz w:val="22"/>
          <w:szCs w:val="22"/>
          <w:lang w:val="es-ES"/>
        </w:rPr>
      </w:pP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Integración con los dispositivos de la ciudad digital </w:t>
      </w:r>
      <w:r w:rsidRPr="00BF7A3E">
        <w:rPr>
          <w:sz w:val="22"/>
          <w:szCs w:val="22"/>
          <w:lang w:val="es-ES"/>
        </w:rPr>
        <w:t xml:space="preserve">a través de Internet de las Cosas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Experiencia intuitiva </w:t>
      </w:r>
      <w:r w:rsidRPr="00BF7A3E">
        <w:rPr>
          <w:sz w:val="22"/>
          <w:szCs w:val="22"/>
          <w:lang w:val="es-ES"/>
        </w:rPr>
        <w:t xml:space="preserve">con la utilización de Fiori a nivel de las soluciones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Información siempre en línea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Mayor información disponible </w:t>
      </w:r>
      <w:r w:rsidRPr="00BF7A3E">
        <w:rPr>
          <w:sz w:val="22"/>
          <w:szCs w:val="22"/>
          <w:lang w:val="es-ES"/>
        </w:rPr>
        <w:t xml:space="preserve">con menos espacio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Fuente única de la información</w:t>
      </w:r>
      <w:r w:rsidRPr="00BF7A3E">
        <w:rPr>
          <w:sz w:val="22"/>
          <w:szCs w:val="22"/>
          <w:lang w:val="es-ES"/>
        </w:rPr>
        <w:t xml:space="preserve">, que ofrecería la posibilidad de ver al ciudadano desde todos los puntos de vista, reduciendo la posibilidad de fraudes y consolidando la experiencia del ciudadano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Única contraseña </w:t>
      </w:r>
      <w:r w:rsidRPr="00BF7A3E">
        <w:rPr>
          <w:sz w:val="22"/>
          <w:szCs w:val="22"/>
          <w:lang w:val="es-ES"/>
        </w:rPr>
        <w:t xml:space="preserve">facilita el acceso a diferentes aplicaciones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w:t>
      </w:r>
      <w:r w:rsidRPr="00BF7A3E">
        <w:rPr>
          <w:b/>
          <w:bCs/>
          <w:sz w:val="22"/>
          <w:szCs w:val="22"/>
          <w:lang w:val="es-ES"/>
        </w:rPr>
        <w:t xml:space="preserve">Mayor eficiencia en la administración de contraseñas </w:t>
      </w:r>
      <w:r w:rsidRPr="00BF7A3E">
        <w:rPr>
          <w:sz w:val="22"/>
          <w:szCs w:val="22"/>
          <w:lang w:val="es-ES"/>
        </w:rPr>
        <w:t xml:space="preserve">y eficiencia en la utilización de la tecnología por parte de los usuarios internos </w:t>
      </w:r>
    </w:p>
    <w:p w:rsidR="003E7EEE" w:rsidRPr="00BF7A3E" w:rsidRDefault="003E7EEE" w:rsidP="003E7EEE">
      <w:pPr>
        <w:pStyle w:val="Default"/>
        <w:spacing w:after="50"/>
        <w:jc w:val="both"/>
        <w:rPr>
          <w:sz w:val="22"/>
          <w:szCs w:val="22"/>
          <w:lang w:val="es-ES"/>
        </w:rPr>
      </w:pPr>
      <w:r w:rsidRPr="00BF7A3E">
        <w:rPr>
          <w:sz w:val="22"/>
          <w:szCs w:val="22"/>
          <w:lang w:val="es-ES"/>
        </w:rPr>
        <w:t xml:space="preserve">- Una mejor gestión del mantenimiento de la infraestructura desplegada en TIT@ </w:t>
      </w:r>
    </w:p>
    <w:p w:rsidR="003E7EEE" w:rsidRPr="00BF7A3E" w:rsidRDefault="003E7EEE" w:rsidP="003E7EEE">
      <w:pPr>
        <w:pStyle w:val="Default"/>
        <w:jc w:val="both"/>
        <w:rPr>
          <w:sz w:val="22"/>
          <w:szCs w:val="22"/>
          <w:lang w:val="es-ES"/>
        </w:rPr>
      </w:pPr>
      <w:r w:rsidRPr="00BF7A3E">
        <w:rPr>
          <w:sz w:val="22"/>
          <w:szCs w:val="22"/>
          <w:lang w:val="es-ES"/>
        </w:rPr>
        <w:t xml:space="preserve">- Una </w:t>
      </w:r>
      <w:r w:rsidRPr="00BF7A3E">
        <w:rPr>
          <w:b/>
          <w:bCs/>
          <w:sz w:val="22"/>
          <w:szCs w:val="22"/>
          <w:lang w:val="es-ES"/>
        </w:rPr>
        <w:t xml:space="preserve">mejor fiscalización del uso de los recursos destinados al fortalecimiento del sistema educativo </w:t>
      </w:r>
    </w:p>
    <w:p w:rsidR="00082409" w:rsidRDefault="00082409" w:rsidP="003E7EEE">
      <w:pPr>
        <w:spacing w:after="0" w:line="20" w:lineRule="atLeast"/>
        <w:jc w:val="both"/>
        <w:rPr>
          <w:rFonts w:ascii="Arial" w:hAnsi="Arial" w:cs="Arial"/>
          <w:b/>
          <w:lang w:val="es-ES"/>
        </w:rPr>
      </w:pPr>
    </w:p>
    <w:p w:rsidR="00C06B88" w:rsidRDefault="00C06B88" w:rsidP="003E7EEE">
      <w:pPr>
        <w:spacing w:after="0" w:line="20" w:lineRule="atLeast"/>
        <w:jc w:val="both"/>
        <w:rPr>
          <w:rFonts w:ascii="Arial" w:hAnsi="Arial" w:cs="Arial"/>
          <w:b/>
          <w:lang w:val="es-ES"/>
        </w:rPr>
      </w:pPr>
    </w:p>
    <w:p w:rsidR="00C06B88" w:rsidRPr="00196C02" w:rsidRDefault="00C06B88" w:rsidP="00C06B88">
      <w:pPr>
        <w:pStyle w:val="ListParagraph"/>
        <w:numPr>
          <w:ilvl w:val="1"/>
          <w:numId w:val="1"/>
        </w:numPr>
        <w:spacing w:after="0" w:line="20" w:lineRule="atLeast"/>
        <w:jc w:val="both"/>
        <w:rPr>
          <w:rFonts w:ascii="Arial" w:hAnsi="Arial" w:cs="Arial"/>
          <w:lang w:val="es-ES_tradnl"/>
        </w:rPr>
      </w:pPr>
      <w:r w:rsidRPr="00196C02">
        <w:rPr>
          <w:rFonts w:ascii="Arial" w:hAnsi="Arial" w:cs="Arial"/>
          <w:b/>
          <w:lang w:val="es-ES_tradnl"/>
        </w:rPr>
        <w:t>Componente II</w:t>
      </w:r>
      <w:r w:rsidRPr="00C65460">
        <w:rPr>
          <w:rFonts w:ascii="Arial" w:hAnsi="Arial" w:cs="Arial"/>
          <w:b/>
          <w:lang w:val="es-ES_tradnl"/>
        </w:rPr>
        <w:t>-</w:t>
      </w:r>
      <w:r>
        <w:rPr>
          <w:rFonts w:ascii="Arial" w:hAnsi="Arial" w:cs="Arial"/>
          <w:b/>
          <w:lang w:val="es-ES_tradnl"/>
        </w:rPr>
        <w:t xml:space="preserve">b </w:t>
      </w:r>
      <w:r w:rsidRPr="00C06B88">
        <w:rPr>
          <w:rFonts w:ascii="Arial" w:hAnsi="Arial" w:cs="Arial"/>
          <w:b/>
          <w:lang w:val="es-ES_tradnl"/>
        </w:rPr>
        <w:t>Mejora en la calidad y cobertura de servicios sociales</w:t>
      </w:r>
    </w:p>
    <w:p w:rsidR="00C06B88" w:rsidRPr="00196C02" w:rsidRDefault="00C06B88" w:rsidP="00C06B88">
      <w:pPr>
        <w:pStyle w:val="ListParagraph"/>
        <w:spacing w:after="0" w:line="20" w:lineRule="atLeast"/>
        <w:rPr>
          <w:rFonts w:ascii="Arial" w:hAnsi="Arial" w:cs="Arial"/>
          <w:b/>
          <w:lang w:val="es-ES_tradnl"/>
        </w:rPr>
      </w:pPr>
    </w:p>
    <w:p w:rsidR="00C06B88" w:rsidRDefault="00C06B88" w:rsidP="00C06B88">
      <w:pPr>
        <w:pStyle w:val="ListParagraph"/>
        <w:spacing w:before="120" w:after="120"/>
        <w:ind w:left="792"/>
        <w:jc w:val="both"/>
        <w:rPr>
          <w:rFonts w:ascii="Arial" w:hAnsi="Arial" w:cs="Arial"/>
          <w:lang w:val="es-ES"/>
        </w:rPr>
      </w:pPr>
      <w:r w:rsidRPr="005B387B">
        <w:rPr>
          <w:rFonts w:ascii="Arial" w:hAnsi="Arial" w:cs="Arial"/>
          <w:lang w:val="es-ES"/>
        </w:rPr>
        <w:t>La responsabilidad por la ejecución de este componente corresponde a la Secretaría de Educación de Santiago de Cali como entidad encargada de llevar a cabo la gestión de los proyectos de</w:t>
      </w:r>
      <w:r w:rsidR="005B387B" w:rsidRPr="005B387B">
        <w:rPr>
          <w:rFonts w:ascii="Arial" w:hAnsi="Arial" w:cs="Arial"/>
          <w:lang w:val="es-ES"/>
        </w:rPr>
        <w:t xml:space="preserve"> mejoramiento, equipamiento y nueva </w:t>
      </w:r>
      <w:r w:rsidRPr="005B387B">
        <w:rPr>
          <w:rFonts w:ascii="Arial" w:hAnsi="Arial" w:cs="Arial"/>
          <w:lang w:val="es-ES"/>
        </w:rPr>
        <w:t xml:space="preserve"> infraestructura </w:t>
      </w:r>
      <w:r w:rsidR="005B387B" w:rsidRPr="005B387B">
        <w:rPr>
          <w:rFonts w:ascii="Arial" w:hAnsi="Arial" w:cs="Arial"/>
          <w:lang w:val="es-ES"/>
        </w:rPr>
        <w:t>en la ciudad</w:t>
      </w:r>
      <w:r w:rsidRPr="005B387B">
        <w:rPr>
          <w:rFonts w:ascii="Arial" w:hAnsi="Arial" w:cs="Arial"/>
          <w:lang w:val="es-ES"/>
        </w:rPr>
        <w:t>. Dicha Secretaría t</w:t>
      </w:r>
      <w:r w:rsidR="005B387B" w:rsidRPr="005B387B">
        <w:rPr>
          <w:rFonts w:ascii="Arial" w:hAnsi="Arial" w:cs="Arial"/>
          <w:lang w:val="es-ES"/>
        </w:rPr>
        <w:t xml:space="preserve">iene a su cargo los procesos educativos </w:t>
      </w:r>
      <w:r w:rsidRPr="005B387B">
        <w:rPr>
          <w:rFonts w:ascii="Arial" w:hAnsi="Arial" w:cs="Arial"/>
          <w:lang w:val="es-ES"/>
        </w:rPr>
        <w:t xml:space="preserve">así como la gestión de inversiones a través de la División de Inversión Pública. </w:t>
      </w:r>
    </w:p>
    <w:p w:rsidR="00DF42D8" w:rsidRDefault="00DF42D8" w:rsidP="00DF42D8">
      <w:pPr>
        <w:autoSpaceDE w:val="0"/>
        <w:autoSpaceDN w:val="0"/>
        <w:adjustRightInd w:val="0"/>
        <w:spacing w:after="0"/>
        <w:rPr>
          <w:rFonts w:ascii="Arial" w:hAnsi="Arial" w:cs="Arial"/>
          <w:lang w:val="es-ES" w:bidi="si-LK"/>
        </w:rPr>
      </w:pPr>
    </w:p>
    <w:p w:rsidR="00DF42D8" w:rsidRPr="00976B55" w:rsidRDefault="00DF42D8" w:rsidP="00DF42D8">
      <w:pPr>
        <w:pStyle w:val="ListParagraph"/>
        <w:numPr>
          <w:ilvl w:val="1"/>
          <w:numId w:val="37"/>
        </w:numPr>
        <w:spacing w:after="0" w:line="20" w:lineRule="atLeast"/>
        <w:jc w:val="both"/>
        <w:rPr>
          <w:rFonts w:ascii="Arial" w:hAnsi="Arial" w:cs="Arial"/>
          <w:lang w:val="es-CO" w:bidi="si-LK"/>
        </w:rPr>
      </w:pPr>
      <w:r w:rsidRPr="00976B55">
        <w:rPr>
          <w:rFonts w:ascii="Arial" w:hAnsi="Arial" w:cs="Arial"/>
          <w:lang w:val="es-ES_tradnl"/>
        </w:rPr>
        <w:t>Los Objetivos Específicos son: (i) g</w:t>
      </w:r>
      <w:r w:rsidRPr="00976B55">
        <w:rPr>
          <w:rFonts w:ascii="Arial" w:hAnsi="Arial" w:cs="Arial"/>
          <w:lang w:val="es-CO" w:bidi="si-LK"/>
        </w:rPr>
        <w:t xml:space="preserve">arantizar una educación de calidad con atención integral en todos los niveles y grupos poblacionales; (ii) disminuir las brechas en acceso y permanencia entre población rural–urbana, poblaciones diversas, vulnerables y por regiones; (iii) fortalecer la política de inclusión y de género; (iv) educar con pertinencia e incorporar innovación e investigación en la </w:t>
      </w:r>
      <w:r w:rsidRPr="00976B55">
        <w:rPr>
          <w:rFonts w:ascii="Arial" w:hAnsi="Arial" w:cs="Arial"/>
          <w:lang w:val="es-CO" w:bidi="si-LK"/>
        </w:rPr>
        <w:lastRenderedPageBreak/>
        <w:t xml:space="preserve">educación; </w:t>
      </w:r>
      <w:r>
        <w:rPr>
          <w:rFonts w:ascii="Arial" w:hAnsi="Arial" w:cs="Arial"/>
          <w:lang w:val="es-CO" w:bidi="si-LK"/>
        </w:rPr>
        <w:t xml:space="preserve"> y </w:t>
      </w:r>
      <w:r w:rsidRPr="00976B55">
        <w:rPr>
          <w:rFonts w:ascii="Arial" w:hAnsi="Arial" w:cs="Arial"/>
          <w:lang w:val="es-CO" w:bidi="si-LK"/>
        </w:rPr>
        <w:t xml:space="preserve">(v) </w:t>
      </w:r>
      <w:r>
        <w:rPr>
          <w:rFonts w:ascii="Arial" w:hAnsi="Arial" w:cs="Arial"/>
          <w:lang w:val="es-CO" w:bidi="si-LK"/>
        </w:rPr>
        <w:t>f</w:t>
      </w:r>
      <w:r w:rsidRPr="00976B55">
        <w:rPr>
          <w:rFonts w:ascii="Arial" w:hAnsi="Arial" w:cs="Arial"/>
          <w:lang w:val="es-CO" w:bidi="si-LK"/>
        </w:rPr>
        <w:t>ortalecer la gestión del sector educativo para ser modelo de eficiencia y transparencia.</w:t>
      </w:r>
    </w:p>
    <w:p w:rsidR="00DF42D8" w:rsidRPr="00976B55" w:rsidRDefault="00DF42D8" w:rsidP="00DF42D8">
      <w:pPr>
        <w:autoSpaceDE w:val="0"/>
        <w:autoSpaceDN w:val="0"/>
        <w:adjustRightInd w:val="0"/>
        <w:spacing w:after="0"/>
        <w:rPr>
          <w:rFonts w:ascii="Arial" w:hAnsi="Arial" w:cs="Arial"/>
          <w:lang w:val="es-CO" w:bidi="si-LK"/>
        </w:rPr>
      </w:pPr>
    </w:p>
    <w:p w:rsidR="00DF42D8" w:rsidRPr="00F103AB" w:rsidRDefault="00DF42D8" w:rsidP="00DF42D8">
      <w:pPr>
        <w:pStyle w:val="ListParagraph"/>
        <w:numPr>
          <w:ilvl w:val="1"/>
          <w:numId w:val="37"/>
        </w:numPr>
        <w:spacing w:after="0" w:line="20" w:lineRule="atLeast"/>
        <w:jc w:val="both"/>
        <w:rPr>
          <w:rFonts w:ascii="Arial" w:hAnsi="Arial" w:cs="Arial"/>
          <w:lang w:val="es-CO" w:bidi="si-LK"/>
        </w:rPr>
      </w:pPr>
      <w:r w:rsidRPr="00F103AB">
        <w:rPr>
          <w:rFonts w:ascii="Arial" w:hAnsi="Arial" w:cs="Arial"/>
          <w:b/>
          <w:lang w:val="es-CO"/>
        </w:rPr>
        <w:t>Componentes</w:t>
      </w:r>
      <w:r w:rsidRPr="00F103AB">
        <w:rPr>
          <w:rFonts w:ascii="Arial" w:hAnsi="Arial" w:cs="Arial"/>
          <w:lang w:val="es-CO" w:bidi="si-LK"/>
        </w:rPr>
        <w:t xml:space="preserve">. </w:t>
      </w:r>
      <w:r>
        <w:rPr>
          <w:rFonts w:ascii="Arial" w:hAnsi="Arial" w:cs="Arial"/>
          <w:lang w:val="es-CO" w:bidi="si-LK"/>
        </w:rPr>
        <w:t>La gráfica siguiente muestra los cinco componentes en que se organiza el Proyecto, los cuales son descritos en detalle en la siguiente sección.</w:t>
      </w:r>
    </w:p>
    <w:p w:rsidR="00DF42D8" w:rsidRPr="00976B55" w:rsidRDefault="00DF42D8" w:rsidP="00DF42D8">
      <w:pPr>
        <w:autoSpaceDE w:val="0"/>
        <w:autoSpaceDN w:val="0"/>
        <w:adjustRightInd w:val="0"/>
        <w:spacing w:after="0"/>
        <w:jc w:val="both"/>
        <w:rPr>
          <w:rFonts w:ascii="Arial" w:hAnsi="Arial" w:cs="Arial"/>
          <w:lang w:val="es-CO" w:bidi="si-LK"/>
        </w:rPr>
      </w:pPr>
    </w:p>
    <w:p w:rsidR="00DF42D8" w:rsidRPr="00F103AB" w:rsidRDefault="00DF42D8" w:rsidP="00DF42D8">
      <w:pPr>
        <w:autoSpaceDE w:val="0"/>
        <w:autoSpaceDN w:val="0"/>
        <w:adjustRightInd w:val="0"/>
        <w:spacing w:after="0"/>
        <w:jc w:val="center"/>
        <w:rPr>
          <w:rFonts w:ascii="Arial" w:hAnsi="Arial" w:cs="Arial"/>
          <w:lang w:bidi="si-LK"/>
        </w:rPr>
      </w:pPr>
      <w:r w:rsidRPr="00F103AB">
        <w:rPr>
          <w:rFonts w:ascii="Arial" w:hAnsi="Arial" w:cs="Arial"/>
          <w:noProof/>
          <w:lang w:val="es-CO" w:eastAsia="es-CO"/>
        </w:rPr>
        <w:drawing>
          <wp:inline distT="0" distB="0" distL="0" distR="0" wp14:anchorId="11B9D057" wp14:editId="207A5015">
            <wp:extent cx="2849526" cy="23896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195" r="20350"/>
                    <a:stretch/>
                  </pic:blipFill>
                  <pic:spPr bwMode="auto">
                    <a:xfrm>
                      <a:off x="0" y="0"/>
                      <a:ext cx="2866564" cy="2403954"/>
                    </a:xfrm>
                    <a:prstGeom prst="rect">
                      <a:avLst/>
                    </a:prstGeom>
                    <a:noFill/>
                    <a:ln>
                      <a:noFill/>
                    </a:ln>
                    <a:extLst>
                      <a:ext uri="{53640926-AAD7-44D8-BBD7-CCE9431645EC}">
                        <a14:shadowObscured xmlns:a14="http://schemas.microsoft.com/office/drawing/2010/main"/>
                      </a:ext>
                    </a:extLst>
                  </pic:spPr>
                </pic:pic>
              </a:graphicData>
            </a:graphic>
          </wp:inline>
        </w:drawing>
      </w:r>
    </w:p>
    <w:p w:rsidR="00DF42D8" w:rsidRDefault="00DF42D8" w:rsidP="00DF42D8">
      <w:pPr>
        <w:autoSpaceDE w:val="0"/>
        <w:autoSpaceDN w:val="0"/>
        <w:adjustRightInd w:val="0"/>
        <w:spacing w:after="0"/>
        <w:jc w:val="both"/>
        <w:rPr>
          <w:rFonts w:ascii="Arial" w:hAnsi="Arial" w:cs="Arial"/>
          <w:lang w:bidi="si-LK"/>
        </w:rPr>
      </w:pPr>
    </w:p>
    <w:p w:rsidR="00DF42D8" w:rsidRDefault="00DF42D8" w:rsidP="00DF42D8">
      <w:pPr>
        <w:autoSpaceDE w:val="0"/>
        <w:autoSpaceDN w:val="0"/>
        <w:adjustRightInd w:val="0"/>
        <w:spacing w:after="0"/>
        <w:rPr>
          <w:rFonts w:ascii="Arial" w:hAnsi="Arial" w:cs="Arial"/>
          <w:lang w:val="es-CO" w:bidi="si-LK"/>
        </w:rPr>
      </w:pPr>
    </w:p>
    <w:p w:rsidR="00DF42D8" w:rsidRDefault="00DF42D8" w:rsidP="00DF42D8">
      <w:pPr>
        <w:autoSpaceDE w:val="0"/>
        <w:autoSpaceDN w:val="0"/>
        <w:adjustRightInd w:val="0"/>
        <w:spacing w:after="0"/>
        <w:jc w:val="both"/>
        <w:rPr>
          <w:rFonts w:ascii="Arial" w:hAnsi="Arial" w:cs="Arial"/>
          <w:lang w:bidi="si-LK"/>
        </w:rPr>
      </w:pPr>
    </w:p>
    <w:p w:rsidR="00DF42D8" w:rsidRDefault="00DF42D8" w:rsidP="00DF42D8">
      <w:pPr>
        <w:pStyle w:val="ListParagraph"/>
        <w:numPr>
          <w:ilvl w:val="0"/>
          <w:numId w:val="37"/>
        </w:numPr>
        <w:spacing w:after="0" w:line="20" w:lineRule="atLeast"/>
        <w:jc w:val="both"/>
        <w:rPr>
          <w:rFonts w:ascii="Arial" w:hAnsi="Arial" w:cs="Arial"/>
          <w:b/>
          <w:lang w:val="es-CO"/>
        </w:rPr>
      </w:pPr>
      <w:r w:rsidRPr="00622374">
        <w:rPr>
          <w:rFonts w:ascii="Arial" w:hAnsi="Arial" w:cs="Arial"/>
          <w:b/>
          <w:lang w:val="es-ES_tradnl"/>
        </w:rPr>
        <w:t>ESTRUCTURA</w:t>
      </w:r>
      <w:r w:rsidRPr="00A12EA6">
        <w:rPr>
          <w:rFonts w:ascii="Arial" w:hAnsi="Arial" w:cs="Arial"/>
          <w:b/>
          <w:lang w:val="es-CO"/>
        </w:rPr>
        <w:t xml:space="preserve"> Y COSTOS DEL PROYECTO</w:t>
      </w:r>
    </w:p>
    <w:p w:rsidR="00DF42D8" w:rsidRDefault="00DF42D8" w:rsidP="00DF42D8">
      <w:pPr>
        <w:spacing w:after="0" w:line="20" w:lineRule="atLeast"/>
        <w:jc w:val="both"/>
        <w:rPr>
          <w:rFonts w:ascii="Arial" w:hAnsi="Arial" w:cs="Arial"/>
          <w:b/>
          <w:lang w:val="es-CO"/>
        </w:rPr>
      </w:pPr>
    </w:p>
    <w:p w:rsidR="00DF42D8" w:rsidRDefault="00DF42D8" w:rsidP="00DF42D8">
      <w:pPr>
        <w:pStyle w:val="ListParagraph"/>
        <w:tabs>
          <w:tab w:val="left" w:pos="5787"/>
        </w:tabs>
        <w:autoSpaceDE w:val="0"/>
        <w:autoSpaceDN w:val="0"/>
        <w:adjustRightInd w:val="0"/>
        <w:spacing w:after="0"/>
        <w:ind w:left="510"/>
        <w:jc w:val="both"/>
        <w:rPr>
          <w:rFonts w:ascii="Arial" w:hAnsi="Arial" w:cs="Arial"/>
          <w:lang w:val="es-CO" w:bidi="si-LK"/>
        </w:rPr>
      </w:pPr>
      <w:r>
        <w:rPr>
          <w:rFonts w:ascii="Arial" w:hAnsi="Arial" w:cs="Arial"/>
          <w:lang w:val="es-CO" w:bidi="si-LK"/>
        </w:rPr>
        <w:t>La gráfica siguiente resume la estructura y organización del Proyecto.</w:t>
      </w:r>
    </w:p>
    <w:p w:rsidR="00DF42D8" w:rsidRPr="0096689E" w:rsidRDefault="00FF08AF" w:rsidP="00DF42D8">
      <w:pPr>
        <w:pStyle w:val="ListParagraph"/>
        <w:rPr>
          <w:rFonts w:ascii="Arial" w:hAnsi="Arial" w:cs="Arial"/>
          <w:lang w:val="es-CO" w:bidi="si-LK"/>
        </w:rPr>
      </w:pPr>
      <w:r>
        <w:rPr>
          <w:rFonts w:ascii="Arial" w:hAnsi="Arial" w:cs="Arial"/>
          <w:noProof/>
          <w:lang w:val="es-CO" w:eastAsia="es-CO"/>
        </w:rPr>
        <w:pict>
          <v:shapetype id="_x0000_t202" coordsize="21600,21600" o:spt="202" path="m,l,21600r21600,l21600,xe">
            <v:stroke joinstyle="miter"/>
            <v:path gradientshapeok="t" o:connecttype="rect"/>
          </v:shapetype>
          <v:shape id="Text Box 13" o:spid="_x0000_s1031" type="#_x0000_t202" style="position:absolute;left:0;text-align:left;margin-left:-31.4pt;margin-top:6.8pt;width:476.85pt;height:42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" filled="f" stroked="f" strokeweight=".5pt">
            <v:textbox style="mso-next-textbox:#Text Box 13">
              <w:txbxContent>
                <w:p w:rsidR="00DF42D8" w:rsidRDefault="00DF42D8" w:rsidP="00DF42D8">
                  <w:r w:rsidRPr="00F103AB">
                    <w:rPr>
                      <w:noProof/>
                      <w:lang w:val="es-CO" w:eastAsia="es-CO"/>
                    </w:rPr>
                    <w:drawing>
                      <wp:inline distT="0" distB="0" distL="0" distR="0" wp14:anchorId="12DE9D89" wp14:editId="014E4141">
                        <wp:extent cx="5894023" cy="4701396"/>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99237" cy="4705555"/>
                                </a:xfrm>
                                <a:prstGeom prst="rect">
                                  <a:avLst/>
                                </a:prstGeom>
                                <a:noFill/>
                                <a:ln>
                                  <a:noFill/>
                                </a:ln>
                              </pic:spPr>
                            </pic:pic>
                          </a:graphicData>
                        </a:graphic>
                      </wp:inline>
                    </w:drawing>
                  </w:r>
                </w:p>
              </w:txbxContent>
            </v:textbox>
          </v:shape>
        </w:pict>
      </w: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rPr>
          <w:rFonts w:ascii="Arial" w:hAnsi="Arial" w:cs="Arial"/>
          <w:b/>
          <w:lang w:val="es-ES"/>
        </w:rPr>
      </w:pPr>
      <w:r>
        <w:rPr>
          <w:rFonts w:ascii="Arial" w:hAnsi="Arial" w:cs="Arial"/>
          <w:b/>
          <w:lang w:val="es-ES"/>
        </w:rPr>
        <w:br w:type="page"/>
      </w:r>
    </w:p>
    <w:p w:rsidR="00DF42D8" w:rsidRPr="00622374" w:rsidRDefault="00DF42D8" w:rsidP="00DF42D8">
      <w:pPr>
        <w:pStyle w:val="ListParagraph"/>
        <w:numPr>
          <w:ilvl w:val="1"/>
          <w:numId w:val="26"/>
        </w:numPr>
        <w:tabs>
          <w:tab w:val="left" w:pos="720"/>
        </w:tabs>
        <w:autoSpaceDE w:val="0"/>
        <w:autoSpaceDN w:val="0"/>
        <w:adjustRightInd w:val="0"/>
        <w:spacing w:after="0"/>
        <w:ind w:left="720"/>
        <w:jc w:val="both"/>
        <w:rPr>
          <w:rFonts w:ascii="Arial" w:hAnsi="Arial" w:cs="Arial"/>
          <w:lang w:val="es-ES_tradnl" w:bidi="si-LK"/>
        </w:rPr>
      </w:pPr>
      <w:r w:rsidRPr="00622374">
        <w:rPr>
          <w:rFonts w:ascii="Arial" w:hAnsi="Arial" w:cs="Arial"/>
          <w:b/>
          <w:lang w:val="es-CO"/>
        </w:rPr>
        <w:lastRenderedPageBreak/>
        <w:t>Componente 1. Cali</w:t>
      </w:r>
      <w:r w:rsidRPr="00622374">
        <w:rPr>
          <w:rFonts w:ascii="Arial" w:hAnsi="Arial" w:cs="Arial"/>
          <w:lang w:val="es-ES_tradnl" w:bidi="si-LK"/>
        </w:rPr>
        <w:t xml:space="preserve"> </w:t>
      </w:r>
      <w:r w:rsidRPr="00622374">
        <w:rPr>
          <w:rFonts w:ascii="Arial" w:hAnsi="Arial" w:cs="Arial"/>
          <w:b/>
          <w:lang w:val="es-CO"/>
        </w:rPr>
        <w:t>con educación inicial</w:t>
      </w:r>
    </w:p>
    <w:p w:rsidR="00DF42D8" w:rsidRDefault="00DF42D8" w:rsidP="00DF42D8">
      <w:pPr>
        <w:autoSpaceDE w:val="0"/>
        <w:autoSpaceDN w:val="0"/>
        <w:adjustRightInd w:val="0"/>
        <w:spacing w:after="0"/>
        <w:jc w:val="both"/>
        <w:rPr>
          <w:rFonts w:ascii="Arial" w:hAnsi="Arial" w:cs="Arial"/>
          <w:lang w:val="es-ES_tradnl" w:bidi="si-LK"/>
        </w:rPr>
      </w:pPr>
    </w:p>
    <w:p w:rsidR="00DF42D8" w:rsidRPr="00622374" w:rsidRDefault="00DF42D8" w:rsidP="00DF42D8">
      <w:pPr>
        <w:pStyle w:val="ListParagraph"/>
        <w:numPr>
          <w:ilvl w:val="2"/>
          <w:numId w:val="26"/>
        </w:numPr>
        <w:autoSpaceDE w:val="0"/>
        <w:autoSpaceDN w:val="0"/>
        <w:adjustRightInd w:val="0"/>
        <w:spacing w:after="0"/>
        <w:ind w:left="720"/>
        <w:jc w:val="both"/>
        <w:rPr>
          <w:rFonts w:ascii="Arial" w:hAnsi="Arial" w:cs="Arial"/>
          <w:lang w:val="es-CO" w:bidi="si-LK"/>
        </w:rPr>
      </w:pPr>
      <w:r w:rsidRPr="00622374">
        <w:rPr>
          <w:rFonts w:ascii="Arial" w:hAnsi="Arial" w:cs="Arial"/>
          <w:b/>
          <w:lang w:val="es-CO"/>
        </w:rPr>
        <w:t>CDI</w:t>
      </w:r>
      <w:r w:rsidRPr="00622374">
        <w:rPr>
          <w:rFonts w:ascii="Arial" w:hAnsi="Arial" w:cs="Arial"/>
          <w:lang w:val="es-CO" w:bidi="si-LK"/>
        </w:rPr>
        <w:t xml:space="preserve"> </w:t>
      </w:r>
      <w:r w:rsidRPr="00622374">
        <w:rPr>
          <w:rFonts w:ascii="Arial" w:hAnsi="Arial" w:cs="Arial"/>
          <w:b/>
          <w:bCs/>
          <w:lang w:val="es-CO" w:bidi="si-LK"/>
        </w:rPr>
        <w:t xml:space="preserve">nuevos. </w:t>
      </w:r>
      <w:r w:rsidRPr="00622374">
        <w:rPr>
          <w:rFonts w:ascii="Arial" w:hAnsi="Arial" w:cs="Arial"/>
          <w:lang w:val="es-CO" w:bidi="si-LK"/>
        </w:rPr>
        <w:t xml:space="preserve">Este componente financiará la construcción y dotación de centros de desarrollo infantil (CDIs) en las comunas TIO, que generen 2.520 nuevos </w:t>
      </w:r>
      <w:r w:rsidRPr="00622374">
        <w:rPr>
          <w:rFonts w:ascii="Arial" w:hAnsi="Arial" w:cs="Arial"/>
          <w:lang w:val="es-ES_tradnl" w:bidi="si-LK"/>
        </w:rPr>
        <w:t>cupos</w:t>
      </w:r>
      <w:r w:rsidRPr="00622374">
        <w:rPr>
          <w:rFonts w:ascii="Arial" w:hAnsi="Arial" w:cs="Arial"/>
          <w:lang w:val="es-CO" w:bidi="si-LK"/>
        </w:rPr>
        <w:t xml:space="preserve"> para niños y niñas de cero a cinco años. El componente financiará:</w:t>
      </w:r>
    </w:p>
    <w:p w:rsidR="00DF42D8" w:rsidRPr="00EA00DE" w:rsidRDefault="00DF42D8" w:rsidP="00DF42D8">
      <w:pPr>
        <w:pStyle w:val="ListParagraph"/>
        <w:numPr>
          <w:ilvl w:val="0"/>
          <w:numId w:val="16"/>
        </w:numPr>
        <w:autoSpaceDE w:val="0"/>
        <w:autoSpaceDN w:val="0"/>
        <w:adjustRightInd w:val="0"/>
        <w:spacing w:after="0"/>
        <w:jc w:val="both"/>
        <w:rPr>
          <w:rFonts w:ascii="Arial" w:hAnsi="Arial" w:cs="Arial"/>
          <w:lang w:val="es-CO" w:bidi="si-LK"/>
        </w:rPr>
      </w:pPr>
      <w:r w:rsidRPr="00EA00DE">
        <w:rPr>
          <w:rFonts w:ascii="Arial" w:hAnsi="Arial" w:cs="Arial"/>
          <w:lang w:val="es-ES_tradnl" w:bidi="si-LK"/>
        </w:rPr>
        <w:t xml:space="preserve">Construcción y equipamiento de 7 CDIs con un total de 2.520 cupos. </w:t>
      </w:r>
    </w:p>
    <w:p w:rsidR="00DF42D8" w:rsidRPr="00EA00DE" w:rsidRDefault="00DF42D8" w:rsidP="00DF42D8">
      <w:pPr>
        <w:pStyle w:val="ListParagraph"/>
        <w:numPr>
          <w:ilvl w:val="0"/>
          <w:numId w:val="16"/>
        </w:numPr>
        <w:autoSpaceDE w:val="0"/>
        <w:autoSpaceDN w:val="0"/>
        <w:adjustRightInd w:val="0"/>
        <w:spacing w:after="0"/>
        <w:jc w:val="both"/>
        <w:rPr>
          <w:rFonts w:ascii="Arial" w:hAnsi="Arial" w:cs="Arial"/>
          <w:lang w:val="es-CO" w:bidi="si-LK"/>
        </w:rPr>
      </w:pPr>
      <w:r w:rsidRPr="00EA00DE">
        <w:rPr>
          <w:rFonts w:ascii="Arial" w:hAnsi="Arial" w:cs="Arial"/>
          <w:lang w:val="es-ES_tradnl" w:bidi="si-LK"/>
        </w:rPr>
        <w:t>Desarrollo de un piloto para la implementación</w:t>
      </w:r>
      <w:r w:rsidRPr="00EA00DE">
        <w:rPr>
          <w:rFonts w:ascii="Arial" w:hAnsi="Arial" w:cs="Arial"/>
          <w:lang w:val="es-ES" w:bidi="si-LK"/>
        </w:rPr>
        <w:t xml:space="preserve"> del</w:t>
      </w:r>
      <w:r w:rsidRPr="00EA00DE">
        <w:rPr>
          <w:rFonts w:ascii="Arial" w:hAnsi="Arial" w:cs="Arial"/>
          <w:lang w:val="es-ES_tradnl" w:bidi="si-LK"/>
        </w:rPr>
        <w:t xml:space="preserve"> grado de transición en 29 Instituciones Educativas oficiales urbanas y rurales.</w:t>
      </w:r>
    </w:p>
    <w:p w:rsidR="00DF42D8" w:rsidRDefault="00DF42D8" w:rsidP="00DF42D8">
      <w:pPr>
        <w:autoSpaceDE w:val="0"/>
        <w:autoSpaceDN w:val="0"/>
        <w:adjustRightInd w:val="0"/>
        <w:spacing w:after="0"/>
        <w:jc w:val="both"/>
        <w:rPr>
          <w:rFonts w:ascii="Arial" w:hAnsi="Arial" w:cs="Arial"/>
          <w:lang w:val="es-ES_tradnl" w:bidi="si-LK"/>
        </w:rPr>
      </w:pPr>
    </w:p>
    <w:p w:rsidR="00DF42D8" w:rsidRPr="00622374" w:rsidRDefault="00DF42D8" w:rsidP="00DF42D8">
      <w:pPr>
        <w:pStyle w:val="ListParagraph"/>
        <w:numPr>
          <w:ilvl w:val="2"/>
          <w:numId w:val="26"/>
        </w:numPr>
        <w:tabs>
          <w:tab w:val="left" w:pos="720"/>
        </w:tabs>
        <w:autoSpaceDE w:val="0"/>
        <w:autoSpaceDN w:val="0"/>
        <w:adjustRightInd w:val="0"/>
        <w:spacing w:after="0"/>
        <w:ind w:left="720"/>
        <w:jc w:val="both"/>
        <w:rPr>
          <w:rFonts w:ascii="Arial" w:hAnsi="Arial" w:cs="Arial"/>
          <w:lang w:val="es-CO" w:bidi="si-LK"/>
        </w:rPr>
      </w:pPr>
      <w:r w:rsidRPr="00622374">
        <w:rPr>
          <w:rFonts w:ascii="Arial" w:hAnsi="Arial" w:cs="Arial"/>
          <w:b/>
          <w:lang w:val="es-CO"/>
        </w:rPr>
        <w:t>Calidad</w:t>
      </w:r>
      <w:r w:rsidRPr="00622374">
        <w:rPr>
          <w:rFonts w:ascii="Arial" w:hAnsi="Arial" w:cs="Arial"/>
          <w:b/>
          <w:lang w:val="es-CO" w:bidi="si-LK"/>
        </w:rPr>
        <w:t xml:space="preserve"> de la educación inicial</w:t>
      </w:r>
      <w:r w:rsidRPr="00622374">
        <w:rPr>
          <w:rFonts w:ascii="Arial" w:hAnsi="Arial" w:cs="Arial"/>
          <w:lang w:val="es-CO" w:bidi="si-LK"/>
        </w:rPr>
        <w:t xml:space="preserve">. Este componente financiará la educación inicial en los grados de transición de las instituciones educativas oficiales para el desarrollo de currículos integrados y flexibles. </w:t>
      </w:r>
      <w:r w:rsidRPr="00622374">
        <w:rPr>
          <w:rFonts w:ascii="Arial" w:hAnsi="Arial" w:cs="Arial"/>
          <w:lang w:val="es-ES_tradnl" w:bidi="si-LK"/>
        </w:rPr>
        <w:t xml:space="preserve">Este componente incluye dos subcomponentes: (i) el </w:t>
      </w:r>
      <w:r w:rsidRPr="00622374">
        <w:rPr>
          <w:rFonts w:ascii="Arial" w:hAnsi="Arial" w:cs="Arial"/>
          <w:b/>
          <w:bCs/>
          <w:lang w:val="es-ES_tradnl" w:bidi="si-LK"/>
        </w:rPr>
        <w:t xml:space="preserve">acompañamiento situado de los docentes, </w:t>
      </w:r>
      <w:r w:rsidRPr="00622374">
        <w:rPr>
          <w:rFonts w:ascii="Arial" w:hAnsi="Arial" w:cs="Arial"/>
          <w:lang w:val="es-ES_tradnl" w:bidi="si-LK"/>
        </w:rPr>
        <w:t>buscando</w:t>
      </w:r>
      <w:r w:rsidRPr="00622374">
        <w:rPr>
          <w:rFonts w:ascii="Arial" w:hAnsi="Arial" w:cs="Arial"/>
          <w:b/>
          <w:bCs/>
          <w:lang w:val="es-ES_tradnl" w:bidi="si-LK"/>
        </w:rPr>
        <w:t xml:space="preserve"> </w:t>
      </w:r>
      <w:r w:rsidRPr="00622374">
        <w:rPr>
          <w:rFonts w:ascii="Arial" w:hAnsi="Arial" w:cs="Arial"/>
          <w:lang w:val="es-ES" w:bidi="si-LK"/>
        </w:rPr>
        <w:t xml:space="preserve">armonizar el paso del niño-niña del grado de transición a la básica. </w:t>
      </w:r>
      <w:r w:rsidRPr="00622374">
        <w:rPr>
          <w:rFonts w:ascii="Arial" w:hAnsi="Arial" w:cs="Arial"/>
          <w:lang w:val="es-CO" w:bidi="si-LK"/>
        </w:rPr>
        <w:t xml:space="preserve">El desarrollo infantil durante la primera infancia depende esencialmente de los estímulos y  condiciones en que se desenvuelva. Es por esto, que se debe contribuir a la preparación teórico – metodológica y practica de los docentes, con miras a fortalecer el proceso pedagógico en la atención educativa e integral de niños y niñas de transición y básica primaria de las instituciones educativas. (ii) el </w:t>
      </w:r>
      <w:r w:rsidRPr="00622374">
        <w:rPr>
          <w:rFonts w:ascii="Arial" w:hAnsi="Arial" w:cs="Arial"/>
          <w:b/>
          <w:bCs/>
          <w:lang w:val="es-CO" w:bidi="si-LK"/>
        </w:rPr>
        <w:t>mejoramiento de los ambientes de aprendizaje</w:t>
      </w:r>
      <w:r w:rsidRPr="00622374">
        <w:rPr>
          <w:rFonts w:ascii="Arial" w:hAnsi="Arial" w:cs="Arial"/>
          <w:lang w:val="es-CO" w:bidi="si-LK"/>
        </w:rPr>
        <w:t>.</w:t>
      </w:r>
    </w:p>
    <w:p w:rsidR="00DF42D8" w:rsidRDefault="00DF42D8" w:rsidP="00DF42D8">
      <w:pPr>
        <w:autoSpaceDE w:val="0"/>
        <w:autoSpaceDN w:val="0"/>
        <w:adjustRightInd w:val="0"/>
        <w:spacing w:after="0"/>
        <w:jc w:val="both"/>
        <w:rPr>
          <w:rFonts w:ascii="Arial" w:hAnsi="Arial" w:cs="Arial"/>
          <w:lang w:bidi="si-LK"/>
        </w:rPr>
      </w:pPr>
    </w:p>
    <w:p w:rsidR="00DF42D8" w:rsidRPr="004A28A5" w:rsidRDefault="00DF42D8" w:rsidP="00DF42D8">
      <w:pPr>
        <w:pStyle w:val="ListParagraph"/>
        <w:numPr>
          <w:ilvl w:val="1"/>
          <w:numId w:val="26"/>
        </w:numPr>
        <w:tabs>
          <w:tab w:val="left" w:pos="720"/>
        </w:tabs>
        <w:autoSpaceDE w:val="0"/>
        <w:autoSpaceDN w:val="0"/>
        <w:adjustRightInd w:val="0"/>
        <w:spacing w:after="0"/>
        <w:ind w:left="720"/>
        <w:jc w:val="both"/>
        <w:rPr>
          <w:rFonts w:ascii="Arial" w:hAnsi="Arial" w:cs="Arial"/>
          <w:lang w:val="es-CO" w:bidi="si-LK"/>
        </w:rPr>
      </w:pPr>
      <w:r>
        <w:rPr>
          <w:rFonts w:ascii="Arial" w:hAnsi="Arial" w:cs="Arial"/>
          <w:b/>
          <w:lang w:val="es-CO"/>
        </w:rPr>
        <w:t xml:space="preserve">Componente 2. </w:t>
      </w:r>
      <w:r w:rsidRPr="00972F8B">
        <w:rPr>
          <w:rFonts w:ascii="Arial" w:hAnsi="Arial" w:cs="Arial"/>
          <w:b/>
          <w:lang w:val="es-CO"/>
        </w:rPr>
        <w:t>Cali</w:t>
      </w:r>
      <w:r w:rsidRPr="00972F8B">
        <w:rPr>
          <w:rFonts w:ascii="Arial" w:hAnsi="Arial" w:cs="Arial"/>
          <w:b/>
          <w:bCs/>
          <w:lang w:val="es-ES_tradnl" w:bidi="si-LK"/>
        </w:rPr>
        <w:t xml:space="preserve"> con Escuelas Dignas y Seguras. </w:t>
      </w:r>
      <w:r w:rsidRPr="00972F8B">
        <w:rPr>
          <w:rFonts w:ascii="Arial" w:hAnsi="Arial" w:cs="Arial"/>
          <w:lang w:val="es-CO" w:bidi="si-LK"/>
        </w:rPr>
        <w:t>Este componente financiaría la construcción, sustitución, adecuación</w:t>
      </w:r>
      <w:r w:rsidRPr="00972F8B">
        <w:rPr>
          <w:rFonts w:ascii="Arial" w:hAnsi="Arial" w:cs="Arial"/>
          <w:lang w:val="es-ES" w:bidi="si-LK"/>
        </w:rPr>
        <w:t>, reparación</w:t>
      </w:r>
      <w:r w:rsidRPr="00972F8B">
        <w:rPr>
          <w:rFonts w:ascii="Arial" w:hAnsi="Arial" w:cs="Arial"/>
          <w:lang w:val="es-CO" w:bidi="si-LK"/>
        </w:rPr>
        <w:t xml:space="preserve"> y/o mantenimiento de la infraestructura educativa del municipio con énfasis en las instituciones ubicadas en los territorios TIO debido a sus altos </w:t>
      </w:r>
      <w:r w:rsidRPr="00972F8B">
        <w:rPr>
          <w:rFonts w:ascii="Arial" w:hAnsi="Arial" w:cs="Arial"/>
          <w:lang w:val="es-ES" w:bidi="si-LK"/>
        </w:rPr>
        <w:t xml:space="preserve">índices de </w:t>
      </w:r>
      <w:r w:rsidRPr="00972F8B">
        <w:rPr>
          <w:rFonts w:ascii="Arial" w:hAnsi="Arial" w:cs="Arial"/>
          <w:lang w:val="es-CO" w:bidi="si-LK"/>
        </w:rPr>
        <w:t xml:space="preserve"> vulnerabilidad. Las intervenciones se realizar</w:t>
      </w:r>
      <w:r>
        <w:rPr>
          <w:rFonts w:ascii="Arial" w:hAnsi="Arial" w:cs="Arial"/>
          <w:lang w:val="es-CO" w:bidi="si-LK"/>
        </w:rPr>
        <w:t>án</w:t>
      </w:r>
      <w:r w:rsidRPr="00972F8B">
        <w:rPr>
          <w:rFonts w:ascii="Arial" w:hAnsi="Arial" w:cs="Arial"/>
          <w:lang w:val="es-ES" w:bidi="si-LK"/>
        </w:rPr>
        <w:t xml:space="preserve"> bajo</w:t>
      </w:r>
      <w:r>
        <w:rPr>
          <w:rFonts w:ascii="Arial" w:hAnsi="Arial" w:cs="Arial"/>
          <w:lang w:val="es-ES" w:bidi="si-LK"/>
        </w:rPr>
        <w:t xml:space="preserve"> dos sub-componentes.</w:t>
      </w:r>
    </w:p>
    <w:p w:rsidR="00DF42D8" w:rsidRPr="004A28A5" w:rsidRDefault="00DF42D8" w:rsidP="00DF42D8">
      <w:pPr>
        <w:pStyle w:val="ListParagraph"/>
        <w:rPr>
          <w:rFonts w:ascii="Arial" w:hAnsi="Arial" w:cs="Arial"/>
          <w:lang w:val="es-CO" w:bidi="si-LK"/>
        </w:rPr>
      </w:pPr>
    </w:p>
    <w:p w:rsidR="00DF42D8" w:rsidRPr="00622374" w:rsidRDefault="00DF42D8" w:rsidP="00DF42D8">
      <w:pPr>
        <w:pStyle w:val="ListParagraph"/>
        <w:numPr>
          <w:ilvl w:val="2"/>
          <w:numId w:val="26"/>
        </w:numPr>
        <w:autoSpaceDE w:val="0"/>
        <w:autoSpaceDN w:val="0"/>
        <w:adjustRightInd w:val="0"/>
        <w:spacing w:after="0"/>
        <w:ind w:left="720"/>
        <w:jc w:val="both"/>
        <w:rPr>
          <w:rFonts w:ascii="Arial" w:hAnsi="Arial" w:cs="Arial"/>
          <w:lang w:val="es-CO" w:bidi="si-LK"/>
        </w:rPr>
      </w:pPr>
      <w:r w:rsidRPr="00622374">
        <w:rPr>
          <w:rFonts w:ascii="Arial" w:hAnsi="Arial" w:cs="Arial"/>
          <w:b/>
          <w:bCs/>
          <w:lang w:val="es-CO" w:bidi="si-LK"/>
        </w:rPr>
        <w:t xml:space="preserve">Mantenimiento y Adecuación de Sedes Educativas </w:t>
      </w:r>
      <w:r w:rsidRPr="00622374">
        <w:rPr>
          <w:rFonts w:ascii="Arial" w:hAnsi="Arial" w:cs="Arial"/>
          <w:lang w:val="es-CO" w:bidi="si-LK"/>
        </w:rPr>
        <w:t>contempla intervenciones en 154 sedes, 54 en el marco del Plan Nacional de Infraestructura Educativa (PNIE) y 100 más que serán objeto de mantenimiento y adecuación de su infraestructura. Ello incluye algunos o todos los siguientes rubros:</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Adecuación y construcción de aulas</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 xml:space="preserve">Baterías </w:t>
      </w:r>
      <w:r w:rsidRPr="004A28A5">
        <w:rPr>
          <w:rFonts w:ascii="Arial" w:hAnsi="Arial" w:cs="Arial"/>
          <w:lang w:val="es-CO" w:bidi="si-LK"/>
        </w:rPr>
        <w:t>hidrosanitarias</w:t>
      </w:r>
      <w:r w:rsidRPr="004A28A5">
        <w:rPr>
          <w:rFonts w:ascii="Arial" w:hAnsi="Arial" w:cs="Arial"/>
          <w:lang w:val="es-ES_tradnl" w:bidi="si-LK"/>
        </w:rPr>
        <w:t xml:space="preserve"> y saneamiento</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Cocinas y comedores</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 xml:space="preserve">Energía eléctrica, iluminación y ventilación </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Mobiliario y equipamiento básico</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Espacios multifuncionales (deportivos, culturales, otros)</w:t>
      </w:r>
    </w:p>
    <w:p w:rsidR="00DF42D8" w:rsidRPr="004A28A5" w:rsidRDefault="00DF42D8" w:rsidP="00DF42D8">
      <w:pPr>
        <w:pStyle w:val="ListParagraph"/>
        <w:numPr>
          <w:ilvl w:val="0"/>
          <w:numId w:val="16"/>
        </w:numPr>
        <w:autoSpaceDE w:val="0"/>
        <w:autoSpaceDN w:val="0"/>
        <w:adjustRightInd w:val="0"/>
        <w:spacing w:after="0"/>
        <w:ind w:left="927"/>
        <w:jc w:val="both"/>
        <w:rPr>
          <w:rFonts w:ascii="Arial" w:hAnsi="Arial" w:cs="Arial"/>
          <w:lang w:val="es-ES_tradnl" w:bidi="si-LK"/>
        </w:rPr>
      </w:pPr>
      <w:r w:rsidRPr="004A28A5">
        <w:rPr>
          <w:rFonts w:ascii="Arial" w:hAnsi="Arial" w:cs="Arial"/>
          <w:lang w:val="es-ES_tradnl" w:bidi="si-LK"/>
        </w:rPr>
        <w:t>Bibliotecas</w:t>
      </w:r>
    </w:p>
    <w:p w:rsidR="00DF42D8" w:rsidRPr="004A28A5" w:rsidRDefault="00DF42D8" w:rsidP="00DF42D8">
      <w:pPr>
        <w:pStyle w:val="ListParagraph"/>
        <w:autoSpaceDE w:val="0"/>
        <w:autoSpaceDN w:val="0"/>
        <w:adjustRightInd w:val="0"/>
        <w:spacing w:after="0"/>
        <w:ind w:left="510"/>
        <w:jc w:val="both"/>
        <w:rPr>
          <w:rFonts w:ascii="Arial" w:hAnsi="Arial" w:cs="Arial"/>
          <w:lang w:val="es-CO" w:bidi="si-LK"/>
        </w:rPr>
      </w:pPr>
    </w:p>
    <w:p w:rsidR="00DF42D8" w:rsidRPr="00E83195" w:rsidRDefault="00DF42D8" w:rsidP="00DF42D8">
      <w:pPr>
        <w:pStyle w:val="ListParagraph"/>
        <w:numPr>
          <w:ilvl w:val="2"/>
          <w:numId w:val="26"/>
        </w:numPr>
        <w:autoSpaceDE w:val="0"/>
        <w:autoSpaceDN w:val="0"/>
        <w:adjustRightInd w:val="0"/>
        <w:spacing w:after="0"/>
        <w:ind w:left="720"/>
        <w:jc w:val="both"/>
        <w:rPr>
          <w:rFonts w:ascii="Arial" w:hAnsi="Arial" w:cs="Arial"/>
          <w:lang w:val="es-CO" w:bidi="si-LK"/>
        </w:rPr>
      </w:pPr>
      <w:r w:rsidRPr="006E6FDC">
        <w:rPr>
          <w:rFonts w:ascii="Arial" w:hAnsi="Arial" w:cs="Arial"/>
          <w:b/>
          <w:bCs/>
          <w:lang w:val="es-CO" w:bidi="si-LK"/>
        </w:rPr>
        <w:t xml:space="preserve">Construcción de Colegios Nuevos </w:t>
      </w:r>
      <w:r w:rsidRPr="00E83195">
        <w:rPr>
          <w:rFonts w:ascii="Arial" w:hAnsi="Arial" w:cs="Arial"/>
          <w:lang w:val="es-CO" w:bidi="si-LK"/>
        </w:rPr>
        <w:t>financiará la construcción de 8 colegios nuevos para disminuir la insuficiencia escolar en los territorios TIO. En tal sentido, el Acuerdo No. 0390 del 2015 otorga facultades expresas al Alcalde para</w:t>
      </w:r>
      <w:r>
        <w:rPr>
          <w:rFonts w:ascii="Arial" w:hAnsi="Arial" w:cs="Arial"/>
          <w:lang w:val="es-CO" w:bidi="si-LK"/>
        </w:rPr>
        <w:t xml:space="preserve"> </w:t>
      </w:r>
      <w:r w:rsidRPr="00E83195">
        <w:rPr>
          <w:rFonts w:ascii="Arial" w:hAnsi="Arial" w:cs="Arial"/>
          <w:lang w:val="es-CO" w:bidi="si-LK"/>
        </w:rPr>
        <w:t xml:space="preserve">“Adquirir los bienes inmuebles que requiera la Secretaría de Educación con destino a la </w:t>
      </w:r>
      <w:r w:rsidRPr="00E83195">
        <w:rPr>
          <w:rFonts w:ascii="Arial" w:hAnsi="Arial" w:cs="Arial"/>
          <w:lang w:val="es-CO" w:bidi="si-LK"/>
        </w:rPr>
        <w:lastRenderedPageBreak/>
        <w:t>construcción de nuevas aulas y el mejoramiento de la infr</w:t>
      </w:r>
      <w:r>
        <w:rPr>
          <w:rFonts w:ascii="Arial" w:hAnsi="Arial" w:cs="Arial"/>
          <w:lang w:val="es-CO" w:bidi="si-LK"/>
        </w:rPr>
        <w:t>aestructura educativa existente” (Art. 24 (literal p).</w:t>
      </w:r>
    </w:p>
    <w:p w:rsidR="00DF42D8" w:rsidRPr="00972F8B" w:rsidRDefault="00DF42D8" w:rsidP="00DF42D8">
      <w:pPr>
        <w:autoSpaceDE w:val="0"/>
        <w:autoSpaceDN w:val="0"/>
        <w:adjustRightInd w:val="0"/>
        <w:spacing w:after="0"/>
        <w:jc w:val="both"/>
        <w:rPr>
          <w:rFonts w:ascii="Arial" w:hAnsi="Arial" w:cs="Arial"/>
          <w:lang w:val="es-ES" w:bidi="si-LK"/>
        </w:rPr>
      </w:pPr>
    </w:p>
    <w:p w:rsidR="00DF42D8" w:rsidRPr="00A37C5F" w:rsidRDefault="00DF42D8" w:rsidP="00DF42D8">
      <w:pPr>
        <w:pStyle w:val="ListParagraph"/>
        <w:numPr>
          <w:ilvl w:val="1"/>
          <w:numId w:val="26"/>
        </w:numPr>
        <w:tabs>
          <w:tab w:val="left" w:pos="5787"/>
        </w:tabs>
        <w:autoSpaceDE w:val="0"/>
        <w:autoSpaceDN w:val="0"/>
        <w:adjustRightInd w:val="0"/>
        <w:spacing w:after="0"/>
        <w:ind w:left="510" w:hanging="510"/>
        <w:jc w:val="both"/>
        <w:rPr>
          <w:rFonts w:ascii="Arial" w:hAnsi="Arial" w:cs="Arial"/>
          <w:lang w:val="es-ES_tradnl" w:bidi="si-LK"/>
        </w:rPr>
      </w:pPr>
      <w:r w:rsidRPr="00A37C5F">
        <w:rPr>
          <w:rFonts w:ascii="Arial" w:hAnsi="Arial" w:cs="Arial"/>
          <w:b/>
          <w:lang w:val="es-CO"/>
        </w:rPr>
        <w:t>Componente</w:t>
      </w:r>
      <w:r w:rsidRPr="00A37C5F">
        <w:rPr>
          <w:rFonts w:ascii="Arial" w:hAnsi="Arial" w:cs="Arial"/>
          <w:b/>
          <w:lang w:val="es-ES_tradnl" w:bidi="si-LK"/>
        </w:rPr>
        <w:t xml:space="preserve"> 3. Cali con calidad educativa</w:t>
      </w:r>
      <w:r w:rsidRPr="00A37C5F">
        <w:rPr>
          <w:rFonts w:ascii="Arial" w:hAnsi="Arial" w:cs="Arial"/>
          <w:lang w:val="es-ES_tradnl" w:bidi="si-LK"/>
        </w:rPr>
        <w:t xml:space="preserve">. </w:t>
      </w:r>
      <w:r w:rsidRPr="00A37C5F">
        <w:rPr>
          <w:rFonts w:ascii="Arial" w:hAnsi="Arial" w:cs="Arial"/>
          <w:lang w:val="es-CO" w:bidi="si-LK"/>
        </w:rPr>
        <w:t xml:space="preserve">Este componente promueve el fortalecimiento de la calidad educativa en sus diferentes niveles a través del uso del tiempo escolar, la mejora de los procesos pedagógicos y el liderazgo Institucional mediado por procesos de evaluación sistémica. </w:t>
      </w:r>
      <w:r>
        <w:rPr>
          <w:rFonts w:ascii="Arial" w:hAnsi="Arial" w:cs="Arial"/>
          <w:lang w:val="es-ES_tradnl" w:bidi="si-LK"/>
        </w:rPr>
        <w:t>Este componente se divide en tres subcomponentes.</w:t>
      </w:r>
      <w:r w:rsidRPr="00A37C5F">
        <w:rPr>
          <w:rFonts w:ascii="Arial" w:hAnsi="Arial" w:cs="Arial"/>
          <w:lang w:val="es-ES_tradnl" w:bidi="si-LK"/>
        </w:rPr>
        <w:tab/>
      </w:r>
    </w:p>
    <w:p w:rsidR="00DF42D8" w:rsidRPr="00795F91" w:rsidRDefault="00DF42D8" w:rsidP="00DF42D8">
      <w:pPr>
        <w:tabs>
          <w:tab w:val="left" w:pos="5787"/>
        </w:tabs>
        <w:autoSpaceDE w:val="0"/>
        <w:autoSpaceDN w:val="0"/>
        <w:adjustRightInd w:val="0"/>
        <w:spacing w:after="0"/>
        <w:jc w:val="both"/>
        <w:rPr>
          <w:rFonts w:ascii="Arial" w:hAnsi="Arial" w:cs="Arial"/>
          <w:lang w:bidi="si-LK"/>
        </w:rPr>
      </w:pPr>
    </w:p>
    <w:p w:rsidR="00DF42D8" w:rsidRPr="00CC1783" w:rsidRDefault="00DF42D8" w:rsidP="00DF42D8">
      <w:pPr>
        <w:pStyle w:val="ListParagraph"/>
        <w:numPr>
          <w:ilvl w:val="2"/>
          <w:numId w:val="26"/>
        </w:numPr>
        <w:autoSpaceDE w:val="0"/>
        <w:autoSpaceDN w:val="0"/>
        <w:adjustRightInd w:val="0"/>
        <w:spacing w:after="0"/>
        <w:ind w:left="720"/>
        <w:jc w:val="both"/>
        <w:rPr>
          <w:rFonts w:ascii="Arial" w:hAnsi="Arial" w:cs="Arial"/>
          <w:lang w:val="es-CO" w:bidi="si-LK"/>
        </w:rPr>
      </w:pPr>
      <w:r w:rsidRPr="00CC1783">
        <w:rPr>
          <w:rFonts w:ascii="Arial" w:hAnsi="Arial" w:cs="Arial"/>
          <w:b/>
          <w:lang w:val="es-CO"/>
        </w:rPr>
        <w:t>Jornada</w:t>
      </w:r>
      <w:r w:rsidRPr="00CC1783">
        <w:rPr>
          <w:rFonts w:ascii="Arial" w:hAnsi="Arial" w:cs="Arial"/>
          <w:b/>
          <w:bCs/>
          <w:lang w:val="es-ES_tradnl" w:bidi="si-LK"/>
        </w:rPr>
        <w:t xml:space="preserve"> Única</w:t>
      </w:r>
      <w:r w:rsidRPr="00CC1783">
        <w:rPr>
          <w:rFonts w:ascii="Arial" w:hAnsi="Arial" w:cs="Arial"/>
          <w:lang w:val="es-ES_tradnl" w:bidi="si-LK"/>
        </w:rPr>
        <w:t xml:space="preserve">, tiene como objetivo el </w:t>
      </w:r>
      <w:r w:rsidRPr="00CC1783">
        <w:rPr>
          <w:rFonts w:ascii="Arial" w:hAnsi="Arial" w:cs="Arial"/>
          <w:lang w:val="es-CO" w:bidi="si-LK"/>
        </w:rPr>
        <w:t>aumento del tiempo dedicado a la realización de actividades pedagógicas, para fortalecimiento de competencias básicas y ciudadanas,  en los niveles de Preescolar, básica (primaria y secundaria) y media. Entre las actividades a desarrollas en el marco de este subcomponente se encuentran; (i) acompañamiento in situ, a las instituciones  educativas oficiales en el proceso de implementación de la Jornada Única, en relación con el componente pedagógico; (ii) talleres para ajustar el Proyecto Educativo Institucional PEI en sus planes de estudio, sistemas de evaluación y promoción escolar; (iii) seguimiento del índice sintético de calidad, en sus 4 componentes (Progreso, Desempeño, Eficiencia y Ambiente Escolar)</w:t>
      </w:r>
      <w:r>
        <w:rPr>
          <w:rFonts w:ascii="Arial" w:hAnsi="Arial" w:cs="Arial"/>
          <w:lang w:val="es-CO" w:bidi="si-LK"/>
        </w:rPr>
        <w:t>.</w:t>
      </w:r>
    </w:p>
    <w:p w:rsidR="00DF42D8" w:rsidRPr="00976B55" w:rsidRDefault="00DF42D8" w:rsidP="00DF42D8">
      <w:pPr>
        <w:autoSpaceDE w:val="0"/>
        <w:autoSpaceDN w:val="0"/>
        <w:adjustRightInd w:val="0"/>
        <w:spacing w:after="0"/>
        <w:jc w:val="both"/>
        <w:rPr>
          <w:rFonts w:ascii="Arial" w:hAnsi="Arial" w:cs="Arial"/>
          <w:lang w:val="es-CO" w:bidi="si-LK"/>
        </w:rPr>
      </w:pPr>
    </w:p>
    <w:p w:rsidR="00DF42D8" w:rsidRPr="002A3F45" w:rsidRDefault="00DF42D8" w:rsidP="00DF42D8">
      <w:pPr>
        <w:pStyle w:val="ListParagraph"/>
        <w:numPr>
          <w:ilvl w:val="2"/>
          <w:numId w:val="26"/>
        </w:numPr>
        <w:autoSpaceDE w:val="0"/>
        <w:autoSpaceDN w:val="0"/>
        <w:adjustRightInd w:val="0"/>
        <w:spacing w:after="0"/>
        <w:ind w:left="720"/>
        <w:jc w:val="both"/>
        <w:rPr>
          <w:rFonts w:ascii="Arial" w:hAnsi="Arial" w:cs="Arial"/>
          <w:lang w:val="es-CO" w:bidi="si-LK"/>
        </w:rPr>
      </w:pPr>
      <w:r w:rsidRPr="00CC1783">
        <w:rPr>
          <w:rFonts w:ascii="Arial" w:hAnsi="Arial" w:cs="Arial"/>
          <w:b/>
          <w:bCs/>
          <w:lang w:val="es-ES_tradnl" w:bidi="si-LK"/>
        </w:rPr>
        <w:t xml:space="preserve">Gestión Pedagógica, </w:t>
      </w:r>
      <w:r w:rsidRPr="00CC1783">
        <w:rPr>
          <w:rFonts w:ascii="Arial" w:hAnsi="Arial" w:cs="Arial"/>
          <w:lang w:val="es-ES_tradnl" w:bidi="si-LK"/>
        </w:rPr>
        <w:t xml:space="preserve">por su parte, </w:t>
      </w:r>
      <w:r w:rsidRPr="00CC1783">
        <w:rPr>
          <w:rFonts w:ascii="Arial" w:hAnsi="Arial" w:cs="Arial"/>
          <w:lang w:val="es-ES" w:bidi="si-LK"/>
        </w:rPr>
        <w:t xml:space="preserve">busca </w:t>
      </w:r>
      <w:r w:rsidRPr="00CC1783">
        <w:rPr>
          <w:rFonts w:ascii="Arial" w:hAnsi="Arial" w:cs="Arial"/>
          <w:lang w:val="es-CO" w:bidi="si-LK"/>
        </w:rPr>
        <w:t>desarrollar en el profesorado y el estudiantado competencias para la reflexión de la práctica pedagógica, la investigación en el aula, la generación de experiencias significativas, los procesos de lectura, escritura, uso de las TIC y la transferencia del conocimiento. Todo ello  para facilitar la mejora en los procesos formativos, las competencias básicas, ciudadanas y laborales, elementos constitutivos de la calidad educativa. La gestión pedagógica  está direccionada a transformar las competencias que tienen los docentes y estudiantes a partir del acompañamiento situado de manera que se puedan reestructurar las prácticas pedagógicas considerando las propuestas del Proyecto Educativo Institucional, las necesidades de las comunidades y los referentes para un Proyecto Educativo de Ciudad  que trascienda la calidad de la educación en los contextos urbanos, rurales y la atención a  poblaciones.</w:t>
      </w:r>
    </w:p>
    <w:p w:rsidR="00DF42D8" w:rsidRPr="00976B55" w:rsidRDefault="00DF42D8" w:rsidP="00DF42D8">
      <w:pPr>
        <w:autoSpaceDE w:val="0"/>
        <w:autoSpaceDN w:val="0"/>
        <w:adjustRightInd w:val="0"/>
        <w:spacing w:after="0"/>
        <w:jc w:val="both"/>
        <w:rPr>
          <w:rFonts w:ascii="Arial" w:hAnsi="Arial" w:cs="Arial"/>
          <w:lang w:val="es-CO" w:bidi="si-LK"/>
        </w:rPr>
      </w:pPr>
    </w:p>
    <w:p w:rsidR="00DF42D8" w:rsidRPr="002A3F45" w:rsidRDefault="00DF42D8" w:rsidP="00DF42D8">
      <w:pPr>
        <w:pStyle w:val="ListParagraph"/>
        <w:numPr>
          <w:ilvl w:val="2"/>
          <w:numId w:val="26"/>
        </w:numPr>
        <w:autoSpaceDE w:val="0"/>
        <w:autoSpaceDN w:val="0"/>
        <w:adjustRightInd w:val="0"/>
        <w:spacing w:after="0"/>
        <w:ind w:left="720"/>
        <w:jc w:val="both"/>
        <w:rPr>
          <w:rFonts w:ascii="Arial" w:hAnsi="Arial" w:cs="Arial"/>
          <w:lang w:val="es-ES_tradnl" w:bidi="si-LK"/>
        </w:rPr>
      </w:pPr>
      <w:r w:rsidRPr="002A3F45">
        <w:rPr>
          <w:rFonts w:ascii="Arial" w:hAnsi="Arial" w:cs="Arial"/>
          <w:b/>
          <w:bCs/>
          <w:lang w:val="es-ES_tradnl" w:bidi="si-LK"/>
        </w:rPr>
        <w:t xml:space="preserve">Liderazgo escolar para la Excelencia Académica, </w:t>
      </w:r>
      <w:r w:rsidRPr="002A3F45">
        <w:rPr>
          <w:rFonts w:ascii="Arial" w:hAnsi="Arial" w:cs="Arial"/>
          <w:lang w:val="es-CO" w:bidi="si-LK"/>
        </w:rPr>
        <w:t>financiará estrategias que faciliten el fortalecimiento  de la gestión escolar y organizacional de las Instituciones educativas, de las zonas educativas y de la SEM, en</w:t>
      </w:r>
      <w:r>
        <w:rPr>
          <w:rFonts w:ascii="Arial" w:hAnsi="Arial" w:cs="Arial"/>
          <w:lang w:val="es-CO" w:bidi="si-LK"/>
        </w:rPr>
        <w:t xml:space="preserve"> sus componentes administrativo, </w:t>
      </w:r>
      <w:r w:rsidRPr="002A3F45">
        <w:rPr>
          <w:rFonts w:ascii="Arial" w:hAnsi="Arial" w:cs="Arial"/>
          <w:lang w:val="es-CO" w:bidi="si-LK"/>
        </w:rPr>
        <w:t>financiero, directivo y de evaluación de los resultados de la gestión a través del enfoque por procesos.</w:t>
      </w:r>
    </w:p>
    <w:p w:rsidR="00DF42D8" w:rsidRPr="00976B55" w:rsidRDefault="00DF42D8" w:rsidP="00DF42D8">
      <w:pPr>
        <w:autoSpaceDE w:val="0"/>
        <w:autoSpaceDN w:val="0"/>
        <w:adjustRightInd w:val="0"/>
        <w:spacing w:after="0"/>
        <w:jc w:val="both"/>
        <w:rPr>
          <w:rFonts w:ascii="Arial" w:hAnsi="Arial" w:cs="Arial"/>
          <w:lang w:val="es-CO" w:bidi="si-LK"/>
        </w:rPr>
      </w:pPr>
    </w:p>
    <w:p w:rsidR="00DF42D8" w:rsidRPr="004C5885" w:rsidRDefault="00DF42D8" w:rsidP="00DF42D8">
      <w:pPr>
        <w:pStyle w:val="ListParagraph"/>
        <w:numPr>
          <w:ilvl w:val="1"/>
          <w:numId w:val="26"/>
        </w:numPr>
        <w:tabs>
          <w:tab w:val="left" w:pos="5787"/>
        </w:tabs>
        <w:autoSpaceDE w:val="0"/>
        <w:autoSpaceDN w:val="0"/>
        <w:adjustRightInd w:val="0"/>
        <w:spacing w:after="0"/>
        <w:ind w:left="510" w:hanging="510"/>
        <w:jc w:val="both"/>
        <w:rPr>
          <w:rFonts w:ascii="Arial" w:hAnsi="Arial" w:cs="Arial"/>
          <w:lang w:val="es-CO" w:bidi="si-LK"/>
        </w:rPr>
      </w:pPr>
      <w:r w:rsidRPr="004C5885">
        <w:rPr>
          <w:rFonts w:ascii="Arial" w:hAnsi="Arial" w:cs="Arial"/>
          <w:b/>
          <w:lang w:val="es-CO"/>
        </w:rPr>
        <w:t>Componente</w:t>
      </w:r>
      <w:r w:rsidRPr="004C5885">
        <w:rPr>
          <w:rFonts w:ascii="Arial" w:hAnsi="Arial" w:cs="Arial"/>
          <w:b/>
          <w:lang w:val="es-ES_tradnl" w:bidi="si-LK"/>
        </w:rPr>
        <w:t xml:space="preserve"> 4. </w:t>
      </w:r>
      <w:r w:rsidRPr="004C5885">
        <w:rPr>
          <w:rFonts w:ascii="Arial" w:hAnsi="Arial" w:cs="Arial"/>
          <w:b/>
          <w:bCs/>
          <w:lang w:val="es-ES_tradnl" w:bidi="si-LK"/>
        </w:rPr>
        <w:t xml:space="preserve">La Escuela es Mi Comunidad. </w:t>
      </w:r>
      <w:r w:rsidRPr="004C5885">
        <w:rPr>
          <w:rFonts w:ascii="Arial" w:hAnsi="Arial" w:cs="Arial"/>
          <w:lang w:val="es-CO" w:bidi="si-LK"/>
        </w:rPr>
        <w:t xml:space="preserve">Este componente financiará la definición e implementación de mecanismos para acercar la escuela a su entorno y comunidad y hacer de ésta un espacio abierto en el que confluyan los distintos actores de las comunidades educativas para mejorar la calidad educativa. Este </w:t>
      </w:r>
      <w:r w:rsidRPr="004C5885">
        <w:rPr>
          <w:rFonts w:ascii="Arial" w:hAnsi="Arial" w:cs="Arial"/>
          <w:lang w:val="es-CO" w:bidi="si-LK"/>
        </w:rPr>
        <w:lastRenderedPageBreak/>
        <w:t xml:space="preserve">componente se ejecutará, prioritariamente, en los TIOs y </w:t>
      </w:r>
      <w:r>
        <w:rPr>
          <w:rFonts w:ascii="Arial" w:hAnsi="Arial" w:cs="Arial"/>
          <w:lang w:val="es-ES_tradnl" w:bidi="si-LK"/>
        </w:rPr>
        <w:t>se divide</w:t>
      </w:r>
      <w:r w:rsidRPr="004C5885">
        <w:rPr>
          <w:rFonts w:ascii="Arial" w:hAnsi="Arial" w:cs="Arial"/>
          <w:lang w:val="es-ES_tradnl" w:bidi="si-LK"/>
        </w:rPr>
        <w:t xml:space="preserve"> en dos subcomponentes</w:t>
      </w:r>
      <w:r>
        <w:rPr>
          <w:rFonts w:ascii="Arial" w:hAnsi="Arial" w:cs="Arial"/>
          <w:lang w:val="es-ES_tradnl" w:bidi="si-LK"/>
        </w:rPr>
        <w:t>.</w:t>
      </w:r>
    </w:p>
    <w:p w:rsidR="00DF42D8" w:rsidRPr="004C5885" w:rsidRDefault="00DF42D8" w:rsidP="00DF42D8">
      <w:pPr>
        <w:pStyle w:val="ListParagraph"/>
        <w:rPr>
          <w:rFonts w:ascii="Arial" w:hAnsi="Arial" w:cs="Arial"/>
          <w:lang w:val="es-CO" w:bidi="si-LK"/>
        </w:rPr>
      </w:pPr>
    </w:p>
    <w:p w:rsidR="00DF42D8" w:rsidRPr="008343BF" w:rsidRDefault="00DF42D8" w:rsidP="00DF42D8">
      <w:pPr>
        <w:pStyle w:val="ListParagraph"/>
        <w:numPr>
          <w:ilvl w:val="2"/>
          <w:numId w:val="26"/>
        </w:numPr>
        <w:autoSpaceDE w:val="0"/>
        <w:autoSpaceDN w:val="0"/>
        <w:adjustRightInd w:val="0"/>
        <w:spacing w:after="0"/>
        <w:ind w:left="720"/>
        <w:jc w:val="both"/>
        <w:rPr>
          <w:rFonts w:ascii="Arial" w:hAnsi="Arial" w:cs="Arial"/>
          <w:lang w:val="es-CO" w:bidi="si-LK"/>
        </w:rPr>
      </w:pPr>
      <w:r w:rsidRPr="008343BF">
        <w:rPr>
          <w:rFonts w:ascii="Arial" w:hAnsi="Arial" w:cs="Arial"/>
          <w:b/>
          <w:bCs/>
          <w:lang w:val="es-ES_tradnl" w:bidi="si-LK"/>
        </w:rPr>
        <w:t>Educación con Cultura</w:t>
      </w:r>
      <w:r>
        <w:rPr>
          <w:rFonts w:ascii="Arial" w:hAnsi="Arial" w:cs="Arial"/>
          <w:b/>
          <w:bCs/>
          <w:lang w:val="es-ES_tradnl" w:bidi="si-LK"/>
        </w:rPr>
        <w:t>,</w:t>
      </w:r>
      <w:r w:rsidRPr="008343BF">
        <w:rPr>
          <w:rFonts w:ascii="Arial" w:hAnsi="Arial" w:cs="Arial"/>
          <w:b/>
          <w:bCs/>
          <w:lang w:val="es-ES_tradnl" w:bidi="si-LK"/>
        </w:rPr>
        <w:t xml:space="preserve"> </w:t>
      </w:r>
      <w:r w:rsidRPr="008343BF">
        <w:rPr>
          <w:rFonts w:ascii="Arial" w:hAnsi="Arial" w:cs="Arial"/>
          <w:lang w:val="es-ES" w:bidi="si-LK"/>
        </w:rPr>
        <w:t xml:space="preserve">busca </w:t>
      </w:r>
      <w:r w:rsidRPr="008343BF">
        <w:rPr>
          <w:rFonts w:ascii="Arial" w:hAnsi="Arial" w:cs="Arial"/>
          <w:lang w:val="es-CO" w:bidi="si-LK"/>
        </w:rPr>
        <w:t xml:space="preserve">mejorar la calidad y la oferta educativa integral incorporando procesos culturales y artísticos para mejorar las competencias </w:t>
      </w:r>
      <w:r w:rsidRPr="008343BF">
        <w:rPr>
          <w:rFonts w:ascii="Arial" w:hAnsi="Arial" w:cs="Arial"/>
          <w:lang w:val="es-ES" w:bidi="si-LK"/>
        </w:rPr>
        <w:t>básicas de los estudiantes, acercar la escuela a la comunidad y fortalecer la comunidad educativa</w:t>
      </w:r>
      <w:r w:rsidRPr="008343BF">
        <w:rPr>
          <w:rFonts w:ascii="Arial" w:hAnsi="Arial" w:cs="Arial"/>
          <w:lang w:val="es-CO" w:bidi="si-LK"/>
        </w:rPr>
        <w:t>. Este objetivo se realizar</w:t>
      </w:r>
      <w:r w:rsidRPr="008343BF">
        <w:rPr>
          <w:rFonts w:ascii="Arial" w:hAnsi="Arial" w:cs="Arial"/>
          <w:lang w:val="es-ES" w:bidi="si-LK"/>
        </w:rPr>
        <w:t xml:space="preserve">á a través de las siguientes actividades: (i) </w:t>
      </w:r>
      <w:r w:rsidRPr="008343BF">
        <w:rPr>
          <w:rFonts w:ascii="Arial" w:hAnsi="Arial" w:cs="Arial"/>
          <w:lang w:val="es-CO" w:bidi="si-LK"/>
        </w:rPr>
        <w:t>integración</w:t>
      </w:r>
      <w:r w:rsidRPr="008343BF">
        <w:rPr>
          <w:rFonts w:ascii="Arial" w:hAnsi="Arial" w:cs="Arial"/>
          <w:lang w:val="es-ES" w:bidi="si-LK"/>
        </w:rPr>
        <w:t xml:space="preserve"> de la Oferta Educativa, Cultural y Deportiva; (ii) programas culturales escolares; (iii) programas culturales comunitarios; (iv) programas culturales con docentes.</w:t>
      </w:r>
    </w:p>
    <w:p w:rsidR="00DF42D8" w:rsidRPr="00976B55" w:rsidRDefault="00DF42D8" w:rsidP="00DF42D8">
      <w:pPr>
        <w:tabs>
          <w:tab w:val="left" w:pos="5787"/>
        </w:tabs>
        <w:autoSpaceDE w:val="0"/>
        <w:autoSpaceDN w:val="0"/>
        <w:adjustRightInd w:val="0"/>
        <w:spacing w:after="0"/>
        <w:jc w:val="both"/>
        <w:rPr>
          <w:rFonts w:ascii="Arial" w:hAnsi="Arial" w:cs="Arial"/>
          <w:lang w:val="es-CO" w:bidi="si-LK"/>
        </w:rPr>
      </w:pPr>
    </w:p>
    <w:p w:rsidR="00DF42D8" w:rsidRPr="00322871" w:rsidRDefault="00DF42D8" w:rsidP="00DF42D8">
      <w:pPr>
        <w:pStyle w:val="ListParagraph"/>
        <w:numPr>
          <w:ilvl w:val="2"/>
          <w:numId w:val="26"/>
        </w:numPr>
        <w:autoSpaceDE w:val="0"/>
        <w:autoSpaceDN w:val="0"/>
        <w:adjustRightInd w:val="0"/>
        <w:spacing w:after="0"/>
        <w:ind w:left="720"/>
        <w:jc w:val="both"/>
        <w:rPr>
          <w:rFonts w:ascii="Arial" w:hAnsi="Arial" w:cs="Arial"/>
          <w:lang w:val="es-ES" w:bidi="si-LK"/>
        </w:rPr>
      </w:pPr>
      <w:r w:rsidRPr="00322871">
        <w:rPr>
          <w:rFonts w:ascii="Arial" w:hAnsi="Arial" w:cs="Arial"/>
          <w:b/>
          <w:bCs/>
          <w:lang w:val="es-ES_tradnl" w:bidi="si-LK"/>
        </w:rPr>
        <w:t xml:space="preserve">Educación con Deporte, </w:t>
      </w:r>
      <w:r w:rsidRPr="00322871">
        <w:rPr>
          <w:rFonts w:ascii="Arial" w:hAnsi="Arial" w:cs="Arial"/>
          <w:lang w:val="es-ES" w:bidi="si-LK"/>
        </w:rPr>
        <w:t>busca fomentar el deporte, la educación física en las instituciones</w:t>
      </w:r>
      <w:r w:rsidRPr="00322871">
        <w:rPr>
          <w:rFonts w:ascii="Arial" w:hAnsi="Arial" w:cs="Arial"/>
          <w:b/>
          <w:bCs/>
          <w:lang w:val="es-ES" w:bidi="si-LK"/>
        </w:rPr>
        <w:t xml:space="preserve"> </w:t>
      </w:r>
      <w:r w:rsidRPr="00322871">
        <w:rPr>
          <w:rFonts w:ascii="Arial" w:hAnsi="Arial" w:cs="Arial"/>
          <w:lang w:val="es-ES" w:bidi="si-LK"/>
        </w:rPr>
        <w:t>educativas en sectores vulnerables y la utilización de su potencial para el desarrollo de contenidos formativos, pedagógicos y transformadores que apoyen el entorno escolar. Para ellos se realizarán las siguientes actividades: (i) mejoramiento de infraestructura deportiva; (ii) programas deportivos con comunidad; (iii) programas deportivos para transformación y primera infancia; (iv) programas deportivos intra y extra escolares; (v) dirección de programas deportivos; (vi) suministros y medición de programas deportivos</w:t>
      </w:r>
    </w:p>
    <w:p w:rsidR="00DF42D8" w:rsidRPr="00322871" w:rsidRDefault="00DF42D8" w:rsidP="00DF42D8">
      <w:pPr>
        <w:tabs>
          <w:tab w:val="left" w:pos="5787"/>
        </w:tabs>
        <w:autoSpaceDE w:val="0"/>
        <w:autoSpaceDN w:val="0"/>
        <w:adjustRightInd w:val="0"/>
        <w:spacing w:after="0"/>
        <w:jc w:val="both"/>
        <w:rPr>
          <w:rFonts w:ascii="Arial" w:hAnsi="Arial" w:cs="Arial"/>
          <w:lang w:val="es-ES" w:bidi="si-LK"/>
        </w:rPr>
      </w:pPr>
    </w:p>
    <w:p w:rsidR="00DF42D8" w:rsidRPr="00976B55"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Default="00DF42D8" w:rsidP="00DF42D8">
      <w:pPr>
        <w:tabs>
          <w:tab w:val="left" w:pos="5787"/>
        </w:tabs>
        <w:autoSpaceDE w:val="0"/>
        <w:autoSpaceDN w:val="0"/>
        <w:adjustRightInd w:val="0"/>
        <w:spacing w:after="0"/>
        <w:jc w:val="both"/>
        <w:rPr>
          <w:rFonts w:ascii="Arial" w:hAnsi="Arial" w:cs="Arial"/>
          <w:lang w:val="es-CO" w:bidi="si-LK"/>
        </w:rPr>
      </w:pPr>
    </w:p>
    <w:p w:rsidR="00DF42D8" w:rsidRPr="00976B55" w:rsidRDefault="00DF42D8" w:rsidP="00DF42D8">
      <w:pPr>
        <w:tabs>
          <w:tab w:val="left" w:pos="5787"/>
        </w:tabs>
        <w:autoSpaceDE w:val="0"/>
        <w:autoSpaceDN w:val="0"/>
        <w:adjustRightInd w:val="0"/>
        <w:spacing w:after="0"/>
        <w:jc w:val="both"/>
        <w:rPr>
          <w:rFonts w:ascii="Arial" w:hAnsi="Arial" w:cs="Arial"/>
          <w:lang w:val="es-CO" w:bidi="si-LK"/>
        </w:rPr>
        <w:sectPr w:rsidR="00DF42D8" w:rsidRPr="00976B55">
          <w:pgSz w:w="12240" w:h="15840"/>
          <w:pgMar w:top="1417" w:right="1701" w:bottom="1417" w:left="1701" w:header="708" w:footer="708" w:gutter="0"/>
          <w:cols w:space="708"/>
          <w:docGrid w:linePitch="360"/>
        </w:sectPr>
      </w:pPr>
    </w:p>
    <w:p w:rsidR="00DF42D8" w:rsidRPr="00F103AB" w:rsidRDefault="00DF42D8" w:rsidP="00DF42D8">
      <w:pPr>
        <w:pStyle w:val="ListParagraph"/>
        <w:numPr>
          <w:ilvl w:val="1"/>
          <w:numId w:val="26"/>
        </w:numPr>
        <w:tabs>
          <w:tab w:val="left" w:pos="5787"/>
        </w:tabs>
        <w:autoSpaceDE w:val="0"/>
        <w:autoSpaceDN w:val="0"/>
        <w:adjustRightInd w:val="0"/>
        <w:spacing w:after="0"/>
        <w:ind w:left="510" w:hanging="510"/>
        <w:jc w:val="both"/>
        <w:rPr>
          <w:rFonts w:ascii="Arial" w:hAnsi="Arial" w:cs="Arial"/>
          <w:lang w:val="es-CO" w:bidi="si-LK"/>
        </w:rPr>
      </w:pPr>
      <w:r w:rsidRPr="00063DB8">
        <w:rPr>
          <w:rFonts w:ascii="Arial" w:hAnsi="Arial" w:cs="Arial"/>
          <w:b/>
          <w:lang w:val="es-CO"/>
        </w:rPr>
        <w:lastRenderedPageBreak/>
        <w:t>Costo del Proyecto</w:t>
      </w:r>
      <w:r w:rsidRPr="00063DB8">
        <w:rPr>
          <w:rFonts w:ascii="Arial" w:hAnsi="Arial" w:cs="Arial"/>
          <w:lang w:val="es-CO" w:bidi="si-LK"/>
        </w:rPr>
        <w:t>. La Tabla siguiente resume los costos del Proyecto seg</w:t>
      </w:r>
      <w:r>
        <w:rPr>
          <w:rFonts w:ascii="Arial" w:hAnsi="Arial" w:cs="Arial"/>
          <w:lang w:val="es-CO" w:bidi="si-LK"/>
        </w:rPr>
        <w:t>ún sus componentes y fuentes de financiación.</w:t>
      </w:r>
    </w:p>
    <w:p w:rsidR="00DF42D8" w:rsidRPr="00063DB8" w:rsidRDefault="00DF42D8" w:rsidP="00DF42D8">
      <w:pPr>
        <w:tabs>
          <w:tab w:val="left" w:pos="5787"/>
        </w:tabs>
        <w:autoSpaceDE w:val="0"/>
        <w:autoSpaceDN w:val="0"/>
        <w:adjustRightInd w:val="0"/>
        <w:spacing w:after="0"/>
        <w:jc w:val="both"/>
        <w:rPr>
          <w:rFonts w:ascii="Arial" w:hAnsi="Arial" w:cs="Arial"/>
          <w:lang w:val="es-ES" w:bidi="si-LK"/>
        </w:rPr>
      </w:pPr>
    </w:p>
    <w:p w:rsidR="00DF42D8" w:rsidRPr="00F103AB" w:rsidRDefault="00DF42D8" w:rsidP="00DF42D8">
      <w:pPr>
        <w:rPr>
          <w:rFonts w:ascii="Arial" w:hAnsi="Arial" w:cs="Arial"/>
          <w:lang w:bidi="si-LK"/>
        </w:rPr>
      </w:pPr>
      <w:r w:rsidRPr="00F103AB">
        <w:rPr>
          <w:noProof/>
          <w:lang w:val="es-CO" w:eastAsia="es-CO"/>
        </w:rPr>
        <w:drawing>
          <wp:inline distT="0" distB="0" distL="0" distR="0" wp14:anchorId="0F5EEB22" wp14:editId="476F1EFD">
            <wp:extent cx="5612130" cy="4511763"/>
            <wp:effectExtent l="0" t="0" r="7620" b="3175"/>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2130" cy="4511763"/>
                    </a:xfrm>
                    <a:prstGeom prst="rect">
                      <a:avLst/>
                    </a:prstGeom>
                    <a:noFill/>
                    <a:ln>
                      <a:noFill/>
                    </a:ln>
                  </pic:spPr>
                </pic:pic>
              </a:graphicData>
            </a:graphic>
          </wp:inline>
        </w:drawing>
      </w:r>
    </w:p>
    <w:p w:rsidR="00DF42D8" w:rsidRDefault="00DF42D8" w:rsidP="00DF42D8">
      <w:pPr>
        <w:autoSpaceDE w:val="0"/>
        <w:autoSpaceDN w:val="0"/>
        <w:adjustRightInd w:val="0"/>
        <w:spacing w:after="0"/>
        <w:rPr>
          <w:rFonts w:ascii="Arial" w:hAnsi="Arial" w:cs="Arial"/>
          <w:lang w:bidi="si-LK"/>
        </w:rPr>
      </w:pPr>
    </w:p>
    <w:p w:rsidR="00DF42D8" w:rsidRDefault="00DF42D8" w:rsidP="00DF42D8">
      <w:pPr>
        <w:autoSpaceDE w:val="0"/>
        <w:autoSpaceDN w:val="0"/>
        <w:adjustRightInd w:val="0"/>
        <w:spacing w:after="0"/>
        <w:rPr>
          <w:rFonts w:ascii="Arial" w:hAnsi="Arial" w:cs="Arial"/>
          <w:lang w:bidi="si-LK"/>
        </w:rPr>
      </w:pPr>
    </w:p>
    <w:p w:rsidR="00DF42D8" w:rsidRDefault="00DF42D8" w:rsidP="00DF42D8">
      <w:pPr>
        <w:autoSpaceDE w:val="0"/>
        <w:autoSpaceDN w:val="0"/>
        <w:adjustRightInd w:val="0"/>
        <w:spacing w:after="0"/>
        <w:rPr>
          <w:rFonts w:ascii="Arial" w:hAnsi="Arial" w:cs="Arial"/>
          <w:lang w:bidi="si-LK"/>
        </w:rPr>
      </w:pPr>
    </w:p>
    <w:p w:rsidR="00C06B88" w:rsidRDefault="00C06B8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DF42D8" w:rsidRDefault="00DF42D8" w:rsidP="003E7EEE">
      <w:pPr>
        <w:spacing w:after="0" w:line="20" w:lineRule="atLeast"/>
        <w:jc w:val="both"/>
        <w:rPr>
          <w:rFonts w:ascii="Arial" w:hAnsi="Arial" w:cs="Arial"/>
          <w:b/>
          <w:lang w:val="es-ES"/>
        </w:rPr>
      </w:pPr>
    </w:p>
    <w:p w:rsidR="00FA3663" w:rsidRDefault="00FA3663" w:rsidP="003E7EEE">
      <w:pPr>
        <w:spacing w:after="0" w:line="20" w:lineRule="atLeast"/>
        <w:jc w:val="both"/>
        <w:rPr>
          <w:rFonts w:ascii="Arial" w:hAnsi="Arial" w:cs="Arial"/>
          <w:b/>
          <w:lang w:val="es-ES"/>
        </w:rPr>
      </w:pPr>
    </w:p>
    <w:p w:rsidR="00C06B88" w:rsidRDefault="00C06B88" w:rsidP="003E7EEE">
      <w:pPr>
        <w:spacing w:after="0" w:line="20" w:lineRule="atLeast"/>
        <w:jc w:val="both"/>
        <w:rPr>
          <w:rFonts w:ascii="Arial" w:hAnsi="Arial" w:cs="Arial"/>
          <w:b/>
          <w:lang w:val="es-ES"/>
        </w:rPr>
      </w:pPr>
    </w:p>
    <w:p w:rsidR="00C06B88" w:rsidRDefault="00C06B88" w:rsidP="00C06B88">
      <w:pPr>
        <w:spacing w:after="0" w:line="20" w:lineRule="atLeast"/>
        <w:jc w:val="right"/>
        <w:rPr>
          <w:rFonts w:ascii="Arial" w:hAnsi="Arial" w:cs="Arial"/>
          <w:b/>
          <w:lang w:val="es-MX"/>
        </w:rPr>
      </w:pPr>
      <w:r>
        <w:rPr>
          <w:rFonts w:ascii="Arial" w:hAnsi="Arial" w:cs="Arial"/>
          <w:b/>
          <w:lang w:val="es-MX"/>
        </w:rPr>
        <w:lastRenderedPageBreak/>
        <w:t>ANEXO I-a</w:t>
      </w:r>
    </w:p>
    <w:p w:rsidR="00C06B88" w:rsidRDefault="00C06B88" w:rsidP="00C06B88">
      <w:pPr>
        <w:spacing w:after="0" w:line="20" w:lineRule="atLeast"/>
        <w:jc w:val="right"/>
        <w:rPr>
          <w:rFonts w:ascii="Arial" w:hAnsi="Arial" w:cs="Arial"/>
          <w:b/>
          <w:lang w:val="es-MX"/>
        </w:rPr>
      </w:pPr>
    </w:p>
    <w:p w:rsidR="00C06B88" w:rsidRDefault="00C06B88" w:rsidP="00C06B88">
      <w:pPr>
        <w:spacing w:after="0" w:line="20" w:lineRule="atLeast"/>
        <w:jc w:val="right"/>
        <w:rPr>
          <w:rFonts w:ascii="Arial" w:hAnsi="Arial" w:cs="Arial"/>
          <w:b/>
          <w:lang w:val="es-MX"/>
        </w:rPr>
      </w:pPr>
    </w:p>
    <w:p w:rsidR="00C06B88" w:rsidRDefault="00C06B88" w:rsidP="00C06B88">
      <w:pPr>
        <w:spacing w:after="0" w:line="20" w:lineRule="atLeast"/>
        <w:contextualSpacing/>
        <w:jc w:val="center"/>
        <w:outlineLvl w:val="0"/>
        <w:rPr>
          <w:rFonts w:ascii="Arial" w:eastAsia="Times New Roman" w:hAnsi="Arial" w:cs="Arial"/>
          <w:b/>
          <w:bCs/>
          <w:smallCaps/>
          <w:spacing w:val="5"/>
          <w:lang w:val="es-ES" w:bidi="en-US"/>
        </w:rPr>
      </w:pPr>
      <w:r>
        <w:rPr>
          <w:rFonts w:ascii="Arial" w:eastAsia="Times New Roman" w:hAnsi="Arial" w:cs="Arial"/>
          <w:b/>
          <w:bCs/>
          <w:smallCaps/>
          <w:spacing w:val="5"/>
          <w:lang w:val="es-ES" w:bidi="en-US"/>
        </w:rPr>
        <w:t xml:space="preserve">COLOMBIA </w:t>
      </w:r>
    </w:p>
    <w:p w:rsidR="00C06B88" w:rsidRDefault="00C06B88" w:rsidP="00C06B88">
      <w:pPr>
        <w:spacing w:after="0" w:line="20" w:lineRule="atLeast"/>
        <w:jc w:val="center"/>
        <w:rPr>
          <w:rFonts w:ascii="Arial" w:hAnsi="Arial" w:cs="Arial"/>
          <w:b/>
          <w:bCs/>
          <w:lang w:val="es-ES_tradnl"/>
        </w:rPr>
      </w:pPr>
      <w:r>
        <w:rPr>
          <w:rFonts w:ascii="Arial" w:hAnsi="Arial" w:cs="Arial"/>
          <w:b/>
          <w:bCs/>
          <w:lang w:val="es-ES_tradnl"/>
        </w:rPr>
        <w:t>Tercer Programa de Fortalecimiento Fiscal y del Gasto en Inversión Pública Subnacional III (CO-L1165)</w:t>
      </w:r>
    </w:p>
    <w:p w:rsidR="00C06B88" w:rsidRDefault="00C06B88" w:rsidP="00C06B88">
      <w:pPr>
        <w:spacing w:after="0" w:line="20" w:lineRule="atLeast"/>
        <w:jc w:val="center"/>
        <w:rPr>
          <w:rFonts w:ascii="Arial" w:hAnsi="Arial" w:cs="Arial"/>
          <w:bCs/>
          <w:lang w:val="es-ES_tradnl"/>
        </w:rPr>
      </w:pPr>
    </w:p>
    <w:p w:rsidR="00C06B88" w:rsidRPr="00196C02" w:rsidRDefault="00C06B88" w:rsidP="00C06B88">
      <w:pPr>
        <w:spacing w:after="0" w:line="20" w:lineRule="atLeast"/>
        <w:jc w:val="center"/>
        <w:rPr>
          <w:rFonts w:ascii="Arial" w:hAnsi="Arial" w:cs="Arial"/>
          <w:b/>
          <w:i/>
          <w:lang w:val="es-ES"/>
        </w:rPr>
      </w:pPr>
      <w:r w:rsidRPr="00703C81">
        <w:rPr>
          <w:rFonts w:ascii="Arial" w:hAnsi="Arial" w:cs="Arial"/>
          <w:b/>
          <w:i/>
          <w:lang w:val="es-ES"/>
        </w:rPr>
        <w:t>Balance Fiscal</w:t>
      </w:r>
    </w:p>
    <w:p w:rsidR="00C06B88" w:rsidRDefault="00C06B88" w:rsidP="00C06B88">
      <w:pPr>
        <w:spacing w:after="0" w:line="20" w:lineRule="atLeast"/>
        <w:jc w:val="center"/>
        <w:rPr>
          <w:rFonts w:ascii="Arial" w:hAnsi="Arial" w:cs="Arial"/>
          <w:lang w:val="es-AR"/>
        </w:rPr>
      </w:pPr>
      <w:r w:rsidRPr="00196C02">
        <w:rPr>
          <w:rFonts w:ascii="Arial" w:hAnsi="Arial" w:cs="Arial"/>
          <w:lang w:val="es-AR"/>
        </w:rPr>
        <w:t>(en millones de pesos corrientes)</w:t>
      </w:r>
    </w:p>
    <w:p w:rsidR="00C06B88" w:rsidRDefault="00C06B88" w:rsidP="00C06B88">
      <w:pPr>
        <w:spacing w:after="0" w:line="20" w:lineRule="atLeast"/>
        <w:jc w:val="center"/>
        <w:rPr>
          <w:rFonts w:ascii="Arial" w:hAnsi="Arial" w:cs="Arial"/>
          <w:lang w:val="es-AR"/>
        </w:rPr>
      </w:pPr>
    </w:p>
    <w:p w:rsidR="00C06B88" w:rsidRDefault="00C06B88" w:rsidP="00C06B88">
      <w:pPr>
        <w:spacing w:after="0" w:line="20" w:lineRule="atLeast"/>
        <w:jc w:val="center"/>
        <w:rPr>
          <w:rFonts w:ascii="Arial" w:hAnsi="Arial" w:cs="Arial"/>
          <w:lang w:val="es-AR"/>
        </w:rPr>
      </w:pPr>
    </w:p>
    <w:p w:rsidR="00C06B88" w:rsidRPr="00C06B88" w:rsidRDefault="00C06B88" w:rsidP="003E7EEE">
      <w:pPr>
        <w:spacing w:after="0" w:line="20" w:lineRule="atLeast"/>
        <w:jc w:val="both"/>
        <w:rPr>
          <w:rFonts w:ascii="Arial" w:hAnsi="Arial" w:cs="Arial"/>
          <w:b/>
          <w:lang w:val="es-AR"/>
        </w:rPr>
      </w:pPr>
      <w:r>
        <w:rPr>
          <w:rFonts w:ascii="Times New Roman" w:hAnsi="Times New Roman"/>
          <w:noProof/>
          <w:lang w:val="es-CO" w:eastAsia="es-CO"/>
        </w:rPr>
        <w:drawing>
          <wp:inline distT="0" distB="0" distL="0" distR="0">
            <wp:extent cx="5612130" cy="376720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2130" cy="3767202"/>
                    </a:xfrm>
                    <a:prstGeom prst="rect">
                      <a:avLst/>
                    </a:prstGeom>
                    <a:noFill/>
                    <a:ln>
                      <a:noFill/>
                    </a:ln>
                  </pic:spPr>
                </pic:pic>
              </a:graphicData>
            </a:graphic>
          </wp:inline>
        </w:drawing>
      </w:r>
    </w:p>
    <w:p w:rsidR="00C06B88" w:rsidRDefault="00C06B88" w:rsidP="003E7EEE">
      <w:pPr>
        <w:spacing w:after="0" w:line="20" w:lineRule="atLeast"/>
        <w:jc w:val="both"/>
        <w:rPr>
          <w:rFonts w:ascii="Arial" w:hAnsi="Arial" w:cs="Arial"/>
          <w:b/>
          <w:lang w:val="es-ES"/>
        </w:rPr>
      </w:pPr>
    </w:p>
    <w:p w:rsidR="00C06B88" w:rsidRDefault="00C06B88" w:rsidP="003E7EEE">
      <w:pPr>
        <w:spacing w:after="0" w:line="20" w:lineRule="atLeast"/>
        <w:jc w:val="both"/>
        <w:rPr>
          <w:rFonts w:ascii="Arial" w:hAnsi="Arial" w:cs="Arial"/>
          <w:b/>
          <w:lang w:val="es-ES"/>
        </w:rPr>
      </w:pPr>
    </w:p>
    <w:p w:rsidR="00C06B88" w:rsidRDefault="00C06B88" w:rsidP="003E7EEE">
      <w:pPr>
        <w:spacing w:after="0" w:line="20" w:lineRule="atLeast"/>
        <w:jc w:val="both"/>
        <w:rPr>
          <w:rFonts w:ascii="Arial" w:hAnsi="Arial" w:cs="Arial"/>
          <w:b/>
          <w:lang w:val="es-ES"/>
        </w:rPr>
      </w:pPr>
    </w:p>
    <w:p w:rsidR="00C06B88" w:rsidRDefault="00C06B88" w:rsidP="003E7EEE">
      <w:pPr>
        <w:spacing w:after="0" w:line="20" w:lineRule="atLeast"/>
        <w:jc w:val="both"/>
        <w:rPr>
          <w:rFonts w:ascii="Arial" w:hAnsi="Arial" w:cs="Arial"/>
          <w:b/>
          <w:lang w:val="es-ES"/>
        </w:rPr>
      </w:pPr>
    </w:p>
    <w:p w:rsidR="00FA3663" w:rsidRDefault="00FA3663">
      <w:pPr>
        <w:rPr>
          <w:rFonts w:ascii="Arial" w:hAnsi="Arial" w:cs="Arial"/>
          <w:b/>
          <w:lang w:val="es-ES"/>
        </w:rPr>
      </w:pPr>
      <w:r>
        <w:rPr>
          <w:rFonts w:ascii="Arial" w:hAnsi="Arial" w:cs="Arial"/>
          <w:b/>
          <w:lang w:val="es-ES"/>
        </w:rPr>
        <w:br w:type="page"/>
      </w:r>
    </w:p>
    <w:p w:rsidR="00FA3663" w:rsidRDefault="00FA3663" w:rsidP="00FA3663">
      <w:pPr>
        <w:spacing w:after="0" w:line="20" w:lineRule="atLeast"/>
        <w:jc w:val="right"/>
        <w:rPr>
          <w:rFonts w:ascii="Arial" w:hAnsi="Arial" w:cs="Arial"/>
          <w:b/>
          <w:lang w:val="es-MX"/>
        </w:rPr>
      </w:pPr>
      <w:r w:rsidRPr="00196C02">
        <w:rPr>
          <w:rFonts w:ascii="Arial" w:hAnsi="Arial" w:cs="Arial"/>
          <w:b/>
          <w:lang w:val="es-MX"/>
        </w:rPr>
        <w:lastRenderedPageBreak/>
        <w:t>ANEXO II-</w:t>
      </w:r>
      <w:r>
        <w:rPr>
          <w:rFonts w:ascii="Arial" w:hAnsi="Arial" w:cs="Arial"/>
          <w:b/>
          <w:lang w:val="es-MX"/>
        </w:rPr>
        <w:t>a</w:t>
      </w:r>
    </w:p>
    <w:p w:rsidR="00FA3663" w:rsidRDefault="00FA3663" w:rsidP="00FA3663">
      <w:pPr>
        <w:spacing w:after="0" w:line="20" w:lineRule="atLeast"/>
        <w:contextualSpacing/>
        <w:jc w:val="center"/>
        <w:outlineLvl w:val="0"/>
        <w:rPr>
          <w:rFonts w:ascii="Arial" w:eastAsia="Times New Roman" w:hAnsi="Arial" w:cs="Arial"/>
          <w:b/>
          <w:bCs/>
          <w:smallCaps/>
          <w:spacing w:val="5"/>
          <w:lang w:val="es-ES" w:bidi="en-US"/>
        </w:rPr>
      </w:pPr>
    </w:p>
    <w:p w:rsidR="00FA3663" w:rsidRDefault="00FA3663" w:rsidP="00FA3663">
      <w:pPr>
        <w:spacing w:after="0" w:line="20" w:lineRule="atLeast"/>
        <w:contextualSpacing/>
        <w:jc w:val="center"/>
        <w:outlineLvl w:val="0"/>
        <w:rPr>
          <w:rFonts w:ascii="Arial" w:eastAsia="Times New Roman" w:hAnsi="Arial" w:cs="Arial"/>
          <w:b/>
          <w:bCs/>
          <w:smallCaps/>
          <w:spacing w:val="5"/>
          <w:lang w:val="es-ES" w:bidi="en-US"/>
        </w:rPr>
      </w:pPr>
    </w:p>
    <w:p w:rsidR="00FA3663" w:rsidRPr="00196C02" w:rsidRDefault="00FA3663" w:rsidP="00FA3663">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rsidR="00FA3663" w:rsidRDefault="00FA3663" w:rsidP="00FA3663">
      <w:pPr>
        <w:spacing w:after="0" w:line="20" w:lineRule="atLeast"/>
        <w:jc w:val="center"/>
        <w:rPr>
          <w:rFonts w:ascii="Arial" w:hAnsi="Arial" w:cs="Arial"/>
          <w:b/>
          <w:bCs/>
          <w:lang w:val="es-ES_tradnl"/>
        </w:rPr>
      </w:pPr>
      <w:r>
        <w:rPr>
          <w:rFonts w:ascii="Arial" w:hAnsi="Arial" w:cs="Arial"/>
          <w:b/>
          <w:bCs/>
          <w:lang w:val="es-ES_tradnl"/>
        </w:rPr>
        <w:t>Tercer</w:t>
      </w:r>
      <w:r w:rsidRPr="00196C02">
        <w:rPr>
          <w:rFonts w:ascii="Arial" w:hAnsi="Arial" w:cs="Arial"/>
          <w:b/>
          <w:bCs/>
          <w:lang w:val="es-ES_tradnl"/>
        </w:rPr>
        <w:t xml:space="preserve"> Programa de Fortalecimiento Fiscal y del Gasto en Inversión </w:t>
      </w:r>
      <w:r>
        <w:rPr>
          <w:rFonts w:ascii="Arial" w:hAnsi="Arial" w:cs="Arial"/>
          <w:b/>
          <w:bCs/>
          <w:lang w:val="es-ES_tradnl"/>
        </w:rPr>
        <w:t>Subnacional III</w:t>
      </w:r>
      <w:r w:rsidRPr="00196C02">
        <w:rPr>
          <w:rFonts w:ascii="Arial" w:hAnsi="Arial" w:cs="Arial"/>
          <w:b/>
          <w:bCs/>
          <w:lang w:val="es-ES_tradnl"/>
        </w:rPr>
        <w:t xml:space="preserve"> </w:t>
      </w:r>
    </w:p>
    <w:p w:rsidR="00FA3663" w:rsidRDefault="00FA3663" w:rsidP="00FA3663">
      <w:pPr>
        <w:spacing w:after="0" w:line="20" w:lineRule="atLeast"/>
        <w:jc w:val="center"/>
        <w:rPr>
          <w:rFonts w:ascii="Arial" w:hAnsi="Arial" w:cs="Arial"/>
          <w:b/>
          <w:bCs/>
          <w:lang w:val="es-ES_tradnl"/>
        </w:rPr>
      </w:pPr>
      <w:r w:rsidRPr="00196C02">
        <w:rPr>
          <w:rFonts w:ascii="Arial" w:hAnsi="Arial" w:cs="Arial"/>
          <w:b/>
          <w:bCs/>
          <w:lang w:val="es-ES_tradnl"/>
        </w:rPr>
        <w:t>(CO-L11</w:t>
      </w:r>
      <w:r>
        <w:rPr>
          <w:rFonts w:ascii="Arial" w:hAnsi="Arial" w:cs="Arial"/>
          <w:b/>
          <w:bCs/>
          <w:lang w:val="es-ES_tradnl"/>
        </w:rPr>
        <w:t>6</w:t>
      </w:r>
      <w:r w:rsidRPr="00196C02">
        <w:rPr>
          <w:rFonts w:ascii="Arial" w:hAnsi="Arial" w:cs="Arial"/>
          <w:b/>
          <w:bCs/>
          <w:lang w:val="es-ES_tradnl"/>
        </w:rPr>
        <w:t>5)</w:t>
      </w:r>
    </w:p>
    <w:p w:rsidR="00FA3663" w:rsidRPr="00196C02" w:rsidRDefault="00FA3663" w:rsidP="00FA3663">
      <w:pPr>
        <w:spacing w:after="0" w:line="20" w:lineRule="atLeast"/>
        <w:jc w:val="center"/>
        <w:rPr>
          <w:rFonts w:ascii="Arial" w:hAnsi="Arial" w:cs="Arial"/>
          <w:bCs/>
          <w:lang w:val="es-ES_tradnl"/>
        </w:rPr>
      </w:pPr>
    </w:p>
    <w:p w:rsidR="00FA3663" w:rsidRDefault="00FA3663" w:rsidP="00FA3663">
      <w:pPr>
        <w:tabs>
          <w:tab w:val="left" w:pos="1710"/>
        </w:tabs>
        <w:spacing w:after="0" w:line="20" w:lineRule="atLeast"/>
        <w:jc w:val="center"/>
        <w:rPr>
          <w:rFonts w:ascii="Arial" w:hAnsi="Arial" w:cs="Arial"/>
          <w:b/>
          <w:i/>
          <w:lang w:val="es-ES"/>
        </w:rPr>
      </w:pPr>
      <w:r w:rsidRPr="00196C02">
        <w:rPr>
          <w:rFonts w:ascii="Arial" w:hAnsi="Arial" w:cs="Arial"/>
          <w:b/>
          <w:i/>
          <w:lang w:val="es-ES"/>
        </w:rPr>
        <w:t>Ficha de Identificación de Proyectos de Inversión</w:t>
      </w:r>
    </w:p>
    <w:p w:rsidR="00FA3663" w:rsidRPr="00196C02" w:rsidRDefault="00FA3663" w:rsidP="00FA3663">
      <w:pPr>
        <w:tabs>
          <w:tab w:val="left" w:pos="1710"/>
        </w:tabs>
        <w:spacing w:after="0" w:line="20" w:lineRule="atLeast"/>
        <w:jc w:val="center"/>
        <w:rPr>
          <w:rFonts w:ascii="Arial" w:hAnsi="Arial" w:cs="Arial"/>
          <w:b/>
          <w:i/>
          <w:lang w:val="es-ES"/>
        </w:rPr>
      </w:pPr>
    </w:p>
    <w:p w:rsidR="00FA3663" w:rsidRDefault="00FA3663" w:rsidP="00FA3663">
      <w:pPr>
        <w:numPr>
          <w:ilvl w:val="0"/>
          <w:numId w:val="40"/>
        </w:numPr>
        <w:spacing w:after="0" w:line="20" w:lineRule="atLeast"/>
        <w:jc w:val="both"/>
        <w:rPr>
          <w:rFonts w:ascii="Arial" w:hAnsi="Arial" w:cs="Arial"/>
          <w:b/>
          <w:lang w:val="es-ES"/>
        </w:rPr>
      </w:pPr>
      <w:r w:rsidRPr="00196C02">
        <w:rPr>
          <w:rFonts w:ascii="Arial" w:hAnsi="Arial" w:cs="Arial"/>
          <w:b/>
          <w:lang w:val="es-ES"/>
        </w:rPr>
        <w:t xml:space="preserve">Información Básica del Proyecto </w:t>
      </w:r>
    </w:p>
    <w:p w:rsidR="00FA3663" w:rsidRPr="00196C02" w:rsidRDefault="00FA3663" w:rsidP="00FA3663">
      <w:pPr>
        <w:spacing w:after="0" w:line="20" w:lineRule="atLeast"/>
        <w:ind w:left="360"/>
        <w:jc w:val="both"/>
        <w:rPr>
          <w:rFonts w:ascii="Arial" w:hAnsi="Arial" w:cs="Arial"/>
          <w:b/>
          <w:lang w:val="es-ES"/>
        </w:rPr>
      </w:pPr>
    </w:p>
    <w:tbl>
      <w:tblPr>
        <w:tblStyle w:val="TableGrid1"/>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FA3663" w:rsidRPr="00FF08AF"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Nombre del Proyecto:</w:t>
            </w:r>
          </w:p>
        </w:tc>
        <w:tc>
          <w:tcPr>
            <w:tcW w:w="4428" w:type="dxa"/>
          </w:tcPr>
          <w:p w:rsidR="00FA3663" w:rsidRPr="00196C02" w:rsidRDefault="00805E01" w:rsidP="005F7004">
            <w:pPr>
              <w:spacing w:line="20" w:lineRule="atLeast"/>
              <w:jc w:val="both"/>
              <w:rPr>
                <w:rFonts w:ascii="Arial" w:hAnsi="Arial" w:cs="Arial"/>
                <w:lang w:val="es-ES"/>
              </w:rPr>
            </w:pPr>
            <w:r w:rsidRPr="00805E01">
              <w:rPr>
                <w:rFonts w:ascii="Arial" w:hAnsi="Arial" w:cs="Arial"/>
                <w:lang w:val="es-ES"/>
              </w:rPr>
              <w:t>Adecuación y mantenimiento de infraestructura escolar</w:t>
            </w:r>
          </w:p>
        </w:tc>
      </w:tr>
      <w:tr w:rsidR="00FA3663" w:rsidRPr="00196C02"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Ciudad:</w:t>
            </w:r>
          </w:p>
        </w:tc>
        <w:tc>
          <w:tcPr>
            <w:tcW w:w="4428" w:type="dxa"/>
          </w:tcPr>
          <w:p w:rsidR="00FA3663" w:rsidRPr="00196C02" w:rsidRDefault="00FA3663" w:rsidP="00805E01">
            <w:pPr>
              <w:spacing w:line="20" w:lineRule="atLeast"/>
              <w:jc w:val="both"/>
              <w:rPr>
                <w:rFonts w:ascii="Arial" w:hAnsi="Arial" w:cs="Arial"/>
                <w:lang w:val="es-ES"/>
              </w:rPr>
            </w:pPr>
            <w:r>
              <w:rPr>
                <w:rFonts w:ascii="Arial" w:hAnsi="Arial" w:cs="Arial"/>
                <w:lang w:val="es-ES"/>
              </w:rPr>
              <w:t>Ca</w:t>
            </w:r>
            <w:r w:rsidR="00805E01">
              <w:rPr>
                <w:rFonts w:ascii="Arial" w:hAnsi="Arial" w:cs="Arial"/>
                <w:lang w:val="es-ES"/>
              </w:rPr>
              <w:t>li</w:t>
            </w:r>
          </w:p>
        </w:tc>
      </w:tr>
      <w:tr w:rsidR="00FA3663" w:rsidRPr="00FF08AF"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 xml:space="preserve">Entidad Responsable (Gobierno Local, Agencia o Empresa) </w:t>
            </w:r>
          </w:p>
        </w:tc>
        <w:tc>
          <w:tcPr>
            <w:tcW w:w="4428" w:type="dxa"/>
          </w:tcPr>
          <w:p w:rsidR="00FA3663" w:rsidRPr="00330982" w:rsidRDefault="00FA3663" w:rsidP="00805E01">
            <w:pPr>
              <w:spacing w:line="20" w:lineRule="atLeast"/>
              <w:rPr>
                <w:rFonts w:ascii="Arial" w:hAnsi="Arial" w:cs="Arial"/>
                <w:lang w:val="es-ES"/>
              </w:rPr>
            </w:pPr>
            <w:r>
              <w:rPr>
                <w:rFonts w:ascii="Arial" w:hAnsi="Arial" w:cs="Arial"/>
                <w:lang w:val="es-ES"/>
              </w:rPr>
              <w:t xml:space="preserve">Secretaría de </w:t>
            </w:r>
            <w:r w:rsidR="00805E01">
              <w:rPr>
                <w:rFonts w:ascii="Arial" w:hAnsi="Arial" w:cs="Arial"/>
                <w:lang w:val="es-ES"/>
              </w:rPr>
              <w:t>Educació</w:t>
            </w:r>
            <w:r>
              <w:rPr>
                <w:rFonts w:ascii="Arial" w:hAnsi="Arial" w:cs="Arial"/>
                <w:lang w:val="es-ES"/>
              </w:rPr>
              <w:t>n de Ca</w:t>
            </w:r>
            <w:r w:rsidR="00805E01">
              <w:rPr>
                <w:rFonts w:ascii="Arial" w:hAnsi="Arial" w:cs="Arial"/>
                <w:lang w:val="es-ES"/>
              </w:rPr>
              <w:t>li</w:t>
            </w:r>
          </w:p>
        </w:tc>
      </w:tr>
      <w:tr w:rsidR="00FA3663" w:rsidRPr="00196C02" w:rsidTr="005F7004">
        <w:tc>
          <w:tcPr>
            <w:tcW w:w="4140" w:type="dxa"/>
          </w:tcPr>
          <w:p w:rsidR="00FA3663" w:rsidRPr="00196C02" w:rsidDel="00B513CC" w:rsidRDefault="00FA3663" w:rsidP="005F7004">
            <w:pPr>
              <w:spacing w:line="20" w:lineRule="atLeast"/>
              <w:ind w:left="180"/>
              <w:jc w:val="both"/>
              <w:rPr>
                <w:rFonts w:ascii="Arial" w:hAnsi="Arial" w:cs="Arial"/>
                <w:lang w:val="es-ES"/>
              </w:rPr>
            </w:pPr>
            <w:r w:rsidRPr="00196C02">
              <w:rPr>
                <w:rFonts w:ascii="Arial" w:hAnsi="Arial" w:cs="Arial"/>
                <w:lang w:val="es-ES"/>
              </w:rPr>
              <w:t>Agencia Ejecutora:</w:t>
            </w:r>
          </w:p>
        </w:tc>
        <w:tc>
          <w:tcPr>
            <w:tcW w:w="4428" w:type="dxa"/>
          </w:tcPr>
          <w:p w:rsidR="00FA3663" w:rsidRPr="00196C02" w:rsidRDefault="00805E01" w:rsidP="005F7004">
            <w:pPr>
              <w:spacing w:line="20" w:lineRule="atLeast"/>
              <w:rPr>
                <w:rFonts w:ascii="Arial" w:hAnsi="Arial" w:cs="Arial"/>
              </w:rPr>
            </w:pPr>
            <w:r>
              <w:rPr>
                <w:rFonts w:ascii="Arial" w:hAnsi="Arial" w:cs="Arial"/>
              </w:rPr>
              <w:t>División de Inversión Pú</w:t>
            </w:r>
            <w:r w:rsidR="00FA3663">
              <w:rPr>
                <w:rFonts w:ascii="Arial" w:hAnsi="Arial" w:cs="Arial"/>
              </w:rPr>
              <w:t>blica</w:t>
            </w:r>
          </w:p>
        </w:tc>
      </w:tr>
      <w:tr w:rsidR="00FA3663" w:rsidRPr="00196C02"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Costo total del proyecto o programa (en miles de USD):</w:t>
            </w:r>
          </w:p>
        </w:tc>
        <w:tc>
          <w:tcPr>
            <w:tcW w:w="4428" w:type="dxa"/>
          </w:tcPr>
          <w:p w:rsidR="00FA3663" w:rsidRPr="002D105B" w:rsidRDefault="002F6EF2" w:rsidP="002F6EF2">
            <w:pPr>
              <w:spacing w:line="20" w:lineRule="atLeast"/>
              <w:ind w:left="360"/>
              <w:jc w:val="right"/>
              <w:rPr>
                <w:rFonts w:ascii="Arial" w:hAnsi="Arial" w:cs="Arial"/>
                <w:lang w:val="es-ES"/>
              </w:rPr>
            </w:pPr>
            <w:r>
              <w:rPr>
                <w:rFonts w:ascii="Arial" w:hAnsi="Arial" w:cs="Arial"/>
                <w:lang w:val="es-ES"/>
              </w:rPr>
              <w:t>18,7</w:t>
            </w:r>
            <w:r w:rsidR="00FA3663">
              <w:rPr>
                <w:rFonts w:ascii="Arial" w:hAnsi="Arial" w:cs="Arial"/>
                <w:lang w:val="es-ES"/>
              </w:rPr>
              <w:t>00.00</w:t>
            </w:r>
          </w:p>
        </w:tc>
      </w:tr>
      <w:tr w:rsidR="00FA3663" w:rsidRPr="00196C02"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Necesidad de Financiamiento: (en miles de USD)</w:t>
            </w:r>
          </w:p>
        </w:tc>
        <w:tc>
          <w:tcPr>
            <w:tcW w:w="4428" w:type="dxa"/>
          </w:tcPr>
          <w:p w:rsidR="00FA3663" w:rsidRPr="002D105B" w:rsidRDefault="00FA3663" w:rsidP="002F6EF2">
            <w:pPr>
              <w:spacing w:line="20" w:lineRule="atLeast"/>
              <w:ind w:left="360"/>
              <w:jc w:val="right"/>
              <w:rPr>
                <w:rFonts w:ascii="Arial" w:hAnsi="Arial" w:cs="Arial"/>
                <w:lang w:val="es-ES"/>
              </w:rPr>
            </w:pPr>
            <w:r>
              <w:rPr>
                <w:rFonts w:ascii="Arial" w:hAnsi="Arial" w:cs="Arial"/>
                <w:lang w:val="es-ES"/>
              </w:rPr>
              <w:t>18,</w:t>
            </w:r>
            <w:r w:rsidR="002F6EF2">
              <w:rPr>
                <w:rFonts w:ascii="Arial" w:hAnsi="Arial" w:cs="Arial"/>
                <w:lang w:val="es-ES"/>
              </w:rPr>
              <w:t>7</w:t>
            </w:r>
            <w:r>
              <w:rPr>
                <w:rFonts w:ascii="Arial" w:hAnsi="Arial" w:cs="Arial"/>
                <w:lang w:val="es-ES"/>
              </w:rPr>
              <w:t>00.00</w:t>
            </w:r>
          </w:p>
        </w:tc>
      </w:tr>
      <w:tr w:rsidR="00FA3663" w:rsidRPr="00643F15"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Contrapartida Local: (en miles de USD)</w:t>
            </w:r>
          </w:p>
        </w:tc>
        <w:tc>
          <w:tcPr>
            <w:tcW w:w="4428" w:type="dxa"/>
          </w:tcPr>
          <w:p w:rsidR="00FA3663" w:rsidRPr="002D105B" w:rsidRDefault="00FA3663" w:rsidP="005F7004">
            <w:pPr>
              <w:spacing w:line="20" w:lineRule="atLeast"/>
              <w:ind w:left="360"/>
              <w:jc w:val="right"/>
              <w:rPr>
                <w:rFonts w:ascii="Arial" w:hAnsi="Arial" w:cs="Arial"/>
                <w:lang w:val="es-ES"/>
              </w:rPr>
            </w:pPr>
            <w:r>
              <w:rPr>
                <w:rFonts w:ascii="Arial" w:hAnsi="Arial" w:cs="Arial"/>
                <w:lang w:val="es-ES"/>
              </w:rPr>
              <w:t>N/A</w:t>
            </w:r>
          </w:p>
        </w:tc>
      </w:tr>
      <w:tr w:rsidR="00FA3663" w:rsidRPr="00196C02"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Periodo de Desembolso (incluye periodo de ejecución):</w:t>
            </w:r>
          </w:p>
        </w:tc>
        <w:tc>
          <w:tcPr>
            <w:tcW w:w="4428" w:type="dxa"/>
          </w:tcPr>
          <w:p w:rsidR="00FA3663" w:rsidRPr="002D105B" w:rsidRDefault="002F6EF2" w:rsidP="005F7004">
            <w:pPr>
              <w:spacing w:line="20" w:lineRule="atLeast"/>
              <w:ind w:left="360"/>
              <w:jc w:val="right"/>
              <w:rPr>
                <w:rFonts w:ascii="Arial" w:hAnsi="Arial" w:cs="Arial"/>
                <w:lang w:val="es-ES"/>
              </w:rPr>
            </w:pPr>
            <w:r>
              <w:rPr>
                <w:rFonts w:ascii="Arial" w:hAnsi="Arial" w:cs="Arial"/>
                <w:lang w:val="es-ES"/>
              </w:rPr>
              <w:t xml:space="preserve">40 </w:t>
            </w:r>
            <w:r w:rsidR="00FA3663">
              <w:rPr>
                <w:rFonts w:ascii="Arial" w:hAnsi="Arial" w:cs="Arial"/>
                <w:lang w:val="es-ES"/>
              </w:rPr>
              <w:t>meses</w:t>
            </w:r>
          </w:p>
        </w:tc>
      </w:tr>
      <w:tr w:rsidR="00FA3663" w:rsidRPr="00196C02" w:rsidTr="005F7004">
        <w:tc>
          <w:tcPr>
            <w:tcW w:w="4140" w:type="dxa"/>
          </w:tcPr>
          <w:p w:rsidR="00FA3663" w:rsidRPr="00196C02" w:rsidRDefault="00FA3663" w:rsidP="005F7004">
            <w:pPr>
              <w:spacing w:line="20" w:lineRule="atLeast"/>
              <w:ind w:left="180"/>
              <w:jc w:val="both"/>
              <w:rPr>
                <w:rFonts w:ascii="Arial" w:hAnsi="Arial" w:cs="Arial"/>
                <w:lang w:val="es-ES"/>
              </w:rPr>
            </w:pPr>
            <w:r w:rsidRPr="00196C02">
              <w:rPr>
                <w:rFonts w:ascii="Arial" w:hAnsi="Arial" w:cs="Arial"/>
                <w:lang w:val="es-ES"/>
              </w:rPr>
              <w:t xml:space="preserve">Fecha de Inicio: </w:t>
            </w:r>
          </w:p>
        </w:tc>
        <w:tc>
          <w:tcPr>
            <w:tcW w:w="4428" w:type="dxa"/>
          </w:tcPr>
          <w:p w:rsidR="00FA3663" w:rsidRPr="002D105B" w:rsidRDefault="00FA3663" w:rsidP="005F7004">
            <w:pPr>
              <w:spacing w:line="20" w:lineRule="atLeast"/>
              <w:ind w:left="360"/>
              <w:jc w:val="right"/>
              <w:rPr>
                <w:rFonts w:ascii="Arial" w:hAnsi="Arial" w:cs="Arial"/>
                <w:lang w:val="es-ES"/>
              </w:rPr>
            </w:pPr>
            <w:r>
              <w:rPr>
                <w:rFonts w:ascii="Arial" w:hAnsi="Arial" w:cs="Arial"/>
                <w:lang w:val="es-ES"/>
              </w:rPr>
              <w:t>201</w:t>
            </w:r>
            <w:r w:rsidR="002F6EF2">
              <w:rPr>
                <w:rFonts w:ascii="Arial" w:hAnsi="Arial" w:cs="Arial"/>
                <w:lang w:val="es-ES"/>
              </w:rPr>
              <w:t>9</w:t>
            </w:r>
          </w:p>
        </w:tc>
      </w:tr>
    </w:tbl>
    <w:p w:rsidR="00FA3663" w:rsidRDefault="00FA3663" w:rsidP="00FA3663">
      <w:pPr>
        <w:spacing w:after="0" w:line="20" w:lineRule="atLeast"/>
        <w:ind w:left="360"/>
        <w:rPr>
          <w:rFonts w:ascii="Arial" w:hAnsi="Arial" w:cs="Arial"/>
          <w:b/>
          <w:lang w:val="es-ES"/>
        </w:rPr>
      </w:pPr>
    </w:p>
    <w:p w:rsidR="00FA3663" w:rsidRDefault="00FA3663" w:rsidP="00FA3663">
      <w:pPr>
        <w:numPr>
          <w:ilvl w:val="0"/>
          <w:numId w:val="40"/>
        </w:numPr>
        <w:spacing w:after="0" w:line="20" w:lineRule="atLeast"/>
        <w:rPr>
          <w:rFonts w:ascii="Arial" w:hAnsi="Arial" w:cs="Arial"/>
          <w:b/>
          <w:lang w:val="es-ES"/>
        </w:rPr>
      </w:pPr>
      <w:r w:rsidRPr="00196C02">
        <w:rPr>
          <w:rFonts w:ascii="Arial" w:hAnsi="Arial" w:cs="Arial"/>
          <w:b/>
          <w:lang w:val="es-ES"/>
        </w:rPr>
        <w:t xml:space="preserve">Descripción Básica del Proyecto </w:t>
      </w:r>
    </w:p>
    <w:p w:rsidR="00FA3663" w:rsidRPr="00196C02" w:rsidRDefault="00FA3663" w:rsidP="00FA3663">
      <w:pPr>
        <w:spacing w:after="0" w:line="20" w:lineRule="atLeast"/>
        <w:ind w:left="360"/>
        <w:rPr>
          <w:rFonts w:ascii="Arial" w:hAnsi="Arial" w:cs="Arial"/>
          <w:b/>
          <w:lang w:val="es-ES"/>
        </w:rPr>
      </w:pPr>
    </w:p>
    <w:p w:rsidR="00FA3663" w:rsidRPr="00DC6D2E" w:rsidRDefault="00FA3663" w:rsidP="00FA3663">
      <w:pPr>
        <w:numPr>
          <w:ilvl w:val="1"/>
          <w:numId w:val="40"/>
        </w:numPr>
        <w:spacing w:after="0" w:line="20" w:lineRule="atLeast"/>
        <w:ind w:hanging="540"/>
        <w:contextualSpacing/>
        <w:jc w:val="both"/>
        <w:rPr>
          <w:rFonts w:ascii="Arial" w:hAnsi="Arial" w:cs="Arial"/>
          <w:lang w:val="es-MX"/>
        </w:rPr>
      </w:pPr>
      <w:r w:rsidRPr="004F1234">
        <w:rPr>
          <w:rFonts w:ascii="Arial" w:hAnsi="Arial" w:cs="Arial"/>
          <w:b/>
          <w:lang w:val="es-ES"/>
        </w:rPr>
        <w:t>Problema.</w:t>
      </w:r>
      <w:r>
        <w:rPr>
          <w:rFonts w:ascii="Arial" w:hAnsi="Arial" w:cs="Arial"/>
          <w:b/>
          <w:lang w:val="es-ES"/>
        </w:rPr>
        <w:t xml:space="preserve"> </w:t>
      </w:r>
      <w:r w:rsidR="005B387B" w:rsidRPr="005B387B">
        <w:rPr>
          <w:rFonts w:ascii="Arial" w:hAnsi="Arial" w:cs="Arial"/>
          <w:lang w:val="es-ES"/>
        </w:rPr>
        <w:t>En las últimas décadas, Colombia ha logrado avances importantes en materia de escolaridad de la población, especialmente en los niveles de secundaria y media. En la primera, la tasa de cobertura neta pasó del 67% al 74% entre 2005 y 2013. En media, la cobertura neta pasó del 40% al 47% durante el mismo período. El 80,5% de los niños de 4 y 5 años asisten al preescolar, y la cobertura neta de la básica primaria alcanza el 90%. Prácticamente todos los niños acceden y completan la educación básica primaria (grados 1 a 5) y acceden a la básica secundaria (grados 6 a 9). Se ha logrado que todos los niños y jóvenes en el área rural accedan y se mantengan en el sistema educativo hasta alcanzar la básica secundaria, aunque más de la mitad aún no logra terminarla.</w:t>
      </w:r>
      <w:r w:rsidR="005B387B">
        <w:rPr>
          <w:rFonts w:ascii="Arial" w:hAnsi="Arial" w:cs="Arial"/>
          <w:lang w:val="es-ES"/>
        </w:rPr>
        <w:t xml:space="preserve"> </w:t>
      </w:r>
      <w:r w:rsidR="005B387B" w:rsidRPr="005B387B">
        <w:rPr>
          <w:rFonts w:ascii="Arial" w:hAnsi="Arial" w:cs="Arial"/>
          <w:lang w:val="es-ES"/>
        </w:rPr>
        <w:t>Si bien el acceso al servicio educativo constituye uno de los principales objetivos de la política educativa la permanencia representa un factor esencial para asegurar el cumplimiento del derecho a la educación. Revisando la evolución entre 2011 y 2015 de la tasa deserción intra-anual muestra una ligera caída, que se sitúa entre 0,5 puntos porcentuales y 1 punto porcentual, en primaria y media respectivamente. Para el año 2013 la deserción escolar en los establecimientos educativos de Cali se situó por debajo del promedio nacional, que ascendió a 4,1% en primaria, 5,7%en secundaria y 3,9% en media. En cuanto a las diferencias por sexo, se observa que en todos los niveles educativos la deserción escolar es mayor en los niños</w:t>
      </w:r>
      <w:r w:rsidR="005B387B">
        <w:rPr>
          <w:rFonts w:ascii="Arial" w:hAnsi="Arial" w:cs="Arial"/>
          <w:lang w:val="es-ES"/>
        </w:rPr>
        <w:t>.</w:t>
      </w:r>
    </w:p>
    <w:p w:rsidR="00FA3663" w:rsidRPr="00196C02" w:rsidRDefault="00FA3663" w:rsidP="00FA3663">
      <w:pPr>
        <w:pStyle w:val="ListParagraph"/>
        <w:spacing w:after="0" w:line="20" w:lineRule="atLeast"/>
        <w:rPr>
          <w:rFonts w:ascii="Arial" w:hAnsi="Arial" w:cs="Arial"/>
          <w:lang w:val="es-ES_tradnl"/>
        </w:rPr>
      </w:pPr>
    </w:p>
    <w:p w:rsidR="00FA3663" w:rsidRDefault="00FA3663" w:rsidP="00FA3663">
      <w:pPr>
        <w:numPr>
          <w:ilvl w:val="1"/>
          <w:numId w:val="40"/>
        </w:numPr>
        <w:spacing w:after="0" w:line="20" w:lineRule="atLeast"/>
        <w:ind w:hanging="540"/>
        <w:contextualSpacing/>
        <w:jc w:val="both"/>
        <w:rPr>
          <w:rFonts w:ascii="Arial" w:hAnsi="Arial" w:cs="Arial"/>
          <w:lang w:val="es-ES"/>
        </w:rPr>
      </w:pPr>
      <w:r w:rsidRPr="00196C02">
        <w:rPr>
          <w:rFonts w:ascii="Arial" w:hAnsi="Arial" w:cs="Arial"/>
          <w:b/>
          <w:lang w:val="es-ES"/>
        </w:rPr>
        <w:t xml:space="preserve">Objetivo: </w:t>
      </w:r>
      <w:r w:rsidR="005B387B" w:rsidRPr="005B387B">
        <w:rPr>
          <w:rFonts w:ascii="Arial" w:hAnsi="Arial" w:cs="Arial"/>
          <w:lang w:val="es-ES"/>
        </w:rPr>
        <w:t xml:space="preserve">El objetivo general del Plan de Inversiones de la ciudad es contribuir a la mejora de la sostenibilidad fiscal, el fortalecimiento institucional y la infraestructura y calidad de la </w:t>
      </w:r>
      <w:r w:rsidR="005B387B" w:rsidRPr="005B387B">
        <w:rPr>
          <w:rFonts w:ascii="Arial" w:hAnsi="Arial" w:cs="Arial"/>
          <w:lang w:val="es-ES"/>
        </w:rPr>
        <w:lastRenderedPageBreak/>
        <w:t>educación del municipio de Santiago de Cali. Los objetivos específicos de esta operación son: (i) mejorar el desempeño fiscal en términos de ingresos, gasto público y gestión financiera; (ii) Mejoramiento y Calidad del servicio  educativo</w:t>
      </w:r>
      <w:r>
        <w:rPr>
          <w:rFonts w:ascii="Arial" w:hAnsi="Arial" w:cs="Arial"/>
          <w:lang w:val="es-ES"/>
        </w:rPr>
        <w:t>.</w:t>
      </w:r>
    </w:p>
    <w:p w:rsidR="00FA3663" w:rsidRDefault="00FA3663" w:rsidP="00FA3663">
      <w:pPr>
        <w:spacing w:after="0" w:line="20" w:lineRule="atLeast"/>
        <w:ind w:left="360"/>
        <w:contextualSpacing/>
        <w:jc w:val="both"/>
        <w:rPr>
          <w:rFonts w:ascii="Arial" w:hAnsi="Arial" w:cs="Arial"/>
          <w:lang w:val="es-ES"/>
        </w:rPr>
      </w:pPr>
    </w:p>
    <w:p w:rsidR="00FA3663" w:rsidRPr="00196C02" w:rsidRDefault="00FA3663" w:rsidP="00FA3663">
      <w:pPr>
        <w:spacing w:after="0" w:line="20" w:lineRule="atLeast"/>
        <w:ind w:left="-180"/>
        <w:contextualSpacing/>
        <w:jc w:val="both"/>
        <w:rPr>
          <w:rFonts w:ascii="Arial" w:hAnsi="Arial" w:cs="Arial"/>
          <w:lang w:val="es-ES"/>
        </w:rPr>
      </w:pPr>
    </w:p>
    <w:p w:rsidR="00FA3663" w:rsidRPr="00196C02" w:rsidRDefault="00FA3663" w:rsidP="00FA3663">
      <w:pPr>
        <w:numPr>
          <w:ilvl w:val="0"/>
          <w:numId w:val="40"/>
        </w:numPr>
        <w:spacing w:after="0" w:line="20" w:lineRule="atLeast"/>
        <w:rPr>
          <w:rFonts w:ascii="Arial" w:hAnsi="Arial" w:cs="Arial"/>
          <w:b/>
          <w:lang w:val="es-ES"/>
        </w:rPr>
      </w:pPr>
      <w:r w:rsidRPr="00196C02">
        <w:rPr>
          <w:rFonts w:ascii="Arial" w:hAnsi="Arial" w:cs="Arial"/>
          <w:b/>
          <w:lang w:val="es-ES"/>
        </w:rPr>
        <w:t>Matriz de Resultados Indicativa</w:t>
      </w:r>
    </w:p>
    <w:p w:rsidR="00FA3663" w:rsidRPr="00196C02" w:rsidRDefault="00FA3663" w:rsidP="00FA3663">
      <w:pPr>
        <w:spacing w:after="0" w:line="20" w:lineRule="atLeast"/>
        <w:ind w:left="360"/>
        <w:rPr>
          <w:rFonts w:ascii="Arial" w:hAnsi="Arial" w:cs="Arial"/>
          <w:b/>
          <w:lang w:val="es-ES"/>
        </w:rPr>
      </w:pPr>
    </w:p>
    <w:tbl>
      <w:tblPr>
        <w:tblStyle w:val="TableGrid1"/>
        <w:tblW w:w="0" w:type="auto"/>
        <w:jc w:val="center"/>
        <w:tblInd w:w="-550" w:type="dxa"/>
        <w:tblLook w:val="04A0" w:firstRow="1" w:lastRow="0" w:firstColumn="1" w:lastColumn="0" w:noHBand="0" w:noVBand="1"/>
      </w:tblPr>
      <w:tblGrid>
        <w:gridCol w:w="3062"/>
        <w:gridCol w:w="1980"/>
        <w:gridCol w:w="1800"/>
        <w:gridCol w:w="2696"/>
      </w:tblGrid>
      <w:tr w:rsidR="00FA3663" w:rsidRPr="00196C02" w:rsidTr="005F7004">
        <w:trPr>
          <w:jc w:val="center"/>
        </w:trPr>
        <w:tc>
          <w:tcPr>
            <w:tcW w:w="3062"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Indicadores</w:t>
            </w:r>
            <w:r>
              <w:rPr>
                <w:rFonts w:ascii="Arial" w:hAnsi="Arial" w:cs="Arial"/>
                <w:b/>
                <w:sz w:val="18"/>
                <w:szCs w:val="18"/>
                <w:lang w:val="es-ES"/>
              </w:rPr>
              <w:t xml:space="preserve"> de Producto</w:t>
            </w:r>
          </w:p>
        </w:tc>
        <w:tc>
          <w:tcPr>
            <w:tcW w:w="1980"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Línea de Base (Inicio)</w:t>
            </w:r>
          </w:p>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(201</w:t>
            </w:r>
            <w:r>
              <w:rPr>
                <w:rFonts w:ascii="Arial" w:hAnsi="Arial" w:cs="Arial"/>
                <w:b/>
                <w:sz w:val="18"/>
                <w:szCs w:val="18"/>
                <w:lang w:val="es-ES"/>
              </w:rPr>
              <w:t>6</w:t>
            </w:r>
            <w:r w:rsidRPr="00196C02">
              <w:rPr>
                <w:rFonts w:ascii="Arial" w:hAnsi="Arial" w:cs="Arial"/>
                <w:b/>
                <w:sz w:val="18"/>
                <w:szCs w:val="18"/>
                <w:lang w:val="es-ES"/>
              </w:rPr>
              <w:t>)</w:t>
            </w:r>
          </w:p>
        </w:tc>
        <w:tc>
          <w:tcPr>
            <w:tcW w:w="1800"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Meta</w:t>
            </w:r>
          </w:p>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Final programa</w:t>
            </w:r>
          </w:p>
        </w:tc>
        <w:tc>
          <w:tcPr>
            <w:tcW w:w="2696"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Medio de Verificación</w:t>
            </w:r>
          </w:p>
        </w:tc>
      </w:tr>
      <w:tr w:rsidR="00FA3663" w:rsidRPr="00FF08AF" w:rsidTr="005F7004">
        <w:trPr>
          <w:trHeight w:val="350"/>
          <w:jc w:val="center"/>
        </w:trPr>
        <w:tc>
          <w:tcPr>
            <w:tcW w:w="3062" w:type="dxa"/>
            <w:vAlign w:val="center"/>
          </w:tcPr>
          <w:p w:rsidR="00FA3663" w:rsidRDefault="005A4BF4" w:rsidP="005F7004">
            <w:pPr>
              <w:pStyle w:val="ListParagraph"/>
              <w:spacing w:line="20" w:lineRule="atLeast"/>
              <w:ind w:left="0"/>
              <w:rPr>
                <w:rFonts w:ascii="Arial" w:hAnsi="Arial" w:cs="Arial"/>
                <w:sz w:val="18"/>
                <w:szCs w:val="18"/>
                <w:lang w:val="es-ES_tradnl"/>
              </w:rPr>
            </w:pPr>
            <w:r>
              <w:rPr>
                <w:rFonts w:ascii="Arial" w:hAnsi="Arial" w:cs="Arial"/>
                <w:sz w:val="18"/>
                <w:szCs w:val="18"/>
                <w:lang w:val="es-ES_tradnl"/>
              </w:rPr>
              <w:t>Mantenimiento y adecuación</w:t>
            </w:r>
          </w:p>
          <w:p w:rsidR="00FA3663" w:rsidRPr="00881277" w:rsidRDefault="00FA3663" w:rsidP="005F7004">
            <w:pPr>
              <w:pStyle w:val="ListParagraph"/>
              <w:spacing w:line="20" w:lineRule="atLeast"/>
              <w:ind w:left="0"/>
              <w:rPr>
                <w:rFonts w:ascii="Arial" w:hAnsi="Arial" w:cs="Arial"/>
                <w:sz w:val="18"/>
                <w:szCs w:val="18"/>
                <w:lang w:val="es-ES_tradnl"/>
              </w:rPr>
            </w:pPr>
          </w:p>
        </w:tc>
        <w:tc>
          <w:tcPr>
            <w:tcW w:w="1980" w:type="dxa"/>
            <w:vAlign w:val="center"/>
          </w:tcPr>
          <w:p w:rsidR="00FA3663" w:rsidRPr="00881277" w:rsidRDefault="00FA3663" w:rsidP="005F7004">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0</w:t>
            </w:r>
          </w:p>
        </w:tc>
        <w:tc>
          <w:tcPr>
            <w:tcW w:w="1800" w:type="dxa"/>
            <w:vAlign w:val="center"/>
          </w:tcPr>
          <w:p w:rsidR="00FA3663" w:rsidRPr="00881277" w:rsidRDefault="005A4BF4" w:rsidP="005F7004">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54</w:t>
            </w:r>
          </w:p>
        </w:tc>
        <w:tc>
          <w:tcPr>
            <w:tcW w:w="2696" w:type="dxa"/>
            <w:vAlign w:val="center"/>
          </w:tcPr>
          <w:p w:rsidR="00FA3663" w:rsidRPr="00881277" w:rsidRDefault="005A4BF4" w:rsidP="005F7004">
            <w:pPr>
              <w:pStyle w:val="ListParagraph"/>
              <w:spacing w:line="20" w:lineRule="atLeast"/>
              <w:ind w:left="0"/>
              <w:rPr>
                <w:rFonts w:ascii="Arial" w:hAnsi="Arial" w:cs="Arial"/>
                <w:sz w:val="18"/>
                <w:szCs w:val="18"/>
                <w:lang w:val="es-ES_tradnl"/>
              </w:rPr>
            </w:pPr>
            <w:r w:rsidRPr="005A4BF4">
              <w:rPr>
                <w:rFonts w:ascii="Arial" w:hAnsi="Arial" w:cs="Arial"/>
                <w:sz w:val="18"/>
                <w:szCs w:val="18"/>
                <w:lang w:val="es-ES_tradnl"/>
              </w:rPr>
              <w:t>Plan Nacional de Infraestructura Educativa (PNIE)</w:t>
            </w:r>
          </w:p>
        </w:tc>
      </w:tr>
      <w:tr w:rsidR="00FA3663" w:rsidRPr="00FF08AF" w:rsidTr="005F7004">
        <w:trPr>
          <w:trHeight w:val="350"/>
          <w:jc w:val="center"/>
        </w:trPr>
        <w:tc>
          <w:tcPr>
            <w:tcW w:w="3062" w:type="dxa"/>
            <w:vAlign w:val="center"/>
          </w:tcPr>
          <w:p w:rsidR="00FA3663" w:rsidRPr="00E7174C" w:rsidRDefault="005A4BF4" w:rsidP="005F7004">
            <w:pPr>
              <w:pStyle w:val="ListParagraph"/>
              <w:spacing w:line="20" w:lineRule="atLeast"/>
              <w:ind w:left="0"/>
              <w:rPr>
                <w:rFonts w:ascii="Arial" w:hAnsi="Arial" w:cs="Arial"/>
                <w:sz w:val="18"/>
                <w:szCs w:val="18"/>
                <w:lang w:val="es-ES"/>
              </w:rPr>
            </w:pPr>
            <w:r>
              <w:rPr>
                <w:rFonts w:ascii="Arial" w:hAnsi="Arial" w:cs="Arial"/>
                <w:sz w:val="18"/>
                <w:szCs w:val="18"/>
                <w:lang w:val="es-ES"/>
              </w:rPr>
              <w:t>Mantenimiento y adecuación</w:t>
            </w:r>
          </w:p>
        </w:tc>
        <w:tc>
          <w:tcPr>
            <w:tcW w:w="1980" w:type="dxa"/>
            <w:vAlign w:val="center"/>
          </w:tcPr>
          <w:p w:rsidR="00FA3663" w:rsidRPr="00E7174C" w:rsidRDefault="00FA3663" w:rsidP="005F7004">
            <w:pPr>
              <w:pStyle w:val="ListParagraph"/>
              <w:spacing w:line="20" w:lineRule="atLeast"/>
              <w:ind w:left="0"/>
              <w:jc w:val="center"/>
              <w:rPr>
                <w:rFonts w:ascii="Arial" w:hAnsi="Arial" w:cs="Arial"/>
                <w:color w:val="000000"/>
                <w:sz w:val="18"/>
                <w:szCs w:val="18"/>
                <w:lang w:val="es-ES"/>
              </w:rPr>
            </w:pPr>
            <w:r>
              <w:rPr>
                <w:rFonts w:ascii="Arial" w:hAnsi="Arial" w:cs="Arial"/>
                <w:color w:val="000000"/>
                <w:sz w:val="18"/>
                <w:szCs w:val="18"/>
                <w:lang w:val="es-ES"/>
              </w:rPr>
              <w:t>0</w:t>
            </w:r>
          </w:p>
        </w:tc>
        <w:tc>
          <w:tcPr>
            <w:tcW w:w="1800" w:type="dxa"/>
            <w:vAlign w:val="center"/>
          </w:tcPr>
          <w:p w:rsidR="00FA3663" w:rsidRDefault="00FA3663" w:rsidP="005A4BF4">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10</w:t>
            </w:r>
            <w:r w:rsidR="005A4BF4">
              <w:rPr>
                <w:rFonts w:ascii="Arial" w:hAnsi="Arial" w:cs="Arial"/>
                <w:color w:val="000000"/>
                <w:sz w:val="18"/>
                <w:szCs w:val="18"/>
                <w:lang w:val="es-ES_tradnl"/>
              </w:rPr>
              <w:t>0</w:t>
            </w:r>
          </w:p>
        </w:tc>
        <w:tc>
          <w:tcPr>
            <w:tcW w:w="2696" w:type="dxa"/>
            <w:vAlign w:val="center"/>
          </w:tcPr>
          <w:p w:rsidR="00FA3663" w:rsidRPr="00881277" w:rsidRDefault="005A4BF4" w:rsidP="005F7004">
            <w:pPr>
              <w:pStyle w:val="ListParagraph"/>
              <w:spacing w:line="20" w:lineRule="atLeast"/>
              <w:ind w:left="0"/>
              <w:rPr>
                <w:rFonts w:ascii="Arial" w:hAnsi="Arial" w:cs="Arial"/>
                <w:color w:val="000000"/>
                <w:sz w:val="18"/>
                <w:szCs w:val="18"/>
                <w:lang w:val="es-ES_tradnl"/>
              </w:rPr>
            </w:pPr>
            <w:r>
              <w:rPr>
                <w:rFonts w:ascii="Arial" w:hAnsi="Arial" w:cs="Arial"/>
                <w:sz w:val="18"/>
                <w:szCs w:val="18"/>
                <w:lang w:val="es-ES_tradnl"/>
              </w:rPr>
              <w:t>Otras instituciones priorizadas por la ciudad</w:t>
            </w:r>
          </w:p>
        </w:tc>
      </w:tr>
    </w:tbl>
    <w:p w:rsidR="00FA3663" w:rsidRPr="001947C8" w:rsidRDefault="00FA3663" w:rsidP="00FA3663">
      <w:pPr>
        <w:spacing w:after="0" w:line="20" w:lineRule="atLeast"/>
        <w:ind w:left="360"/>
        <w:jc w:val="both"/>
        <w:rPr>
          <w:rFonts w:ascii="Arial" w:hAnsi="Arial" w:cs="Arial"/>
          <w:b/>
          <w:lang w:val="es-CO"/>
        </w:rPr>
      </w:pPr>
    </w:p>
    <w:p w:rsidR="00FA3663" w:rsidRPr="00196C02" w:rsidRDefault="00FA3663" w:rsidP="00FA3663">
      <w:pPr>
        <w:numPr>
          <w:ilvl w:val="0"/>
          <w:numId w:val="40"/>
        </w:numPr>
        <w:spacing w:after="0" w:line="20" w:lineRule="atLeast"/>
        <w:rPr>
          <w:rFonts w:ascii="Arial" w:hAnsi="Arial" w:cs="Arial"/>
          <w:b/>
          <w:lang w:val="es-ES"/>
        </w:rPr>
      </w:pPr>
      <w:r w:rsidRPr="00196C02">
        <w:rPr>
          <w:rFonts w:ascii="Arial" w:hAnsi="Arial" w:cs="Arial"/>
          <w:b/>
          <w:lang w:val="es-ES"/>
        </w:rPr>
        <w:t xml:space="preserve">Presupuesto Indicativo (en </w:t>
      </w:r>
      <w:r>
        <w:rPr>
          <w:rFonts w:ascii="Arial" w:hAnsi="Arial" w:cs="Arial"/>
          <w:b/>
          <w:lang w:val="es-ES"/>
        </w:rPr>
        <w:t>USD</w:t>
      </w:r>
      <w:r w:rsidRPr="00196C02">
        <w:rPr>
          <w:rFonts w:ascii="Arial" w:hAnsi="Arial" w:cs="Arial"/>
          <w:b/>
          <w:lang w:val="es-ES"/>
        </w:rPr>
        <w:t>)</w:t>
      </w:r>
    </w:p>
    <w:p w:rsidR="00FA3663" w:rsidRPr="00196C02" w:rsidRDefault="00FA3663" w:rsidP="00FA3663">
      <w:pPr>
        <w:spacing w:after="0" w:line="20" w:lineRule="atLeast"/>
        <w:ind w:left="360"/>
        <w:jc w:val="both"/>
        <w:rPr>
          <w:rFonts w:ascii="Arial" w:hAnsi="Arial" w:cs="Arial"/>
          <w:b/>
          <w:lang w:val="es-ES"/>
        </w:rPr>
      </w:pPr>
    </w:p>
    <w:tbl>
      <w:tblPr>
        <w:tblStyle w:val="TableGrid2"/>
        <w:tblW w:w="9307" w:type="dxa"/>
        <w:jc w:val="center"/>
        <w:tblInd w:w="-2015" w:type="dxa"/>
        <w:tblLayout w:type="fixed"/>
        <w:tblLook w:val="04A0" w:firstRow="1" w:lastRow="0" w:firstColumn="1" w:lastColumn="0" w:noHBand="0" w:noVBand="1"/>
      </w:tblPr>
      <w:tblGrid>
        <w:gridCol w:w="4712"/>
        <w:gridCol w:w="1900"/>
        <w:gridCol w:w="2695"/>
      </w:tblGrid>
      <w:tr w:rsidR="00FA3663" w:rsidRPr="00196C02" w:rsidTr="005F7004">
        <w:trPr>
          <w:jc w:val="center"/>
        </w:trPr>
        <w:tc>
          <w:tcPr>
            <w:tcW w:w="4712"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900"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Financiamiento Solicitado</w:t>
            </w:r>
          </w:p>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(FINDETER-BID)</w:t>
            </w:r>
          </w:p>
        </w:tc>
        <w:tc>
          <w:tcPr>
            <w:tcW w:w="2695" w:type="dxa"/>
            <w:shd w:val="clear" w:color="auto" w:fill="C2D69B" w:themeFill="accent3" w:themeFillTint="99"/>
            <w:vAlign w:val="center"/>
          </w:tcPr>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Costo</w:t>
            </w:r>
          </w:p>
          <w:p w:rsidR="00FA3663" w:rsidRPr="00196C02" w:rsidRDefault="00FA3663"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Total</w:t>
            </w:r>
          </w:p>
          <w:p w:rsidR="00FA3663" w:rsidRPr="00196C02" w:rsidRDefault="00FA3663" w:rsidP="005F7004">
            <w:pPr>
              <w:spacing w:line="20" w:lineRule="atLeast"/>
              <w:jc w:val="center"/>
              <w:rPr>
                <w:rFonts w:ascii="Arial" w:hAnsi="Arial" w:cs="Arial"/>
                <w:b/>
                <w:sz w:val="18"/>
                <w:szCs w:val="18"/>
                <w:lang w:val="es-ES"/>
              </w:rPr>
            </w:pPr>
          </w:p>
        </w:tc>
      </w:tr>
      <w:tr w:rsidR="00FA3663" w:rsidRPr="00B1060C" w:rsidTr="005F7004">
        <w:trPr>
          <w:jc w:val="center"/>
        </w:trPr>
        <w:tc>
          <w:tcPr>
            <w:tcW w:w="4712" w:type="dxa"/>
            <w:vAlign w:val="center"/>
          </w:tcPr>
          <w:p w:rsidR="00FA3663" w:rsidRPr="00643F15" w:rsidRDefault="00FA3663" w:rsidP="005F7004">
            <w:pPr>
              <w:spacing w:line="20" w:lineRule="atLeast"/>
              <w:rPr>
                <w:rFonts w:ascii="Arial" w:hAnsi="Arial" w:cs="Arial"/>
                <w:sz w:val="18"/>
                <w:szCs w:val="18"/>
                <w:lang w:val="es-ES"/>
              </w:rPr>
            </w:pPr>
            <w:r>
              <w:rPr>
                <w:rFonts w:ascii="Arial" w:hAnsi="Arial" w:cs="Arial"/>
                <w:sz w:val="18"/>
                <w:szCs w:val="18"/>
                <w:lang w:val="es-ES"/>
              </w:rPr>
              <w:t>Obras civiles</w:t>
            </w:r>
          </w:p>
        </w:tc>
        <w:tc>
          <w:tcPr>
            <w:tcW w:w="1900" w:type="dxa"/>
            <w:vAlign w:val="center"/>
          </w:tcPr>
          <w:p w:rsidR="00FA3663" w:rsidRPr="00A879E4" w:rsidRDefault="005A4BF4" w:rsidP="005F7004">
            <w:pPr>
              <w:spacing w:line="20" w:lineRule="atLeast"/>
              <w:jc w:val="right"/>
              <w:rPr>
                <w:rFonts w:ascii="Arial" w:hAnsi="Arial" w:cs="Arial"/>
                <w:sz w:val="18"/>
                <w:szCs w:val="18"/>
                <w:lang w:val="es-ES"/>
              </w:rPr>
            </w:pPr>
            <w:r>
              <w:rPr>
                <w:rFonts w:ascii="Arial" w:hAnsi="Arial" w:cs="Arial"/>
                <w:sz w:val="18"/>
                <w:szCs w:val="18"/>
                <w:lang w:val="es-ES"/>
              </w:rPr>
              <w:t>18,139</w:t>
            </w:r>
          </w:p>
        </w:tc>
        <w:tc>
          <w:tcPr>
            <w:tcW w:w="2695" w:type="dxa"/>
            <w:vAlign w:val="center"/>
          </w:tcPr>
          <w:p w:rsidR="00FA3663" w:rsidRPr="00A879E4" w:rsidRDefault="005A4BF4" w:rsidP="005F7004">
            <w:pPr>
              <w:spacing w:line="20" w:lineRule="atLeast"/>
              <w:jc w:val="right"/>
              <w:rPr>
                <w:rFonts w:ascii="Arial" w:hAnsi="Arial" w:cs="Arial"/>
                <w:sz w:val="18"/>
                <w:szCs w:val="18"/>
                <w:lang w:val="es-ES"/>
              </w:rPr>
            </w:pPr>
            <w:r>
              <w:rPr>
                <w:rFonts w:ascii="Arial" w:hAnsi="Arial" w:cs="Arial"/>
                <w:sz w:val="18"/>
                <w:szCs w:val="18"/>
                <w:lang w:val="es-ES"/>
              </w:rPr>
              <w:t>18,139</w:t>
            </w:r>
          </w:p>
        </w:tc>
      </w:tr>
      <w:tr w:rsidR="00FA3663" w:rsidRPr="00B1060C" w:rsidTr="005F7004">
        <w:trPr>
          <w:jc w:val="center"/>
        </w:trPr>
        <w:tc>
          <w:tcPr>
            <w:tcW w:w="4712" w:type="dxa"/>
            <w:vAlign w:val="center"/>
          </w:tcPr>
          <w:p w:rsidR="00FA3663" w:rsidRPr="00643F15" w:rsidRDefault="00FA3663" w:rsidP="005F7004">
            <w:pPr>
              <w:spacing w:line="20" w:lineRule="atLeast"/>
              <w:rPr>
                <w:rFonts w:ascii="Arial" w:hAnsi="Arial" w:cs="Arial"/>
                <w:sz w:val="18"/>
                <w:szCs w:val="18"/>
                <w:lang w:val="es-ES"/>
              </w:rPr>
            </w:pPr>
            <w:r w:rsidRPr="00643F15">
              <w:rPr>
                <w:rFonts w:ascii="Arial" w:hAnsi="Arial" w:cs="Arial"/>
                <w:sz w:val="18"/>
                <w:szCs w:val="18"/>
                <w:lang w:val="es-ES"/>
              </w:rPr>
              <w:t>Interventorías (Técnica y Ambiental)</w:t>
            </w:r>
          </w:p>
        </w:tc>
        <w:tc>
          <w:tcPr>
            <w:tcW w:w="1900" w:type="dxa"/>
            <w:vAlign w:val="center"/>
          </w:tcPr>
          <w:p w:rsidR="00FA3663" w:rsidRPr="00A879E4" w:rsidRDefault="005A4BF4" w:rsidP="005F7004">
            <w:pPr>
              <w:spacing w:line="20" w:lineRule="atLeast"/>
              <w:jc w:val="right"/>
              <w:rPr>
                <w:rFonts w:ascii="Arial" w:hAnsi="Arial" w:cs="Arial"/>
                <w:sz w:val="18"/>
                <w:szCs w:val="18"/>
                <w:lang w:val="es-ES"/>
              </w:rPr>
            </w:pPr>
            <w:r>
              <w:rPr>
                <w:rFonts w:ascii="Arial" w:hAnsi="Arial" w:cs="Arial"/>
                <w:sz w:val="18"/>
                <w:szCs w:val="18"/>
                <w:lang w:val="es-ES"/>
              </w:rPr>
              <w:t>561</w:t>
            </w:r>
          </w:p>
        </w:tc>
        <w:tc>
          <w:tcPr>
            <w:tcW w:w="2695" w:type="dxa"/>
            <w:vAlign w:val="center"/>
          </w:tcPr>
          <w:p w:rsidR="00FA3663" w:rsidRPr="00A879E4" w:rsidRDefault="005A4BF4" w:rsidP="005F7004">
            <w:pPr>
              <w:spacing w:line="20" w:lineRule="atLeast"/>
              <w:jc w:val="right"/>
              <w:rPr>
                <w:rFonts w:ascii="Arial" w:hAnsi="Arial" w:cs="Arial"/>
                <w:sz w:val="18"/>
                <w:szCs w:val="18"/>
                <w:lang w:val="es-ES"/>
              </w:rPr>
            </w:pPr>
            <w:r>
              <w:rPr>
                <w:rFonts w:ascii="Arial" w:hAnsi="Arial" w:cs="Arial"/>
                <w:sz w:val="18"/>
                <w:szCs w:val="18"/>
                <w:lang w:val="es-ES"/>
              </w:rPr>
              <w:t>561</w:t>
            </w:r>
          </w:p>
        </w:tc>
      </w:tr>
      <w:tr w:rsidR="00FA3663" w:rsidRPr="00196C02" w:rsidTr="005F7004">
        <w:trPr>
          <w:jc w:val="center"/>
        </w:trPr>
        <w:tc>
          <w:tcPr>
            <w:tcW w:w="4712" w:type="dxa"/>
            <w:shd w:val="clear" w:color="auto" w:fill="C2D69B" w:themeFill="accent3" w:themeFillTint="99"/>
            <w:vAlign w:val="center"/>
          </w:tcPr>
          <w:p w:rsidR="00FA3663" w:rsidRPr="00196C02" w:rsidRDefault="00FA3663" w:rsidP="005F7004">
            <w:pPr>
              <w:spacing w:line="20" w:lineRule="atLeast"/>
              <w:rPr>
                <w:rFonts w:ascii="Arial" w:hAnsi="Arial" w:cs="Arial"/>
                <w:b/>
                <w:sz w:val="18"/>
                <w:szCs w:val="18"/>
                <w:lang w:val="es-ES"/>
              </w:rPr>
            </w:pPr>
            <w:r w:rsidRPr="00196C02">
              <w:rPr>
                <w:rFonts w:ascii="Arial" w:hAnsi="Arial" w:cs="Arial"/>
                <w:b/>
                <w:sz w:val="18"/>
                <w:szCs w:val="18"/>
                <w:lang w:val="es-ES"/>
              </w:rPr>
              <w:t xml:space="preserve">TOTAL </w:t>
            </w:r>
          </w:p>
        </w:tc>
        <w:tc>
          <w:tcPr>
            <w:tcW w:w="1900" w:type="dxa"/>
            <w:shd w:val="clear" w:color="auto" w:fill="C2D69B" w:themeFill="accent3" w:themeFillTint="99"/>
            <w:vAlign w:val="center"/>
          </w:tcPr>
          <w:p w:rsidR="00FA3663" w:rsidRPr="00196C02" w:rsidRDefault="005A4BF4" w:rsidP="005F7004">
            <w:pPr>
              <w:spacing w:line="20" w:lineRule="atLeast"/>
              <w:jc w:val="right"/>
              <w:rPr>
                <w:rFonts w:ascii="Arial" w:hAnsi="Arial" w:cs="Arial"/>
                <w:b/>
                <w:sz w:val="18"/>
                <w:szCs w:val="18"/>
                <w:lang w:val="es-ES"/>
              </w:rPr>
            </w:pPr>
            <w:r>
              <w:rPr>
                <w:rFonts w:ascii="Arial" w:hAnsi="Arial" w:cs="Arial"/>
                <w:b/>
                <w:sz w:val="18"/>
                <w:szCs w:val="18"/>
                <w:lang w:val="es-ES"/>
              </w:rPr>
              <w:t>18,7</w:t>
            </w:r>
            <w:r w:rsidR="00FA3663">
              <w:rPr>
                <w:rFonts w:ascii="Arial" w:hAnsi="Arial" w:cs="Arial"/>
                <w:b/>
                <w:sz w:val="18"/>
                <w:szCs w:val="18"/>
                <w:lang w:val="es-ES"/>
              </w:rPr>
              <w:t>00</w:t>
            </w:r>
          </w:p>
        </w:tc>
        <w:tc>
          <w:tcPr>
            <w:tcW w:w="2695" w:type="dxa"/>
            <w:shd w:val="clear" w:color="auto" w:fill="C2D69B" w:themeFill="accent3" w:themeFillTint="99"/>
            <w:vAlign w:val="center"/>
          </w:tcPr>
          <w:p w:rsidR="00FA3663" w:rsidRPr="00196C02" w:rsidRDefault="005A4BF4" w:rsidP="005F7004">
            <w:pPr>
              <w:spacing w:line="20" w:lineRule="atLeast"/>
              <w:jc w:val="right"/>
              <w:rPr>
                <w:rFonts w:ascii="Arial" w:hAnsi="Arial" w:cs="Arial"/>
                <w:b/>
                <w:sz w:val="18"/>
                <w:szCs w:val="18"/>
                <w:lang w:val="es-ES"/>
              </w:rPr>
            </w:pPr>
            <w:r>
              <w:rPr>
                <w:rFonts w:ascii="Arial" w:hAnsi="Arial" w:cs="Arial"/>
                <w:b/>
                <w:sz w:val="18"/>
                <w:szCs w:val="18"/>
                <w:lang w:val="es-ES"/>
              </w:rPr>
              <w:t>18,7</w:t>
            </w:r>
            <w:r w:rsidR="00FA3663">
              <w:rPr>
                <w:rFonts w:ascii="Arial" w:hAnsi="Arial" w:cs="Arial"/>
                <w:b/>
                <w:sz w:val="18"/>
                <w:szCs w:val="18"/>
                <w:lang w:val="es-ES"/>
              </w:rPr>
              <w:t>00</w:t>
            </w:r>
          </w:p>
        </w:tc>
      </w:tr>
    </w:tbl>
    <w:p w:rsidR="00FA3663" w:rsidRPr="00196C02" w:rsidRDefault="00FA3663" w:rsidP="00FA3663">
      <w:pPr>
        <w:spacing w:after="0" w:line="20" w:lineRule="atLeast"/>
        <w:ind w:left="360"/>
        <w:jc w:val="both"/>
        <w:rPr>
          <w:rFonts w:ascii="Arial" w:hAnsi="Arial" w:cs="Arial"/>
          <w:b/>
          <w:lang w:val="es-ES"/>
        </w:rPr>
      </w:pPr>
    </w:p>
    <w:p w:rsidR="00FA3663" w:rsidRDefault="00FA3663" w:rsidP="00FA3663">
      <w:pPr>
        <w:spacing w:after="0" w:line="20" w:lineRule="atLeast"/>
        <w:ind w:left="360"/>
        <w:jc w:val="both"/>
        <w:rPr>
          <w:rFonts w:ascii="Arial" w:hAnsi="Arial" w:cs="Arial"/>
          <w:b/>
          <w:lang w:val="es-ES"/>
        </w:rPr>
      </w:pPr>
    </w:p>
    <w:p w:rsidR="00FA3663" w:rsidRDefault="00FA3663" w:rsidP="00FA3663">
      <w:pPr>
        <w:spacing w:after="0" w:line="20" w:lineRule="atLeast"/>
        <w:ind w:left="360"/>
        <w:jc w:val="both"/>
        <w:rPr>
          <w:rFonts w:ascii="Arial" w:hAnsi="Arial" w:cs="Arial"/>
          <w:b/>
          <w:lang w:val="es-ES"/>
        </w:rPr>
      </w:pPr>
    </w:p>
    <w:p w:rsidR="00FA3663" w:rsidRPr="00196C02" w:rsidRDefault="00FA3663" w:rsidP="00FA3663">
      <w:pPr>
        <w:spacing w:after="0" w:line="20" w:lineRule="atLeast"/>
        <w:ind w:left="360"/>
        <w:jc w:val="both"/>
        <w:rPr>
          <w:rFonts w:ascii="Arial" w:hAnsi="Arial" w:cs="Arial"/>
          <w:b/>
          <w:lang w:val="es-ES"/>
        </w:rPr>
      </w:pPr>
    </w:p>
    <w:p w:rsidR="00FA3663" w:rsidRDefault="00FA3663" w:rsidP="00FA3663">
      <w:pPr>
        <w:numPr>
          <w:ilvl w:val="0"/>
          <w:numId w:val="40"/>
        </w:numPr>
        <w:spacing w:after="0" w:line="20" w:lineRule="atLeast"/>
        <w:rPr>
          <w:rFonts w:ascii="Arial" w:hAnsi="Arial" w:cs="Arial"/>
          <w:b/>
          <w:lang w:val="es-ES"/>
        </w:rPr>
      </w:pPr>
      <w:r w:rsidRPr="00196C02">
        <w:rPr>
          <w:rFonts w:ascii="Arial" w:hAnsi="Arial" w:cs="Arial"/>
          <w:b/>
          <w:lang w:val="es-ES"/>
        </w:rPr>
        <w:t xml:space="preserve">Cronograma de Desembolsos (en </w:t>
      </w:r>
      <w:r>
        <w:rPr>
          <w:rFonts w:ascii="Arial" w:hAnsi="Arial" w:cs="Arial"/>
          <w:b/>
          <w:lang w:val="es-ES"/>
        </w:rPr>
        <w:t>USD</w:t>
      </w:r>
      <w:r w:rsidRPr="00196C02">
        <w:rPr>
          <w:rFonts w:ascii="Arial" w:hAnsi="Arial" w:cs="Arial"/>
          <w:b/>
          <w:lang w:val="es-ES"/>
        </w:rPr>
        <w:t xml:space="preserve">): </w:t>
      </w:r>
    </w:p>
    <w:p w:rsidR="00FA3663" w:rsidRPr="00196C02" w:rsidRDefault="00FA3663" w:rsidP="00FA3663">
      <w:pPr>
        <w:spacing w:after="0" w:line="20" w:lineRule="atLeast"/>
        <w:ind w:left="360"/>
        <w:jc w:val="both"/>
        <w:rPr>
          <w:rFonts w:ascii="Arial" w:hAnsi="Arial" w:cs="Arial"/>
          <w:b/>
          <w:lang w:val="es-ES"/>
        </w:rPr>
      </w:pPr>
    </w:p>
    <w:tbl>
      <w:tblPr>
        <w:tblStyle w:val="TableGrid3"/>
        <w:tblW w:w="9428" w:type="dxa"/>
        <w:jc w:val="center"/>
        <w:tblInd w:w="-96" w:type="dxa"/>
        <w:tblLayout w:type="fixed"/>
        <w:tblLook w:val="04A0" w:firstRow="1" w:lastRow="0" w:firstColumn="1" w:lastColumn="0" w:noHBand="0" w:noVBand="1"/>
      </w:tblPr>
      <w:tblGrid>
        <w:gridCol w:w="1503"/>
        <w:gridCol w:w="1754"/>
        <w:gridCol w:w="1503"/>
        <w:gridCol w:w="1522"/>
        <w:gridCol w:w="1573"/>
        <w:gridCol w:w="1573"/>
      </w:tblGrid>
      <w:tr w:rsidR="005B633F" w:rsidRPr="00196C02" w:rsidTr="005B633F">
        <w:trPr>
          <w:trHeight w:val="135"/>
          <w:jc w:val="center"/>
        </w:trPr>
        <w:tc>
          <w:tcPr>
            <w:tcW w:w="1503" w:type="dxa"/>
            <w:shd w:val="clear" w:color="auto" w:fill="C2D69B" w:themeFill="accent3" w:themeFillTint="99"/>
            <w:vAlign w:val="center"/>
          </w:tcPr>
          <w:p w:rsidR="005B633F" w:rsidRPr="00196C02" w:rsidRDefault="005B633F"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754" w:type="dxa"/>
            <w:shd w:val="clear" w:color="auto" w:fill="C2D69B" w:themeFill="accent3" w:themeFillTint="99"/>
            <w:vAlign w:val="center"/>
          </w:tcPr>
          <w:p w:rsidR="005B633F" w:rsidRPr="00196C02" w:rsidRDefault="005B633F"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201</w:t>
            </w:r>
            <w:r>
              <w:rPr>
                <w:rFonts w:ascii="Arial" w:hAnsi="Arial" w:cs="Arial"/>
                <w:b/>
                <w:sz w:val="18"/>
                <w:szCs w:val="18"/>
                <w:lang w:val="es-ES"/>
              </w:rPr>
              <w:t>9</w:t>
            </w:r>
          </w:p>
        </w:tc>
        <w:tc>
          <w:tcPr>
            <w:tcW w:w="1503" w:type="dxa"/>
            <w:shd w:val="clear" w:color="auto" w:fill="C2D69B" w:themeFill="accent3" w:themeFillTint="99"/>
            <w:vAlign w:val="center"/>
          </w:tcPr>
          <w:p w:rsidR="005B633F" w:rsidRPr="00196C02" w:rsidRDefault="005B633F" w:rsidP="005F7004">
            <w:pPr>
              <w:spacing w:line="20" w:lineRule="atLeast"/>
              <w:jc w:val="center"/>
              <w:rPr>
                <w:rFonts w:ascii="Arial" w:hAnsi="Arial" w:cs="Arial"/>
                <w:b/>
                <w:sz w:val="18"/>
                <w:szCs w:val="18"/>
                <w:lang w:val="es-ES"/>
              </w:rPr>
            </w:pPr>
            <w:r>
              <w:rPr>
                <w:rFonts w:ascii="Arial" w:hAnsi="Arial" w:cs="Arial"/>
                <w:b/>
                <w:sz w:val="18"/>
                <w:szCs w:val="18"/>
                <w:lang w:val="es-ES"/>
              </w:rPr>
              <w:t>2020</w:t>
            </w:r>
          </w:p>
        </w:tc>
        <w:tc>
          <w:tcPr>
            <w:tcW w:w="1522" w:type="dxa"/>
            <w:shd w:val="clear" w:color="auto" w:fill="C2D69B" w:themeFill="accent3" w:themeFillTint="99"/>
            <w:vAlign w:val="center"/>
          </w:tcPr>
          <w:p w:rsidR="005B633F" w:rsidRPr="00196C02" w:rsidRDefault="005B633F" w:rsidP="005F7004">
            <w:pPr>
              <w:spacing w:line="20" w:lineRule="atLeast"/>
              <w:jc w:val="center"/>
              <w:rPr>
                <w:rFonts w:ascii="Arial" w:hAnsi="Arial" w:cs="Arial"/>
                <w:b/>
                <w:sz w:val="18"/>
                <w:szCs w:val="18"/>
                <w:lang w:val="es-ES"/>
              </w:rPr>
            </w:pPr>
            <w:r>
              <w:rPr>
                <w:rFonts w:ascii="Arial" w:hAnsi="Arial" w:cs="Arial"/>
                <w:b/>
                <w:sz w:val="18"/>
                <w:szCs w:val="18"/>
                <w:lang w:val="es-ES"/>
              </w:rPr>
              <w:t>2021</w:t>
            </w:r>
          </w:p>
        </w:tc>
        <w:tc>
          <w:tcPr>
            <w:tcW w:w="1573" w:type="dxa"/>
            <w:shd w:val="clear" w:color="auto" w:fill="C2D69B" w:themeFill="accent3" w:themeFillTint="99"/>
          </w:tcPr>
          <w:p w:rsidR="005B633F" w:rsidRPr="00196C02" w:rsidRDefault="005B633F" w:rsidP="005F7004">
            <w:pPr>
              <w:spacing w:line="20" w:lineRule="atLeast"/>
              <w:jc w:val="center"/>
              <w:rPr>
                <w:rFonts w:ascii="Arial" w:hAnsi="Arial" w:cs="Arial"/>
                <w:b/>
                <w:sz w:val="18"/>
                <w:szCs w:val="18"/>
                <w:lang w:val="es-ES"/>
              </w:rPr>
            </w:pPr>
            <w:r>
              <w:rPr>
                <w:rFonts w:ascii="Arial" w:hAnsi="Arial" w:cs="Arial"/>
                <w:b/>
                <w:sz w:val="18"/>
                <w:szCs w:val="18"/>
                <w:lang w:val="es-ES"/>
              </w:rPr>
              <w:t>2022</w:t>
            </w:r>
          </w:p>
        </w:tc>
        <w:tc>
          <w:tcPr>
            <w:tcW w:w="1573" w:type="dxa"/>
            <w:shd w:val="clear" w:color="auto" w:fill="C2D69B" w:themeFill="accent3" w:themeFillTint="99"/>
            <w:vAlign w:val="center"/>
          </w:tcPr>
          <w:p w:rsidR="005B633F" w:rsidRPr="00196C02" w:rsidRDefault="005B633F" w:rsidP="005F7004">
            <w:pPr>
              <w:spacing w:line="20" w:lineRule="atLeast"/>
              <w:jc w:val="center"/>
              <w:rPr>
                <w:rFonts w:ascii="Arial" w:hAnsi="Arial" w:cs="Arial"/>
                <w:b/>
                <w:sz w:val="18"/>
                <w:szCs w:val="18"/>
                <w:lang w:val="es-ES"/>
              </w:rPr>
            </w:pPr>
            <w:r w:rsidRPr="00196C02">
              <w:rPr>
                <w:rFonts w:ascii="Arial" w:hAnsi="Arial" w:cs="Arial"/>
                <w:b/>
                <w:sz w:val="18"/>
                <w:szCs w:val="18"/>
                <w:lang w:val="es-ES"/>
              </w:rPr>
              <w:t>Costo Total</w:t>
            </w:r>
          </w:p>
        </w:tc>
      </w:tr>
      <w:tr w:rsidR="005B633F" w:rsidRPr="00196C02" w:rsidTr="005B633F">
        <w:trPr>
          <w:trHeight w:val="135"/>
          <w:jc w:val="center"/>
        </w:trPr>
        <w:tc>
          <w:tcPr>
            <w:tcW w:w="1503" w:type="dxa"/>
            <w:vAlign w:val="center"/>
          </w:tcPr>
          <w:p w:rsidR="005B633F" w:rsidRPr="009E0124" w:rsidRDefault="005B633F" w:rsidP="005F7004">
            <w:pPr>
              <w:spacing w:line="20" w:lineRule="atLeast"/>
              <w:rPr>
                <w:rFonts w:ascii="Arial" w:hAnsi="Arial" w:cs="Arial"/>
                <w:sz w:val="18"/>
                <w:szCs w:val="18"/>
                <w:lang w:val="es-ES"/>
              </w:rPr>
            </w:pPr>
            <w:r>
              <w:rPr>
                <w:rFonts w:ascii="Arial" w:hAnsi="Arial" w:cs="Arial"/>
                <w:sz w:val="18"/>
                <w:szCs w:val="18"/>
                <w:lang w:val="es-ES"/>
              </w:rPr>
              <w:t>Obras Civiles</w:t>
            </w:r>
          </w:p>
        </w:tc>
        <w:tc>
          <w:tcPr>
            <w:tcW w:w="1754" w:type="dxa"/>
            <w:vAlign w:val="center"/>
          </w:tcPr>
          <w:p w:rsidR="005B633F" w:rsidRPr="005B633F" w:rsidRDefault="005B633F" w:rsidP="005F7004">
            <w:pPr>
              <w:spacing w:line="20" w:lineRule="atLeast"/>
              <w:jc w:val="right"/>
              <w:rPr>
                <w:rFonts w:ascii="Arial" w:hAnsi="Arial" w:cs="Arial"/>
                <w:sz w:val="18"/>
                <w:szCs w:val="18"/>
                <w:lang w:val="es-ES"/>
              </w:rPr>
            </w:pPr>
            <w:r w:rsidRPr="005B633F">
              <w:rPr>
                <w:rFonts w:ascii="Arial" w:hAnsi="Arial" w:cs="Arial"/>
                <w:sz w:val="18"/>
                <w:szCs w:val="18"/>
                <w:lang w:val="es-ES"/>
              </w:rPr>
              <w:t>5,441.7</w:t>
            </w:r>
          </w:p>
        </w:tc>
        <w:tc>
          <w:tcPr>
            <w:tcW w:w="1503" w:type="dxa"/>
            <w:vAlign w:val="center"/>
          </w:tcPr>
          <w:p w:rsidR="005B633F" w:rsidRPr="005B633F" w:rsidRDefault="005B633F" w:rsidP="005F7004">
            <w:pPr>
              <w:spacing w:line="20" w:lineRule="atLeast"/>
              <w:jc w:val="right"/>
              <w:rPr>
                <w:rFonts w:ascii="Arial" w:hAnsi="Arial" w:cs="Arial"/>
                <w:sz w:val="18"/>
                <w:szCs w:val="18"/>
                <w:lang w:val="es-ES"/>
              </w:rPr>
            </w:pPr>
            <w:r w:rsidRPr="005B633F">
              <w:rPr>
                <w:rFonts w:ascii="Arial" w:hAnsi="Arial" w:cs="Arial"/>
                <w:sz w:val="18"/>
                <w:szCs w:val="18"/>
                <w:lang w:val="es-ES"/>
              </w:rPr>
              <w:t>5,441.7</w:t>
            </w:r>
          </w:p>
        </w:tc>
        <w:tc>
          <w:tcPr>
            <w:tcW w:w="1522" w:type="dxa"/>
            <w:vAlign w:val="center"/>
          </w:tcPr>
          <w:p w:rsidR="005B633F" w:rsidRPr="005B633F" w:rsidRDefault="005B633F" w:rsidP="005F7004">
            <w:pPr>
              <w:spacing w:line="20" w:lineRule="atLeast"/>
              <w:jc w:val="right"/>
              <w:rPr>
                <w:rFonts w:ascii="Arial" w:hAnsi="Arial" w:cs="Arial"/>
                <w:sz w:val="18"/>
                <w:szCs w:val="18"/>
                <w:lang w:val="es-ES"/>
              </w:rPr>
            </w:pPr>
            <w:r w:rsidRPr="005B633F">
              <w:rPr>
                <w:rFonts w:ascii="Arial" w:hAnsi="Arial" w:cs="Arial"/>
                <w:sz w:val="18"/>
                <w:szCs w:val="18"/>
                <w:lang w:val="es-ES"/>
              </w:rPr>
              <w:t>5,441.7</w:t>
            </w:r>
          </w:p>
        </w:tc>
        <w:tc>
          <w:tcPr>
            <w:tcW w:w="1573" w:type="dxa"/>
          </w:tcPr>
          <w:p w:rsidR="005B633F" w:rsidRPr="005B633F" w:rsidRDefault="005B633F" w:rsidP="005F7004">
            <w:pPr>
              <w:spacing w:line="20" w:lineRule="atLeast"/>
              <w:jc w:val="right"/>
              <w:rPr>
                <w:rFonts w:ascii="Arial" w:hAnsi="Arial" w:cs="Arial"/>
                <w:sz w:val="18"/>
                <w:szCs w:val="18"/>
                <w:lang w:val="es-ES"/>
              </w:rPr>
            </w:pPr>
            <w:r w:rsidRPr="005B633F">
              <w:rPr>
                <w:rFonts w:ascii="Arial" w:hAnsi="Arial" w:cs="Arial"/>
                <w:sz w:val="18"/>
                <w:szCs w:val="18"/>
                <w:lang w:val="es-ES"/>
              </w:rPr>
              <w:t>1,813.9</w:t>
            </w:r>
          </w:p>
        </w:tc>
        <w:tc>
          <w:tcPr>
            <w:tcW w:w="1573" w:type="dxa"/>
            <w:vAlign w:val="center"/>
          </w:tcPr>
          <w:p w:rsidR="005B633F" w:rsidRPr="00F76C73" w:rsidRDefault="005B633F" w:rsidP="005F7004">
            <w:pPr>
              <w:spacing w:line="20" w:lineRule="atLeast"/>
              <w:jc w:val="right"/>
              <w:rPr>
                <w:rFonts w:ascii="Arial" w:hAnsi="Arial" w:cs="Arial"/>
                <w:sz w:val="18"/>
                <w:szCs w:val="18"/>
                <w:lang w:val="es-ES"/>
              </w:rPr>
            </w:pPr>
            <w:r>
              <w:rPr>
                <w:rFonts w:ascii="Arial" w:hAnsi="Arial" w:cs="Arial"/>
                <w:sz w:val="18"/>
                <w:szCs w:val="18"/>
                <w:lang w:val="es-ES"/>
              </w:rPr>
              <w:t>18,139</w:t>
            </w:r>
          </w:p>
        </w:tc>
      </w:tr>
      <w:tr w:rsidR="005B633F" w:rsidRPr="00196C02" w:rsidTr="005B633F">
        <w:trPr>
          <w:trHeight w:val="135"/>
          <w:jc w:val="center"/>
        </w:trPr>
        <w:tc>
          <w:tcPr>
            <w:tcW w:w="1503" w:type="dxa"/>
            <w:vAlign w:val="center"/>
          </w:tcPr>
          <w:p w:rsidR="005B633F" w:rsidRPr="00F76C73" w:rsidRDefault="005B633F" w:rsidP="005F7004">
            <w:pPr>
              <w:spacing w:line="20" w:lineRule="atLeast"/>
              <w:rPr>
                <w:rFonts w:ascii="Arial" w:hAnsi="Arial" w:cs="Arial"/>
                <w:sz w:val="18"/>
                <w:szCs w:val="18"/>
                <w:lang w:val="es-ES"/>
              </w:rPr>
            </w:pPr>
            <w:r w:rsidRPr="00F76C73">
              <w:rPr>
                <w:rFonts w:ascii="Arial" w:hAnsi="Arial" w:cs="Arial"/>
                <w:sz w:val="18"/>
                <w:szCs w:val="18"/>
                <w:lang w:val="es-ES"/>
              </w:rPr>
              <w:t>Interventorías</w:t>
            </w:r>
          </w:p>
        </w:tc>
        <w:tc>
          <w:tcPr>
            <w:tcW w:w="1754" w:type="dxa"/>
            <w:vAlign w:val="center"/>
          </w:tcPr>
          <w:p w:rsidR="005B633F" w:rsidRPr="009E0124" w:rsidRDefault="005B633F" w:rsidP="005F7004">
            <w:pPr>
              <w:spacing w:line="20" w:lineRule="atLeast"/>
              <w:jc w:val="right"/>
              <w:rPr>
                <w:rFonts w:ascii="Arial" w:hAnsi="Arial" w:cs="Arial"/>
                <w:sz w:val="18"/>
                <w:szCs w:val="18"/>
                <w:lang w:val="es-ES"/>
              </w:rPr>
            </w:pPr>
            <w:r>
              <w:rPr>
                <w:rFonts w:ascii="Arial" w:hAnsi="Arial" w:cs="Arial"/>
                <w:sz w:val="18"/>
                <w:szCs w:val="18"/>
                <w:lang w:val="es-ES"/>
              </w:rPr>
              <w:t>168.3</w:t>
            </w:r>
          </w:p>
        </w:tc>
        <w:tc>
          <w:tcPr>
            <w:tcW w:w="1503" w:type="dxa"/>
            <w:vAlign w:val="center"/>
          </w:tcPr>
          <w:p w:rsidR="005B633F" w:rsidRPr="009E0124" w:rsidRDefault="005B633F" w:rsidP="005F7004">
            <w:pPr>
              <w:spacing w:line="20" w:lineRule="atLeast"/>
              <w:jc w:val="right"/>
              <w:rPr>
                <w:rFonts w:ascii="Arial" w:hAnsi="Arial" w:cs="Arial"/>
                <w:sz w:val="18"/>
                <w:szCs w:val="18"/>
                <w:lang w:val="es-ES"/>
              </w:rPr>
            </w:pPr>
            <w:r>
              <w:rPr>
                <w:rFonts w:ascii="Arial" w:hAnsi="Arial" w:cs="Arial"/>
                <w:sz w:val="18"/>
                <w:szCs w:val="18"/>
                <w:lang w:val="es-ES"/>
              </w:rPr>
              <w:t>168.3</w:t>
            </w:r>
          </w:p>
        </w:tc>
        <w:tc>
          <w:tcPr>
            <w:tcW w:w="1522" w:type="dxa"/>
            <w:vAlign w:val="center"/>
          </w:tcPr>
          <w:p w:rsidR="005B633F" w:rsidRPr="003041F5" w:rsidRDefault="005B633F" w:rsidP="005F7004">
            <w:pPr>
              <w:spacing w:line="20" w:lineRule="atLeast"/>
              <w:jc w:val="right"/>
              <w:rPr>
                <w:rFonts w:ascii="Arial" w:hAnsi="Arial" w:cs="Arial"/>
                <w:sz w:val="18"/>
                <w:szCs w:val="18"/>
                <w:lang w:val="es-ES"/>
              </w:rPr>
            </w:pPr>
            <w:r>
              <w:rPr>
                <w:rFonts w:ascii="Arial" w:hAnsi="Arial" w:cs="Arial"/>
                <w:sz w:val="18"/>
                <w:szCs w:val="18"/>
                <w:lang w:val="es-ES"/>
              </w:rPr>
              <w:t>168.3</w:t>
            </w:r>
          </w:p>
        </w:tc>
        <w:tc>
          <w:tcPr>
            <w:tcW w:w="1573" w:type="dxa"/>
          </w:tcPr>
          <w:p w:rsidR="005B633F" w:rsidRDefault="005B633F" w:rsidP="005F7004">
            <w:pPr>
              <w:spacing w:line="20" w:lineRule="atLeast"/>
              <w:jc w:val="right"/>
              <w:rPr>
                <w:rFonts w:ascii="Arial" w:hAnsi="Arial" w:cs="Arial"/>
                <w:sz w:val="18"/>
                <w:szCs w:val="18"/>
                <w:lang w:val="es-ES"/>
              </w:rPr>
            </w:pPr>
            <w:r>
              <w:rPr>
                <w:rFonts w:ascii="Arial" w:hAnsi="Arial" w:cs="Arial"/>
                <w:sz w:val="18"/>
                <w:szCs w:val="18"/>
                <w:lang w:val="es-ES"/>
              </w:rPr>
              <w:t>56.1</w:t>
            </w:r>
          </w:p>
        </w:tc>
        <w:tc>
          <w:tcPr>
            <w:tcW w:w="1573" w:type="dxa"/>
            <w:vAlign w:val="center"/>
          </w:tcPr>
          <w:p w:rsidR="005B633F" w:rsidRPr="009E0124" w:rsidRDefault="005B633F" w:rsidP="005F7004">
            <w:pPr>
              <w:spacing w:line="20" w:lineRule="atLeast"/>
              <w:jc w:val="right"/>
              <w:rPr>
                <w:rFonts w:ascii="Arial" w:hAnsi="Arial" w:cs="Arial"/>
                <w:sz w:val="18"/>
                <w:szCs w:val="18"/>
                <w:lang w:val="es-ES"/>
              </w:rPr>
            </w:pPr>
            <w:r>
              <w:rPr>
                <w:rFonts w:ascii="Arial" w:hAnsi="Arial" w:cs="Arial"/>
                <w:sz w:val="18"/>
                <w:szCs w:val="18"/>
                <w:lang w:val="es-ES"/>
              </w:rPr>
              <w:t>561</w:t>
            </w:r>
          </w:p>
        </w:tc>
      </w:tr>
    </w:tbl>
    <w:p w:rsidR="00FA3663" w:rsidRPr="00196C02" w:rsidRDefault="00FA3663" w:rsidP="00FA3663">
      <w:pPr>
        <w:tabs>
          <w:tab w:val="left" w:pos="6695"/>
        </w:tabs>
        <w:spacing w:after="0" w:line="20" w:lineRule="atLeast"/>
        <w:ind w:left="360"/>
        <w:jc w:val="both"/>
        <w:rPr>
          <w:rFonts w:ascii="Arial" w:hAnsi="Arial" w:cs="Arial"/>
          <w:lang w:val="es-ES"/>
        </w:rPr>
      </w:pPr>
      <w:r>
        <w:rPr>
          <w:rFonts w:ascii="Arial" w:hAnsi="Arial" w:cs="Arial"/>
          <w:lang w:val="es-ES"/>
        </w:rPr>
        <w:tab/>
      </w:r>
    </w:p>
    <w:p w:rsidR="00FA3663" w:rsidRDefault="00FA3663" w:rsidP="00FA3663">
      <w:pPr>
        <w:numPr>
          <w:ilvl w:val="0"/>
          <w:numId w:val="40"/>
        </w:numPr>
        <w:spacing w:after="0" w:line="20" w:lineRule="atLeast"/>
        <w:rPr>
          <w:rFonts w:ascii="Arial" w:hAnsi="Arial" w:cs="Arial"/>
          <w:lang w:val="es-ES"/>
        </w:rPr>
      </w:pPr>
      <w:r>
        <w:rPr>
          <w:rFonts w:ascii="Arial" w:hAnsi="Arial" w:cs="Arial"/>
          <w:b/>
          <w:lang w:val="es-ES"/>
        </w:rPr>
        <w:t>Adquisiciones/Contrataciones</w:t>
      </w:r>
      <w:r w:rsidRPr="00196C02">
        <w:rPr>
          <w:rFonts w:ascii="Arial" w:hAnsi="Arial" w:cs="Arial"/>
          <w:b/>
          <w:lang w:val="es-ES"/>
        </w:rPr>
        <w:t>:</w:t>
      </w:r>
      <w:r w:rsidRPr="00196C02">
        <w:rPr>
          <w:rFonts w:ascii="Arial" w:hAnsi="Arial" w:cs="Arial"/>
          <w:lang w:val="es-ES"/>
        </w:rPr>
        <w:t xml:space="preserve"> En la siguiente Tabla se indican las contrataciones previstas para el proyecto. </w:t>
      </w:r>
    </w:p>
    <w:p w:rsidR="00FA3663" w:rsidRPr="00196C02" w:rsidRDefault="00FA3663" w:rsidP="00FA3663">
      <w:pPr>
        <w:spacing w:after="0" w:line="20" w:lineRule="atLeast"/>
        <w:ind w:left="360"/>
        <w:jc w:val="both"/>
        <w:rPr>
          <w:rFonts w:ascii="Arial" w:hAnsi="Arial" w:cs="Arial"/>
          <w:lang w:val="es-ES"/>
        </w:rPr>
      </w:pPr>
    </w:p>
    <w:tbl>
      <w:tblPr>
        <w:tblStyle w:val="TableGrid11"/>
        <w:tblW w:w="8370" w:type="dxa"/>
        <w:tblInd w:w="378" w:type="dxa"/>
        <w:tblLook w:val="04A0" w:firstRow="1" w:lastRow="0" w:firstColumn="1" w:lastColumn="0" w:noHBand="0" w:noVBand="1"/>
      </w:tblPr>
      <w:tblGrid>
        <w:gridCol w:w="2000"/>
        <w:gridCol w:w="1377"/>
        <w:gridCol w:w="867"/>
        <w:gridCol w:w="1345"/>
        <w:gridCol w:w="2781"/>
      </w:tblGrid>
      <w:tr w:rsidR="00FA3663" w:rsidRPr="00196C02" w:rsidTr="005F7004">
        <w:trPr>
          <w:trHeight w:val="528"/>
        </w:trPr>
        <w:tc>
          <w:tcPr>
            <w:tcW w:w="2000" w:type="dxa"/>
            <w:shd w:val="clear" w:color="auto" w:fill="C2D69B" w:themeFill="accent3" w:themeFillTint="99"/>
            <w:vAlign w:val="center"/>
          </w:tcPr>
          <w:p w:rsidR="00FA3663" w:rsidRPr="00196C02" w:rsidRDefault="00FA3663" w:rsidP="005F7004">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DESCRIPCION</w:t>
            </w:r>
          </w:p>
          <w:p w:rsidR="00FA3663" w:rsidRPr="00196C02" w:rsidRDefault="00FA3663" w:rsidP="005F7004">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 CONTRATO</w:t>
            </w:r>
          </w:p>
        </w:tc>
        <w:tc>
          <w:tcPr>
            <w:tcW w:w="1377" w:type="dxa"/>
            <w:shd w:val="clear" w:color="auto" w:fill="C2D69B" w:themeFill="accent3" w:themeFillTint="99"/>
            <w:vAlign w:val="center"/>
          </w:tcPr>
          <w:p w:rsidR="00FA3663" w:rsidRPr="00196C02" w:rsidRDefault="00FA3663" w:rsidP="005F7004">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TIPO</w:t>
            </w:r>
          </w:p>
        </w:tc>
        <w:tc>
          <w:tcPr>
            <w:tcW w:w="867" w:type="dxa"/>
            <w:shd w:val="clear" w:color="auto" w:fill="C2D69B" w:themeFill="accent3" w:themeFillTint="99"/>
            <w:vAlign w:val="center"/>
          </w:tcPr>
          <w:p w:rsidR="00FA3663" w:rsidRPr="00196C02" w:rsidRDefault="00FA3663" w:rsidP="005F7004">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INICIO</w:t>
            </w:r>
          </w:p>
        </w:tc>
        <w:tc>
          <w:tcPr>
            <w:tcW w:w="1345" w:type="dxa"/>
            <w:shd w:val="clear" w:color="auto" w:fill="C2D69B" w:themeFill="accent3" w:themeFillTint="99"/>
            <w:vAlign w:val="center"/>
          </w:tcPr>
          <w:p w:rsidR="00FA3663" w:rsidRPr="00196C02" w:rsidRDefault="00FA3663" w:rsidP="005F7004">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TIEMPO DE EJECUCIÓN</w:t>
            </w:r>
          </w:p>
        </w:tc>
        <w:tc>
          <w:tcPr>
            <w:tcW w:w="2781" w:type="dxa"/>
            <w:shd w:val="clear" w:color="auto" w:fill="C2D69B" w:themeFill="accent3" w:themeFillTint="99"/>
            <w:vAlign w:val="center"/>
          </w:tcPr>
          <w:p w:rsidR="00FA3663" w:rsidRPr="00196C02" w:rsidRDefault="00FA3663" w:rsidP="005F7004">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ESTADO PROCESO</w:t>
            </w:r>
          </w:p>
        </w:tc>
      </w:tr>
      <w:tr w:rsidR="00FA3663" w:rsidRPr="00F30BD7" w:rsidTr="005F7004">
        <w:trPr>
          <w:trHeight w:val="528"/>
        </w:trPr>
        <w:tc>
          <w:tcPr>
            <w:tcW w:w="2000" w:type="dxa"/>
            <w:shd w:val="clear" w:color="auto" w:fill="FFFFFF" w:themeFill="background1"/>
            <w:vAlign w:val="center"/>
          </w:tcPr>
          <w:p w:rsidR="00FA3663" w:rsidRPr="00D82AB0" w:rsidRDefault="00FA3663" w:rsidP="005F7004">
            <w:pPr>
              <w:spacing w:line="20" w:lineRule="atLeast"/>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Obras Civiles</w:t>
            </w:r>
          </w:p>
        </w:tc>
        <w:tc>
          <w:tcPr>
            <w:tcW w:w="1377" w:type="dxa"/>
            <w:shd w:val="clear" w:color="auto" w:fill="FFFFFF" w:themeFill="background1"/>
            <w:vAlign w:val="center"/>
          </w:tcPr>
          <w:p w:rsidR="00FA3663" w:rsidRPr="00D82AB0" w:rsidRDefault="00FA3663" w:rsidP="005F7004">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Infraestructura</w:t>
            </w:r>
          </w:p>
        </w:tc>
        <w:tc>
          <w:tcPr>
            <w:tcW w:w="867" w:type="dxa"/>
            <w:shd w:val="clear" w:color="auto" w:fill="FFFFFF" w:themeFill="background1"/>
            <w:vAlign w:val="center"/>
          </w:tcPr>
          <w:p w:rsidR="00FA3663" w:rsidRPr="00D82AB0" w:rsidRDefault="005B633F" w:rsidP="005F7004">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2019</w:t>
            </w:r>
            <w:r w:rsidR="00FA3663">
              <w:rPr>
                <w:rFonts w:ascii="Arial" w:eastAsia="Times New Roman" w:hAnsi="Arial" w:cs="Arial"/>
                <w:color w:val="000000"/>
                <w:kern w:val="24"/>
                <w:sz w:val="18"/>
                <w:szCs w:val="18"/>
                <w:lang w:val="es-MX" w:eastAsia="es-CO"/>
              </w:rPr>
              <w:t>/</w:t>
            </w:r>
            <w:r>
              <w:rPr>
                <w:rFonts w:ascii="Arial" w:eastAsia="Times New Roman" w:hAnsi="Arial" w:cs="Arial"/>
                <w:color w:val="000000"/>
                <w:kern w:val="24"/>
                <w:sz w:val="18"/>
                <w:szCs w:val="18"/>
                <w:lang w:val="es-MX" w:eastAsia="es-CO"/>
              </w:rPr>
              <w:t>01</w:t>
            </w:r>
          </w:p>
        </w:tc>
        <w:tc>
          <w:tcPr>
            <w:tcW w:w="1345" w:type="dxa"/>
            <w:shd w:val="clear" w:color="auto" w:fill="FFFFFF" w:themeFill="background1"/>
            <w:vAlign w:val="center"/>
          </w:tcPr>
          <w:p w:rsidR="00FA3663" w:rsidRPr="00D82AB0" w:rsidRDefault="005B633F" w:rsidP="005F7004">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40</w:t>
            </w:r>
            <w:r w:rsidR="00FA3663">
              <w:rPr>
                <w:rFonts w:ascii="Arial" w:eastAsia="Times New Roman" w:hAnsi="Arial" w:cs="Arial"/>
                <w:color w:val="000000"/>
                <w:kern w:val="24"/>
                <w:sz w:val="18"/>
                <w:szCs w:val="18"/>
                <w:lang w:val="es-MX" w:eastAsia="es-CO"/>
              </w:rPr>
              <w:t xml:space="preserve"> </w:t>
            </w:r>
            <w:r w:rsidR="00FA3663" w:rsidRPr="00D82AB0">
              <w:rPr>
                <w:rFonts w:ascii="Arial" w:eastAsia="Times New Roman" w:hAnsi="Arial" w:cs="Arial"/>
                <w:color w:val="000000"/>
                <w:kern w:val="24"/>
                <w:sz w:val="18"/>
                <w:szCs w:val="18"/>
                <w:lang w:val="es-MX" w:eastAsia="es-CO"/>
              </w:rPr>
              <w:t>meses</w:t>
            </w:r>
          </w:p>
        </w:tc>
        <w:tc>
          <w:tcPr>
            <w:tcW w:w="2781" w:type="dxa"/>
            <w:shd w:val="clear" w:color="auto" w:fill="FFFFFF" w:themeFill="background1"/>
            <w:vAlign w:val="center"/>
          </w:tcPr>
          <w:p w:rsidR="00FA3663" w:rsidRPr="00D82AB0" w:rsidRDefault="00FA3663" w:rsidP="005F7004">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En preparación</w:t>
            </w:r>
          </w:p>
        </w:tc>
      </w:tr>
      <w:tr w:rsidR="00FA3663" w:rsidRPr="00F30BD7" w:rsidTr="005F7004">
        <w:trPr>
          <w:trHeight w:val="528"/>
        </w:trPr>
        <w:tc>
          <w:tcPr>
            <w:tcW w:w="2000" w:type="dxa"/>
            <w:shd w:val="clear" w:color="auto" w:fill="FFFFFF" w:themeFill="background1"/>
            <w:vAlign w:val="center"/>
          </w:tcPr>
          <w:p w:rsidR="00FA3663" w:rsidRPr="00D82AB0" w:rsidRDefault="00FA3663" w:rsidP="005B633F">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Contrato de interventoría técnica</w:t>
            </w:r>
          </w:p>
        </w:tc>
        <w:tc>
          <w:tcPr>
            <w:tcW w:w="1377" w:type="dxa"/>
            <w:shd w:val="clear" w:color="auto" w:fill="FFFFFF" w:themeFill="background1"/>
            <w:vAlign w:val="center"/>
          </w:tcPr>
          <w:p w:rsidR="00FA3663" w:rsidRPr="00D82AB0" w:rsidRDefault="00FA3663" w:rsidP="005F7004">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Supervisión</w:t>
            </w:r>
          </w:p>
        </w:tc>
        <w:tc>
          <w:tcPr>
            <w:tcW w:w="867" w:type="dxa"/>
            <w:shd w:val="clear" w:color="auto" w:fill="FFFFFF" w:themeFill="background1"/>
            <w:vAlign w:val="center"/>
          </w:tcPr>
          <w:p w:rsidR="00FA3663" w:rsidRPr="00D82AB0" w:rsidRDefault="005B633F" w:rsidP="005F7004">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2019</w:t>
            </w:r>
            <w:r w:rsidR="00FA3663">
              <w:rPr>
                <w:rFonts w:ascii="Arial" w:eastAsia="Times New Roman" w:hAnsi="Arial" w:cs="Arial"/>
                <w:color w:val="000000"/>
                <w:kern w:val="24"/>
                <w:sz w:val="18"/>
                <w:szCs w:val="18"/>
                <w:lang w:val="es-MX" w:eastAsia="es-CO"/>
              </w:rPr>
              <w:t>/</w:t>
            </w:r>
            <w:r>
              <w:rPr>
                <w:rFonts w:ascii="Arial" w:eastAsia="Times New Roman" w:hAnsi="Arial" w:cs="Arial"/>
                <w:color w:val="000000"/>
                <w:kern w:val="24"/>
                <w:sz w:val="18"/>
                <w:szCs w:val="18"/>
                <w:lang w:val="es-MX" w:eastAsia="es-CO"/>
              </w:rPr>
              <w:t>01</w:t>
            </w:r>
          </w:p>
        </w:tc>
        <w:tc>
          <w:tcPr>
            <w:tcW w:w="1345" w:type="dxa"/>
            <w:shd w:val="clear" w:color="auto" w:fill="FFFFFF" w:themeFill="background1"/>
            <w:vAlign w:val="center"/>
          </w:tcPr>
          <w:p w:rsidR="00FA3663" w:rsidRPr="00D82AB0" w:rsidRDefault="005B633F" w:rsidP="005F7004">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4</w:t>
            </w:r>
            <w:r w:rsidR="00FA3663">
              <w:rPr>
                <w:rFonts w:ascii="Arial" w:eastAsia="Times New Roman" w:hAnsi="Arial" w:cs="Arial"/>
                <w:color w:val="000000"/>
                <w:kern w:val="24"/>
                <w:sz w:val="18"/>
                <w:szCs w:val="18"/>
                <w:lang w:val="es-MX" w:eastAsia="es-CO"/>
              </w:rPr>
              <w:t>0</w:t>
            </w:r>
            <w:r w:rsidR="00FA3663" w:rsidRPr="00D82AB0">
              <w:rPr>
                <w:rFonts w:ascii="Arial" w:eastAsia="Times New Roman" w:hAnsi="Arial" w:cs="Arial"/>
                <w:color w:val="000000"/>
                <w:kern w:val="24"/>
                <w:sz w:val="18"/>
                <w:szCs w:val="18"/>
                <w:lang w:val="es-MX" w:eastAsia="es-CO"/>
              </w:rPr>
              <w:t xml:space="preserve"> meses</w:t>
            </w:r>
          </w:p>
        </w:tc>
        <w:tc>
          <w:tcPr>
            <w:tcW w:w="2781" w:type="dxa"/>
            <w:shd w:val="clear" w:color="auto" w:fill="FFFFFF" w:themeFill="background1"/>
            <w:vAlign w:val="center"/>
          </w:tcPr>
          <w:p w:rsidR="00FA3663" w:rsidRPr="00D82AB0" w:rsidRDefault="00FA3663" w:rsidP="005F7004">
            <w:pPr>
              <w:spacing w:line="20" w:lineRule="atLeast"/>
              <w:rPr>
                <w:rFonts w:ascii="Arial" w:hAnsi="Arial" w:cs="Arial"/>
                <w:sz w:val="18"/>
                <w:szCs w:val="18"/>
              </w:rPr>
            </w:pPr>
            <w:r w:rsidRPr="00D82AB0">
              <w:rPr>
                <w:rFonts w:ascii="Arial" w:hAnsi="Arial" w:cs="Arial"/>
                <w:sz w:val="18"/>
                <w:szCs w:val="18"/>
              </w:rPr>
              <w:t>En preparación</w:t>
            </w:r>
          </w:p>
        </w:tc>
      </w:tr>
    </w:tbl>
    <w:p w:rsidR="00FA3663" w:rsidRDefault="00FA3663" w:rsidP="00FA3663">
      <w:pPr>
        <w:spacing w:after="0" w:line="20" w:lineRule="atLeast"/>
        <w:rPr>
          <w:rFonts w:ascii="Arial" w:eastAsia="Times New Roman" w:hAnsi="Arial" w:cs="Arial"/>
          <w:color w:val="000000"/>
          <w:kern w:val="24"/>
          <w:lang w:val="es-MX" w:eastAsia="es-CO"/>
        </w:rPr>
      </w:pPr>
    </w:p>
    <w:p w:rsidR="00FA3663" w:rsidRPr="00196C02" w:rsidRDefault="00FA3663" w:rsidP="00FA3663">
      <w:pPr>
        <w:spacing w:after="0" w:line="20" w:lineRule="atLeast"/>
        <w:rPr>
          <w:rFonts w:ascii="Arial" w:eastAsia="Times New Roman" w:hAnsi="Arial" w:cs="Arial"/>
          <w:color w:val="000000"/>
          <w:kern w:val="24"/>
          <w:lang w:val="es-MX" w:eastAsia="es-CO"/>
        </w:rPr>
      </w:pPr>
    </w:p>
    <w:p w:rsidR="00FA3663" w:rsidRDefault="00FA3663" w:rsidP="00FA3663">
      <w:pPr>
        <w:numPr>
          <w:ilvl w:val="0"/>
          <w:numId w:val="40"/>
        </w:numPr>
        <w:spacing w:after="0" w:line="20" w:lineRule="atLeast"/>
        <w:rPr>
          <w:rFonts w:ascii="Arial" w:hAnsi="Arial" w:cs="Arial"/>
          <w:lang w:val="es-ES"/>
        </w:rPr>
      </w:pPr>
      <w:r w:rsidRPr="00196C02">
        <w:rPr>
          <w:rFonts w:ascii="Arial" w:hAnsi="Arial" w:cs="Arial"/>
          <w:b/>
          <w:lang w:val="es-ES"/>
        </w:rPr>
        <w:t xml:space="preserve">Riesgos: </w:t>
      </w:r>
      <w:r w:rsidRPr="004C50CF">
        <w:rPr>
          <w:rFonts w:ascii="Arial" w:hAnsi="Arial" w:cs="Arial"/>
          <w:lang w:val="es-ES"/>
        </w:rPr>
        <w:t xml:space="preserve">Los principales riesgos del proyecto se refieren a: </w:t>
      </w:r>
    </w:p>
    <w:p w:rsidR="00FA3663" w:rsidRDefault="00FA3663" w:rsidP="00FA3663">
      <w:pPr>
        <w:pStyle w:val="ListParagraph"/>
        <w:numPr>
          <w:ilvl w:val="0"/>
          <w:numId w:val="39"/>
        </w:numPr>
        <w:spacing w:before="120" w:after="120" w:line="240" w:lineRule="auto"/>
        <w:contextualSpacing w:val="0"/>
        <w:jc w:val="both"/>
        <w:rPr>
          <w:rFonts w:ascii="Arial" w:hAnsi="Arial" w:cs="Arial"/>
          <w:lang w:val="es-ES"/>
        </w:rPr>
      </w:pPr>
      <w:r>
        <w:rPr>
          <w:rFonts w:ascii="Arial" w:hAnsi="Arial" w:cs="Arial"/>
          <w:lang w:val="es-ES"/>
        </w:rPr>
        <w:t>La entrega tardía de los estudios de pre-inversión, riesgo que se considera moderado y que podrá ser mitigado mediante el estrecho monitoreo y supervisión de los respectivos contratos.</w:t>
      </w:r>
    </w:p>
    <w:p w:rsidR="00FA3663" w:rsidRDefault="00FA3663" w:rsidP="00FA3663">
      <w:pPr>
        <w:pStyle w:val="ListParagraph"/>
        <w:numPr>
          <w:ilvl w:val="0"/>
          <w:numId w:val="39"/>
        </w:numPr>
        <w:spacing w:before="120" w:after="120" w:line="240" w:lineRule="auto"/>
        <w:contextualSpacing w:val="0"/>
        <w:jc w:val="both"/>
        <w:rPr>
          <w:rFonts w:ascii="Arial" w:hAnsi="Arial" w:cs="Arial"/>
          <w:lang w:val="es-ES"/>
        </w:rPr>
      </w:pPr>
      <w:r>
        <w:rPr>
          <w:rFonts w:ascii="Arial" w:hAnsi="Arial" w:cs="Arial"/>
          <w:lang w:val="es-ES"/>
        </w:rPr>
        <w:t xml:space="preserve">Los posibles rezagos en la tramitación de las licencias </w:t>
      </w:r>
      <w:r w:rsidR="005A4BF4">
        <w:rPr>
          <w:rFonts w:ascii="Arial" w:hAnsi="Arial" w:cs="Arial"/>
          <w:lang w:val="es-ES"/>
        </w:rPr>
        <w:t>de construcción</w:t>
      </w:r>
      <w:r>
        <w:rPr>
          <w:rFonts w:ascii="Arial" w:hAnsi="Arial" w:cs="Arial"/>
          <w:lang w:val="es-ES"/>
        </w:rPr>
        <w:t xml:space="preserve"> respectivas representan un riesgo moderado, que podrá mitigarse mediante la temprana </w:t>
      </w:r>
      <w:r>
        <w:rPr>
          <w:rFonts w:ascii="Arial" w:hAnsi="Arial" w:cs="Arial"/>
          <w:lang w:val="es-ES"/>
        </w:rPr>
        <w:lastRenderedPageBreak/>
        <w:t xml:space="preserve">atención de las normativas y requerimientos ambientales desde la etapa de pre-inversión. </w:t>
      </w:r>
    </w:p>
    <w:p w:rsidR="00FA3663" w:rsidRPr="000F595D" w:rsidRDefault="00FA3663" w:rsidP="00FA3663">
      <w:pPr>
        <w:pStyle w:val="ListParagraph"/>
        <w:numPr>
          <w:ilvl w:val="0"/>
          <w:numId w:val="39"/>
        </w:numPr>
        <w:kinsoku w:val="0"/>
        <w:overflowPunct w:val="0"/>
        <w:autoSpaceDE w:val="0"/>
        <w:autoSpaceDN w:val="0"/>
        <w:adjustRightInd w:val="0"/>
        <w:spacing w:before="120" w:after="0" w:line="20" w:lineRule="atLeast"/>
        <w:contextualSpacing w:val="0"/>
        <w:jc w:val="both"/>
        <w:rPr>
          <w:rFonts w:ascii="Arial" w:hAnsi="Arial" w:cs="Arial"/>
          <w:b/>
          <w:lang w:val="es-ES"/>
        </w:rPr>
      </w:pPr>
      <w:r w:rsidRPr="000F595D">
        <w:rPr>
          <w:rFonts w:ascii="Arial" w:hAnsi="Arial" w:cs="Arial"/>
          <w:lang w:val="es-ES"/>
        </w:rPr>
        <w:t xml:space="preserve">Existe un riesgo moderado </w:t>
      </w:r>
      <w:r w:rsidR="005A4BF4">
        <w:rPr>
          <w:rFonts w:ascii="Arial" w:hAnsi="Arial" w:cs="Arial"/>
          <w:lang w:val="es-ES"/>
        </w:rPr>
        <w:t>al definir las remodelaciones y mantenimiento que implique realizar obras nuevas</w:t>
      </w:r>
      <w:r w:rsidRPr="000F595D">
        <w:rPr>
          <w:rFonts w:ascii="Arial" w:hAnsi="Arial" w:cs="Arial"/>
          <w:lang w:val="es-ES"/>
        </w:rPr>
        <w:t>.</w:t>
      </w:r>
    </w:p>
    <w:p w:rsidR="00C06B88" w:rsidRDefault="00C06B88" w:rsidP="003E7EEE">
      <w:pPr>
        <w:spacing w:after="0" w:line="20" w:lineRule="atLeast"/>
        <w:jc w:val="both"/>
        <w:rPr>
          <w:rFonts w:ascii="Arial" w:hAnsi="Arial" w:cs="Arial"/>
          <w:b/>
          <w:lang w:val="es-ES"/>
        </w:rPr>
      </w:pPr>
    </w:p>
    <w:p w:rsidR="00C06B88" w:rsidRDefault="00C06B88"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C06B88">
      <w:pPr>
        <w:autoSpaceDE w:val="0"/>
        <w:autoSpaceDN w:val="0"/>
        <w:adjustRightInd w:val="0"/>
        <w:spacing w:after="0"/>
        <w:rPr>
          <w:rFonts w:ascii="Arial" w:hAnsi="Arial" w:cs="Arial"/>
          <w:lang w:val="es-CO" w:bidi="si-LK"/>
        </w:rPr>
      </w:pPr>
    </w:p>
    <w:p w:rsidR="00F919F4" w:rsidRDefault="00F919F4" w:rsidP="00F919F4">
      <w:pPr>
        <w:spacing w:after="0" w:line="20" w:lineRule="atLeast"/>
        <w:jc w:val="right"/>
        <w:rPr>
          <w:rFonts w:ascii="Arial" w:hAnsi="Arial" w:cs="Arial"/>
          <w:b/>
          <w:lang w:val="es-MX"/>
        </w:rPr>
      </w:pPr>
      <w:r w:rsidRPr="00196C02">
        <w:rPr>
          <w:rFonts w:ascii="Arial" w:hAnsi="Arial" w:cs="Arial"/>
          <w:b/>
          <w:lang w:val="es-MX"/>
        </w:rPr>
        <w:t>ANEXO II-</w:t>
      </w:r>
      <w:r w:rsidR="00F60FD0">
        <w:rPr>
          <w:rFonts w:ascii="Arial" w:hAnsi="Arial" w:cs="Arial"/>
          <w:b/>
          <w:lang w:val="es-MX"/>
        </w:rPr>
        <w:t>b</w:t>
      </w:r>
    </w:p>
    <w:p w:rsidR="00F919F4" w:rsidRDefault="00F919F4" w:rsidP="00F919F4">
      <w:pPr>
        <w:spacing w:after="0" w:line="20" w:lineRule="atLeast"/>
        <w:contextualSpacing/>
        <w:jc w:val="center"/>
        <w:outlineLvl w:val="0"/>
        <w:rPr>
          <w:rFonts w:ascii="Arial" w:eastAsia="Times New Roman" w:hAnsi="Arial" w:cs="Arial"/>
          <w:b/>
          <w:bCs/>
          <w:smallCaps/>
          <w:spacing w:val="5"/>
          <w:lang w:val="es-ES" w:bidi="en-US"/>
        </w:rPr>
      </w:pPr>
    </w:p>
    <w:p w:rsidR="00F919F4" w:rsidRDefault="00F919F4" w:rsidP="00F919F4">
      <w:pPr>
        <w:spacing w:after="0" w:line="20" w:lineRule="atLeast"/>
        <w:contextualSpacing/>
        <w:jc w:val="center"/>
        <w:outlineLvl w:val="0"/>
        <w:rPr>
          <w:rFonts w:ascii="Arial" w:eastAsia="Times New Roman" w:hAnsi="Arial" w:cs="Arial"/>
          <w:b/>
          <w:bCs/>
          <w:smallCaps/>
          <w:spacing w:val="5"/>
          <w:lang w:val="es-ES" w:bidi="en-US"/>
        </w:rPr>
      </w:pPr>
    </w:p>
    <w:p w:rsidR="00F919F4" w:rsidRPr="00196C02" w:rsidRDefault="00F919F4" w:rsidP="00F919F4">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rsidR="00F919F4" w:rsidRDefault="00F919F4" w:rsidP="00F919F4">
      <w:pPr>
        <w:spacing w:after="0" w:line="20" w:lineRule="atLeast"/>
        <w:jc w:val="center"/>
        <w:rPr>
          <w:rFonts w:ascii="Arial" w:hAnsi="Arial" w:cs="Arial"/>
          <w:b/>
          <w:bCs/>
          <w:lang w:val="es-ES_tradnl"/>
        </w:rPr>
      </w:pPr>
      <w:r>
        <w:rPr>
          <w:rFonts w:ascii="Arial" w:hAnsi="Arial" w:cs="Arial"/>
          <w:b/>
          <w:bCs/>
          <w:lang w:val="es-ES_tradnl"/>
        </w:rPr>
        <w:t>Tercer</w:t>
      </w:r>
      <w:r w:rsidRPr="00196C02">
        <w:rPr>
          <w:rFonts w:ascii="Arial" w:hAnsi="Arial" w:cs="Arial"/>
          <w:b/>
          <w:bCs/>
          <w:lang w:val="es-ES_tradnl"/>
        </w:rPr>
        <w:t xml:space="preserve"> Programa de Fortalecimiento Fiscal y del Gasto en Inversión </w:t>
      </w:r>
      <w:r>
        <w:rPr>
          <w:rFonts w:ascii="Arial" w:hAnsi="Arial" w:cs="Arial"/>
          <w:b/>
          <w:bCs/>
          <w:lang w:val="es-ES_tradnl"/>
        </w:rPr>
        <w:t>Subnacional III</w:t>
      </w:r>
      <w:r w:rsidRPr="00196C02">
        <w:rPr>
          <w:rFonts w:ascii="Arial" w:hAnsi="Arial" w:cs="Arial"/>
          <w:b/>
          <w:bCs/>
          <w:lang w:val="es-ES_tradnl"/>
        </w:rPr>
        <w:t xml:space="preserve"> </w:t>
      </w:r>
    </w:p>
    <w:p w:rsidR="00F919F4" w:rsidRDefault="00F919F4" w:rsidP="00F919F4">
      <w:pPr>
        <w:spacing w:after="0" w:line="20" w:lineRule="atLeast"/>
        <w:jc w:val="center"/>
        <w:rPr>
          <w:rFonts w:ascii="Arial" w:hAnsi="Arial" w:cs="Arial"/>
          <w:b/>
          <w:bCs/>
          <w:lang w:val="es-ES_tradnl"/>
        </w:rPr>
      </w:pPr>
      <w:r w:rsidRPr="00196C02">
        <w:rPr>
          <w:rFonts w:ascii="Arial" w:hAnsi="Arial" w:cs="Arial"/>
          <w:b/>
          <w:bCs/>
          <w:lang w:val="es-ES_tradnl"/>
        </w:rPr>
        <w:t>(CO-L11</w:t>
      </w:r>
      <w:r>
        <w:rPr>
          <w:rFonts w:ascii="Arial" w:hAnsi="Arial" w:cs="Arial"/>
          <w:b/>
          <w:bCs/>
          <w:lang w:val="es-ES_tradnl"/>
        </w:rPr>
        <w:t>6</w:t>
      </w:r>
      <w:r w:rsidRPr="00196C02">
        <w:rPr>
          <w:rFonts w:ascii="Arial" w:hAnsi="Arial" w:cs="Arial"/>
          <w:b/>
          <w:bCs/>
          <w:lang w:val="es-ES_tradnl"/>
        </w:rPr>
        <w:t>5)</w:t>
      </w:r>
    </w:p>
    <w:p w:rsidR="00F919F4" w:rsidRPr="00196C02" w:rsidRDefault="00F919F4" w:rsidP="00F919F4">
      <w:pPr>
        <w:spacing w:after="0" w:line="20" w:lineRule="atLeast"/>
        <w:jc w:val="center"/>
        <w:rPr>
          <w:rFonts w:ascii="Arial" w:hAnsi="Arial" w:cs="Arial"/>
          <w:bCs/>
          <w:lang w:val="es-ES_tradnl"/>
        </w:rPr>
      </w:pPr>
    </w:p>
    <w:p w:rsidR="00F919F4" w:rsidRDefault="00F919F4" w:rsidP="00F919F4">
      <w:pPr>
        <w:tabs>
          <w:tab w:val="left" w:pos="1710"/>
        </w:tabs>
        <w:spacing w:after="0" w:line="20" w:lineRule="atLeast"/>
        <w:jc w:val="center"/>
        <w:rPr>
          <w:rFonts w:ascii="Arial" w:hAnsi="Arial" w:cs="Arial"/>
          <w:b/>
          <w:i/>
          <w:lang w:val="es-ES"/>
        </w:rPr>
      </w:pPr>
      <w:r w:rsidRPr="00196C02">
        <w:rPr>
          <w:rFonts w:ascii="Arial" w:hAnsi="Arial" w:cs="Arial"/>
          <w:b/>
          <w:i/>
          <w:lang w:val="es-ES"/>
        </w:rPr>
        <w:t>Ficha de Identificación de Proyectos de Inversión</w:t>
      </w:r>
    </w:p>
    <w:p w:rsidR="00F919F4" w:rsidRPr="00196C02" w:rsidRDefault="00F919F4" w:rsidP="00F919F4">
      <w:pPr>
        <w:tabs>
          <w:tab w:val="left" w:pos="1710"/>
        </w:tabs>
        <w:spacing w:after="0" w:line="20" w:lineRule="atLeast"/>
        <w:jc w:val="center"/>
        <w:rPr>
          <w:rFonts w:ascii="Arial" w:hAnsi="Arial" w:cs="Arial"/>
          <w:b/>
          <w:i/>
          <w:lang w:val="es-ES"/>
        </w:rPr>
      </w:pPr>
    </w:p>
    <w:p w:rsidR="00F919F4" w:rsidRDefault="00F919F4" w:rsidP="00F60FD0">
      <w:pPr>
        <w:numPr>
          <w:ilvl w:val="0"/>
          <w:numId w:val="41"/>
        </w:numPr>
        <w:spacing w:after="0" w:line="20" w:lineRule="atLeast"/>
        <w:jc w:val="both"/>
        <w:rPr>
          <w:rFonts w:ascii="Arial" w:hAnsi="Arial" w:cs="Arial"/>
          <w:b/>
          <w:lang w:val="es-ES"/>
        </w:rPr>
      </w:pPr>
      <w:r w:rsidRPr="00196C02">
        <w:rPr>
          <w:rFonts w:ascii="Arial" w:hAnsi="Arial" w:cs="Arial"/>
          <w:b/>
          <w:lang w:val="es-ES"/>
        </w:rPr>
        <w:t xml:space="preserve">Información Básica del Proyecto </w:t>
      </w:r>
    </w:p>
    <w:p w:rsidR="00F919F4" w:rsidRPr="00196C02" w:rsidRDefault="00F919F4" w:rsidP="00F919F4">
      <w:pPr>
        <w:spacing w:after="0" w:line="20" w:lineRule="atLeast"/>
        <w:ind w:left="360"/>
        <w:jc w:val="both"/>
        <w:rPr>
          <w:rFonts w:ascii="Arial" w:hAnsi="Arial" w:cs="Arial"/>
          <w:b/>
          <w:lang w:val="es-ES"/>
        </w:rPr>
      </w:pPr>
    </w:p>
    <w:tbl>
      <w:tblPr>
        <w:tblStyle w:val="TableGrid1"/>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F919F4" w:rsidRPr="00FF08AF"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Nombre del Proyecto:</w:t>
            </w:r>
          </w:p>
        </w:tc>
        <w:tc>
          <w:tcPr>
            <w:tcW w:w="4428" w:type="dxa"/>
          </w:tcPr>
          <w:p w:rsidR="00F919F4" w:rsidRPr="00196C02" w:rsidRDefault="00F60FD0" w:rsidP="00535DC9">
            <w:pPr>
              <w:spacing w:line="20" w:lineRule="atLeast"/>
              <w:jc w:val="both"/>
              <w:rPr>
                <w:rFonts w:ascii="Arial" w:hAnsi="Arial" w:cs="Arial"/>
                <w:lang w:val="es-ES"/>
              </w:rPr>
            </w:pPr>
            <w:r w:rsidRPr="00F60FD0">
              <w:rPr>
                <w:rFonts w:ascii="Arial" w:hAnsi="Arial" w:cs="Arial"/>
                <w:lang w:val="es-ES"/>
              </w:rPr>
              <w:t>Construcción de Colegios y Centros de Desarrollo Infantil (CDI)</w:t>
            </w:r>
          </w:p>
        </w:tc>
      </w:tr>
      <w:tr w:rsidR="00F919F4" w:rsidRPr="00196C02"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Ciudad:</w:t>
            </w:r>
          </w:p>
        </w:tc>
        <w:tc>
          <w:tcPr>
            <w:tcW w:w="4428" w:type="dxa"/>
          </w:tcPr>
          <w:p w:rsidR="00F919F4" w:rsidRPr="00196C02" w:rsidRDefault="00F919F4" w:rsidP="00535DC9">
            <w:pPr>
              <w:spacing w:line="20" w:lineRule="atLeast"/>
              <w:jc w:val="both"/>
              <w:rPr>
                <w:rFonts w:ascii="Arial" w:hAnsi="Arial" w:cs="Arial"/>
                <w:lang w:val="es-ES"/>
              </w:rPr>
            </w:pPr>
            <w:r>
              <w:rPr>
                <w:rFonts w:ascii="Arial" w:hAnsi="Arial" w:cs="Arial"/>
                <w:lang w:val="es-ES"/>
              </w:rPr>
              <w:t>Cali</w:t>
            </w:r>
          </w:p>
        </w:tc>
      </w:tr>
      <w:tr w:rsidR="00F919F4" w:rsidRPr="00FF08AF"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 xml:space="preserve">Entidad Responsable (Gobierno Local, Agencia o Empresa) </w:t>
            </w:r>
          </w:p>
        </w:tc>
        <w:tc>
          <w:tcPr>
            <w:tcW w:w="4428" w:type="dxa"/>
          </w:tcPr>
          <w:p w:rsidR="00F919F4" w:rsidRPr="00330982" w:rsidRDefault="00F919F4" w:rsidP="00535DC9">
            <w:pPr>
              <w:spacing w:line="20" w:lineRule="atLeast"/>
              <w:rPr>
                <w:rFonts w:ascii="Arial" w:hAnsi="Arial" w:cs="Arial"/>
                <w:lang w:val="es-ES"/>
              </w:rPr>
            </w:pPr>
            <w:r>
              <w:rPr>
                <w:rFonts w:ascii="Arial" w:hAnsi="Arial" w:cs="Arial"/>
                <w:lang w:val="es-ES"/>
              </w:rPr>
              <w:t>Secretaría de Educación de Cali</w:t>
            </w:r>
          </w:p>
        </w:tc>
      </w:tr>
      <w:tr w:rsidR="00F919F4" w:rsidRPr="00196C02" w:rsidTr="00535DC9">
        <w:tc>
          <w:tcPr>
            <w:tcW w:w="4140" w:type="dxa"/>
          </w:tcPr>
          <w:p w:rsidR="00F919F4" w:rsidRPr="00196C02" w:rsidDel="00B513CC" w:rsidRDefault="00F919F4" w:rsidP="00535DC9">
            <w:pPr>
              <w:spacing w:line="20" w:lineRule="atLeast"/>
              <w:ind w:left="180"/>
              <w:jc w:val="both"/>
              <w:rPr>
                <w:rFonts w:ascii="Arial" w:hAnsi="Arial" w:cs="Arial"/>
                <w:lang w:val="es-ES"/>
              </w:rPr>
            </w:pPr>
            <w:r w:rsidRPr="00196C02">
              <w:rPr>
                <w:rFonts w:ascii="Arial" w:hAnsi="Arial" w:cs="Arial"/>
                <w:lang w:val="es-ES"/>
              </w:rPr>
              <w:t>Agencia Ejecutora:</w:t>
            </w:r>
          </w:p>
        </w:tc>
        <w:tc>
          <w:tcPr>
            <w:tcW w:w="4428" w:type="dxa"/>
          </w:tcPr>
          <w:p w:rsidR="00F919F4" w:rsidRPr="00196C02" w:rsidRDefault="00F919F4" w:rsidP="00535DC9">
            <w:pPr>
              <w:spacing w:line="20" w:lineRule="atLeast"/>
              <w:rPr>
                <w:rFonts w:ascii="Arial" w:hAnsi="Arial" w:cs="Arial"/>
              </w:rPr>
            </w:pPr>
            <w:r>
              <w:rPr>
                <w:rFonts w:ascii="Arial" w:hAnsi="Arial" w:cs="Arial"/>
              </w:rPr>
              <w:t>División de Inversión Pública</w:t>
            </w:r>
          </w:p>
        </w:tc>
      </w:tr>
      <w:tr w:rsidR="00F919F4" w:rsidRPr="00196C02"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Costo total del proyecto o programa (en miles de USD):</w:t>
            </w:r>
          </w:p>
        </w:tc>
        <w:tc>
          <w:tcPr>
            <w:tcW w:w="4428" w:type="dxa"/>
          </w:tcPr>
          <w:p w:rsidR="00F919F4" w:rsidRPr="002D105B" w:rsidRDefault="00F919F4" w:rsidP="00535DC9">
            <w:pPr>
              <w:spacing w:line="20" w:lineRule="atLeast"/>
              <w:ind w:left="360"/>
              <w:jc w:val="right"/>
              <w:rPr>
                <w:rFonts w:ascii="Arial" w:hAnsi="Arial" w:cs="Arial"/>
                <w:lang w:val="es-ES"/>
              </w:rPr>
            </w:pPr>
            <w:r>
              <w:rPr>
                <w:rFonts w:ascii="Arial" w:hAnsi="Arial" w:cs="Arial"/>
                <w:lang w:val="es-ES"/>
              </w:rPr>
              <w:t>74,367.00</w:t>
            </w:r>
          </w:p>
        </w:tc>
      </w:tr>
      <w:tr w:rsidR="00F919F4" w:rsidRPr="00196C02"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Necesidad de Financiamiento: (en miles de USD)</w:t>
            </w:r>
          </w:p>
        </w:tc>
        <w:tc>
          <w:tcPr>
            <w:tcW w:w="4428" w:type="dxa"/>
          </w:tcPr>
          <w:p w:rsidR="00F919F4" w:rsidRPr="002D105B" w:rsidRDefault="00F919F4" w:rsidP="00535DC9">
            <w:pPr>
              <w:spacing w:line="20" w:lineRule="atLeast"/>
              <w:ind w:left="360"/>
              <w:jc w:val="right"/>
              <w:rPr>
                <w:rFonts w:ascii="Arial" w:hAnsi="Arial" w:cs="Arial"/>
                <w:lang w:val="es-ES"/>
              </w:rPr>
            </w:pPr>
            <w:r>
              <w:rPr>
                <w:rFonts w:ascii="Arial" w:hAnsi="Arial" w:cs="Arial"/>
                <w:lang w:val="es-ES"/>
              </w:rPr>
              <w:t>74,367.00</w:t>
            </w:r>
          </w:p>
        </w:tc>
      </w:tr>
      <w:tr w:rsidR="00F919F4" w:rsidRPr="00643F15"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Contrapartida Local: (en miles de USD)</w:t>
            </w:r>
          </w:p>
        </w:tc>
        <w:tc>
          <w:tcPr>
            <w:tcW w:w="4428" w:type="dxa"/>
          </w:tcPr>
          <w:p w:rsidR="00F919F4" w:rsidRPr="002D105B" w:rsidRDefault="00F919F4" w:rsidP="00535DC9">
            <w:pPr>
              <w:spacing w:line="20" w:lineRule="atLeast"/>
              <w:ind w:left="360"/>
              <w:jc w:val="right"/>
              <w:rPr>
                <w:rFonts w:ascii="Arial" w:hAnsi="Arial" w:cs="Arial"/>
                <w:lang w:val="es-ES"/>
              </w:rPr>
            </w:pPr>
            <w:r>
              <w:rPr>
                <w:rFonts w:ascii="Arial" w:hAnsi="Arial" w:cs="Arial"/>
                <w:lang w:val="es-ES"/>
              </w:rPr>
              <w:t>N/A</w:t>
            </w:r>
          </w:p>
        </w:tc>
      </w:tr>
      <w:tr w:rsidR="00F919F4" w:rsidRPr="00196C02"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Periodo de Desembolso (incluye periodo de ejecución):</w:t>
            </w:r>
          </w:p>
        </w:tc>
        <w:tc>
          <w:tcPr>
            <w:tcW w:w="4428" w:type="dxa"/>
          </w:tcPr>
          <w:p w:rsidR="00F919F4" w:rsidRPr="002D105B" w:rsidRDefault="00F919F4" w:rsidP="00535DC9">
            <w:pPr>
              <w:spacing w:line="20" w:lineRule="atLeast"/>
              <w:ind w:left="360"/>
              <w:jc w:val="right"/>
              <w:rPr>
                <w:rFonts w:ascii="Arial" w:hAnsi="Arial" w:cs="Arial"/>
                <w:lang w:val="es-ES"/>
              </w:rPr>
            </w:pPr>
            <w:r>
              <w:rPr>
                <w:rFonts w:ascii="Arial" w:hAnsi="Arial" w:cs="Arial"/>
                <w:lang w:val="es-ES"/>
              </w:rPr>
              <w:t>36 meses</w:t>
            </w:r>
          </w:p>
        </w:tc>
      </w:tr>
      <w:tr w:rsidR="00F919F4" w:rsidRPr="00196C02" w:rsidTr="00535DC9">
        <w:tc>
          <w:tcPr>
            <w:tcW w:w="4140" w:type="dxa"/>
          </w:tcPr>
          <w:p w:rsidR="00F919F4" w:rsidRPr="00196C02" w:rsidRDefault="00F919F4" w:rsidP="00535DC9">
            <w:pPr>
              <w:spacing w:line="20" w:lineRule="atLeast"/>
              <w:ind w:left="180"/>
              <w:jc w:val="both"/>
              <w:rPr>
                <w:rFonts w:ascii="Arial" w:hAnsi="Arial" w:cs="Arial"/>
                <w:lang w:val="es-ES"/>
              </w:rPr>
            </w:pPr>
            <w:r w:rsidRPr="00196C02">
              <w:rPr>
                <w:rFonts w:ascii="Arial" w:hAnsi="Arial" w:cs="Arial"/>
                <w:lang w:val="es-ES"/>
              </w:rPr>
              <w:t xml:space="preserve">Fecha de Inicio: </w:t>
            </w:r>
          </w:p>
        </w:tc>
        <w:tc>
          <w:tcPr>
            <w:tcW w:w="4428" w:type="dxa"/>
          </w:tcPr>
          <w:p w:rsidR="00F919F4" w:rsidRPr="002D105B" w:rsidRDefault="00F919F4" w:rsidP="00535DC9">
            <w:pPr>
              <w:spacing w:line="20" w:lineRule="atLeast"/>
              <w:ind w:left="360"/>
              <w:jc w:val="right"/>
              <w:rPr>
                <w:rFonts w:ascii="Arial" w:hAnsi="Arial" w:cs="Arial"/>
                <w:lang w:val="es-ES"/>
              </w:rPr>
            </w:pPr>
            <w:r>
              <w:rPr>
                <w:rFonts w:ascii="Arial" w:hAnsi="Arial" w:cs="Arial"/>
                <w:lang w:val="es-ES"/>
              </w:rPr>
              <w:t>2019</w:t>
            </w:r>
          </w:p>
        </w:tc>
      </w:tr>
    </w:tbl>
    <w:p w:rsidR="00F919F4" w:rsidRDefault="00F919F4" w:rsidP="00F919F4">
      <w:pPr>
        <w:spacing w:after="0" w:line="20" w:lineRule="atLeast"/>
        <w:ind w:left="360"/>
        <w:rPr>
          <w:rFonts w:ascii="Arial" w:hAnsi="Arial" w:cs="Arial"/>
          <w:b/>
          <w:lang w:val="es-ES"/>
        </w:rPr>
      </w:pPr>
    </w:p>
    <w:p w:rsidR="00F919F4" w:rsidRDefault="00F919F4" w:rsidP="00F60FD0">
      <w:pPr>
        <w:numPr>
          <w:ilvl w:val="0"/>
          <w:numId w:val="41"/>
        </w:numPr>
        <w:spacing w:after="0" w:line="20" w:lineRule="atLeast"/>
        <w:rPr>
          <w:rFonts w:ascii="Arial" w:hAnsi="Arial" w:cs="Arial"/>
          <w:b/>
          <w:lang w:val="es-ES"/>
        </w:rPr>
      </w:pPr>
      <w:r w:rsidRPr="00196C02">
        <w:rPr>
          <w:rFonts w:ascii="Arial" w:hAnsi="Arial" w:cs="Arial"/>
          <w:b/>
          <w:lang w:val="es-ES"/>
        </w:rPr>
        <w:t xml:space="preserve">Descripción Básica del Proyecto </w:t>
      </w:r>
    </w:p>
    <w:p w:rsidR="00F919F4" w:rsidRPr="00196C02" w:rsidRDefault="00F919F4" w:rsidP="00F919F4">
      <w:pPr>
        <w:spacing w:after="0" w:line="20" w:lineRule="atLeast"/>
        <w:ind w:left="360"/>
        <w:rPr>
          <w:rFonts w:ascii="Arial" w:hAnsi="Arial" w:cs="Arial"/>
          <w:b/>
          <w:lang w:val="es-ES"/>
        </w:rPr>
      </w:pPr>
    </w:p>
    <w:p w:rsidR="00F919F4" w:rsidRPr="00DC6D2E" w:rsidRDefault="00F919F4" w:rsidP="00F60FD0">
      <w:pPr>
        <w:numPr>
          <w:ilvl w:val="1"/>
          <w:numId w:val="41"/>
        </w:numPr>
        <w:spacing w:after="0" w:line="20" w:lineRule="atLeast"/>
        <w:ind w:hanging="540"/>
        <w:contextualSpacing/>
        <w:jc w:val="both"/>
        <w:rPr>
          <w:rFonts w:ascii="Arial" w:hAnsi="Arial" w:cs="Arial"/>
          <w:lang w:val="es-MX"/>
        </w:rPr>
      </w:pPr>
      <w:r w:rsidRPr="004F1234">
        <w:rPr>
          <w:rFonts w:ascii="Arial" w:hAnsi="Arial" w:cs="Arial"/>
          <w:b/>
          <w:lang w:val="es-ES"/>
        </w:rPr>
        <w:t>Problema.</w:t>
      </w:r>
      <w:r>
        <w:rPr>
          <w:rFonts w:ascii="Arial" w:hAnsi="Arial" w:cs="Arial"/>
          <w:b/>
          <w:lang w:val="es-ES"/>
        </w:rPr>
        <w:t xml:space="preserve"> </w:t>
      </w:r>
      <w:r w:rsidRPr="005B387B">
        <w:rPr>
          <w:rFonts w:ascii="Arial" w:hAnsi="Arial" w:cs="Arial"/>
          <w:lang w:val="es-ES"/>
        </w:rPr>
        <w:t>En las últimas décadas, Colombia ha logrado avances importantes en materia de escolaridad de la población, especialmente en los niveles de secundaria y media. En la primera, la tasa de cobertura neta pasó del 67% al 74% entre 2005 y 2013. En media, la cobertura neta pasó del 40% al 47% durante el mismo período. El 80,5% de los niños de 4 y 5 años asisten al preescolar, y la cobertura neta de la básica primaria alcanza el 90%. Prácticamente todos los niños acceden y completan la educación básica primaria (grados 1 a 5) y acceden a la básica secundaria (grados 6 a 9). Se ha logrado que todos los niños y jóvenes en el área rural accedan y se mantengan en el sistema educativo hasta alcanzar la básica secundaria, aunque más de la mitad aún no logra terminarla.</w:t>
      </w:r>
      <w:r>
        <w:rPr>
          <w:rFonts w:ascii="Arial" w:hAnsi="Arial" w:cs="Arial"/>
          <w:lang w:val="es-ES"/>
        </w:rPr>
        <w:t xml:space="preserve"> </w:t>
      </w:r>
      <w:r w:rsidRPr="005B387B">
        <w:rPr>
          <w:rFonts w:ascii="Arial" w:hAnsi="Arial" w:cs="Arial"/>
          <w:lang w:val="es-ES"/>
        </w:rPr>
        <w:t>Si bien el acceso al servicio educativo constituye uno de los principales objetivos de la política educativa la permanencia representa un factor esencial para asegurar el cumplimiento del derecho a la educación. Revisando la evolución entre 2011 y 2015 de la tasa deserción intra-anual muestra una ligera caída, que se sitúa entre 0,5 puntos porcentuales y 1 punto porcentual, en primaria y media respectivamente. Para el año 2013 la deserción escolar en los establecimientos educativos de Cali se situó por debajo del promedio nacional, que ascendió a 4,1% en primaria, 5,7%en secundaria y 3,9% en media. En cuanto a las diferencias por sexo, se observa que en todos los niveles educativos la deserción escolar es mayor en los niños</w:t>
      </w:r>
      <w:r>
        <w:rPr>
          <w:rFonts w:ascii="Arial" w:hAnsi="Arial" w:cs="Arial"/>
          <w:lang w:val="es-ES"/>
        </w:rPr>
        <w:t>.</w:t>
      </w:r>
    </w:p>
    <w:p w:rsidR="00F919F4" w:rsidRPr="00196C02" w:rsidRDefault="00F919F4" w:rsidP="00F919F4">
      <w:pPr>
        <w:pStyle w:val="ListParagraph"/>
        <w:spacing w:after="0" w:line="20" w:lineRule="atLeast"/>
        <w:rPr>
          <w:rFonts w:ascii="Arial" w:hAnsi="Arial" w:cs="Arial"/>
          <w:lang w:val="es-ES_tradnl"/>
        </w:rPr>
      </w:pPr>
    </w:p>
    <w:p w:rsidR="00F919F4" w:rsidRDefault="00F919F4" w:rsidP="00F60FD0">
      <w:pPr>
        <w:numPr>
          <w:ilvl w:val="1"/>
          <w:numId w:val="41"/>
        </w:numPr>
        <w:spacing w:after="0" w:line="20" w:lineRule="atLeast"/>
        <w:ind w:hanging="540"/>
        <w:contextualSpacing/>
        <w:jc w:val="both"/>
        <w:rPr>
          <w:rFonts w:ascii="Arial" w:hAnsi="Arial" w:cs="Arial"/>
          <w:lang w:val="es-ES"/>
        </w:rPr>
      </w:pPr>
      <w:r w:rsidRPr="00196C02">
        <w:rPr>
          <w:rFonts w:ascii="Arial" w:hAnsi="Arial" w:cs="Arial"/>
          <w:b/>
          <w:lang w:val="es-ES"/>
        </w:rPr>
        <w:lastRenderedPageBreak/>
        <w:t xml:space="preserve">Objetivo: </w:t>
      </w:r>
      <w:r w:rsidRPr="005B387B">
        <w:rPr>
          <w:rFonts w:ascii="Arial" w:hAnsi="Arial" w:cs="Arial"/>
          <w:lang w:val="es-ES"/>
        </w:rPr>
        <w:t>El objetivo general del Plan de Inversiones de la ciudad es contribuir a la mejora de la sostenibilidad fiscal, el fortalecimiento institucional y la infraestructura y calidad de la educación del municipio de Santiago de Cali. Los objetivos específicos de esta operación son: (i) mejorar el desempeño fiscal en términos de ingresos, gasto público y gestión financiera; (ii) Mejoramiento y Calidad del servicio  educativo</w:t>
      </w:r>
      <w:r>
        <w:rPr>
          <w:rFonts w:ascii="Arial" w:hAnsi="Arial" w:cs="Arial"/>
          <w:lang w:val="es-ES"/>
        </w:rPr>
        <w:t>.</w:t>
      </w:r>
    </w:p>
    <w:p w:rsidR="00F919F4" w:rsidRDefault="00F919F4" w:rsidP="00F919F4">
      <w:pPr>
        <w:spacing w:after="0" w:line="20" w:lineRule="atLeast"/>
        <w:ind w:left="360"/>
        <w:contextualSpacing/>
        <w:jc w:val="both"/>
        <w:rPr>
          <w:rFonts w:ascii="Arial" w:hAnsi="Arial" w:cs="Arial"/>
          <w:lang w:val="es-ES"/>
        </w:rPr>
      </w:pPr>
    </w:p>
    <w:p w:rsidR="00F919F4" w:rsidRPr="00196C02" w:rsidRDefault="00F919F4" w:rsidP="00F919F4">
      <w:pPr>
        <w:spacing w:after="0" w:line="20" w:lineRule="atLeast"/>
        <w:ind w:left="-180"/>
        <w:contextualSpacing/>
        <w:jc w:val="both"/>
        <w:rPr>
          <w:rFonts w:ascii="Arial" w:hAnsi="Arial" w:cs="Arial"/>
          <w:lang w:val="es-ES"/>
        </w:rPr>
      </w:pPr>
    </w:p>
    <w:p w:rsidR="00F919F4" w:rsidRPr="00196C02" w:rsidRDefault="00F919F4" w:rsidP="00F60FD0">
      <w:pPr>
        <w:numPr>
          <w:ilvl w:val="0"/>
          <w:numId w:val="41"/>
        </w:numPr>
        <w:spacing w:after="0" w:line="20" w:lineRule="atLeast"/>
        <w:rPr>
          <w:rFonts w:ascii="Arial" w:hAnsi="Arial" w:cs="Arial"/>
          <w:b/>
          <w:lang w:val="es-ES"/>
        </w:rPr>
      </w:pPr>
      <w:r w:rsidRPr="00196C02">
        <w:rPr>
          <w:rFonts w:ascii="Arial" w:hAnsi="Arial" w:cs="Arial"/>
          <w:b/>
          <w:lang w:val="es-ES"/>
        </w:rPr>
        <w:t>Matriz de Resultados Indicativa</w:t>
      </w:r>
    </w:p>
    <w:p w:rsidR="00F919F4" w:rsidRPr="00196C02" w:rsidRDefault="00F919F4" w:rsidP="00F919F4">
      <w:pPr>
        <w:spacing w:after="0" w:line="20" w:lineRule="atLeast"/>
        <w:ind w:left="360"/>
        <w:rPr>
          <w:rFonts w:ascii="Arial" w:hAnsi="Arial" w:cs="Arial"/>
          <w:b/>
          <w:lang w:val="es-ES"/>
        </w:rPr>
      </w:pPr>
    </w:p>
    <w:tbl>
      <w:tblPr>
        <w:tblStyle w:val="TableGrid1"/>
        <w:tblW w:w="0" w:type="auto"/>
        <w:jc w:val="center"/>
        <w:tblInd w:w="-550" w:type="dxa"/>
        <w:tblLook w:val="04A0" w:firstRow="1" w:lastRow="0" w:firstColumn="1" w:lastColumn="0" w:noHBand="0" w:noVBand="1"/>
      </w:tblPr>
      <w:tblGrid>
        <w:gridCol w:w="3062"/>
        <w:gridCol w:w="1980"/>
        <w:gridCol w:w="1800"/>
        <w:gridCol w:w="2696"/>
      </w:tblGrid>
      <w:tr w:rsidR="00F919F4" w:rsidRPr="00196C02" w:rsidTr="00535DC9">
        <w:trPr>
          <w:jc w:val="center"/>
        </w:trPr>
        <w:tc>
          <w:tcPr>
            <w:tcW w:w="3062"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Indicadores</w:t>
            </w:r>
            <w:r>
              <w:rPr>
                <w:rFonts w:ascii="Arial" w:hAnsi="Arial" w:cs="Arial"/>
                <w:b/>
                <w:sz w:val="18"/>
                <w:szCs w:val="18"/>
                <w:lang w:val="es-ES"/>
              </w:rPr>
              <w:t xml:space="preserve"> de Producto</w:t>
            </w:r>
          </w:p>
        </w:tc>
        <w:tc>
          <w:tcPr>
            <w:tcW w:w="1980"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Línea de Base (Inicio)</w:t>
            </w:r>
          </w:p>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(201</w:t>
            </w:r>
            <w:r>
              <w:rPr>
                <w:rFonts w:ascii="Arial" w:hAnsi="Arial" w:cs="Arial"/>
                <w:b/>
                <w:sz w:val="18"/>
                <w:szCs w:val="18"/>
                <w:lang w:val="es-ES"/>
              </w:rPr>
              <w:t>6</w:t>
            </w:r>
            <w:r w:rsidRPr="00196C02">
              <w:rPr>
                <w:rFonts w:ascii="Arial" w:hAnsi="Arial" w:cs="Arial"/>
                <w:b/>
                <w:sz w:val="18"/>
                <w:szCs w:val="18"/>
                <w:lang w:val="es-ES"/>
              </w:rPr>
              <w:t>)</w:t>
            </w:r>
          </w:p>
        </w:tc>
        <w:tc>
          <w:tcPr>
            <w:tcW w:w="1800"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Meta</w:t>
            </w:r>
          </w:p>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Final programa</w:t>
            </w:r>
          </w:p>
        </w:tc>
        <w:tc>
          <w:tcPr>
            <w:tcW w:w="2696"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Medio de Verificación</w:t>
            </w:r>
          </w:p>
        </w:tc>
      </w:tr>
      <w:tr w:rsidR="00F919F4" w:rsidRPr="005F7004" w:rsidTr="00535DC9">
        <w:trPr>
          <w:trHeight w:val="350"/>
          <w:jc w:val="center"/>
        </w:trPr>
        <w:tc>
          <w:tcPr>
            <w:tcW w:w="3062" w:type="dxa"/>
            <w:vAlign w:val="center"/>
          </w:tcPr>
          <w:p w:rsidR="00F919F4" w:rsidRPr="00881277" w:rsidRDefault="00F919F4" w:rsidP="00535DC9">
            <w:pPr>
              <w:pStyle w:val="ListParagraph"/>
              <w:spacing w:line="20" w:lineRule="atLeast"/>
              <w:ind w:left="0"/>
              <w:rPr>
                <w:rFonts w:ascii="Arial" w:hAnsi="Arial" w:cs="Arial"/>
                <w:sz w:val="18"/>
                <w:szCs w:val="18"/>
                <w:lang w:val="es-ES_tradnl"/>
              </w:rPr>
            </w:pPr>
            <w:r w:rsidRPr="00F919F4">
              <w:rPr>
                <w:rFonts w:ascii="Arial" w:hAnsi="Arial" w:cs="Arial"/>
                <w:sz w:val="18"/>
                <w:szCs w:val="18"/>
                <w:lang w:val="es-ES_tradnl"/>
              </w:rPr>
              <w:t xml:space="preserve">Construcción de Colegios y Centros de Desarrollo Infantil (CDI) </w:t>
            </w:r>
          </w:p>
        </w:tc>
        <w:tc>
          <w:tcPr>
            <w:tcW w:w="1980" w:type="dxa"/>
            <w:vAlign w:val="center"/>
          </w:tcPr>
          <w:p w:rsidR="00F919F4" w:rsidRPr="00881277" w:rsidRDefault="00F919F4" w:rsidP="00535DC9">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0</w:t>
            </w:r>
          </w:p>
        </w:tc>
        <w:tc>
          <w:tcPr>
            <w:tcW w:w="1800" w:type="dxa"/>
            <w:vAlign w:val="center"/>
          </w:tcPr>
          <w:p w:rsidR="00F919F4" w:rsidRPr="00881277" w:rsidRDefault="00F919F4" w:rsidP="00535DC9">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7 CDI y 8 colegios</w:t>
            </w:r>
          </w:p>
        </w:tc>
        <w:tc>
          <w:tcPr>
            <w:tcW w:w="2696" w:type="dxa"/>
            <w:vAlign w:val="center"/>
          </w:tcPr>
          <w:p w:rsidR="00F919F4" w:rsidRPr="00881277" w:rsidRDefault="00F919F4" w:rsidP="00535DC9">
            <w:pPr>
              <w:pStyle w:val="ListParagraph"/>
              <w:spacing w:line="20" w:lineRule="atLeast"/>
              <w:ind w:left="0"/>
              <w:rPr>
                <w:rFonts w:ascii="Arial" w:hAnsi="Arial" w:cs="Arial"/>
                <w:sz w:val="18"/>
                <w:szCs w:val="18"/>
                <w:lang w:val="es-ES_tradnl"/>
              </w:rPr>
            </w:pPr>
            <w:r w:rsidRPr="00F919F4">
              <w:rPr>
                <w:rFonts w:ascii="Arial" w:hAnsi="Arial" w:cs="Arial"/>
                <w:sz w:val="18"/>
                <w:szCs w:val="18"/>
                <w:lang w:val="es-ES_tradnl"/>
              </w:rPr>
              <w:t>Análisis económico de Cali</w:t>
            </w:r>
          </w:p>
        </w:tc>
      </w:tr>
    </w:tbl>
    <w:p w:rsidR="00F919F4" w:rsidRPr="001947C8" w:rsidRDefault="00F919F4" w:rsidP="00F919F4">
      <w:pPr>
        <w:spacing w:after="0" w:line="20" w:lineRule="atLeast"/>
        <w:ind w:left="360"/>
        <w:jc w:val="both"/>
        <w:rPr>
          <w:rFonts w:ascii="Arial" w:hAnsi="Arial" w:cs="Arial"/>
          <w:b/>
          <w:lang w:val="es-CO"/>
        </w:rPr>
      </w:pPr>
    </w:p>
    <w:p w:rsidR="00F919F4" w:rsidRPr="00196C02" w:rsidRDefault="00F919F4" w:rsidP="00F60FD0">
      <w:pPr>
        <w:numPr>
          <w:ilvl w:val="0"/>
          <w:numId w:val="41"/>
        </w:numPr>
        <w:spacing w:after="0" w:line="20" w:lineRule="atLeast"/>
        <w:rPr>
          <w:rFonts w:ascii="Arial" w:hAnsi="Arial" w:cs="Arial"/>
          <w:b/>
          <w:lang w:val="es-ES"/>
        </w:rPr>
      </w:pPr>
      <w:r w:rsidRPr="00196C02">
        <w:rPr>
          <w:rFonts w:ascii="Arial" w:hAnsi="Arial" w:cs="Arial"/>
          <w:b/>
          <w:lang w:val="es-ES"/>
        </w:rPr>
        <w:t xml:space="preserve">Presupuesto Indicativo (en </w:t>
      </w:r>
      <w:r>
        <w:rPr>
          <w:rFonts w:ascii="Arial" w:hAnsi="Arial" w:cs="Arial"/>
          <w:b/>
          <w:lang w:val="es-ES"/>
        </w:rPr>
        <w:t>USD</w:t>
      </w:r>
      <w:r w:rsidRPr="00196C02">
        <w:rPr>
          <w:rFonts w:ascii="Arial" w:hAnsi="Arial" w:cs="Arial"/>
          <w:b/>
          <w:lang w:val="es-ES"/>
        </w:rPr>
        <w:t>)</w:t>
      </w:r>
    </w:p>
    <w:p w:rsidR="00F919F4" w:rsidRPr="00196C02" w:rsidRDefault="00F919F4" w:rsidP="00F919F4">
      <w:pPr>
        <w:spacing w:after="0" w:line="20" w:lineRule="atLeast"/>
        <w:ind w:left="360"/>
        <w:jc w:val="both"/>
        <w:rPr>
          <w:rFonts w:ascii="Arial" w:hAnsi="Arial" w:cs="Arial"/>
          <w:b/>
          <w:lang w:val="es-ES"/>
        </w:rPr>
      </w:pPr>
    </w:p>
    <w:tbl>
      <w:tblPr>
        <w:tblStyle w:val="TableGrid2"/>
        <w:tblW w:w="9307" w:type="dxa"/>
        <w:jc w:val="center"/>
        <w:tblInd w:w="-2015" w:type="dxa"/>
        <w:tblLayout w:type="fixed"/>
        <w:tblLook w:val="04A0" w:firstRow="1" w:lastRow="0" w:firstColumn="1" w:lastColumn="0" w:noHBand="0" w:noVBand="1"/>
      </w:tblPr>
      <w:tblGrid>
        <w:gridCol w:w="4712"/>
        <w:gridCol w:w="1900"/>
        <w:gridCol w:w="2695"/>
      </w:tblGrid>
      <w:tr w:rsidR="00F919F4" w:rsidRPr="00196C02" w:rsidTr="00535DC9">
        <w:trPr>
          <w:jc w:val="center"/>
        </w:trPr>
        <w:tc>
          <w:tcPr>
            <w:tcW w:w="4712"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900"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Financiamiento Solicitado</w:t>
            </w:r>
          </w:p>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(FINDETER-BID)</w:t>
            </w:r>
          </w:p>
        </w:tc>
        <w:tc>
          <w:tcPr>
            <w:tcW w:w="2695"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Costo</w:t>
            </w:r>
          </w:p>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Total</w:t>
            </w:r>
          </w:p>
          <w:p w:rsidR="00F919F4" w:rsidRPr="00196C02" w:rsidRDefault="00F919F4" w:rsidP="00535DC9">
            <w:pPr>
              <w:spacing w:line="20" w:lineRule="atLeast"/>
              <w:jc w:val="center"/>
              <w:rPr>
                <w:rFonts w:ascii="Arial" w:hAnsi="Arial" w:cs="Arial"/>
                <w:b/>
                <w:sz w:val="18"/>
                <w:szCs w:val="18"/>
                <w:lang w:val="es-ES"/>
              </w:rPr>
            </w:pPr>
          </w:p>
        </w:tc>
      </w:tr>
      <w:tr w:rsidR="00F919F4" w:rsidRPr="00B1060C" w:rsidTr="00535DC9">
        <w:trPr>
          <w:jc w:val="center"/>
        </w:trPr>
        <w:tc>
          <w:tcPr>
            <w:tcW w:w="4712" w:type="dxa"/>
            <w:vAlign w:val="center"/>
          </w:tcPr>
          <w:p w:rsidR="00F919F4" w:rsidRPr="00643F15" w:rsidRDefault="00F919F4" w:rsidP="00535DC9">
            <w:pPr>
              <w:spacing w:line="20" w:lineRule="atLeast"/>
              <w:rPr>
                <w:rFonts w:ascii="Arial" w:hAnsi="Arial" w:cs="Arial"/>
                <w:sz w:val="18"/>
                <w:szCs w:val="18"/>
                <w:lang w:val="es-ES"/>
              </w:rPr>
            </w:pPr>
            <w:r>
              <w:rPr>
                <w:rFonts w:ascii="Arial" w:hAnsi="Arial" w:cs="Arial"/>
                <w:sz w:val="18"/>
                <w:szCs w:val="18"/>
                <w:lang w:val="es-ES"/>
              </w:rPr>
              <w:t>Obras civiles</w:t>
            </w:r>
          </w:p>
        </w:tc>
        <w:tc>
          <w:tcPr>
            <w:tcW w:w="1900" w:type="dxa"/>
            <w:vAlign w:val="center"/>
          </w:tcPr>
          <w:p w:rsidR="00F919F4" w:rsidRPr="00A879E4"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72,136</w:t>
            </w:r>
          </w:p>
        </w:tc>
        <w:tc>
          <w:tcPr>
            <w:tcW w:w="2695" w:type="dxa"/>
            <w:vAlign w:val="center"/>
          </w:tcPr>
          <w:p w:rsidR="00F919F4" w:rsidRPr="00A879E4"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72,136</w:t>
            </w:r>
          </w:p>
        </w:tc>
      </w:tr>
      <w:tr w:rsidR="00F919F4" w:rsidRPr="00B1060C" w:rsidTr="00535DC9">
        <w:trPr>
          <w:jc w:val="center"/>
        </w:trPr>
        <w:tc>
          <w:tcPr>
            <w:tcW w:w="4712" w:type="dxa"/>
            <w:vAlign w:val="center"/>
          </w:tcPr>
          <w:p w:rsidR="00F919F4" w:rsidRPr="00643F15" w:rsidRDefault="00F919F4" w:rsidP="00535DC9">
            <w:pPr>
              <w:spacing w:line="20" w:lineRule="atLeast"/>
              <w:rPr>
                <w:rFonts w:ascii="Arial" w:hAnsi="Arial" w:cs="Arial"/>
                <w:sz w:val="18"/>
                <w:szCs w:val="18"/>
                <w:lang w:val="es-ES"/>
              </w:rPr>
            </w:pPr>
            <w:r w:rsidRPr="00643F15">
              <w:rPr>
                <w:rFonts w:ascii="Arial" w:hAnsi="Arial" w:cs="Arial"/>
                <w:sz w:val="18"/>
                <w:szCs w:val="18"/>
                <w:lang w:val="es-ES"/>
              </w:rPr>
              <w:t>Interventorías (Técnica y Ambiental)</w:t>
            </w:r>
          </w:p>
        </w:tc>
        <w:tc>
          <w:tcPr>
            <w:tcW w:w="1900" w:type="dxa"/>
            <w:vAlign w:val="center"/>
          </w:tcPr>
          <w:p w:rsidR="00F919F4" w:rsidRPr="00A879E4"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2,231</w:t>
            </w:r>
          </w:p>
        </w:tc>
        <w:tc>
          <w:tcPr>
            <w:tcW w:w="2695" w:type="dxa"/>
            <w:vAlign w:val="center"/>
          </w:tcPr>
          <w:p w:rsidR="00F919F4" w:rsidRPr="00A879E4"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2,231</w:t>
            </w:r>
          </w:p>
        </w:tc>
      </w:tr>
      <w:tr w:rsidR="00F919F4" w:rsidRPr="00196C02" w:rsidTr="00535DC9">
        <w:trPr>
          <w:jc w:val="center"/>
        </w:trPr>
        <w:tc>
          <w:tcPr>
            <w:tcW w:w="4712" w:type="dxa"/>
            <w:shd w:val="clear" w:color="auto" w:fill="C2D69B" w:themeFill="accent3" w:themeFillTint="99"/>
            <w:vAlign w:val="center"/>
          </w:tcPr>
          <w:p w:rsidR="00F919F4" w:rsidRPr="00196C02" w:rsidRDefault="00F919F4" w:rsidP="00535DC9">
            <w:pPr>
              <w:spacing w:line="20" w:lineRule="atLeast"/>
              <w:rPr>
                <w:rFonts w:ascii="Arial" w:hAnsi="Arial" w:cs="Arial"/>
                <w:b/>
                <w:sz w:val="18"/>
                <w:szCs w:val="18"/>
                <w:lang w:val="es-ES"/>
              </w:rPr>
            </w:pPr>
            <w:r w:rsidRPr="00196C02">
              <w:rPr>
                <w:rFonts w:ascii="Arial" w:hAnsi="Arial" w:cs="Arial"/>
                <w:b/>
                <w:sz w:val="18"/>
                <w:szCs w:val="18"/>
                <w:lang w:val="es-ES"/>
              </w:rPr>
              <w:t xml:space="preserve">TOTAL </w:t>
            </w:r>
          </w:p>
        </w:tc>
        <w:tc>
          <w:tcPr>
            <w:tcW w:w="1900" w:type="dxa"/>
            <w:shd w:val="clear" w:color="auto" w:fill="C2D69B" w:themeFill="accent3" w:themeFillTint="99"/>
            <w:vAlign w:val="center"/>
          </w:tcPr>
          <w:p w:rsidR="00F919F4" w:rsidRPr="00196C02" w:rsidRDefault="00F919F4" w:rsidP="00F919F4">
            <w:pPr>
              <w:spacing w:line="20" w:lineRule="atLeast"/>
              <w:jc w:val="right"/>
              <w:rPr>
                <w:rFonts w:ascii="Arial" w:hAnsi="Arial" w:cs="Arial"/>
                <w:b/>
                <w:sz w:val="18"/>
                <w:szCs w:val="18"/>
                <w:lang w:val="es-ES"/>
              </w:rPr>
            </w:pPr>
            <w:r>
              <w:rPr>
                <w:rFonts w:ascii="Arial" w:hAnsi="Arial" w:cs="Arial"/>
                <w:b/>
                <w:sz w:val="18"/>
                <w:szCs w:val="18"/>
                <w:lang w:val="es-ES"/>
              </w:rPr>
              <w:t>74,367</w:t>
            </w:r>
          </w:p>
        </w:tc>
        <w:tc>
          <w:tcPr>
            <w:tcW w:w="2695" w:type="dxa"/>
            <w:shd w:val="clear" w:color="auto" w:fill="C2D69B" w:themeFill="accent3" w:themeFillTint="99"/>
            <w:vAlign w:val="center"/>
          </w:tcPr>
          <w:p w:rsidR="00F919F4" w:rsidRPr="00196C02" w:rsidRDefault="00F919F4" w:rsidP="00535DC9">
            <w:pPr>
              <w:spacing w:line="20" w:lineRule="atLeast"/>
              <w:jc w:val="right"/>
              <w:rPr>
                <w:rFonts w:ascii="Arial" w:hAnsi="Arial" w:cs="Arial"/>
                <w:b/>
                <w:sz w:val="18"/>
                <w:szCs w:val="18"/>
                <w:lang w:val="es-ES"/>
              </w:rPr>
            </w:pPr>
            <w:r>
              <w:rPr>
                <w:rFonts w:ascii="Arial" w:hAnsi="Arial" w:cs="Arial"/>
                <w:b/>
                <w:sz w:val="18"/>
                <w:szCs w:val="18"/>
                <w:lang w:val="es-ES"/>
              </w:rPr>
              <w:t>74,367</w:t>
            </w:r>
          </w:p>
        </w:tc>
      </w:tr>
    </w:tbl>
    <w:p w:rsidR="00F919F4" w:rsidRPr="00196C02" w:rsidRDefault="00F919F4" w:rsidP="00F919F4">
      <w:pPr>
        <w:spacing w:after="0" w:line="20" w:lineRule="atLeast"/>
        <w:ind w:left="360"/>
        <w:jc w:val="both"/>
        <w:rPr>
          <w:rFonts w:ascii="Arial" w:hAnsi="Arial" w:cs="Arial"/>
          <w:b/>
          <w:lang w:val="es-ES"/>
        </w:rPr>
      </w:pPr>
    </w:p>
    <w:p w:rsidR="00F919F4" w:rsidRDefault="00F919F4" w:rsidP="00F60FD0">
      <w:pPr>
        <w:numPr>
          <w:ilvl w:val="0"/>
          <w:numId w:val="41"/>
        </w:numPr>
        <w:spacing w:after="0" w:line="20" w:lineRule="atLeast"/>
        <w:rPr>
          <w:rFonts w:ascii="Arial" w:hAnsi="Arial" w:cs="Arial"/>
          <w:b/>
          <w:lang w:val="es-ES"/>
        </w:rPr>
      </w:pPr>
      <w:r w:rsidRPr="00196C02">
        <w:rPr>
          <w:rFonts w:ascii="Arial" w:hAnsi="Arial" w:cs="Arial"/>
          <w:b/>
          <w:lang w:val="es-ES"/>
        </w:rPr>
        <w:t xml:space="preserve">Cronograma de Desembolsos (en </w:t>
      </w:r>
      <w:r>
        <w:rPr>
          <w:rFonts w:ascii="Arial" w:hAnsi="Arial" w:cs="Arial"/>
          <w:b/>
          <w:lang w:val="es-ES"/>
        </w:rPr>
        <w:t>USD</w:t>
      </w:r>
      <w:r w:rsidRPr="00196C02">
        <w:rPr>
          <w:rFonts w:ascii="Arial" w:hAnsi="Arial" w:cs="Arial"/>
          <w:b/>
          <w:lang w:val="es-ES"/>
        </w:rPr>
        <w:t xml:space="preserve">): </w:t>
      </w:r>
    </w:p>
    <w:p w:rsidR="00F919F4" w:rsidRPr="00196C02" w:rsidRDefault="00F919F4" w:rsidP="00F919F4">
      <w:pPr>
        <w:spacing w:after="0" w:line="20" w:lineRule="atLeast"/>
        <w:ind w:left="360"/>
        <w:jc w:val="both"/>
        <w:rPr>
          <w:rFonts w:ascii="Arial" w:hAnsi="Arial" w:cs="Arial"/>
          <w:b/>
          <w:lang w:val="es-ES"/>
        </w:rPr>
      </w:pPr>
    </w:p>
    <w:tbl>
      <w:tblPr>
        <w:tblStyle w:val="TableGrid3"/>
        <w:tblW w:w="9428" w:type="dxa"/>
        <w:jc w:val="center"/>
        <w:tblInd w:w="-96" w:type="dxa"/>
        <w:tblLayout w:type="fixed"/>
        <w:tblLook w:val="04A0" w:firstRow="1" w:lastRow="0" w:firstColumn="1" w:lastColumn="0" w:noHBand="0" w:noVBand="1"/>
      </w:tblPr>
      <w:tblGrid>
        <w:gridCol w:w="1503"/>
        <w:gridCol w:w="1754"/>
        <w:gridCol w:w="1503"/>
        <w:gridCol w:w="1522"/>
        <w:gridCol w:w="1573"/>
        <w:gridCol w:w="1573"/>
      </w:tblGrid>
      <w:tr w:rsidR="00F919F4" w:rsidRPr="00196C02" w:rsidTr="00535DC9">
        <w:trPr>
          <w:trHeight w:val="135"/>
          <w:jc w:val="center"/>
        </w:trPr>
        <w:tc>
          <w:tcPr>
            <w:tcW w:w="1503"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754"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201</w:t>
            </w:r>
            <w:r>
              <w:rPr>
                <w:rFonts w:ascii="Arial" w:hAnsi="Arial" w:cs="Arial"/>
                <w:b/>
                <w:sz w:val="18"/>
                <w:szCs w:val="18"/>
                <w:lang w:val="es-ES"/>
              </w:rPr>
              <w:t>9</w:t>
            </w:r>
          </w:p>
        </w:tc>
        <w:tc>
          <w:tcPr>
            <w:tcW w:w="1503"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Pr>
                <w:rFonts w:ascii="Arial" w:hAnsi="Arial" w:cs="Arial"/>
                <w:b/>
                <w:sz w:val="18"/>
                <w:szCs w:val="18"/>
                <w:lang w:val="es-ES"/>
              </w:rPr>
              <w:t>2020</w:t>
            </w:r>
          </w:p>
        </w:tc>
        <w:tc>
          <w:tcPr>
            <w:tcW w:w="1522"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Pr>
                <w:rFonts w:ascii="Arial" w:hAnsi="Arial" w:cs="Arial"/>
                <w:b/>
                <w:sz w:val="18"/>
                <w:szCs w:val="18"/>
                <w:lang w:val="es-ES"/>
              </w:rPr>
              <w:t>2021</w:t>
            </w:r>
          </w:p>
        </w:tc>
        <w:tc>
          <w:tcPr>
            <w:tcW w:w="1573" w:type="dxa"/>
            <w:shd w:val="clear" w:color="auto" w:fill="C2D69B" w:themeFill="accent3" w:themeFillTint="99"/>
          </w:tcPr>
          <w:p w:rsidR="00F919F4" w:rsidRPr="00196C02" w:rsidRDefault="00F919F4" w:rsidP="00535DC9">
            <w:pPr>
              <w:spacing w:line="20" w:lineRule="atLeast"/>
              <w:jc w:val="center"/>
              <w:rPr>
                <w:rFonts w:ascii="Arial" w:hAnsi="Arial" w:cs="Arial"/>
                <w:b/>
                <w:sz w:val="18"/>
                <w:szCs w:val="18"/>
                <w:lang w:val="es-ES"/>
              </w:rPr>
            </w:pPr>
            <w:r>
              <w:rPr>
                <w:rFonts w:ascii="Arial" w:hAnsi="Arial" w:cs="Arial"/>
                <w:b/>
                <w:sz w:val="18"/>
                <w:szCs w:val="18"/>
                <w:lang w:val="es-ES"/>
              </w:rPr>
              <w:t>2022</w:t>
            </w:r>
          </w:p>
        </w:tc>
        <w:tc>
          <w:tcPr>
            <w:tcW w:w="1573" w:type="dxa"/>
            <w:shd w:val="clear" w:color="auto" w:fill="C2D69B" w:themeFill="accent3" w:themeFillTint="99"/>
            <w:vAlign w:val="center"/>
          </w:tcPr>
          <w:p w:rsidR="00F919F4" w:rsidRPr="00196C02" w:rsidRDefault="00F919F4"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Costo Total</w:t>
            </w:r>
          </w:p>
        </w:tc>
      </w:tr>
      <w:tr w:rsidR="00F919F4" w:rsidRPr="00196C02" w:rsidTr="00535DC9">
        <w:trPr>
          <w:trHeight w:val="135"/>
          <w:jc w:val="center"/>
        </w:trPr>
        <w:tc>
          <w:tcPr>
            <w:tcW w:w="1503" w:type="dxa"/>
            <w:vAlign w:val="center"/>
          </w:tcPr>
          <w:p w:rsidR="00F919F4" w:rsidRPr="009E0124" w:rsidRDefault="00F919F4" w:rsidP="00535DC9">
            <w:pPr>
              <w:spacing w:line="20" w:lineRule="atLeast"/>
              <w:rPr>
                <w:rFonts w:ascii="Arial" w:hAnsi="Arial" w:cs="Arial"/>
                <w:sz w:val="18"/>
                <w:szCs w:val="18"/>
                <w:lang w:val="es-ES"/>
              </w:rPr>
            </w:pPr>
            <w:r>
              <w:rPr>
                <w:rFonts w:ascii="Arial" w:hAnsi="Arial" w:cs="Arial"/>
                <w:sz w:val="18"/>
                <w:szCs w:val="18"/>
                <w:lang w:val="es-ES"/>
              </w:rPr>
              <w:t>Obras Civiles</w:t>
            </w:r>
          </w:p>
        </w:tc>
        <w:tc>
          <w:tcPr>
            <w:tcW w:w="1754" w:type="dxa"/>
            <w:vAlign w:val="center"/>
          </w:tcPr>
          <w:p w:rsidR="00F919F4" w:rsidRPr="005B633F"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18,034</w:t>
            </w:r>
          </w:p>
        </w:tc>
        <w:tc>
          <w:tcPr>
            <w:tcW w:w="1503" w:type="dxa"/>
            <w:vAlign w:val="center"/>
          </w:tcPr>
          <w:p w:rsidR="00F919F4" w:rsidRPr="005B633F" w:rsidRDefault="00F919F4" w:rsidP="00F919F4">
            <w:pPr>
              <w:spacing w:line="20" w:lineRule="atLeast"/>
              <w:jc w:val="right"/>
              <w:rPr>
                <w:rFonts w:ascii="Arial" w:hAnsi="Arial" w:cs="Arial"/>
                <w:sz w:val="18"/>
                <w:szCs w:val="18"/>
                <w:lang w:val="es-ES"/>
              </w:rPr>
            </w:pPr>
            <w:r>
              <w:rPr>
                <w:rFonts w:ascii="Arial" w:hAnsi="Arial" w:cs="Arial"/>
                <w:sz w:val="18"/>
                <w:szCs w:val="18"/>
                <w:lang w:val="es-ES"/>
              </w:rPr>
              <w:t>24</w:t>
            </w:r>
            <w:r w:rsidRPr="005B633F">
              <w:rPr>
                <w:rFonts w:ascii="Arial" w:hAnsi="Arial" w:cs="Arial"/>
                <w:sz w:val="18"/>
                <w:szCs w:val="18"/>
                <w:lang w:val="es-ES"/>
              </w:rPr>
              <w:t>,</w:t>
            </w:r>
            <w:r>
              <w:rPr>
                <w:rFonts w:ascii="Arial" w:hAnsi="Arial" w:cs="Arial"/>
                <w:sz w:val="18"/>
                <w:szCs w:val="18"/>
                <w:lang w:val="es-ES"/>
              </w:rPr>
              <w:t>045</w:t>
            </w:r>
            <w:r w:rsidRPr="005B633F">
              <w:rPr>
                <w:rFonts w:ascii="Arial" w:hAnsi="Arial" w:cs="Arial"/>
                <w:sz w:val="18"/>
                <w:szCs w:val="18"/>
                <w:lang w:val="es-ES"/>
              </w:rPr>
              <w:t>.</w:t>
            </w:r>
            <w:r>
              <w:rPr>
                <w:rFonts w:ascii="Arial" w:hAnsi="Arial" w:cs="Arial"/>
                <w:sz w:val="18"/>
                <w:szCs w:val="18"/>
                <w:lang w:val="es-ES"/>
              </w:rPr>
              <w:t>33</w:t>
            </w:r>
          </w:p>
        </w:tc>
        <w:tc>
          <w:tcPr>
            <w:tcW w:w="1522" w:type="dxa"/>
            <w:vAlign w:val="center"/>
          </w:tcPr>
          <w:p w:rsidR="00F919F4" w:rsidRPr="005B633F"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24</w:t>
            </w:r>
            <w:r w:rsidRPr="005B633F">
              <w:rPr>
                <w:rFonts w:ascii="Arial" w:hAnsi="Arial" w:cs="Arial"/>
                <w:sz w:val="18"/>
                <w:szCs w:val="18"/>
                <w:lang w:val="es-ES"/>
              </w:rPr>
              <w:t>,</w:t>
            </w:r>
            <w:r>
              <w:rPr>
                <w:rFonts w:ascii="Arial" w:hAnsi="Arial" w:cs="Arial"/>
                <w:sz w:val="18"/>
                <w:szCs w:val="18"/>
                <w:lang w:val="es-ES"/>
              </w:rPr>
              <w:t>045</w:t>
            </w:r>
            <w:r w:rsidRPr="005B633F">
              <w:rPr>
                <w:rFonts w:ascii="Arial" w:hAnsi="Arial" w:cs="Arial"/>
                <w:sz w:val="18"/>
                <w:szCs w:val="18"/>
                <w:lang w:val="es-ES"/>
              </w:rPr>
              <w:t>.</w:t>
            </w:r>
            <w:r>
              <w:rPr>
                <w:rFonts w:ascii="Arial" w:hAnsi="Arial" w:cs="Arial"/>
                <w:sz w:val="18"/>
                <w:szCs w:val="18"/>
                <w:lang w:val="es-ES"/>
              </w:rPr>
              <w:t>33</w:t>
            </w:r>
          </w:p>
        </w:tc>
        <w:tc>
          <w:tcPr>
            <w:tcW w:w="1573" w:type="dxa"/>
          </w:tcPr>
          <w:p w:rsidR="00F919F4" w:rsidRPr="005B633F" w:rsidRDefault="00F60FD0" w:rsidP="00535DC9">
            <w:pPr>
              <w:spacing w:line="20" w:lineRule="atLeast"/>
              <w:jc w:val="right"/>
              <w:rPr>
                <w:rFonts w:ascii="Arial" w:hAnsi="Arial" w:cs="Arial"/>
                <w:sz w:val="18"/>
                <w:szCs w:val="18"/>
                <w:lang w:val="es-ES"/>
              </w:rPr>
            </w:pPr>
            <w:r>
              <w:rPr>
                <w:rFonts w:ascii="Arial" w:hAnsi="Arial" w:cs="Arial"/>
                <w:sz w:val="18"/>
                <w:szCs w:val="18"/>
                <w:lang w:val="es-ES"/>
              </w:rPr>
              <w:t>6,011</w:t>
            </w:r>
            <w:r w:rsidR="00F919F4" w:rsidRPr="005B633F">
              <w:rPr>
                <w:rFonts w:ascii="Arial" w:hAnsi="Arial" w:cs="Arial"/>
                <w:sz w:val="18"/>
                <w:szCs w:val="18"/>
                <w:lang w:val="es-ES"/>
              </w:rPr>
              <w:t>.</w:t>
            </w:r>
            <w:r>
              <w:rPr>
                <w:rFonts w:ascii="Arial" w:hAnsi="Arial" w:cs="Arial"/>
                <w:sz w:val="18"/>
                <w:szCs w:val="18"/>
                <w:lang w:val="es-ES"/>
              </w:rPr>
              <w:t>33</w:t>
            </w:r>
          </w:p>
        </w:tc>
        <w:tc>
          <w:tcPr>
            <w:tcW w:w="1573" w:type="dxa"/>
            <w:vAlign w:val="center"/>
          </w:tcPr>
          <w:p w:rsidR="00F919F4" w:rsidRPr="00F76C73" w:rsidRDefault="00F60FD0" w:rsidP="00535DC9">
            <w:pPr>
              <w:spacing w:line="20" w:lineRule="atLeast"/>
              <w:jc w:val="right"/>
              <w:rPr>
                <w:rFonts w:ascii="Arial" w:hAnsi="Arial" w:cs="Arial"/>
                <w:sz w:val="18"/>
                <w:szCs w:val="18"/>
                <w:lang w:val="es-ES"/>
              </w:rPr>
            </w:pPr>
            <w:r>
              <w:rPr>
                <w:rFonts w:ascii="Arial" w:hAnsi="Arial" w:cs="Arial"/>
                <w:sz w:val="18"/>
                <w:szCs w:val="18"/>
                <w:lang w:val="es-ES"/>
              </w:rPr>
              <w:t>72,136</w:t>
            </w:r>
          </w:p>
        </w:tc>
      </w:tr>
      <w:tr w:rsidR="00F919F4" w:rsidRPr="00196C02" w:rsidTr="00535DC9">
        <w:trPr>
          <w:trHeight w:val="135"/>
          <w:jc w:val="center"/>
        </w:trPr>
        <w:tc>
          <w:tcPr>
            <w:tcW w:w="1503" w:type="dxa"/>
            <w:vAlign w:val="center"/>
          </w:tcPr>
          <w:p w:rsidR="00F919F4" w:rsidRPr="00F76C73" w:rsidRDefault="00F919F4" w:rsidP="00535DC9">
            <w:pPr>
              <w:spacing w:line="20" w:lineRule="atLeast"/>
              <w:rPr>
                <w:rFonts w:ascii="Arial" w:hAnsi="Arial" w:cs="Arial"/>
                <w:sz w:val="18"/>
                <w:szCs w:val="18"/>
                <w:lang w:val="es-ES"/>
              </w:rPr>
            </w:pPr>
            <w:r w:rsidRPr="00F76C73">
              <w:rPr>
                <w:rFonts w:ascii="Arial" w:hAnsi="Arial" w:cs="Arial"/>
                <w:sz w:val="18"/>
                <w:szCs w:val="18"/>
                <w:lang w:val="es-ES"/>
              </w:rPr>
              <w:t>Interventorías</w:t>
            </w:r>
          </w:p>
        </w:tc>
        <w:tc>
          <w:tcPr>
            <w:tcW w:w="1754" w:type="dxa"/>
            <w:vAlign w:val="center"/>
          </w:tcPr>
          <w:p w:rsidR="00F919F4" w:rsidRPr="009E0124" w:rsidRDefault="00F919F4" w:rsidP="00F919F4">
            <w:pPr>
              <w:spacing w:line="20" w:lineRule="atLeast"/>
              <w:jc w:val="right"/>
              <w:rPr>
                <w:rFonts w:ascii="Arial" w:hAnsi="Arial" w:cs="Arial"/>
                <w:sz w:val="18"/>
                <w:szCs w:val="18"/>
                <w:lang w:val="es-ES"/>
              </w:rPr>
            </w:pPr>
            <w:r>
              <w:rPr>
                <w:rFonts w:ascii="Arial" w:hAnsi="Arial" w:cs="Arial"/>
                <w:sz w:val="18"/>
                <w:szCs w:val="18"/>
                <w:lang w:val="es-ES"/>
              </w:rPr>
              <w:t>557.75</w:t>
            </w:r>
          </w:p>
        </w:tc>
        <w:tc>
          <w:tcPr>
            <w:tcW w:w="1503" w:type="dxa"/>
            <w:vAlign w:val="center"/>
          </w:tcPr>
          <w:p w:rsidR="00F919F4" w:rsidRPr="009E0124"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743.67</w:t>
            </w:r>
          </w:p>
        </w:tc>
        <w:tc>
          <w:tcPr>
            <w:tcW w:w="1522" w:type="dxa"/>
            <w:vAlign w:val="center"/>
          </w:tcPr>
          <w:p w:rsidR="00F919F4" w:rsidRPr="009E0124" w:rsidRDefault="00F919F4" w:rsidP="00535DC9">
            <w:pPr>
              <w:spacing w:line="20" w:lineRule="atLeast"/>
              <w:jc w:val="right"/>
              <w:rPr>
                <w:rFonts w:ascii="Arial" w:hAnsi="Arial" w:cs="Arial"/>
                <w:sz w:val="18"/>
                <w:szCs w:val="18"/>
                <w:lang w:val="es-ES"/>
              </w:rPr>
            </w:pPr>
            <w:r>
              <w:rPr>
                <w:rFonts w:ascii="Arial" w:hAnsi="Arial" w:cs="Arial"/>
                <w:sz w:val="18"/>
                <w:szCs w:val="18"/>
                <w:lang w:val="es-ES"/>
              </w:rPr>
              <w:t>743.67</w:t>
            </w:r>
          </w:p>
        </w:tc>
        <w:tc>
          <w:tcPr>
            <w:tcW w:w="1573" w:type="dxa"/>
          </w:tcPr>
          <w:p w:rsidR="00F919F4" w:rsidRDefault="00F60FD0" w:rsidP="00F60FD0">
            <w:pPr>
              <w:spacing w:line="20" w:lineRule="atLeast"/>
              <w:jc w:val="right"/>
              <w:rPr>
                <w:rFonts w:ascii="Arial" w:hAnsi="Arial" w:cs="Arial"/>
                <w:sz w:val="18"/>
                <w:szCs w:val="18"/>
                <w:lang w:val="es-ES"/>
              </w:rPr>
            </w:pPr>
            <w:r>
              <w:rPr>
                <w:rFonts w:ascii="Arial" w:hAnsi="Arial" w:cs="Arial"/>
                <w:sz w:val="18"/>
                <w:szCs w:val="18"/>
                <w:lang w:val="es-ES"/>
              </w:rPr>
              <w:t>18</w:t>
            </w:r>
            <w:r w:rsidR="00F919F4">
              <w:rPr>
                <w:rFonts w:ascii="Arial" w:hAnsi="Arial" w:cs="Arial"/>
                <w:sz w:val="18"/>
                <w:szCs w:val="18"/>
                <w:lang w:val="es-ES"/>
              </w:rPr>
              <w:t>6</w:t>
            </w:r>
          </w:p>
        </w:tc>
        <w:tc>
          <w:tcPr>
            <w:tcW w:w="1573" w:type="dxa"/>
            <w:vAlign w:val="center"/>
          </w:tcPr>
          <w:p w:rsidR="00F919F4" w:rsidRPr="009E0124" w:rsidRDefault="00F60FD0" w:rsidP="00535DC9">
            <w:pPr>
              <w:spacing w:line="20" w:lineRule="atLeast"/>
              <w:jc w:val="right"/>
              <w:rPr>
                <w:rFonts w:ascii="Arial" w:hAnsi="Arial" w:cs="Arial"/>
                <w:sz w:val="18"/>
                <w:szCs w:val="18"/>
                <w:lang w:val="es-ES"/>
              </w:rPr>
            </w:pPr>
            <w:r>
              <w:rPr>
                <w:rFonts w:ascii="Arial" w:hAnsi="Arial" w:cs="Arial"/>
                <w:sz w:val="18"/>
                <w:szCs w:val="18"/>
                <w:lang w:val="es-ES"/>
              </w:rPr>
              <w:t>2,231</w:t>
            </w:r>
          </w:p>
        </w:tc>
      </w:tr>
    </w:tbl>
    <w:p w:rsidR="00F919F4" w:rsidRPr="00196C02" w:rsidRDefault="00F919F4" w:rsidP="00F919F4">
      <w:pPr>
        <w:tabs>
          <w:tab w:val="left" w:pos="6695"/>
        </w:tabs>
        <w:spacing w:after="0" w:line="20" w:lineRule="atLeast"/>
        <w:ind w:left="360"/>
        <w:jc w:val="both"/>
        <w:rPr>
          <w:rFonts w:ascii="Arial" w:hAnsi="Arial" w:cs="Arial"/>
          <w:lang w:val="es-ES"/>
        </w:rPr>
      </w:pPr>
      <w:r>
        <w:rPr>
          <w:rFonts w:ascii="Arial" w:hAnsi="Arial" w:cs="Arial"/>
          <w:lang w:val="es-ES"/>
        </w:rPr>
        <w:tab/>
      </w:r>
    </w:p>
    <w:p w:rsidR="00F919F4" w:rsidRDefault="00F919F4" w:rsidP="00F60FD0">
      <w:pPr>
        <w:numPr>
          <w:ilvl w:val="0"/>
          <w:numId w:val="41"/>
        </w:numPr>
        <w:spacing w:after="0" w:line="20" w:lineRule="atLeast"/>
        <w:rPr>
          <w:rFonts w:ascii="Arial" w:hAnsi="Arial" w:cs="Arial"/>
          <w:lang w:val="es-ES"/>
        </w:rPr>
      </w:pPr>
      <w:r>
        <w:rPr>
          <w:rFonts w:ascii="Arial" w:hAnsi="Arial" w:cs="Arial"/>
          <w:b/>
          <w:lang w:val="es-ES"/>
        </w:rPr>
        <w:t>Adquisiciones/Contrataciones</w:t>
      </w:r>
      <w:r w:rsidRPr="00196C02">
        <w:rPr>
          <w:rFonts w:ascii="Arial" w:hAnsi="Arial" w:cs="Arial"/>
          <w:b/>
          <w:lang w:val="es-ES"/>
        </w:rPr>
        <w:t>:</w:t>
      </w:r>
      <w:r w:rsidRPr="00196C02">
        <w:rPr>
          <w:rFonts w:ascii="Arial" w:hAnsi="Arial" w:cs="Arial"/>
          <w:lang w:val="es-ES"/>
        </w:rPr>
        <w:t xml:space="preserve"> En la siguiente Tabla se indican las contrataciones previstas para el proyecto. </w:t>
      </w:r>
    </w:p>
    <w:p w:rsidR="00F919F4" w:rsidRPr="00196C02" w:rsidRDefault="00F919F4" w:rsidP="00F919F4">
      <w:pPr>
        <w:spacing w:after="0" w:line="20" w:lineRule="atLeast"/>
        <w:ind w:left="360"/>
        <w:jc w:val="both"/>
        <w:rPr>
          <w:rFonts w:ascii="Arial" w:hAnsi="Arial" w:cs="Arial"/>
          <w:lang w:val="es-ES"/>
        </w:rPr>
      </w:pPr>
    </w:p>
    <w:tbl>
      <w:tblPr>
        <w:tblStyle w:val="TableGrid11"/>
        <w:tblW w:w="8370" w:type="dxa"/>
        <w:tblInd w:w="378" w:type="dxa"/>
        <w:tblLook w:val="04A0" w:firstRow="1" w:lastRow="0" w:firstColumn="1" w:lastColumn="0" w:noHBand="0" w:noVBand="1"/>
      </w:tblPr>
      <w:tblGrid>
        <w:gridCol w:w="2000"/>
        <w:gridCol w:w="1377"/>
        <w:gridCol w:w="867"/>
        <w:gridCol w:w="1345"/>
        <w:gridCol w:w="2781"/>
      </w:tblGrid>
      <w:tr w:rsidR="00F919F4" w:rsidRPr="00196C02" w:rsidTr="00535DC9">
        <w:trPr>
          <w:trHeight w:val="528"/>
        </w:trPr>
        <w:tc>
          <w:tcPr>
            <w:tcW w:w="2000" w:type="dxa"/>
            <w:shd w:val="clear" w:color="auto" w:fill="C2D69B" w:themeFill="accent3" w:themeFillTint="99"/>
            <w:vAlign w:val="center"/>
          </w:tcPr>
          <w:p w:rsidR="00F919F4" w:rsidRPr="00196C02" w:rsidRDefault="00F919F4"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DESCRIPCION</w:t>
            </w:r>
          </w:p>
          <w:p w:rsidR="00F919F4" w:rsidRPr="00196C02" w:rsidRDefault="00F919F4"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 CONTRATO</w:t>
            </w:r>
          </w:p>
        </w:tc>
        <w:tc>
          <w:tcPr>
            <w:tcW w:w="1377" w:type="dxa"/>
            <w:shd w:val="clear" w:color="auto" w:fill="C2D69B" w:themeFill="accent3" w:themeFillTint="99"/>
            <w:vAlign w:val="center"/>
          </w:tcPr>
          <w:p w:rsidR="00F919F4" w:rsidRPr="00196C02" w:rsidRDefault="00F919F4"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TIPO</w:t>
            </w:r>
          </w:p>
        </w:tc>
        <w:tc>
          <w:tcPr>
            <w:tcW w:w="867" w:type="dxa"/>
            <w:shd w:val="clear" w:color="auto" w:fill="C2D69B" w:themeFill="accent3" w:themeFillTint="99"/>
            <w:vAlign w:val="center"/>
          </w:tcPr>
          <w:p w:rsidR="00F919F4" w:rsidRPr="00196C02" w:rsidRDefault="00F919F4"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INICIO</w:t>
            </w:r>
          </w:p>
        </w:tc>
        <w:tc>
          <w:tcPr>
            <w:tcW w:w="1345" w:type="dxa"/>
            <w:shd w:val="clear" w:color="auto" w:fill="C2D69B" w:themeFill="accent3" w:themeFillTint="99"/>
            <w:vAlign w:val="center"/>
          </w:tcPr>
          <w:p w:rsidR="00F919F4" w:rsidRPr="00196C02" w:rsidRDefault="00F919F4"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TIEMPO DE EJECUCIÓN</w:t>
            </w:r>
          </w:p>
        </w:tc>
        <w:tc>
          <w:tcPr>
            <w:tcW w:w="2781" w:type="dxa"/>
            <w:shd w:val="clear" w:color="auto" w:fill="C2D69B" w:themeFill="accent3" w:themeFillTint="99"/>
            <w:vAlign w:val="center"/>
          </w:tcPr>
          <w:p w:rsidR="00F919F4" w:rsidRPr="00196C02" w:rsidRDefault="00F919F4"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ESTADO PROCESO</w:t>
            </w:r>
          </w:p>
        </w:tc>
      </w:tr>
      <w:tr w:rsidR="00F919F4" w:rsidRPr="00F30BD7" w:rsidTr="00535DC9">
        <w:trPr>
          <w:trHeight w:val="528"/>
        </w:trPr>
        <w:tc>
          <w:tcPr>
            <w:tcW w:w="2000" w:type="dxa"/>
            <w:shd w:val="clear" w:color="auto" w:fill="FFFFFF" w:themeFill="background1"/>
            <w:vAlign w:val="center"/>
          </w:tcPr>
          <w:p w:rsidR="00F919F4" w:rsidRPr="00D82AB0" w:rsidRDefault="00F919F4" w:rsidP="00535DC9">
            <w:pPr>
              <w:spacing w:line="20" w:lineRule="atLeast"/>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Obras Civiles</w:t>
            </w:r>
          </w:p>
        </w:tc>
        <w:tc>
          <w:tcPr>
            <w:tcW w:w="1377" w:type="dxa"/>
            <w:shd w:val="clear" w:color="auto" w:fill="FFFFFF" w:themeFill="background1"/>
            <w:vAlign w:val="center"/>
          </w:tcPr>
          <w:p w:rsidR="00F919F4" w:rsidRPr="00D82AB0" w:rsidRDefault="00F919F4"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Infraestructura</w:t>
            </w:r>
          </w:p>
        </w:tc>
        <w:tc>
          <w:tcPr>
            <w:tcW w:w="867" w:type="dxa"/>
            <w:shd w:val="clear" w:color="auto" w:fill="FFFFFF" w:themeFill="background1"/>
            <w:vAlign w:val="center"/>
          </w:tcPr>
          <w:p w:rsidR="00F919F4" w:rsidRPr="00D82AB0" w:rsidRDefault="00F919F4" w:rsidP="00F60FD0">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2019/0</w:t>
            </w:r>
            <w:r w:rsidR="00F60FD0">
              <w:rPr>
                <w:rFonts w:ascii="Arial" w:eastAsia="Times New Roman" w:hAnsi="Arial" w:cs="Arial"/>
                <w:color w:val="000000"/>
                <w:kern w:val="24"/>
                <w:sz w:val="18"/>
                <w:szCs w:val="18"/>
                <w:lang w:val="es-MX" w:eastAsia="es-CO"/>
              </w:rPr>
              <w:t>4</w:t>
            </w:r>
          </w:p>
        </w:tc>
        <w:tc>
          <w:tcPr>
            <w:tcW w:w="1345" w:type="dxa"/>
            <w:shd w:val="clear" w:color="auto" w:fill="FFFFFF" w:themeFill="background1"/>
            <w:vAlign w:val="center"/>
          </w:tcPr>
          <w:p w:rsidR="00F919F4" w:rsidRPr="00D82AB0" w:rsidRDefault="00F60FD0"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36</w:t>
            </w:r>
            <w:r w:rsidR="00F919F4">
              <w:rPr>
                <w:rFonts w:ascii="Arial" w:eastAsia="Times New Roman" w:hAnsi="Arial" w:cs="Arial"/>
                <w:color w:val="000000"/>
                <w:kern w:val="24"/>
                <w:sz w:val="18"/>
                <w:szCs w:val="18"/>
                <w:lang w:val="es-MX" w:eastAsia="es-CO"/>
              </w:rPr>
              <w:t xml:space="preserve"> </w:t>
            </w:r>
            <w:r w:rsidR="00F919F4" w:rsidRPr="00D82AB0">
              <w:rPr>
                <w:rFonts w:ascii="Arial" w:eastAsia="Times New Roman" w:hAnsi="Arial" w:cs="Arial"/>
                <w:color w:val="000000"/>
                <w:kern w:val="24"/>
                <w:sz w:val="18"/>
                <w:szCs w:val="18"/>
                <w:lang w:val="es-MX" w:eastAsia="es-CO"/>
              </w:rPr>
              <w:t>meses</w:t>
            </w:r>
          </w:p>
        </w:tc>
        <w:tc>
          <w:tcPr>
            <w:tcW w:w="2781" w:type="dxa"/>
            <w:shd w:val="clear" w:color="auto" w:fill="FFFFFF" w:themeFill="background1"/>
            <w:vAlign w:val="center"/>
          </w:tcPr>
          <w:p w:rsidR="00F919F4" w:rsidRPr="00D82AB0" w:rsidRDefault="00F919F4" w:rsidP="00535DC9">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En preparación</w:t>
            </w:r>
          </w:p>
        </w:tc>
      </w:tr>
      <w:tr w:rsidR="00F919F4" w:rsidRPr="00F30BD7" w:rsidTr="00535DC9">
        <w:trPr>
          <w:trHeight w:val="528"/>
        </w:trPr>
        <w:tc>
          <w:tcPr>
            <w:tcW w:w="2000" w:type="dxa"/>
            <w:shd w:val="clear" w:color="auto" w:fill="FFFFFF" w:themeFill="background1"/>
            <w:vAlign w:val="center"/>
          </w:tcPr>
          <w:p w:rsidR="00F919F4" w:rsidRPr="00D82AB0" w:rsidRDefault="00F919F4" w:rsidP="00535DC9">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Contrato de interventoría técnica</w:t>
            </w:r>
          </w:p>
        </w:tc>
        <w:tc>
          <w:tcPr>
            <w:tcW w:w="1377" w:type="dxa"/>
            <w:shd w:val="clear" w:color="auto" w:fill="FFFFFF" w:themeFill="background1"/>
            <w:vAlign w:val="center"/>
          </w:tcPr>
          <w:p w:rsidR="00F919F4" w:rsidRPr="00D82AB0" w:rsidRDefault="00F919F4" w:rsidP="00535DC9">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Supervisión</w:t>
            </w:r>
          </w:p>
        </w:tc>
        <w:tc>
          <w:tcPr>
            <w:tcW w:w="867" w:type="dxa"/>
            <w:shd w:val="clear" w:color="auto" w:fill="FFFFFF" w:themeFill="background1"/>
            <w:vAlign w:val="center"/>
          </w:tcPr>
          <w:p w:rsidR="00F919F4" w:rsidRPr="00D82AB0" w:rsidRDefault="00F919F4"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2019/</w:t>
            </w:r>
            <w:r w:rsidR="00F60FD0">
              <w:rPr>
                <w:rFonts w:ascii="Arial" w:eastAsia="Times New Roman" w:hAnsi="Arial" w:cs="Arial"/>
                <w:color w:val="000000"/>
                <w:kern w:val="24"/>
                <w:sz w:val="18"/>
                <w:szCs w:val="18"/>
                <w:lang w:val="es-MX" w:eastAsia="es-CO"/>
              </w:rPr>
              <w:t>04</w:t>
            </w:r>
          </w:p>
        </w:tc>
        <w:tc>
          <w:tcPr>
            <w:tcW w:w="1345" w:type="dxa"/>
            <w:shd w:val="clear" w:color="auto" w:fill="FFFFFF" w:themeFill="background1"/>
            <w:vAlign w:val="center"/>
          </w:tcPr>
          <w:p w:rsidR="00F919F4" w:rsidRPr="00D82AB0" w:rsidRDefault="00F60FD0"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36</w:t>
            </w:r>
            <w:r w:rsidR="00F919F4" w:rsidRPr="00D82AB0">
              <w:rPr>
                <w:rFonts w:ascii="Arial" w:eastAsia="Times New Roman" w:hAnsi="Arial" w:cs="Arial"/>
                <w:color w:val="000000"/>
                <w:kern w:val="24"/>
                <w:sz w:val="18"/>
                <w:szCs w:val="18"/>
                <w:lang w:val="es-MX" w:eastAsia="es-CO"/>
              </w:rPr>
              <w:t xml:space="preserve"> meses</w:t>
            </w:r>
          </w:p>
        </w:tc>
        <w:tc>
          <w:tcPr>
            <w:tcW w:w="2781" w:type="dxa"/>
            <w:shd w:val="clear" w:color="auto" w:fill="FFFFFF" w:themeFill="background1"/>
            <w:vAlign w:val="center"/>
          </w:tcPr>
          <w:p w:rsidR="00F919F4" w:rsidRPr="00D82AB0" w:rsidRDefault="00F919F4" w:rsidP="00535DC9">
            <w:pPr>
              <w:spacing w:line="20" w:lineRule="atLeast"/>
              <w:rPr>
                <w:rFonts w:ascii="Arial" w:hAnsi="Arial" w:cs="Arial"/>
                <w:sz w:val="18"/>
                <w:szCs w:val="18"/>
              </w:rPr>
            </w:pPr>
            <w:r w:rsidRPr="00D82AB0">
              <w:rPr>
                <w:rFonts w:ascii="Arial" w:hAnsi="Arial" w:cs="Arial"/>
                <w:sz w:val="18"/>
                <w:szCs w:val="18"/>
              </w:rPr>
              <w:t>En preparación</w:t>
            </w:r>
          </w:p>
        </w:tc>
      </w:tr>
    </w:tbl>
    <w:p w:rsidR="00F919F4" w:rsidRDefault="00F919F4" w:rsidP="00F919F4">
      <w:pPr>
        <w:spacing w:after="0" w:line="20" w:lineRule="atLeast"/>
        <w:rPr>
          <w:rFonts w:ascii="Arial" w:eastAsia="Times New Roman" w:hAnsi="Arial" w:cs="Arial"/>
          <w:color w:val="000000"/>
          <w:kern w:val="24"/>
          <w:lang w:val="es-MX" w:eastAsia="es-CO"/>
        </w:rPr>
      </w:pPr>
    </w:p>
    <w:p w:rsidR="00F919F4" w:rsidRPr="00196C02" w:rsidRDefault="00F919F4" w:rsidP="00F919F4">
      <w:pPr>
        <w:spacing w:after="0" w:line="20" w:lineRule="atLeast"/>
        <w:rPr>
          <w:rFonts w:ascii="Arial" w:eastAsia="Times New Roman" w:hAnsi="Arial" w:cs="Arial"/>
          <w:color w:val="000000"/>
          <w:kern w:val="24"/>
          <w:lang w:val="es-MX" w:eastAsia="es-CO"/>
        </w:rPr>
      </w:pPr>
    </w:p>
    <w:p w:rsidR="00F919F4" w:rsidRDefault="00F919F4" w:rsidP="00F60FD0">
      <w:pPr>
        <w:numPr>
          <w:ilvl w:val="0"/>
          <w:numId w:val="41"/>
        </w:numPr>
        <w:spacing w:after="0" w:line="20" w:lineRule="atLeast"/>
        <w:rPr>
          <w:rFonts w:ascii="Arial" w:hAnsi="Arial" w:cs="Arial"/>
          <w:lang w:val="es-ES"/>
        </w:rPr>
      </w:pPr>
      <w:r w:rsidRPr="00196C02">
        <w:rPr>
          <w:rFonts w:ascii="Arial" w:hAnsi="Arial" w:cs="Arial"/>
          <w:b/>
          <w:lang w:val="es-ES"/>
        </w:rPr>
        <w:t xml:space="preserve">Riesgos: </w:t>
      </w:r>
      <w:r w:rsidRPr="004C50CF">
        <w:rPr>
          <w:rFonts w:ascii="Arial" w:hAnsi="Arial" w:cs="Arial"/>
          <w:lang w:val="es-ES"/>
        </w:rPr>
        <w:t xml:space="preserve">Los principales riesgos del proyecto se refieren a: </w:t>
      </w:r>
    </w:p>
    <w:p w:rsidR="00F919F4" w:rsidRDefault="00F919F4" w:rsidP="00F60FD0">
      <w:pPr>
        <w:pStyle w:val="ListParagraph"/>
        <w:numPr>
          <w:ilvl w:val="0"/>
          <w:numId w:val="44"/>
        </w:numPr>
        <w:spacing w:before="120" w:after="120" w:line="240" w:lineRule="auto"/>
        <w:contextualSpacing w:val="0"/>
        <w:jc w:val="both"/>
        <w:rPr>
          <w:rFonts w:ascii="Arial" w:hAnsi="Arial" w:cs="Arial"/>
          <w:lang w:val="es-ES"/>
        </w:rPr>
      </w:pPr>
      <w:r>
        <w:rPr>
          <w:rFonts w:ascii="Arial" w:hAnsi="Arial" w:cs="Arial"/>
          <w:lang w:val="es-ES"/>
        </w:rPr>
        <w:t>La entrega tardía de los estudios de pre-inversión, riesgo que se considera moderado y que podrá ser mitigado mediante el estrecho monitoreo y supervisión de los respectivos contratos.</w:t>
      </w:r>
    </w:p>
    <w:p w:rsidR="00F919F4" w:rsidRDefault="00F919F4" w:rsidP="00F60FD0">
      <w:pPr>
        <w:pStyle w:val="ListParagraph"/>
        <w:numPr>
          <w:ilvl w:val="0"/>
          <w:numId w:val="44"/>
        </w:numPr>
        <w:spacing w:before="120" w:after="120" w:line="240" w:lineRule="auto"/>
        <w:contextualSpacing w:val="0"/>
        <w:jc w:val="both"/>
        <w:rPr>
          <w:rFonts w:ascii="Arial" w:hAnsi="Arial" w:cs="Arial"/>
          <w:lang w:val="es-ES"/>
        </w:rPr>
      </w:pPr>
      <w:r>
        <w:rPr>
          <w:rFonts w:ascii="Arial" w:hAnsi="Arial" w:cs="Arial"/>
          <w:lang w:val="es-ES"/>
        </w:rPr>
        <w:t xml:space="preserve">Los posibles rezagos en la tramitación de las licencias de construcción respectivas representan un riesgo moderado, que podrá mitigarse mediante la temprana atención de las normativas y requerimientos ambientales desde la etapa de pre-inversión. </w:t>
      </w:r>
    </w:p>
    <w:p w:rsidR="00F919F4" w:rsidRPr="000F595D" w:rsidRDefault="00F919F4" w:rsidP="00F60FD0">
      <w:pPr>
        <w:pStyle w:val="ListParagraph"/>
        <w:numPr>
          <w:ilvl w:val="0"/>
          <w:numId w:val="44"/>
        </w:numPr>
        <w:kinsoku w:val="0"/>
        <w:overflowPunct w:val="0"/>
        <w:autoSpaceDE w:val="0"/>
        <w:autoSpaceDN w:val="0"/>
        <w:adjustRightInd w:val="0"/>
        <w:spacing w:before="120" w:after="0" w:line="20" w:lineRule="atLeast"/>
        <w:contextualSpacing w:val="0"/>
        <w:jc w:val="both"/>
        <w:rPr>
          <w:rFonts w:ascii="Arial" w:hAnsi="Arial" w:cs="Arial"/>
          <w:b/>
          <w:lang w:val="es-ES"/>
        </w:rPr>
      </w:pPr>
      <w:r w:rsidRPr="000F595D">
        <w:rPr>
          <w:rFonts w:ascii="Arial" w:hAnsi="Arial" w:cs="Arial"/>
          <w:lang w:val="es-ES"/>
        </w:rPr>
        <w:t xml:space="preserve">Existe un riesgo moderado </w:t>
      </w:r>
      <w:r w:rsidR="00F60FD0">
        <w:rPr>
          <w:rFonts w:ascii="Arial" w:hAnsi="Arial" w:cs="Arial"/>
          <w:lang w:val="es-ES"/>
        </w:rPr>
        <w:t>de demoras asociadas a lluvias asociadas a fenómeno de la Niña</w:t>
      </w:r>
      <w:r w:rsidRPr="000F595D">
        <w:rPr>
          <w:rFonts w:ascii="Arial" w:hAnsi="Arial" w:cs="Arial"/>
          <w:lang w:val="es-ES"/>
        </w:rPr>
        <w:t>.</w:t>
      </w:r>
    </w:p>
    <w:p w:rsidR="00C06B88" w:rsidRDefault="00C06B88"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F60FD0">
      <w:pPr>
        <w:spacing w:after="0" w:line="20" w:lineRule="atLeast"/>
        <w:jc w:val="right"/>
        <w:rPr>
          <w:rFonts w:ascii="Arial" w:hAnsi="Arial" w:cs="Arial"/>
          <w:b/>
          <w:lang w:val="es-MX"/>
        </w:rPr>
      </w:pPr>
      <w:r w:rsidRPr="00196C02">
        <w:rPr>
          <w:rFonts w:ascii="Arial" w:hAnsi="Arial" w:cs="Arial"/>
          <w:b/>
          <w:lang w:val="es-MX"/>
        </w:rPr>
        <w:t>ANEXO II-</w:t>
      </w:r>
      <w:r>
        <w:rPr>
          <w:rFonts w:ascii="Arial" w:hAnsi="Arial" w:cs="Arial"/>
          <w:b/>
          <w:lang w:val="es-MX"/>
        </w:rPr>
        <w:t>c</w:t>
      </w:r>
    </w:p>
    <w:p w:rsidR="00F60FD0" w:rsidRDefault="00F60FD0" w:rsidP="00F60FD0">
      <w:pPr>
        <w:spacing w:after="0" w:line="20" w:lineRule="atLeast"/>
        <w:contextualSpacing/>
        <w:jc w:val="center"/>
        <w:outlineLvl w:val="0"/>
        <w:rPr>
          <w:rFonts w:ascii="Arial" w:eastAsia="Times New Roman" w:hAnsi="Arial" w:cs="Arial"/>
          <w:b/>
          <w:bCs/>
          <w:smallCaps/>
          <w:spacing w:val="5"/>
          <w:lang w:val="es-ES" w:bidi="en-US"/>
        </w:rPr>
      </w:pPr>
    </w:p>
    <w:p w:rsidR="00F60FD0" w:rsidRDefault="00F60FD0" w:rsidP="00F60FD0">
      <w:pPr>
        <w:spacing w:after="0" w:line="20" w:lineRule="atLeast"/>
        <w:contextualSpacing/>
        <w:jc w:val="center"/>
        <w:outlineLvl w:val="0"/>
        <w:rPr>
          <w:rFonts w:ascii="Arial" w:eastAsia="Times New Roman" w:hAnsi="Arial" w:cs="Arial"/>
          <w:b/>
          <w:bCs/>
          <w:smallCaps/>
          <w:spacing w:val="5"/>
          <w:lang w:val="es-ES" w:bidi="en-US"/>
        </w:rPr>
      </w:pPr>
    </w:p>
    <w:p w:rsidR="00F60FD0" w:rsidRPr="00196C02" w:rsidRDefault="00F60FD0" w:rsidP="00F60FD0">
      <w:pPr>
        <w:spacing w:after="0" w:line="20" w:lineRule="atLeast"/>
        <w:contextualSpacing/>
        <w:jc w:val="center"/>
        <w:outlineLvl w:val="0"/>
        <w:rPr>
          <w:rFonts w:ascii="Arial" w:eastAsia="Times New Roman" w:hAnsi="Arial" w:cs="Arial"/>
          <w:b/>
          <w:bCs/>
          <w:smallCaps/>
          <w:spacing w:val="5"/>
          <w:lang w:val="es-ES" w:bidi="en-US"/>
        </w:rPr>
      </w:pPr>
      <w:r w:rsidRPr="00196C02">
        <w:rPr>
          <w:rFonts w:ascii="Arial" w:eastAsia="Times New Roman" w:hAnsi="Arial" w:cs="Arial"/>
          <w:b/>
          <w:bCs/>
          <w:smallCaps/>
          <w:spacing w:val="5"/>
          <w:lang w:val="es-ES" w:bidi="en-US"/>
        </w:rPr>
        <w:t xml:space="preserve">COLOMBIA </w:t>
      </w:r>
    </w:p>
    <w:p w:rsidR="00F60FD0" w:rsidRDefault="00F60FD0" w:rsidP="00F60FD0">
      <w:pPr>
        <w:spacing w:after="0" w:line="20" w:lineRule="atLeast"/>
        <w:jc w:val="center"/>
        <w:rPr>
          <w:rFonts w:ascii="Arial" w:hAnsi="Arial" w:cs="Arial"/>
          <w:b/>
          <w:bCs/>
          <w:lang w:val="es-ES_tradnl"/>
        </w:rPr>
      </w:pPr>
      <w:r>
        <w:rPr>
          <w:rFonts w:ascii="Arial" w:hAnsi="Arial" w:cs="Arial"/>
          <w:b/>
          <w:bCs/>
          <w:lang w:val="es-ES_tradnl"/>
        </w:rPr>
        <w:t>Tercer</w:t>
      </w:r>
      <w:r w:rsidRPr="00196C02">
        <w:rPr>
          <w:rFonts w:ascii="Arial" w:hAnsi="Arial" w:cs="Arial"/>
          <w:b/>
          <w:bCs/>
          <w:lang w:val="es-ES_tradnl"/>
        </w:rPr>
        <w:t xml:space="preserve"> Programa de Fortalecimiento Fiscal y del Gasto en Inversión </w:t>
      </w:r>
      <w:r>
        <w:rPr>
          <w:rFonts w:ascii="Arial" w:hAnsi="Arial" w:cs="Arial"/>
          <w:b/>
          <w:bCs/>
          <w:lang w:val="es-ES_tradnl"/>
        </w:rPr>
        <w:t>Subnacional III</w:t>
      </w:r>
      <w:r w:rsidRPr="00196C02">
        <w:rPr>
          <w:rFonts w:ascii="Arial" w:hAnsi="Arial" w:cs="Arial"/>
          <w:b/>
          <w:bCs/>
          <w:lang w:val="es-ES_tradnl"/>
        </w:rPr>
        <w:t xml:space="preserve"> </w:t>
      </w:r>
    </w:p>
    <w:p w:rsidR="00F60FD0" w:rsidRDefault="00F60FD0" w:rsidP="00F60FD0">
      <w:pPr>
        <w:spacing w:after="0" w:line="20" w:lineRule="atLeast"/>
        <w:jc w:val="center"/>
        <w:rPr>
          <w:rFonts w:ascii="Arial" w:hAnsi="Arial" w:cs="Arial"/>
          <w:b/>
          <w:bCs/>
          <w:lang w:val="es-ES_tradnl"/>
        </w:rPr>
      </w:pPr>
      <w:r w:rsidRPr="00196C02">
        <w:rPr>
          <w:rFonts w:ascii="Arial" w:hAnsi="Arial" w:cs="Arial"/>
          <w:b/>
          <w:bCs/>
          <w:lang w:val="es-ES_tradnl"/>
        </w:rPr>
        <w:t>(CO-L11</w:t>
      </w:r>
      <w:r>
        <w:rPr>
          <w:rFonts w:ascii="Arial" w:hAnsi="Arial" w:cs="Arial"/>
          <w:b/>
          <w:bCs/>
          <w:lang w:val="es-ES_tradnl"/>
        </w:rPr>
        <w:t>6</w:t>
      </w:r>
      <w:r w:rsidRPr="00196C02">
        <w:rPr>
          <w:rFonts w:ascii="Arial" w:hAnsi="Arial" w:cs="Arial"/>
          <w:b/>
          <w:bCs/>
          <w:lang w:val="es-ES_tradnl"/>
        </w:rPr>
        <w:t>5)</w:t>
      </w:r>
    </w:p>
    <w:p w:rsidR="00F60FD0" w:rsidRPr="00196C02" w:rsidRDefault="00F60FD0" w:rsidP="00F60FD0">
      <w:pPr>
        <w:spacing w:after="0" w:line="20" w:lineRule="atLeast"/>
        <w:jc w:val="center"/>
        <w:rPr>
          <w:rFonts w:ascii="Arial" w:hAnsi="Arial" w:cs="Arial"/>
          <w:bCs/>
          <w:lang w:val="es-ES_tradnl"/>
        </w:rPr>
      </w:pPr>
    </w:p>
    <w:p w:rsidR="00F60FD0" w:rsidRDefault="00F60FD0" w:rsidP="00F60FD0">
      <w:pPr>
        <w:tabs>
          <w:tab w:val="left" w:pos="1710"/>
        </w:tabs>
        <w:spacing w:after="0" w:line="20" w:lineRule="atLeast"/>
        <w:jc w:val="center"/>
        <w:rPr>
          <w:rFonts w:ascii="Arial" w:hAnsi="Arial" w:cs="Arial"/>
          <w:b/>
          <w:i/>
          <w:lang w:val="es-ES"/>
        </w:rPr>
      </w:pPr>
      <w:r w:rsidRPr="00196C02">
        <w:rPr>
          <w:rFonts w:ascii="Arial" w:hAnsi="Arial" w:cs="Arial"/>
          <w:b/>
          <w:i/>
          <w:lang w:val="es-ES"/>
        </w:rPr>
        <w:t>Ficha de Identificación de Proyectos de Inversión</w:t>
      </w:r>
    </w:p>
    <w:p w:rsidR="00F60FD0" w:rsidRPr="00196C02" w:rsidRDefault="00F60FD0" w:rsidP="00F60FD0">
      <w:pPr>
        <w:tabs>
          <w:tab w:val="left" w:pos="1710"/>
        </w:tabs>
        <w:spacing w:after="0" w:line="20" w:lineRule="atLeast"/>
        <w:jc w:val="center"/>
        <w:rPr>
          <w:rFonts w:ascii="Arial" w:hAnsi="Arial" w:cs="Arial"/>
          <w:b/>
          <w:i/>
          <w:lang w:val="es-ES"/>
        </w:rPr>
      </w:pPr>
    </w:p>
    <w:p w:rsidR="00F60FD0" w:rsidRDefault="00F60FD0" w:rsidP="00F60FD0">
      <w:pPr>
        <w:numPr>
          <w:ilvl w:val="0"/>
          <w:numId w:val="42"/>
        </w:numPr>
        <w:spacing w:after="0" w:line="20" w:lineRule="atLeast"/>
        <w:jc w:val="both"/>
        <w:rPr>
          <w:rFonts w:ascii="Arial" w:hAnsi="Arial" w:cs="Arial"/>
          <w:b/>
          <w:lang w:val="es-ES"/>
        </w:rPr>
      </w:pPr>
      <w:r w:rsidRPr="00196C02">
        <w:rPr>
          <w:rFonts w:ascii="Arial" w:hAnsi="Arial" w:cs="Arial"/>
          <w:b/>
          <w:lang w:val="es-ES"/>
        </w:rPr>
        <w:t xml:space="preserve">Información Básica del Proyecto </w:t>
      </w:r>
    </w:p>
    <w:p w:rsidR="00F60FD0" w:rsidRPr="00196C02" w:rsidRDefault="00F60FD0" w:rsidP="00F60FD0">
      <w:pPr>
        <w:spacing w:after="0" w:line="20" w:lineRule="atLeast"/>
        <w:ind w:left="360"/>
        <w:jc w:val="both"/>
        <w:rPr>
          <w:rFonts w:ascii="Arial" w:hAnsi="Arial" w:cs="Arial"/>
          <w:b/>
          <w:lang w:val="es-ES"/>
        </w:rPr>
      </w:pPr>
    </w:p>
    <w:tbl>
      <w:tblPr>
        <w:tblStyle w:val="TableGrid1"/>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F60FD0" w:rsidRPr="00FF08AF"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Nombre del Proyecto:</w:t>
            </w:r>
          </w:p>
        </w:tc>
        <w:tc>
          <w:tcPr>
            <w:tcW w:w="4428" w:type="dxa"/>
          </w:tcPr>
          <w:p w:rsidR="00F60FD0" w:rsidRPr="00196C02" w:rsidRDefault="00F60FD0" w:rsidP="00535DC9">
            <w:pPr>
              <w:spacing w:line="20" w:lineRule="atLeast"/>
              <w:jc w:val="both"/>
              <w:rPr>
                <w:rFonts w:ascii="Arial" w:hAnsi="Arial" w:cs="Arial"/>
                <w:lang w:val="es-ES"/>
              </w:rPr>
            </w:pPr>
            <w:r w:rsidRPr="00F60FD0">
              <w:rPr>
                <w:rFonts w:ascii="Arial" w:hAnsi="Arial" w:cs="Arial"/>
                <w:lang w:val="es-ES"/>
              </w:rPr>
              <w:t>Planes para mejoramiento de la calidad educativa</w:t>
            </w:r>
          </w:p>
        </w:tc>
      </w:tr>
      <w:tr w:rsidR="00F60FD0" w:rsidRPr="00196C02"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Ciudad:</w:t>
            </w:r>
          </w:p>
        </w:tc>
        <w:tc>
          <w:tcPr>
            <w:tcW w:w="4428" w:type="dxa"/>
          </w:tcPr>
          <w:p w:rsidR="00F60FD0" w:rsidRPr="00196C02" w:rsidRDefault="00F60FD0" w:rsidP="00535DC9">
            <w:pPr>
              <w:spacing w:line="20" w:lineRule="atLeast"/>
              <w:jc w:val="both"/>
              <w:rPr>
                <w:rFonts w:ascii="Arial" w:hAnsi="Arial" w:cs="Arial"/>
                <w:lang w:val="es-ES"/>
              </w:rPr>
            </w:pPr>
            <w:r>
              <w:rPr>
                <w:rFonts w:ascii="Arial" w:hAnsi="Arial" w:cs="Arial"/>
                <w:lang w:val="es-ES"/>
              </w:rPr>
              <w:t>Cali</w:t>
            </w:r>
          </w:p>
        </w:tc>
      </w:tr>
      <w:tr w:rsidR="00F60FD0" w:rsidRPr="00FF08AF"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 xml:space="preserve">Entidad Responsable (Gobierno Local, Agencia o Empresa) </w:t>
            </w:r>
          </w:p>
        </w:tc>
        <w:tc>
          <w:tcPr>
            <w:tcW w:w="4428" w:type="dxa"/>
          </w:tcPr>
          <w:p w:rsidR="00F60FD0" w:rsidRPr="00330982" w:rsidRDefault="00F60FD0" w:rsidP="00535DC9">
            <w:pPr>
              <w:spacing w:line="20" w:lineRule="atLeast"/>
              <w:rPr>
                <w:rFonts w:ascii="Arial" w:hAnsi="Arial" w:cs="Arial"/>
                <w:lang w:val="es-ES"/>
              </w:rPr>
            </w:pPr>
            <w:r>
              <w:rPr>
                <w:rFonts w:ascii="Arial" w:hAnsi="Arial" w:cs="Arial"/>
                <w:lang w:val="es-ES"/>
              </w:rPr>
              <w:t>Secretaría de Educación de Cali</w:t>
            </w:r>
          </w:p>
        </w:tc>
      </w:tr>
      <w:tr w:rsidR="00F60FD0" w:rsidRPr="00196C02" w:rsidTr="00535DC9">
        <w:tc>
          <w:tcPr>
            <w:tcW w:w="4140" w:type="dxa"/>
          </w:tcPr>
          <w:p w:rsidR="00F60FD0" w:rsidRPr="00196C02" w:rsidDel="00B513CC" w:rsidRDefault="00F60FD0" w:rsidP="00535DC9">
            <w:pPr>
              <w:spacing w:line="20" w:lineRule="atLeast"/>
              <w:ind w:left="180"/>
              <w:jc w:val="both"/>
              <w:rPr>
                <w:rFonts w:ascii="Arial" w:hAnsi="Arial" w:cs="Arial"/>
                <w:lang w:val="es-ES"/>
              </w:rPr>
            </w:pPr>
            <w:r w:rsidRPr="00196C02">
              <w:rPr>
                <w:rFonts w:ascii="Arial" w:hAnsi="Arial" w:cs="Arial"/>
                <w:lang w:val="es-ES"/>
              </w:rPr>
              <w:t>Agencia Ejecutora:</w:t>
            </w:r>
          </w:p>
        </w:tc>
        <w:tc>
          <w:tcPr>
            <w:tcW w:w="4428" w:type="dxa"/>
          </w:tcPr>
          <w:p w:rsidR="00F60FD0" w:rsidRPr="00196C02" w:rsidRDefault="00F60FD0" w:rsidP="00535DC9">
            <w:pPr>
              <w:spacing w:line="20" w:lineRule="atLeast"/>
              <w:rPr>
                <w:rFonts w:ascii="Arial" w:hAnsi="Arial" w:cs="Arial"/>
              </w:rPr>
            </w:pPr>
            <w:r>
              <w:rPr>
                <w:rFonts w:ascii="Arial" w:hAnsi="Arial" w:cs="Arial"/>
              </w:rPr>
              <w:t>División de Inversión Pública</w:t>
            </w:r>
          </w:p>
        </w:tc>
      </w:tr>
      <w:tr w:rsidR="00F60FD0" w:rsidRPr="00196C02"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Costo total del proyecto o programa (en miles de USD):</w:t>
            </w:r>
          </w:p>
        </w:tc>
        <w:tc>
          <w:tcPr>
            <w:tcW w:w="4428" w:type="dxa"/>
          </w:tcPr>
          <w:p w:rsidR="00F60FD0" w:rsidRPr="002D105B" w:rsidRDefault="00F60FD0" w:rsidP="00F60FD0">
            <w:pPr>
              <w:spacing w:line="20" w:lineRule="atLeast"/>
              <w:ind w:left="360"/>
              <w:jc w:val="right"/>
              <w:rPr>
                <w:rFonts w:ascii="Arial" w:hAnsi="Arial" w:cs="Arial"/>
                <w:lang w:val="es-ES"/>
              </w:rPr>
            </w:pPr>
            <w:r>
              <w:rPr>
                <w:rFonts w:ascii="Arial" w:hAnsi="Arial" w:cs="Arial"/>
                <w:lang w:val="es-ES"/>
              </w:rPr>
              <w:t>9,287.00</w:t>
            </w:r>
          </w:p>
        </w:tc>
      </w:tr>
      <w:tr w:rsidR="00F60FD0" w:rsidRPr="00196C02"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Necesidad de Financiamiento: (en miles de USD)</w:t>
            </w:r>
          </w:p>
        </w:tc>
        <w:tc>
          <w:tcPr>
            <w:tcW w:w="4428" w:type="dxa"/>
          </w:tcPr>
          <w:p w:rsidR="00F60FD0" w:rsidRPr="002D105B" w:rsidRDefault="00F60FD0" w:rsidP="00535DC9">
            <w:pPr>
              <w:spacing w:line="20" w:lineRule="atLeast"/>
              <w:ind w:left="360"/>
              <w:jc w:val="right"/>
              <w:rPr>
                <w:rFonts w:ascii="Arial" w:hAnsi="Arial" w:cs="Arial"/>
                <w:lang w:val="es-ES"/>
              </w:rPr>
            </w:pPr>
            <w:r>
              <w:rPr>
                <w:rFonts w:ascii="Arial" w:hAnsi="Arial" w:cs="Arial"/>
                <w:lang w:val="es-ES"/>
              </w:rPr>
              <w:t>9,287.00</w:t>
            </w:r>
          </w:p>
        </w:tc>
      </w:tr>
      <w:tr w:rsidR="00F60FD0" w:rsidRPr="00643F15"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Contrapartida Local: (en miles de USD)</w:t>
            </w:r>
          </w:p>
        </w:tc>
        <w:tc>
          <w:tcPr>
            <w:tcW w:w="4428" w:type="dxa"/>
          </w:tcPr>
          <w:p w:rsidR="00F60FD0" w:rsidRPr="002D105B" w:rsidRDefault="00F60FD0" w:rsidP="00535DC9">
            <w:pPr>
              <w:spacing w:line="20" w:lineRule="atLeast"/>
              <w:ind w:left="360"/>
              <w:jc w:val="right"/>
              <w:rPr>
                <w:rFonts w:ascii="Arial" w:hAnsi="Arial" w:cs="Arial"/>
                <w:lang w:val="es-ES"/>
              </w:rPr>
            </w:pPr>
            <w:r>
              <w:rPr>
                <w:rFonts w:ascii="Arial" w:hAnsi="Arial" w:cs="Arial"/>
                <w:lang w:val="es-ES"/>
              </w:rPr>
              <w:t>N/A</w:t>
            </w:r>
          </w:p>
        </w:tc>
      </w:tr>
      <w:tr w:rsidR="00F60FD0" w:rsidRPr="00196C02"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Periodo de Desembolso (incluye periodo de ejecución):</w:t>
            </w:r>
          </w:p>
        </w:tc>
        <w:tc>
          <w:tcPr>
            <w:tcW w:w="4428" w:type="dxa"/>
          </w:tcPr>
          <w:p w:rsidR="00F60FD0" w:rsidRPr="002D105B" w:rsidRDefault="00F60FD0" w:rsidP="00535DC9">
            <w:pPr>
              <w:spacing w:line="20" w:lineRule="atLeast"/>
              <w:ind w:left="360"/>
              <w:jc w:val="right"/>
              <w:rPr>
                <w:rFonts w:ascii="Arial" w:hAnsi="Arial" w:cs="Arial"/>
                <w:lang w:val="es-ES"/>
              </w:rPr>
            </w:pPr>
            <w:r>
              <w:rPr>
                <w:rFonts w:ascii="Arial" w:hAnsi="Arial" w:cs="Arial"/>
                <w:lang w:val="es-ES"/>
              </w:rPr>
              <w:t>12 meses</w:t>
            </w:r>
          </w:p>
        </w:tc>
      </w:tr>
      <w:tr w:rsidR="00F60FD0" w:rsidRPr="00196C02" w:rsidTr="00535DC9">
        <w:tc>
          <w:tcPr>
            <w:tcW w:w="4140" w:type="dxa"/>
          </w:tcPr>
          <w:p w:rsidR="00F60FD0" w:rsidRPr="00196C02" w:rsidRDefault="00F60FD0" w:rsidP="00535DC9">
            <w:pPr>
              <w:spacing w:line="20" w:lineRule="atLeast"/>
              <w:ind w:left="180"/>
              <w:jc w:val="both"/>
              <w:rPr>
                <w:rFonts w:ascii="Arial" w:hAnsi="Arial" w:cs="Arial"/>
                <w:lang w:val="es-ES"/>
              </w:rPr>
            </w:pPr>
            <w:r w:rsidRPr="00196C02">
              <w:rPr>
                <w:rFonts w:ascii="Arial" w:hAnsi="Arial" w:cs="Arial"/>
                <w:lang w:val="es-ES"/>
              </w:rPr>
              <w:t xml:space="preserve">Fecha de Inicio: </w:t>
            </w:r>
          </w:p>
        </w:tc>
        <w:tc>
          <w:tcPr>
            <w:tcW w:w="4428" w:type="dxa"/>
          </w:tcPr>
          <w:p w:rsidR="00F60FD0" w:rsidRPr="002D105B" w:rsidRDefault="00F60FD0" w:rsidP="00535DC9">
            <w:pPr>
              <w:spacing w:line="20" w:lineRule="atLeast"/>
              <w:ind w:left="360"/>
              <w:jc w:val="right"/>
              <w:rPr>
                <w:rFonts w:ascii="Arial" w:hAnsi="Arial" w:cs="Arial"/>
                <w:lang w:val="es-ES"/>
              </w:rPr>
            </w:pPr>
            <w:r>
              <w:rPr>
                <w:rFonts w:ascii="Arial" w:hAnsi="Arial" w:cs="Arial"/>
                <w:lang w:val="es-ES"/>
              </w:rPr>
              <w:t>2017</w:t>
            </w:r>
          </w:p>
        </w:tc>
      </w:tr>
    </w:tbl>
    <w:p w:rsidR="00F60FD0" w:rsidRDefault="00F60FD0" w:rsidP="00F60FD0">
      <w:pPr>
        <w:spacing w:after="0" w:line="20" w:lineRule="atLeast"/>
        <w:ind w:left="360"/>
        <w:rPr>
          <w:rFonts w:ascii="Arial" w:hAnsi="Arial" w:cs="Arial"/>
          <w:b/>
          <w:lang w:val="es-ES"/>
        </w:rPr>
      </w:pPr>
    </w:p>
    <w:p w:rsidR="00F60FD0" w:rsidRDefault="00F60FD0" w:rsidP="00F60FD0">
      <w:pPr>
        <w:numPr>
          <w:ilvl w:val="0"/>
          <w:numId w:val="42"/>
        </w:numPr>
        <w:spacing w:after="0" w:line="20" w:lineRule="atLeast"/>
        <w:rPr>
          <w:rFonts w:ascii="Arial" w:hAnsi="Arial" w:cs="Arial"/>
          <w:b/>
          <w:lang w:val="es-ES"/>
        </w:rPr>
      </w:pPr>
      <w:r w:rsidRPr="00196C02">
        <w:rPr>
          <w:rFonts w:ascii="Arial" w:hAnsi="Arial" w:cs="Arial"/>
          <w:b/>
          <w:lang w:val="es-ES"/>
        </w:rPr>
        <w:t xml:space="preserve">Descripción Básica del Proyecto </w:t>
      </w:r>
    </w:p>
    <w:p w:rsidR="00F60FD0" w:rsidRPr="00196C02" w:rsidRDefault="00F60FD0" w:rsidP="00F60FD0">
      <w:pPr>
        <w:spacing w:after="0" w:line="20" w:lineRule="atLeast"/>
        <w:ind w:left="360"/>
        <w:rPr>
          <w:rFonts w:ascii="Arial" w:hAnsi="Arial" w:cs="Arial"/>
          <w:b/>
          <w:lang w:val="es-ES"/>
        </w:rPr>
      </w:pPr>
    </w:p>
    <w:p w:rsidR="00F60FD0" w:rsidRPr="00DC6D2E" w:rsidRDefault="00F60FD0" w:rsidP="00F60FD0">
      <w:pPr>
        <w:numPr>
          <w:ilvl w:val="1"/>
          <w:numId w:val="42"/>
        </w:numPr>
        <w:spacing w:after="0" w:line="20" w:lineRule="atLeast"/>
        <w:ind w:hanging="540"/>
        <w:contextualSpacing/>
        <w:jc w:val="both"/>
        <w:rPr>
          <w:rFonts w:ascii="Arial" w:hAnsi="Arial" w:cs="Arial"/>
          <w:lang w:val="es-MX"/>
        </w:rPr>
      </w:pPr>
      <w:r w:rsidRPr="004F1234">
        <w:rPr>
          <w:rFonts w:ascii="Arial" w:hAnsi="Arial" w:cs="Arial"/>
          <w:b/>
          <w:lang w:val="es-ES"/>
        </w:rPr>
        <w:t>Problema.</w:t>
      </w:r>
      <w:r>
        <w:rPr>
          <w:rFonts w:ascii="Arial" w:hAnsi="Arial" w:cs="Arial"/>
          <w:b/>
          <w:lang w:val="es-ES"/>
        </w:rPr>
        <w:t xml:space="preserve"> </w:t>
      </w:r>
      <w:r w:rsidRPr="005B387B">
        <w:rPr>
          <w:rFonts w:ascii="Arial" w:hAnsi="Arial" w:cs="Arial"/>
          <w:lang w:val="es-ES"/>
        </w:rPr>
        <w:t>En las últimas décadas, Colombia ha logrado avances importantes en materia de escolaridad de la población, especialmente en los niveles de secundaria y media. En la primera, la tasa de cobertura neta pasó del 67% al 74% entre 2005 y 2013. En media, la cobertura neta pasó del 40% al 47% durante el mismo período. El 80,5% de los niños de 4 y 5 años asisten al preescolar, y la cobertura neta de la básica primaria alcanza el 90%. Prácticamente todos los niños acceden y completan la educación básica primaria (grados 1 a 5) y acceden a la básica secundaria (grados 6 a 9). Se ha logrado que todos los niños y jóvenes en el área rural accedan y se mantengan en el sistema educativo hasta alcanzar la básica secundaria, aunque más de la mitad aún no logra terminarla.</w:t>
      </w:r>
      <w:r>
        <w:rPr>
          <w:rFonts w:ascii="Arial" w:hAnsi="Arial" w:cs="Arial"/>
          <w:lang w:val="es-ES"/>
        </w:rPr>
        <w:t xml:space="preserve"> </w:t>
      </w:r>
      <w:r w:rsidRPr="005B387B">
        <w:rPr>
          <w:rFonts w:ascii="Arial" w:hAnsi="Arial" w:cs="Arial"/>
          <w:lang w:val="es-ES"/>
        </w:rPr>
        <w:t>Si bien el acceso al servicio educativo constituye uno de los principales objetivos de la política educativa la permanencia representa un factor esencial para asegurar el cumplimiento del derecho a la educación. Revisando la evolución entre 2011 y 2015 de la tasa deserción intra-anual muestra una ligera caída, que se sitúa entre 0,5 puntos porcentuales y 1 punto porcentual, en primaria y media respectivamente. Para el año 2013 la deserción escolar en los establecimientos educativos de Cali se situó por debajo del promedio nacional, que ascendió a 4,1% en primaria, 5,7%en secundaria y 3,9% en media. En cuanto a las diferencias por sexo, se observa que en todos los niveles educativos la deserción escolar es mayor en los niños</w:t>
      </w:r>
      <w:r>
        <w:rPr>
          <w:rFonts w:ascii="Arial" w:hAnsi="Arial" w:cs="Arial"/>
          <w:lang w:val="es-ES"/>
        </w:rPr>
        <w:t>.</w:t>
      </w:r>
    </w:p>
    <w:p w:rsidR="00F60FD0" w:rsidRPr="00196C02" w:rsidRDefault="00F60FD0" w:rsidP="00F60FD0">
      <w:pPr>
        <w:pStyle w:val="ListParagraph"/>
        <w:spacing w:after="0" w:line="20" w:lineRule="atLeast"/>
        <w:rPr>
          <w:rFonts w:ascii="Arial" w:hAnsi="Arial" w:cs="Arial"/>
          <w:lang w:val="es-ES_tradnl"/>
        </w:rPr>
      </w:pPr>
    </w:p>
    <w:p w:rsidR="00F60FD0" w:rsidRDefault="00F60FD0" w:rsidP="00F60FD0">
      <w:pPr>
        <w:numPr>
          <w:ilvl w:val="1"/>
          <w:numId w:val="42"/>
        </w:numPr>
        <w:spacing w:after="0" w:line="20" w:lineRule="atLeast"/>
        <w:ind w:hanging="540"/>
        <w:contextualSpacing/>
        <w:jc w:val="both"/>
        <w:rPr>
          <w:rFonts w:ascii="Arial" w:hAnsi="Arial" w:cs="Arial"/>
          <w:lang w:val="es-ES"/>
        </w:rPr>
      </w:pPr>
      <w:r w:rsidRPr="00196C02">
        <w:rPr>
          <w:rFonts w:ascii="Arial" w:hAnsi="Arial" w:cs="Arial"/>
          <w:b/>
          <w:lang w:val="es-ES"/>
        </w:rPr>
        <w:lastRenderedPageBreak/>
        <w:t xml:space="preserve">Objetivo: </w:t>
      </w:r>
      <w:r w:rsidRPr="005B387B">
        <w:rPr>
          <w:rFonts w:ascii="Arial" w:hAnsi="Arial" w:cs="Arial"/>
          <w:lang w:val="es-ES"/>
        </w:rPr>
        <w:t>El objetivo general del Plan de Inversiones de la ciudad es contribuir a la mejora de la sostenibilidad fiscal, el fortalecimiento institucional y la infraestructura y calidad de la educación del municipio de Santiago de Cali. Los objetivos específicos de esta operación son: (i) mejorar el desempeño fiscal en términos de ingresos, gasto público y gestión financiera; (ii) Mejoramiento y Calidad del servicio  educativo</w:t>
      </w:r>
      <w:r>
        <w:rPr>
          <w:rFonts w:ascii="Arial" w:hAnsi="Arial" w:cs="Arial"/>
          <w:lang w:val="es-ES"/>
        </w:rPr>
        <w:t>.</w:t>
      </w:r>
    </w:p>
    <w:p w:rsidR="00AC700C" w:rsidRPr="00196C02" w:rsidRDefault="00AC700C" w:rsidP="00AC700C">
      <w:pPr>
        <w:spacing w:after="0" w:line="20" w:lineRule="atLeast"/>
        <w:ind w:left="-180"/>
        <w:contextualSpacing/>
        <w:jc w:val="both"/>
        <w:rPr>
          <w:rFonts w:ascii="Arial" w:hAnsi="Arial" w:cs="Arial"/>
          <w:lang w:val="es-ES"/>
        </w:rPr>
      </w:pPr>
    </w:p>
    <w:p w:rsidR="00AC700C" w:rsidRPr="00196C02" w:rsidRDefault="00AC700C" w:rsidP="00AC700C">
      <w:pPr>
        <w:numPr>
          <w:ilvl w:val="0"/>
          <w:numId w:val="42"/>
        </w:numPr>
        <w:spacing w:after="0" w:line="20" w:lineRule="atLeast"/>
        <w:rPr>
          <w:rFonts w:ascii="Arial" w:hAnsi="Arial" w:cs="Arial"/>
          <w:b/>
          <w:lang w:val="es-ES"/>
        </w:rPr>
      </w:pPr>
      <w:r w:rsidRPr="00196C02">
        <w:rPr>
          <w:rFonts w:ascii="Arial" w:hAnsi="Arial" w:cs="Arial"/>
          <w:b/>
          <w:lang w:val="es-ES"/>
        </w:rPr>
        <w:t>Matriz de Resultados Indicativa</w:t>
      </w:r>
    </w:p>
    <w:p w:rsidR="00AC700C" w:rsidRPr="00196C02" w:rsidRDefault="00AC700C" w:rsidP="00AC700C">
      <w:pPr>
        <w:spacing w:after="0" w:line="20" w:lineRule="atLeast"/>
        <w:ind w:left="360"/>
        <w:rPr>
          <w:rFonts w:ascii="Arial" w:hAnsi="Arial" w:cs="Arial"/>
          <w:b/>
          <w:lang w:val="es-ES"/>
        </w:rPr>
      </w:pPr>
    </w:p>
    <w:tbl>
      <w:tblPr>
        <w:tblStyle w:val="TableGrid1"/>
        <w:tblW w:w="0" w:type="auto"/>
        <w:jc w:val="center"/>
        <w:tblInd w:w="-550" w:type="dxa"/>
        <w:tblLook w:val="04A0" w:firstRow="1" w:lastRow="0" w:firstColumn="1" w:lastColumn="0" w:noHBand="0" w:noVBand="1"/>
      </w:tblPr>
      <w:tblGrid>
        <w:gridCol w:w="3062"/>
        <w:gridCol w:w="1980"/>
        <w:gridCol w:w="1800"/>
        <w:gridCol w:w="2696"/>
      </w:tblGrid>
      <w:tr w:rsidR="00AC700C" w:rsidRPr="00196C02" w:rsidTr="00535DC9">
        <w:trPr>
          <w:jc w:val="center"/>
        </w:trPr>
        <w:tc>
          <w:tcPr>
            <w:tcW w:w="3062" w:type="dxa"/>
            <w:shd w:val="clear" w:color="auto" w:fill="C2D69B" w:themeFill="accent3" w:themeFillTint="99"/>
            <w:vAlign w:val="center"/>
          </w:tcPr>
          <w:p w:rsidR="00AC700C" w:rsidRPr="00196C02" w:rsidRDefault="00AC700C"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Indicadores</w:t>
            </w:r>
            <w:r>
              <w:rPr>
                <w:rFonts w:ascii="Arial" w:hAnsi="Arial" w:cs="Arial"/>
                <w:b/>
                <w:sz w:val="18"/>
                <w:szCs w:val="18"/>
                <w:lang w:val="es-ES"/>
              </w:rPr>
              <w:t xml:space="preserve"> de Producto</w:t>
            </w:r>
          </w:p>
        </w:tc>
        <w:tc>
          <w:tcPr>
            <w:tcW w:w="1980" w:type="dxa"/>
            <w:shd w:val="clear" w:color="auto" w:fill="C2D69B" w:themeFill="accent3" w:themeFillTint="99"/>
            <w:vAlign w:val="center"/>
          </w:tcPr>
          <w:p w:rsidR="00AC700C" w:rsidRPr="00196C02" w:rsidRDefault="00AC700C"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Línea de Base (Inicio)</w:t>
            </w:r>
          </w:p>
          <w:p w:rsidR="00AC700C" w:rsidRPr="00196C02" w:rsidRDefault="00AC700C"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(201</w:t>
            </w:r>
            <w:r>
              <w:rPr>
                <w:rFonts w:ascii="Arial" w:hAnsi="Arial" w:cs="Arial"/>
                <w:b/>
                <w:sz w:val="18"/>
                <w:szCs w:val="18"/>
                <w:lang w:val="es-ES"/>
              </w:rPr>
              <w:t>6</w:t>
            </w:r>
            <w:r w:rsidRPr="00196C02">
              <w:rPr>
                <w:rFonts w:ascii="Arial" w:hAnsi="Arial" w:cs="Arial"/>
                <w:b/>
                <w:sz w:val="18"/>
                <w:szCs w:val="18"/>
                <w:lang w:val="es-ES"/>
              </w:rPr>
              <w:t>)</w:t>
            </w:r>
          </w:p>
        </w:tc>
        <w:tc>
          <w:tcPr>
            <w:tcW w:w="1800" w:type="dxa"/>
            <w:shd w:val="clear" w:color="auto" w:fill="C2D69B" w:themeFill="accent3" w:themeFillTint="99"/>
            <w:vAlign w:val="center"/>
          </w:tcPr>
          <w:p w:rsidR="00AC700C" w:rsidRPr="00196C02" w:rsidRDefault="00AC700C"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Meta</w:t>
            </w:r>
          </w:p>
          <w:p w:rsidR="00AC700C" w:rsidRPr="00196C02" w:rsidRDefault="00AC700C"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Final programa</w:t>
            </w:r>
          </w:p>
        </w:tc>
        <w:tc>
          <w:tcPr>
            <w:tcW w:w="2696" w:type="dxa"/>
            <w:shd w:val="clear" w:color="auto" w:fill="C2D69B" w:themeFill="accent3" w:themeFillTint="99"/>
            <w:vAlign w:val="center"/>
          </w:tcPr>
          <w:p w:rsidR="00AC700C" w:rsidRPr="00196C02" w:rsidRDefault="00AC700C"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Medio de Verificación</w:t>
            </w:r>
          </w:p>
        </w:tc>
      </w:tr>
      <w:tr w:rsidR="00AC700C" w:rsidRPr="005F7004" w:rsidTr="00535DC9">
        <w:trPr>
          <w:trHeight w:val="350"/>
          <w:jc w:val="center"/>
        </w:trPr>
        <w:tc>
          <w:tcPr>
            <w:tcW w:w="3062" w:type="dxa"/>
            <w:vAlign w:val="center"/>
          </w:tcPr>
          <w:p w:rsidR="00AC700C" w:rsidRPr="00881277" w:rsidRDefault="00AC700C" w:rsidP="00535DC9">
            <w:pPr>
              <w:pStyle w:val="ListParagraph"/>
              <w:spacing w:line="20" w:lineRule="atLeast"/>
              <w:ind w:left="0"/>
              <w:rPr>
                <w:rFonts w:ascii="Arial" w:hAnsi="Arial" w:cs="Arial"/>
                <w:sz w:val="18"/>
                <w:szCs w:val="18"/>
                <w:lang w:val="es-ES_tradnl"/>
              </w:rPr>
            </w:pPr>
            <w:r>
              <w:rPr>
                <w:rFonts w:ascii="Arial" w:hAnsi="Arial" w:cs="Arial"/>
                <w:sz w:val="18"/>
                <w:szCs w:val="18"/>
                <w:lang w:val="es-ES"/>
              </w:rPr>
              <w:t>Planes</w:t>
            </w:r>
          </w:p>
        </w:tc>
        <w:tc>
          <w:tcPr>
            <w:tcW w:w="1980" w:type="dxa"/>
            <w:vAlign w:val="center"/>
          </w:tcPr>
          <w:p w:rsidR="00AC700C" w:rsidRPr="00881277" w:rsidRDefault="00AC700C" w:rsidP="00535DC9">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0</w:t>
            </w:r>
          </w:p>
        </w:tc>
        <w:tc>
          <w:tcPr>
            <w:tcW w:w="1800" w:type="dxa"/>
            <w:vAlign w:val="center"/>
          </w:tcPr>
          <w:p w:rsidR="00AC700C" w:rsidRPr="00881277" w:rsidRDefault="00AC700C" w:rsidP="00535DC9">
            <w:pPr>
              <w:pStyle w:val="ListParagraph"/>
              <w:spacing w:line="20" w:lineRule="atLeast"/>
              <w:ind w:left="0"/>
              <w:jc w:val="center"/>
              <w:rPr>
                <w:rFonts w:ascii="Arial" w:hAnsi="Arial" w:cs="Arial"/>
                <w:color w:val="000000"/>
                <w:sz w:val="18"/>
                <w:szCs w:val="18"/>
                <w:lang w:val="es-ES_tradnl"/>
              </w:rPr>
            </w:pPr>
            <w:r>
              <w:rPr>
                <w:rFonts w:ascii="Arial" w:hAnsi="Arial" w:cs="Arial"/>
                <w:color w:val="000000"/>
                <w:sz w:val="18"/>
                <w:szCs w:val="18"/>
                <w:lang w:val="es-ES_tradnl"/>
              </w:rPr>
              <w:t>6</w:t>
            </w:r>
          </w:p>
        </w:tc>
        <w:tc>
          <w:tcPr>
            <w:tcW w:w="2696" w:type="dxa"/>
            <w:vAlign w:val="center"/>
          </w:tcPr>
          <w:p w:rsidR="00AC700C" w:rsidRPr="00881277" w:rsidRDefault="00AC700C" w:rsidP="00535DC9">
            <w:pPr>
              <w:pStyle w:val="ListParagraph"/>
              <w:spacing w:line="20" w:lineRule="atLeast"/>
              <w:ind w:left="0"/>
              <w:rPr>
                <w:rFonts w:ascii="Arial" w:hAnsi="Arial" w:cs="Arial"/>
                <w:sz w:val="18"/>
                <w:szCs w:val="18"/>
                <w:lang w:val="es-ES_tradnl"/>
              </w:rPr>
            </w:pPr>
            <w:r w:rsidRPr="00F919F4">
              <w:rPr>
                <w:rFonts w:ascii="Arial" w:hAnsi="Arial" w:cs="Arial"/>
                <w:sz w:val="18"/>
                <w:szCs w:val="18"/>
                <w:lang w:val="es-ES_tradnl"/>
              </w:rPr>
              <w:t>Análisis económico de Cali</w:t>
            </w:r>
          </w:p>
        </w:tc>
      </w:tr>
    </w:tbl>
    <w:p w:rsidR="00AC700C" w:rsidRPr="001947C8" w:rsidRDefault="00AC700C" w:rsidP="00AC700C">
      <w:pPr>
        <w:spacing w:after="0" w:line="20" w:lineRule="atLeast"/>
        <w:ind w:left="360"/>
        <w:jc w:val="both"/>
        <w:rPr>
          <w:rFonts w:ascii="Arial" w:hAnsi="Arial" w:cs="Arial"/>
          <w:b/>
          <w:lang w:val="es-CO"/>
        </w:rPr>
      </w:pPr>
    </w:p>
    <w:p w:rsidR="00F60FD0" w:rsidRDefault="00F60FD0" w:rsidP="00F60FD0">
      <w:pPr>
        <w:spacing w:after="0" w:line="20" w:lineRule="atLeast"/>
        <w:ind w:left="360"/>
        <w:contextualSpacing/>
        <w:jc w:val="both"/>
        <w:rPr>
          <w:rFonts w:ascii="Arial" w:hAnsi="Arial" w:cs="Arial"/>
          <w:lang w:val="es-ES"/>
        </w:rPr>
      </w:pPr>
    </w:p>
    <w:p w:rsidR="00F60FD0" w:rsidRDefault="00F60FD0" w:rsidP="00F60FD0">
      <w:pPr>
        <w:numPr>
          <w:ilvl w:val="0"/>
          <w:numId w:val="42"/>
        </w:numPr>
        <w:spacing w:after="0" w:line="20" w:lineRule="atLeast"/>
        <w:rPr>
          <w:rFonts w:ascii="Arial" w:hAnsi="Arial" w:cs="Arial"/>
          <w:b/>
          <w:lang w:val="es-ES"/>
        </w:rPr>
      </w:pPr>
      <w:r w:rsidRPr="00196C02">
        <w:rPr>
          <w:rFonts w:ascii="Arial" w:hAnsi="Arial" w:cs="Arial"/>
          <w:b/>
          <w:lang w:val="es-ES"/>
        </w:rPr>
        <w:t xml:space="preserve">Cronograma de Desembolsos (en </w:t>
      </w:r>
      <w:r>
        <w:rPr>
          <w:rFonts w:ascii="Arial" w:hAnsi="Arial" w:cs="Arial"/>
          <w:b/>
          <w:lang w:val="es-ES"/>
        </w:rPr>
        <w:t>USD</w:t>
      </w:r>
      <w:r w:rsidRPr="00196C02">
        <w:rPr>
          <w:rFonts w:ascii="Arial" w:hAnsi="Arial" w:cs="Arial"/>
          <w:b/>
          <w:lang w:val="es-ES"/>
        </w:rPr>
        <w:t xml:space="preserve">): </w:t>
      </w:r>
    </w:p>
    <w:p w:rsidR="00F60FD0" w:rsidRPr="00196C02" w:rsidRDefault="00F60FD0" w:rsidP="00F60FD0">
      <w:pPr>
        <w:spacing w:after="0" w:line="20" w:lineRule="atLeast"/>
        <w:ind w:left="360"/>
        <w:jc w:val="both"/>
        <w:rPr>
          <w:rFonts w:ascii="Arial" w:hAnsi="Arial" w:cs="Arial"/>
          <w:b/>
          <w:lang w:val="es-ES"/>
        </w:rPr>
      </w:pPr>
    </w:p>
    <w:tbl>
      <w:tblPr>
        <w:tblStyle w:val="TableGrid3"/>
        <w:tblW w:w="6333" w:type="dxa"/>
        <w:jc w:val="center"/>
        <w:tblInd w:w="-96" w:type="dxa"/>
        <w:tblLayout w:type="fixed"/>
        <w:tblLook w:val="04A0" w:firstRow="1" w:lastRow="0" w:firstColumn="1" w:lastColumn="0" w:noHBand="0" w:noVBand="1"/>
      </w:tblPr>
      <w:tblGrid>
        <w:gridCol w:w="1503"/>
        <w:gridCol w:w="1754"/>
        <w:gridCol w:w="1503"/>
        <w:gridCol w:w="1573"/>
      </w:tblGrid>
      <w:tr w:rsidR="00F60FD0" w:rsidRPr="00196C02" w:rsidTr="00F60FD0">
        <w:trPr>
          <w:trHeight w:val="135"/>
          <w:jc w:val="center"/>
        </w:trPr>
        <w:tc>
          <w:tcPr>
            <w:tcW w:w="1503" w:type="dxa"/>
            <w:shd w:val="clear" w:color="auto" w:fill="C2D69B" w:themeFill="accent3" w:themeFillTint="99"/>
            <w:vAlign w:val="center"/>
          </w:tcPr>
          <w:p w:rsidR="00F60FD0" w:rsidRPr="00196C02" w:rsidRDefault="00F60FD0"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Componente</w:t>
            </w:r>
          </w:p>
        </w:tc>
        <w:tc>
          <w:tcPr>
            <w:tcW w:w="1754" w:type="dxa"/>
            <w:shd w:val="clear" w:color="auto" w:fill="C2D69B" w:themeFill="accent3" w:themeFillTint="99"/>
            <w:vAlign w:val="center"/>
          </w:tcPr>
          <w:p w:rsidR="00F60FD0" w:rsidRPr="00196C02" w:rsidRDefault="00F60FD0"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201</w:t>
            </w:r>
            <w:r>
              <w:rPr>
                <w:rFonts w:ascii="Arial" w:hAnsi="Arial" w:cs="Arial"/>
                <w:b/>
                <w:sz w:val="18"/>
                <w:szCs w:val="18"/>
                <w:lang w:val="es-ES"/>
              </w:rPr>
              <w:t>7</w:t>
            </w:r>
          </w:p>
        </w:tc>
        <w:tc>
          <w:tcPr>
            <w:tcW w:w="1503" w:type="dxa"/>
            <w:shd w:val="clear" w:color="auto" w:fill="C2D69B" w:themeFill="accent3" w:themeFillTint="99"/>
            <w:vAlign w:val="center"/>
          </w:tcPr>
          <w:p w:rsidR="00F60FD0" w:rsidRPr="00196C02" w:rsidRDefault="00F60FD0" w:rsidP="00F60FD0">
            <w:pPr>
              <w:spacing w:line="20" w:lineRule="atLeast"/>
              <w:jc w:val="center"/>
              <w:rPr>
                <w:rFonts w:ascii="Arial" w:hAnsi="Arial" w:cs="Arial"/>
                <w:b/>
                <w:sz w:val="18"/>
                <w:szCs w:val="18"/>
                <w:lang w:val="es-ES"/>
              </w:rPr>
            </w:pPr>
            <w:r>
              <w:rPr>
                <w:rFonts w:ascii="Arial" w:hAnsi="Arial" w:cs="Arial"/>
                <w:b/>
                <w:sz w:val="18"/>
                <w:szCs w:val="18"/>
                <w:lang w:val="es-ES"/>
              </w:rPr>
              <w:t>2018</w:t>
            </w:r>
          </w:p>
        </w:tc>
        <w:tc>
          <w:tcPr>
            <w:tcW w:w="1573" w:type="dxa"/>
            <w:shd w:val="clear" w:color="auto" w:fill="C2D69B" w:themeFill="accent3" w:themeFillTint="99"/>
            <w:vAlign w:val="center"/>
          </w:tcPr>
          <w:p w:rsidR="00F60FD0" w:rsidRPr="00196C02" w:rsidRDefault="00F60FD0" w:rsidP="00535DC9">
            <w:pPr>
              <w:spacing w:line="20" w:lineRule="atLeast"/>
              <w:jc w:val="center"/>
              <w:rPr>
                <w:rFonts w:ascii="Arial" w:hAnsi="Arial" w:cs="Arial"/>
                <w:b/>
                <w:sz w:val="18"/>
                <w:szCs w:val="18"/>
                <w:lang w:val="es-ES"/>
              </w:rPr>
            </w:pPr>
            <w:r w:rsidRPr="00196C02">
              <w:rPr>
                <w:rFonts w:ascii="Arial" w:hAnsi="Arial" w:cs="Arial"/>
                <w:b/>
                <w:sz w:val="18"/>
                <w:szCs w:val="18"/>
                <w:lang w:val="es-ES"/>
              </w:rPr>
              <w:t>Costo Total</w:t>
            </w:r>
          </w:p>
        </w:tc>
      </w:tr>
      <w:tr w:rsidR="00F60FD0" w:rsidRPr="00196C02" w:rsidTr="00F60FD0">
        <w:trPr>
          <w:trHeight w:val="135"/>
          <w:jc w:val="center"/>
        </w:trPr>
        <w:tc>
          <w:tcPr>
            <w:tcW w:w="1503" w:type="dxa"/>
            <w:vAlign w:val="center"/>
          </w:tcPr>
          <w:p w:rsidR="00F60FD0" w:rsidRPr="009E0124" w:rsidRDefault="00F60FD0" w:rsidP="00535DC9">
            <w:pPr>
              <w:spacing w:line="20" w:lineRule="atLeast"/>
              <w:rPr>
                <w:rFonts w:ascii="Arial" w:hAnsi="Arial" w:cs="Arial"/>
                <w:sz w:val="18"/>
                <w:szCs w:val="18"/>
                <w:lang w:val="es-ES"/>
              </w:rPr>
            </w:pPr>
            <w:r>
              <w:rPr>
                <w:rFonts w:ascii="Arial" w:hAnsi="Arial" w:cs="Arial"/>
                <w:sz w:val="18"/>
                <w:szCs w:val="18"/>
                <w:lang w:val="es-ES"/>
              </w:rPr>
              <w:t>Planes</w:t>
            </w:r>
          </w:p>
        </w:tc>
        <w:tc>
          <w:tcPr>
            <w:tcW w:w="1754" w:type="dxa"/>
            <w:vAlign w:val="center"/>
          </w:tcPr>
          <w:p w:rsidR="00F60FD0" w:rsidRPr="005B633F" w:rsidRDefault="00F60FD0" w:rsidP="00535DC9">
            <w:pPr>
              <w:spacing w:line="20" w:lineRule="atLeast"/>
              <w:jc w:val="right"/>
              <w:rPr>
                <w:rFonts w:ascii="Arial" w:hAnsi="Arial" w:cs="Arial"/>
                <w:sz w:val="18"/>
                <w:szCs w:val="18"/>
                <w:lang w:val="es-ES"/>
              </w:rPr>
            </w:pPr>
            <w:r>
              <w:rPr>
                <w:rFonts w:ascii="Arial" w:hAnsi="Arial" w:cs="Arial"/>
                <w:sz w:val="18"/>
                <w:szCs w:val="18"/>
                <w:lang w:val="es-ES"/>
              </w:rPr>
              <w:t>774</w:t>
            </w:r>
          </w:p>
        </w:tc>
        <w:tc>
          <w:tcPr>
            <w:tcW w:w="1503" w:type="dxa"/>
            <w:vAlign w:val="center"/>
          </w:tcPr>
          <w:p w:rsidR="00F60FD0" w:rsidRPr="005B633F" w:rsidRDefault="00F60FD0" w:rsidP="00F60FD0">
            <w:pPr>
              <w:spacing w:line="20" w:lineRule="atLeast"/>
              <w:jc w:val="right"/>
              <w:rPr>
                <w:rFonts w:ascii="Arial" w:hAnsi="Arial" w:cs="Arial"/>
                <w:sz w:val="18"/>
                <w:szCs w:val="18"/>
                <w:lang w:val="es-ES"/>
              </w:rPr>
            </w:pPr>
            <w:r>
              <w:rPr>
                <w:rFonts w:ascii="Arial" w:hAnsi="Arial" w:cs="Arial"/>
                <w:sz w:val="18"/>
                <w:szCs w:val="18"/>
                <w:lang w:val="es-ES"/>
              </w:rPr>
              <w:t>8</w:t>
            </w:r>
            <w:r w:rsidRPr="005B633F">
              <w:rPr>
                <w:rFonts w:ascii="Arial" w:hAnsi="Arial" w:cs="Arial"/>
                <w:sz w:val="18"/>
                <w:szCs w:val="18"/>
                <w:lang w:val="es-ES"/>
              </w:rPr>
              <w:t>,</w:t>
            </w:r>
            <w:r>
              <w:rPr>
                <w:rFonts w:ascii="Arial" w:hAnsi="Arial" w:cs="Arial"/>
                <w:sz w:val="18"/>
                <w:szCs w:val="18"/>
                <w:lang w:val="es-ES"/>
              </w:rPr>
              <w:t>513</w:t>
            </w:r>
            <w:r w:rsidRPr="005B633F">
              <w:rPr>
                <w:rFonts w:ascii="Arial" w:hAnsi="Arial" w:cs="Arial"/>
                <w:sz w:val="18"/>
                <w:szCs w:val="18"/>
                <w:lang w:val="es-ES"/>
              </w:rPr>
              <w:t>.</w:t>
            </w:r>
            <w:r>
              <w:rPr>
                <w:rFonts w:ascii="Arial" w:hAnsi="Arial" w:cs="Arial"/>
                <w:sz w:val="18"/>
                <w:szCs w:val="18"/>
                <w:lang w:val="es-ES"/>
              </w:rPr>
              <w:t>08</w:t>
            </w:r>
          </w:p>
        </w:tc>
        <w:tc>
          <w:tcPr>
            <w:tcW w:w="1573" w:type="dxa"/>
            <w:vAlign w:val="center"/>
          </w:tcPr>
          <w:p w:rsidR="00F60FD0" w:rsidRPr="00F76C73" w:rsidRDefault="00F60FD0" w:rsidP="00535DC9">
            <w:pPr>
              <w:spacing w:line="20" w:lineRule="atLeast"/>
              <w:jc w:val="right"/>
              <w:rPr>
                <w:rFonts w:ascii="Arial" w:hAnsi="Arial" w:cs="Arial"/>
                <w:sz w:val="18"/>
                <w:szCs w:val="18"/>
                <w:lang w:val="es-ES"/>
              </w:rPr>
            </w:pPr>
            <w:r w:rsidRPr="00F60FD0">
              <w:rPr>
                <w:rFonts w:ascii="Arial" w:hAnsi="Arial" w:cs="Arial"/>
                <w:sz w:val="18"/>
                <w:szCs w:val="18"/>
                <w:lang w:val="es-ES"/>
              </w:rPr>
              <w:t>9,287</w:t>
            </w:r>
          </w:p>
        </w:tc>
      </w:tr>
    </w:tbl>
    <w:p w:rsidR="00F60FD0" w:rsidRPr="00196C02" w:rsidRDefault="00F60FD0" w:rsidP="00F60FD0">
      <w:pPr>
        <w:tabs>
          <w:tab w:val="left" w:pos="6695"/>
        </w:tabs>
        <w:spacing w:after="0" w:line="20" w:lineRule="atLeast"/>
        <w:ind w:left="360"/>
        <w:jc w:val="both"/>
        <w:rPr>
          <w:rFonts w:ascii="Arial" w:hAnsi="Arial" w:cs="Arial"/>
          <w:lang w:val="es-ES"/>
        </w:rPr>
      </w:pPr>
      <w:r>
        <w:rPr>
          <w:rFonts w:ascii="Arial" w:hAnsi="Arial" w:cs="Arial"/>
          <w:lang w:val="es-ES"/>
        </w:rPr>
        <w:tab/>
      </w:r>
    </w:p>
    <w:p w:rsidR="00F60FD0" w:rsidRDefault="00F60FD0" w:rsidP="00F60FD0">
      <w:pPr>
        <w:numPr>
          <w:ilvl w:val="0"/>
          <w:numId w:val="42"/>
        </w:numPr>
        <w:spacing w:after="0" w:line="20" w:lineRule="atLeast"/>
        <w:rPr>
          <w:rFonts w:ascii="Arial" w:hAnsi="Arial" w:cs="Arial"/>
          <w:lang w:val="es-ES"/>
        </w:rPr>
      </w:pPr>
      <w:r>
        <w:rPr>
          <w:rFonts w:ascii="Arial" w:hAnsi="Arial" w:cs="Arial"/>
          <w:b/>
          <w:lang w:val="es-ES"/>
        </w:rPr>
        <w:t>Adquisiciones/Contrataciones</w:t>
      </w:r>
      <w:r w:rsidRPr="00196C02">
        <w:rPr>
          <w:rFonts w:ascii="Arial" w:hAnsi="Arial" w:cs="Arial"/>
          <w:b/>
          <w:lang w:val="es-ES"/>
        </w:rPr>
        <w:t>:</w:t>
      </w:r>
      <w:r w:rsidRPr="00196C02">
        <w:rPr>
          <w:rFonts w:ascii="Arial" w:hAnsi="Arial" w:cs="Arial"/>
          <w:lang w:val="es-ES"/>
        </w:rPr>
        <w:t xml:space="preserve"> En la siguiente Tabla se indican las contrataciones previstas para el proyecto. </w:t>
      </w:r>
    </w:p>
    <w:p w:rsidR="00F60FD0" w:rsidRPr="00196C02" w:rsidRDefault="00F60FD0" w:rsidP="00F60FD0">
      <w:pPr>
        <w:spacing w:after="0" w:line="20" w:lineRule="atLeast"/>
        <w:ind w:left="360"/>
        <w:jc w:val="both"/>
        <w:rPr>
          <w:rFonts w:ascii="Arial" w:hAnsi="Arial" w:cs="Arial"/>
          <w:lang w:val="es-ES"/>
        </w:rPr>
      </w:pPr>
    </w:p>
    <w:tbl>
      <w:tblPr>
        <w:tblStyle w:val="TableGrid11"/>
        <w:tblW w:w="8370" w:type="dxa"/>
        <w:tblInd w:w="378" w:type="dxa"/>
        <w:tblLook w:val="04A0" w:firstRow="1" w:lastRow="0" w:firstColumn="1" w:lastColumn="0" w:noHBand="0" w:noVBand="1"/>
      </w:tblPr>
      <w:tblGrid>
        <w:gridCol w:w="2000"/>
        <w:gridCol w:w="1377"/>
        <w:gridCol w:w="867"/>
        <w:gridCol w:w="1345"/>
        <w:gridCol w:w="2781"/>
      </w:tblGrid>
      <w:tr w:rsidR="00F60FD0" w:rsidRPr="00196C02" w:rsidTr="00535DC9">
        <w:trPr>
          <w:trHeight w:val="528"/>
        </w:trPr>
        <w:tc>
          <w:tcPr>
            <w:tcW w:w="2000" w:type="dxa"/>
            <w:shd w:val="clear" w:color="auto" w:fill="C2D69B" w:themeFill="accent3" w:themeFillTint="99"/>
            <w:vAlign w:val="center"/>
          </w:tcPr>
          <w:p w:rsidR="00F60FD0" w:rsidRPr="00196C02" w:rsidRDefault="00F60FD0"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DESCRIPCION</w:t>
            </w:r>
          </w:p>
          <w:p w:rsidR="00F60FD0" w:rsidRPr="00196C02" w:rsidRDefault="00F60FD0"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DE CONTRATO</w:t>
            </w:r>
          </w:p>
        </w:tc>
        <w:tc>
          <w:tcPr>
            <w:tcW w:w="1377" w:type="dxa"/>
            <w:shd w:val="clear" w:color="auto" w:fill="C2D69B" w:themeFill="accent3" w:themeFillTint="99"/>
            <w:vAlign w:val="center"/>
          </w:tcPr>
          <w:p w:rsidR="00F60FD0" w:rsidRPr="00196C02" w:rsidRDefault="00F60FD0"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TIPO</w:t>
            </w:r>
          </w:p>
        </w:tc>
        <w:tc>
          <w:tcPr>
            <w:tcW w:w="867" w:type="dxa"/>
            <w:shd w:val="clear" w:color="auto" w:fill="C2D69B" w:themeFill="accent3" w:themeFillTint="99"/>
            <w:vAlign w:val="center"/>
          </w:tcPr>
          <w:p w:rsidR="00F60FD0" w:rsidRPr="00196C02" w:rsidRDefault="00F60FD0"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INICIO</w:t>
            </w:r>
          </w:p>
        </w:tc>
        <w:tc>
          <w:tcPr>
            <w:tcW w:w="1345" w:type="dxa"/>
            <w:shd w:val="clear" w:color="auto" w:fill="C2D69B" w:themeFill="accent3" w:themeFillTint="99"/>
            <w:vAlign w:val="center"/>
          </w:tcPr>
          <w:p w:rsidR="00F60FD0" w:rsidRPr="00196C02" w:rsidRDefault="00F60FD0"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TIEMPO DE EJECUCIÓN</w:t>
            </w:r>
          </w:p>
        </w:tc>
        <w:tc>
          <w:tcPr>
            <w:tcW w:w="2781" w:type="dxa"/>
            <w:shd w:val="clear" w:color="auto" w:fill="C2D69B" w:themeFill="accent3" w:themeFillTint="99"/>
            <w:vAlign w:val="center"/>
          </w:tcPr>
          <w:p w:rsidR="00F60FD0" w:rsidRPr="00196C02" w:rsidRDefault="00F60FD0" w:rsidP="00535DC9">
            <w:pPr>
              <w:spacing w:line="20" w:lineRule="atLeast"/>
              <w:jc w:val="center"/>
              <w:rPr>
                <w:rFonts w:ascii="Arial" w:eastAsia="Times New Roman" w:hAnsi="Arial" w:cs="Arial"/>
                <w:b/>
                <w:color w:val="000000"/>
                <w:kern w:val="24"/>
                <w:sz w:val="18"/>
                <w:szCs w:val="18"/>
                <w:lang w:val="es-MX" w:eastAsia="es-CO"/>
              </w:rPr>
            </w:pPr>
            <w:r w:rsidRPr="00196C02">
              <w:rPr>
                <w:rFonts w:ascii="Arial" w:eastAsia="Times New Roman" w:hAnsi="Arial" w:cs="Arial"/>
                <w:b/>
                <w:color w:val="000000"/>
                <w:kern w:val="24"/>
                <w:sz w:val="18"/>
                <w:szCs w:val="18"/>
                <w:lang w:val="es-MX" w:eastAsia="es-CO"/>
              </w:rPr>
              <w:t>ESTADO PROCESO</w:t>
            </w:r>
          </w:p>
        </w:tc>
      </w:tr>
      <w:tr w:rsidR="00F60FD0" w:rsidRPr="00F30BD7" w:rsidTr="00535DC9">
        <w:trPr>
          <w:trHeight w:val="528"/>
        </w:trPr>
        <w:tc>
          <w:tcPr>
            <w:tcW w:w="2000" w:type="dxa"/>
            <w:shd w:val="clear" w:color="auto" w:fill="FFFFFF" w:themeFill="background1"/>
            <w:vAlign w:val="center"/>
          </w:tcPr>
          <w:p w:rsidR="00F60FD0" w:rsidRPr="00D82AB0" w:rsidRDefault="00F60FD0" w:rsidP="00535DC9">
            <w:pPr>
              <w:spacing w:line="20" w:lineRule="atLeast"/>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Planes</w:t>
            </w:r>
          </w:p>
        </w:tc>
        <w:tc>
          <w:tcPr>
            <w:tcW w:w="1377" w:type="dxa"/>
            <w:shd w:val="clear" w:color="auto" w:fill="FFFFFF" w:themeFill="background1"/>
            <w:vAlign w:val="center"/>
          </w:tcPr>
          <w:p w:rsidR="00F60FD0" w:rsidRPr="00D82AB0" w:rsidRDefault="00F60FD0"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Consultoría</w:t>
            </w:r>
          </w:p>
        </w:tc>
        <w:tc>
          <w:tcPr>
            <w:tcW w:w="867" w:type="dxa"/>
            <w:shd w:val="clear" w:color="auto" w:fill="FFFFFF" w:themeFill="background1"/>
            <w:vAlign w:val="center"/>
          </w:tcPr>
          <w:p w:rsidR="00F60FD0" w:rsidRPr="00D82AB0" w:rsidRDefault="00F60FD0"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2017/12</w:t>
            </w:r>
          </w:p>
        </w:tc>
        <w:tc>
          <w:tcPr>
            <w:tcW w:w="1345" w:type="dxa"/>
            <w:shd w:val="clear" w:color="auto" w:fill="FFFFFF" w:themeFill="background1"/>
            <w:vAlign w:val="center"/>
          </w:tcPr>
          <w:p w:rsidR="00F60FD0" w:rsidRPr="00D82AB0" w:rsidRDefault="00F60FD0" w:rsidP="00535DC9">
            <w:pPr>
              <w:spacing w:line="20" w:lineRule="atLeast"/>
              <w:jc w:val="center"/>
              <w:rPr>
                <w:rFonts w:ascii="Arial" w:eastAsia="Times New Roman" w:hAnsi="Arial" w:cs="Arial"/>
                <w:color w:val="000000"/>
                <w:kern w:val="24"/>
                <w:sz w:val="18"/>
                <w:szCs w:val="18"/>
                <w:lang w:val="es-MX" w:eastAsia="es-CO"/>
              </w:rPr>
            </w:pPr>
            <w:r>
              <w:rPr>
                <w:rFonts w:ascii="Arial" w:eastAsia="Times New Roman" w:hAnsi="Arial" w:cs="Arial"/>
                <w:color w:val="000000"/>
                <w:kern w:val="24"/>
                <w:sz w:val="18"/>
                <w:szCs w:val="18"/>
                <w:lang w:val="es-MX" w:eastAsia="es-CO"/>
              </w:rPr>
              <w:t xml:space="preserve">12 </w:t>
            </w:r>
            <w:r w:rsidRPr="00D82AB0">
              <w:rPr>
                <w:rFonts w:ascii="Arial" w:eastAsia="Times New Roman" w:hAnsi="Arial" w:cs="Arial"/>
                <w:color w:val="000000"/>
                <w:kern w:val="24"/>
                <w:sz w:val="18"/>
                <w:szCs w:val="18"/>
                <w:lang w:val="es-MX" w:eastAsia="es-CO"/>
              </w:rPr>
              <w:t>meses</w:t>
            </w:r>
          </w:p>
        </w:tc>
        <w:tc>
          <w:tcPr>
            <w:tcW w:w="2781" w:type="dxa"/>
            <w:shd w:val="clear" w:color="auto" w:fill="FFFFFF" w:themeFill="background1"/>
            <w:vAlign w:val="center"/>
          </w:tcPr>
          <w:p w:rsidR="00F60FD0" w:rsidRPr="00D82AB0" w:rsidRDefault="00F60FD0" w:rsidP="00535DC9">
            <w:pPr>
              <w:spacing w:line="20" w:lineRule="atLeast"/>
              <w:rPr>
                <w:rFonts w:ascii="Arial" w:eastAsia="Times New Roman" w:hAnsi="Arial" w:cs="Arial"/>
                <w:color w:val="000000"/>
                <w:kern w:val="24"/>
                <w:sz w:val="18"/>
                <w:szCs w:val="18"/>
                <w:lang w:val="es-MX" w:eastAsia="es-CO"/>
              </w:rPr>
            </w:pPr>
            <w:r w:rsidRPr="00D82AB0">
              <w:rPr>
                <w:rFonts w:ascii="Arial" w:eastAsia="Times New Roman" w:hAnsi="Arial" w:cs="Arial"/>
                <w:color w:val="000000"/>
                <w:kern w:val="24"/>
                <w:sz w:val="18"/>
                <w:szCs w:val="18"/>
                <w:lang w:val="es-MX" w:eastAsia="es-CO"/>
              </w:rPr>
              <w:t>En preparación</w:t>
            </w:r>
          </w:p>
        </w:tc>
      </w:tr>
    </w:tbl>
    <w:p w:rsidR="00F60FD0" w:rsidRDefault="00F60FD0" w:rsidP="00F60FD0">
      <w:pPr>
        <w:spacing w:after="0" w:line="20" w:lineRule="atLeast"/>
        <w:rPr>
          <w:rFonts w:ascii="Arial" w:eastAsia="Times New Roman" w:hAnsi="Arial" w:cs="Arial"/>
          <w:color w:val="000000"/>
          <w:kern w:val="24"/>
          <w:lang w:val="es-MX" w:eastAsia="es-CO"/>
        </w:rPr>
      </w:pPr>
    </w:p>
    <w:p w:rsidR="00F60FD0" w:rsidRPr="00196C02" w:rsidRDefault="00F60FD0" w:rsidP="00F60FD0">
      <w:pPr>
        <w:spacing w:after="0" w:line="20" w:lineRule="atLeast"/>
        <w:rPr>
          <w:rFonts w:ascii="Arial" w:eastAsia="Times New Roman" w:hAnsi="Arial" w:cs="Arial"/>
          <w:color w:val="000000"/>
          <w:kern w:val="24"/>
          <w:lang w:val="es-MX" w:eastAsia="es-CO"/>
        </w:rPr>
      </w:pPr>
    </w:p>
    <w:p w:rsidR="00F60FD0" w:rsidRDefault="00F60FD0" w:rsidP="00F60FD0">
      <w:pPr>
        <w:numPr>
          <w:ilvl w:val="0"/>
          <w:numId w:val="42"/>
        </w:numPr>
        <w:spacing w:after="0" w:line="20" w:lineRule="atLeast"/>
        <w:rPr>
          <w:rFonts w:ascii="Arial" w:hAnsi="Arial" w:cs="Arial"/>
          <w:lang w:val="es-ES"/>
        </w:rPr>
      </w:pPr>
      <w:r w:rsidRPr="00196C02">
        <w:rPr>
          <w:rFonts w:ascii="Arial" w:hAnsi="Arial" w:cs="Arial"/>
          <w:b/>
          <w:lang w:val="es-ES"/>
        </w:rPr>
        <w:t xml:space="preserve">Riesgos: </w:t>
      </w:r>
      <w:r w:rsidRPr="004C50CF">
        <w:rPr>
          <w:rFonts w:ascii="Arial" w:hAnsi="Arial" w:cs="Arial"/>
          <w:lang w:val="es-ES"/>
        </w:rPr>
        <w:t xml:space="preserve">Los principales riesgos del proyecto se refieren a: </w:t>
      </w:r>
    </w:p>
    <w:p w:rsidR="00F60FD0" w:rsidRPr="000F595D" w:rsidRDefault="00F60FD0" w:rsidP="00F60FD0">
      <w:pPr>
        <w:pStyle w:val="ListParagraph"/>
        <w:numPr>
          <w:ilvl w:val="0"/>
          <w:numId w:val="43"/>
        </w:numPr>
        <w:kinsoku w:val="0"/>
        <w:overflowPunct w:val="0"/>
        <w:autoSpaceDE w:val="0"/>
        <w:autoSpaceDN w:val="0"/>
        <w:adjustRightInd w:val="0"/>
        <w:spacing w:before="120" w:after="0" w:line="20" w:lineRule="atLeast"/>
        <w:contextualSpacing w:val="0"/>
        <w:jc w:val="both"/>
        <w:rPr>
          <w:rFonts w:ascii="Arial" w:hAnsi="Arial" w:cs="Arial"/>
          <w:b/>
          <w:lang w:val="es-ES"/>
        </w:rPr>
      </w:pPr>
      <w:r w:rsidRPr="000F595D">
        <w:rPr>
          <w:rFonts w:ascii="Arial" w:hAnsi="Arial" w:cs="Arial"/>
          <w:lang w:val="es-ES"/>
        </w:rPr>
        <w:t xml:space="preserve">Existe un riesgo moderado </w:t>
      </w:r>
      <w:r>
        <w:rPr>
          <w:rFonts w:ascii="Arial" w:hAnsi="Arial" w:cs="Arial"/>
          <w:lang w:val="es-ES"/>
        </w:rPr>
        <w:t>asociado al desinterés de los usuarios a participar</w:t>
      </w:r>
      <w:r w:rsidRPr="000F595D">
        <w:rPr>
          <w:rFonts w:ascii="Arial" w:hAnsi="Arial" w:cs="Arial"/>
          <w:lang w:val="es-ES"/>
        </w:rPr>
        <w:t>.</w:t>
      </w: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F60FD0" w:rsidRDefault="00F60FD0" w:rsidP="00C06B88">
      <w:pPr>
        <w:autoSpaceDE w:val="0"/>
        <w:autoSpaceDN w:val="0"/>
        <w:adjustRightInd w:val="0"/>
        <w:spacing w:after="0"/>
        <w:rPr>
          <w:rFonts w:ascii="Arial" w:hAnsi="Arial" w:cs="Arial"/>
          <w:lang w:val="es-ES"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D973F7" w:rsidRDefault="00C06B88" w:rsidP="00C06B88">
      <w:pPr>
        <w:autoSpaceDE w:val="0"/>
        <w:autoSpaceDN w:val="0"/>
        <w:adjustRightInd w:val="0"/>
        <w:spacing w:after="0"/>
        <w:rPr>
          <w:rFonts w:ascii="Arial" w:hAnsi="Arial" w:cs="Arial"/>
          <w:lang w:val="es-CO" w:bidi="si-LK"/>
        </w:rPr>
      </w:pPr>
    </w:p>
    <w:p w:rsidR="00C06B88" w:rsidRPr="003E7EEE" w:rsidRDefault="00C06B88" w:rsidP="003E7EEE">
      <w:pPr>
        <w:spacing w:after="0" w:line="20" w:lineRule="atLeast"/>
        <w:jc w:val="both"/>
        <w:rPr>
          <w:rFonts w:ascii="Arial" w:hAnsi="Arial" w:cs="Arial"/>
          <w:b/>
          <w:lang w:val="es-ES"/>
        </w:rPr>
      </w:pPr>
    </w:p>
    <w:sectPr w:rsidR="00C06B88" w:rsidRPr="003E7EEE" w:rsidSect="00D02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7A" w:rsidRDefault="0092167A" w:rsidP="007B6A2F">
      <w:pPr>
        <w:spacing w:after="0" w:line="240" w:lineRule="auto"/>
      </w:pPr>
      <w:r>
        <w:separator/>
      </w:r>
    </w:p>
  </w:endnote>
  <w:endnote w:type="continuationSeparator" w:id="0">
    <w:p w:rsidR="0092167A" w:rsidRDefault="0092167A" w:rsidP="007B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7A" w:rsidRDefault="0092167A" w:rsidP="007B6A2F">
      <w:pPr>
        <w:spacing w:after="0" w:line="240" w:lineRule="auto"/>
      </w:pPr>
      <w:r>
        <w:separator/>
      </w:r>
    </w:p>
  </w:footnote>
  <w:footnote w:type="continuationSeparator" w:id="0">
    <w:p w:rsidR="0092167A" w:rsidRDefault="0092167A" w:rsidP="007B6A2F">
      <w:pPr>
        <w:spacing w:after="0" w:line="240" w:lineRule="auto"/>
      </w:pPr>
      <w:r>
        <w:continuationSeparator/>
      </w:r>
    </w:p>
  </w:footnote>
  <w:footnote w:id="1">
    <w:p w:rsidR="005F7004" w:rsidRPr="00535264" w:rsidRDefault="005F7004" w:rsidP="0037192D">
      <w:pPr>
        <w:pStyle w:val="FootnoteText"/>
        <w:tabs>
          <w:tab w:val="left" w:pos="36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 xml:space="preserve">Total viviendas 2015: 634,253 según documento “CALI EN CIFRAS 2014” Departamento Administrativo de Planeación, Alcaldía de Santiago de Cali, 2015. </w:t>
      </w:r>
    </w:p>
    <w:p w:rsidR="005F7004" w:rsidRPr="00535264" w:rsidRDefault="005F7004" w:rsidP="0037192D">
      <w:pPr>
        <w:pStyle w:val="FootnoteText"/>
        <w:tabs>
          <w:tab w:val="left" w:pos="360"/>
        </w:tabs>
        <w:ind w:left="270" w:hanging="270"/>
        <w:jc w:val="both"/>
        <w:rPr>
          <w:rFonts w:ascii="Arial" w:hAnsi="Arial" w:cs="Arial"/>
          <w:sz w:val="18"/>
          <w:szCs w:val="18"/>
          <w:lang w:val="es-CO"/>
        </w:rPr>
      </w:pPr>
      <w:r w:rsidRPr="00535264">
        <w:rPr>
          <w:rFonts w:ascii="Arial" w:hAnsi="Arial" w:cs="Arial"/>
          <w:sz w:val="18"/>
          <w:szCs w:val="18"/>
          <w:lang w:val="es-CO"/>
        </w:rPr>
        <w:tab/>
        <w:t>En: http://www.cali.gov.co/planeacion/publicaciones/cali_en_cifras__pub</w:t>
      </w:r>
    </w:p>
  </w:footnote>
  <w:footnote w:id="2">
    <w:p w:rsidR="005F7004" w:rsidRPr="00535264" w:rsidRDefault="005F7004" w:rsidP="0037192D">
      <w:pPr>
        <w:pStyle w:val="FootnoteText"/>
        <w:tabs>
          <w:tab w:val="left" w:pos="36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 xml:space="preserve">Fuente: Plan de Desarrollo 2016-2019 “Cali progresa contigo”. </w:t>
      </w:r>
    </w:p>
  </w:footnote>
  <w:footnote w:id="3">
    <w:p w:rsidR="005F7004" w:rsidRPr="00535264" w:rsidRDefault="005F7004" w:rsidP="0037192D">
      <w:pPr>
        <w:pStyle w:val="FootnoteText"/>
        <w:tabs>
          <w:tab w:val="left" w:pos="36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Valor estimado para el año 2010. En: Conpes 3718 de 2012 “Política Nacional de Espacio Público”.</w:t>
      </w:r>
    </w:p>
  </w:footnote>
  <w:footnote w:id="4">
    <w:p w:rsidR="005F7004" w:rsidRPr="00535264" w:rsidRDefault="005F7004" w:rsidP="0037192D">
      <w:pPr>
        <w:pStyle w:val="FootnoteText"/>
        <w:tabs>
          <w:tab w:val="left" w:pos="36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 xml:space="preserve">Por el cual se reglamenta el manejo del espacio público en los planes de ordenamiento territorial. </w:t>
      </w:r>
    </w:p>
  </w:footnote>
  <w:footnote w:id="5">
    <w:p w:rsidR="005F7004" w:rsidRPr="00535264" w:rsidRDefault="005F7004" w:rsidP="0037192D">
      <w:pPr>
        <w:pStyle w:val="FootnoteText"/>
        <w:tabs>
          <w:tab w:val="left" w:pos="36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Esto corresponde igualmente con las metas de la Organización Mundial de la Salud, que definen un mínimo de 10m</w:t>
      </w:r>
      <w:r w:rsidRPr="00535264">
        <w:rPr>
          <w:rFonts w:ascii="Arial" w:hAnsi="Arial" w:cs="Arial"/>
          <w:sz w:val="18"/>
          <w:szCs w:val="18"/>
          <w:vertAlign w:val="superscript"/>
          <w:lang w:val="es-CO"/>
        </w:rPr>
        <w:t>2</w:t>
      </w:r>
      <w:r w:rsidRPr="00535264">
        <w:rPr>
          <w:rFonts w:ascii="Arial" w:hAnsi="Arial" w:cs="Arial"/>
          <w:sz w:val="18"/>
          <w:szCs w:val="18"/>
          <w:lang w:val="es-CO"/>
        </w:rPr>
        <w:t xml:space="preserve"> y un óptimo de 15m</w:t>
      </w:r>
      <w:r w:rsidRPr="00535264">
        <w:rPr>
          <w:rFonts w:ascii="Arial" w:hAnsi="Arial" w:cs="Arial"/>
          <w:sz w:val="18"/>
          <w:szCs w:val="18"/>
          <w:vertAlign w:val="superscript"/>
          <w:lang w:val="es-CO"/>
        </w:rPr>
        <w:t>2</w:t>
      </w:r>
    </w:p>
  </w:footnote>
  <w:footnote w:id="6">
    <w:p w:rsidR="005F7004" w:rsidRPr="00535264" w:rsidRDefault="005F7004" w:rsidP="004E1CE3">
      <w:pPr>
        <w:pStyle w:val="FootnoteText"/>
        <w:jc w:val="both"/>
        <w:rPr>
          <w:rFonts w:ascii="Arial" w:hAnsi="Arial" w:cs="Arial"/>
          <w:sz w:val="18"/>
          <w:szCs w:val="18"/>
          <w:lang w:val="es-MX"/>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MX"/>
        </w:rPr>
        <w:t>Ver la metodología de desempeño fiscal del DNP y los informes publicados en:</w:t>
      </w:r>
    </w:p>
    <w:p w:rsidR="005F7004" w:rsidRPr="00535264" w:rsidRDefault="00FF08AF" w:rsidP="00535264">
      <w:pPr>
        <w:pStyle w:val="FootnoteText"/>
        <w:jc w:val="both"/>
        <w:rPr>
          <w:rFonts w:ascii="Arial" w:hAnsi="Arial" w:cs="Arial"/>
          <w:sz w:val="18"/>
          <w:szCs w:val="18"/>
          <w:lang w:val="es-MX"/>
        </w:rPr>
      </w:pPr>
      <w:hyperlink r:id="rId1" w:history="1">
        <w:r w:rsidR="005F7004" w:rsidRPr="00535264">
          <w:rPr>
            <w:rStyle w:val="Hyperlink"/>
            <w:rFonts w:ascii="Arial" w:hAnsi="Arial" w:cs="Arial"/>
            <w:sz w:val="18"/>
            <w:szCs w:val="18"/>
            <w:lang w:val="es-MX"/>
          </w:rPr>
          <w:t>https://www.dnp.gov.co/Programas/DesarrolloTerritorial/Evaluaci%C3%B3nySeguimientodelaDescentralizaci%C3%B3n/Desempe%C3%B1oFiscal.aspx</w:t>
        </w:r>
      </w:hyperlink>
    </w:p>
  </w:footnote>
  <w:footnote w:id="7">
    <w:p w:rsidR="005F7004" w:rsidRPr="00535264" w:rsidRDefault="005F7004" w:rsidP="004E1CE3">
      <w:pPr>
        <w:pStyle w:val="FootnoteText"/>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La Administración de los tributos estuvo a cargo de un operador privado desde el 2005</w:t>
      </w:r>
    </w:p>
  </w:footnote>
  <w:footnote w:id="8">
    <w:p w:rsidR="005F7004" w:rsidRPr="00535264" w:rsidRDefault="005F7004" w:rsidP="004E1CE3">
      <w:pPr>
        <w:spacing w:after="0" w:line="240" w:lineRule="auto"/>
        <w:contextualSpacing/>
        <w:jc w:val="both"/>
        <w:textAlignment w:val="baseline"/>
        <w:rPr>
          <w:rFonts w:ascii="Arial" w:eastAsiaTheme="minorEastAsia" w:hAnsi="Arial" w:cs="Arial"/>
          <w:color w:val="000000" w:themeColor="text1"/>
          <w:kern w:val="24"/>
          <w:sz w:val="18"/>
          <w:szCs w:val="18"/>
          <w:lang w:val="es-ES"/>
        </w:rPr>
      </w:pPr>
      <w:r w:rsidRPr="00535264">
        <w:rPr>
          <w:rStyle w:val="FootnoteReference"/>
          <w:rFonts w:ascii="Arial" w:hAnsi="Arial" w:cs="Arial"/>
          <w:sz w:val="18"/>
          <w:szCs w:val="18"/>
        </w:rPr>
        <w:footnoteRef/>
      </w:r>
      <w:r w:rsidRPr="00535264">
        <w:rPr>
          <w:rFonts w:ascii="Arial" w:hAnsi="Arial" w:cs="Arial"/>
          <w:sz w:val="18"/>
          <w:szCs w:val="18"/>
          <w:lang w:val="es-ES"/>
        </w:rPr>
        <w:t xml:space="preserve"> De acuerdo al análisis de CAMACOL, en el año 2014 se vendieron 15.668 viviendas dando como resultado un incremento del 28% en este sector de la construcción, lo que se tradujo en un aumento en el recaudo en del grupo Predial.</w:t>
      </w:r>
    </w:p>
    <w:p w:rsidR="005F7004" w:rsidRPr="00535264" w:rsidRDefault="005F7004" w:rsidP="004E1CE3">
      <w:pPr>
        <w:spacing w:after="0" w:line="240" w:lineRule="auto"/>
        <w:contextualSpacing/>
        <w:jc w:val="both"/>
        <w:textAlignment w:val="baseline"/>
        <w:rPr>
          <w:rFonts w:ascii="Arial" w:eastAsiaTheme="minorEastAsia" w:hAnsi="Arial" w:cs="Arial"/>
          <w:color w:val="000000" w:themeColor="text1"/>
          <w:kern w:val="24"/>
          <w:sz w:val="18"/>
          <w:szCs w:val="18"/>
          <w:lang w:val="es-CO"/>
        </w:rPr>
      </w:pPr>
    </w:p>
    <w:p w:rsidR="005F7004" w:rsidRPr="00535264" w:rsidRDefault="005F7004" w:rsidP="004E1CE3">
      <w:pPr>
        <w:pStyle w:val="FootnoteText"/>
        <w:rPr>
          <w:rFonts w:ascii="Arial" w:hAnsi="Arial" w:cs="Arial"/>
          <w:sz w:val="18"/>
          <w:szCs w:val="18"/>
          <w:lang w:val="es-CO"/>
        </w:rPr>
      </w:pPr>
    </w:p>
  </w:footnote>
  <w:footnote w:id="9">
    <w:p w:rsidR="005F7004" w:rsidRPr="00535264" w:rsidRDefault="005F7004" w:rsidP="007B6A2F">
      <w:pPr>
        <w:pStyle w:val="FootnoteText"/>
        <w:tabs>
          <w:tab w:val="left" w:pos="270"/>
        </w:tabs>
        <w:ind w:left="270" w:hanging="270"/>
        <w:rPr>
          <w:rFonts w:ascii="Arial" w:hAnsi="Arial" w:cs="Arial"/>
          <w:sz w:val="18"/>
          <w:szCs w:val="18"/>
          <w:lang w:val="es-ES"/>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Corresponde a los procesos judiciales activos en contra del municipio que ya tienen sentencia de primera y segunda instancia desfavorable a la entidad territorial.</w:t>
      </w:r>
    </w:p>
  </w:footnote>
  <w:footnote w:id="10">
    <w:p w:rsidR="005F7004" w:rsidRPr="00535264" w:rsidRDefault="005F7004" w:rsidP="004E1CE3">
      <w:pPr>
        <w:pStyle w:val="FootnoteText"/>
        <w:tabs>
          <w:tab w:val="left" w:pos="27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El indicador de SOLVENCIA,  indica la capacidad del Municipio para responder por sus obligaciones en el corto plazo y reaccionar ante fluctuaciones financieras, al comparar los intereses con el potencial de recursos disponibles (ahorro operacional).</w:t>
      </w:r>
    </w:p>
  </w:footnote>
  <w:footnote w:id="11">
    <w:p w:rsidR="005F7004" w:rsidRPr="00535264" w:rsidRDefault="005F7004" w:rsidP="004E1CE3">
      <w:pPr>
        <w:pStyle w:val="FootnoteText"/>
        <w:tabs>
          <w:tab w:val="left" w:pos="270"/>
        </w:tabs>
        <w:ind w:left="270" w:hanging="270"/>
        <w:jc w:val="both"/>
        <w:rPr>
          <w:rFonts w:ascii="Arial" w:hAnsi="Arial" w:cs="Arial"/>
          <w:sz w:val="18"/>
          <w:szCs w:val="18"/>
          <w:lang w:val="es-CO"/>
        </w:rPr>
      </w:pPr>
      <w:r w:rsidRPr="00535264">
        <w:rPr>
          <w:rStyle w:val="FootnoteReference"/>
          <w:rFonts w:ascii="Arial" w:hAnsi="Arial" w:cs="Arial"/>
          <w:sz w:val="18"/>
          <w:szCs w:val="18"/>
        </w:rPr>
        <w:footnoteRef/>
      </w:r>
      <w:r w:rsidRPr="00535264">
        <w:rPr>
          <w:rFonts w:ascii="Arial" w:hAnsi="Arial" w:cs="Arial"/>
          <w:sz w:val="18"/>
          <w:szCs w:val="18"/>
          <w:lang w:val="es-CO"/>
        </w:rPr>
        <w:t xml:space="preserve"> </w:t>
      </w:r>
      <w:r w:rsidRPr="00535264">
        <w:rPr>
          <w:rFonts w:ascii="Arial" w:hAnsi="Arial" w:cs="Arial"/>
          <w:sz w:val="18"/>
          <w:szCs w:val="18"/>
          <w:lang w:val="es-CO"/>
        </w:rPr>
        <w:tab/>
        <w:t>El indicador de SOSTENIBILIDAD refleja la capacidad del Municipio para generar recursos que respalden las obligaciones financieras en el mediano plazo. Es un indicador fuerte en la medida en que no incorpora los activos de la entidad como respaldo, sino los ingresos corrientes de que trata la Ley 358 de 1997.</w:t>
      </w:r>
    </w:p>
  </w:footnote>
  <w:footnote w:id="12">
    <w:p w:rsidR="005F7004" w:rsidRPr="00535264" w:rsidRDefault="005F7004" w:rsidP="004E1CE3">
      <w:pPr>
        <w:tabs>
          <w:tab w:val="left" w:pos="270"/>
        </w:tabs>
        <w:autoSpaceDE w:val="0"/>
        <w:autoSpaceDN w:val="0"/>
        <w:adjustRightInd w:val="0"/>
        <w:spacing w:after="0" w:line="240" w:lineRule="auto"/>
        <w:ind w:left="270" w:hanging="270"/>
        <w:jc w:val="both"/>
        <w:rPr>
          <w:rFonts w:ascii="Arial" w:hAnsi="Arial" w:cs="Arial"/>
          <w:sz w:val="18"/>
          <w:szCs w:val="18"/>
          <w:lang w:val="es-ES"/>
        </w:rPr>
      </w:pPr>
      <w:r w:rsidRPr="00535264">
        <w:rPr>
          <w:rStyle w:val="FootnoteReference"/>
          <w:rFonts w:ascii="Arial" w:hAnsi="Arial" w:cs="Arial"/>
          <w:sz w:val="18"/>
          <w:szCs w:val="18"/>
        </w:rPr>
        <w:footnoteRef/>
      </w:r>
      <w:r w:rsidRPr="00535264">
        <w:rPr>
          <w:rFonts w:ascii="Arial" w:hAnsi="Arial" w:cs="Arial"/>
          <w:sz w:val="18"/>
          <w:szCs w:val="18"/>
          <w:lang w:val="es-ES"/>
        </w:rPr>
        <w:t xml:space="preserve"> </w:t>
      </w:r>
      <w:r w:rsidRPr="00535264">
        <w:rPr>
          <w:rFonts w:ascii="Arial" w:hAnsi="Arial" w:cs="Arial"/>
          <w:sz w:val="18"/>
          <w:szCs w:val="18"/>
          <w:lang w:val="es-ES"/>
        </w:rPr>
        <w:tab/>
      </w:r>
      <w:r w:rsidRPr="00535264">
        <w:rPr>
          <w:rFonts w:ascii="Arial" w:hAnsi="Arial" w:cs="Arial"/>
          <w:color w:val="000000"/>
          <w:sz w:val="18"/>
          <w:szCs w:val="18"/>
          <w:lang w:val="es-ES"/>
        </w:rPr>
        <w:t>De acuerdo con la ley 819 de 2003, Para entidades territoriales con pasivos corrientes pendientes de pago, originados en déficit de vigencias anteriores, el Superávit Primario / Intereses, debe ser mayor o igual a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F31"/>
    <w:multiLevelType w:val="hybridMultilevel"/>
    <w:tmpl w:val="826613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BD0EB6"/>
    <w:multiLevelType w:val="hybridMultilevel"/>
    <w:tmpl w:val="AD3C4ED0"/>
    <w:lvl w:ilvl="0" w:tplc="290AE0C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1A0"/>
    <w:multiLevelType w:val="hybridMultilevel"/>
    <w:tmpl w:val="8DBE3374"/>
    <w:lvl w:ilvl="0" w:tplc="1A2EBBF0">
      <w:start w:val="1"/>
      <w:numFmt w:val="decimal"/>
      <w:lvlText w:val="%1."/>
      <w:lvlJc w:val="left"/>
      <w:pPr>
        <w:ind w:left="450" w:hanging="360"/>
      </w:pPr>
      <w:rPr>
        <w:rFonts w:ascii="Verdana" w:hAnsi="Verdana" w:hint="default"/>
        <w:color w:val="000000"/>
        <w:sz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F551DA"/>
    <w:multiLevelType w:val="multilevel"/>
    <w:tmpl w:val="869C857E"/>
    <w:lvl w:ilvl="0">
      <w:start w:val="1"/>
      <w:numFmt w:val="decimal"/>
      <w:lvlText w:val="%1"/>
      <w:lvlJc w:val="left"/>
      <w:pPr>
        <w:ind w:left="360" w:hanging="360"/>
      </w:pPr>
      <w:rPr>
        <w:rFonts w:hint="default"/>
        <w:u w:val="single"/>
      </w:rPr>
    </w:lvl>
    <w:lvl w:ilvl="1">
      <w:start w:val="7"/>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
    <w:nsid w:val="0B95056E"/>
    <w:multiLevelType w:val="multilevel"/>
    <w:tmpl w:val="370E932E"/>
    <w:lvl w:ilvl="0">
      <w:start w:val="1"/>
      <w:numFmt w:val="upperRoman"/>
      <w:lvlText w:val="%1."/>
      <w:lvlJc w:val="right"/>
      <w:pPr>
        <w:ind w:left="360" w:hanging="360"/>
      </w:pPr>
      <w:rPr>
        <w:rFonts w:hint="default"/>
        <w:b/>
        <w:color w:val="auto"/>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0CF66B4D"/>
    <w:multiLevelType w:val="multilevel"/>
    <w:tmpl w:val="487C558C"/>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6">
    <w:nsid w:val="0F991475"/>
    <w:multiLevelType w:val="multilevel"/>
    <w:tmpl w:val="FAFE6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470918"/>
    <w:multiLevelType w:val="hybridMultilevel"/>
    <w:tmpl w:val="990E5DEA"/>
    <w:lvl w:ilvl="0" w:tplc="33F6C672">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05B57"/>
    <w:multiLevelType w:val="hybridMultilevel"/>
    <w:tmpl w:val="DA00CEC2"/>
    <w:lvl w:ilvl="0" w:tplc="66DC9E78">
      <w:start w:val="1"/>
      <w:numFmt w:val="bullet"/>
      <w:lvlText w:val="•"/>
      <w:lvlJc w:val="left"/>
      <w:pPr>
        <w:tabs>
          <w:tab w:val="num" w:pos="720"/>
        </w:tabs>
        <w:ind w:left="720" w:hanging="360"/>
      </w:pPr>
      <w:rPr>
        <w:rFonts w:ascii="Arial" w:hAnsi="Arial" w:hint="default"/>
      </w:rPr>
    </w:lvl>
    <w:lvl w:ilvl="1" w:tplc="09F8C3E4" w:tentative="1">
      <w:start w:val="1"/>
      <w:numFmt w:val="bullet"/>
      <w:lvlText w:val="•"/>
      <w:lvlJc w:val="left"/>
      <w:pPr>
        <w:tabs>
          <w:tab w:val="num" w:pos="1440"/>
        </w:tabs>
        <w:ind w:left="1440" w:hanging="360"/>
      </w:pPr>
      <w:rPr>
        <w:rFonts w:ascii="Arial" w:hAnsi="Arial" w:hint="default"/>
      </w:rPr>
    </w:lvl>
    <w:lvl w:ilvl="2" w:tplc="ADFACAB4" w:tentative="1">
      <w:start w:val="1"/>
      <w:numFmt w:val="bullet"/>
      <w:lvlText w:val="•"/>
      <w:lvlJc w:val="left"/>
      <w:pPr>
        <w:tabs>
          <w:tab w:val="num" w:pos="2160"/>
        </w:tabs>
        <w:ind w:left="2160" w:hanging="360"/>
      </w:pPr>
      <w:rPr>
        <w:rFonts w:ascii="Arial" w:hAnsi="Arial" w:hint="default"/>
      </w:rPr>
    </w:lvl>
    <w:lvl w:ilvl="3" w:tplc="19C2AB08" w:tentative="1">
      <w:start w:val="1"/>
      <w:numFmt w:val="bullet"/>
      <w:lvlText w:val="•"/>
      <w:lvlJc w:val="left"/>
      <w:pPr>
        <w:tabs>
          <w:tab w:val="num" w:pos="2880"/>
        </w:tabs>
        <w:ind w:left="2880" w:hanging="360"/>
      </w:pPr>
      <w:rPr>
        <w:rFonts w:ascii="Arial" w:hAnsi="Arial" w:hint="default"/>
      </w:rPr>
    </w:lvl>
    <w:lvl w:ilvl="4" w:tplc="EC82F076" w:tentative="1">
      <w:start w:val="1"/>
      <w:numFmt w:val="bullet"/>
      <w:lvlText w:val="•"/>
      <w:lvlJc w:val="left"/>
      <w:pPr>
        <w:tabs>
          <w:tab w:val="num" w:pos="3600"/>
        </w:tabs>
        <w:ind w:left="3600" w:hanging="360"/>
      </w:pPr>
      <w:rPr>
        <w:rFonts w:ascii="Arial" w:hAnsi="Arial" w:hint="default"/>
      </w:rPr>
    </w:lvl>
    <w:lvl w:ilvl="5" w:tplc="84E83288" w:tentative="1">
      <w:start w:val="1"/>
      <w:numFmt w:val="bullet"/>
      <w:lvlText w:val="•"/>
      <w:lvlJc w:val="left"/>
      <w:pPr>
        <w:tabs>
          <w:tab w:val="num" w:pos="4320"/>
        </w:tabs>
        <w:ind w:left="4320" w:hanging="360"/>
      </w:pPr>
      <w:rPr>
        <w:rFonts w:ascii="Arial" w:hAnsi="Arial" w:hint="default"/>
      </w:rPr>
    </w:lvl>
    <w:lvl w:ilvl="6" w:tplc="FC82BE16" w:tentative="1">
      <w:start w:val="1"/>
      <w:numFmt w:val="bullet"/>
      <w:lvlText w:val="•"/>
      <w:lvlJc w:val="left"/>
      <w:pPr>
        <w:tabs>
          <w:tab w:val="num" w:pos="5040"/>
        </w:tabs>
        <w:ind w:left="5040" w:hanging="360"/>
      </w:pPr>
      <w:rPr>
        <w:rFonts w:ascii="Arial" w:hAnsi="Arial" w:hint="default"/>
      </w:rPr>
    </w:lvl>
    <w:lvl w:ilvl="7" w:tplc="CB32BE0C" w:tentative="1">
      <w:start w:val="1"/>
      <w:numFmt w:val="bullet"/>
      <w:lvlText w:val="•"/>
      <w:lvlJc w:val="left"/>
      <w:pPr>
        <w:tabs>
          <w:tab w:val="num" w:pos="5760"/>
        </w:tabs>
        <w:ind w:left="5760" w:hanging="360"/>
      </w:pPr>
      <w:rPr>
        <w:rFonts w:ascii="Arial" w:hAnsi="Arial" w:hint="default"/>
      </w:rPr>
    </w:lvl>
    <w:lvl w:ilvl="8" w:tplc="4A3098B6" w:tentative="1">
      <w:start w:val="1"/>
      <w:numFmt w:val="bullet"/>
      <w:lvlText w:val="•"/>
      <w:lvlJc w:val="left"/>
      <w:pPr>
        <w:tabs>
          <w:tab w:val="num" w:pos="6480"/>
        </w:tabs>
        <w:ind w:left="6480" w:hanging="360"/>
      </w:pPr>
      <w:rPr>
        <w:rFonts w:ascii="Arial" w:hAnsi="Arial" w:hint="default"/>
      </w:rPr>
    </w:lvl>
  </w:abstractNum>
  <w:abstractNum w:abstractNumId="9">
    <w:nsid w:val="1F703D2E"/>
    <w:multiLevelType w:val="multilevel"/>
    <w:tmpl w:val="7C16DF94"/>
    <w:lvl w:ilvl="0">
      <w:start w:val="4"/>
      <w:numFmt w:val="decimal"/>
      <w:lvlText w:val="%1"/>
      <w:lvlJc w:val="left"/>
      <w:pPr>
        <w:ind w:left="480" w:hanging="480"/>
      </w:pPr>
      <w:rPr>
        <w:rFonts w:hint="default"/>
        <w:b/>
      </w:rPr>
    </w:lvl>
    <w:lvl w:ilvl="1">
      <w:start w:val="1"/>
      <w:numFmt w:val="decimal"/>
      <w:lvlText w:val="%1.%2"/>
      <w:lvlJc w:val="left"/>
      <w:pPr>
        <w:ind w:left="905" w:hanging="48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0">
    <w:nsid w:val="20AF1A68"/>
    <w:multiLevelType w:val="hybridMultilevel"/>
    <w:tmpl w:val="543E4B54"/>
    <w:lvl w:ilvl="0" w:tplc="22DE01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161122"/>
    <w:multiLevelType w:val="multilevel"/>
    <w:tmpl w:val="B4FCD7D8"/>
    <w:lvl w:ilvl="0">
      <w:start w:val="1"/>
      <w:numFmt w:val="decimal"/>
      <w:lvlText w:val="%1."/>
      <w:lvlJc w:val="left"/>
      <w:pPr>
        <w:ind w:left="360" w:hanging="360"/>
      </w:pPr>
      <w:rPr>
        <w:rFonts w:hint="default"/>
        <w:b/>
      </w:rPr>
    </w:lvl>
    <w:lvl w:ilvl="1">
      <w:start w:val="1"/>
      <w:numFmt w:val="decimal"/>
      <w:lvlText w:val="%1.%2."/>
      <w:lvlJc w:val="left"/>
      <w:pPr>
        <w:ind w:left="1283" w:hanging="432"/>
      </w:pPr>
      <w:rPr>
        <w:b w:val="0"/>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F64C51"/>
    <w:multiLevelType w:val="hybridMultilevel"/>
    <w:tmpl w:val="FD925A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nsid w:val="3D2D1A1B"/>
    <w:multiLevelType w:val="multilevel"/>
    <w:tmpl w:val="9DF658D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D82731"/>
    <w:multiLevelType w:val="hybridMultilevel"/>
    <w:tmpl w:val="7A0CA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81551"/>
    <w:multiLevelType w:val="multilevel"/>
    <w:tmpl w:val="9DF658D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AE056D"/>
    <w:multiLevelType w:val="multilevel"/>
    <w:tmpl w:val="370E932E"/>
    <w:lvl w:ilvl="0">
      <w:start w:val="1"/>
      <w:numFmt w:val="upperRoman"/>
      <w:lvlText w:val="%1."/>
      <w:lvlJc w:val="right"/>
      <w:pPr>
        <w:ind w:left="360" w:hanging="360"/>
      </w:pPr>
      <w:rPr>
        <w:rFonts w:hint="default"/>
        <w:b/>
        <w:color w:val="auto"/>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410E07D9"/>
    <w:multiLevelType w:val="hybridMultilevel"/>
    <w:tmpl w:val="543E4B54"/>
    <w:lvl w:ilvl="0" w:tplc="22DE01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190DCC"/>
    <w:multiLevelType w:val="multilevel"/>
    <w:tmpl w:val="F96EB376"/>
    <w:lvl w:ilvl="0">
      <w:start w:val="1"/>
      <w:numFmt w:val="decimal"/>
      <w:lvlText w:val="%1"/>
      <w:lvlJc w:val="left"/>
      <w:pPr>
        <w:ind w:left="480" w:hanging="480"/>
      </w:pPr>
      <w:rPr>
        <w:rFonts w:eastAsia="Times New Roman" w:hint="default"/>
      </w:rPr>
    </w:lvl>
    <w:lvl w:ilvl="1">
      <w:start w:val="7"/>
      <w:numFmt w:val="decimal"/>
      <w:lvlText w:val="%1.%2"/>
      <w:lvlJc w:val="left"/>
      <w:pPr>
        <w:ind w:left="1056" w:hanging="480"/>
      </w:pPr>
      <w:rPr>
        <w:rFonts w:eastAsia="Times New Roman" w:hint="default"/>
      </w:rPr>
    </w:lvl>
    <w:lvl w:ilvl="2">
      <w:start w:val="1"/>
      <w:numFmt w:val="decimal"/>
      <w:lvlText w:val="%1.%2.%3"/>
      <w:lvlJc w:val="left"/>
      <w:pPr>
        <w:ind w:left="1872" w:hanging="720"/>
      </w:pPr>
      <w:rPr>
        <w:rFonts w:eastAsia="Times New Roman" w:hint="default"/>
      </w:rPr>
    </w:lvl>
    <w:lvl w:ilvl="3">
      <w:start w:val="1"/>
      <w:numFmt w:val="decimal"/>
      <w:lvlText w:val="%1.%2.%3.%4"/>
      <w:lvlJc w:val="left"/>
      <w:pPr>
        <w:ind w:left="2448" w:hanging="720"/>
      </w:pPr>
      <w:rPr>
        <w:rFonts w:eastAsia="Times New Roman" w:hint="default"/>
      </w:rPr>
    </w:lvl>
    <w:lvl w:ilvl="4">
      <w:start w:val="1"/>
      <w:numFmt w:val="decimal"/>
      <w:lvlText w:val="%1.%2.%3.%4.%5"/>
      <w:lvlJc w:val="left"/>
      <w:pPr>
        <w:ind w:left="3384" w:hanging="1080"/>
      </w:pPr>
      <w:rPr>
        <w:rFonts w:eastAsia="Times New Roman" w:hint="default"/>
      </w:rPr>
    </w:lvl>
    <w:lvl w:ilvl="5">
      <w:start w:val="1"/>
      <w:numFmt w:val="decimal"/>
      <w:lvlText w:val="%1.%2.%3.%4.%5.%6"/>
      <w:lvlJc w:val="left"/>
      <w:pPr>
        <w:ind w:left="3960" w:hanging="1080"/>
      </w:pPr>
      <w:rPr>
        <w:rFonts w:eastAsia="Times New Roman" w:hint="default"/>
      </w:rPr>
    </w:lvl>
    <w:lvl w:ilvl="6">
      <w:start w:val="1"/>
      <w:numFmt w:val="decimal"/>
      <w:lvlText w:val="%1.%2.%3.%4.%5.%6.%7"/>
      <w:lvlJc w:val="left"/>
      <w:pPr>
        <w:ind w:left="4896" w:hanging="1440"/>
      </w:pPr>
      <w:rPr>
        <w:rFonts w:eastAsia="Times New Roman" w:hint="default"/>
      </w:rPr>
    </w:lvl>
    <w:lvl w:ilvl="7">
      <w:start w:val="1"/>
      <w:numFmt w:val="decimal"/>
      <w:lvlText w:val="%1.%2.%3.%4.%5.%6.%7.%8"/>
      <w:lvlJc w:val="left"/>
      <w:pPr>
        <w:ind w:left="5472" w:hanging="1440"/>
      </w:pPr>
      <w:rPr>
        <w:rFonts w:eastAsia="Times New Roman" w:hint="default"/>
      </w:rPr>
    </w:lvl>
    <w:lvl w:ilvl="8">
      <w:start w:val="1"/>
      <w:numFmt w:val="decimal"/>
      <w:lvlText w:val="%1.%2.%3.%4.%5.%6.%7.%8.%9"/>
      <w:lvlJc w:val="left"/>
      <w:pPr>
        <w:ind w:left="6408" w:hanging="1800"/>
      </w:pPr>
      <w:rPr>
        <w:rFonts w:eastAsia="Times New Roman" w:hint="default"/>
      </w:rPr>
    </w:lvl>
  </w:abstractNum>
  <w:abstractNum w:abstractNumId="20">
    <w:nsid w:val="49602F8D"/>
    <w:multiLevelType w:val="multilevel"/>
    <w:tmpl w:val="370E932E"/>
    <w:lvl w:ilvl="0">
      <w:start w:val="1"/>
      <w:numFmt w:val="upperRoman"/>
      <w:lvlText w:val="%1."/>
      <w:lvlJc w:val="right"/>
      <w:pPr>
        <w:ind w:left="360" w:hanging="360"/>
      </w:pPr>
      <w:rPr>
        <w:rFonts w:hint="default"/>
        <w:b/>
        <w:color w:val="auto"/>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nsid w:val="50F76029"/>
    <w:multiLevelType w:val="hybridMultilevel"/>
    <w:tmpl w:val="BF188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9C2186"/>
    <w:multiLevelType w:val="hybridMultilevel"/>
    <w:tmpl w:val="B1FA5D8C"/>
    <w:lvl w:ilvl="0" w:tplc="AFACE12E">
      <w:start w:val="1"/>
      <w:numFmt w:val="bullet"/>
      <w:lvlText w:val=""/>
      <w:lvlJc w:val="righ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B1D1C"/>
    <w:multiLevelType w:val="multilevel"/>
    <w:tmpl w:val="370E932E"/>
    <w:lvl w:ilvl="0">
      <w:start w:val="1"/>
      <w:numFmt w:val="upperRoman"/>
      <w:lvlText w:val="%1."/>
      <w:lvlJc w:val="right"/>
      <w:pPr>
        <w:ind w:left="360" w:hanging="360"/>
      </w:pPr>
      <w:rPr>
        <w:rFonts w:hint="default"/>
        <w:b/>
        <w:color w:val="auto"/>
      </w:rPr>
    </w:lvl>
    <w:lvl w:ilvl="1">
      <w:start w:val="1"/>
      <w:numFmt w:val="decimal"/>
      <w:isLgl/>
      <w:lvlText w:val="%1.%2"/>
      <w:lvlJc w:val="left"/>
      <w:pPr>
        <w:ind w:left="360" w:hanging="360"/>
      </w:pPr>
      <w:rPr>
        <w:rFonts w:ascii="Arial" w:hAnsi="Arial" w:cs="Aria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6BAE4BFC"/>
    <w:multiLevelType w:val="multilevel"/>
    <w:tmpl w:val="952071FE"/>
    <w:lvl w:ilvl="0">
      <w:start w:val="1"/>
      <w:numFmt w:val="decimal"/>
      <w:lvlText w:val="%1"/>
      <w:lvlJc w:val="left"/>
      <w:pPr>
        <w:ind w:left="480" w:hanging="480"/>
      </w:pPr>
      <w:rPr>
        <w:rFonts w:eastAsia="Times New Roman" w:hint="default"/>
      </w:rPr>
    </w:lvl>
    <w:lvl w:ilvl="1">
      <w:start w:val="6"/>
      <w:numFmt w:val="decimal"/>
      <w:lvlText w:val="%1.%2"/>
      <w:lvlJc w:val="left"/>
      <w:pPr>
        <w:ind w:left="1056" w:hanging="480"/>
      </w:pPr>
      <w:rPr>
        <w:rFonts w:eastAsia="Times New Roman" w:hint="default"/>
      </w:rPr>
    </w:lvl>
    <w:lvl w:ilvl="2">
      <w:start w:val="1"/>
      <w:numFmt w:val="decimal"/>
      <w:lvlText w:val="%1.%2.%3"/>
      <w:lvlJc w:val="left"/>
      <w:pPr>
        <w:ind w:left="1872" w:hanging="720"/>
      </w:pPr>
      <w:rPr>
        <w:rFonts w:eastAsia="Times New Roman" w:hint="default"/>
      </w:rPr>
    </w:lvl>
    <w:lvl w:ilvl="3">
      <w:start w:val="1"/>
      <w:numFmt w:val="decimal"/>
      <w:lvlText w:val="%1.%2.%3.%4"/>
      <w:lvlJc w:val="left"/>
      <w:pPr>
        <w:ind w:left="2448" w:hanging="720"/>
      </w:pPr>
      <w:rPr>
        <w:rFonts w:eastAsia="Times New Roman" w:hint="default"/>
      </w:rPr>
    </w:lvl>
    <w:lvl w:ilvl="4">
      <w:start w:val="1"/>
      <w:numFmt w:val="decimal"/>
      <w:lvlText w:val="%1.%2.%3.%4.%5"/>
      <w:lvlJc w:val="left"/>
      <w:pPr>
        <w:ind w:left="3384" w:hanging="1080"/>
      </w:pPr>
      <w:rPr>
        <w:rFonts w:eastAsia="Times New Roman" w:hint="default"/>
      </w:rPr>
    </w:lvl>
    <w:lvl w:ilvl="5">
      <w:start w:val="1"/>
      <w:numFmt w:val="decimal"/>
      <w:lvlText w:val="%1.%2.%3.%4.%5.%6"/>
      <w:lvlJc w:val="left"/>
      <w:pPr>
        <w:ind w:left="3960" w:hanging="1080"/>
      </w:pPr>
      <w:rPr>
        <w:rFonts w:eastAsia="Times New Roman" w:hint="default"/>
      </w:rPr>
    </w:lvl>
    <w:lvl w:ilvl="6">
      <w:start w:val="1"/>
      <w:numFmt w:val="decimal"/>
      <w:lvlText w:val="%1.%2.%3.%4.%5.%6.%7"/>
      <w:lvlJc w:val="left"/>
      <w:pPr>
        <w:ind w:left="4896" w:hanging="1440"/>
      </w:pPr>
      <w:rPr>
        <w:rFonts w:eastAsia="Times New Roman" w:hint="default"/>
      </w:rPr>
    </w:lvl>
    <w:lvl w:ilvl="7">
      <w:start w:val="1"/>
      <w:numFmt w:val="decimal"/>
      <w:lvlText w:val="%1.%2.%3.%4.%5.%6.%7.%8"/>
      <w:lvlJc w:val="left"/>
      <w:pPr>
        <w:ind w:left="5472" w:hanging="1440"/>
      </w:pPr>
      <w:rPr>
        <w:rFonts w:eastAsia="Times New Roman" w:hint="default"/>
      </w:rPr>
    </w:lvl>
    <w:lvl w:ilvl="8">
      <w:start w:val="1"/>
      <w:numFmt w:val="decimal"/>
      <w:lvlText w:val="%1.%2.%3.%4.%5.%6.%7.%8.%9"/>
      <w:lvlJc w:val="left"/>
      <w:pPr>
        <w:ind w:left="6408" w:hanging="1800"/>
      </w:pPr>
      <w:rPr>
        <w:rFonts w:eastAsia="Times New Roman" w:hint="default"/>
      </w:rPr>
    </w:lvl>
  </w:abstractNum>
  <w:abstractNum w:abstractNumId="25">
    <w:nsid w:val="6F4C7FF3"/>
    <w:multiLevelType w:val="multilevel"/>
    <w:tmpl w:val="EC60D86C"/>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6">
    <w:nsid w:val="709B3F84"/>
    <w:multiLevelType w:val="multilevel"/>
    <w:tmpl w:val="E06C3D5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val="0"/>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27">
    <w:nsid w:val="71F1032F"/>
    <w:multiLevelType w:val="hybridMultilevel"/>
    <w:tmpl w:val="C2C225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7F43086"/>
    <w:multiLevelType w:val="hybridMultilevel"/>
    <w:tmpl w:val="543E4B54"/>
    <w:lvl w:ilvl="0" w:tplc="22DE016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2"/>
  </w:num>
  <w:num w:numId="4">
    <w:abstractNumId w:val="6"/>
  </w:num>
  <w:num w:numId="5">
    <w:abstractNumId w:val="3"/>
  </w:num>
  <w:num w:numId="6">
    <w:abstractNumId w:val="26"/>
  </w:num>
  <w:num w:numId="7">
    <w:abstractNumId w:val="25"/>
  </w:num>
  <w:num w:numId="8">
    <w:abstractNumId w:val="24"/>
  </w:num>
  <w:num w:numId="9">
    <w:abstractNumId w:val="25"/>
  </w:num>
  <w:num w:numId="10">
    <w:abstractNumId w:val="25"/>
  </w:num>
  <w:num w:numId="11">
    <w:abstractNumId w:val="25"/>
  </w:num>
  <w:num w:numId="12">
    <w:abstractNumId w:val="25"/>
  </w:num>
  <w:num w:numId="13">
    <w:abstractNumId w:val="11"/>
  </w:num>
  <w:num w:numId="14">
    <w:abstractNumId w:val="13"/>
  </w:num>
  <w:num w:numId="15">
    <w:abstractNumId w:val="27"/>
  </w:num>
  <w:num w:numId="16">
    <w:abstractNumId w:val="0"/>
  </w:num>
  <w:num w:numId="17">
    <w:abstractNumId w:val="19"/>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5"/>
  </w:num>
  <w:num w:numId="27">
    <w:abstractNumId w:val="9"/>
  </w:num>
  <w:num w:numId="28">
    <w:abstractNumId w:val="25"/>
  </w:num>
  <w:num w:numId="29">
    <w:abstractNumId w:val="25"/>
  </w:num>
  <w:num w:numId="30">
    <w:abstractNumId w:val="25"/>
  </w:num>
  <w:num w:numId="31">
    <w:abstractNumId w:val="25"/>
  </w:num>
  <w:num w:numId="32">
    <w:abstractNumId w:val="8"/>
  </w:num>
  <w:num w:numId="33">
    <w:abstractNumId w:val="22"/>
  </w:num>
  <w:num w:numId="34">
    <w:abstractNumId w:val="21"/>
  </w:num>
  <w:num w:numId="35">
    <w:abstractNumId w:val="12"/>
  </w:num>
  <w:num w:numId="36">
    <w:abstractNumId w:val="15"/>
  </w:num>
  <w:num w:numId="37">
    <w:abstractNumId w:val="16"/>
  </w:num>
  <w:num w:numId="38">
    <w:abstractNumId w:val="7"/>
  </w:num>
  <w:num w:numId="39">
    <w:abstractNumId w:val="28"/>
  </w:num>
  <w:num w:numId="40">
    <w:abstractNumId w:val="4"/>
  </w:num>
  <w:num w:numId="41">
    <w:abstractNumId w:val="23"/>
  </w:num>
  <w:num w:numId="42">
    <w:abstractNumId w:val="17"/>
  </w:num>
  <w:num w:numId="43">
    <w:abstractNumId w:val="10"/>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B06"/>
    <w:rsid w:val="00004E79"/>
    <w:rsid w:val="00082409"/>
    <w:rsid w:val="000A7F47"/>
    <w:rsid w:val="000C0498"/>
    <w:rsid w:val="000E701E"/>
    <w:rsid w:val="001100E9"/>
    <w:rsid w:val="001379D2"/>
    <w:rsid w:val="00144FD1"/>
    <w:rsid w:val="001754E1"/>
    <w:rsid w:val="00192EE0"/>
    <w:rsid w:val="001F2D46"/>
    <w:rsid w:val="00204630"/>
    <w:rsid w:val="00252594"/>
    <w:rsid w:val="00286983"/>
    <w:rsid w:val="002A3908"/>
    <w:rsid w:val="002B13EF"/>
    <w:rsid w:val="002F0DAA"/>
    <w:rsid w:val="002F6EF2"/>
    <w:rsid w:val="00316588"/>
    <w:rsid w:val="00327570"/>
    <w:rsid w:val="0037192D"/>
    <w:rsid w:val="003E7EEE"/>
    <w:rsid w:val="00404676"/>
    <w:rsid w:val="00437C1F"/>
    <w:rsid w:val="00484F3D"/>
    <w:rsid w:val="004924CB"/>
    <w:rsid w:val="004C5C64"/>
    <w:rsid w:val="004E1CE3"/>
    <w:rsid w:val="00531AE8"/>
    <w:rsid w:val="00535264"/>
    <w:rsid w:val="00577640"/>
    <w:rsid w:val="00585215"/>
    <w:rsid w:val="005A427D"/>
    <w:rsid w:val="005A4BF4"/>
    <w:rsid w:val="005B387B"/>
    <w:rsid w:val="005B633F"/>
    <w:rsid w:val="005F7004"/>
    <w:rsid w:val="00622374"/>
    <w:rsid w:val="006261C0"/>
    <w:rsid w:val="00655D6F"/>
    <w:rsid w:val="006905A8"/>
    <w:rsid w:val="00691C11"/>
    <w:rsid w:val="00692C40"/>
    <w:rsid w:val="006B4DC5"/>
    <w:rsid w:val="00746C4B"/>
    <w:rsid w:val="00761E96"/>
    <w:rsid w:val="007715BE"/>
    <w:rsid w:val="00793043"/>
    <w:rsid w:val="007A4DBF"/>
    <w:rsid w:val="007B6A2F"/>
    <w:rsid w:val="00805E01"/>
    <w:rsid w:val="00826201"/>
    <w:rsid w:val="0083657F"/>
    <w:rsid w:val="00862112"/>
    <w:rsid w:val="008B7632"/>
    <w:rsid w:val="008C46E6"/>
    <w:rsid w:val="008C4AD6"/>
    <w:rsid w:val="008E55A9"/>
    <w:rsid w:val="00900FE1"/>
    <w:rsid w:val="0092167A"/>
    <w:rsid w:val="0096689E"/>
    <w:rsid w:val="00976B55"/>
    <w:rsid w:val="009D0F53"/>
    <w:rsid w:val="009D0F7C"/>
    <w:rsid w:val="009D78DE"/>
    <w:rsid w:val="00A001D4"/>
    <w:rsid w:val="00A02303"/>
    <w:rsid w:val="00A07061"/>
    <w:rsid w:val="00A07C0D"/>
    <w:rsid w:val="00A51F5D"/>
    <w:rsid w:val="00A65FA5"/>
    <w:rsid w:val="00AC700C"/>
    <w:rsid w:val="00AD4BE5"/>
    <w:rsid w:val="00AE3689"/>
    <w:rsid w:val="00AF0B46"/>
    <w:rsid w:val="00B308C8"/>
    <w:rsid w:val="00B365ED"/>
    <w:rsid w:val="00B5109F"/>
    <w:rsid w:val="00BB287E"/>
    <w:rsid w:val="00BB78BE"/>
    <w:rsid w:val="00BF2724"/>
    <w:rsid w:val="00C06B88"/>
    <w:rsid w:val="00C21B06"/>
    <w:rsid w:val="00C3400C"/>
    <w:rsid w:val="00C708C7"/>
    <w:rsid w:val="00D02D98"/>
    <w:rsid w:val="00D50213"/>
    <w:rsid w:val="00D973F7"/>
    <w:rsid w:val="00DF42D8"/>
    <w:rsid w:val="00E13E72"/>
    <w:rsid w:val="00E52E34"/>
    <w:rsid w:val="00E55492"/>
    <w:rsid w:val="00E55F49"/>
    <w:rsid w:val="00EE641F"/>
    <w:rsid w:val="00EF47E8"/>
    <w:rsid w:val="00F60802"/>
    <w:rsid w:val="00F60FD0"/>
    <w:rsid w:val="00F74456"/>
    <w:rsid w:val="00F919F4"/>
    <w:rsid w:val="00FA2936"/>
    <w:rsid w:val="00FA3663"/>
    <w:rsid w:val="00FC797F"/>
    <w:rsid w:val="00FD6EDC"/>
    <w:rsid w:val="00FE64C8"/>
    <w:rsid w:val="00FF08AF"/>
    <w:rsid w:val="00FF17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06"/>
  </w:style>
  <w:style w:type="paragraph" w:styleId="Heading5">
    <w:name w:val="heading 5"/>
    <w:aliases w:val="5 sub-bullet,sb,4,5 sub-bullet1,sb1,41"/>
    <w:basedOn w:val="Normal"/>
    <w:next w:val="Normal"/>
    <w:link w:val="Heading5Char"/>
    <w:uiPriority w:val="9"/>
    <w:qFormat/>
    <w:rsid w:val="007B6A2F"/>
    <w:pPr>
      <w:numPr>
        <w:ilvl w:val="4"/>
        <w:numId w:val="6"/>
      </w:numPr>
      <w:spacing w:before="240" w:after="60" w:line="240" w:lineRule="auto"/>
      <w:outlineLvl w:val="4"/>
    </w:pPr>
    <w:rPr>
      <w:rFonts w:ascii="Times New Roman" w:eastAsia="Times New Roman" w:hAnsi="Times New Roman" w:cs="Times New Roman"/>
      <w:szCs w:val="20"/>
    </w:rPr>
  </w:style>
  <w:style w:type="paragraph" w:styleId="Heading6">
    <w:name w:val="heading 6"/>
    <w:aliases w:val="tableau"/>
    <w:basedOn w:val="Normal"/>
    <w:next w:val="Normal"/>
    <w:link w:val="Heading6Char"/>
    <w:uiPriority w:val="9"/>
    <w:qFormat/>
    <w:rsid w:val="007B6A2F"/>
    <w:pPr>
      <w:numPr>
        <w:ilvl w:val="5"/>
        <w:numId w:val="6"/>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
    <w:qFormat/>
    <w:rsid w:val="007B6A2F"/>
    <w:pPr>
      <w:numPr>
        <w:ilvl w:val="6"/>
        <w:numId w:val="6"/>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uiPriority w:val="9"/>
    <w:qFormat/>
    <w:rsid w:val="007B6A2F"/>
    <w:pPr>
      <w:numPr>
        <w:ilvl w:val="7"/>
        <w:numId w:val="6"/>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
    <w:qFormat/>
    <w:rsid w:val="007B6A2F"/>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Fluvial1,Titulo 2,VIÑETA,VIÑETAS"/>
    <w:basedOn w:val="Normal"/>
    <w:link w:val="ListParagraphChar"/>
    <w:uiPriority w:val="34"/>
    <w:qFormat/>
    <w:rsid w:val="00C21B06"/>
    <w:pPr>
      <w:ind w:left="720"/>
      <w:contextualSpacing/>
    </w:pPr>
  </w:style>
  <w:style w:type="character" w:customStyle="1" w:styleId="ListParagraphChar">
    <w:name w:val="List Paragraph Char"/>
    <w:aliases w:val="titulo 3 Char,Párrafo de lista1 Char,Fluvial1 Char,Titulo 2 Char,VIÑETA Char,VIÑETAS Char"/>
    <w:link w:val="ListParagraph"/>
    <w:uiPriority w:val="34"/>
    <w:rsid w:val="00C21B06"/>
  </w:style>
  <w:style w:type="table" w:styleId="TableGrid">
    <w:name w:val="Table Grid"/>
    <w:basedOn w:val="TableNormal"/>
    <w:uiPriority w:val="59"/>
    <w:rsid w:val="007B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A2F"/>
    <w:rPr>
      <w:strike w:val="0"/>
      <w:dstrike w:val="0"/>
      <w:color w:val="799A51"/>
      <w:u w:val="none"/>
      <w:effect w:val="none"/>
    </w:rPr>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unhideWhenUsed/>
    <w:rsid w:val="007B6A2F"/>
    <w:pPr>
      <w:spacing w:after="0" w:line="240" w:lineRule="auto"/>
    </w:pPr>
    <w:rPr>
      <w:sz w:val="20"/>
      <w:szCs w:val="20"/>
    </w:rPr>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7B6A2F"/>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titulo 2,Style 24"/>
    <w:basedOn w:val="DefaultParagraphFont"/>
    <w:uiPriority w:val="99"/>
    <w:unhideWhenUsed/>
    <w:rsid w:val="007B6A2F"/>
    <w:rPr>
      <w:vertAlign w:val="superscript"/>
    </w:rPr>
  </w:style>
  <w:style w:type="character" w:styleId="CommentReference">
    <w:name w:val="annotation reference"/>
    <w:basedOn w:val="DefaultParagraphFont"/>
    <w:uiPriority w:val="99"/>
    <w:semiHidden/>
    <w:unhideWhenUsed/>
    <w:rsid w:val="007B6A2F"/>
    <w:rPr>
      <w:sz w:val="16"/>
      <w:szCs w:val="16"/>
    </w:rPr>
  </w:style>
  <w:style w:type="paragraph" w:styleId="CommentText">
    <w:name w:val="annotation text"/>
    <w:basedOn w:val="Normal"/>
    <w:link w:val="CommentTextChar"/>
    <w:uiPriority w:val="99"/>
    <w:semiHidden/>
    <w:unhideWhenUsed/>
    <w:rsid w:val="007B6A2F"/>
    <w:pPr>
      <w:spacing w:line="240" w:lineRule="auto"/>
    </w:pPr>
    <w:rPr>
      <w:sz w:val="20"/>
      <w:szCs w:val="20"/>
    </w:rPr>
  </w:style>
  <w:style w:type="character" w:customStyle="1" w:styleId="CommentTextChar">
    <w:name w:val="Comment Text Char"/>
    <w:basedOn w:val="DefaultParagraphFont"/>
    <w:link w:val="CommentText"/>
    <w:uiPriority w:val="99"/>
    <w:semiHidden/>
    <w:rsid w:val="007B6A2F"/>
    <w:rPr>
      <w:sz w:val="20"/>
      <w:szCs w:val="20"/>
    </w:rPr>
  </w:style>
  <w:style w:type="paragraph" w:styleId="BalloonText">
    <w:name w:val="Balloon Text"/>
    <w:basedOn w:val="Normal"/>
    <w:link w:val="BalloonTextChar"/>
    <w:uiPriority w:val="99"/>
    <w:semiHidden/>
    <w:unhideWhenUsed/>
    <w:rsid w:val="007B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2F"/>
    <w:rPr>
      <w:rFonts w:ascii="Tahoma" w:hAnsi="Tahoma" w:cs="Tahoma"/>
      <w:sz w:val="16"/>
      <w:szCs w:val="16"/>
    </w:rPr>
  </w:style>
  <w:style w:type="character" w:customStyle="1" w:styleId="Heading5Char">
    <w:name w:val="Heading 5 Char"/>
    <w:aliases w:val="5 sub-bullet Char,sb Char,4 Char,5 sub-bullet1 Char,sb1 Char,41 Char"/>
    <w:basedOn w:val="DefaultParagraphFont"/>
    <w:link w:val="Heading5"/>
    <w:uiPriority w:val="9"/>
    <w:rsid w:val="007B6A2F"/>
    <w:rPr>
      <w:rFonts w:ascii="Times New Roman" w:eastAsia="Times New Roman" w:hAnsi="Times New Roman" w:cs="Times New Roman"/>
      <w:szCs w:val="20"/>
    </w:rPr>
  </w:style>
  <w:style w:type="character" w:customStyle="1" w:styleId="Heading6Char">
    <w:name w:val="Heading 6 Char"/>
    <w:aliases w:val="tableau Char"/>
    <w:basedOn w:val="DefaultParagraphFont"/>
    <w:link w:val="Heading6"/>
    <w:uiPriority w:val="9"/>
    <w:rsid w:val="007B6A2F"/>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7B6A2F"/>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7B6A2F"/>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7B6A2F"/>
    <w:rPr>
      <w:rFonts w:ascii="Arial" w:eastAsia="Times New Roman" w:hAnsi="Arial" w:cs="Times New Roman"/>
      <w:b/>
      <w:i/>
      <w:sz w:val="18"/>
      <w:szCs w:val="20"/>
    </w:rPr>
  </w:style>
  <w:style w:type="paragraph" w:customStyle="1" w:styleId="Chapter">
    <w:name w:val="Chapter"/>
    <w:basedOn w:val="Normal"/>
    <w:next w:val="Normal"/>
    <w:rsid w:val="007B6A2F"/>
    <w:pPr>
      <w:keepNext/>
      <w:numPr>
        <w:numId w:val="7"/>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qFormat/>
    <w:rsid w:val="007B6A2F"/>
    <w:pPr>
      <w:numPr>
        <w:ilvl w:val="1"/>
        <w:numId w:val="7"/>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7B6A2F"/>
    <w:pPr>
      <w:numPr>
        <w:ilvl w:val="2"/>
        <w:numId w:val="7"/>
      </w:numPr>
      <w:tabs>
        <w:tab w:val="clear" w:pos="2304"/>
        <w:tab w:val="num" w:pos="1152"/>
      </w:tabs>
      <w:spacing w:before="120" w:line="240" w:lineRule="auto"/>
      <w:ind w:left="1152" w:hanging="180"/>
      <w:jc w:val="both"/>
      <w:outlineLvl w:val="2"/>
    </w:pPr>
    <w:rPr>
      <w:rFonts w:ascii="Times New Roman" w:eastAsia="Times New Roman" w:hAnsi="Times New Roman" w:cs="Times New Roman"/>
      <w:sz w:val="24"/>
      <w:lang w:val="es-ES_tradnl"/>
    </w:rPr>
  </w:style>
  <w:style w:type="paragraph" w:customStyle="1" w:styleId="SubSubPar">
    <w:name w:val="SubSubPar"/>
    <w:basedOn w:val="subpar"/>
    <w:rsid w:val="007B6A2F"/>
    <w:pPr>
      <w:numPr>
        <w:ilvl w:val="3"/>
      </w:numPr>
      <w:tabs>
        <w:tab w:val="clear" w:pos="2736"/>
        <w:tab w:val="left" w:pos="0"/>
        <w:tab w:val="num" w:pos="1296"/>
      </w:tabs>
      <w:ind w:left="1296" w:hanging="360"/>
    </w:pPr>
  </w:style>
  <w:style w:type="character" w:customStyle="1" w:styleId="ParagraphChar">
    <w:name w:val="Paragraph Char"/>
    <w:link w:val="Paragraph"/>
    <w:locked/>
    <w:rsid w:val="007B6A2F"/>
    <w:rPr>
      <w:rFonts w:ascii="Times New Roman" w:eastAsia="Times New Roman" w:hAnsi="Times New Roman" w:cs="Times New Roman"/>
      <w:sz w:val="24"/>
      <w:szCs w:val="20"/>
      <w:lang w:val="es-ES_tradnl"/>
    </w:rPr>
  </w:style>
  <w:style w:type="paragraph" w:customStyle="1" w:styleId="FirstHeading">
    <w:name w:val="FirstHeading"/>
    <w:basedOn w:val="Normal"/>
    <w:next w:val="Normal"/>
    <w:rsid w:val="007B6A2F"/>
    <w:pPr>
      <w:keepNext/>
      <w:numPr>
        <w:numId w:val="6"/>
      </w:numPr>
      <w:tabs>
        <w:tab w:val="left" w:pos="0"/>
        <w:tab w:val="left" w:pos="86"/>
      </w:tabs>
      <w:spacing w:before="120" w:after="120" w:line="240" w:lineRule="auto"/>
      <w:ind w:left="720"/>
    </w:pPr>
    <w:rPr>
      <w:rFonts w:ascii="Times New Roman" w:eastAsia="Times New Roman" w:hAnsi="Times New Roman" w:cs="Times New Roman"/>
      <w:b/>
      <w:sz w:val="24"/>
      <w:szCs w:val="20"/>
      <w:lang w:val="es-ES"/>
    </w:rPr>
  </w:style>
  <w:style w:type="paragraph" w:customStyle="1" w:styleId="SecHeading">
    <w:name w:val="SecHeading"/>
    <w:basedOn w:val="Normal"/>
    <w:next w:val="Paragraph"/>
    <w:rsid w:val="007B6A2F"/>
    <w:pPr>
      <w:keepNext/>
      <w:numPr>
        <w:ilvl w:val="1"/>
        <w:numId w:val="6"/>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7B6A2F"/>
    <w:pPr>
      <w:numPr>
        <w:ilvl w:val="2"/>
      </w:numPr>
      <w:tabs>
        <w:tab w:val="clear" w:pos="5976"/>
        <w:tab w:val="num" w:pos="1872"/>
      </w:tabs>
      <w:ind w:left="1872"/>
    </w:pPr>
  </w:style>
  <w:style w:type="paragraph" w:customStyle="1" w:styleId="Subheading2">
    <w:name w:val="Subheading2"/>
    <w:basedOn w:val="SecHeading"/>
    <w:rsid w:val="007B6A2F"/>
    <w:pPr>
      <w:numPr>
        <w:ilvl w:val="3"/>
      </w:numPr>
      <w:tabs>
        <w:tab w:val="clear" w:pos="6480"/>
        <w:tab w:val="num" w:pos="2376"/>
      </w:tabs>
      <w:ind w:left="2376"/>
    </w:pPr>
  </w:style>
  <w:style w:type="paragraph" w:styleId="BodyTextIndent">
    <w:name w:val="Body Text Indent"/>
    <w:basedOn w:val="Normal"/>
    <w:link w:val="BodyTextIndentChar"/>
    <w:uiPriority w:val="99"/>
    <w:semiHidden/>
    <w:unhideWhenUsed/>
    <w:rsid w:val="007B6A2F"/>
    <w:pPr>
      <w:spacing w:after="120"/>
      <w:ind w:left="360"/>
    </w:pPr>
  </w:style>
  <w:style w:type="character" w:customStyle="1" w:styleId="BodyTextIndentChar">
    <w:name w:val="Body Text Indent Char"/>
    <w:basedOn w:val="DefaultParagraphFont"/>
    <w:link w:val="BodyTextIndent"/>
    <w:uiPriority w:val="99"/>
    <w:semiHidden/>
    <w:rsid w:val="007B6A2F"/>
  </w:style>
  <w:style w:type="paragraph" w:styleId="BodyTextIndent3">
    <w:name w:val="Body Text Indent 3"/>
    <w:basedOn w:val="Normal"/>
    <w:link w:val="BodyTextIndent3Char"/>
    <w:uiPriority w:val="99"/>
    <w:semiHidden/>
    <w:unhideWhenUsed/>
    <w:rsid w:val="007B6A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6A2F"/>
    <w:rPr>
      <w:sz w:val="16"/>
      <w:szCs w:val="16"/>
    </w:rPr>
  </w:style>
  <w:style w:type="paragraph" w:styleId="CommentSubject">
    <w:name w:val="annotation subject"/>
    <w:basedOn w:val="CommentText"/>
    <w:next w:val="CommentText"/>
    <w:link w:val="CommentSubjectChar"/>
    <w:uiPriority w:val="99"/>
    <w:semiHidden/>
    <w:unhideWhenUsed/>
    <w:rsid w:val="0037192D"/>
    <w:rPr>
      <w:b/>
      <w:bCs/>
    </w:rPr>
  </w:style>
  <w:style w:type="character" w:customStyle="1" w:styleId="CommentSubjectChar">
    <w:name w:val="Comment Subject Char"/>
    <w:basedOn w:val="CommentTextChar"/>
    <w:link w:val="CommentSubject"/>
    <w:uiPriority w:val="99"/>
    <w:semiHidden/>
    <w:rsid w:val="0037192D"/>
    <w:rPr>
      <w:b/>
      <w:bCs/>
      <w:sz w:val="20"/>
      <w:szCs w:val="20"/>
    </w:rPr>
  </w:style>
  <w:style w:type="table" w:customStyle="1" w:styleId="TableGrid1">
    <w:name w:val="Table Grid1"/>
    <w:basedOn w:val="TableNormal"/>
    <w:next w:val="TableGrid"/>
    <w:uiPriority w:val="59"/>
    <w:rsid w:val="0014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EEE"/>
    <w:pPr>
      <w:autoSpaceDE w:val="0"/>
      <w:autoSpaceDN w:val="0"/>
      <w:adjustRightInd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39"/>
    <w:rsid w:val="00FA3663"/>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A366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366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06"/>
  </w:style>
  <w:style w:type="paragraph" w:styleId="Heading5">
    <w:name w:val="heading 5"/>
    <w:aliases w:val="5 sub-bullet,sb,4,5 sub-bullet1,sb1,41"/>
    <w:basedOn w:val="Normal"/>
    <w:next w:val="Normal"/>
    <w:link w:val="Heading5Char"/>
    <w:uiPriority w:val="9"/>
    <w:qFormat/>
    <w:rsid w:val="007B6A2F"/>
    <w:pPr>
      <w:numPr>
        <w:ilvl w:val="4"/>
        <w:numId w:val="6"/>
      </w:numPr>
      <w:spacing w:before="240" w:after="60" w:line="240" w:lineRule="auto"/>
      <w:outlineLvl w:val="4"/>
    </w:pPr>
    <w:rPr>
      <w:rFonts w:ascii="Times New Roman" w:eastAsia="Times New Roman" w:hAnsi="Times New Roman" w:cs="Times New Roman"/>
      <w:szCs w:val="20"/>
    </w:rPr>
  </w:style>
  <w:style w:type="paragraph" w:styleId="Heading6">
    <w:name w:val="heading 6"/>
    <w:aliases w:val="tableau"/>
    <w:basedOn w:val="Normal"/>
    <w:next w:val="Normal"/>
    <w:link w:val="Heading6Char"/>
    <w:uiPriority w:val="9"/>
    <w:qFormat/>
    <w:rsid w:val="007B6A2F"/>
    <w:pPr>
      <w:numPr>
        <w:ilvl w:val="5"/>
        <w:numId w:val="6"/>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
    <w:qFormat/>
    <w:rsid w:val="007B6A2F"/>
    <w:pPr>
      <w:numPr>
        <w:ilvl w:val="6"/>
        <w:numId w:val="6"/>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uiPriority w:val="9"/>
    <w:qFormat/>
    <w:rsid w:val="007B6A2F"/>
    <w:pPr>
      <w:numPr>
        <w:ilvl w:val="7"/>
        <w:numId w:val="6"/>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
    <w:qFormat/>
    <w:rsid w:val="007B6A2F"/>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Párrafo de lista1,Fluvial1,Titulo 2,VIÑETA,VIÑETAS"/>
    <w:basedOn w:val="Normal"/>
    <w:link w:val="ListParagraphChar"/>
    <w:uiPriority w:val="34"/>
    <w:qFormat/>
    <w:rsid w:val="00C21B06"/>
    <w:pPr>
      <w:ind w:left="720"/>
      <w:contextualSpacing/>
    </w:pPr>
  </w:style>
  <w:style w:type="character" w:customStyle="1" w:styleId="ListParagraphChar">
    <w:name w:val="List Paragraph Char"/>
    <w:aliases w:val="titulo 3 Char,Párrafo de lista1 Char,Fluvial1 Char,Titulo 2 Char,VIÑETA Char,VIÑETAS Char"/>
    <w:link w:val="ListParagraph"/>
    <w:uiPriority w:val="34"/>
    <w:rsid w:val="00C21B06"/>
  </w:style>
  <w:style w:type="table" w:styleId="TableGrid">
    <w:name w:val="Table Grid"/>
    <w:basedOn w:val="TableNormal"/>
    <w:uiPriority w:val="59"/>
    <w:rsid w:val="007B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A2F"/>
    <w:rPr>
      <w:strike w:val="0"/>
      <w:dstrike w:val="0"/>
      <w:color w:val="799A51"/>
      <w:u w:val="none"/>
      <w:effect w:val="none"/>
    </w:rPr>
  </w:style>
  <w:style w:type="paragraph" w:styleId="FootnoteText">
    <w:name w:val="footnote text"/>
    <w:aliases w:val="fn,single space,Texto nota pie IIRSA,foottextfra,footnote,F,texto de nota al pie,Texto nota pie Car Car Car Car Car Car Car Car,Texto nota pie Car Car Car,Footnote Text Char Char Char Char Char Char,Texto nota pie Car Car Car Car Car,f,ft"/>
    <w:basedOn w:val="Normal"/>
    <w:link w:val="FootnoteTextChar"/>
    <w:uiPriority w:val="99"/>
    <w:unhideWhenUsed/>
    <w:rsid w:val="007B6A2F"/>
    <w:pPr>
      <w:spacing w:after="0" w:line="240" w:lineRule="auto"/>
    </w:pPr>
    <w:rPr>
      <w:sz w:val="20"/>
      <w:szCs w:val="20"/>
    </w:rPr>
  </w:style>
  <w:style w:type="character" w:customStyle="1" w:styleId="FootnoteTextChar">
    <w:name w:val="Footnote Text Char"/>
    <w:aliases w:val="fn Char,single space Char,Texto nota pie IIRSA Char,foottextfra Char,footnote Char,F Char,texto de nota al pie Char,Texto nota pie Car Car Car Car Car Car Car Car Char,Texto nota pie Car Car Car Char,f Char,ft Char"/>
    <w:basedOn w:val="DefaultParagraphFont"/>
    <w:link w:val="FootnoteText"/>
    <w:uiPriority w:val="99"/>
    <w:rsid w:val="007B6A2F"/>
    <w:rPr>
      <w:sz w:val="20"/>
      <w:szCs w:val="20"/>
    </w:rPr>
  </w:style>
  <w:style w:type="character" w:styleId="FootnoteReference">
    <w:name w:val="footnote reference"/>
    <w:aliases w:val="16 Point,Superscript 6 Point,referencia nota al pie,Nota de pie,Texto nota al pie,BVI fnr,Texto de nota al pie,Ref. de nota al pie2,Fußnotenzeichen DISS,ftref,Ref,de nota al pie,Footnote symbol,FC,titulo 2,Style 24"/>
    <w:basedOn w:val="DefaultParagraphFont"/>
    <w:uiPriority w:val="99"/>
    <w:unhideWhenUsed/>
    <w:rsid w:val="007B6A2F"/>
    <w:rPr>
      <w:vertAlign w:val="superscript"/>
    </w:rPr>
  </w:style>
  <w:style w:type="character" w:styleId="CommentReference">
    <w:name w:val="annotation reference"/>
    <w:basedOn w:val="DefaultParagraphFont"/>
    <w:uiPriority w:val="99"/>
    <w:semiHidden/>
    <w:unhideWhenUsed/>
    <w:rsid w:val="007B6A2F"/>
    <w:rPr>
      <w:sz w:val="16"/>
      <w:szCs w:val="16"/>
    </w:rPr>
  </w:style>
  <w:style w:type="paragraph" w:styleId="CommentText">
    <w:name w:val="annotation text"/>
    <w:basedOn w:val="Normal"/>
    <w:link w:val="CommentTextChar"/>
    <w:uiPriority w:val="99"/>
    <w:semiHidden/>
    <w:unhideWhenUsed/>
    <w:rsid w:val="007B6A2F"/>
    <w:pPr>
      <w:spacing w:line="240" w:lineRule="auto"/>
    </w:pPr>
    <w:rPr>
      <w:sz w:val="20"/>
      <w:szCs w:val="20"/>
    </w:rPr>
  </w:style>
  <w:style w:type="character" w:customStyle="1" w:styleId="CommentTextChar">
    <w:name w:val="Comment Text Char"/>
    <w:basedOn w:val="DefaultParagraphFont"/>
    <w:link w:val="CommentText"/>
    <w:uiPriority w:val="99"/>
    <w:semiHidden/>
    <w:rsid w:val="007B6A2F"/>
    <w:rPr>
      <w:sz w:val="20"/>
      <w:szCs w:val="20"/>
    </w:rPr>
  </w:style>
  <w:style w:type="paragraph" w:styleId="BalloonText">
    <w:name w:val="Balloon Text"/>
    <w:basedOn w:val="Normal"/>
    <w:link w:val="BalloonTextChar"/>
    <w:uiPriority w:val="99"/>
    <w:semiHidden/>
    <w:unhideWhenUsed/>
    <w:rsid w:val="007B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2F"/>
    <w:rPr>
      <w:rFonts w:ascii="Tahoma" w:hAnsi="Tahoma" w:cs="Tahoma"/>
      <w:sz w:val="16"/>
      <w:szCs w:val="16"/>
    </w:rPr>
  </w:style>
  <w:style w:type="character" w:customStyle="1" w:styleId="Heading5Char">
    <w:name w:val="Heading 5 Char"/>
    <w:aliases w:val="5 sub-bullet Char,sb Char,4 Char,5 sub-bullet1 Char,sb1 Char,41 Char"/>
    <w:basedOn w:val="DefaultParagraphFont"/>
    <w:link w:val="Heading5"/>
    <w:uiPriority w:val="9"/>
    <w:rsid w:val="007B6A2F"/>
    <w:rPr>
      <w:rFonts w:ascii="Times New Roman" w:eastAsia="Times New Roman" w:hAnsi="Times New Roman" w:cs="Times New Roman"/>
      <w:szCs w:val="20"/>
    </w:rPr>
  </w:style>
  <w:style w:type="character" w:customStyle="1" w:styleId="Heading6Char">
    <w:name w:val="Heading 6 Char"/>
    <w:aliases w:val="tableau Char"/>
    <w:basedOn w:val="DefaultParagraphFont"/>
    <w:link w:val="Heading6"/>
    <w:uiPriority w:val="9"/>
    <w:rsid w:val="007B6A2F"/>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7B6A2F"/>
    <w:rPr>
      <w:rFonts w:ascii="Arial" w:eastAsia="Times New Roman" w:hAnsi="Arial" w:cs="Times New Roman"/>
      <w:sz w:val="24"/>
      <w:szCs w:val="20"/>
    </w:rPr>
  </w:style>
  <w:style w:type="character" w:customStyle="1" w:styleId="Heading8Char">
    <w:name w:val="Heading 8 Char"/>
    <w:basedOn w:val="DefaultParagraphFont"/>
    <w:link w:val="Heading8"/>
    <w:uiPriority w:val="9"/>
    <w:rsid w:val="007B6A2F"/>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7B6A2F"/>
    <w:rPr>
      <w:rFonts w:ascii="Arial" w:eastAsia="Times New Roman" w:hAnsi="Arial" w:cs="Times New Roman"/>
      <w:b/>
      <w:i/>
      <w:sz w:val="18"/>
      <w:szCs w:val="20"/>
    </w:rPr>
  </w:style>
  <w:style w:type="paragraph" w:customStyle="1" w:styleId="Chapter">
    <w:name w:val="Chapter"/>
    <w:basedOn w:val="Normal"/>
    <w:next w:val="Normal"/>
    <w:rsid w:val="007B6A2F"/>
    <w:pPr>
      <w:keepNext/>
      <w:numPr>
        <w:numId w:val="7"/>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qFormat/>
    <w:rsid w:val="007B6A2F"/>
    <w:pPr>
      <w:numPr>
        <w:ilvl w:val="1"/>
        <w:numId w:val="7"/>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7B6A2F"/>
    <w:pPr>
      <w:numPr>
        <w:ilvl w:val="2"/>
        <w:numId w:val="7"/>
      </w:numPr>
      <w:tabs>
        <w:tab w:val="clear" w:pos="2304"/>
        <w:tab w:val="num" w:pos="1152"/>
      </w:tabs>
      <w:spacing w:before="120" w:line="240" w:lineRule="auto"/>
      <w:ind w:left="1152" w:hanging="180"/>
      <w:jc w:val="both"/>
      <w:outlineLvl w:val="2"/>
    </w:pPr>
    <w:rPr>
      <w:rFonts w:ascii="Times New Roman" w:eastAsia="Times New Roman" w:hAnsi="Times New Roman" w:cs="Times New Roman"/>
      <w:sz w:val="24"/>
      <w:lang w:val="es-ES_tradnl"/>
    </w:rPr>
  </w:style>
  <w:style w:type="paragraph" w:customStyle="1" w:styleId="SubSubPar">
    <w:name w:val="SubSubPar"/>
    <w:basedOn w:val="subpar"/>
    <w:rsid w:val="007B6A2F"/>
    <w:pPr>
      <w:numPr>
        <w:ilvl w:val="3"/>
      </w:numPr>
      <w:tabs>
        <w:tab w:val="clear" w:pos="2736"/>
        <w:tab w:val="left" w:pos="0"/>
        <w:tab w:val="num" w:pos="1296"/>
      </w:tabs>
      <w:ind w:left="1296" w:hanging="360"/>
    </w:pPr>
  </w:style>
  <w:style w:type="character" w:customStyle="1" w:styleId="ParagraphChar">
    <w:name w:val="Paragraph Char"/>
    <w:link w:val="Paragraph"/>
    <w:locked/>
    <w:rsid w:val="007B6A2F"/>
    <w:rPr>
      <w:rFonts w:ascii="Times New Roman" w:eastAsia="Times New Roman" w:hAnsi="Times New Roman" w:cs="Times New Roman"/>
      <w:sz w:val="24"/>
      <w:szCs w:val="20"/>
      <w:lang w:val="es-ES_tradnl"/>
    </w:rPr>
  </w:style>
  <w:style w:type="paragraph" w:customStyle="1" w:styleId="FirstHeading">
    <w:name w:val="FirstHeading"/>
    <w:basedOn w:val="Normal"/>
    <w:next w:val="Normal"/>
    <w:rsid w:val="007B6A2F"/>
    <w:pPr>
      <w:keepNext/>
      <w:numPr>
        <w:numId w:val="6"/>
      </w:numPr>
      <w:tabs>
        <w:tab w:val="left" w:pos="0"/>
        <w:tab w:val="left" w:pos="86"/>
      </w:tabs>
      <w:spacing w:before="120" w:after="120" w:line="240" w:lineRule="auto"/>
      <w:ind w:left="720"/>
    </w:pPr>
    <w:rPr>
      <w:rFonts w:ascii="Times New Roman" w:eastAsia="Times New Roman" w:hAnsi="Times New Roman" w:cs="Times New Roman"/>
      <w:b/>
      <w:sz w:val="24"/>
      <w:szCs w:val="20"/>
      <w:lang w:val="es-ES"/>
    </w:rPr>
  </w:style>
  <w:style w:type="paragraph" w:customStyle="1" w:styleId="SecHeading">
    <w:name w:val="SecHeading"/>
    <w:basedOn w:val="Normal"/>
    <w:next w:val="Paragraph"/>
    <w:rsid w:val="007B6A2F"/>
    <w:pPr>
      <w:keepNext/>
      <w:numPr>
        <w:ilvl w:val="1"/>
        <w:numId w:val="6"/>
      </w:numPr>
      <w:tabs>
        <w:tab w:val="clear" w:pos="5400"/>
        <w:tab w:val="num" w:pos="1296"/>
      </w:tabs>
      <w:spacing w:before="120" w:after="120" w:line="240" w:lineRule="auto"/>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7B6A2F"/>
    <w:pPr>
      <w:numPr>
        <w:ilvl w:val="2"/>
      </w:numPr>
      <w:tabs>
        <w:tab w:val="clear" w:pos="5976"/>
        <w:tab w:val="num" w:pos="1872"/>
      </w:tabs>
      <w:ind w:left="1872"/>
    </w:pPr>
  </w:style>
  <w:style w:type="paragraph" w:customStyle="1" w:styleId="Subheading2">
    <w:name w:val="Subheading2"/>
    <w:basedOn w:val="SecHeading"/>
    <w:rsid w:val="007B6A2F"/>
    <w:pPr>
      <w:numPr>
        <w:ilvl w:val="3"/>
      </w:numPr>
      <w:tabs>
        <w:tab w:val="clear" w:pos="6480"/>
        <w:tab w:val="num" w:pos="2376"/>
      </w:tabs>
      <w:ind w:left="2376"/>
    </w:pPr>
  </w:style>
  <w:style w:type="paragraph" w:styleId="BodyTextIndent">
    <w:name w:val="Body Text Indent"/>
    <w:basedOn w:val="Normal"/>
    <w:link w:val="BodyTextIndentChar"/>
    <w:uiPriority w:val="99"/>
    <w:semiHidden/>
    <w:unhideWhenUsed/>
    <w:rsid w:val="007B6A2F"/>
    <w:pPr>
      <w:spacing w:after="120"/>
      <w:ind w:left="360"/>
    </w:pPr>
  </w:style>
  <w:style w:type="character" w:customStyle="1" w:styleId="BodyTextIndentChar">
    <w:name w:val="Body Text Indent Char"/>
    <w:basedOn w:val="DefaultParagraphFont"/>
    <w:link w:val="BodyTextIndent"/>
    <w:uiPriority w:val="99"/>
    <w:semiHidden/>
    <w:rsid w:val="007B6A2F"/>
  </w:style>
  <w:style w:type="paragraph" w:styleId="BodyTextIndent3">
    <w:name w:val="Body Text Indent 3"/>
    <w:basedOn w:val="Normal"/>
    <w:link w:val="BodyTextIndent3Char"/>
    <w:uiPriority w:val="99"/>
    <w:semiHidden/>
    <w:unhideWhenUsed/>
    <w:rsid w:val="007B6A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6A2F"/>
    <w:rPr>
      <w:sz w:val="16"/>
      <w:szCs w:val="16"/>
    </w:rPr>
  </w:style>
  <w:style w:type="paragraph" w:styleId="CommentSubject">
    <w:name w:val="annotation subject"/>
    <w:basedOn w:val="CommentText"/>
    <w:next w:val="CommentText"/>
    <w:link w:val="CommentSubjectChar"/>
    <w:uiPriority w:val="99"/>
    <w:semiHidden/>
    <w:unhideWhenUsed/>
    <w:rsid w:val="0037192D"/>
    <w:rPr>
      <w:b/>
      <w:bCs/>
    </w:rPr>
  </w:style>
  <w:style w:type="character" w:customStyle="1" w:styleId="CommentSubjectChar">
    <w:name w:val="Comment Subject Char"/>
    <w:basedOn w:val="CommentTextChar"/>
    <w:link w:val="CommentSubject"/>
    <w:uiPriority w:val="99"/>
    <w:semiHidden/>
    <w:rsid w:val="0037192D"/>
    <w:rPr>
      <w:b/>
      <w:bCs/>
      <w:sz w:val="20"/>
      <w:szCs w:val="20"/>
    </w:rPr>
  </w:style>
  <w:style w:type="table" w:customStyle="1" w:styleId="TableGrid1">
    <w:name w:val="Table Grid1"/>
    <w:basedOn w:val="TableNormal"/>
    <w:next w:val="TableGrid"/>
    <w:uiPriority w:val="59"/>
    <w:rsid w:val="00144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1180">
      <w:bodyDiv w:val="1"/>
      <w:marLeft w:val="0"/>
      <w:marRight w:val="0"/>
      <w:marTop w:val="0"/>
      <w:marBottom w:val="0"/>
      <w:divBdr>
        <w:top w:val="none" w:sz="0" w:space="0" w:color="auto"/>
        <w:left w:val="none" w:sz="0" w:space="0" w:color="auto"/>
        <w:bottom w:val="none" w:sz="0" w:space="0" w:color="auto"/>
        <w:right w:val="none" w:sz="0" w:space="0" w:color="auto"/>
      </w:divBdr>
    </w:div>
    <w:div w:id="10121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ustomXml" Target="../customXml/item5.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Programas/DesarrolloTerritorial/Evaluaci%C3%B3nySeguimientodelaDescentralizaci%C3%B3n/Desempe%C3%B1oFisc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77EDEC1438FF14E9B8E60AD557A970D" ma:contentTypeVersion="0" ma:contentTypeDescription="A content type to manage public (operations) IDB documents" ma:contentTypeScope="" ma:versionID="0bbd251f0642d061612e2961c5b3a45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CSD/HUD</Division_x0020_or_x0020_Unit>
    <Other_x0020_Author xmlns="9c571b2f-e523-4ab2-ba2e-09e151a03ef4" xsi:nil="true"/>
    <Region xmlns="9c571b2f-e523-4ab2-ba2e-09e151a03ef4" xsi:nil="true"/>
    <IDBDocs_x0020_Number xmlns="9c571b2f-e523-4ab2-ba2e-09e151a03ef4">40647856</IDBDocs_x0020_Number>
    <Document_x0020_Author xmlns="9c571b2f-e523-4ab2-ba2e-09e151a03ef4">Lopez Ghio, Ramiro Andres</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CO-L1165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DU-CPC</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06424414-6C71-47BA-AAA0-50B2FD8A0B98}"/>
</file>

<file path=customXml/itemProps2.xml><?xml version="1.0" encoding="utf-8"?>
<ds:datastoreItem xmlns:ds="http://schemas.openxmlformats.org/officeDocument/2006/customXml" ds:itemID="{38BA7452-DB92-4036-9D78-CD6867196625}"/>
</file>

<file path=customXml/itemProps3.xml><?xml version="1.0" encoding="utf-8"?>
<ds:datastoreItem xmlns:ds="http://schemas.openxmlformats.org/officeDocument/2006/customXml" ds:itemID="{26722382-41A7-4F14-96EA-7B0C5C52264B}"/>
</file>

<file path=customXml/itemProps4.xml><?xml version="1.0" encoding="utf-8"?>
<ds:datastoreItem xmlns:ds="http://schemas.openxmlformats.org/officeDocument/2006/customXml" ds:itemID="{F6321060-204B-4C74-B0F7-58830AF6FB21}"/>
</file>

<file path=customXml/itemProps5.xml><?xml version="1.0" encoding="utf-8"?>
<ds:datastoreItem xmlns:ds="http://schemas.openxmlformats.org/officeDocument/2006/customXml" ds:itemID="{24F7402D-88A2-4FFB-A51E-6EB24291D621}"/>
</file>

<file path=customXml/itemProps6.xml><?xml version="1.0" encoding="utf-8"?>
<ds:datastoreItem xmlns:ds="http://schemas.openxmlformats.org/officeDocument/2006/customXml" ds:itemID="{78AEBCC3-8B40-47BD-A8CE-A6034B43C62A}"/>
</file>

<file path=docProps/app.xml><?xml version="1.0" encoding="utf-8"?>
<Properties xmlns="http://schemas.openxmlformats.org/officeDocument/2006/extended-properties" xmlns:vt="http://schemas.openxmlformats.org/officeDocument/2006/docPropsVTypes">
  <Template>Normal.dotm</Template>
  <TotalTime>147</TotalTime>
  <Pages>37</Pages>
  <Words>11157</Words>
  <Characters>61369</Characters>
  <Application>Microsoft Office Word</Application>
  <DocSecurity>0</DocSecurity>
  <Lines>511</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72382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Ciudad (Cali)</dc:title>
  <dc:creator>Test</dc:creator>
  <cp:lastModifiedBy>NLopez</cp:lastModifiedBy>
  <cp:revision>13</cp:revision>
  <dcterms:created xsi:type="dcterms:W3CDTF">2016-09-06T00:17:00Z</dcterms:created>
  <dcterms:modified xsi:type="dcterms:W3CDTF">2016-11-08T17:21:00Z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0x01010046CF21643EE8D14686A648AA6DAD089200877EDEC1438FF14E9B8E60AD557A970D</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