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9B8" w:rsidRPr="001C59A0" w:rsidRDefault="00C419B8" w:rsidP="00C419B8">
      <w:pPr>
        <w:pStyle w:val="Title"/>
        <w:keepNext/>
        <w:rPr>
          <w:rFonts w:ascii="Arial" w:hAnsi="Arial" w:cs="Arial"/>
          <w:smallCaps/>
          <w:sz w:val="20"/>
        </w:rPr>
      </w:pPr>
      <w:bookmarkStart w:id="0" w:name="_GoBack"/>
      <w:bookmarkEnd w:id="0"/>
      <w:r w:rsidRPr="001C59A0">
        <w:rPr>
          <w:rFonts w:ascii="Arial" w:hAnsi="Arial" w:cs="Arial"/>
          <w:smallCaps/>
          <w:sz w:val="20"/>
        </w:rPr>
        <w:t>Documento del Banco Interamericano de Desarrollo</w:t>
      </w:r>
    </w:p>
    <w:p w:rsidR="00C419B8" w:rsidRPr="001C59A0" w:rsidRDefault="00C419B8" w:rsidP="00C419B8">
      <w:pPr>
        <w:keepNext/>
        <w:jc w:val="center"/>
        <w:outlineLvl w:val="0"/>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keepNext/>
        <w:jc w:val="center"/>
        <w:rPr>
          <w:rFonts w:ascii="Arial" w:hAnsi="Arial" w:cs="Arial"/>
          <w:lang w:val="es-ES"/>
        </w:rPr>
      </w:pPr>
    </w:p>
    <w:p w:rsidR="00C419B8" w:rsidRPr="001C59A0" w:rsidRDefault="00C419B8" w:rsidP="00C419B8">
      <w:pPr>
        <w:tabs>
          <w:tab w:val="left" w:pos="1440"/>
          <w:tab w:val="left" w:pos="3060"/>
        </w:tabs>
        <w:jc w:val="center"/>
        <w:rPr>
          <w:rFonts w:ascii="Arial" w:hAnsi="Arial" w:cs="Arial"/>
          <w:b/>
          <w:smallCaps/>
          <w:sz w:val="32"/>
          <w:szCs w:val="28"/>
          <w:lang w:val="es-ES"/>
        </w:rPr>
      </w:pPr>
      <w:r w:rsidRPr="001C59A0">
        <w:rPr>
          <w:rFonts w:ascii="Arial" w:hAnsi="Arial" w:cs="Arial"/>
          <w:b/>
          <w:smallCaps/>
          <w:sz w:val="32"/>
          <w:szCs w:val="28"/>
          <w:lang w:val="es-ES"/>
        </w:rPr>
        <w:t>Chile</w:t>
      </w: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pStyle w:val="Newpage"/>
        <w:rPr>
          <w:rFonts w:ascii="Arial" w:hAnsi="Arial"/>
          <w:b w:val="0"/>
          <w:caps/>
          <w:smallCaps w:val="0"/>
          <w:szCs w:val="22"/>
        </w:rPr>
      </w:pPr>
      <w:r w:rsidRPr="001C59A0">
        <w:rPr>
          <w:rFonts w:ascii="Arial" w:hAnsi="Arial"/>
          <w:sz w:val="32"/>
          <w:szCs w:val="28"/>
        </w:rPr>
        <w:t>Programa de Energía Sostenible</w:t>
      </w:r>
    </w:p>
    <w:p w:rsidR="00C419B8" w:rsidRPr="001C59A0" w:rsidRDefault="00C419B8" w:rsidP="00C419B8">
      <w:pPr>
        <w:pStyle w:val="Newpage"/>
        <w:rPr>
          <w:rFonts w:ascii="Arial" w:hAnsi="Arial"/>
          <w:b w:val="0"/>
          <w:caps/>
          <w:smallCaps w:val="0"/>
          <w:szCs w:val="22"/>
        </w:rPr>
      </w:pPr>
    </w:p>
    <w:p w:rsidR="00C419B8" w:rsidRPr="001C59A0" w:rsidRDefault="00C419B8" w:rsidP="00C419B8">
      <w:pPr>
        <w:tabs>
          <w:tab w:val="left" w:pos="1440"/>
          <w:tab w:val="left" w:pos="3060"/>
        </w:tabs>
        <w:jc w:val="center"/>
        <w:rPr>
          <w:rFonts w:ascii="Arial" w:hAnsi="Arial" w:cs="Arial"/>
          <w:b/>
          <w:smallCaps/>
          <w:szCs w:val="22"/>
          <w:lang w:val="es-ES"/>
        </w:rPr>
      </w:pPr>
      <w:r w:rsidRPr="001C59A0">
        <w:rPr>
          <w:rFonts w:ascii="Arial" w:hAnsi="Arial" w:cs="Arial"/>
          <w:b/>
          <w:smallCaps/>
          <w:szCs w:val="22"/>
          <w:lang w:val="es-ES"/>
        </w:rPr>
        <w:t>CH-L1136</w:t>
      </w:r>
    </w:p>
    <w:p w:rsidR="00C419B8" w:rsidRPr="001C59A0" w:rsidRDefault="00C419B8" w:rsidP="00C419B8">
      <w:pPr>
        <w:tabs>
          <w:tab w:val="left" w:pos="1440"/>
          <w:tab w:val="left" w:pos="3060"/>
        </w:tabs>
        <w:jc w:val="center"/>
        <w:rPr>
          <w:rFonts w:ascii="Arial" w:hAnsi="Arial" w:cs="Arial"/>
          <w:smallCaps/>
          <w:szCs w:val="22"/>
          <w:lang w:val="es-ES"/>
        </w:rPr>
      </w:pPr>
    </w:p>
    <w:p w:rsidR="00C419B8" w:rsidRDefault="00C419B8"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Default="001C59A0" w:rsidP="00C419B8">
      <w:pPr>
        <w:tabs>
          <w:tab w:val="left" w:pos="1440"/>
          <w:tab w:val="left" w:pos="3060"/>
        </w:tabs>
        <w:jc w:val="center"/>
        <w:rPr>
          <w:rFonts w:ascii="Arial" w:hAnsi="Arial" w:cs="Arial"/>
          <w:smallCaps/>
          <w:szCs w:val="22"/>
          <w:lang w:val="es-ES"/>
        </w:rPr>
      </w:pPr>
    </w:p>
    <w:p w:rsidR="001C59A0" w:rsidRPr="001C59A0" w:rsidRDefault="001C59A0"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rPr>
          <w:rFonts w:ascii="Arial" w:hAnsi="Arial" w:cs="Arial"/>
          <w:smallCaps/>
          <w:szCs w:val="22"/>
          <w:lang w:val="es-ES"/>
        </w:rPr>
      </w:pPr>
    </w:p>
    <w:p w:rsidR="00C419B8" w:rsidRPr="001C59A0" w:rsidRDefault="00C419B8" w:rsidP="00C419B8">
      <w:pPr>
        <w:tabs>
          <w:tab w:val="left" w:pos="1440"/>
          <w:tab w:val="left" w:pos="3060"/>
        </w:tabs>
        <w:jc w:val="center"/>
        <w:outlineLvl w:val="0"/>
        <w:rPr>
          <w:rFonts w:ascii="Arial" w:hAnsi="Arial" w:cs="Arial"/>
          <w:b/>
          <w:sz w:val="28"/>
          <w:lang w:val="es-ES"/>
        </w:rPr>
      </w:pPr>
      <w:r w:rsidRPr="001C59A0">
        <w:rPr>
          <w:rFonts w:ascii="Arial" w:hAnsi="Arial" w:cs="Arial"/>
          <w:b/>
          <w:smallCaps/>
          <w:sz w:val="28"/>
          <w:lang w:val="es-ES"/>
        </w:rPr>
        <w:t>Plan de Seguimiento y Evaluación</w:t>
      </w:r>
    </w:p>
    <w:p w:rsidR="00C419B8" w:rsidRPr="001C59A0" w:rsidRDefault="00C419B8" w:rsidP="00C419B8">
      <w:pPr>
        <w:pStyle w:val="ListParagraph"/>
        <w:tabs>
          <w:tab w:val="left" w:pos="1440"/>
          <w:tab w:val="left" w:pos="3060"/>
        </w:tabs>
        <w:ind w:left="1080"/>
        <w:jc w:val="center"/>
        <w:rPr>
          <w:rFonts w:ascii="Arial" w:hAnsi="Arial" w:cs="Arial"/>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ListParagraph"/>
        <w:tabs>
          <w:tab w:val="left" w:pos="1440"/>
          <w:tab w:val="left" w:pos="3060"/>
        </w:tabs>
        <w:ind w:left="1080"/>
        <w:rPr>
          <w:rFonts w:ascii="Arial" w:hAnsi="Arial" w:cs="Arial"/>
          <w:sz w:val="22"/>
          <w:szCs w:val="22"/>
          <w:lang w:val="es-ES"/>
        </w:rPr>
      </w:pPr>
    </w:p>
    <w:p w:rsidR="00C419B8" w:rsidRPr="001C59A0" w:rsidRDefault="00C419B8" w:rsidP="00C419B8">
      <w:pPr>
        <w:pStyle w:val="BodyText"/>
        <w:pBdr>
          <w:top w:val="single" w:sz="4" w:space="1" w:color="auto"/>
          <w:left w:val="single" w:sz="4" w:space="4" w:color="auto"/>
          <w:bottom w:val="single" w:sz="4" w:space="1" w:color="auto"/>
          <w:right w:val="single" w:sz="4" w:space="4" w:color="auto"/>
        </w:pBdr>
        <w:tabs>
          <w:tab w:val="left" w:pos="1440"/>
        </w:tabs>
        <w:jc w:val="both"/>
        <w:rPr>
          <w:rFonts w:ascii="Arial" w:hAnsi="Arial" w:cs="Arial"/>
          <w:sz w:val="20"/>
          <w:lang w:val="es-ES"/>
        </w:rPr>
      </w:pPr>
      <w:r w:rsidRPr="001C59A0">
        <w:rPr>
          <w:rFonts w:ascii="Arial" w:hAnsi="Arial" w:cs="Arial"/>
          <w:sz w:val="20"/>
          <w:lang w:val="es-ES"/>
        </w:rPr>
        <w:t xml:space="preserve">Este documento fue preparado por el equipo de proyecto integrado por: </w:t>
      </w:r>
      <w:r w:rsidRPr="001C59A0">
        <w:rPr>
          <w:rFonts w:ascii="Arial" w:hAnsi="Arial" w:cs="Arial"/>
          <w:sz w:val="20"/>
          <w:lang w:val="es-CO"/>
        </w:rPr>
        <w:t xml:space="preserve">Enrique Rodríguez Flores (ENE/CPE) </w:t>
      </w:r>
      <w:r w:rsidR="00E87FDB" w:rsidRPr="001C59A0">
        <w:rPr>
          <w:rFonts w:ascii="Arial" w:hAnsi="Arial" w:cs="Arial"/>
          <w:sz w:val="20"/>
          <w:lang w:val="es-CO"/>
        </w:rPr>
        <w:t>Líder</w:t>
      </w:r>
      <w:r w:rsidRPr="001C59A0">
        <w:rPr>
          <w:rFonts w:ascii="Arial" w:hAnsi="Arial" w:cs="Arial"/>
          <w:sz w:val="20"/>
          <w:lang w:val="es-CO"/>
        </w:rPr>
        <w:t xml:space="preserve"> de Equipo; Emilio Sawada (ENE/CUR); Juan Cardenas (INE/ENE); Wilkferg Vanegas (INE/ENE); Stephanie Suber (INE/ENE); Rodolfo Graham (LEG/SGO); Claudio Alatorre (CSD/CCS); Sebastian Miller (CSC/CCH); Francisco Lois (CSC/CCH); </w:t>
      </w:r>
      <w:r w:rsidR="00E87FDB" w:rsidRPr="00E87FDB">
        <w:rPr>
          <w:rFonts w:ascii="Arial" w:hAnsi="Arial" w:cs="Arial"/>
          <w:sz w:val="20"/>
          <w:lang w:val="es-CO"/>
        </w:rPr>
        <w:t>David Salazar (FMP/CUR)</w:t>
      </w:r>
      <w:r w:rsidRPr="001C59A0">
        <w:rPr>
          <w:rFonts w:ascii="Arial" w:hAnsi="Arial" w:cs="Arial"/>
          <w:sz w:val="20"/>
          <w:lang w:val="es-CO"/>
        </w:rPr>
        <w:t xml:space="preserve"> y Paola Robles (CSC/CCH)</w:t>
      </w:r>
    </w:p>
    <w:p w:rsidR="00C419B8" w:rsidRPr="001C59A0" w:rsidRDefault="00C419B8" w:rsidP="00C419B8">
      <w:pPr>
        <w:pStyle w:val="ListParagraph"/>
        <w:tabs>
          <w:tab w:val="left" w:pos="1440"/>
          <w:tab w:val="left" w:pos="3060"/>
        </w:tabs>
        <w:ind w:left="1080"/>
        <w:outlineLvl w:val="0"/>
        <w:rPr>
          <w:rFonts w:ascii="Arial" w:hAnsi="Arial" w:cs="Arial"/>
          <w:sz w:val="20"/>
          <w:lang w:val="es-ES"/>
        </w:rPr>
      </w:pPr>
    </w:p>
    <w:p w:rsidR="00C419B8" w:rsidRPr="001C59A0" w:rsidRDefault="00C419B8" w:rsidP="00C419B8">
      <w:pPr>
        <w:pStyle w:val="ListParagraph"/>
        <w:tabs>
          <w:tab w:val="left" w:pos="1440"/>
          <w:tab w:val="left" w:pos="3060"/>
        </w:tabs>
        <w:ind w:left="1080"/>
        <w:outlineLvl w:val="0"/>
        <w:rPr>
          <w:rFonts w:ascii="Arial" w:hAnsi="Arial" w:cs="Arial"/>
          <w:sz w:val="20"/>
          <w:lang w:val="es-ES"/>
        </w:rPr>
      </w:pPr>
    </w:p>
    <w:p w:rsidR="00C419B8" w:rsidRPr="001C59A0" w:rsidRDefault="00C419B8" w:rsidP="00C419B8">
      <w:pPr>
        <w:pStyle w:val="ListParagraph"/>
        <w:tabs>
          <w:tab w:val="left" w:pos="1440"/>
          <w:tab w:val="left" w:pos="3060"/>
        </w:tabs>
        <w:ind w:left="1080"/>
        <w:outlineLvl w:val="0"/>
        <w:rPr>
          <w:rFonts w:ascii="Arial" w:hAnsi="Arial" w:cs="Arial"/>
          <w:sz w:val="20"/>
          <w:lang w:val="es-ES"/>
        </w:rPr>
      </w:pPr>
    </w:p>
    <w:p w:rsidR="00C419B8" w:rsidRPr="001C59A0" w:rsidRDefault="00C419B8" w:rsidP="00C419B8">
      <w:pPr>
        <w:pStyle w:val="ListParagraph"/>
        <w:numPr>
          <w:ilvl w:val="0"/>
          <w:numId w:val="4"/>
        </w:numPr>
        <w:spacing w:before="120" w:after="120"/>
        <w:ind w:left="540" w:hanging="540"/>
        <w:contextualSpacing w:val="0"/>
        <w:rPr>
          <w:rFonts w:ascii="Arial" w:hAnsi="Arial" w:cs="Arial"/>
          <w:b/>
          <w:smallCaps/>
          <w:lang w:val="es-ES"/>
        </w:rPr>
      </w:pPr>
      <w:r w:rsidRPr="001C59A0">
        <w:rPr>
          <w:rFonts w:ascii="Arial" w:hAnsi="Arial" w:cs="Arial"/>
          <w:b/>
          <w:smallCaps/>
          <w:lang w:val="es-ES"/>
        </w:rPr>
        <w:t>Introducción</w:t>
      </w:r>
    </w:p>
    <w:p w:rsidR="00C419B8" w:rsidRPr="001C59A0" w:rsidRDefault="00C419B8" w:rsidP="00C419B8">
      <w:pPr>
        <w:pStyle w:val="ListParagraph"/>
        <w:numPr>
          <w:ilvl w:val="1"/>
          <w:numId w:val="4"/>
        </w:numPr>
        <w:spacing w:before="120" w:after="120"/>
        <w:ind w:left="540" w:hanging="540"/>
        <w:contextualSpacing w:val="0"/>
        <w:jc w:val="both"/>
        <w:rPr>
          <w:rFonts w:ascii="Arial" w:hAnsi="Arial" w:cs="Arial"/>
          <w:lang w:val="es-ES"/>
        </w:rPr>
      </w:pPr>
      <w:r w:rsidRPr="001C59A0">
        <w:rPr>
          <w:rFonts w:ascii="Arial" w:hAnsi="Arial" w:cs="Arial"/>
          <w:lang w:val="es-ES"/>
        </w:rPr>
        <w:t>El presente documento describe las tareas de monitoreo y evaluación necesarias respecto a las actividades, compromisos de política y resultados del Programa de Energía Sostenible (CH-L1136).</w:t>
      </w:r>
    </w:p>
    <w:p w:rsidR="000031D9" w:rsidRPr="001C59A0" w:rsidRDefault="00C419B8" w:rsidP="000031D9">
      <w:pPr>
        <w:pStyle w:val="ListParagraph"/>
        <w:numPr>
          <w:ilvl w:val="1"/>
          <w:numId w:val="4"/>
        </w:numPr>
        <w:spacing w:before="120" w:after="120"/>
        <w:ind w:left="540" w:hanging="540"/>
        <w:contextualSpacing w:val="0"/>
        <w:jc w:val="both"/>
        <w:rPr>
          <w:rFonts w:ascii="Arial" w:hAnsi="Arial" w:cs="Arial"/>
          <w:lang w:val="es-ES"/>
        </w:rPr>
      </w:pPr>
      <w:r w:rsidRPr="001C59A0">
        <w:rPr>
          <w:rFonts w:ascii="Arial" w:hAnsi="Arial" w:cs="Arial"/>
          <w:lang w:val="es-ES"/>
        </w:rPr>
        <w:t xml:space="preserve">El </w:t>
      </w:r>
      <w:r w:rsidR="000031D9" w:rsidRPr="001C59A0">
        <w:rPr>
          <w:rFonts w:ascii="Arial" w:hAnsi="Arial" w:cs="Arial"/>
          <w:lang w:val="es-ES"/>
        </w:rPr>
        <w:t>objetivo general del programa es contribuir a la sostenibilidad del sector energético del país a través de un proceso de reformas de políticas en el sector que consideren aspectos técnicos, económicos, sociales, ambientales y las necesidades e intereses nacionales y regionales. Los objetivos específicos son: (i) desarrollar una política energética de largo plazo validada por la sociedad que contribuya a incrementar la competencia y eficiencia del mercado energético; y a mejorar la capacidad institucional del sector; (ii) promover la diversificación y participación de las energías renovables en la matriz energética; (i</w:t>
      </w:r>
      <w:r w:rsidR="007B1349">
        <w:rPr>
          <w:rFonts w:ascii="Arial" w:hAnsi="Arial" w:cs="Arial"/>
          <w:lang w:val="es-ES"/>
        </w:rPr>
        <w:t>ii</w:t>
      </w:r>
      <w:r w:rsidR="000031D9" w:rsidRPr="001C59A0">
        <w:rPr>
          <w:rFonts w:ascii="Arial" w:hAnsi="Arial" w:cs="Arial"/>
          <w:lang w:val="es-ES"/>
        </w:rPr>
        <w:t>) fomentar el uso eficiente de la energía; e (</w:t>
      </w:r>
      <w:r w:rsidR="007B1349">
        <w:rPr>
          <w:rFonts w:ascii="Arial" w:hAnsi="Arial" w:cs="Arial"/>
          <w:lang w:val="es-ES"/>
        </w:rPr>
        <w:t>i</w:t>
      </w:r>
      <w:r w:rsidR="000031D9" w:rsidRPr="001C59A0">
        <w:rPr>
          <w:rFonts w:ascii="Arial" w:hAnsi="Arial" w:cs="Arial"/>
          <w:lang w:val="es-ES"/>
        </w:rPr>
        <w:t>v) incrementar los intercambios y la transferencia de energía a nivel internacional.</w:t>
      </w:r>
    </w:p>
    <w:p w:rsidR="000031D9" w:rsidRPr="001C59A0" w:rsidRDefault="00C419B8" w:rsidP="000031D9">
      <w:pPr>
        <w:pStyle w:val="ListParagraph"/>
        <w:numPr>
          <w:ilvl w:val="1"/>
          <w:numId w:val="4"/>
        </w:numPr>
        <w:spacing w:before="120" w:after="120"/>
        <w:ind w:left="540" w:hanging="540"/>
        <w:contextualSpacing w:val="0"/>
        <w:jc w:val="both"/>
        <w:rPr>
          <w:rFonts w:ascii="Arial" w:hAnsi="Arial" w:cs="Arial"/>
          <w:lang w:val="es-ES"/>
        </w:rPr>
      </w:pPr>
      <w:r w:rsidRPr="001C59A0">
        <w:rPr>
          <w:rFonts w:ascii="Arial" w:hAnsi="Arial" w:cs="Arial"/>
          <w:lang w:val="es-ES"/>
        </w:rPr>
        <w:t xml:space="preserve">Como </w:t>
      </w:r>
      <w:r w:rsidR="000031D9" w:rsidRPr="001C59A0">
        <w:rPr>
          <w:rFonts w:ascii="Arial" w:hAnsi="Arial" w:cs="Arial"/>
          <w:lang w:val="es-ES"/>
        </w:rPr>
        <w:t xml:space="preserve">impactos </w:t>
      </w:r>
      <w:r w:rsidRPr="001C59A0">
        <w:rPr>
          <w:rFonts w:ascii="Arial" w:hAnsi="Arial" w:cs="Arial"/>
          <w:lang w:val="es-ES"/>
        </w:rPr>
        <w:t xml:space="preserve">del programa se espera: (i) </w:t>
      </w:r>
      <w:r w:rsidR="000031D9" w:rsidRPr="001C59A0">
        <w:rPr>
          <w:rFonts w:ascii="Arial" w:hAnsi="Arial" w:cs="Arial"/>
          <w:lang w:val="es-ES"/>
        </w:rPr>
        <w:t>Reducción en la intensidad energética a nivel nacional; y (ii) Reducción de emisiones de GEI. Como resultados se contempla: (i) el marco macroeconómico del Prestatario y los objetivos de política del programa están alineados; (ii) desarrollar una política energética de largo plazo validada por la sociedad que contribuya a incrementar: (1) la competencia y participación en el mercado eléctrico; (2)  la capacidad instalada de generación eléctrica; y (3) la capacidad institucional del sector energético; (iii) incrementar la capacidad instalada de generación eléctrica promoviendo la diversificación y participación de las ER y ERNC en la matriz energética; (iv) fomentar el uso eficiente de la energía; y (v) incrementar los intercambios y la transferencia de energía a nivel binacional.</w:t>
      </w:r>
    </w:p>
    <w:p w:rsidR="00C419B8" w:rsidRPr="001C59A0" w:rsidRDefault="00C419B8" w:rsidP="00C419B8">
      <w:pPr>
        <w:pStyle w:val="ListParagraph"/>
        <w:numPr>
          <w:ilvl w:val="1"/>
          <w:numId w:val="4"/>
        </w:numPr>
        <w:spacing w:before="120" w:after="120"/>
        <w:ind w:left="540" w:hanging="540"/>
        <w:contextualSpacing w:val="0"/>
        <w:jc w:val="both"/>
        <w:rPr>
          <w:rFonts w:ascii="Arial" w:hAnsi="Arial" w:cs="Arial"/>
          <w:lang w:val="es-ES"/>
        </w:rPr>
      </w:pPr>
      <w:r w:rsidRPr="001C59A0">
        <w:rPr>
          <w:rFonts w:ascii="Arial" w:hAnsi="Arial" w:cs="Arial"/>
          <w:lang w:val="es-ES"/>
        </w:rPr>
        <w:t xml:space="preserve">El método adecuado de evaluación para un préstamo de políticas de tipo programático (PBL) con objetivos y metas específicas es el de evaluación reflexiva. El equipo evaluará la consecución de los objetivos del programa tomando como referencia las metas e indicadores establecidos en las matrices de política y de resultados de las operaciones del programa. Adicionalmente, se hará </w:t>
      </w:r>
      <w:r w:rsidR="007F5B8A">
        <w:rPr>
          <w:rFonts w:ascii="Arial" w:hAnsi="Arial" w:cs="Arial"/>
          <w:lang w:val="es-ES"/>
        </w:rPr>
        <w:t xml:space="preserve">una evaluación de impacto de tipo “Control Sintético” </w:t>
      </w:r>
      <w:r w:rsidRPr="001C59A0">
        <w:rPr>
          <w:rFonts w:ascii="Arial" w:hAnsi="Arial" w:cs="Arial"/>
          <w:lang w:val="es-ES"/>
        </w:rPr>
        <w:t xml:space="preserve"> para evaluar el impacto de las acciones del programa. </w:t>
      </w:r>
    </w:p>
    <w:p w:rsidR="00C419B8" w:rsidRPr="001C59A0" w:rsidRDefault="00C419B8" w:rsidP="00C419B8">
      <w:pPr>
        <w:pStyle w:val="ListParagraph"/>
        <w:numPr>
          <w:ilvl w:val="0"/>
          <w:numId w:val="4"/>
        </w:numPr>
        <w:spacing w:before="120" w:after="120"/>
        <w:ind w:left="540" w:hanging="540"/>
        <w:contextualSpacing w:val="0"/>
        <w:rPr>
          <w:rFonts w:ascii="Arial" w:hAnsi="Arial" w:cs="Arial"/>
          <w:b/>
          <w:smallCaps/>
          <w:lang w:val="es-ES"/>
        </w:rPr>
      </w:pPr>
      <w:r w:rsidRPr="001C59A0">
        <w:rPr>
          <w:rFonts w:ascii="Arial" w:hAnsi="Arial" w:cs="Arial"/>
          <w:b/>
          <w:smallCaps/>
          <w:lang w:val="es-ES"/>
        </w:rPr>
        <w:t>Monitoreo</w:t>
      </w:r>
    </w:p>
    <w:p w:rsidR="00C419B8" w:rsidRPr="001C59A0" w:rsidRDefault="00C419B8" w:rsidP="00C419B8">
      <w:pPr>
        <w:pStyle w:val="ListParagraph"/>
        <w:numPr>
          <w:ilvl w:val="1"/>
          <w:numId w:val="4"/>
        </w:numPr>
        <w:spacing w:before="120" w:after="120"/>
        <w:ind w:left="540" w:hanging="540"/>
        <w:contextualSpacing w:val="0"/>
        <w:jc w:val="both"/>
        <w:rPr>
          <w:rFonts w:ascii="Arial" w:hAnsi="Arial" w:cs="Arial"/>
          <w:bCs/>
          <w:lang w:val="es-ES"/>
        </w:rPr>
      </w:pPr>
      <w:r w:rsidRPr="001C59A0">
        <w:rPr>
          <w:rFonts w:ascii="Arial" w:hAnsi="Arial" w:cs="Arial"/>
          <w:bCs/>
          <w:lang w:val="es-ES"/>
        </w:rPr>
        <w:t xml:space="preserve">El objetivo del monitoreo es: (i) verificar el cumplimiento de los compromisos de política del Gobierno de </w:t>
      </w:r>
      <w:r w:rsidRPr="001C59A0">
        <w:rPr>
          <w:rFonts w:ascii="Arial" w:hAnsi="Arial" w:cs="Arial"/>
          <w:lang w:val="es-ES"/>
        </w:rPr>
        <w:t>Chile</w:t>
      </w:r>
      <w:r w:rsidRPr="001C59A0">
        <w:rPr>
          <w:rFonts w:ascii="Arial" w:hAnsi="Arial" w:cs="Arial"/>
          <w:bCs/>
          <w:lang w:val="es-ES"/>
        </w:rPr>
        <w:t xml:space="preserve"> establecidos en la matriz de políticas (Anexo II del POD); y (ii) verificar su alcance e impacto de acuerdo a las metas e indicadores establecidos en la matriz de políticas y en la de resultados.</w:t>
      </w:r>
    </w:p>
    <w:p w:rsidR="00C419B8" w:rsidRPr="001C59A0" w:rsidRDefault="00C419B8" w:rsidP="00C419B8">
      <w:pPr>
        <w:pStyle w:val="ListParagraph"/>
        <w:numPr>
          <w:ilvl w:val="1"/>
          <w:numId w:val="4"/>
        </w:numPr>
        <w:spacing w:before="120" w:after="120"/>
        <w:ind w:left="540" w:hanging="540"/>
        <w:contextualSpacing w:val="0"/>
        <w:jc w:val="both"/>
        <w:rPr>
          <w:rFonts w:ascii="Arial" w:hAnsi="Arial" w:cs="Arial"/>
          <w:bCs/>
          <w:lang w:val="es-ES"/>
        </w:rPr>
      </w:pPr>
      <w:r w:rsidRPr="001C59A0">
        <w:rPr>
          <w:rFonts w:ascii="Arial" w:hAnsi="Arial" w:cs="Arial"/>
          <w:bCs/>
          <w:lang w:val="es-ES"/>
        </w:rPr>
        <w:t xml:space="preserve">El monitoreo de las metas incluidas en la Matriz de Política / Medios de Verificación será realizada por el equipo de proyecto con el apoyo de un </w:t>
      </w:r>
      <w:r w:rsidRPr="001C59A0">
        <w:rPr>
          <w:rFonts w:ascii="Arial" w:hAnsi="Arial" w:cs="Arial"/>
          <w:bCs/>
          <w:lang w:val="es-ES"/>
        </w:rPr>
        <w:lastRenderedPageBreak/>
        <w:t>consultor y con los insumos provistos por el equipo del Ministerio de Energía  (MINENERGIA) y la Comisión Nacional de Energía (CNE). Los medios de verificación serán la fuente de información que determinará el cumplimiento de las metas de política. El monitoreo del equipo de proyecto tendrá inicio después de la aprobación de la operación en el Directorio del Banco, con el objetivo de elaborar los informes de cumplimiento para los desembolsos. Por otro lado, el monitoreo de las metas e indicadores de los resultados tendrá inicio una vez desembolsados los recursos de la operación.</w:t>
      </w:r>
    </w:p>
    <w:p w:rsidR="00C419B8" w:rsidRPr="001C59A0" w:rsidRDefault="00C419B8" w:rsidP="00C419B8">
      <w:pPr>
        <w:pStyle w:val="ListParagraph"/>
        <w:spacing w:before="120" w:after="120"/>
        <w:ind w:left="540" w:hanging="540"/>
        <w:contextualSpacing w:val="0"/>
        <w:jc w:val="both"/>
        <w:rPr>
          <w:rFonts w:ascii="Arial" w:hAnsi="Arial" w:cs="Arial"/>
          <w:bCs/>
          <w:lang w:val="es-ES"/>
        </w:rPr>
      </w:pPr>
    </w:p>
    <w:p w:rsidR="00C419B8" w:rsidRPr="001C59A0" w:rsidRDefault="00C419B8" w:rsidP="00C419B8">
      <w:pPr>
        <w:pStyle w:val="ListParagraph"/>
        <w:numPr>
          <w:ilvl w:val="0"/>
          <w:numId w:val="5"/>
        </w:numPr>
        <w:spacing w:before="120" w:after="120"/>
        <w:ind w:left="540" w:hanging="540"/>
        <w:contextualSpacing w:val="0"/>
        <w:jc w:val="both"/>
        <w:rPr>
          <w:rFonts w:ascii="Arial" w:hAnsi="Arial" w:cs="Arial"/>
          <w:b/>
          <w:bCs/>
          <w:lang w:val="es-ES"/>
        </w:rPr>
      </w:pPr>
      <w:r w:rsidRPr="001C59A0">
        <w:rPr>
          <w:rFonts w:ascii="Arial" w:hAnsi="Arial" w:cs="Arial"/>
          <w:b/>
          <w:bCs/>
          <w:lang w:val="es-ES"/>
        </w:rPr>
        <w:t>Indicadores de producto.</w:t>
      </w:r>
    </w:p>
    <w:tbl>
      <w:tblPr>
        <w:tblW w:w="5798" w:type="pct"/>
        <w:jc w:val="center"/>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4"/>
        <w:gridCol w:w="1602"/>
        <w:gridCol w:w="709"/>
        <w:gridCol w:w="10"/>
        <w:gridCol w:w="6"/>
        <w:gridCol w:w="694"/>
        <w:gridCol w:w="23"/>
        <w:gridCol w:w="721"/>
        <w:gridCol w:w="2610"/>
      </w:tblGrid>
      <w:tr w:rsidR="00C8615D" w:rsidTr="00EF4F23">
        <w:trPr>
          <w:trHeight w:val="944"/>
          <w:jc w:val="center"/>
        </w:trPr>
        <w:tc>
          <w:tcPr>
            <w:tcW w:w="1896" w:type="pct"/>
            <w:tcBorders>
              <w:top w:val="single" w:sz="4" w:space="0" w:color="000000"/>
              <w:left w:val="single" w:sz="4" w:space="0" w:color="000000"/>
              <w:bottom w:val="single" w:sz="4" w:space="0" w:color="000000"/>
              <w:right w:val="single" w:sz="4" w:space="0" w:color="000000"/>
            </w:tcBorders>
            <w:vAlign w:val="center"/>
          </w:tcPr>
          <w:p w:rsidR="00C8615D" w:rsidRPr="00C8615D" w:rsidRDefault="00C8615D">
            <w:pPr>
              <w:jc w:val="center"/>
              <w:rPr>
                <w:rFonts w:ascii="Arial" w:hAnsi="Arial" w:cs="Arial"/>
                <w:sz w:val="17"/>
                <w:szCs w:val="17"/>
                <w:lang w:val="es-ES_tradnl"/>
              </w:rPr>
            </w:pPr>
            <w:bookmarkStart w:id="1" w:name="_Toc402794297"/>
            <w:r w:rsidRPr="00C8615D">
              <w:rPr>
                <w:rFonts w:ascii="Arial" w:hAnsi="Arial" w:cs="Arial"/>
                <w:sz w:val="17"/>
                <w:szCs w:val="17"/>
                <w:lang w:val="es-ES_tradnl"/>
              </w:rPr>
              <w:t>Indicador de Producto</w:t>
            </w:r>
          </w:p>
        </w:tc>
        <w:tc>
          <w:tcPr>
            <w:tcW w:w="780" w:type="pct"/>
            <w:tcBorders>
              <w:top w:val="single" w:sz="4" w:space="0" w:color="000000"/>
              <w:left w:val="single" w:sz="4" w:space="0" w:color="000000"/>
              <w:bottom w:val="single" w:sz="4" w:space="0" w:color="000000"/>
              <w:right w:val="single" w:sz="4" w:space="0" w:color="000000"/>
            </w:tcBorders>
            <w:vAlign w:val="center"/>
          </w:tcPr>
          <w:p w:rsidR="00C8615D" w:rsidRPr="00C8615D" w:rsidRDefault="00C8615D">
            <w:pPr>
              <w:jc w:val="center"/>
              <w:rPr>
                <w:rFonts w:ascii="Arial" w:hAnsi="Arial" w:cs="Arial"/>
                <w:sz w:val="17"/>
                <w:szCs w:val="17"/>
                <w:lang w:val="es-BO"/>
              </w:rPr>
            </w:pPr>
            <w:r w:rsidRPr="00C8615D">
              <w:rPr>
                <w:rFonts w:ascii="Arial" w:hAnsi="Arial" w:cs="Arial"/>
                <w:sz w:val="17"/>
                <w:szCs w:val="17"/>
                <w:lang w:val="es-BO"/>
              </w:rPr>
              <w:t>Unidad de  medida</w:t>
            </w:r>
          </w:p>
        </w:tc>
        <w:tc>
          <w:tcPr>
            <w:tcW w:w="345" w:type="pct"/>
            <w:tcBorders>
              <w:top w:val="single" w:sz="4" w:space="0" w:color="000000"/>
              <w:left w:val="single" w:sz="4" w:space="0" w:color="000000"/>
              <w:bottom w:val="single" w:sz="4" w:space="0" w:color="000000"/>
              <w:right w:val="single" w:sz="4" w:space="0" w:color="000000"/>
            </w:tcBorders>
            <w:vAlign w:val="center"/>
          </w:tcPr>
          <w:p w:rsidR="00C8615D" w:rsidRPr="00C8615D" w:rsidRDefault="00C8615D">
            <w:pPr>
              <w:jc w:val="center"/>
              <w:rPr>
                <w:rFonts w:ascii="Arial" w:hAnsi="Arial" w:cs="Arial"/>
                <w:sz w:val="17"/>
                <w:szCs w:val="17"/>
                <w:lang w:val="es-BO"/>
              </w:rPr>
            </w:pPr>
            <w:r w:rsidRPr="00C8615D">
              <w:rPr>
                <w:rFonts w:ascii="Arial" w:hAnsi="Arial" w:cs="Arial"/>
                <w:sz w:val="17"/>
                <w:szCs w:val="17"/>
                <w:lang w:val="es-BO"/>
              </w:rPr>
              <w:t>Línea de base (2015)</w:t>
            </w:r>
          </w:p>
        </w:tc>
        <w:tc>
          <w:tcPr>
            <w:tcW w:w="346" w:type="pct"/>
            <w:gridSpan w:val="3"/>
            <w:tcBorders>
              <w:top w:val="single" w:sz="4" w:space="0" w:color="000000"/>
              <w:left w:val="single" w:sz="4" w:space="0" w:color="000000"/>
              <w:bottom w:val="single" w:sz="4" w:space="0" w:color="000000"/>
              <w:right w:val="single" w:sz="4" w:space="0" w:color="000000"/>
            </w:tcBorders>
            <w:vAlign w:val="center"/>
          </w:tcPr>
          <w:p w:rsidR="00C8615D" w:rsidRPr="00C8615D" w:rsidRDefault="00C8615D">
            <w:pPr>
              <w:jc w:val="center"/>
              <w:rPr>
                <w:rFonts w:ascii="Arial" w:hAnsi="Arial" w:cs="Arial"/>
                <w:sz w:val="17"/>
                <w:szCs w:val="17"/>
                <w:lang w:val="es-BO"/>
              </w:rPr>
            </w:pPr>
            <w:r w:rsidRPr="00C8615D">
              <w:rPr>
                <w:rFonts w:ascii="Arial" w:hAnsi="Arial" w:cs="Arial"/>
                <w:sz w:val="17"/>
                <w:szCs w:val="17"/>
                <w:lang w:val="es-BO"/>
              </w:rPr>
              <w:t>Meta (2016)</w:t>
            </w:r>
          </w:p>
        </w:tc>
        <w:tc>
          <w:tcPr>
            <w:tcW w:w="362" w:type="pct"/>
            <w:gridSpan w:val="2"/>
            <w:tcBorders>
              <w:top w:val="single" w:sz="4" w:space="0" w:color="000000"/>
              <w:left w:val="single" w:sz="4" w:space="0" w:color="000000"/>
              <w:bottom w:val="single" w:sz="4" w:space="0" w:color="000000"/>
              <w:right w:val="single" w:sz="4" w:space="0" w:color="000000"/>
            </w:tcBorders>
            <w:vAlign w:val="center"/>
          </w:tcPr>
          <w:p w:rsidR="00C8615D" w:rsidRPr="00C8615D" w:rsidRDefault="00C8615D">
            <w:pPr>
              <w:jc w:val="center"/>
              <w:rPr>
                <w:rFonts w:ascii="Arial" w:hAnsi="Arial" w:cs="Arial"/>
                <w:sz w:val="17"/>
                <w:szCs w:val="17"/>
                <w:lang w:val="es-BO"/>
              </w:rPr>
            </w:pPr>
            <w:r w:rsidRPr="00C8615D">
              <w:rPr>
                <w:rFonts w:ascii="Arial" w:hAnsi="Arial" w:cs="Arial"/>
                <w:sz w:val="17"/>
                <w:szCs w:val="17"/>
                <w:lang w:val="es-BO"/>
              </w:rPr>
              <w:t>Meta (2017)</w:t>
            </w:r>
          </w:p>
        </w:tc>
        <w:tc>
          <w:tcPr>
            <w:tcW w:w="1271" w:type="pct"/>
            <w:tcBorders>
              <w:top w:val="single" w:sz="4" w:space="0" w:color="000000"/>
              <w:left w:val="single" w:sz="4" w:space="0" w:color="000000"/>
              <w:bottom w:val="single" w:sz="4" w:space="0" w:color="000000"/>
              <w:right w:val="single" w:sz="4" w:space="0" w:color="000000"/>
            </w:tcBorders>
          </w:tcPr>
          <w:p w:rsidR="00C8615D" w:rsidRPr="00C8615D" w:rsidRDefault="00C8615D">
            <w:pPr>
              <w:jc w:val="center"/>
              <w:rPr>
                <w:rFonts w:ascii="Arial" w:hAnsi="Arial" w:cs="Arial"/>
                <w:color w:val="000000"/>
                <w:sz w:val="17"/>
                <w:szCs w:val="17"/>
                <w:lang w:val="es-MX" w:eastAsia="es-CO"/>
              </w:rPr>
            </w:pPr>
            <w:r w:rsidRPr="00C8615D">
              <w:rPr>
                <w:rFonts w:ascii="Arial" w:hAnsi="Arial" w:cs="Arial"/>
                <w:color w:val="000000"/>
                <w:sz w:val="17"/>
                <w:szCs w:val="17"/>
                <w:lang w:val="es-MX" w:eastAsia="es-CO"/>
              </w:rPr>
              <w:t xml:space="preserve">Medios de verificación / </w:t>
            </w:r>
          </w:p>
          <w:p w:rsidR="00C8615D" w:rsidRPr="00C8615D" w:rsidRDefault="00C8615D">
            <w:pPr>
              <w:jc w:val="center"/>
              <w:rPr>
                <w:rFonts w:ascii="Arial" w:hAnsi="Arial" w:cs="Arial"/>
                <w:color w:val="000000"/>
                <w:sz w:val="17"/>
                <w:szCs w:val="17"/>
                <w:lang w:val="es-MX" w:eastAsia="es-CO"/>
              </w:rPr>
            </w:pPr>
            <w:r w:rsidRPr="00C8615D">
              <w:rPr>
                <w:rFonts w:ascii="Arial" w:hAnsi="Arial" w:cs="Arial"/>
                <w:color w:val="000000"/>
                <w:sz w:val="17"/>
                <w:szCs w:val="17"/>
                <w:lang w:val="es-MX" w:eastAsia="es-CO"/>
              </w:rPr>
              <w:t>Observaciones</w:t>
            </w:r>
          </w:p>
        </w:tc>
      </w:tr>
      <w:tr w:rsidR="00C8615D" w:rsidRPr="00C251A9" w:rsidTr="00EF4F23">
        <w:trPr>
          <w:trHeight w:val="64"/>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C8615D" w:rsidRDefault="00C8615D">
            <w:pPr>
              <w:spacing w:before="120" w:after="120"/>
              <w:rPr>
                <w:rFonts w:ascii="Arial" w:hAnsi="Arial" w:cs="Arial"/>
                <w:b/>
                <w:sz w:val="20"/>
                <w:szCs w:val="20"/>
                <w:u w:val="single"/>
                <w:lang w:val="es-BO"/>
              </w:rPr>
            </w:pPr>
            <w:r>
              <w:rPr>
                <w:rFonts w:ascii="Arial" w:hAnsi="Arial" w:cs="Arial"/>
                <w:b/>
                <w:sz w:val="20"/>
                <w:szCs w:val="20"/>
                <w:u w:val="single"/>
                <w:lang w:val="es-BO"/>
              </w:rPr>
              <w:t>Componente # 2. Política Energética de Largo Plazo</w:t>
            </w:r>
          </w:p>
        </w:tc>
      </w:tr>
      <w:tr w:rsidR="00C8615D" w:rsidRPr="00C251A9" w:rsidTr="00EF4F23">
        <w:trPr>
          <w:trHeight w:val="1448"/>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Política que establezca la visión y plan de acción del sector energético de Chile a largo plazo, a través de un proceso de consulta involucrando diferentes grupos de interés y temas de  seguridad y calidad del suministro, desarrollo económico,  medio ambiente y eficiencia y educación energética, formulada y aprobada.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Política energética “Energía 2050”</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“Energía 2050”, aprobada por Decreto Supremo 148 de 2015, publicada en el Diario Oficial el 29 de febrero de 2016, y sometida a Evaluación Ambiental Estratégica, aprobada con resolución exenta 109 del año 2015 del MINENERGIA.</w:t>
            </w:r>
          </w:p>
        </w:tc>
      </w:tr>
      <w:tr w:rsidR="00C8615D" w:rsidRPr="00C251A9" w:rsidTr="00EF4F23">
        <w:trPr>
          <w:trHeight w:val="1448"/>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Informe aprobado por el MINENERGIA que presenta las actas de los talleres participativos con los actores clave que integraron el Comité Consultivo de Energía, y las actas de las sesiones plenarias.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Informe contendrá los detalles de los talleres participativos y sesiones plenarias realizados en el marco de la preparación de la Política ‘Energía  2050”. </w:t>
            </w:r>
          </w:p>
        </w:tc>
      </w:tr>
      <w:tr w:rsidR="00C8615D" w:rsidRPr="00C251A9" w:rsidTr="00EF4F23">
        <w:trPr>
          <w:trHeight w:val="791"/>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lang w:val="es-BO"/>
              </w:rPr>
            </w:pPr>
            <w:r w:rsidRPr="00EF4F23">
              <w:rPr>
                <w:rFonts w:ascii="Arial" w:hAnsi="Arial" w:cs="Arial"/>
                <w:sz w:val="20"/>
                <w:szCs w:val="20"/>
                <w:lang w:val="es-ES_tradnl"/>
              </w:rPr>
              <w:t>Informe</w:t>
            </w:r>
            <w:r>
              <w:rPr>
                <w:rFonts w:ascii="Arial" w:hAnsi="Arial" w:cs="Arial"/>
                <w:sz w:val="20"/>
                <w:szCs w:val="20"/>
                <w:lang w:val="es-BO"/>
              </w:rPr>
              <w:t xml:space="preserve"> de seguimiento anual de “Energía 2050” entregado y aprobado.</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Los informes son elaborados por MINENERGIA, y reportan los avances en el cumplimiento de la política.</w:t>
            </w:r>
          </w:p>
        </w:tc>
      </w:tr>
      <w:tr w:rsidR="00C8615D" w:rsidRPr="00C251A9" w:rsidTr="00EF4F23">
        <w:trPr>
          <w:trHeight w:val="1475"/>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Nueva Ley de Transmisión 20.936 aprobada y publicada en el Diario Oficial.</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Ley</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La Ley de Transmisión 20.936 introduce </w:t>
            </w:r>
            <w:r>
              <w:rPr>
                <w:rFonts w:ascii="Arial" w:hAnsi="Arial" w:cs="Arial"/>
                <w:sz w:val="20"/>
                <w:szCs w:val="20"/>
                <w:lang w:val="es-CO"/>
              </w:rPr>
              <w:t>un nuevo proceso de planificación, tarificación y remuneración de la transmisión eléctrica con el fin de facilitar la competencia, la incorporación de ENRC y contribuir a reducir las tarifas.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Pr>
                <w:rFonts w:ascii="Arial" w:hAnsi="Arial" w:cs="Arial"/>
                <w:sz w:val="20"/>
                <w:szCs w:val="20"/>
                <w:lang w:val="es-ES_tradnl"/>
              </w:rPr>
              <w:lastRenderedPageBreak/>
              <w:t xml:space="preserve">Decreto Supremo que presenta la </w:t>
            </w:r>
            <w:r w:rsidRPr="00EF4F23">
              <w:rPr>
                <w:rFonts w:ascii="Arial" w:hAnsi="Arial" w:cs="Arial"/>
                <w:sz w:val="20"/>
                <w:szCs w:val="20"/>
                <w:lang w:val="es-ES_tradnl"/>
              </w:rPr>
              <w:t>reglamentación de la nueva Ley de Transmisión aprobada.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La reglamentación contenida en el Decreto Supremo contará con al menos cinco puntos, tales como: 1) planificación energética;  2) procedimiento para la determinación de franjas preliminares; 3)</w:t>
            </w:r>
            <w:r>
              <w:rPr>
                <w:lang w:val="es-ES_tradnl"/>
              </w:rPr>
              <w:t xml:space="preserve"> </w:t>
            </w:r>
            <w:r>
              <w:rPr>
                <w:rFonts w:ascii="Arial" w:hAnsi="Arial" w:cs="Arial"/>
                <w:sz w:val="20"/>
                <w:szCs w:val="20"/>
                <w:lang w:val="es-BO"/>
              </w:rPr>
              <w:t>intercambios internacionales de energía eléctrica; 4)sistemas de transmisión y de la planificación de la transmisión; 5) valorización, remuneración y pago de la transmisión; 6) Coordinador del Sistema Interconectado Nacional; 7) coordinación y operación del Sistema Eléctrico Nacional; y 8) normas  técnicas.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 xml:space="preserve">Proyecto de Ley Tarifas de Distribución de Gas en Redes Concesionadas, enviado al Congreso Nacional. </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Proyecto de Ley</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Boletín N° 9.890-08 emitido por el Congreso,  que indique el estado de tramitación del Proyecto de Ley de  Tarifas de Distribución de Gas en Redes Concesionadas. El Proyecto de Ley busca mejorar el esquema y proceso tarifario para reflejar los precios reales de distribución de gas por redes, con el fin de asegurar la sostenibilidad técnica y financiera del sector mejorado.</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Informe técnico sobre modelo de cuentas actualizado y aprobado por la CNE.</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El modelo de cuentas le permita a la CNE realizar la revisión de la rentabilidad de las empresas distribuidoras de gas por redes concesionadas de acuerdo a la Ley de Tarifas de Distribución de Gas en Redes Concesionadas.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rPr>
            </w:pPr>
            <w:r>
              <w:rPr>
                <w:rFonts w:ascii="Arial" w:hAnsi="Arial" w:cs="Arial"/>
                <w:sz w:val="20"/>
                <w:szCs w:val="20"/>
              </w:rPr>
              <w:t>Acta de adjudicación de oferta económica para el</w:t>
            </w:r>
            <w:r>
              <w:rPr>
                <w:rFonts w:ascii="Arial" w:hAnsi="Arial" w:cs="Arial"/>
                <w:sz w:val="20"/>
                <w:szCs w:val="20"/>
                <w:lang w:val="es-BO"/>
              </w:rPr>
              <w:t xml:space="preserve"> suministro eléctrico de clientes regulados </w:t>
            </w:r>
            <w:r>
              <w:rPr>
                <w:rFonts w:ascii="Arial" w:hAnsi="Arial" w:cs="Arial"/>
                <w:sz w:val="20"/>
                <w:szCs w:val="20"/>
              </w:rPr>
              <w:t>emitida por MINENERGIA.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Acta</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Se refiere al acta del 26 de octubre del 2015 de Adjudicación de la oferta económica para la primera etapa del suministro </w:t>
            </w:r>
            <w:r>
              <w:rPr>
                <w:rFonts w:ascii="Arial" w:hAnsi="Arial" w:cs="Arial"/>
                <w:sz w:val="20"/>
                <w:szCs w:val="20"/>
                <w:lang w:val="es-BO"/>
              </w:rPr>
              <w:lastRenderedPageBreak/>
              <w:t xml:space="preserve">eléctrico de clientes regulados. </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Actas de conclusión de licitación de suministro eléctrico emitida por MINENERGIA.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Acta</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Se refiere al acta de al menos una licitación para el suministro eléctrico de clientes regulados, concluida y adjudicada bajo la Ley 20.805 para el primer tramo y otra para el segundo tramo del programa.</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Ley 20.897 aprobada  y publicada en el Diario Oficial.</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Ley</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La Ley 20.897 modifica la ley N° 20.365, autorizando a la Empresa Nacional del Petróleo (ENAP) invertir en el mercado de generación eléctrica.</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Proyecto de Ley que reforma el Gobierno Corporativo de en trámite en el Congreso Nacional.</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Ley</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tabs>
                <w:tab w:val="left" w:pos="1195"/>
              </w:tabs>
              <w:spacing w:before="120" w:after="120"/>
              <w:jc w:val="center"/>
              <w:rPr>
                <w:rFonts w:ascii="Arial" w:hAnsi="Arial" w:cs="Arial"/>
                <w:sz w:val="20"/>
                <w:szCs w:val="20"/>
                <w:lang w:val="es-BO"/>
              </w:rPr>
            </w:pPr>
            <w:r>
              <w:rPr>
                <w:rFonts w:ascii="Arial" w:hAnsi="Arial" w:cs="Arial"/>
                <w:sz w:val="20"/>
                <w:szCs w:val="20"/>
                <w:lang w:val="es-BO"/>
              </w:rPr>
              <w:t>La Ley busca reformar el Gobierno Corporativo de ENAP, otorgando una mayor independencia y autonomía a ENAP.</w:t>
            </w:r>
            <w:r>
              <w:rPr>
                <w:lang w:val="es-ES_tradnl"/>
              </w:rPr>
              <w:t xml:space="preserve">  El </w:t>
            </w:r>
            <w:r>
              <w:rPr>
                <w:rFonts w:ascii="Arial" w:hAnsi="Arial" w:cs="Arial"/>
                <w:sz w:val="20"/>
                <w:szCs w:val="20"/>
                <w:lang w:val="es-BO"/>
              </w:rPr>
              <w:t>Boletín N° 10.545-08 emitido por el Congreso, indicará el estado de tramitación del Proyecto de Ley.</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 xml:space="preserve">Informe de diagnóstico del segmento de distribución aprobado por la CNE. </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Corresponde a un informe diagnóstico del segmento de distribución eléctrica que identifique áreas de mejoras para su modernización.</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Resolución Exenta para la instalación de generación distribuida emitida por la CNE.</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Resolución</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tabs>
                <w:tab w:val="left" w:pos="924"/>
              </w:tabs>
              <w:spacing w:before="120" w:after="120"/>
              <w:jc w:val="center"/>
              <w:rPr>
                <w:rFonts w:ascii="Arial" w:hAnsi="Arial" w:cs="Arial"/>
                <w:sz w:val="20"/>
                <w:szCs w:val="20"/>
                <w:lang w:val="es-BO"/>
              </w:rPr>
            </w:pPr>
            <w:r>
              <w:rPr>
                <w:rFonts w:ascii="Arial" w:hAnsi="Arial" w:cs="Arial"/>
                <w:sz w:val="20"/>
                <w:szCs w:val="20"/>
                <w:lang w:val="es-BO"/>
              </w:rPr>
              <w:t>La Resolución Exenta de la CNE facilita la instalación de generación distribuida, aprobada por CNE.</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Oficio emitido por la CNE dirigido al MINENERGIA con la propuesta del ante proyecto de Ley de Distribución Eléctrica.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Oficio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color w:val="000000"/>
                <w:sz w:val="20"/>
                <w:szCs w:val="20"/>
                <w:lang w:val="es-MX" w:eastAsia="es-CO"/>
              </w:rPr>
              <w:t>Oficio mediante el cual la CNE remite al MINENERGIA  la propuesta de ante Proyecto de Ley que regula la Distribución Eléctrica.</w:t>
            </w:r>
          </w:p>
        </w:tc>
      </w:tr>
      <w:tr w:rsidR="00C8615D" w:rsidRPr="00C251A9" w:rsidTr="00EF4F23">
        <w:trPr>
          <w:trHeight w:val="1493"/>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Decreto Exento 158 emitido por el MINENERGIA que ordene la expansión del sistema y la Interconexión SIC-SING.</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after="200" w:line="276" w:lineRule="auto"/>
              <w:jc w:val="center"/>
              <w:rPr>
                <w:rFonts w:ascii="Arial" w:hAnsi="Arial" w:cs="Arial"/>
                <w:sz w:val="20"/>
                <w:szCs w:val="20"/>
                <w:lang w:val="es-MX"/>
              </w:rPr>
            </w:pPr>
            <w:r>
              <w:rPr>
                <w:rFonts w:ascii="Arial" w:hAnsi="Arial" w:cs="Arial"/>
                <w:color w:val="000000"/>
                <w:sz w:val="20"/>
                <w:szCs w:val="20"/>
                <w:lang w:val="es-MX" w:eastAsia="es-CO"/>
              </w:rPr>
              <w:t>Decreto Exento de MINENERGIA 158, publicado en el Diario Oficial el 21 de abril de 2015</w:t>
            </w:r>
            <w:r>
              <w:rPr>
                <w:rFonts w:ascii="Arial" w:hAnsi="Arial" w:cs="Arial"/>
                <w:bCs/>
                <w:color w:val="000000"/>
                <w:sz w:val="20"/>
                <w:szCs w:val="20"/>
                <w:lang w:val="es-MX" w:eastAsia="es-CO"/>
              </w:rPr>
              <w:t>, que ordena la expansión del sistema y la Interconexión SIC-SING y facilitando su integración física y armonización regulatoria.</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que establece el del Reglamento  de Coordinador Independiente del Sistema Eléctrico Nacional.</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El Decreto Supremo contendrá los lineamientos para el establecimiento del coordinador único e independiente</w:t>
            </w:r>
            <w:r>
              <w:rPr>
                <w:rFonts w:ascii="Arial" w:hAnsi="Arial" w:cs="Arial"/>
                <w:color w:val="000000"/>
                <w:sz w:val="20"/>
                <w:szCs w:val="20"/>
                <w:lang w:val="es-MX" w:eastAsia="es-CO"/>
              </w:rPr>
              <w:t xml:space="preserve"> para el sistema interconectado nacional integrado disponible.</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que establece el del Reglamento  de coordinación y operación del Sistema Eléctrico Nacional.</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Decreto Supremo contendrá las </w:t>
            </w:r>
            <w:r>
              <w:rPr>
                <w:rFonts w:ascii="Arial" w:hAnsi="Arial" w:cs="Arial"/>
                <w:color w:val="000000"/>
                <w:sz w:val="20"/>
                <w:szCs w:val="20"/>
                <w:lang w:val="es-MX" w:eastAsia="es-CO"/>
              </w:rPr>
              <w:t>Disposiciones reglamentarias requeridas por la Nueva Ley de Transmisión emitidas.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rPr>
            </w:pPr>
            <w:r>
              <w:rPr>
                <w:rFonts w:ascii="Arial" w:hAnsi="Arial" w:cs="Arial"/>
                <w:sz w:val="20"/>
                <w:szCs w:val="20"/>
              </w:rPr>
              <w:t>Decreto Supremo que designa los 15 Secretarios regionales Ministeriales (SEREMIS)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Decreto Supremo designa los 15 Secretarios regionales Ministeriales (SEREMIS), tramitados a partir de Ley  20.776 de Fortalecimiento del Ministerio (creación de Secretarías Regionales). Los SEREMIS velarán por la </w:t>
            </w:r>
            <w:r>
              <w:rPr>
                <w:rFonts w:ascii="Arial" w:hAnsi="Arial" w:cs="Arial"/>
                <w:bCs/>
                <w:color w:val="000000"/>
                <w:sz w:val="20"/>
                <w:szCs w:val="20"/>
                <w:lang w:val="es-MX" w:eastAsia="es-CO"/>
              </w:rPr>
              <w:t>planificación, monitoreo, regulación y desarrollo del sector, y desarrollado una plataforma de información energética para mayor transparencia, fortalecidas.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Informe de consultoría sobre la metodología para los estudios de franja aprobado por MINENERGIA.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after="200" w:line="276" w:lineRule="auto"/>
              <w:jc w:val="center"/>
              <w:rPr>
                <w:rFonts w:ascii="Arial" w:hAnsi="Arial" w:cs="Arial"/>
                <w:sz w:val="20"/>
                <w:szCs w:val="20"/>
                <w:lang w:val="es-MX"/>
              </w:rPr>
            </w:pPr>
            <w:r>
              <w:rPr>
                <w:rFonts w:ascii="Arial" w:hAnsi="Arial" w:cs="Arial"/>
                <w:color w:val="000000"/>
                <w:sz w:val="20"/>
                <w:szCs w:val="20"/>
                <w:lang w:val="es-MX" w:eastAsia="es-CO"/>
              </w:rPr>
              <w:t>El Informe de consultoría presentará la metodología mediante la cual se desarrollarán los estudios de franja, incluyendo  las bases de licitación tipo.</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que aprueba  el  Reglamento que fija el procedimiento para la determinación de franjas.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color w:val="000000"/>
                <w:sz w:val="20"/>
                <w:szCs w:val="20"/>
                <w:lang w:val="es-MX" w:eastAsia="es-CO"/>
              </w:rPr>
              <w:t xml:space="preserve">El Reglamento que fija el procedimiento para la determinación de franjas constituye un mecanismo </w:t>
            </w:r>
            <w:r>
              <w:rPr>
                <w:rFonts w:ascii="Arial" w:hAnsi="Arial" w:cs="Arial"/>
                <w:color w:val="000000"/>
                <w:sz w:val="20"/>
                <w:szCs w:val="20"/>
                <w:lang w:val="es-MX" w:eastAsia="es-CO"/>
              </w:rPr>
              <w:lastRenderedPageBreak/>
              <w:t xml:space="preserve">que facilitará </w:t>
            </w:r>
            <w:r>
              <w:rPr>
                <w:rFonts w:ascii="Arial" w:hAnsi="Arial" w:cs="Arial"/>
                <w:color w:val="000000"/>
                <w:sz w:val="20"/>
                <w:szCs w:val="20"/>
                <w:lang w:val="es-ES" w:eastAsia="es-CO"/>
              </w:rPr>
              <w:t>al Estado su involucramiento en la definición de trazados de líneas de transmisión eléctrica en forma previa a su licitación y adjudicación, considerando una evaluación ambiental estratégica en el análisis de alternativas de trazas, establecidos.</w:t>
            </w:r>
          </w:p>
        </w:tc>
      </w:tr>
      <w:tr w:rsidR="00C8615D"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Informe de cuenta pública preparado por el MINENERGIA sobre la SEREMIAS.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3"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El informe preparado por el MINENERGIA contendrá información que demuestre que las SEREMIAS fueron creadas y que se encuentran en operación.</w:t>
            </w:r>
          </w:p>
        </w:tc>
      </w:tr>
      <w:tr w:rsidR="00C8615D" w:rsidRPr="00C251A9" w:rsidTr="00EF4F23">
        <w:trPr>
          <w:trHeight w:val="64"/>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8615D" w:rsidRPr="00EF4F23" w:rsidRDefault="00C8615D">
            <w:pPr>
              <w:pStyle w:val="ListParagraph"/>
              <w:tabs>
                <w:tab w:val="left" w:pos="354"/>
              </w:tabs>
              <w:ind w:left="0"/>
              <w:rPr>
                <w:rFonts w:ascii="Arial" w:hAnsi="Arial" w:cs="Arial"/>
                <w:sz w:val="20"/>
                <w:szCs w:val="20"/>
                <w:lang w:val="es-ES_tradnl"/>
              </w:rPr>
            </w:pPr>
            <w:r w:rsidRPr="00EF4F23">
              <w:rPr>
                <w:rFonts w:ascii="Arial" w:hAnsi="Arial" w:cs="Arial"/>
                <w:sz w:val="20"/>
                <w:szCs w:val="20"/>
                <w:lang w:val="es-ES_tradnl"/>
              </w:rPr>
              <w:t>Componente # 3. Desarrollo de Energías Renovables</w:t>
            </w:r>
          </w:p>
        </w:tc>
      </w:tr>
      <w:tr w:rsidR="00402A76" w:rsidRPr="00C251A9" w:rsidTr="00EF4F23">
        <w:trPr>
          <w:trHeight w:val="1016"/>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que aprueba el Reglamento de sistemas de transmisión y de la planificación de la transmisión.</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Se refiere al Decreto Supremo mediante el cual se establecen los lineamientos para la planificación y operación de los sistemas de transmisión.</w:t>
            </w:r>
          </w:p>
        </w:tc>
      </w:tr>
      <w:tr w:rsidR="00402A76" w:rsidRPr="00C251A9" w:rsidTr="00EF4F23">
        <w:trPr>
          <w:trHeight w:val="1016"/>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rPr>
            </w:pPr>
            <w:r>
              <w:rPr>
                <w:rFonts w:ascii="Arial" w:hAnsi="Arial" w:cs="Arial"/>
                <w:sz w:val="20"/>
                <w:szCs w:val="20"/>
              </w:rPr>
              <w:t>Nueva norma técnica de despacho de centrales de Gas Natural Licuado (GNL) emitida por la CNE.</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Norma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Norma emitida por la CNE que presenta las disposiciones técnicas a ser empleadas en  el </w:t>
            </w:r>
            <w:r>
              <w:rPr>
                <w:rFonts w:ascii="Arial" w:hAnsi="Arial" w:cs="Arial"/>
                <w:color w:val="000000"/>
                <w:sz w:val="20"/>
                <w:szCs w:val="20"/>
                <w:lang w:val="es-ES_tradnl" w:eastAsia="es-CO"/>
              </w:rPr>
              <w:t>despacho de centrales de Gas Natural Licuado (GNL).</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Resolución Exenta 54  de 2016, emitida por la CNE que introduce la nueva norma técnica de transferencia de potencia emitida por la CNE.</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Norma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ES_tradnl"/>
              </w:rPr>
              <w:t xml:space="preserve">Resolución Exenta de la </w:t>
            </w:r>
            <w:r>
              <w:rPr>
                <w:rFonts w:ascii="Arial" w:hAnsi="Arial" w:cs="Arial"/>
                <w:sz w:val="20"/>
                <w:szCs w:val="20"/>
                <w:lang w:val="es-BO"/>
              </w:rPr>
              <w:t>CNE que presenta las disposiciones técnicas a ser empleadas en la transferencia de potencia.</w:t>
            </w:r>
          </w:p>
        </w:tc>
      </w:tr>
      <w:tr w:rsidR="00402A76" w:rsidRPr="00C251A9" w:rsidTr="00EF4F23">
        <w:trPr>
          <w:trHeight w:val="917"/>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Resolución Exenta 37 de 2016, emitida por la CNE con las disposiciones técnicas de seguridad y calidad de servicio parea el despacho de ER.</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Norma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after="200" w:line="276" w:lineRule="auto"/>
              <w:jc w:val="center"/>
              <w:rPr>
                <w:rFonts w:ascii="Arial" w:hAnsi="Arial" w:cs="Arial"/>
                <w:sz w:val="20"/>
                <w:szCs w:val="20"/>
                <w:lang w:val="es-MX"/>
              </w:rPr>
            </w:pPr>
            <w:r>
              <w:rPr>
                <w:rFonts w:ascii="Arial" w:hAnsi="Arial" w:cs="Arial"/>
                <w:bCs/>
                <w:color w:val="000000"/>
                <w:sz w:val="20"/>
                <w:szCs w:val="20"/>
                <w:lang w:val="es-MX" w:eastAsia="es-CO"/>
              </w:rPr>
              <w:t>La Resolución Exenta 37 de 2016, publicada el 29 de enero de 2016 por la CNE, consiste en una adecuación a la norma técnica de seguridad y calidad de servicio para un mejor despacho de ER.</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Exento emitido por el MINENERGIA que crea el Centro de Investigación y Desarrollo de  Energía de los Mares en Chile (MERIC).</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tabs>
                <w:tab w:val="left" w:pos="1060"/>
              </w:tabs>
              <w:spacing w:before="120" w:after="120"/>
              <w:jc w:val="center"/>
              <w:rPr>
                <w:rFonts w:ascii="Arial" w:hAnsi="Arial" w:cs="Arial"/>
                <w:sz w:val="20"/>
                <w:szCs w:val="20"/>
                <w:lang w:val="es-BO"/>
              </w:rPr>
            </w:pPr>
            <w:r>
              <w:rPr>
                <w:rFonts w:ascii="Arial" w:hAnsi="Arial" w:cs="Arial"/>
                <w:sz w:val="20"/>
                <w:szCs w:val="20"/>
                <w:lang w:val="es-BO"/>
              </w:rPr>
              <w:t xml:space="preserve">El Decreto Exento presentará evidencia de que nuevas </w:t>
            </w:r>
            <w:r>
              <w:rPr>
                <w:rFonts w:ascii="Arial" w:hAnsi="Arial" w:cs="Arial"/>
                <w:bCs/>
                <w:color w:val="000000"/>
                <w:sz w:val="20"/>
                <w:szCs w:val="20"/>
                <w:lang w:val="es-MX" w:eastAsia="es-CO"/>
              </w:rPr>
              <w:t xml:space="preserve">instituciones responsables de la </w:t>
            </w:r>
            <w:r>
              <w:rPr>
                <w:rFonts w:ascii="Arial" w:hAnsi="Arial" w:cs="Arial"/>
                <w:bCs/>
                <w:color w:val="000000"/>
                <w:sz w:val="20"/>
                <w:szCs w:val="20"/>
                <w:lang w:val="es-MX" w:eastAsia="es-CO"/>
              </w:rPr>
              <w:lastRenderedPageBreak/>
              <w:t>investigación y promoción de ERNC han sido creadas.</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Acta preparada por el  Consejo de la  Corporación de Fomento de la Producción (CORFO) a través de la cual se crea el Comité de Desarrollo de la Industria de la Energía Solar (ex CIFES).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Acta CORFO presentará evidencia adicional sobre la creación de nuevas </w:t>
            </w:r>
            <w:r>
              <w:rPr>
                <w:rFonts w:ascii="Arial" w:hAnsi="Arial" w:cs="Arial"/>
                <w:bCs/>
                <w:color w:val="000000"/>
                <w:sz w:val="20"/>
                <w:szCs w:val="20"/>
                <w:lang w:val="es-MX" w:eastAsia="es-CO"/>
              </w:rPr>
              <w:t>instituciones responsables de la investigación y promoción de ERNC.</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Documento que da cuenta  del avance en el plan de trabajo del Centro de Investigación MERIC.</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MX"/>
              </w:rPr>
            </w:pPr>
            <w:r>
              <w:rPr>
                <w:rFonts w:ascii="Arial" w:hAnsi="Arial" w:cs="Arial"/>
                <w:sz w:val="20"/>
                <w:szCs w:val="20"/>
                <w:lang w:val="es-MX"/>
              </w:rPr>
              <w:t>Documento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documento presentará información sobre el estado de avance en la implementación del </w:t>
            </w:r>
            <w:r>
              <w:rPr>
                <w:rFonts w:ascii="Arial" w:hAnsi="Arial" w:cs="Arial"/>
                <w:color w:val="000000"/>
                <w:sz w:val="20"/>
                <w:szCs w:val="20"/>
                <w:lang w:val="es-MX" w:eastAsia="es-CO"/>
              </w:rPr>
              <w:t>Plan de trabajo del Centro de Investigación MERIC.</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 xml:space="preserve">Acta de Consejo Directivo del Comité de Desarrollo de la Industria Solar sobre la implementación </w:t>
            </w:r>
            <w:r>
              <w:rPr>
                <w:rFonts w:ascii="Arial" w:hAnsi="Arial" w:cs="Arial"/>
                <w:sz w:val="20"/>
                <w:szCs w:val="20"/>
                <w:lang w:val="es-BO"/>
              </w:rPr>
              <w:t xml:space="preserve">de su </w:t>
            </w:r>
            <w:r>
              <w:rPr>
                <w:rFonts w:ascii="Arial" w:hAnsi="Arial" w:cs="Arial"/>
                <w:color w:val="000000"/>
                <w:sz w:val="20"/>
                <w:szCs w:val="20"/>
                <w:lang w:val="es-MX" w:eastAsia="es-CO"/>
              </w:rPr>
              <w:t>Plan de trabajo</w:t>
            </w:r>
            <w:r w:rsidRPr="00EF4F23">
              <w:rPr>
                <w:rFonts w:ascii="Arial" w:hAnsi="Arial" w:cs="Arial"/>
                <w:sz w:val="20"/>
                <w:szCs w:val="20"/>
                <w:lang w:val="es-ES_tradnl"/>
              </w:rPr>
              <w:t>.</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MX"/>
              </w:rPr>
            </w:pPr>
            <w:r>
              <w:rPr>
                <w:rFonts w:ascii="Arial" w:hAnsi="Arial" w:cs="Arial"/>
                <w:sz w:val="20"/>
                <w:szCs w:val="20"/>
                <w:lang w:val="es-MX"/>
              </w:rPr>
              <w:t>Acta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Las actas presentarán evidencia de que el </w:t>
            </w:r>
            <w:r>
              <w:rPr>
                <w:rFonts w:ascii="Arial" w:hAnsi="Arial" w:cs="Arial"/>
                <w:color w:val="000000"/>
                <w:sz w:val="20"/>
                <w:szCs w:val="20"/>
                <w:lang w:val="es-MX" w:eastAsia="es-CO"/>
              </w:rPr>
              <w:t>Comité de Desarrollo de la Industria Solar se encuentra en operación.</w:t>
            </w:r>
          </w:p>
        </w:tc>
      </w:tr>
      <w:tr w:rsidR="00C8615D" w:rsidRPr="00C251A9" w:rsidTr="00EF4F23">
        <w:trPr>
          <w:trHeight w:val="64"/>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8615D" w:rsidRDefault="00C8615D">
            <w:pPr>
              <w:spacing w:before="120" w:after="120"/>
              <w:rPr>
                <w:rFonts w:ascii="Arial" w:hAnsi="Arial" w:cs="Arial"/>
                <w:b/>
                <w:sz w:val="20"/>
                <w:szCs w:val="20"/>
                <w:lang w:val="es-ES_tradnl"/>
              </w:rPr>
            </w:pPr>
            <w:r>
              <w:rPr>
                <w:rFonts w:ascii="Arial" w:hAnsi="Arial" w:cs="Arial"/>
                <w:b/>
                <w:sz w:val="20"/>
                <w:szCs w:val="20"/>
                <w:lang w:val="es-ES_tradnl"/>
              </w:rPr>
              <w:t>Componente # 4. Apoyo a la Eficiencia Energética</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Resolución Exenta No. 74 emitida por el MINENERGIA, que fija estándares mínimos de EE para refrigeradores de uso doméstico.</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Resolución</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bCs/>
                <w:color w:val="000000"/>
                <w:sz w:val="20"/>
                <w:szCs w:val="20"/>
                <w:lang w:val="es-MX" w:eastAsia="es-CO"/>
              </w:rPr>
              <w:t xml:space="preserve">La Resolución Exenta No. 74 del MINENERGIA, del 10 de enero de 2015, vigente a partir de junio de 2016, constituye parte de las </w:t>
            </w:r>
            <w:r>
              <w:rPr>
                <w:rFonts w:ascii="Arial" w:hAnsi="Arial" w:cs="Arial"/>
                <w:sz w:val="20"/>
                <w:szCs w:val="20"/>
                <w:lang w:val="es-BO"/>
              </w:rPr>
              <w:t>nuevas normativas,  estándares y lineamientos nacionales sobre Eficiencia Energética.</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Acto Administrativo del MINENERGIA que aprueba los estándares mínimos de eficiencia energética para motores eléctricos industriales.</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bCs/>
                <w:color w:val="000000"/>
                <w:sz w:val="20"/>
                <w:szCs w:val="20"/>
                <w:lang w:val="es-MX" w:eastAsia="es-CO"/>
              </w:rPr>
              <w:t xml:space="preserve">El Acto Administrativo del MINENERGIA constituye parte de las </w:t>
            </w:r>
            <w:r>
              <w:rPr>
                <w:rFonts w:ascii="Arial" w:hAnsi="Arial" w:cs="Arial"/>
                <w:sz w:val="20"/>
                <w:szCs w:val="20"/>
                <w:lang w:val="es-BO"/>
              </w:rPr>
              <w:t>nuevas normativas, estándares y lineamientos nacionales sobre Eficiencia Energética definidas.</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Acto Administrativo del  MINENERGIA que fija estándares de consumo de combustible extendidos a vehículos medianos  de carga y de pasajeros</w:t>
            </w:r>
            <w:r>
              <w:rPr>
                <w:rFonts w:ascii="Arial" w:hAnsi="Arial" w:cs="Arial"/>
                <w:vertAlign w:val="superscript"/>
              </w:rPr>
              <w:footnoteReference w:id="1"/>
            </w:r>
            <w:r w:rsidRPr="00EF4F23">
              <w:rPr>
                <w:rFonts w:ascii="Arial" w:hAnsi="Arial" w:cs="Arial"/>
                <w:sz w:val="20"/>
                <w:szCs w:val="20"/>
                <w:lang w:val="es-ES_tradnl"/>
              </w:rPr>
              <w:t>.</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Resolución</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ES_tradnl"/>
              </w:rPr>
              <w:t xml:space="preserve">Acto Administrativo </w:t>
            </w:r>
            <w:r>
              <w:rPr>
                <w:rFonts w:ascii="Arial" w:hAnsi="Arial" w:cs="Arial"/>
                <w:bCs/>
                <w:color w:val="000000"/>
                <w:sz w:val="20"/>
                <w:szCs w:val="20"/>
                <w:lang w:val="es-MX" w:eastAsia="es-CO"/>
              </w:rPr>
              <w:t xml:space="preserve">del MINENERGIA representará parte de las </w:t>
            </w:r>
            <w:r>
              <w:rPr>
                <w:rFonts w:ascii="Arial" w:hAnsi="Arial" w:cs="Arial"/>
                <w:sz w:val="20"/>
                <w:szCs w:val="20"/>
                <w:lang w:val="es-BO"/>
              </w:rPr>
              <w:t>nuevas normativas, estándares y lineamientos nacionales sobre Eficiencia Energética.</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que establece medidas de EE en el Sector Público.</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after="200" w:line="276" w:lineRule="auto"/>
              <w:jc w:val="center"/>
              <w:rPr>
                <w:rFonts w:ascii="Arial" w:hAnsi="Arial" w:cs="Arial"/>
                <w:sz w:val="20"/>
                <w:szCs w:val="20"/>
                <w:lang w:val="es-CO"/>
              </w:rPr>
            </w:pPr>
            <w:r>
              <w:rPr>
                <w:rFonts w:ascii="Arial" w:hAnsi="Arial" w:cs="Arial"/>
                <w:color w:val="000000"/>
                <w:sz w:val="20"/>
                <w:szCs w:val="20"/>
                <w:lang w:val="es-CO"/>
              </w:rPr>
              <w:t xml:space="preserve">El Decreto Supremo Nro 51 del 30 de diciembre de </w:t>
            </w:r>
            <w:r>
              <w:rPr>
                <w:rFonts w:ascii="Arial" w:hAnsi="Arial" w:cs="Arial"/>
                <w:color w:val="000000"/>
                <w:sz w:val="20"/>
                <w:szCs w:val="20"/>
                <w:lang w:val="es-CO"/>
              </w:rPr>
              <w:lastRenderedPageBreak/>
              <w:t>2015 que establece el Reglamento de Alumbrado Público.</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Acta de adjudicación de licitación emitida por el MINENERGIA, sobre de reemplazo de luminarias de alumbrado.</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acta corresponde a la </w:t>
            </w:r>
            <w:r>
              <w:rPr>
                <w:rFonts w:ascii="Arial" w:hAnsi="Arial" w:cs="Arial"/>
                <w:color w:val="000000"/>
                <w:sz w:val="20"/>
                <w:szCs w:val="20"/>
                <w:lang w:val="es-MX" w:eastAsia="es-CO"/>
              </w:rPr>
              <w:t>adjudicación de licitación</w:t>
            </w:r>
            <w:r>
              <w:rPr>
                <w:rFonts w:ascii="Arial" w:hAnsi="Arial" w:cs="Arial"/>
                <w:color w:val="000000"/>
                <w:sz w:val="20"/>
                <w:szCs w:val="20"/>
                <w:lang w:val="es-CO"/>
              </w:rPr>
              <w:t xml:space="preserve"> para el reemplazo de luminarias de alumbrado público de al menos 90.000 en el tramo I y 100.000 en el tramo II.</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Acta de adjudicación de la licitación de Proyectos de Eficiencia Energética en hospitales y edificios públicos emitida por el MINENERGIA.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Acta</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acta corresponde a la adjudicación de licitación de </w:t>
            </w:r>
            <w:r>
              <w:rPr>
                <w:rFonts w:ascii="Arial" w:hAnsi="Arial" w:cs="Arial"/>
                <w:color w:val="000000"/>
                <w:sz w:val="20"/>
                <w:szCs w:val="20"/>
                <w:lang w:val="es-CO"/>
              </w:rPr>
              <w:t>al menos 20 proyectos de Eficiencia Energética en hospitales y edificios públicos.</w:t>
            </w:r>
          </w:p>
        </w:tc>
      </w:tr>
      <w:tr w:rsidR="00402A76" w:rsidRPr="00C251A9"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Informe preparado por el MINENERGIA sobre la difusión de la política de uso de leña y sus derivados para calefacción.</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MX"/>
              </w:rPr>
            </w:pPr>
            <w:r>
              <w:rPr>
                <w:rFonts w:ascii="Arial" w:hAnsi="Arial" w:cs="Arial"/>
                <w:sz w:val="20"/>
                <w:szCs w:val="20"/>
                <w:lang w:val="es-MX"/>
              </w:rPr>
              <w:t>Informe</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El informe presentará evidencia de que la política se ha publicado en la página web del MINENERGIA.</w:t>
            </w:r>
          </w:p>
        </w:tc>
      </w:tr>
      <w:tr w:rsidR="00402A76"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Propuesta de ante proyecto de Ley para el uso de la leña en calefacción.</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Ante proyecto de Ley</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1"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El ante proyecto de ley establecerá los estándares de calidad mínimos para la leña usada para calefacción.</w:t>
            </w:r>
          </w:p>
        </w:tc>
      </w:tr>
      <w:tr w:rsidR="00C8615D" w:rsidTr="00EF4F23">
        <w:trPr>
          <w:trHeight w:val="64"/>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8615D" w:rsidRPr="00EF4F23" w:rsidRDefault="00C8615D">
            <w:pPr>
              <w:pStyle w:val="ListParagraph"/>
              <w:tabs>
                <w:tab w:val="left" w:pos="354"/>
              </w:tabs>
              <w:ind w:left="0"/>
              <w:rPr>
                <w:rFonts w:ascii="Arial" w:hAnsi="Arial" w:cs="Arial"/>
                <w:b/>
                <w:sz w:val="20"/>
                <w:szCs w:val="20"/>
                <w:lang w:val="es-ES_tradnl"/>
              </w:rPr>
            </w:pPr>
            <w:r w:rsidRPr="00EF4F23">
              <w:rPr>
                <w:rFonts w:ascii="Arial" w:hAnsi="Arial" w:cs="Arial"/>
                <w:b/>
                <w:sz w:val="20"/>
                <w:szCs w:val="20"/>
                <w:lang w:val="es-ES_tradnl"/>
              </w:rPr>
              <w:t>Componente # 5. Apoyo a la Integración Energética Regional</w:t>
            </w:r>
          </w:p>
        </w:tc>
      </w:tr>
      <w:tr w:rsidR="00402A76"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rPr>
            </w:pPr>
            <w:r>
              <w:rPr>
                <w:rFonts w:ascii="Arial" w:hAnsi="Arial" w:cs="Arial"/>
                <w:sz w:val="20"/>
                <w:szCs w:val="20"/>
              </w:rPr>
              <w:t>Informe Anual de Seguimiento de Política Nacional 2050  preparado por el MINENERGIA.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3"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sz w:val="20"/>
                <w:szCs w:val="20"/>
                <w:lang w:val="es-BO"/>
              </w:rPr>
              <w:t xml:space="preserve">El informe contendrá información de al menos 2 acciones del lineamiento N°6 sobre “Promover un intercambio regional eficiente que aumente la flexibilidad del sistema eléctrico”, de acuerdo a la </w:t>
            </w:r>
            <w:r>
              <w:rPr>
                <w:rFonts w:ascii="Arial" w:hAnsi="Arial" w:cs="Arial"/>
                <w:color w:val="000000"/>
                <w:sz w:val="20"/>
                <w:szCs w:val="20"/>
                <w:lang w:val="es-MX" w:eastAsia="es-CO"/>
              </w:rPr>
              <w:t>Política Nacional 2050</w:t>
            </w:r>
            <w:r>
              <w:rPr>
                <w:rFonts w:ascii="Arial" w:hAnsi="Arial" w:cs="Arial"/>
                <w:sz w:val="20"/>
                <w:szCs w:val="20"/>
                <w:lang w:val="es-BO"/>
              </w:rPr>
              <w:t>.</w:t>
            </w:r>
          </w:p>
        </w:tc>
      </w:tr>
      <w:tr w:rsidR="00402A76" w:rsidTr="00EF4F23">
        <w:trPr>
          <w:trHeight w:val="6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rsidP="00C8615D">
            <w:pPr>
              <w:pStyle w:val="ListParagraph"/>
              <w:numPr>
                <w:ilvl w:val="0"/>
                <w:numId w:val="29"/>
              </w:numPr>
              <w:tabs>
                <w:tab w:val="left" w:pos="354"/>
              </w:tabs>
              <w:ind w:left="5" w:hanging="5"/>
              <w:rPr>
                <w:rFonts w:ascii="Arial" w:hAnsi="Arial" w:cs="Arial"/>
                <w:sz w:val="20"/>
                <w:szCs w:val="20"/>
              </w:rPr>
            </w:pPr>
            <w:r>
              <w:rPr>
                <w:rFonts w:ascii="Arial" w:hAnsi="Arial" w:cs="Arial"/>
                <w:sz w:val="20"/>
                <w:szCs w:val="20"/>
              </w:rPr>
              <w:t>Decreto Supremo sobre intercambios internacionales de energía eléctrica.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MX"/>
              </w:rPr>
            </w:pPr>
            <w:r>
              <w:rPr>
                <w:rFonts w:ascii="Arial" w:hAnsi="Arial" w:cs="Arial"/>
                <w:sz w:val="20"/>
                <w:szCs w:val="20"/>
                <w:lang w:val="es-MX"/>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3"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color w:val="000000"/>
                <w:sz w:val="20"/>
                <w:szCs w:val="20"/>
                <w:lang w:val="es-MX" w:eastAsia="es-CO"/>
              </w:rPr>
              <w:t>El Decreto Supremo definirá el reglamento para los intercambios internacionales de energía eléctrica.</w:t>
            </w:r>
          </w:p>
        </w:tc>
      </w:tr>
      <w:tr w:rsidR="00402A76" w:rsidTr="00EF4F23">
        <w:trPr>
          <w:trHeight w:val="692"/>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7 de  2015 emitido por el MINENERGIA, que autoriza la exportación de energía eléctrica a Argentina.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3" w:type="pct"/>
            <w:tcBorders>
              <w:top w:val="single" w:sz="4" w:space="0" w:color="000000"/>
              <w:left w:val="single" w:sz="4" w:space="0" w:color="000000"/>
              <w:bottom w:val="single" w:sz="4" w:space="0" w:color="000000"/>
              <w:right w:val="single" w:sz="4" w:space="0" w:color="000000"/>
            </w:tcBorders>
            <w:hideMark/>
          </w:tcPr>
          <w:p w:rsidR="00C8615D" w:rsidRDefault="00C8615D">
            <w:pPr>
              <w:spacing w:after="200" w:line="276" w:lineRule="auto"/>
              <w:jc w:val="center"/>
              <w:rPr>
                <w:rFonts w:ascii="Arial" w:hAnsi="Arial" w:cs="Arial"/>
                <w:sz w:val="20"/>
                <w:szCs w:val="20"/>
                <w:lang w:val="es-MX"/>
              </w:rPr>
            </w:pPr>
            <w:r>
              <w:rPr>
                <w:rFonts w:ascii="Arial" w:hAnsi="Arial" w:cs="Arial"/>
                <w:color w:val="000000"/>
                <w:sz w:val="20"/>
                <w:szCs w:val="20"/>
                <w:lang w:val="es-MX"/>
              </w:rPr>
              <w:t>Decreto 7 del 19 de junio del 2015 del MINENERGIA, autoriza a AES Gener (Chile) a exportar energía eléctrica a Argentina.</w:t>
            </w:r>
          </w:p>
        </w:tc>
      </w:tr>
      <w:tr w:rsidR="00402A76" w:rsidTr="00EF4F23">
        <w:trPr>
          <w:trHeight w:val="94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lastRenderedPageBreak/>
              <w:t>Oficio presentado por el MINENERGIA sobre la venta de energía eléctrica a Argentina.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Informe</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w:t>
            </w:r>
          </w:p>
        </w:tc>
        <w:tc>
          <w:tcPr>
            <w:tcW w:w="1273"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sz w:val="20"/>
                <w:szCs w:val="20"/>
                <w:lang w:val="es-BO"/>
              </w:rPr>
            </w:pPr>
            <w:r>
              <w:rPr>
                <w:rFonts w:ascii="Arial" w:hAnsi="Arial" w:cs="Arial"/>
                <w:color w:val="000000"/>
                <w:sz w:val="20"/>
                <w:szCs w:val="20"/>
                <w:lang w:val="es-MX"/>
              </w:rPr>
              <w:t>El oficio presentará el informe del 12 febrero 2016, emitido por CDEC SING, de venta de energía eléctrica de AES Gener (Chile) a CAMMESA de Argentina.</w:t>
            </w:r>
          </w:p>
        </w:tc>
      </w:tr>
      <w:tr w:rsidR="00402A76" w:rsidTr="00EF4F23">
        <w:trPr>
          <w:trHeight w:val="944"/>
          <w:jc w:val="center"/>
        </w:trPr>
        <w:tc>
          <w:tcPr>
            <w:tcW w:w="1896" w:type="pct"/>
            <w:tcBorders>
              <w:top w:val="single" w:sz="4" w:space="0" w:color="000000"/>
              <w:left w:val="single" w:sz="4" w:space="0" w:color="000000"/>
              <w:bottom w:val="single" w:sz="4" w:space="0" w:color="000000"/>
              <w:right w:val="single" w:sz="4" w:space="0" w:color="000000"/>
            </w:tcBorders>
            <w:vAlign w:val="center"/>
            <w:hideMark/>
          </w:tcPr>
          <w:p w:rsidR="00C8615D" w:rsidRPr="00EF4F23" w:rsidRDefault="00C8615D" w:rsidP="00C8615D">
            <w:pPr>
              <w:pStyle w:val="ListParagraph"/>
              <w:numPr>
                <w:ilvl w:val="0"/>
                <w:numId w:val="29"/>
              </w:numPr>
              <w:tabs>
                <w:tab w:val="left" w:pos="354"/>
              </w:tabs>
              <w:ind w:left="5" w:hanging="5"/>
              <w:rPr>
                <w:rFonts w:ascii="Arial" w:hAnsi="Arial" w:cs="Arial"/>
                <w:sz w:val="20"/>
                <w:szCs w:val="20"/>
                <w:lang w:val="es-ES_tradnl"/>
              </w:rPr>
            </w:pPr>
            <w:r w:rsidRPr="00EF4F23">
              <w:rPr>
                <w:rFonts w:ascii="Arial" w:hAnsi="Arial" w:cs="Arial"/>
                <w:sz w:val="20"/>
                <w:szCs w:val="20"/>
                <w:lang w:val="es-ES_tradnl"/>
              </w:rPr>
              <w:t>Decreto Supremo dell MINENERGIA sobre exportación de energía eléctrica.</w:t>
            </w:r>
          </w:p>
        </w:tc>
        <w:tc>
          <w:tcPr>
            <w:tcW w:w="780"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Decreto</w:t>
            </w:r>
          </w:p>
        </w:tc>
        <w:tc>
          <w:tcPr>
            <w:tcW w:w="350" w:type="pct"/>
            <w:gridSpan w:val="2"/>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52" w:type="pct"/>
            <w:gridSpan w:val="3"/>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0</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C8615D" w:rsidRDefault="00C8615D">
            <w:pPr>
              <w:jc w:val="center"/>
              <w:rPr>
                <w:rFonts w:ascii="Arial" w:hAnsi="Arial" w:cs="Arial"/>
                <w:sz w:val="20"/>
                <w:szCs w:val="20"/>
                <w:lang w:val="es-BO"/>
              </w:rPr>
            </w:pPr>
            <w:r>
              <w:rPr>
                <w:rFonts w:ascii="Arial" w:hAnsi="Arial" w:cs="Arial"/>
                <w:sz w:val="20"/>
                <w:szCs w:val="20"/>
                <w:lang w:val="es-BO"/>
              </w:rPr>
              <w:t>1</w:t>
            </w:r>
          </w:p>
        </w:tc>
        <w:tc>
          <w:tcPr>
            <w:tcW w:w="1273" w:type="pct"/>
            <w:tcBorders>
              <w:top w:val="single" w:sz="4" w:space="0" w:color="000000"/>
              <w:left w:val="single" w:sz="4" w:space="0" w:color="000000"/>
              <w:bottom w:val="single" w:sz="4" w:space="0" w:color="000000"/>
              <w:right w:val="single" w:sz="4" w:space="0" w:color="000000"/>
            </w:tcBorders>
            <w:hideMark/>
          </w:tcPr>
          <w:p w:rsidR="00C8615D" w:rsidRDefault="00C8615D">
            <w:pPr>
              <w:spacing w:before="120" w:after="120"/>
              <w:jc w:val="center"/>
              <w:rPr>
                <w:rFonts w:ascii="Arial" w:hAnsi="Arial" w:cs="Arial"/>
                <w:color w:val="000000"/>
                <w:sz w:val="20"/>
                <w:szCs w:val="20"/>
                <w:lang w:val="es-MX"/>
              </w:rPr>
            </w:pPr>
            <w:r>
              <w:rPr>
                <w:rFonts w:ascii="Arial" w:hAnsi="Arial" w:cs="Arial"/>
                <w:color w:val="000000"/>
                <w:sz w:val="20"/>
                <w:szCs w:val="20"/>
                <w:lang w:val="es-MX" w:eastAsia="es-CO"/>
              </w:rPr>
              <w:t>El decreto del MINENERGIA tendrá como fin facilitar los procesos de autorización de exportación</w:t>
            </w:r>
          </w:p>
        </w:tc>
      </w:tr>
    </w:tbl>
    <w:p w:rsidR="00C419B8" w:rsidRPr="002B384A" w:rsidRDefault="00C419B8" w:rsidP="00C419B8">
      <w:pPr>
        <w:pStyle w:val="ListParagraph"/>
        <w:spacing w:before="120" w:after="120"/>
        <w:ind w:left="540"/>
        <w:contextualSpacing w:val="0"/>
        <w:jc w:val="both"/>
        <w:rPr>
          <w:rFonts w:ascii="Arial" w:hAnsi="Arial" w:cs="Arial"/>
          <w:b/>
          <w:bCs/>
          <w:lang w:val="es-ES_tradnl"/>
        </w:rPr>
      </w:pPr>
    </w:p>
    <w:p w:rsidR="00C419B8" w:rsidRPr="001C59A0" w:rsidRDefault="00C419B8" w:rsidP="00C419B8">
      <w:pPr>
        <w:pStyle w:val="ListParagraph"/>
        <w:numPr>
          <w:ilvl w:val="0"/>
          <w:numId w:val="5"/>
        </w:numPr>
        <w:spacing w:before="120" w:after="120"/>
        <w:ind w:left="540" w:hanging="540"/>
        <w:contextualSpacing w:val="0"/>
        <w:jc w:val="both"/>
        <w:rPr>
          <w:rFonts w:ascii="Arial" w:hAnsi="Arial" w:cs="Arial"/>
          <w:b/>
          <w:bCs/>
          <w:lang w:val="es-ES"/>
        </w:rPr>
      </w:pPr>
      <w:r w:rsidRPr="001C59A0">
        <w:rPr>
          <w:rFonts w:ascii="Arial" w:hAnsi="Arial" w:cs="Arial"/>
          <w:b/>
          <w:bCs/>
          <w:lang w:val="es-ES"/>
        </w:rPr>
        <w:t>Recolección de la información</w:t>
      </w:r>
      <w:bookmarkEnd w:id="1"/>
    </w:p>
    <w:p w:rsidR="00C419B8" w:rsidRPr="001C59A0" w:rsidRDefault="00802F10" w:rsidP="00C419B8">
      <w:pPr>
        <w:pStyle w:val="ListParagraph"/>
        <w:numPr>
          <w:ilvl w:val="1"/>
          <w:numId w:val="4"/>
        </w:numPr>
        <w:spacing w:before="120" w:after="120"/>
        <w:ind w:left="540" w:hanging="540"/>
        <w:contextualSpacing w:val="0"/>
        <w:jc w:val="both"/>
        <w:rPr>
          <w:rFonts w:ascii="Arial" w:hAnsi="Arial" w:cs="Arial"/>
          <w:lang w:val="es-CO"/>
        </w:rPr>
      </w:pPr>
      <w:r w:rsidRPr="001C59A0">
        <w:rPr>
          <w:rFonts w:ascii="Arial" w:hAnsi="Arial" w:cs="Arial"/>
          <w:lang w:val="es-CO"/>
        </w:rPr>
        <w:t xml:space="preserve">El Gobierno de Chile y el Banco han acordado efectuar reuniones de seguimiento en fechas a definir de común acuerdo. </w:t>
      </w:r>
      <w:r w:rsidR="00C419B8" w:rsidRPr="001C59A0">
        <w:rPr>
          <w:rFonts w:ascii="Arial" w:hAnsi="Arial" w:cs="Arial"/>
          <w:lang w:val="es-CO"/>
        </w:rPr>
        <w:t>Dada la modalidad de la operación</w:t>
      </w:r>
      <w:r>
        <w:rPr>
          <w:rFonts w:ascii="Arial" w:hAnsi="Arial" w:cs="Arial"/>
          <w:lang w:val="es-CO"/>
        </w:rPr>
        <w:t>,</w:t>
      </w:r>
      <w:r w:rsidR="00C419B8" w:rsidRPr="001C59A0">
        <w:rPr>
          <w:rFonts w:ascii="Arial" w:hAnsi="Arial" w:cs="Arial"/>
          <w:lang w:val="es-CO"/>
        </w:rPr>
        <w:t xml:space="preserve"> la recolección de la información se lleva</w:t>
      </w:r>
      <w:r w:rsidR="00BB23BB">
        <w:rPr>
          <w:rFonts w:ascii="Arial" w:hAnsi="Arial" w:cs="Arial"/>
          <w:lang w:val="es-CO"/>
        </w:rPr>
        <w:t>rá</w:t>
      </w:r>
      <w:r w:rsidR="00C419B8" w:rsidRPr="001C59A0">
        <w:rPr>
          <w:rFonts w:ascii="Arial" w:hAnsi="Arial" w:cs="Arial"/>
          <w:lang w:val="es-CO"/>
        </w:rPr>
        <w:t xml:space="preserve"> a cabo una sola vez antes del desembolso de cada tramo, y con el objetivo de preparar el informe de cumplimiento que garantice </w:t>
      </w:r>
      <w:r w:rsidR="00BB23BB">
        <w:rPr>
          <w:rFonts w:ascii="Arial" w:hAnsi="Arial" w:cs="Arial"/>
          <w:lang w:val="es-CO"/>
        </w:rPr>
        <w:t xml:space="preserve">la </w:t>
      </w:r>
      <w:r w:rsidR="007F5B8A">
        <w:rPr>
          <w:rFonts w:ascii="Arial" w:hAnsi="Arial" w:cs="Arial"/>
          <w:lang w:val="es-CO"/>
        </w:rPr>
        <w:t>consecución de</w:t>
      </w:r>
      <w:r w:rsidR="00C419B8" w:rsidRPr="001C59A0">
        <w:rPr>
          <w:rFonts w:ascii="Arial" w:hAnsi="Arial" w:cs="Arial"/>
          <w:lang w:val="es-CO"/>
        </w:rPr>
        <w:t xml:space="preserve"> todos los compromisos establecidos en la </w:t>
      </w:r>
      <w:hyperlink r:id="rId9" w:history="1">
        <w:r>
          <w:rPr>
            <w:rStyle w:val="Hyperlink"/>
            <w:rFonts w:ascii="Arial" w:hAnsi="Arial" w:cs="Arial"/>
            <w:lang w:val="es-CO"/>
          </w:rPr>
          <w:t>Matriz de Política</w:t>
        </w:r>
      </w:hyperlink>
      <w:r w:rsidR="008C3C38">
        <w:rPr>
          <w:rFonts w:ascii="Arial" w:hAnsi="Arial" w:cs="Arial"/>
          <w:lang w:val="es-CO"/>
        </w:rPr>
        <w:t xml:space="preserve"> </w:t>
      </w:r>
      <w:r w:rsidR="00C419B8" w:rsidRPr="001C59A0">
        <w:rPr>
          <w:rFonts w:ascii="Arial" w:hAnsi="Arial" w:cs="Arial"/>
          <w:lang w:val="es-CO"/>
        </w:rPr>
        <w:t xml:space="preserve">y </w:t>
      </w:r>
      <w:r>
        <w:rPr>
          <w:rFonts w:ascii="Arial" w:hAnsi="Arial" w:cs="Arial"/>
          <w:lang w:val="es-CO"/>
        </w:rPr>
        <w:t xml:space="preserve">los indicadores de impacto y de resultados contenidos en la </w:t>
      </w:r>
      <w:hyperlink r:id="rId10" w:history="1">
        <w:r w:rsidRPr="00802F10">
          <w:rPr>
            <w:rStyle w:val="Hyperlink"/>
            <w:rFonts w:ascii="Arial" w:hAnsi="Arial" w:cs="Arial"/>
            <w:lang w:val="es-CO"/>
          </w:rPr>
          <w:t xml:space="preserve">Matriz de </w:t>
        </w:r>
        <w:r w:rsidR="00C419B8" w:rsidRPr="00802F10">
          <w:rPr>
            <w:rStyle w:val="Hyperlink"/>
            <w:rFonts w:ascii="Arial" w:hAnsi="Arial" w:cs="Arial"/>
            <w:lang w:val="es-CO"/>
          </w:rPr>
          <w:t>Resultados</w:t>
        </w:r>
      </w:hyperlink>
      <w:r w:rsidR="00C419B8" w:rsidRPr="001C59A0">
        <w:rPr>
          <w:rFonts w:ascii="Arial" w:hAnsi="Arial" w:cs="Arial"/>
          <w:lang w:val="es-CO"/>
        </w:rPr>
        <w:t xml:space="preserve">, </w:t>
      </w:r>
      <w:r>
        <w:rPr>
          <w:rFonts w:ascii="Arial" w:hAnsi="Arial" w:cs="Arial"/>
          <w:lang w:val="es-CO"/>
        </w:rPr>
        <w:t xml:space="preserve">así como </w:t>
      </w:r>
      <w:r w:rsidRPr="001C59A0">
        <w:rPr>
          <w:rFonts w:ascii="Arial" w:hAnsi="Arial" w:cs="Arial"/>
          <w:lang w:val="es-CO"/>
        </w:rPr>
        <w:t xml:space="preserve"> </w:t>
      </w:r>
      <w:r w:rsidR="00C419B8" w:rsidRPr="001C59A0">
        <w:rPr>
          <w:rFonts w:ascii="Arial" w:hAnsi="Arial" w:cs="Arial"/>
          <w:lang w:val="es-CO"/>
        </w:rPr>
        <w:t>que se ha</w:t>
      </w:r>
      <w:r>
        <w:rPr>
          <w:rFonts w:ascii="Arial" w:hAnsi="Arial" w:cs="Arial"/>
          <w:lang w:val="es-CO"/>
        </w:rPr>
        <w:t>yan</w:t>
      </w:r>
      <w:r w:rsidR="00C419B8" w:rsidRPr="001C59A0">
        <w:rPr>
          <w:rFonts w:ascii="Arial" w:hAnsi="Arial" w:cs="Arial"/>
          <w:lang w:val="es-CO"/>
        </w:rPr>
        <w:t xml:space="preserve"> proporcionado todos los documentos establecidos como </w:t>
      </w:r>
      <w:hyperlink r:id="rId11" w:history="1">
        <w:r w:rsidRPr="00802F10">
          <w:rPr>
            <w:rStyle w:val="Hyperlink"/>
            <w:rFonts w:ascii="Arial" w:hAnsi="Arial" w:cs="Arial"/>
            <w:lang w:val="es-CO"/>
          </w:rPr>
          <w:t>M</w:t>
        </w:r>
        <w:r w:rsidR="00C419B8" w:rsidRPr="00802F10">
          <w:rPr>
            <w:rStyle w:val="Hyperlink"/>
            <w:rFonts w:ascii="Arial" w:hAnsi="Arial" w:cs="Arial"/>
            <w:lang w:val="es-CO"/>
          </w:rPr>
          <w:t xml:space="preserve">edios de </w:t>
        </w:r>
        <w:r w:rsidRPr="00802F10">
          <w:rPr>
            <w:rStyle w:val="Hyperlink"/>
            <w:rFonts w:ascii="Arial" w:hAnsi="Arial" w:cs="Arial"/>
            <w:lang w:val="es-CO"/>
          </w:rPr>
          <w:t>V</w:t>
        </w:r>
        <w:r w:rsidR="00C419B8" w:rsidRPr="00802F10">
          <w:rPr>
            <w:rStyle w:val="Hyperlink"/>
            <w:rFonts w:ascii="Arial" w:hAnsi="Arial" w:cs="Arial"/>
            <w:lang w:val="es-CO"/>
          </w:rPr>
          <w:t>erificación</w:t>
        </w:r>
      </w:hyperlink>
      <w:r w:rsidR="00C419B8" w:rsidRPr="001C59A0">
        <w:rPr>
          <w:rFonts w:ascii="Arial" w:hAnsi="Arial" w:cs="Arial"/>
          <w:lang w:val="es-CO"/>
        </w:rPr>
        <w:t xml:space="preserve">. </w:t>
      </w:r>
    </w:p>
    <w:p w:rsidR="00C419B8" w:rsidRPr="001C59A0" w:rsidRDefault="00C419B8" w:rsidP="0005070E">
      <w:pPr>
        <w:pStyle w:val="ListParagraph"/>
        <w:numPr>
          <w:ilvl w:val="1"/>
          <w:numId w:val="4"/>
        </w:numPr>
        <w:spacing w:before="120" w:after="120"/>
        <w:contextualSpacing w:val="0"/>
        <w:jc w:val="both"/>
        <w:rPr>
          <w:rFonts w:ascii="Arial" w:hAnsi="Arial" w:cs="Arial"/>
          <w:lang w:val="es-CO"/>
        </w:rPr>
      </w:pPr>
      <w:r w:rsidRPr="001C59A0">
        <w:rPr>
          <w:rFonts w:ascii="Arial" w:hAnsi="Arial" w:cs="Arial"/>
          <w:lang w:val="es-CO"/>
        </w:rPr>
        <w:t xml:space="preserve">El BID seguirá apoyando al Gobierno de Chile en el cumplimiento de los compromisos de política mediante recursos de Cooperación Técnica (CT) no reembolsable a ser aprobados en el </w:t>
      </w:r>
      <w:r w:rsidR="0005070E">
        <w:rPr>
          <w:rFonts w:ascii="Arial" w:hAnsi="Arial" w:cs="Arial"/>
          <w:lang w:val="es-CO"/>
        </w:rPr>
        <w:t>cuarto</w:t>
      </w:r>
      <w:r w:rsidRPr="001C59A0">
        <w:rPr>
          <w:rFonts w:ascii="Arial" w:hAnsi="Arial" w:cs="Arial"/>
          <w:lang w:val="es-CO"/>
        </w:rPr>
        <w:t xml:space="preserve"> trimestre de 2016. Con recursos de dicha CT se apoya</w:t>
      </w:r>
      <w:r w:rsidR="0005070E" w:rsidRPr="0005070E">
        <w:rPr>
          <w:rFonts w:ascii="Arial" w:hAnsi="Arial" w:cs="Arial"/>
          <w:lang w:val="es-CO"/>
        </w:rPr>
        <w:t>rá</w:t>
      </w:r>
      <w:r w:rsidRPr="001C59A0">
        <w:rPr>
          <w:rFonts w:ascii="Arial" w:hAnsi="Arial" w:cs="Arial"/>
          <w:lang w:val="es-CO"/>
        </w:rPr>
        <w:t xml:space="preserve"> al gobierno en las actividades de cumplimiento, seguimiento y de coordinación necesarias. </w:t>
      </w:r>
    </w:p>
    <w:p w:rsidR="00C419B8" w:rsidRDefault="00C419B8" w:rsidP="00C419B8">
      <w:pPr>
        <w:pStyle w:val="Title"/>
        <w:tabs>
          <w:tab w:val="clear" w:pos="1440"/>
          <w:tab w:val="clear" w:pos="3060"/>
        </w:tabs>
        <w:spacing w:before="120" w:after="120"/>
        <w:ind w:left="720"/>
        <w:jc w:val="both"/>
        <w:outlineLvl w:val="9"/>
        <w:rPr>
          <w:rFonts w:ascii="Arial" w:hAnsi="Arial" w:cs="Arial"/>
          <w:lang w:val="es-CO"/>
        </w:rPr>
      </w:pPr>
    </w:p>
    <w:p w:rsidR="00802F10" w:rsidRPr="008A78D3" w:rsidRDefault="00802F10" w:rsidP="00C419B8">
      <w:pPr>
        <w:pStyle w:val="Title"/>
        <w:tabs>
          <w:tab w:val="clear" w:pos="1440"/>
          <w:tab w:val="clear" w:pos="3060"/>
        </w:tabs>
        <w:spacing w:before="120" w:after="120"/>
        <w:ind w:left="720"/>
        <w:jc w:val="both"/>
        <w:outlineLvl w:val="9"/>
        <w:rPr>
          <w:rFonts w:ascii="Arial" w:hAnsi="Arial" w:cs="Arial"/>
          <w:lang w:val="es-CO"/>
        </w:rPr>
      </w:pPr>
    </w:p>
    <w:p w:rsidR="00C419B8" w:rsidRPr="001C59A0" w:rsidRDefault="00C419B8" w:rsidP="00C419B8">
      <w:pPr>
        <w:pStyle w:val="FirstHeading"/>
        <w:keepNext w:val="0"/>
        <w:widowControl w:val="0"/>
        <w:numPr>
          <w:ilvl w:val="0"/>
          <w:numId w:val="4"/>
        </w:numPr>
        <w:tabs>
          <w:tab w:val="clear" w:pos="90"/>
        </w:tabs>
        <w:ind w:left="540" w:hanging="540"/>
        <w:rPr>
          <w:rFonts w:ascii="Arial" w:hAnsi="Arial" w:cs="Arial"/>
          <w:szCs w:val="24"/>
        </w:rPr>
      </w:pPr>
      <w:r w:rsidRPr="001C59A0">
        <w:rPr>
          <w:rFonts w:ascii="Arial" w:hAnsi="Arial" w:cs="Arial"/>
          <w:szCs w:val="24"/>
        </w:rPr>
        <w:t>Evaluación</w:t>
      </w:r>
    </w:p>
    <w:p w:rsidR="00C419B8" w:rsidRPr="001C59A0" w:rsidRDefault="00C419B8" w:rsidP="00C419B8">
      <w:pPr>
        <w:pStyle w:val="BodyText2"/>
        <w:numPr>
          <w:ilvl w:val="1"/>
          <w:numId w:val="4"/>
        </w:numPr>
        <w:tabs>
          <w:tab w:val="left" w:pos="0"/>
          <w:tab w:val="left" w:pos="720"/>
        </w:tabs>
        <w:spacing w:before="120" w:line="240" w:lineRule="auto"/>
        <w:ind w:left="540" w:hanging="540"/>
        <w:jc w:val="both"/>
        <w:rPr>
          <w:rFonts w:ascii="Arial" w:hAnsi="Arial" w:cs="Arial"/>
          <w:szCs w:val="24"/>
          <w:lang w:val="es-ES"/>
        </w:rPr>
      </w:pPr>
      <w:r w:rsidRPr="001C59A0">
        <w:rPr>
          <w:rFonts w:ascii="Arial" w:hAnsi="Arial" w:cs="Arial"/>
          <w:szCs w:val="24"/>
          <w:lang w:val="es-ES"/>
        </w:rPr>
        <w:t xml:space="preserve">En esta sección se presenta la metodología de evaluación del programa, partiendo de las preguntas de evaluación, </w:t>
      </w:r>
      <w:r w:rsidRPr="001C59A0">
        <w:rPr>
          <w:rFonts w:ascii="Arial" w:eastAsia="Arial Unicode MS" w:hAnsi="Arial" w:cs="Arial"/>
          <w:bCs/>
          <w:szCs w:val="24"/>
          <w:lang w:val="es-ES"/>
        </w:rPr>
        <w:t>describiendo</w:t>
      </w:r>
      <w:r w:rsidRPr="001C59A0">
        <w:rPr>
          <w:rFonts w:ascii="Arial" w:hAnsi="Arial" w:cs="Arial"/>
          <w:szCs w:val="24"/>
          <w:lang w:val="es-ES"/>
        </w:rPr>
        <w:t xml:space="preserve"> el alcance y los mecanismos de recolección de información</w:t>
      </w:r>
      <w:r w:rsidR="0005070E">
        <w:rPr>
          <w:rFonts w:ascii="Arial" w:hAnsi="Arial" w:cs="Arial"/>
          <w:szCs w:val="24"/>
          <w:lang w:val="es-ES"/>
        </w:rPr>
        <w:t>,</w:t>
      </w:r>
      <w:r w:rsidRPr="001C59A0">
        <w:rPr>
          <w:rFonts w:ascii="Arial" w:hAnsi="Arial" w:cs="Arial"/>
          <w:szCs w:val="24"/>
          <w:lang w:val="es-ES"/>
        </w:rPr>
        <w:t xml:space="preserve"> y </w:t>
      </w:r>
      <w:r w:rsidRPr="001C59A0">
        <w:rPr>
          <w:rFonts w:ascii="Arial" w:hAnsi="Arial" w:cs="Arial"/>
          <w:bCs/>
          <w:szCs w:val="24"/>
          <w:lang w:val="es-ES"/>
        </w:rPr>
        <w:t>presentando</w:t>
      </w:r>
      <w:r w:rsidRPr="001C59A0">
        <w:rPr>
          <w:rFonts w:ascii="Arial" w:hAnsi="Arial" w:cs="Arial"/>
          <w:szCs w:val="24"/>
          <w:lang w:val="es-ES"/>
        </w:rPr>
        <w:t xml:space="preserve"> los indicadores de resultado e impacto definidos.</w:t>
      </w:r>
    </w:p>
    <w:p w:rsidR="00C419B8" w:rsidRPr="001C59A0" w:rsidRDefault="00C419B8" w:rsidP="00C419B8">
      <w:pPr>
        <w:pStyle w:val="Paragraph"/>
        <w:widowControl w:val="0"/>
        <w:numPr>
          <w:ilvl w:val="0"/>
          <w:numId w:val="3"/>
        </w:numPr>
        <w:tabs>
          <w:tab w:val="left" w:pos="0"/>
        </w:tabs>
        <w:ind w:left="540" w:hanging="540"/>
        <w:rPr>
          <w:rFonts w:ascii="Arial" w:hAnsi="Arial" w:cs="Arial"/>
          <w:b/>
          <w:spacing w:val="-3"/>
          <w:szCs w:val="24"/>
          <w:lang w:val="es-ES"/>
        </w:rPr>
      </w:pPr>
      <w:r w:rsidRPr="001C59A0">
        <w:rPr>
          <w:rFonts w:ascii="Arial" w:hAnsi="Arial" w:cs="Arial"/>
          <w:b/>
          <w:spacing w:val="-3"/>
          <w:szCs w:val="24"/>
          <w:lang w:val="es-ES"/>
        </w:rPr>
        <w:t>Principales preguntas de evaluación.</w:t>
      </w:r>
    </w:p>
    <w:p w:rsidR="00C419B8" w:rsidRPr="001C59A0" w:rsidRDefault="00C419B8" w:rsidP="00C419B8">
      <w:pPr>
        <w:pStyle w:val="Paragraph"/>
        <w:numPr>
          <w:ilvl w:val="1"/>
          <w:numId w:val="4"/>
        </w:numPr>
        <w:tabs>
          <w:tab w:val="left" w:pos="0"/>
        </w:tabs>
        <w:spacing w:before="100" w:after="100"/>
        <w:ind w:left="540" w:hanging="540"/>
        <w:rPr>
          <w:rFonts w:ascii="Arial" w:hAnsi="Arial" w:cs="Arial"/>
          <w:szCs w:val="24"/>
          <w:lang w:val="es-ES"/>
        </w:rPr>
      </w:pPr>
      <w:r w:rsidRPr="001C59A0">
        <w:rPr>
          <w:rFonts w:ascii="Arial" w:hAnsi="Arial" w:cs="Arial"/>
          <w:szCs w:val="24"/>
          <w:lang w:val="es-ES"/>
        </w:rPr>
        <w:t>Las siguientes principales preguntas serán empleadas para guiar el proceso de evaluación de las actividades apoyadas por el programa:</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
        </w:rPr>
        <w:t>¿</w:t>
      </w:r>
      <w:r w:rsidRPr="001C59A0">
        <w:rPr>
          <w:rFonts w:ascii="Arial" w:hAnsi="Arial" w:cs="Arial"/>
          <w:lang w:val="es-ES_tradnl"/>
        </w:rPr>
        <w:t>Se ha logrado consolidar una Política Energética de Largo Plazo validada por la sociedad chilena mediante un proceso ampliamente participativo?</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 xml:space="preserve">¿Se ha impulsado la competencia en el mercado energético y mejorar y simplificar los esquemas y procesos tarifarios de monopolios naturales a fin </w:t>
      </w:r>
      <w:r w:rsidRPr="001C59A0">
        <w:rPr>
          <w:rFonts w:ascii="Arial" w:hAnsi="Arial" w:cs="Arial"/>
          <w:lang w:val="es-ES_tradnl"/>
        </w:rPr>
        <w:lastRenderedPageBreak/>
        <w:t>de facilitar la competencia, la incorporación de ERNC y la reducción de las tarifas de los consumidores?</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 xml:space="preserve">¿Se </w:t>
      </w:r>
      <w:r w:rsidR="0005070E">
        <w:rPr>
          <w:rFonts w:ascii="Arial" w:hAnsi="Arial" w:cs="Arial"/>
          <w:lang w:val="es-ES_tradnl"/>
        </w:rPr>
        <w:t xml:space="preserve">ha </w:t>
      </w:r>
      <w:r w:rsidRPr="001C59A0">
        <w:rPr>
          <w:rFonts w:ascii="Arial" w:hAnsi="Arial" w:cs="Arial"/>
          <w:lang w:val="es-ES_tradnl"/>
        </w:rPr>
        <w:t>logrado impulsar la competencia y las inversiones en la generación y transmisión eléctrica con el fin de ampliar el número de actores relevantes y facilitar la incorporación de capacidad de generación eléctrica limpia en forma competitiva?</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¿Se ha fortalecido la institucionalidad del sector energético con el fin de mejorar la planificación, monitoreo, regulación, desarrollo, transparencia y acceso a la Información?</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¿Se ha fomentado el desarrollo de las Energías Renovables (ER) a partir de mejoras normativas e institucionales?</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¿Se ha incrementado la participación de ERNC contribuyendo de esta manera a la consecución de la meta de un 20% de inyección de ERNC para el 2025?</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¿Se ha fomentado el uso eficiente de la energía que permita lograr una meta de ahorro de 20% al año 2025 de acuerdo a la Agenda de Energía?</w:t>
      </w:r>
    </w:p>
    <w:p w:rsidR="00C419B8" w:rsidRPr="001C59A0" w:rsidRDefault="00C419B8" w:rsidP="00C419B8">
      <w:pPr>
        <w:pStyle w:val="ListParagraph"/>
        <w:numPr>
          <w:ilvl w:val="0"/>
          <w:numId w:val="6"/>
        </w:numPr>
        <w:tabs>
          <w:tab w:val="left" w:pos="0"/>
        </w:tabs>
        <w:spacing w:before="120" w:after="120"/>
        <w:ind w:left="540" w:hanging="540"/>
        <w:contextualSpacing w:val="0"/>
        <w:jc w:val="both"/>
        <w:rPr>
          <w:rFonts w:ascii="Arial" w:hAnsi="Arial" w:cs="Arial"/>
          <w:lang w:val="es-ES_tradnl"/>
        </w:rPr>
      </w:pPr>
      <w:r w:rsidRPr="001C59A0">
        <w:rPr>
          <w:rFonts w:ascii="Arial" w:hAnsi="Arial" w:cs="Arial"/>
          <w:lang w:val="es-ES_tradnl"/>
        </w:rPr>
        <w:t>¿Se ha impulsado la integración energética regional considerando la potencialidad y la complementariedad de los recursos energéticos de los países y teniendo en cuenta la seguridad energética nacional?</w:t>
      </w:r>
    </w:p>
    <w:p w:rsidR="00C419B8" w:rsidRPr="001C59A0" w:rsidRDefault="00C419B8" w:rsidP="00C419B8">
      <w:pPr>
        <w:pStyle w:val="Paragraph"/>
        <w:widowControl w:val="0"/>
        <w:numPr>
          <w:ilvl w:val="0"/>
          <w:numId w:val="3"/>
        </w:numPr>
        <w:tabs>
          <w:tab w:val="left" w:pos="0"/>
        </w:tabs>
        <w:ind w:left="540" w:hanging="540"/>
        <w:rPr>
          <w:rFonts w:ascii="Arial" w:hAnsi="Arial" w:cs="Arial"/>
          <w:szCs w:val="24"/>
          <w:lang w:val="es-BO"/>
        </w:rPr>
      </w:pPr>
      <w:r w:rsidRPr="001C59A0">
        <w:rPr>
          <w:rFonts w:ascii="Arial" w:hAnsi="Arial" w:cs="Arial"/>
          <w:b/>
          <w:szCs w:val="24"/>
          <w:lang w:val="es-BO"/>
        </w:rPr>
        <w:t>Conocimiento existente.</w:t>
      </w:r>
      <w:r w:rsidRPr="001C59A0">
        <w:rPr>
          <w:rFonts w:ascii="Arial" w:hAnsi="Arial" w:cs="Arial"/>
          <w:szCs w:val="24"/>
          <w:lang w:val="es-BO"/>
        </w:rPr>
        <w:t xml:space="preserve"> </w:t>
      </w:r>
    </w:p>
    <w:p w:rsidR="00C419B8" w:rsidRPr="001C59A0" w:rsidRDefault="00C419B8" w:rsidP="00C419B8">
      <w:pPr>
        <w:pStyle w:val="BodyText2"/>
        <w:numPr>
          <w:ilvl w:val="1"/>
          <w:numId w:val="4"/>
        </w:numPr>
        <w:tabs>
          <w:tab w:val="left" w:pos="0"/>
          <w:tab w:val="left" w:pos="720"/>
        </w:tabs>
        <w:spacing w:before="120" w:line="240" w:lineRule="auto"/>
        <w:ind w:left="540" w:hanging="540"/>
        <w:jc w:val="both"/>
        <w:rPr>
          <w:rFonts w:ascii="Arial" w:hAnsi="Arial" w:cs="Arial"/>
          <w:szCs w:val="24"/>
          <w:lang w:val="es-ES"/>
        </w:rPr>
      </w:pPr>
      <w:r w:rsidRPr="001C59A0">
        <w:rPr>
          <w:rFonts w:ascii="Arial" w:hAnsi="Arial" w:cs="Arial"/>
          <w:szCs w:val="24"/>
          <w:lang w:val="es-ES"/>
        </w:rPr>
        <w:t xml:space="preserve">Durante el diseño de la preparación se realizó un Análisis Económico (Anexo I) del programa estructurado sobre la base de que las medidas de política que apuntan a mejorar la competencia en la oferta de energía en Chile, incrementar la eficiencia en el uso de la energía, y paralelamente promover una matriz energética menos contaminante. Utilizando la mejor información disponible, se evaluó el programa y se llegó a la conclusión de que el conjunto de medidas de políticas evaluadas tiene efectos positivos tanto desde la perspectiva ambiental en (i) menores emisiones de gases de efecto invernadero, y (ii) menores emisiones de material particulado (menor exposición a contaminación ambiental y mejoras en salud), como desde la perspectiva económica por disminuciones importantes en las tarifas de energía para consumidores residenciales como en la industria y minería, producto de la mayor competencia esperada, y con ello un menor gasto en energía por parte de estos sectores. Cabe señalar que el estudio no incluye un conjunto de beneficios adicionales, como por ejemplo mayor seguridad de suministro energético derivado de una matriz más diversa, y otros beneficios derivados de menores tarifas, o de menores daños ambientales. </w:t>
      </w:r>
    </w:p>
    <w:p w:rsidR="00C419B8" w:rsidRPr="001C59A0" w:rsidRDefault="00C419B8" w:rsidP="00C419B8">
      <w:pPr>
        <w:pStyle w:val="BodyText2"/>
        <w:numPr>
          <w:ilvl w:val="1"/>
          <w:numId w:val="4"/>
        </w:numPr>
        <w:tabs>
          <w:tab w:val="left" w:pos="0"/>
          <w:tab w:val="left" w:pos="720"/>
        </w:tabs>
        <w:spacing w:before="120" w:line="240" w:lineRule="auto"/>
        <w:ind w:left="540" w:hanging="540"/>
        <w:jc w:val="both"/>
        <w:rPr>
          <w:rFonts w:ascii="Arial" w:hAnsi="Arial" w:cs="Arial"/>
          <w:szCs w:val="24"/>
          <w:lang w:val="es-ES"/>
        </w:rPr>
      </w:pPr>
      <w:r w:rsidRPr="001C59A0">
        <w:rPr>
          <w:rFonts w:ascii="Arial" w:hAnsi="Arial" w:cs="Arial"/>
          <w:szCs w:val="24"/>
          <w:lang w:val="es-ES"/>
        </w:rPr>
        <w:t xml:space="preserve">El estudio de análisis económico utiliza un escenario conservador en términos de estimación de beneficios. Luego se cuantifican estos beneficios tanto para los hogares y la industria, así como los beneficios por menor contaminación ambiental, y los convierte a valor presente, obteniéndose ahorros para los hogares e industria en torno a los US$51.000 millones, y beneficios ambientales en torno a los US$2.700 millones, en el período 2015-2050. Finalmente se realiza un ejercicio de evaluación del programa asumiendo menor éxito del mismo, y se obtienen beneficios en dicho caso de US$20.000 </w:t>
      </w:r>
      <w:r w:rsidRPr="001C59A0">
        <w:rPr>
          <w:rFonts w:ascii="Arial" w:hAnsi="Arial" w:cs="Arial"/>
          <w:szCs w:val="24"/>
          <w:lang w:val="es-ES"/>
        </w:rPr>
        <w:lastRenderedPageBreak/>
        <w:t>millones para hogares e industria y de US$1.194 millones en beneficios ambientales, durante el mismo período de análisis.</w:t>
      </w:r>
      <w:r w:rsidR="002C268E">
        <w:rPr>
          <w:rFonts w:ascii="Arial" w:hAnsi="Arial" w:cs="Arial"/>
          <w:szCs w:val="24"/>
          <w:lang w:val="es-ES"/>
        </w:rPr>
        <w:t xml:space="preserve"> Todo este análisis se realizó con una tasa de descuento del 6%.</w:t>
      </w:r>
    </w:p>
    <w:p w:rsidR="00C419B8" w:rsidRPr="001C59A0" w:rsidRDefault="00C419B8" w:rsidP="00C419B8">
      <w:pPr>
        <w:pStyle w:val="Paragraph"/>
        <w:widowControl w:val="0"/>
        <w:numPr>
          <w:ilvl w:val="0"/>
          <w:numId w:val="3"/>
        </w:numPr>
        <w:tabs>
          <w:tab w:val="left" w:pos="0"/>
        </w:tabs>
        <w:ind w:left="540" w:hanging="540"/>
        <w:rPr>
          <w:rFonts w:ascii="Arial" w:hAnsi="Arial" w:cs="Arial"/>
          <w:szCs w:val="24"/>
          <w:lang w:val="es-BO"/>
        </w:rPr>
      </w:pPr>
      <w:r w:rsidRPr="001C59A0">
        <w:rPr>
          <w:rFonts w:ascii="Arial" w:hAnsi="Arial" w:cs="Arial"/>
          <w:b/>
          <w:spacing w:val="-3"/>
          <w:szCs w:val="24"/>
          <w:lang w:val="es-ES"/>
        </w:rPr>
        <w:t>Indicadores</w:t>
      </w:r>
      <w:r w:rsidRPr="001C59A0">
        <w:rPr>
          <w:rFonts w:ascii="Arial" w:hAnsi="Arial" w:cs="Arial"/>
          <w:b/>
          <w:szCs w:val="24"/>
          <w:lang w:val="es-BO"/>
        </w:rPr>
        <w:t xml:space="preserve"> principales para la evaluación.</w:t>
      </w:r>
      <w:r w:rsidRPr="001C59A0">
        <w:rPr>
          <w:rFonts w:ascii="Arial" w:hAnsi="Arial" w:cs="Arial"/>
          <w:szCs w:val="24"/>
          <w:lang w:val="es-BO"/>
        </w:rPr>
        <w:t xml:space="preserve"> </w:t>
      </w:r>
    </w:p>
    <w:p w:rsidR="00C419B8" w:rsidRPr="001C59A0" w:rsidRDefault="00C419B8" w:rsidP="00C419B8">
      <w:pPr>
        <w:pStyle w:val="BodyText2"/>
        <w:numPr>
          <w:ilvl w:val="1"/>
          <w:numId w:val="4"/>
        </w:numPr>
        <w:tabs>
          <w:tab w:val="left" w:pos="0"/>
          <w:tab w:val="left" w:pos="720"/>
        </w:tabs>
        <w:spacing w:before="120" w:line="240" w:lineRule="auto"/>
        <w:ind w:left="540" w:hanging="540"/>
        <w:jc w:val="both"/>
        <w:rPr>
          <w:rFonts w:ascii="Arial" w:hAnsi="Arial" w:cs="Arial"/>
          <w:szCs w:val="24"/>
          <w:lang w:val="es-ES"/>
        </w:rPr>
      </w:pPr>
      <w:r w:rsidRPr="001C59A0">
        <w:rPr>
          <w:rFonts w:ascii="Arial" w:hAnsi="Arial" w:cs="Arial"/>
          <w:szCs w:val="24"/>
          <w:lang w:val="es-ES"/>
        </w:rPr>
        <w:t xml:space="preserve">Los indicadores principales considerados para la evaluación del programa son: </w:t>
      </w:r>
    </w:p>
    <w:tbl>
      <w:tblPr>
        <w:tblW w:w="6092" w:type="pct"/>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977"/>
        <w:gridCol w:w="904"/>
        <w:gridCol w:w="991"/>
        <w:gridCol w:w="4584"/>
      </w:tblGrid>
      <w:tr w:rsidR="008228C7" w:rsidRPr="001C59A0" w:rsidTr="008228C7">
        <w:trPr>
          <w:trHeight w:val="467"/>
          <w:jc w:val="center"/>
        </w:trPr>
        <w:tc>
          <w:tcPr>
            <w:tcW w:w="1082"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Impacto / Indicador de Impacto</w:t>
            </w:r>
          </w:p>
        </w:tc>
        <w:tc>
          <w:tcPr>
            <w:tcW w:w="916"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Unidad de  medida</w:t>
            </w:r>
          </w:p>
        </w:tc>
        <w:tc>
          <w:tcPr>
            <w:tcW w:w="419"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Línea de base (2015)</w:t>
            </w:r>
          </w:p>
        </w:tc>
        <w:tc>
          <w:tcPr>
            <w:tcW w:w="459" w:type="pct"/>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Meta (2019)</w:t>
            </w:r>
          </w:p>
        </w:tc>
        <w:tc>
          <w:tcPr>
            <w:tcW w:w="2124" w:type="pct"/>
            <w:shd w:val="clear" w:color="auto" w:fill="auto"/>
            <w:vAlign w:val="center"/>
          </w:tcPr>
          <w:p w:rsidR="00B47A58" w:rsidRPr="001C59A0" w:rsidRDefault="00B47A58" w:rsidP="00DE4B10">
            <w:pPr>
              <w:jc w:val="center"/>
              <w:rPr>
                <w:rFonts w:ascii="Arial" w:hAnsi="Arial" w:cs="Arial"/>
                <w:b/>
                <w:sz w:val="17"/>
                <w:szCs w:val="17"/>
              </w:rPr>
            </w:pPr>
            <w:r w:rsidRPr="001C59A0">
              <w:rPr>
                <w:rFonts w:ascii="Arial" w:hAnsi="Arial" w:cs="Arial"/>
                <w:b/>
                <w:sz w:val="17"/>
                <w:szCs w:val="17"/>
                <w:lang w:val="es-BO"/>
              </w:rPr>
              <w:t xml:space="preserve">Medios de verificación / </w:t>
            </w:r>
          </w:p>
          <w:p w:rsidR="00B47A58" w:rsidRPr="001C59A0" w:rsidRDefault="00B47A58" w:rsidP="00DE4B10">
            <w:pPr>
              <w:jc w:val="center"/>
              <w:rPr>
                <w:rFonts w:ascii="Arial" w:hAnsi="Arial" w:cs="Arial"/>
                <w:b/>
                <w:sz w:val="17"/>
                <w:szCs w:val="17"/>
              </w:rPr>
            </w:pPr>
            <w:r w:rsidRPr="001C59A0">
              <w:rPr>
                <w:rFonts w:ascii="Arial" w:hAnsi="Arial" w:cs="Arial"/>
                <w:b/>
                <w:sz w:val="17"/>
                <w:szCs w:val="17"/>
                <w:lang w:val="es-CO"/>
              </w:rPr>
              <w:t>Observaciones</w:t>
            </w:r>
          </w:p>
        </w:tc>
      </w:tr>
      <w:tr w:rsidR="00B47A58" w:rsidRPr="00EF4F23" w:rsidTr="00B47A58">
        <w:trPr>
          <w:trHeight w:val="215"/>
          <w:jc w:val="center"/>
        </w:trPr>
        <w:tc>
          <w:tcPr>
            <w:tcW w:w="5000" w:type="pct"/>
            <w:gridSpan w:val="5"/>
            <w:shd w:val="clear" w:color="auto" w:fill="D9D9D9" w:themeFill="background1" w:themeFillShade="D9"/>
          </w:tcPr>
          <w:p w:rsidR="00B47A58" w:rsidRPr="001C59A0" w:rsidRDefault="00B47A58" w:rsidP="00B47A58">
            <w:pPr>
              <w:numPr>
                <w:ilvl w:val="0"/>
                <w:numId w:val="27"/>
              </w:numPr>
              <w:spacing w:before="120" w:after="120"/>
              <w:ind w:left="360"/>
              <w:rPr>
                <w:rFonts w:ascii="Arial" w:hAnsi="Arial" w:cs="Arial"/>
                <w:b/>
                <w:i/>
                <w:sz w:val="17"/>
                <w:szCs w:val="17"/>
                <w:lang w:val="es-BO"/>
              </w:rPr>
            </w:pPr>
            <w:r w:rsidRPr="001C59A0">
              <w:rPr>
                <w:rFonts w:ascii="Arial" w:hAnsi="Arial" w:cs="Arial"/>
                <w:b/>
                <w:i/>
                <w:sz w:val="17"/>
                <w:szCs w:val="17"/>
                <w:lang w:val="es-BO"/>
              </w:rPr>
              <w:t>Reducción en la intensidad energética a nivel nacional</w:t>
            </w:r>
          </w:p>
        </w:tc>
      </w:tr>
      <w:tr w:rsidR="008228C7" w:rsidRPr="00EF4F23" w:rsidTr="008228C7">
        <w:trPr>
          <w:trHeight w:val="278"/>
          <w:jc w:val="center"/>
        </w:trPr>
        <w:tc>
          <w:tcPr>
            <w:tcW w:w="1082"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BO"/>
              </w:rPr>
              <w:t>1.1 Intensidad energética a nivel nacional.</w:t>
            </w:r>
          </w:p>
        </w:tc>
        <w:tc>
          <w:tcPr>
            <w:tcW w:w="916"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MX"/>
              </w:rPr>
              <w:t>Intensidad energética nacional en kcal/PIB (CLP$2008)</w:t>
            </w:r>
          </w:p>
        </w:tc>
        <w:tc>
          <w:tcPr>
            <w:tcW w:w="419" w:type="pct"/>
            <w:vAlign w:val="center"/>
          </w:tcPr>
          <w:p w:rsidR="00B47A58" w:rsidRPr="001C59A0" w:rsidRDefault="00B47A58" w:rsidP="00DE4B10">
            <w:pPr>
              <w:jc w:val="center"/>
              <w:rPr>
                <w:rFonts w:ascii="Arial" w:hAnsi="Arial" w:cs="Arial"/>
                <w:sz w:val="17"/>
                <w:szCs w:val="17"/>
              </w:rPr>
            </w:pPr>
            <w:r w:rsidRPr="001C59A0">
              <w:rPr>
                <w:rFonts w:ascii="Arial" w:hAnsi="Arial" w:cs="Arial"/>
                <w:sz w:val="17"/>
                <w:szCs w:val="17"/>
              </w:rPr>
              <w:t>2,38</w:t>
            </w:r>
          </w:p>
        </w:tc>
        <w:tc>
          <w:tcPr>
            <w:tcW w:w="459" w:type="pct"/>
            <w:vAlign w:val="center"/>
          </w:tcPr>
          <w:p w:rsidR="00B47A58" w:rsidRPr="001C59A0" w:rsidRDefault="00B47A58" w:rsidP="00DE4B10">
            <w:pPr>
              <w:jc w:val="center"/>
              <w:rPr>
                <w:rFonts w:ascii="Arial" w:hAnsi="Arial" w:cs="Arial"/>
                <w:sz w:val="17"/>
                <w:szCs w:val="17"/>
              </w:rPr>
            </w:pPr>
            <w:r w:rsidRPr="001C59A0">
              <w:rPr>
                <w:rFonts w:ascii="Arial" w:hAnsi="Arial" w:cs="Arial"/>
                <w:sz w:val="17"/>
                <w:szCs w:val="17"/>
              </w:rPr>
              <w:t>2,31</w:t>
            </w:r>
          </w:p>
        </w:tc>
        <w:tc>
          <w:tcPr>
            <w:tcW w:w="2124" w:type="pct"/>
            <w:vAlign w:val="center"/>
          </w:tcPr>
          <w:p w:rsidR="00B47A58" w:rsidRPr="001C59A0" w:rsidRDefault="00DD404A" w:rsidP="00DD404A">
            <w:pPr>
              <w:rPr>
                <w:rFonts w:ascii="Arial" w:hAnsi="Arial" w:cs="Arial"/>
                <w:sz w:val="17"/>
                <w:szCs w:val="17"/>
                <w:lang w:val="es-ES"/>
              </w:rPr>
            </w:pPr>
            <w:r w:rsidRPr="001C59A0">
              <w:rPr>
                <w:rFonts w:ascii="Arial" w:hAnsi="Arial" w:cs="Arial"/>
                <w:b/>
                <w:sz w:val="17"/>
                <w:szCs w:val="17"/>
                <w:lang w:val="es-BO"/>
              </w:rPr>
              <w:t xml:space="preserve">Medios de verificación: </w:t>
            </w:r>
            <w:r w:rsidR="00B47A58" w:rsidRPr="001C59A0">
              <w:rPr>
                <w:rFonts w:ascii="Arial" w:hAnsi="Arial" w:cs="Arial"/>
                <w:color w:val="000000"/>
                <w:sz w:val="17"/>
                <w:szCs w:val="17"/>
                <w:lang w:val="es-ES_tradnl"/>
              </w:rPr>
              <w:t xml:space="preserve">Informe de modelo de proyección </w:t>
            </w:r>
            <w:r w:rsidR="00B47A58" w:rsidRPr="001C59A0">
              <w:rPr>
                <w:rFonts w:ascii="Arial" w:hAnsi="Arial" w:cs="Arial"/>
                <w:sz w:val="17"/>
                <w:szCs w:val="17"/>
                <w:lang w:val="es-ES"/>
              </w:rPr>
              <w:t>(MINENERGIA)</w:t>
            </w:r>
          </w:p>
          <w:p w:rsidR="00DD404A" w:rsidRPr="001C59A0" w:rsidRDefault="00DD404A" w:rsidP="00DD404A">
            <w:pPr>
              <w:rPr>
                <w:rFonts w:ascii="Arial" w:hAnsi="Arial" w:cs="Arial"/>
                <w:sz w:val="17"/>
                <w:szCs w:val="17"/>
                <w:lang w:val="es-ES"/>
              </w:rPr>
            </w:pPr>
          </w:p>
          <w:p w:rsidR="00A95993" w:rsidRPr="001C59A0" w:rsidRDefault="00DD404A" w:rsidP="00CF36A8">
            <w:pPr>
              <w:rPr>
                <w:rFonts w:ascii="Arial" w:hAnsi="Arial" w:cs="Arial"/>
                <w:sz w:val="17"/>
                <w:szCs w:val="17"/>
                <w:lang w:val="es-BO"/>
              </w:rPr>
            </w:pPr>
            <w:r w:rsidRPr="001C59A0">
              <w:rPr>
                <w:rFonts w:ascii="Arial" w:hAnsi="Arial" w:cs="Arial"/>
                <w:b/>
                <w:sz w:val="17"/>
                <w:szCs w:val="17"/>
                <w:lang w:val="es-BO"/>
              </w:rPr>
              <w:t>Definición/cálculo:</w:t>
            </w:r>
            <w:r w:rsidR="000D5C45" w:rsidRPr="001C59A0">
              <w:rPr>
                <w:rFonts w:ascii="Arial" w:hAnsi="Arial" w:cs="Arial"/>
                <w:lang w:val="es-ES_tradnl"/>
              </w:rPr>
              <w:t xml:space="preserve"> </w:t>
            </w:r>
            <w:r w:rsidR="00A34AC6" w:rsidRPr="001C59A0">
              <w:rPr>
                <w:rFonts w:ascii="Arial" w:hAnsi="Arial" w:cs="Arial"/>
                <w:sz w:val="17"/>
                <w:szCs w:val="17"/>
                <w:lang w:val="es-BO"/>
              </w:rPr>
              <w:t xml:space="preserve">Consiste en la relación entre el consumo de energía </w:t>
            </w:r>
            <w:r w:rsidR="00A95993" w:rsidRPr="001C59A0">
              <w:rPr>
                <w:rFonts w:ascii="Arial" w:hAnsi="Arial" w:cs="Arial"/>
                <w:sz w:val="17"/>
                <w:szCs w:val="17"/>
                <w:lang w:val="es-BO"/>
              </w:rPr>
              <w:t xml:space="preserve">del país medido </w:t>
            </w:r>
            <w:r w:rsidR="00A34AC6" w:rsidRPr="001C59A0">
              <w:rPr>
                <w:rFonts w:ascii="Arial" w:hAnsi="Arial" w:cs="Arial"/>
                <w:sz w:val="17"/>
                <w:szCs w:val="17"/>
                <w:lang w:val="es-BO"/>
              </w:rPr>
              <w:t>en k</w:t>
            </w:r>
            <w:r w:rsidR="00A95993" w:rsidRPr="001C59A0">
              <w:rPr>
                <w:rFonts w:ascii="Arial" w:hAnsi="Arial" w:cs="Arial"/>
                <w:sz w:val="17"/>
                <w:szCs w:val="17"/>
                <w:lang w:val="es-BO"/>
              </w:rPr>
              <w:t xml:space="preserve">ilo </w:t>
            </w:r>
            <w:r w:rsidR="00A34AC6" w:rsidRPr="001C59A0">
              <w:rPr>
                <w:rFonts w:ascii="Arial" w:hAnsi="Arial" w:cs="Arial"/>
                <w:sz w:val="17"/>
                <w:szCs w:val="17"/>
                <w:lang w:val="es-BO"/>
              </w:rPr>
              <w:t>Cal</w:t>
            </w:r>
            <w:r w:rsidR="00A95993" w:rsidRPr="001C59A0">
              <w:rPr>
                <w:rFonts w:ascii="Arial" w:hAnsi="Arial" w:cs="Arial"/>
                <w:sz w:val="17"/>
                <w:szCs w:val="17"/>
                <w:lang w:val="es-BO"/>
              </w:rPr>
              <w:t>or</w:t>
            </w:r>
            <w:r w:rsidR="00A95993" w:rsidRPr="001C59A0">
              <w:rPr>
                <w:rFonts w:ascii="Arial" w:hAnsi="Arial" w:cs="Arial"/>
                <w:sz w:val="17"/>
                <w:szCs w:val="17"/>
                <w:lang w:val="es-ES_tradnl"/>
              </w:rPr>
              <w:t>ías (kcal)</w:t>
            </w:r>
            <w:r w:rsidR="00A34AC6" w:rsidRPr="001C59A0">
              <w:rPr>
                <w:rFonts w:ascii="Arial" w:hAnsi="Arial" w:cs="Arial"/>
                <w:sz w:val="17"/>
                <w:szCs w:val="17"/>
                <w:lang w:val="es-BO"/>
              </w:rPr>
              <w:t xml:space="preserve"> sobre el </w:t>
            </w:r>
            <w:r w:rsidR="0080052B" w:rsidRPr="001C59A0">
              <w:rPr>
                <w:rFonts w:ascii="Arial" w:hAnsi="Arial" w:cs="Arial"/>
                <w:sz w:val="17"/>
                <w:szCs w:val="17"/>
                <w:lang w:val="es-BO"/>
              </w:rPr>
              <w:t xml:space="preserve">valor </w:t>
            </w:r>
            <w:r w:rsidR="00A34AC6" w:rsidRPr="001C59A0">
              <w:rPr>
                <w:rFonts w:ascii="Arial" w:hAnsi="Arial" w:cs="Arial"/>
                <w:sz w:val="17"/>
                <w:szCs w:val="17"/>
                <w:lang w:val="es-BO"/>
              </w:rPr>
              <w:t xml:space="preserve">del Producto </w:t>
            </w:r>
            <w:r w:rsidR="0080052B" w:rsidRPr="001C59A0">
              <w:rPr>
                <w:rFonts w:ascii="Arial" w:hAnsi="Arial" w:cs="Arial"/>
                <w:sz w:val="17"/>
                <w:szCs w:val="17"/>
                <w:lang w:val="es-BO"/>
              </w:rPr>
              <w:t>I</w:t>
            </w:r>
            <w:r w:rsidR="00A34AC6" w:rsidRPr="001C59A0">
              <w:rPr>
                <w:rFonts w:ascii="Arial" w:hAnsi="Arial" w:cs="Arial"/>
                <w:sz w:val="17"/>
                <w:szCs w:val="17"/>
                <w:lang w:val="es-BO"/>
              </w:rPr>
              <w:t xml:space="preserve">nterno </w:t>
            </w:r>
            <w:r w:rsidR="0080052B" w:rsidRPr="001C59A0">
              <w:rPr>
                <w:rFonts w:ascii="Arial" w:hAnsi="Arial" w:cs="Arial"/>
                <w:sz w:val="17"/>
                <w:szCs w:val="17"/>
                <w:lang w:val="es-BO"/>
              </w:rPr>
              <w:t>B</w:t>
            </w:r>
            <w:r w:rsidR="00A34AC6" w:rsidRPr="001C59A0">
              <w:rPr>
                <w:rFonts w:ascii="Arial" w:hAnsi="Arial" w:cs="Arial"/>
                <w:sz w:val="17"/>
                <w:szCs w:val="17"/>
                <w:lang w:val="es-BO"/>
              </w:rPr>
              <w:t xml:space="preserve">ruto (PIB). </w:t>
            </w:r>
          </w:p>
          <w:p w:rsidR="005B44EB" w:rsidRPr="001C59A0" w:rsidRDefault="00CF36A8" w:rsidP="00CF36A8">
            <w:pPr>
              <w:rPr>
                <w:rFonts w:ascii="Arial" w:hAnsi="Arial" w:cs="Arial"/>
                <w:sz w:val="17"/>
                <w:szCs w:val="17"/>
                <w:lang w:val="es-BO"/>
              </w:rPr>
            </w:pPr>
            <w:r w:rsidRPr="001C59A0">
              <w:rPr>
                <w:rFonts w:ascii="Arial" w:hAnsi="Arial" w:cs="Arial"/>
                <w:sz w:val="17"/>
                <w:szCs w:val="17"/>
                <w:lang w:val="es-BO"/>
              </w:rPr>
              <w:t>La línea de base y la meta fue</w:t>
            </w:r>
            <w:r w:rsidR="00A95993" w:rsidRPr="001C59A0">
              <w:rPr>
                <w:rFonts w:ascii="Arial" w:hAnsi="Arial" w:cs="Arial"/>
                <w:sz w:val="17"/>
                <w:szCs w:val="17"/>
                <w:lang w:val="es-BO"/>
              </w:rPr>
              <w:t>ron</w:t>
            </w:r>
            <w:r w:rsidRPr="001C59A0">
              <w:rPr>
                <w:rFonts w:ascii="Arial" w:hAnsi="Arial" w:cs="Arial"/>
                <w:sz w:val="17"/>
                <w:szCs w:val="17"/>
                <w:lang w:val="es-BO"/>
              </w:rPr>
              <w:t xml:space="preserve"> </w:t>
            </w:r>
            <w:r w:rsidR="005B44EB" w:rsidRPr="001C59A0">
              <w:rPr>
                <w:rFonts w:ascii="Arial" w:hAnsi="Arial" w:cs="Arial"/>
                <w:sz w:val="17"/>
                <w:szCs w:val="17"/>
                <w:lang w:val="es-BO"/>
              </w:rPr>
              <w:t>suministrada</w:t>
            </w:r>
            <w:r w:rsidR="00A95993" w:rsidRPr="001C59A0">
              <w:rPr>
                <w:rFonts w:ascii="Arial" w:hAnsi="Arial" w:cs="Arial"/>
                <w:sz w:val="17"/>
                <w:szCs w:val="17"/>
                <w:lang w:val="es-BO"/>
              </w:rPr>
              <w:t>s</w:t>
            </w:r>
            <w:r w:rsidR="005B44EB" w:rsidRPr="001C59A0">
              <w:rPr>
                <w:rFonts w:ascii="Arial" w:hAnsi="Arial" w:cs="Arial"/>
                <w:sz w:val="17"/>
                <w:szCs w:val="17"/>
                <w:lang w:val="es-BO"/>
              </w:rPr>
              <w:t xml:space="preserve"> por el MINENERGIA. La meta </w:t>
            </w:r>
            <w:r w:rsidR="0080052B" w:rsidRPr="001C59A0">
              <w:rPr>
                <w:rFonts w:ascii="Arial" w:hAnsi="Arial" w:cs="Arial"/>
                <w:sz w:val="17"/>
                <w:szCs w:val="17"/>
                <w:lang w:val="es-BO"/>
              </w:rPr>
              <w:t>fue</w:t>
            </w:r>
            <w:r w:rsidR="005B44EB" w:rsidRPr="001C59A0">
              <w:rPr>
                <w:rFonts w:ascii="Arial" w:hAnsi="Arial" w:cs="Arial"/>
                <w:sz w:val="17"/>
                <w:szCs w:val="17"/>
                <w:lang w:val="es-BO"/>
              </w:rPr>
              <w:t xml:space="preserve"> calculada según las proyecciones de crecimiento </w:t>
            </w:r>
            <w:r w:rsidRPr="001C59A0">
              <w:rPr>
                <w:rFonts w:ascii="Arial" w:hAnsi="Arial" w:cs="Arial"/>
                <w:sz w:val="17"/>
                <w:szCs w:val="17"/>
                <w:lang w:val="es-BO"/>
              </w:rPr>
              <w:t>económico y de consumo de energía al 2019.</w:t>
            </w:r>
          </w:p>
          <w:p w:rsidR="00A34AC6" w:rsidRPr="001C59A0" w:rsidRDefault="00A34AC6" w:rsidP="00DD404A">
            <w:pPr>
              <w:rPr>
                <w:rFonts w:ascii="Arial" w:hAnsi="Arial" w:cs="Arial"/>
                <w:sz w:val="17"/>
                <w:szCs w:val="17"/>
                <w:lang w:val="es-BO"/>
              </w:rPr>
            </w:pPr>
          </w:p>
          <w:p w:rsidR="00287C3B" w:rsidRPr="001C59A0" w:rsidRDefault="00287C3B" w:rsidP="00A34AC6">
            <w:pPr>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r w:rsidR="00B47A58" w:rsidRPr="00EF4F23" w:rsidTr="00B47A58">
        <w:trPr>
          <w:trHeight w:val="161"/>
          <w:jc w:val="center"/>
        </w:trPr>
        <w:tc>
          <w:tcPr>
            <w:tcW w:w="5000" w:type="pct"/>
            <w:gridSpan w:val="5"/>
            <w:shd w:val="clear" w:color="auto" w:fill="D9D9D9" w:themeFill="background1" w:themeFillShade="D9"/>
          </w:tcPr>
          <w:p w:rsidR="00B47A58" w:rsidRPr="001C59A0" w:rsidRDefault="00B47A58" w:rsidP="00B47A58">
            <w:pPr>
              <w:numPr>
                <w:ilvl w:val="0"/>
                <w:numId w:val="27"/>
              </w:numPr>
              <w:spacing w:before="120" w:after="120"/>
              <w:ind w:left="360"/>
              <w:rPr>
                <w:rFonts w:ascii="Arial" w:hAnsi="Arial" w:cs="Arial"/>
                <w:b/>
                <w:i/>
                <w:sz w:val="17"/>
                <w:szCs w:val="17"/>
                <w:lang w:val="es-BO"/>
              </w:rPr>
            </w:pPr>
            <w:r w:rsidRPr="001C59A0">
              <w:rPr>
                <w:rFonts w:ascii="Arial" w:hAnsi="Arial" w:cs="Arial"/>
                <w:b/>
                <w:i/>
                <w:color w:val="000000"/>
                <w:sz w:val="17"/>
                <w:szCs w:val="17"/>
                <w:lang w:val="es-ES_tradnl"/>
              </w:rPr>
              <w:t>Reducción de emisiones de Gases Efecto Invernadero (GEI)</w:t>
            </w:r>
          </w:p>
        </w:tc>
      </w:tr>
      <w:tr w:rsidR="008228C7" w:rsidRPr="00EF4F23" w:rsidTr="008228C7">
        <w:trPr>
          <w:trHeight w:val="64"/>
          <w:jc w:val="center"/>
        </w:trPr>
        <w:tc>
          <w:tcPr>
            <w:tcW w:w="1082"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BO"/>
              </w:rPr>
              <w:t>2.1 E</w:t>
            </w:r>
            <w:r w:rsidRPr="001C59A0">
              <w:rPr>
                <w:rFonts w:ascii="Arial" w:hAnsi="Arial" w:cs="Arial"/>
                <w:color w:val="000000"/>
                <w:sz w:val="17"/>
                <w:szCs w:val="17"/>
                <w:lang w:val="es-ES_tradnl"/>
              </w:rPr>
              <w:t>misiones de Gases Efecto Invernadero (GEI)</w:t>
            </w:r>
            <w:r w:rsidRPr="001C59A0">
              <w:rPr>
                <w:rStyle w:val="FootnoteReference"/>
                <w:rFonts w:ascii="Arial" w:eastAsiaTheme="majorEastAsia" w:hAnsi="Arial" w:cs="Arial"/>
                <w:color w:val="000000"/>
                <w:sz w:val="17"/>
                <w:szCs w:val="17"/>
                <w:lang w:val="es-ES_tradnl"/>
              </w:rPr>
              <w:footnoteReference w:id="2"/>
            </w:r>
            <w:r w:rsidRPr="001C59A0">
              <w:rPr>
                <w:rFonts w:ascii="Arial" w:hAnsi="Arial" w:cs="Arial"/>
                <w:color w:val="000000"/>
                <w:sz w:val="17"/>
                <w:szCs w:val="17"/>
                <w:lang w:val="es-ES_tradnl"/>
              </w:rPr>
              <w:t>.</w:t>
            </w:r>
          </w:p>
        </w:tc>
        <w:tc>
          <w:tcPr>
            <w:tcW w:w="916"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ES"/>
              </w:rPr>
              <w:t>Intensidad de carbono por PIB (tCO2e/millones CLP$ 2011)</w:t>
            </w:r>
          </w:p>
        </w:tc>
        <w:tc>
          <w:tcPr>
            <w:tcW w:w="41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1,02</w:t>
            </w:r>
          </w:p>
        </w:tc>
        <w:tc>
          <w:tcPr>
            <w:tcW w:w="45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0,845</w:t>
            </w:r>
          </w:p>
        </w:tc>
        <w:tc>
          <w:tcPr>
            <w:tcW w:w="2124" w:type="pct"/>
            <w:vAlign w:val="center"/>
          </w:tcPr>
          <w:p w:rsidR="00B47A58" w:rsidRPr="001C59A0" w:rsidRDefault="00DD404A" w:rsidP="00DD404A">
            <w:pPr>
              <w:spacing w:before="120" w:after="120"/>
              <w:rPr>
                <w:rFonts w:ascii="Arial" w:hAnsi="Arial" w:cs="Arial"/>
                <w:sz w:val="17"/>
                <w:szCs w:val="17"/>
                <w:lang w:val="es-ES"/>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ES"/>
              </w:rPr>
              <w:t xml:space="preserve">Informe </w:t>
            </w:r>
            <w:r w:rsidR="00A95993" w:rsidRPr="001C59A0">
              <w:rPr>
                <w:rFonts w:ascii="Arial" w:hAnsi="Arial" w:cs="Arial"/>
                <w:sz w:val="17"/>
                <w:szCs w:val="17"/>
                <w:lang w:val="es-ES"/>
              </w:rPr>
              <w:t>MINENERGIA</w:t>
            </w:r>
          </w:p>
          <w:p w:rsidR="00A95993" w:rsidRPr="001C59A0" w:rsidRDefault="00DD404A" w:rsidP="00A95993">
            <w:pPr>
              <w:rPr>
                <w:rFonts w:ascii="Arial" w:hAnsi="Arial" w:cs="Arial"/>
                <w:sz w:val="17"/>
                <w:szCs w:val="17"/>
                <w:lang w:val="es-BO"/>
              </w:rPr>
            </w:pPr>
            <w:r w:rsidRPr="001C59A0">
              <w:rPr>
                <w:rFonts w:ascii="Arial" w:hAnsi="Arial" w:cs="Arial"/>
                <w:b/>
                <w:sz w:val="17"/>
                <w:szCs w:val="17"/>
                <w:lang w:val="es-BO"/>
              </w:rPr>
              <w:t>Definición/cálculo:</w:t>
            </w:r>
            <w:r w:rsidR="00A34AC6" w:rsidRPr="001C59A0">
              <w:rPr>
                <w:rFonts w:ascii="Arial" w:hAnsi="Arial" w:cs="Arial"/>
                <w:sz w:val="17"/>
                <w:szCs w:val="17"/>
                <w:lang w:val="es-BO"/>
              </w:rPr>
              <w:t xml:space="preserve"> Consiste en la relación entre las emisiones </w:t>
            </w:r>
            <w:r w:rsidR="005B44EB" w:rsidRPr="001C59A0">
              <w:rPr>
                <w:rFonts w:ascii="Arial" w:hAnsi="Arial" w:cs="Arial"/>
                <w:sz w:val="17"/>
                <w:szCs w:val="17"/>
                <w:lang w:val="es-BO"/>
              </w:rPr>
              <w:t>t</w:t>
            </w:r>
            <w:r w:rsidR="00A34AC6" w:rsidRPr="001C59A0">
              <w:rPr>
                <w:rFonts w:ascii="Arial" w:hAnsi="Arial" w:cs="Arial"/>
                <w:sz w:val="17"/>
                <w:szCs w:val="17"/>
                <w:lang w:val="es-BO"/>
              </w:rPr>
              <w:t xml:space="preserve">otales de GEI </w:t>
            </w:r>
            <w:r w:rsidR="005B44EB" w:rsidRPr="001C59A0">
              <w:rPr>
                <w:rFonts w:ascii="Arial" w:hAnsi="Arial" w:cs="Arial"/>
                <w:sz w:val="17"/>
                <w:szCs w:val="17"/>
                <w:lang w:val="es-BO"/>
              </w:rPr>
              <w:t xml:space="preserve">en toneladas equivalentes de CO2, </w:t>
            </w:r>
            <w:r w:rsidR="00A34AC6" w:rsidRPr="001C59A0">
              <w:rPr>
                <w:rFonts w:ascii="Arial" w:hAnsi="Arial" w:cs="Arial"/>
                <w:sz w:val="17"/>
                <w:szCs w:val="17"/>
                <w:lang w:val="es-BO"/>
              </w:rPr>
              <w:t xml:space="preserve">sobre el </w:t>
            </w:r>
            <w:r w:rsidR="00A95993" w:rsidRPr="001C59A0">
              <w:rPr>
                <w:rFonts w:ascii="Arial" w:hAnsi="Arial" w:cs="Arial"/>
                <w:sz w:val="17"/>
                <w:szCs w:val="17"/>
                <w:lang w:val="es-BO"/>
              </w:rPr>
              <w:t>valor del PIB</w:t>
            </w:r>
            <w:r w:rsidR="00A34AC6" w:rsidRPr="001C59A0">
              <w:rPr>
                <w:rFonts w:ascii="Arial" w:hAnsi="Arial" w:cs="Arial"/>
                <w:sz w:val="17"/>
                <w:szCs w:val="17"/>
                <w:lang w:val="es-BO"/>
              </w:rPr>
              <w:t>.</w:t>
            </w:r>
          </w:p>
          <w:p w:rsidR="00287C3B" w:rsidRPr="001C59A0" w:rsidRDefault="00CF36A8" w:rsidP="00A95993">
            <w:pPr>
              <w:rPr>
                <w:rFonts w:ascii="Arial" w:hAnsi="Arial" w:cs="Arial"/>
                <w:b/>
                <w:sz w:val="17"/>
                <w:szCs w:val="17"/>
                <w:lang w:val="es-BO"/>
              </w:rPr>
            </w:pPr>
            <w:r w:rsidRPr="001C59A0">
              <w:rPr>
                <w:rFonts w:ascii="Arial" w:hAnsi="Arial" w:cs="Arial"/>
                <w:sz w:val="17"/>
                <w:szCs w:val="17"/>
                <w:lang w:val="es-BO"/>
              </w:rPr>
              <w:t>La línea de base y la meta fue</w:t>
            </w:r>
            <w:r w:rsidR="00A95993" w:rsidRPr="001C59A0">
              <w:rPr>
                <w:rFonts w:ascii="Arial" w:hAnsi="Arial" w:cs="Arial"/>
                <w:sz w:val="17"/>
                <w:szCs w:val="17"/>
                <w:lang w:val="es-BO"/>
              </w:rPr>
              <w:t>ron</w:t>
            </w:r>
            <w:r w:rsidRPr="001C59A0">
              <w:rPr>
                <w:rFonts w:ascii="Arial" w:hAnsi="Arial" w:cs="Arial"/>
                <w:sz w:val="17"/>
                <w:szCs w:val="17"/>
                <w:lang w:val="es-BO"/>
              </w:rPr>
              <w:t xml:space="preserve"> suministrada</w:t>
            </w:r>
            <w:r w:rsidR="00A95993" w:rsidRPr="001C59A0">
              <w:rPr>
                <w:rFonts w:ascii="Arial" w:hAnsi="Arial" w:cs="Arial"/>
                <w:sz w:val="17"/>
                <w:szCs w:val="17"/>
                <w:lang w:val="es-BO"/>
              </w:rPr>
              <w:t>s</w:t>
            </w:r>
            <w:r w:rsidRPr="001C59A0">
              <w:rPr>
                <w:rFonts w:ascii="Arial" w:hAnsi="Arial" w:cs="Arial"/>
                <w:sz w:val="17"/>
                <w:szCs w:val="17"/>
                <w:lang w:val="es-BO"/>
              </w:rPr>
              <w:t xml:space="preserve"> por el MINENERGIA. La meta </w:t>
            </w:r>
            <w:r w:rsidR="00A95993" w:rsidRPr="001C59A0">
              <w:rPr>
                <w:rFonts w:ascii="Arial" w:hAnsi="Arial" w:cs="Arial"/>
                <w:sz w:val="17"/>
                <w:szCs w:val="17"/>
                <w:lang w:val="es-BO"/>
              </w:rPr>
              <w:t>fue</w:t>
            </w:r>
            <w:r w:rsidRPr="001C59A0">
              <w:rPr>
                <w:rFonts w:ascii="Arial" w:hAnsi="Arial" w:cs="Arial"/>
                <w:sz w:val="17"/>
                <w:szCs w:val="17"/>
                <w:lang w:val="es-BO"/>
              </w:rPr>
              <w:t xml:space="preserve"> calculada según las proyecciones de crecimiento económico y de emisiones de CO2 al 2019.</w:t>
            </w:r>
          </w:p>
          <w:p w:rsidR="00287C3B" w:rsidRPr="001C59A0" w:rsidRDefault="00287C3B" w:rsidP="00DD404A">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bl>
    <w:p w:rsidR="00C419B8" w:rsidRPr="001C59A0" w:rsidRDefault="00C419B8" w:rsidP="00C419B8">
      <w:pPr>
        <w:pStyle w:val="BodyText2"/>
        <w:tabs>
          <w:tab w:val="left" w:pos="0"/>
          <w:tab w:val="left" w:pos="720"/>
        </w:tabs>
        <w:spacing w:before="120" w:line="240" w:lineRule="auto"/>
        <w:jc w:val="both"/>
        <w:rPr>
          <w:rFonts w:ascii="Arial" w:hAnsi="Arial" w:cs="Arial"/>
          <w:szCs w:val="24"/>
          <w:lang w:val="es-ES"/>
        </w:rPr>
      </w:pPr>
    </w:p>
    <w:tbl>
      <w:tblPr>
        <w:tblW w:w="5934" w:type="pct"/>
        <w:jc w:val="center"/>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1511"/>
        <w:gridCol w:w="893"/>
        <w:gridCol w:w="736"/>
        <w:gridCol w:w="793"/>
        <w:gridCol w:w="4685"/>
      </w:tblGrid>
      <w:tr w:rsidR="006053CA" w:rsidRPr="001C59A0" w:rsidTr="008A78D3">
        <w:trPr>
          <w:trHeight w:val="251"/>
          <w:tblHeader/>
          <w:jc w:val="center"/>
        </w:trPr>
        <w:tc>
          <w:tcPr>
            <w:tcW w:w="900" w:type="pct"/>
            <w:shd w:val="clear" w:color="auto" w:fill="auto"/>
            <w:vAlign w:val="center"/>
          </w:tcPr>
          <w:p w:rsidR="00B47A58" w:rsidRPr="001C59A0" w:rsidRDefault="00B47A58" w:rsidP="00DE4B10">
            <w:pPr>
              <w:jc w:val="center"/>
              <w:rPr>
                <w:rFonts w:ascii="Arial" w:hAnsi="Arial" w:cs="Arial"/>
                <w:b/>
                <w:sz w:val="17"/>
                <w:szCs w:val="17"/>
              </w:rPr>
            </w:pPr>
            <w:r w:rsidRPr="001C59A0">
              <w:rPr>
                <w:rFonts w:ascii="Arial" w:hAnsi="Arial" w:cs="Arial"/>
                <w:b/>
                <w:sz w:val="17"/>
                <w:szCs w:val="17"/>
              </w:rPr>
              <w:t>Resultado / Indicador de resultado</w:t>
            </w:r>
          </w:p>
        </w:tc>
        <w:tc>
          <w:tcPr>
            <w:tcW w:w="719"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Unidad de  medida</w:t>
            </w:r>
          </w:p>
        </w:tc>
        <w:tc>
          <w:tcPr>
            <w:tcW w:w="425"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Línea de base (2015)</w:t>
            </w:r>
          </w:p>
        </w:tc>
        <w:tc>
          <w:tcPr>
            <w:tcW w:w="350" w:type="pct"/>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Meta (2017)</w:t>
            </w:r>
          </w:p>
        </w:tc>
        <w:tc>
          <w:tcPr>
            <w:tcW w:w="377" w:type="pct"/>
            <w:shd w:val="clear" w:color="auto" w:fill="auto"/>
            <w:vAlign w:val="center"/>
          </w:tcPr>
          <w:p w:rsidR="00B47A58" w:rsidRPr="001C59A0" w:rsidRDefault="00B47A58" w:rsidP="00DE4B10">
            <w:pPr>
              <w:jc w:val="center"/>
              <w:rPr>
                <w:rFonts w:ascii="Arial" w:hAnsi="Arial" w:cs="Arial"/>
                <w:b/>
                <w:sz w:val="17"/>
                <w:szCs w:val="17"/>
                <w:lang w:val="es-BO"/>
              </w:rPr>
            </w:pPr>
            <w:r w:rsidRPr="001C59A0">
              <w:rPr>
                <w:rFonts w:ascii="Arial" w:hAnsi="Arial" w:cs="Arial"/>
                <w:b/>
                <w:sz w:val="17"/>
                <w:szCs w:val="17"/>
                <w:lang w:val="es-BO"/>
              </w:rPr>
              <w:t>Meta (2019)</w:t>
            </w:r>
          </w:p>
        </w:tc>
        <w:tc>
          <w:tcPr>
            <w:tcW w:w="2229" w:type="pct"/>
            <w:shd w:val="clear" w:color="auto" w:fill="auto"/>
            <w:vAlign w:val="center"/>
          </w:tcPr>
          <w:p w:rsidR="00B47A58" w:rsidRPr="001C59A0" w:rsidRDefault="00B47A58" w:rsidP="00DE4B10">
            <w:pPr>
              <w:jc w:val="center"/>
              <w:rPr>
                <w:rFonts w:ascii="Arial" w:hAnsi="Arial" w:cs="Arial"/>
                <w:b/>
                <w:sz w:val="17"/>
                <w:szCs w:val="17"/>
              </w:rPr>
            </w:pPr>
            <w:r w:rsidRPr="001C59A0">
              <w:rPr>
                <w:rFonts w:ascii="Arial" w:hAnsi="Arial" w:cs="Arial"/>
                <w:b/>
                <w:sz w:val="17"/>
                <w:szCs w:val="17"/>
              </w:rPr>
              <w:t>Observaciones</w:t>
            </w:r>
          </w:p>
        </w:tc>
      </w:tr>
      <w:tr w:rsidR="00B47A58" w:rsidRPr="00EF4F23" w:rsidTr="006053CA">
        <w:trPr>
          <w:trHeight w:val="260"/>
          <w:jc w:val="center"/>
        </w:trPr>
        <w:tc>
          <w:tcPr>
            <w:tcW w:w="5000" w:type="pct"/>
            <w:gridSpan w:val="6"/>
            <w:shd w:val="clear" w:color="auto" w:fill="D9D9D9" w:themeFill="background1" w:themeFillShade="D9"/>
          </w:tcPr>
          <w:p w:rsidR="00B47A58" w:rsidRPr="001C59A0" w:rsidRDefault="00B47A58" w:rsidP="00B47A58">
            <w:pPr>
              <w:numPr>
                <w:ilvl w:val="0"/>
                <w:numId w:val="28"/>
              </w:numPr>
              <w:spacing w:before="120" w:after="120"/>
              <w:rPr>
                <w:rFonts w:ascii="Arial" w:hAnsi="Arial" w:cs="Arial"/>
                <w:b/>
                <w:i/>
                <w:sz w:val="17"/>
                <w:szCs w:val="17"/>
                <w:lang w:val="es-BO"/>
              </w:rPr>
            </w:pPr>
            <w:r w:rsidRPr="001C59A0">
              <w:rPr>
                <w:rFonts w:ascii="Arial" w:hAnsi="Arial" w:cs="Arial"/>
                <w:b/>
                <w:i/>
                <w:sz w:val="17"/>
                <w:szCs w:val="17"/>
                <w:lang w:val="es-BO"/>
              </w:rPr>
              <w:t>El marco macroeconómico del Prestatario y los objetivos de política del programa están alineados.</w:t>
            </w:r>
          </w:p>
        </w:tc>
      </w:tr>
      <w:tr w:rsidR="006053CA" w:rsidRPr="00EF4F23" w:rsidTr="008A78D3">
        <w:trPr>
          <w:trHeight w:val="547"/>
          <w:jc w:val="center"/>
        </w:trPr>
        <w:tc>
          <w:tcPr>
            <w:tcW w:w="900"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BO"/>
              </w:rPr>
              <w:t xml:space="preserve">1.1 </w:t>
            </w:r>
            <w:r w:rsidRPr="001C59A0">
              <w:rPr>
                <w:rFonts w:ascii="Arial" w:hAnsi="Arial" w:cs="Arial"/>
                <w:sz w:val="17"/>
                <w:szCs w:val="17"/>
                <w:lang w:val="es-ES_tradnl"/>
              </w:rPr>
              <w:t>IAMC ratifica la estabilidad macroeconómica.</w:t>
            </w:r>
          </w:p>
        </w:tc>
        <w:tc>
          <w:tcPr>
            <w:tcW w:w="71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IAMC ratifica la estabilidad macroeconómica</w:t>
            </w:r>
          </w:p>
        </w:tc>
        <w:tc>
          <w:tcPr>
            <w:tcW w:w="425"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Vigente</w:t>
            </w:r>
          </w:p>
        </w:tc>
        <w:tc>
          <w:tcPr>
            <w:tcW w:w="350" w:type="pct"/>
          </w:tcPr>
          <w:p w:rsidR="00B47A58" w:rsidRPr="001C59A0" w:rsidRDefault="00B47A58" w:rsidP="00DE4B10">
            <w:pPr>
              <w:jc w:val="center"/>
              <w:rPr>
                <w:rFonts w:ascii="Arial" w:hAnsi="Arial" w:cs="Arial"/>
                <w:sz w:val="17"/>
                <w:szCs w:val="17"/>
                <w:lang w:val="es-BO"/>
              </w:rPr>
            </w:pPr>
          </w:p>
        </w:tc>
        <w:tc>
          <w:tcPr>
            <w:tcW w:w="377"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Vigente</w:t>
            </w:r>
          </w:p>
        </w:tc>
        <w:tc>
          <w:tcPr>
            <w:tcW w:w="2229" w:type="pct"/>
          </w:tcPr>
          <w:p w:rsidR="00B47A58" w:rsidRPr="001C59A0" w:rsidRDefault="00784651"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ES_tradnl"/>
              </w:rPr>
              <w:t>IAMC vigente al momento de realizarse el desembolso.</w:t>
            </w:r>
          </w:p>
        </w:tc>
      </w:tr>
      <w:tr w:rsidR="00B47A58" w:rsidRPr="00EF4F23" w:rsidTr="006053CA">
        <w:trPr>
          <w:trHeight w:val="368"/>
          <w:jc w:val="center"/>
        </w:trPr>
        <w:tc>
          <w:tcPr>
            <w:tcW w:w="5000" w:type="pct"/>
            <w:gridSpan w:val="6"/>
            <w:shd w:val="clear" w:color="auto" w:fill="D9D9D9" w:themeFill="background1" w:themeFillShade="D9"/>
          </w:tcPr>
          <w:p w:rsidR="00B47A58" w:rsidRPr="001C59A0" w:rsidRDefault="00B47A58" w:rsidP="00B47A58">
            <w:pPr>
              <w:numPr>
                <w:ilvl w:val="0"/>
                <w:numId w:val="28"/>
              </w:numPr>
              <w:spacing w:before="120" w:after="120"/>
              <w:rPr>
                <w:rFonts w:ascii="Arial" w:hAnsi="Arial" w:cs="Arial"/>
                <w:b/>
                <w:i/>
                <w:sz w:val="17"/>
                <w:szCs w:val="17"/>
                <w:lang w:val="es-BO"/>
              </w:rPr>
            </w:pPr>
            <w:r w:rsidRPr="001C59A0">
              <w:rPr>
                <w:rFonts w:ascii="Arial" w:hAnsi="Arial" w:cs="Arial"/>
                <w:b/>
                <w:i/>
                <w:sz w:val="17"/>
                <w:szCs w:val="17"/>
                <w:lang w:val="es-BO"/>
              </w:rPr>
              <w:t>Desarrollar una política energética de largo plazo validada por la sociedad que contribuya a incrementar la competencia y eficiencia del mercado energético; y  la capacidad institucional del sector.</w:t>
            </w:r>
          </w:p>
        </w:tc>
      </w:tr>
      <w:tr w:rsidR="006053CA" w:rsidRPr="00EF4F23" w:rsidTr="008A78D3">
        <w:trPr>
          <w:trHeight w:val="854"/>
          <w:jc w:val="center"/>
        </w:trPr>
        <w:tc>
          <w:tcPr>
            <w:tcW w:w="900" w:type="pct"/>
            <w:vAlign w:val="center"/>
          </w:tcPr>
          <w:p w:rsidR="00B47A58" w:rsidRPr="001C59A0" w:rsidRDefault="00B47A58" w:rsidP="00DE4B10">
            <w:pPr>
              <w:pStyle w:val="ListParagraph"/>
              <w:ind w:left="0"/>
              <w:rPr>
                <w:rFonts w:ascii="Arial" w:hAnsi="Arial" w:cs="Arial"/>
                <w:sz w:val="17"/>
                <w:szCs w:val="17"/>
                <w:lang w:val="en-CA"/>
              </w:rPr>
            </w:pPr>
            <w:r w:rsidRPr="001C59A0">
              <w:rPr>
                <w:rFonts w:ascii="Arial" w:hAnsi="Arial" w:cs="Arial"/>
                <w:sz w:val="17"/>
                <w:szCs w:val="17"/>
                <w:lang w:val="en-CA"/>
              </w:rPr>
              <w:t xml:space="preserve">2.1 </w:t>
            </w:r>
            <w:r w:rsidRPr="001C59A0">
              <w:rPr>
                <w:rFonts w:ascii="Arial" w:hAnsi="Arial" w:cs="Arial"/>
                <w:color w:val="000000"/>
                <w:sz w:val="17"/>
                <w:szCs w:val="17"/>
                <w:lang w:val="es-ES_tradnl"/>
              </w:rPr>
              <w:t>Documento de Política Energética validada por la sociedad civil.</w:t>
            </w:r>
          </w:p>
        </w:tc>
        <w:tc>
          <w:tcPr>
            <w:tcW w:w="719" w:type="pct"/>
            <w:vAlign w:val="center"/>
          </w:tcPr>
          <w:p w:rsidR="00B47A58" w:rsidRPr="001C59A0" w:rsidRDefault="00B47A58" w:rsidP="00DE4B10">
            <w:pPr>
              <w:jc w:val="center"/>
              <w:rPr>
                <w:rFonts w:ascii="Arial" w:hAnsi="Arial" w:cs="Arial"/>
                <w:sz w:val="17"/>
                <w:szCs w:val="17"/>
              </w:rPr>
            </w:pPr>
            <w:r w:rsidRPr="001C59A0">
              <w:rPr>
                <w:rFonts w:ascii="Arial" w:hAnsi="Arial" w:cs="Arial"/>
                <w:sz w:val="17"/>
                <w:szCs w:val="17"/>
              </w:rPr>
              <w:t>Documento de Energía 2050</w:t>
            </w:r>
            <w:r w:rsidRPr="001C59A0">
              <w:rPr>
                <w:rStyle w:val="FootnoteReference"/>
                <w:rFonts w:ascii="Arial" w:eastAsiaTheme="majorEastAsia" w:hAnsi="Arial" w:cs="Arial"/>
                <w:color w:val="000000"/>
                <w:sz w:val="17"/>
                <w:szCs w:val="17"/>
                <w:lang w:val="es-ES_tradnl"/>
              </w:rPr>
              <w:footnoteReference w:id="3"/>
            </w:r>
          </w:p>
        </w:tc>
        <w:tc>
          <w:tcPr>
            <w:tcW w:w="425"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0</w:t>
            </w:r>
          </w:p>
        </w:tc>
        <w:tc>
          <w:tcPr>
            <w:tcW w:w="350"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1</w:t>
            </w:r>
          </w:p>
        </w:tc>
        <w:tc>
          <w:tcPr>
            <w:tcW w:w="377"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w:t>
            </w:r>
          </w:p>
        </w:tc>
        <w:tc>
          <w:tcPr>
            <w:tcW w:w="2229" w:type="pct"/>
            <w:vAlign w:val="center"/>
          </w:tcPr>
          <w:p w:rsidR="00B47A58" w:rsidRPr="001C59A0" w:rsidRDefault="00784651"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BO"/>
              </w:rPr>
              <w:t>Publicación de documento Energía 2050, Política Nacional de Chile (Actas de talleres participativos y de sesiones plenarias).</w:t>
            </w:r>
          </w:p>
          <w:p w:rsidR="00DE4B10" w:rsidRPr="001C59A0" w:rsidRDefault="00DD404A" w:rsidP="00784651">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005421BB" w:rsidRPr="001C59A0">
              <w:rPr>
                <w:rFonts w:ascii="Arial" w:hAnsi="Arial" w:cs="Arial"/>
                <w:sz w:val="17"/>
                <w:szCs w:val="17"/>
                <w:lang w:val="es-BO"/>
              </w:rPr>
              <w:t>Documento</w:t>
            </w:r>
            <w:r w:rsidR="00A95993" w:rsidRPr="001C59A0">
              <w:rPr>
                <w:rFonts w:ascii="Arial" w:hAnsi="Arial" w:cs="Arial"/>
                <w:sz w:val="17"/>
                <w:szCs w:val="17"/>
                <w:lang w:val="es-BO"/>
              </w:rPr>
              <w:t>s</w:t>
            </w:r>
            <w:r w:rsidR="005421BB" w:rsidRPr="001C59A0">
              <w:rPr>
                <w:rFonts w:ascii="Arial" w:hAnsi="Arial" w:cs="Arial"/>
                <w:sz w:val="17"/>
                <w:szCs w:val="17"/>
                <w:lang w:val="es-BO"/>
              </w:rPr>
              <w:t xml:space="preserve"> que establece</w:t>
            </w:r>
            <w:r w:rsidR="00A95993" w:rsidRPr="001C59A0">
              <w:rPr>
                <w:rFonts w:ascii="Arial" w:hAnsi="Arial" w:cs="Arial"/>
                <w:sz w:val="17"/>
                <w:szCs w:val="17"/>
                <w:lang w:val="es-BO"/>
              </w:rPr>
              <w:t>n</w:t>
            </w:r>
            <w:r w:rsidR="005421BB" w:rsidRPr="001C59A0">
              <w:rPr>
                <w:rFonts w:ascii="Arial" w:hAnsi="Arial" w:cs="Arial"/>
                <w:sz w:val="17"/>
                <w:szCs w:val="17"/>
                <w:lang w:val="es-BO"/>
              </w:rPr>
              <w:t xml:space="preserve"> la visión, plan de acción y metas a largo plazo para el sector de </w:t>
            </w:r>
            <w:r w:rsidR="005421BB" w:rsidRPr="001C59A0">
              <w:rPr>
                <w:rFonts w:ascii="Arial" w:hAnsi="Arial" w:cs="Arial"/>
                <w:sz w:val="17"/>
                <w:szCs w:val="17"/>
                <w:lang w:val="es-BO"/>
              </w:rPr>
              <w:lastRenderedPageBreak/>
              <w:t>energía en Chile</w:t>
            </w:r>
            <w:r w:rsidR="00CF36A8" w:rsidRPr="001C59A0">
              <w:rPr>
                <w:rFonts w:ascii="Arial" w:hAnsi="Arial" w:cs="Arial"/>
                <w:sz w:val="17"/>
                <w:szCs w:val="17"/>
                <w:lang w:val="es-BO"/>
              </w:rPr>
              <w:t xml:space="preserve">. </w:t>
            </w:r>
          </w:p>
          <w:p w:rsidR="00287C3B" w:rsidRPr="001C59A0" w:rsidRDefault="00287C3B" w:rsidP="00287C3B">
            <w:pPr>
              <w:spacing w:before="120" w:after="120"/>
              <w:rPr>
                <w:rFonts w:ascii="Arial" w:hAnsi="Arial" w:cs="Arial"/>
                <w:b/>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r w:rsidR="006053CA" w:rsidRPr="00EF4F23" w:rsidTr="008A78D3">
        <w:trPr>
          <w:trHeight w:val="719"/>
          <w:jc w:val="center"/>
        </w:trPr>
        <w:tc>
          <w:tcPr>
            <w:tcW w:w="900"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BO"/>
              </w:rPr>
              <w:lastRenderedPageBreak/>
              <w:t xml:space="preserve">2.2 </w:t>
            </w:r>
            <w:r w:rsidRPr="001C59A0">
              <w:rPr>
                <w:rFonts w:ascii="Arial" w:hAnsi="Arial" w:cs="Arial"/>
                <w:sz w:val="17"/>
                <w:szCs w:val="17"/>
                <w:lang w:val="es-ES_tradnl"/>
              </w:rPr>
              <w:t>Precios promedios ponderados de las ofertas adjudicadas en las licitaciones de suministro eléctrico para clientes regulados.</w:t>
            </w:r>
          </w:p>
        </w:tc>
        <w:tc>
          <w:tcPr>
            <w:tcW w:w="71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US$/MWh</w:t>
            </w:r>
          </w:p>
        </w:tc>
        <w:tc>
          <w:tcPr>
            <w:tcW w:w="425"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107</w:t>
            </w:r>
          </w:p>
        </w:tc>
        <w:tc>
          <w:tcPr>
            <w:tcW w:w="350"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79</w:t>
            </w:r>
          </w:p>
        </w:tc>
        <w:tc>
          <w:tcPr>
            <w:tcW w:w="377"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79</w:t>
            </w:r>
          </w:p>
        </w:tc>
        <w:tc>
          <w:tcPr>
            <w:tcW w:w="2229" w:type="pct"/>
            <w:vAlign w:val="center"/>
          </w:tcPr>
          <w:p w:rsidR="00B47A58" w:rsidRPr="001C59A0" w:rsidRDefault="00784651"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BO"/>
              </w:rPr>
              <w:t>Actas de Adjudicación.</w:t>
            </w:r>
          </w:p>
          <w:p w:rsidR="00842C66" w:rsidRPr="001C59A0" w:rsidRDefault="00DD404A" w:rsidP="005421BB">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p>
          <w:p w:rsidR="00842C66" w:rsidRPr="001C59A0" w:rsidRDefault="00842C66" w:rsidP="00842C66">
            <w:pPr>
              <w:rPr>
                <w:rFonts w:ascii="Arial" w:hAnsi="Arial" w:cs="Arial"/>
                <w:sz w:val="16"/>
                <w:szCs w:val="17"/>
                <w:lang w:val="es-BO"/>
              </w:rPr>
            </w:pPr>
            <w:r w:rsidRPr="001C59A0">
              <w:rPr>
                <w:rFonts w:ascii="Arial" w:hAnsi="Arial" w:cs="Arial"/>
                <w:sz w:val="16"/>
                <w:szCs w:val="17"/>
                <w:lang w:val="es-BO"/>
              </w:rPr>
              <w:t>Precio Promedio Ponderando Adjudicaciones (US$): PPPA</w:t>
            </w:r>
          </w:p>
          <w:p w:rsidR="00842C66" w:rsidRPr="001C59A0" w:rsidRDefault="00842C66" w:rsidP="00842C66">
            <w:pPr>
              <w:rPr>
                <w:rFonts w:ascii="Arial" w:hAnsi="Arial" w:cs="Arial"/>
                <w:sz w:val="16"/>
                <w:szCs w:val="17"/>
                <w:lang w:val="es-BO"/>
              </w:rPr>
            </w:pPr>
            <w:r w:rsidRPr="001C59A0">
              <w:rPr>
                <w:rFonts w:ascii="Arial" w:hAnsi="Arial" w:cs="Arial"/>
                <w:sz w:val="16"/>
                <w:szCs w:val="17"/>
                <w:lang w:val="es-BO"/>
              </w:rPr>
              <w:t>Precio Oferta Adjudicada (US$): PO</w:t>
            </w:r>
            <w:r w:rsidR="00C656F9" w:rsidRPr="001C59A0">
              <w:rPr>
                <w:rFonts w:ascii="Arial" w:hAnsi="Arial" w:cs="Arial"/>
                <w:sz w:val="16"/>
                <w:szCs w:val="17"/>
                <w:lang w:val="es-BO"/>
              </w:rPr>
              <w:t>A</w:t>
            </w:r>
          </w:p>
          <w:p w:rsidR="00842C66" w:rsidRPr="001C59A0" w:rsidRDefault="00842C66" w:rsidP="00842C66">
            <w:pPr>
              <w:rPr>
                <w:rFonts w:ascii="Arial" w:hAnsi="Arial" w:cs="Arial"/>
                <w:sz w:val="16"/>
                <w:szCs w:val="17"/>
                <w:lang w:val="es-BO"/>
              </w:rPr>
            </w:pPr>
            <w:r w:rsidRPr="001C59A0">
              <w:rPr>
                <w:rFonts w:ascii="Arial" w:hAnsi="Arial" w:cs="Arial"/>
                <w:sz w:val="16"/>
                <w:szCs w:val="17"/>
                <w:lang w:val="es-BO"/>
              </w:rPr>
              <w:t>Oferta Adjudicada (MWh): OA</w:t>
            </w:r>
          </w:p>
          <w:p w:rsidR="00842C66" w:rsidRPr="001C59A0" w:rsidRDefault="00842C66" w:rsidP="00842C66">
            <w:pPr>
              <w:rPr>
                <w:rFonts w:ascii="Arial" w:hAnsi="Arial" w:cs="Arial"/>
                <w:sz w:val="16"/>
                <w:szCs w:val="17"/>
                <w:lang w:val="es-BO"/>
              </w:rPr>
            </w:pPr>
            <w:r w:rsidRPr="001C59A0">
              <w:rPr>
                <w:rFonts w:ascii="Arial" w:hAnsi="Arial" w:cs="Arial"/>
                <w:sz w:val="16"/>
                <w:szCs w:val="17"/>
                <w:lang w:val="es-BO"/>
              </w:rPr>
              <w:t>Suma Total Ofertas Adjudicadas (MWh):</w:t>
            </w:r>
            <w:r w:rsidR="00C656F9" w:rsidRPr="001C59A0">
              <w:rPr>
                <w:rFonts w:ascii="Arial" w:hAnsi="Arial" w:cs="Arial"/>
                <w:sz w:val="16"/>
                <w:szCs w:val="17"/>
                <w:lang w:val="es-BO"/>
              </w:rPr>
              <w:t xml:space="preserve"> TOA </w:t>
            </w:r>
          </w:p>
          <w:p w:rsidR="00842C66" w:rsidRPr="001C59A0" w:rsidRDefault="00842C66" w:rsidP="005421BB">
            <w:pPr>
              <w:spacing w:before="120" w:after="120"/>
              <w:rPr>
                <w:rFonts w:ascii="Arial" w:hAnsi="Arial" w:cs="Arial"/>
                <w:sz w:val="17"/>
                <w:szCs w:val="17"/>
                <w:lang w:val="pt-BR"/>
              </w:rPr>
            </w:pPr>
            <w:r w:rsidRPr="001C59A0">
              <w:rPr>
                <w:rFonts w:ascii="Arial" w:hAnsi="Arial" w:cs="Arial"/>
                <w:sz w:val="17"/>
                <w:szCs w:val="17"/>
                <w:lang w:val="es-BO"/>
              </w:rPr>
              <w:t xml:space="preserve"> </w:t>
            </w:r>
            <m:oMath>
              <m:r>
                <m:rPr>
                  <m:sty m:val="p"/>
                </m:rPr>
                <w:rPr>
                  <w:rFonts w:ascii="Cambria Math" w:hAnsi="Cambria Math" w:cs="Arial"/>
                  <w:sz w:val="17"/>
                  <w:szCs w:val="17"/>
                  <w:lang w:val="pt-BR"/>
                </w:rPr>
                <m:t>PPPA</m:t>
              </m:r>
              <m:r>
                <w:rPr>
                  <w:rFonts w:ascii="Cambria Math" w:eastAsia="Cambria Math" w:hAnsi="Cambria Math" w:cs="Arial"/>
                  <w:sz w:val="17"/>
                  <w:szCs w:val="17"/>
                  <w:lang w:val="pt-BR"/>
                </w:rPr>
                <m:t>=</m:t>
              </m:r>
              <m:nary>
                <m:naryPr>
                  <m:chr m:val="∑"/>
                  <m:grow m:val="1"/>
                  <m:ctrlPr>
                    <w:rPr>
                      <w:rFonts w:ascii="Cambria Math" w:hAnsi="Cambria Math" w:cs="Arial"/>
                      <w:sz w:val="17"/>
                      <w:szCs w:val="17"/>
                      <w:lang w:val="es-BO"/>
                    </w:rPr>
                  </m:ctrlPr>
                </m:naryPr>
                <m:sub>
                  <m:r>
                    <w:rPr>
                      <w:rFonts w:ascii="Cambria Math" w:eastAsia="Cambria Math" w:hAnsi="Cambria Math" w:cs="Arial"/>
                      <w:sz w:val="17"/>
                      <w:szCs w:val="17"/>
                      <w:lang w:val="es-BO"/>
                    </w:rPr>
                    <m:t>k</m:t>
                  </m:r>
                  <m:r>
                    <w:rPr>
                      <w:rFonts w:ascii="Cambria Math" w:eastAsia="Cambria Math" w:hAnsi="Cambria Math" w:cs="Arial"/>
                      <w:sz w:val="17"/>
                      <w:szCs w:val="17"/>
                      <w:lang w:val="pt-BR"/>
                    </w:rPr>
                    <m:t>=0</m:t>
                  </m:r>
                </m:sub>
                <m:sup>
                  <m:r>
                    <w:rPr>
                      <w:rFonts w:ascii="Cambria Math" w:eastAsia="Cambria Math" w:hAnsi="Cambria Math" w:cs="Arial"/>
                      <w:sz w:val="17"/>
                      <w:szCs w:val="17"/>
                      <w:lang w:val="es-BO"/>
                    </w:rPr>
                    <m:t>n</m:t>
                  </m:r>
                </m:sup>
                <m:e>
                  <m:sSub>
                    <m:sSubPr>
                      <m:ctrlPr>
                        <w:rPr>
                          <w:rFonts w:ascii="Cambria Math" w:hAnsi="Cambria Math" w:cs="Arial"/>
                          <w:i/>
                          <w:sz w:val="17"/>
                          <w:szCs w:val="17"/>
                          <w:lang w:val="es-BO"/>
                        </w:rPr>
                      </m:ctrlPr>
                    </m:sSubPr>
                    <m:e>
                      <m:r>
                        <w:rPr>
                          <w:rFonts w:ascii="Cambria Math" w:hAnsi="Cambria Math" w:cs="Arial"/>
                          <w:sz w:val="17"/>
                          <w:szCs w:val="17"/>
                          <w:lang w:val="es-BO"/>
                        </w:rPr>
                        <m:t>POA</m:t>
                      </m:r>
                    </m:e>
                    <m:sub>
                      <m:r>
                        <w:rPr>
                          <w:rFonts w:ascii="Cambria Math" w:hAnsi="Cambria Math" w:cs="Arial"/>
                          <w:sz w:val="17"/>
                          <w:szCs w:val="17"/>
                          <w:lang w:val="es-BO"/>
                        </w:rPr>
                        <m:t>n</m:t>
                      </m:r>
                    </m:sub>
                  </m:sSub>
                  <m:r>
                    <w:rPr>
                      <w:rFonts w:ascii="Cambria Math" w:hAnsi="Cambria Math" w:cs="Arial"/>
                      <w:sz w:val="17"/>
                      <w:szCs w:val="17"/>
                      <w:lang w:val="pt-BR"/>
                    </w:rPr>
                    <m:t>*</m:t>
                  </m:r>
                  <m:f>
                    <m:fPr>
                      <m:ctrlPr>
                        <w:rPr>
                          <w:rFonts w:ascii="Cambria Math" w:hAnsi="Cambria Math" w:cs="Arial"/>
                          <w:i/>
                          <w:sz w:val="17"/>
                          <w:szCs w:val="17"/>
                          <w:lang w:val="es-BO"/>
                        </w:rPr>
                      </m:ctrlPr>
                    </m:fPr>
                    <m:num>
                      <m:sSub>
                        <m:sSubPr>
                          <m:ctrlPr>
                            <w:rPr>
                              <w:rFonts w:ascii="Cambria Math" w:hAnsi="Cambria Math" w:cs="Arial"/>
                              <w:i/>
                              <w:sz w:val="17"/>
                              <w:szCs w:val="17"/>
                              <w:lang w:val="es-BO"/>
                            </w:rPr>
                          </m:ctrlPr>
                        </m:sSubPr>
                        <m:e>
                          <m:r>
                            <w:rPr>
                              <w:rFonts w:ascii="Cambria Math" w:hAnsi="Cambria Math" w:cs="Arial"/>
                              <w:sz w:val="17"/>
                              <w:szCs w:val="17"/>
                              <w:lang w:val="es-BO"/>
                            </w:rPr>
                            <m:t>oA</m:t>
                          </m:r>
                        </m:e>
                        <m:sub>
                          <m:r>
                            <w:rPr>
                              <w:rFonts w:ascii="Cambria Math" w:hAnsi="Cambria Math" w:cs="Arial"/>
                              <w:sz w:val="17"/>
                              <w:szCs w:val="17"/>
                              <w:lang w:val="es-BO"/>
                            </w:rPr>
                            <m:t>n</m:t>
                          </m:r>
                        </m:sub>
                      </m:sSub>
                    </m:num>
                    <m:den>
                      <m:r>
                        <w:rPr>
                          <w:rFonts w:ascii="Cambria Math" w:hAnsi="Cambria Math" w:cs="Arial"/>
                          <w:sz w:val="17"/>
                          <w:szCs w:val="17"/>
                          <w:lang w:val="es-BO"/>
                        </w:rPr>
                        <m:t>TOA</m:t>
                      </m:r>
                    </m:den>
                  </m:f>
                </m:e>
              </m:nary>
            </m:oMath>
          </w:p>
          <w:p w:rsidR="00DE4B10" w:rsidRPr="001C59A0" w:rsidRDefault="00CF36A8" w:rsidP="005421BB">
            <w:pPr>
              <w:spacing w:before="120" w:after="120"/>
              <w:rPr>
                <w:rFonts w:ascii="Arial" w:hAnsi="Arial" w:cs="Arial"/>
                <w:sz w:val="17"/>
                <w:szCs w:val="17"/>
                <w:lang w:val="es-BO"/>
              </w:rPr>
            </w:pPr>
            <w:r w:rsidRPr="001C59A0">
              <w:rPr>
                <w:rFonts w:ascii="Arial" w:hAnsi="Arial" w:cs="Arial"/>
                <w:sz w:val="17"/>
                <w:szCs w:val="17"/>
                <w:lang w:val="es-BO"/>
              </w:rPr>
              <w:t xml:space="preserve">La meta corresponde a los estimativos del gobierno según los últimos adelantos tecnológicos que reducen los precios de generación y el comportamiento de procesos similares en otros países. </w:t>
            </w:r>
          </w:p>
          <w:p w:rsidR="00287C3B" w:rsidRPr="001C59A0" w:rsidRDefault="00287C3B" w:rsidP="005421BB">
            <w:pPr>
              <w:spacing w:before="120" w:after="120"/>
              <w:rPr>
                <w:rFonts w:ascii="Arial" w:hAnsi="Arial" w:cs="Arial"/>
                <w:sz w:val="17"/>
                <w:szCs w:val="17"/>
                <w:lang w:val="es-BO"/>
              </w:rPr>
            </w:pPr>
            <w:r w:rsidRPr="001C59A0">
              <w:rPr>
                <w:rFonts w:ascii="Arial" w:hAnsi="Arial" w:cs="Arial"/>
                <w:b/>
                <w:sz w:val="17"/>
                <w:szCs w:val="17"/>
                <w:lang w:val="es-BO"/>
              </w:rPr>
              <w:t>Metodología de evaluación:</w:t>
            </w:r>
            <w:r w:rsidRPr="001C59A0">
              <w:rPr>
                <w:rFonts w:ascii="Arial" w:hAnsi="Arial" w:cs="Arial"/>
                <w:sz w:val="17"/>
                <w:szCs w:val="17"/>
                <w:lang w:val="es-BO"/>
              </w:rPr>
              <w:t xml:space="preserve"> 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r w:rsidR="006053CA" w:rsidRPr="00EF4F23" w:rsidTr="008A78D3">
        <w:trPr>
          <w:trHeight w:val="584"/>
          <w:jc w:val="center"/>
        </w:trPr>
        <w:tc>
          <w:tcPr>
            <w:tcW w:w="900"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ES_tradnl"/>
              </w:rPr>
              <w:t>2.3 Número de oferentes participando en licitaciones para la suministro de potencia y energía eléctrica y transmisión eléctrica.</w:t>
            </w:r>
          </w:p>
        </w:tc>
        <w:tc>
          <w:tcPr>
            <w:tcW w:w="71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BO"/>
              </w:rPr>
              <w:t>No. de oferentes</w:t>
            </w:r>
          </w:p>
        </w:tc>
        <w:tc>
          <w:tcPr>
            <w:tcW w:w="425"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18</w:t>
            </w:r>
          </w:p>
        </w:tc>
        <w:tc>
          <w:tcPr>
            <w:tcW w:w="350"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50</w:t>
            </w:r>
          </w:p>
        </w:tc>
        <w:tc>
          <w:tcPr>
            <w:tcW w:w="377"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50</w:t>
            </w:r>
          </w:p>
        </w:tc>
        <w:tc>
          <w:tcPr>
            <w:tcW w:w="2229" w:type="pct"/>
            <w:vAlign w:val="center"/>
          </w:tcPr>
          <w:p w:rsidR="00B47A58" w:rsidRPr="001C59A0" w:rsidRDefault="00784651"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BO"/>
              </w:rPr>
              <w:t>Acta de licitación.</w:t>
            </w:r>
          </w:p>
          <w:p w:rsidR="006507FA" w:rsidRPr="001C59A0" w:rsidRDefault="00DD404A" w:rsidP="006507FA">
            <w:pPr>
              <w:rPr>
                <w:rFonts w:ascii="Arial" w:hAnsi="Arial" w:cs="Arial"/>
                <w:b/>
                <w:sz w:val="17"/>
                <w:szCs w:val="17"/>
                <w:lang w:val="es-BO"/>
              </w:rPr>
            </w:pPr>
            <w:r w:rsidRPr="001C59A0">
              <w:rPr>
                <w:rFonts w:ascii="Arial" w:hAnsi="Arial" w:cs="Arial"/>
                <w:b/>
                <w:sz w:val="17"/>
                <w:szCs w:val="17"/>
                <w:lang w:val="es-BO"/>
              </w:rPr>
              <w:t xml:space="preserve">Definición/cálculo: </w:t>
            </w:r>
            <w:r w:rsidR="005421BB" w:rsidRPr="001C59A0">
              <w:rPr>
                <w:rFonts w:ascii="Arial" w:hAnsi="Arial" w:cs="Arial"/>
                <w:sz w:val="17"/>
                <w:szCs w:val="17"/>
                <w:lang w:val="es-BO"/>
              </w:rPr>
              <w:t>Oferente se define como la empresa que acude al llamado de licitación y participa mediante la presentación de una propuesta.</w:t>
            </w:r>
            <w:r w:rsidR="005421BB" w:rsidRPr="001C59A0">
              <w:rPr>
                <w:rFonts w:ascii="Arial" w:hAnsi="Arial" w:cs="Arial"/>
                <w:b/>
                <w:sz w:val="17"/>
                <w:szCs w:val="17"/>
                <w:lang w:val="es-BO"/>
              </w:rPr>
              <w:t xml:space="preserve"> </w:t>
            </w:r>
          </w:p>
          <w:p w:rsidR="00DE4B10" w:rsidRPr="001C59A0" w:rsidRDefault="00CF36A8" w:rsidP="006507FA">
            <w:pPr>
              <w:rPr>
                <w:rFonts w:ascii="Arial" w:hAnsi="Arial" w:cs="Arial"/>
                <w:b/>
                <w:sz w:val="17"/>
                <w:szCs w:val="17"/>
                <w:lang w:val="es-BO"/>
              </w:rPr>
            </w:pPr>
            <w:r w:rsidRPr="001C59A0">
              <w:rPr>
                <w:rFonts w:ascii="Arial" w:hAnsi="Arial" w:cs="Arial"/>
                <w:sz w:val="17"/>
                <w:szCs w:val="17"/>
                <w:lang w:val="es-BO"/>
              </w:rPr>
              <w:t>El valor de línea de base corresponde al total de oferentes presentados en la  última licitación realizada en el 2015. La meta corresponde a los estimativos del gobierno según el comportamiento de procesos similares en otros países</w:t>
            </w:r>
            <w:r w:rsidR="006507FA" w:rsidRPr="001C59A0">
              <w:rPr>
                <w:rFonts w:ascii="Arial" w:hAnsi="Arial" w:cs="Arial"/>
                <w:sz w:val="17"/>
                <w:szCs w:val="17"/>
                <w:lang w:val="es-BO"/>
              </w:rPr>
              <w:t>.</w:t>
            </w:r>
          </w:p>
          <w:p w:rsidR="00287C3B" w:rsidRPr="001C59A0" w:rsidRDefault="00287C3B" w:rsidP="005421BB">
            <w:pPr>
              <w:spacing w:before="120" w:after="120"/>
              <w:rPr>
                <w:rFonts w:ascii="Arial" w:hAnsi="Arial" w:cs="Arial"/>
                <w:sz w:val="17"/>
                <w:szCs w:val="17"/>
                <w:lang w:val="es-ES_tradnl"/>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r w:rsidR="006053CA" w:rsidRPr="00EF4F23" w:rsidTr="008A78D3">
        <w:trPr>
          <w:trHeight w:val="64"/>
          <w:jc w:val="center"/>
        </w:trPr>
        <w:tc>
          <w:tcPr>
            <w:tcW w:w="900" w:type="pct"/>
            <w:vAlign w:val="center"/>
          </w:tcPr>
          <w:p w:rsidR="00B47A58" w:rsidRPr="001C59A0" w:rsidRDefault="00B47A58" w:rsidP="00DE4B10">
            <w:pPr>
              <w:pStyle w:val="ListParagraph"/>
              <w:ind w:left="0"/>
              <w:rPr>
                <w:rFonts w:ascii="Arial" w:hAnsi="Arial" w:cs="Arial"/>
                <w:sz w:val="17"/>
                <w:szCs w:val="17"/>
                <w:lang w:val="es-BO"/>
              </w:rPr>
            </w:pPr>
            <w:r w:rsidRPr="001C59A0">
              <w:rPr>
                <w:rFonts w:ascii="Arial" w:hAnsi="Arial" w:cs="Arial"/>
                <w:sz w:val="17"/>
                <w:szCs w:val="17"/>
                <w:lang w:val="es-ES_tradnl"/>
              </w:rPr>
              <w:t xml:space="preserve">2.4 Capacidad instalada  de generación eléctrica en los Sistemas Sistema Interconectado Central (SIC) y </w:t>
            </w:r>
            <w:r w:rsidRPr="001C59A0">
              <w:rPr>
                <w:rFonts w:ascii="Arial" w:hAnsi="Arial" w:cs="Arial"/>
                <w:bCs/>
                <w:sz w:val="17"/>
                <w:szCs w:val="17"/>
                <w:lang w:val="es-MX"/>
              </w:rPr>
              <w:t>Sistema Interconectado del Norte Grande</w:t>
            </w:r>
            <w:r w:rsidRPr="001C59A0">
              <w:rPr>
                <w:rFonts w:ascii="Arial" w:hAnsi="Arial" w:cs="Arial"/>
                <w:sz w:val="17"/>
                <w:szCs w:val="17"/>
                <w:lang w:val="es-ES_tradnl"/>
              </w:rPr>
              <w:t xml:space="preserve"> (SING).</w:t>
            </w:r>
          </w:p>
        </w:tc>
        <w:tc>
          <w:tcPr>
            <w:tcW w:w="719" w:type="pct"/>
            <w:vAlign w:val="center"/>
          </w:tcPr>
          <w:p w:rsidR="00B47A58" w:rsidRPr="001C59A0" w:rsidRDefault="00B47A58" w:rsidP="00DE4B10">
            <w:pPr>
              <w:jc w:val="center"/>
              <w:rPr>
                <w:rFonts w:ascii="Arial" w:hAnsi="Arial" w:cs="Arial"/>
                <w:sz w:val="17"/>
                <w:szCs w:val="17"/>
                <w:lang w:val="es-BO"/>
              </w:rPr>
            </w:pPr>
            <w:r w:rsidRPr="001C59A0">
              <w:rPr>
                <w:rFonts w:ascii="Arial" w:hAnsi="Arial" w:cs="Arial"/>
                <w:sz w:val="17"/>
                <w:szCs w:val="17"/>
                <w:lang w:val="es-ES_tradnl"/>
              </w:rPr>
              <w:t>MW</w:t>
            </w:r>
          </w:p>
        </w:tc>
        <w:tc>
          <w:tcPr>
            <w:tcW w:w="425"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19.742</w:t>
            </w:r>
          </w:p>
        </w:tc>
        <w:tc>
          <w:tcPr>
            <w:tcW w:w="350"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24.567</w:t>
            </w:r>
          </w:p>
        </w:tc>
        <w:tc>
          <w:tcPr>
            <w:tcW w:w="377" w:type="pct"/>
            <w:vAlign w:val="center"/>
          </w:tcPr>
          <w:p w:rsidR="00B47A58" w:rsidRPr="001C59A0" w:rsidRDefault="00B47A58" w:rsidP="00DE4B10">
            <w:pPr>
              <w:jc w:val="center"/>
              <w:rPr>
                <w:rFonts w:ascii="Arial" w:hAnsi="Arial" w:cs="Arial"/>
                <w:sz w:val="17"/>
                <w:szCs w:val="17"/>
                <w:lang w:val="es-ES_tradnl"/>
              </w:rPr>
            </w:pPr>
            <w:r w:rsidRPr="001C59A0">
              <w:rPr>
                <w:rFonts w:ascii="Arial" w:hAnsi="Arial" w:cs="Arial"/>
                <w:sz w:val="17"/>
                <w:szCs w:val="17"/>
                <w:lang w:val="es-ES_tradnl"/>
              </w:rPr>
              <w:t>26.053</w:t>
            </w:r>
          </w:p>
        </w:tc>
        <w:tc>
          <w:tcPr>
            <w:tcW w:w="2229" w:type="pct"/>
            <w:vAlign w:val="center"/>
          </w:tcPr>
          <w:p w:rsidR="00B47A58" w:rsidRPr="001C59A0" w:rsidRDefault="00784651"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00B47A58" w:rsidRPr="001C59A0">
              <w:rPr>
                <w:rFonts w:ascii="Arial" w:hAnsi="Arial" w:cs="Arial"/>
                <w:sz w:val="17"/>
                <w:szCs w:val="17"/>
                <w:lang w:val="es-BO"/>
              </w:rPr>
              <w:t>Anuario estadístico de Energía 2005 – 2015 y Reporte Mensual Sector Energético.</w:t>
            </w:r>
          </w:p>
          <w:p w:rsidR="00DE4B10" w:rsidRPr="001C59A0" w:rsidRDefault="00DD404A" w:rsidP="00081862">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005421BB" w:rsidRPr="001C59A0">
              <w:rPr>
                <w:rFonts w:ascii="Arial" w:hAnsi="Arial" w:cs="Arial"/>
                <w:sz w:val="17"/>
                <w:szCs w:val="17"/>
                <w:lang w:val="es-BO"/>
              </w:rPr>
              <w:t>Corresponde al potencial nominal</w:t>
            </w:r>
            <w:r w:rsidR="00081862" w:rsidRPr="001C59A0">
              <w:rPr>
                <w:rFonts w:ascii="Arial" w:hAnsi="Arial" w:cs="Arial"/>
                <w:sz w:val="17"/>
                <w:szCs w:val="17"/>
                <w:lang w:val="es-BO"/>
              </w:rPr>
              <w:t xml:space="preserve"> total</w:t>
            </w:r>
            <w:r w:rsidR="005421BB" w:rsidRPr="001C59A0">
              <w:rPr>
                <w:rFonts w:ascii="Arial" w:hAnsi="Arial" w:cs="Arial"/>
                <w:sz w:val="17"/>
                <w:szCs w:val="17"/>
                <w:lang w:val="es-BO"/>
              </w:rPr>
              <w:t xml:space="preserve"> de capacidad de generación electrifica </w:t>
            </w:r>
            <w:r w:rsidR="00081862" w:rsidRPr="001C59A0">
              <w:rPr>
                <w:rFonts w:ascii="Arial" w:hAnsi="Arial" w:cs="Arial"/>
                <w:sz w:val="17"/>
                <w:szCs w:val="17"/>
                <w:lang w:val="es-BO"/>
              </w:rPr>
              <w:t xml:space="preserve">a partir de fuentes convencionales y no convencionales de energía. </w:t>
            </w:r>
            <w:r w:rsidR="00CF36A8" w:rsidRPr="001C59A0">
              <w:rPr>
                <w:rFonts w:ascii="Arial" w:hAnsi="Arial" w:cs="Arial"/>
                <w:sz w:val="17"/>
                <w:szCs w:val="17"/>
                <w:lang w:val="es-BO"/>
              </w:rPr>
              <w:t xml:space="preserve">La meta se determina según el plan de </w:t>
            </w:r>
            <w:r w:rsidR="006507FA" w:rsidRPr="001C59A0">
              <w:rPr>
                <w:rFonts w:ascii="Arial" w:hAnsi="Arial" w:cs="Arial"/>
                <w:sz w:val="17"/>
                <w:szCs w:val="17"/>
                <w:lang w:val="es-BO"/>
              </w:rPr>
              <w:t>expansión.</w:t>
            </w:r>
          </w:p>
          <w:p w:rsidR="00287C3B" w:rsidRPr="001C59A0" w:rsidRDefault="00287C3B" w:rsidP="00081862">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w:t>
            </w:r>
            <w:r w:rsidR="00A95993" w:rsidRPr="001C59A0">
              <w:rPr>
                <w:rFonts w:ascii="Arial" w:hAnsi="Arial" w:cs="Arial"/>
                <w:sz w:val="17"/>
                <w:szCs w:val="17"/>
                <w:lang w:val="es-BO"/>
              </w:rPr>
              <w:t>,</w:t>
            </w:r>
            <w:r w:rsidRPr="001C59A0">
              <w:rPr>
                <w:rFonts w:ascii="Arial" w:hAnsi="Arial" w:cs="Arial"/>
                <w:sz w:val="17"/>
                <w:szCs w:val="17"/>
                <w:lang w:val="es-BO"/>
              </w:rPr>
              <w:t xml:space="preserve"> a partir de informes técnicos</w:t>
            </w:r>
            <w:r w:rsidR="006507FA" w:rsidRPr="001C59A0">
              <w:rPr>
                <w:rFonts w:ascii="Arial" w:hAnsi="Arial" w:cs="Arial"/>
                <w:sz w:val="17"/>
                <w:szCs w:val="17"/>
                <w:lang w:val="es-BO"/>
              </w:rPr>
              <w:t>.</w:t>
            </w:r>
          </w:p>
        </w:tc>
      </w:tr>
      <w:tr w:rsidR="008A78D3" w:rsidRPr="00EF4F23" w:rsidTr="008A78D3">
        <w:trPr>
          <w:trHeight w:val="64"/>
          <w:jc w:val="center"/>
        </w:trPr>
        <w:tc>
          <w:tcPr>
            <w:tcW w:w="900" w:type="pct"/>
            <w:vAlign w:val="center"/>
          </w:tcPr>
          <w:p w:rsidR="008A78D3" w:rsidRPr="001C59A0" w:rsidRDefault="00C135C6" w:rsidP="00C135C6">
            <w:pPr>
              <w:pStyle w:val="ListParagraph"/>
              <w:ind w:left="0"/>
              <w:rPr>
                <w:rFonts w:ascii="Arial" w:hAnsi="Arial" w:cs="Arial"/>
                <w:sz w:val="17"/>
                <w:szCs w:val="17"/>
                <w:lang w:val="es-ES_tradnl"/>
              </w:rPr>
            </w:pPr>
            <w:r>
              <w:rPr>
                <w:rFonts w:ascii="Arial" w:hAnsi="Arial" w:cs="Arial"/>
                <w:sz w:val="17"/>
                <w:szCs w:val="17"/>
                <w:lang w:val="es-ES_tradnl"/>
              </w:rPr>
              <w:t>2.5</w:t>
            </w:r>
            <w:r w:rsidR="008A78D3" w:rsidRPr="001C59A0">
              <w:rPr>
                <w:rFonts w:ascii="Arial" w:hAnsi="Arial" w:cs="Arial"/>
                <w:sz w:val="17"/>
                <w:szCs w:val="17"/>
                <w:lang w:val="es-ES_tradnl"/>
              </w:rPr>
              <w:t xml:space="preserve"> Concesiones de exploración y de explotación geotérmica otorgadas.</w:t>
            </w:r>
          </w:p>
        </w:tc>
        <w:tc>
          <w:tcPr>
            <w:tcW w:w="719" w:type="pct"/>
            <w:vAlign w:val="center"/>
          </w:tcPr>
          <w:p w:rsidR="008A78D3" w:rsidRPr="001C59A0" w:rsidRDefault="008A78D3" w:rsidP="00285916">
            <w:pPr>
              <w:jc w:val="center"/>
              <w:rPr>
                <w:rFonts w:ascii="Arial" w:hAnsi="Arial" w:cs="Arial"/>
                <w:sz w:val="17"/>
                <w:szCs w:val="17"/>
                <w:lang w:val="es-BO"/>
              </w:rPr>
            </w:pPr>
            <w:r w:rsidRPr="001C59A0">
              <w:rPr>
                <w:rFonts w:ascii="Arial" w:hAnsi="Arial" w:cs="Arial"/>
                <w:sz w:val="17"/>
                <w:szCs w:val="17"/>
                <w:lang w:val="es-BO"/>
              </w:rPr>
              <w:t># concesiones</w:t>
            </w:r>
          </w:p>
        </w:tc>
        <w:tc>
          <w:tcPr>
            <w:tcW w:w="425" w:type="pct"/>
            <w:vAlign w:val="center"/>
          </w:tcPr>
          <w:p w:rsidR="008A78D3" w:rsidRPr="001C59A0" w:rsidRDefault="008A78D3" w:rsidP="00285916">
            <w:pPr>
              <w:jc w:val="center"/>
              <w:rPr>
                <w:rFonts w:ascii="Arial" w:hAnsi="Arial" w:cs="Arial"/>
                <w:sz w:val="17"/>
                <w:szCs w:val="17"/>
                <w:lang w:val="es-ES_tradnl"/>
              </w:rPr>
            </w:pPr>
            <w:r w:rsidRPr="001C59A0">
              <w:rPr>
                <w:rFonts w:ascii="Arial" w:hAnsi="Arial" w:cs="Arial"/>
                <w:sz w:val="17"/>
                <w:szCs w:val="17"/>
                <w:lang w:val="es-ES_tradnl"/>
              </w:rPr>
              <w:t>0</w:t>
            </w:r>
          </w:p>
        </w:tc>
        <w:tc>
          <w:tcPr>
            <w:tcW w:w="350" w:type="pct"/>
            <w:vAlign w:val="center"/>
          </w:tcPr>
          <w:p w:rsidR="008A78D3" w:rsidRPr="001C59A0" w:rsidRDefault="008A78D3" w:rsidP="00285916">
            <w:pPr>
              <w:jc w:val="center"/>
              <w:rPr>
                <w:rFonts w:ascii="Arial" w:hAnsi="Arial" w:cs="Arial"/>
                <w:sz w:val="17"/>
                <w:szCs w:val="17"/>
                <w:lang w:val="es-ES_tradnl"/>
              </w:rPr>
            </w:pPr>
            <w:r w:rsidRPr="001C59A0">
              <w:rPr>
                <w:rFonts w:ascii="Arial" w:hAnsi="Arial" w:cs="Arial"/>
                <w:sz w:val="17"/>
                <w:szCs w:val="17"/>
                <w:lang w:val="es-ES_tradnl"/>
              </w:rPr>
              <w:t>5</w:t>
            </w:r>
          </w:p>
        </w:tc>
        <w:tc>
          <w:tcPr>
            <w:tcW w:w="377" w:type="pct"/>
            <w:vAlign w:val="center"/>
          </w:tcPr>
          <w:p w:rsidR="008A78D3" w:rsidRPr="001C59A0" w:rsidRDefault="008A78D3" w:rsidP="00285916">
            <w:pPr>
              <w:jc w:val="center"/>
              <w:rPr>
                <w:rFonts w:ascii="Arial" w:hAnsi="Arial" w:cs="Arial"/>
                <w:sz w:val="17"/>
                <w:szCs w:val="17"/>
                <w:lang w:val="es-ES_tradnl"/>
              </w:rPr>
            </w:pPr>
            <w:r w:rsidRPr="001C59A0">
              <w:rPr>
                <w:rFonts w:ascii="Arial" w:hAnsi="Arial" w:cs="Arial"/>
                <w:sz w:val="17"/>
                <w:szCs w:val="17"/>
                <w:lang w:val="es-ES_tradnl"/>
              </w:rPr>
              <w:t>-</w:t>
            </w:r>
          </w:p>
        </w:tc>
        <w:tc>
          <w:tcPr>
            <w:tcW w:w="2229" w:type="pct"/>
          </w:tcPr>
          <w:p w:rsidR="008A78D3" w:rsidRPr="001C59A0" w:rsidRDefault="008A78D3" w:rsidP="00285916">
            <w:pPr>
              <w:spacing w:before="120" w:after="120"/>
              <w:rPr>
                <w:rFonts w:ascii="Arial" w:hAnsi="Arial" w:cs="Arial"/>
                <w:b/>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BO"/>
              </w:rPr>
              <w:t>Informe del MINENERGIA</w:t>
            </w:r>
          </w:p>
          <w:p w:rsidR="008A78D3" w:rsidRPr="001C59A0" w:rsidRDefault="008A78D3" w:rsidP="00285916">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Consiste en el número de contratos de concesión otorgados que dan derechos de exploración y explotación para el desarrollo de generación eléctrica a partir de energía geotérmica.</w:t>
            </w:r>
          </w:p>
          <w:p w:rsidR="008A78D3" w:rsidRPr="001C59A0" w:rsidRDefault="008A78D3" w:rsidP="00285916">
            <w:pPr>
              <w:spacing w:before="120" w:after="120"/>
              <w:rPr>
                <w:rFonts w:ascii="Arial" w:hAnsi="Arial" w:cs="Arial"/>
                <w:sz w:val="17"/>
                <w:szCs w:val="17"/>
                <w:lang w:val="es-BO"/>
              </w:rPr>
            </w:pPr>
            <w:r w:rsidRPr="001C59A0">
              <w:rPr>
                <w:rFonts w:ascii="Arial" w:hAnsi="Arial" w:cs="Arial"/>
                <w:b/>
                <w:sz w:val="17"/>
                <w:szCs w:val="17"/>
                <w:lang w:val="es-BO"/>
              </w:rPr>
              <w:t>Metodología de evaluación:</w:t>
            </w:r>
            <w:r w:rsidRPr="001C59A0">
              <w:rPr>
                <w:rFonts w:ascii="Arial" w:hAnsi="Arial" w:cs="Arial"/>
                <w:sz w:val="17"/>
                <w:szCs w:val="17"/>
                <w:lang w:val="es-BO"/>
              </w:rPr>
              <w:t xml:space="preserve"> antes y después, a partir de informes técnicos.</w:t>
            </w:r>
          </w:p>
        </w:tc>
      </w:tr>
      <w:tr w:rsidR="008A78D3" w:rsidRPr="00EF4F23" w:rsidTr="006053CA">
        <w:trPr>
          <w:trHeight w:val="64"/>
          <w:jc w:val="center"/>
        </w:trPr>
        <w:tc>
          <w:tcPr>
            <w:tcW w:w="5000" w:type="pct"/>
            <w:gridSpan w:val="6"/>
            <w:shd w:val="clear" w:color="auto" w:fill="D9D9D9" w:themeFill="background1" w:themeFillShade="D9"/>
          </w:tcPr>
          <w:p w:rsidR="008A78D3" w:rsidRPr="001C59A0" w:rsidRDefault="008A78D3" w:rsidP="00B47A58">
            <w:pPr>
              <w:numPr>
                <w:ilvl w:val="0"/>
                <w:numId w:val="28"/>
              </w:numPr>
              <w:spacing w:before="120" w:after="120"/>
              <w:rPr>
                <w:rFonts w:ascii="Arial" w:hAnsi="Arial" w:cs="Arial"/>
                <w:sz w:val="17"/>
                <w:szCs w:val="17"/>
                <w:lang w:val="es-BO"/>
              </w:rPr>
            </w:pPr>
            <w:r w:rsidRPr="001C59A0">
              <w:rPr>
                <w:rFonts w:ascii="Arial" w:hAnsi="Arial" w:cs="Arial"/>
                <w:b/>
                <w:sz w:val="17"/>
                <w:szCs w:val="17"/>
                <w:lang w:val="es-CO"/>
              </w:rPr>
              <w:t>Promover la diversificación y participación de las energías renovables (ER) en la matriz energética</w:t>
            </w:r>
            <w:r w:rsidRPr="001C59A0">
              <w:rPr>
                <w:rFonts w:ascii="Arial" w:hAnsi="Arial" w:cs="Arial"/>
                <w:b/>
                <w:i/>
                <w:sz w:val="17"/>
                <w:szCs w:val="17"/>
                <w:lang w:val="es-BO"/>
              </w:rPr>
              <w:t>.</w:t>
            </w:r>
          </w:p>
        </w:tc>
      </w:tr>
      <w:tr w:rsidR="008A78D3" w:rsidRPr="00EF4F23" w:rsidTr="008A78D3">
        <w:trPr>
          <w:trHeight w:val="64"/>
          <w:jc w:val="center"/>
        </w:trPr>
        <w:tc>
          <w:tcPr>
            <w:tcW w:w="900" w:type="pct"/>
            <w:shd w:val="clear" w:color="auto" w:fill="auto"/>
            <w:vAlign w:val="center"/>
          </w:tcPr>
          <w:p w:rsidR="008A78D3" w:rsidRPr="001C59A0" w:rsidRDefault="008A78D3" w:rsidP="00DE4B10">
            <w:pPr>
              <w:pStyle w:val="ListParagraph"/>
              <w:ind w:left="0"/>
              <w:rPr>
                <w:rFonts w:ascii="Arial" w:hAnsi="Arial" w:cs="Arial"/>
                <w:sz w:val="17"/>
                <w:szCs w:val="17"/>
                <w:highlight w:val="yellow"/>
                <w:lang w:val="es-ES_tradnl"/>
              </w:rPr>
            </w:pPr>
            <w:r w:rsidRPr="001C59A0">
              <w:rPr>
                <w:rFonts w:ascii="Arial" w:hAnsi="Arial" w:cs="Arial"/>
                <w:sz w:val="17"/>
                <w:szCs w:val="17"/>
                <w:lang w:val="es-ES_tradnl"/>
              </w:rPr>
              <w:t>3.1  Porcentaje de generación eléctrica con fuentes de energías renovables en la matriz energética.</w:t>
            </w:r>
          </w:p>
        </w:tc>
        <w:tc>
          <w:tcPr>
            <w:tcW w:w="719" w:type="pct"/>
            <w:shd w:val="clear" w:color="auto" w:fill="auto"/>
            <w:vAlign w:val="center"/>
          </w:tcPr>
          <w:p w:rsidR="008A78D3" w:rsidRPr="001C59A0" w:rsidRDefault="008A78D3" w:rsidP="00DE4B10">
            <w:pPr>
              <w:jc w:val="center"/>
              <w:rPr>
                <w:rFonts w:ascii="Arial" w:hAnsi="Arial" w:cs="Arial"/>
                <w:sz w:val="17"/>
                <w:szCs w:val="17"/>
                <w:lang w:val="es-BO"/>
              </w:rPr>
            </w:pPr>
            <w:r w:rsidRPr="001C59A0">
              <w:rPr>
                <w:rFonts w:ascii="Arial" w:hAnsi="Arial" w:cs="Arial"/>
                <w:sz w:val="17"/>
                <w:szCs w:val="17"/>
                <w:lang w:val="es-BO"/>
              </w:rPr>
              <w:t>% energía generada</w:t>
            </w:r>
          </w:p>
        </w:tc>
        <w:tc>
          <w:tcPr>
            <w:tcW w:w="425"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41</w:t>
            </w:r>
          </w:p>
        </w:tc>
        <w:tc>
          <w:tcPr>
            <w:tcW w:w="350"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w:t>
            </w:r>
          </w:p>
        </w:tc>
        <w:tc>
          <w:tcPr>
            <w:tcW w:w="377"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48</w:t>
            </w:r>
          </w:p>
        </w:tc>
        <w:tc>
          <w:tcPr>
            <w:tcW w:w="2229" w:type="pct"/>
            <w:shd w:val="clear" w:color="auto" w:fill="auto"/>
            <w:vAlign w:val="center"/>
          </w:tcPr>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BO"/>
              </w:rPr>
              <w:t>Informe de Energía Abierta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 xml:space="preserve">ER Generada/Energía Total Generada. La meta corresponde al avance progresivo del cumplimento de los objetivos y actividades de la Agenda de Energía. </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 xml:space="preserve">antes y después, a partir de </w:t>
            </w:r>
            <w:r w:rsidRPr="001C59A0">
              <w:rPr>
                <w:rFonts w:ascii="Arial" w:hAnsi="Arial" w:cs="Arial"/>
                <w:sz w:val="17"/>
                <w:szCs w:val="17"/>
                <w:lang w:val="es-BO"/>
              </w:rPr>
              <w:lastRenderedPageBreak/>
              <w:t>informes técnicos.</w:t>
            </w:r>
          </w:p>
        </w:tc>
      </w:tr>
      <w:tr w:rsidR="008A78D3" w:rsidRPr="00EF4F23" w:rsidTr="008A78D3">
        <w:trPr>
          <w:trHeight w:val="64"/>
          <w:jc w:val="center"/>
        </w:trPr>
        <w:tc>
          <w:tcPr>
            <w:tcW w:w="900" w:type="pct"/>
            <w:shd w:val="clear" w:color="auto" w:fill="auto"/>
            <w:vAlign w:val="center"/>
          </w:tcPr>
          <w:p w:rsidR="008A78D3" w:rsidRPr="001C59A0" w:rsidRDefault="008A78D3" w:rsidP="00DE4B10">
            <w:pPr>
              <w:pStyle w:val="ListParagraph"/>
              <w:ind w:left="0"/>
              <w:rPr>
                <w:rFonts w:ascii="Arial" w:hAnsi="Arial" w:cs="Arial"/>
                <w:sz w:val="17"/>
                <w:szCs w:val="17"/>
                <w:lang w:val="es-ES_tradnl"/>
              </w:rPr>
            </w:pPr>
            <w:r w:rsidRPr="001C59A0">
              <w:rPr>
                <w:rFonts w:ascii="Arial" w:hAnsi="Arial" w:cs="Arial"/>
                <w:sz w:val="17"/>
                <w:szCs w:val="17"/>
                <w:lang w:val="es-ES_tradnl"/>
              </w:rPr>
              <w:lastRenderedPageBreak/>
              <w:t>3.2 Porcentaje de generación eléctrica con fuentes de energías renovables no convencionales en la matriz energética.</w:t>
            </w:r>
          </w:p>
        </w:tc>
        <w:tc>
          <w:tcPr>
            <w:tcW w:w="719" w:type="pct"/>
            <w:shd w:val="clear" w:color="auto" w:fill="auto"/>
            <w:vAlign w:val="center"/>
          </w:tcPr>
          <w:p w:rsidR="008A78D3" w:rsidRPr="001C59A0" w:rsidRDefault="008A78D3" w:rsidP="00DE4B10">
            <w:pPr>
              <w:jc w:val="center"/>
              <w:rPr>
                <w:rFonts w:ascii="Arial" w:hAnsi="Arial" w:cs="Arial"/>
                <w:sz w:val="17"/>
                <w:szCs w:val="17"/>
                <w:lang w:val="es-BO"/>
              </w:rPr>
            </w:pPr>
            <w:r w:rsidRPr="001C59A0">
              <w:rPr>
                <w:rFonts w:ascii="Arial" w:hAnsi="Arial" w:cs="Arial"/>
                <w:sz w:val="17"/>
                <w:szCs w:val="17"/>
                <w:lang w:val="es-BO"/>
              </w:rPr>
              <w:t>% energía generada</w:t>
            </w:r>
          </w:p>
        </w:tc>
        <w:tc>
          <w:tcPr>
            <w:tcW w:w="425"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12</w:t>
            </w:r>
          </w:p>
        </w:tc>
        <w:tc>
          <w:tcPr>
            <w:tcW w:w="350"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w:t>
            </w:r>
          </w:p>
        </w:tc>
        <w:tc>
          <w:tcPr>
            <w:tcW w:w="377"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20</w:t>
            </w:r>
          </w:p>
        </w:tc>
        <w:tc>
          <w:tcPr>
            <w:tcW w:w="2229" w:type="pct"/>
            <w:shd w:val="clear" w:color="auto" w:fill="auto"/>
            <w:vAlign w:val="center"/>
          </w:tcPr>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BO"/>
              </w:rPr>
              <w:t>Informe de Energía Abierta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ERNC Generada/Energía Total Generada. La meta corresponde al avance progresivo del cumplimento de los objetivos y actividades de la Agenda de Energía.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 a partir de informes técnicos.</w:t>
            </w:r>
          </w:p>
        </w:tc>
      </w:tr>
      <w:tr w:rsidR="008A78D3" w:rsidRPr="00EF4F23" w:rsidTr="008A78D3">
        <w:trPr>
          <w:trHeight w:val="64"/>
          <w:jc w:val="center"/>
        </w:trPr>
        <w:tc>
          <w:tcPr>
            <w:tcW w:w="900" w:type="pct"/>
            <w:tcBorders>
              <w:bottom w:val="single" w:sz="4" w:space="0" w:color="000000"/>
            </w:tcBorders>
            <w:shd w:val="clear" w:color="auto" w:fill="auto"/>
            <w:vAlign w:val="center"/>
          </w:tcPr>
          <w:p w:rsidR="008A78D3" w:rsidRPr="001C59A0" w:rsidRDefault="008A78D3" w:rsidP="00DE4B10">
            <w:pPr>
              <w:pStyle w:val="ListParagraph"/>
              <w:ind w:left="0"/>
              <w:rPr>
                <w:rFonts w:ascii="Arial" w:hAnsi="Arial" w:cs="Arial"/>
                <w:sz w:val="17"/>
                <w:szCs w:val="17"/>
                <w:lang w:val="es-ES_tradnl"/>
              </w:rPr>
            </w:pPr>
            <w:r w:rsidRPr="001C59A0">
              <w:rPr>
                <w:rFonts w:ascii="Arial" w:hAnsi="Arial" w:cs="Arial"/>
                <w:sz w:val="17"/>
                <w:szCs w:val="17"/>
                <w:lang w:val="es-ES_tradnl"/>
              </w:rPr>
              <w:t>3.3 Capacidad de generación eléctrica a partir de ERNC en los Sistemas SIC y SING.</w:t>
            </w:r>
          </w:p>
        </w:tc>
        <w:tc>
          <w:tcPr>
            <w:tcW w:w="719" w:type="pct"/>
            <w:tcBorders>
              <w:bottom w:val="single" w:sz="4" w:space="0" w:color="000000"/>
            </w:tcBorders>
            <w:shd w:val="clear" w:color="auto" w:fill="auto"/>
            <w:vAlign w:val="center"/>
          </w:tcPr>
          <w:p w:rsidR="008A78D3" w:rsidRPr="001C59A0" w:rsidRDefault="008A78D3" w:rsidP="00DE4B10">
            <w:pPr>
              <w:jc w:val="center"/>
              <w:rPr>
                <w:rFonts w:ascii="Arial" w:hAnsi="Arial" w:cs="Arial"/>
                <w:sz w:val="17"/>
                <w:szCs w:val="17"/>
                <w:lang w:val="es-BO"/>
              </w:rPr>
            </w:pPr>
            <w:r w:rsidRPr="001C59A0">
              <w:rPr>
                <w:rFonts w:ascii="Arial" w:hAnsi="Arial" w:cs="Arial"/>
                <w:sz w:val="17"/>
                <w:szCs w:val="17"/>
                <w:lang w:val="es-BO"/>
              </w:rPr>
              <w:t>MW</w:t>
            </w:r>
          </w:p>
        </w:tc>
        <w:tc>
          <w:tcPr>
            <w:tcW w:w="425" w:type="pct"/>
            <w:tcBorders>
              <w:bottom w:val="single" w:sz="4" w:space="0" w:color="000000"/>
            </w:tcBorders>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2.369</w:t>
            </w:r>
          </w:p>
        </w:tc>
        <w:tc>
          <w:tcPr>
            <w:tcW w:w="350" w:type="pct"/>
            <w:tcBorders>
              <w:bottom w:val="single" w:sz="4" w:space="0" w:color="000000"/>
            </w:tcBorders>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5.585</w:t>
            </w:r>
          </w:p>
        </w:tc>
        <w:tc>
          <w:tcPr>
            <w:tcW w:w="377" w:type="pct"/>
            <w:tcBorders>
              <w:bottom w:val="single" w:sz="4" w:space="0" w:color="000000"/>
            </w:tcBorders>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5.809</w:t>
            </w:r>
          </w:p>
        </w:tc>
        <w:tc>
          <w:tcPr>
            <w:tcW w:w="2229" w:type="pct"/>
            <w:tcBorders>
              <w:bottom w:val="single" w:sz="4" w:space="0" w:color="000000"/>
            </w:tcBorders>
            <w:shd w:val="clear" w:color="auto" w:fill="auto"/>
            <w:vAlign w:val="center"/>
          </w:tcPr>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BO"/>
              </w:rPr>
              <w:t>Informe de Energía Abierta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Se refiere a la capacidad instalada de ERNC en MW. La meta corresponde al avance progresivo del cumplimento de los objetivos y actividades de la Agenda de Energía.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 a partir de informes técnicos.</w:t>
            </w:r>
          </w:p>
        </w:tc>
      </w:tr>
      <w:tr w:rsidR="008A78D3" w:rsidRPr="00EF4F23" w:rsidTr="006053CA">
        <w:trPr>
          <w:trHeight w:val="368"/>
          <w:jc w:val="center"/>
        </w:trPr>
        <w:tc>
          <w:tcPr>
            <w:tcW w:w="5000" w:type="pct"/>
            <w:gridSpan w:val="6"/>
            <w:shd w:val="clear" w:color="auto" w:fill="D9D9D9" w:themeFill="background1" w:themeFillShade="D9"/>
          </w:tcPr>
          <w:p w:rsidR="008A78D3" w:rsidRPr="001C59A0" w:rsidRDefault="008A78D3" w:rsidP="00B47A58">
            <w:pPr>
              <w:numPr>
                <w:ilvl w:val="0"/>
                <w:numId w:val="28"/>
              </w:numPr>
              <w:spacing w:before="120" w:after="120"/>
              <w:rPr>
                <w:rFonts w:ascii="Arial" w:hAnsi="Arial" w:cs="Arial"/>
                <w:b/>
                <w:i/>
                <w:sz w:val="17"/>
                <w:szCs w:val="17"/>
                <w:lang w:val="es-BO"/>
              </w:rPr>
            </w:pPr>
            <w:r w:rsidRPr="001C59A0">
              <w:rPr>
                <w:rFonts w:ascii="Arial" w:hAnsi="Arial" w:cs="Arial"/>
                <w:b/>
                <w:i/>
                <w:sz w:val="17"/>
                <w:szCs w:val="17"/>
                <w:lang w:val="es-CO"/>
              </w:rPr>
              <w:t>Fomentar el uso eficiente de la energía</w:t>
            </w:r>
            <w:r w:rsidRPr="001C59A0">
              <w:rPr>
                <w:rFonts w:ascii="Arial" w:hAnsi="Arial" w:cs="Arial"/>
                <w:b/>
                <w:i/>
                <w:sz w:val="17"/>
                <w:szCs w:val="17"/>
                <w:lang w:val="es-BO"/>
              </w:rPr>
              <w:t>.</w:t>
            </w:r>
          </w:p>
        </w:tc>
      </w:tr>
      <w:tr w:rsidR="008A78D3" w:rsidRPr="00EF4F23" w:rsidTr="008A78D3">
        <w:trPr>
          <w:trHeight w:val="64"/>
          <w:jc w:val="center"/>
        </w:trPr>
        <w:tc>
          <w:tcPr>
            <w:tcW w:w="900" w:type="pct"/>
            <w:vAlign w:val="center"/>
          </w:tcPr>
          <w:p w:rsidR="008A78D3" w:rsidRPr="001C59A0" w:rsidRDefault="008A78D3" w:rsidP="00DE4B10">
            <w:pPr>
              <w:pStyle w:val="ListParagraph"/>
              <w:ind w:left="0"/>
              <w:rPr>
                <w:rFonts w:ascii="Arial" w:hAnsi="Arial" w:cs="Arial"/>
                <w:sz w:val="17"/>
                <w:szCs w:val="17"/>
                <w:lang w:val="en-CA"/>
              </w:rPr>
            </w:pPr>
            <w:r w:rsidRPr="001C59A0">
              <w:rPr>
                <w:rFonts w:ascii="Arial" w:hAnsi="Arial" w:cs="Arial"/>
                <w:sz w:val="17"/>
                <w:szCs w:val="17"/>
                <w:lang w:val="es-ES_tradnl"/>
              </w:rPr>
              <w:t>4.1 Consumo de electricidad en alumbrado público por reemplazo de lámparas incandesc</w:t>
            </w:r>
            <w:r w:rsidRPr="001C59A0">
              <w:rPr>
                <w:rFonts w:ascii="Arial" w:hAnsi="Arial" w:cs="Arial"/>
                <w:sz w:val="17"/>
                <w:szCs w:val="17"/>
                <w:lang w:val="en-CA"/>
              </w:rPr>
              <w:t>entes por LED.</w:t>
            </w:r>
          </w:p>
        </w:tc>
        <w:tc>
          <w:tcPr>
            <w:tcW w:w="719" w:type="pct"/>
            <w:vAlign w:val="center"/>
          </w:tcPr>
          <w:p w:rsidR="008A78D3" w:rsidRPr="001C59A0" w:rsidRDefault="008A78D3" w:rsidP="00DE4B10">
            <w:pPr>
              <w:jc w:val="center"/>
              <w:rPr>
                <w:rFonts w:ascii="Arial" w:hAnsi="Arial" w:cs="Arial"/>
                <w:sz w:val="17"/>
                <w:szCs w:val="17"/>
              </w:rPr>
            </w:pPr>
            <w:r w:rsidRPr="001C59A0">
              <w:rPr>
                <w:rFonts w:ascii="Arial" w:hAnsi="Arial" w:cs="Arial"/>
                <w:sz w:val="17"/>
                <w:szCs w:val="17"/>
              </w:rPr>
              <w:t>GWh/año</w:t>
            </w:r>
          </w:p>
        </w:tc>
        <w:tc>
          <w:tcPr>
            <w:tcW w:w="425"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118.8</w:t>
            </w:r>
          </w:p>
        </w:tc>
        <w:tc>
          <w:tcPr>
            <w:tcW w:w="350" w:type="pct"/>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w:t>
            </w:r>
          </w:p>
        </w:tc>
        <w:tc>
          <w:tcPr>
            <w:tcW w:w="377"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70.8</w:t>
            </w:r>
          </w:p>
        </w:tc>
        <w:tc>
          <w:tcPr>
            <w:tcW w:w="2229" w:type="pct"/>
          </w:tcPr>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BO"/>
              </w:rPr>
              <w:t xml:space="preserve">Informe de la Agencia Chilena Eficiencia Energética (ACHEE) y el MINENERGIA sobre las luminarias reemplazadas </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Se refiere al consumo de energía en GWh/año de las 200.000 luminarias de alumbrado público. La línea base corresponde al consumo en GWh/año de 200.000 luminarias incandescentes de 120 W. La meta fue estimada considerando que el cambio por luminarias LED tendrá una eficiencia de reducción del 40% en el consumo de cada luminaria.</w:t>
            </w:r>
          </w:p>
          <w:p w:rsidR="008A78D3" w:rsidRPr="001C59A0" w:rsidRDefault="008A78D3" w:rsidP="00784651">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 a partir de informes técnicos</w:t>
            </w:r>
          </w:p>
        </w:tc>
      </w:tr>
      <w:tr w:rsidR="008A78D3" w:rsidRPr="00EF4F23" w:rsidTr="006053CA">
        <w:trPr>
          <w:trHeight w:val="64"/>
          <w:jc w:val="center"/>
        </w:trPr>
        <w:tc>
          <w:tcPr>
            <w:tcW w:w="5000" w:type="pct"/>
            <w:gridSpan w:val="6"/>
            <w:shd w:val="clear" w:color="auto" w:fill="D9D9D9" w:themeFill="background1" w:themeFillShade="D9"/>
          </w:tcPr>
          <w:p w:rsidR="008A78D3" w:rsidRPr="001C59A0" w:rsidRDefault="008A78D3" w:rsidP="00B47A58">
            <w:pPr>
              <w:numPr>
                <w:ilvl w:val="0"/>
                <w:numId w:val="28"/>
              </w:numPr>
              <w:spacing w:before="120" w:after="120"/>
              <w:rPr>
                <w:rFonts w:ascii="Arial" w:hAnsi="Arial" w:cs="Arial"/>
                <w:sz w:val="17"/>
                <w:szCs w:val="17"/>
                <w:lang w:val="es-BO"/>
              </w:rPr>
            </w:pPr>
            <w:r w:rsidRPr="001C59A0">
              <w:rPr>
                <w:rFonts w:ascii="Arial" w:hAnsi="Arial" w:cs="Arial"/>
                <w:b/>
                <w:sz w:val="17"/>
                <w:szCs w:val="17"/>
                <w:lang w:val="es-CO"/>
              </w:rPr>
              <w:t>Incrementar los intercambios y la transferencia de energía a nivel internacional</w:t>
            </w:r>
            <w:r w:rsidRPr="001C59A0">
              <w:rPr>
                <w:rFonts w:ascii="Arial" w:hAnsi="Arial" w:cs="Arial"/>
                <w:b/>
                <w:i/>
                <w:sz w:val="17"/>
                <w:szCs w:val="17"/>
                <w:lang w:val="es-BO"/>
              </w:rPr>
              <w:t>.</w:t>
            </w:r>
          </w:p>
        </w:tc>
      </w:tr>
      <w:tr w:rsidR="008A78D3" w:rsidRPr="00EF4F23" w:rsidTr="008A78D3">
        <w:trPr>
          <w:trHeight w:val="64"/>
          <w:jc w:val="center"/>
        </w:trPr>
        <w:tc>
          <w:tcPr>
            <w:tcW w:w="900" w:type="pct"/>
            <w:shd w:val="clear" w:color="auto" w:fill="auto"/>
            <w:vAlign w:val="center"/>
          </w:tcPr>
          <w:p w:rsidR="008A78D3" w:rsidRPr="001C59A0" w:rsidRDefault="008A78D3" w:rsidP="004D6218">
            <w:pPr>
              <w:pStyle w:val="ListParagraph"/>
              <w:ind w:left="0"/>
              <w:rPr>
                <w:rFonts w:ascii="Arial" w:hAnsi="Arial" w:cs="Arial"/>
                <w:sz w:val="17"/>
                <w:szCs w:val="17"/>
                <w:highlight w:val="yellow"/>
                <w:lang w:val="es-ES_tradnl"/>
              </w:rPr>
            </w:pPr>
            <w:r w:rsidRPr="001C59A0">
              <w:rPr>
                <w:rFonts w:ascii="Arial" w:hAnsi="Arial" w:cs="Arial"/>
                <w:sz w:val="17"/>
                <w:szCs w:val="17"/>
                <w:lang w:val="es-ES_tradnl"/>
              </w:rPr>
              <w:t>5.1 Energía exportada (Miles de Ton netas equivalentes de petróleo).</w:t>
            </w:r>
          </w:p>
        </w:tc>
        <w:tc>
          <w:tcPr>
            <w:tcW w:w="719" w:type="pct"/>
            <w:shd w:val="clear" w:color="auto" w:fill="auto"/>
            <w:vAlign w:val="center"/>
          </w:tcPr>
          <w:p w:rsidR="008A78D3" w:rsidRPr="001C59A0" w:rsidRDefault="008A78D3" w:rsidP="00DE4B10">
            <w:pPr>
              <w:jc w:val="center"/>
              <w:rPr>
                <w:rFonts w:ascii="Arial" w:hAnsi="Arial" w:cs="Arial"/>
                <w:sz w:val="17"/>
                <w:szCs w:val="17"/>
                <w:lang w:val="es-BO"/>
              </w:rPr>
            </w:pPr>
            <w:r w:rsidRPr="001C59A0">
              <w:rPr>
                <w:rFonts w:ascii="Arial" w:hAnsi="Arial" w:cs="Arial"/>
                <w:sz w:val="17"/>
                <w:szCs w:val="17"/>
                <w:lang w:val="es-BO"/>
              </w:rPr>
              <w:t>TEP</w:t>
            </w:r>
          </w:p>
        </w:tc>
        <w:tc>
          <w:tcPr>
            <w:tcW w:w="425"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1.115</w:t>
            </w:r>
          </w:p>
        </w:tc>
        <w:tc>
          <w:tcPr>
            <w:tcW w:w="350"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w:t>
            </w:r>
          </w:p>
        </w:tc>
        <w:tc>
          <w:tcPr>
            <w:tcW w:w="377"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1.226,5</w:t>
            </w:r>
          </w:p>
        </w:tc>
        <w:tc>
          <w:tcPr>
            <w:tcW w:w="2229" w:type="pct"/>
            <w:shd w:val="clear" w:color="auto" w:fill="auto"/>
            <w:vAlign w:val="center"/>
          </w:tcPr>
          <w:p w:rsidR="008A78D3" w:rsidRPr="001C59A0" w:rsidRDefault="008A78D3" w:rsidP="00784651">
            <w:pPr>
              <w:spacing w:before="120" w:after="120"/>
              <w:rPr>
                <w:rFonts w:ascii="Arial" w:hAnsi="Arial" w:cs="Arial"/>
                <w:b/>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ES_tradnl"/>
              </w:rPr>
              <w:t>Informe de Energía Abierta</w:t>
            </w:r>
          </w:p>
          <w:p w:rsidR="008A78D3" w:rsidRPr="001C59A0" w:rsidRDefault="008A78D3" w:rsidP="002559C0">
            <w:pPr>
              <w:spacing w:before="120" w:after="120"/>
              <w:rPr>
                <w:rFonts w:ascii="Arial" w:hAnsi="Arial" w:cs="Arial"/>
                <w:sz w:val="17"/>
                <w:szCs w:val="17"/>
                <w:lang w:val="es-ES_tradnl"/>
              </w:rPr>
            </w:pPr>
            <w:r w:rsidRPr="001C59A0">
              <w:rPr>
                <w:rFonts w:ascii="Arial" w:hAnsi="Arial" w:cs="Arial"/>
                <w:b/>
                <w:sz w:val="17"/>
                <w:szCs w:val="17"/>
                <w:lang w:val="es-BO"/>
              </w:rPr>
              <w:t xml:space="preserve">Definición/cálculo: </w:t>
            </w:r>
            <w:r w:rsidRPr="001C59A0">
              <w:rPr>
                <w:rFonts w:ascii="Arial" w:hAnsi="Arial" w:cs="Arial"/>
                <w:sz w:val="17"/>
                <w:szCs w:val="17"/>
                <w:lang w:val="es-ES_tradnl"/>
              </w:rPr>
              <w:t xml:space="preserve">Corresponde al equivalente en Tons de petróleo de la energía exportada ya sea en forma de electricidad o gas natural, siguiendo las equivalencias de la Agencia Internacional de Energía, así: </w:t>
            </w:r>
          </w:p>
          <w:p w:rsidR="008A78D3" w:rsidRPr="001C59A0" w:rsidRDefault="008A78D3" w:rsidP="004D6218">
            <w:pPr>
              <w:rPr>
                <w:rFonts w:ascii="Arial" w:hAnsi="Arial" w:cs="Arial"/>
                <w:sz w:val="17"/>
                <w:szCs w:val="17"/>
              </w:rPr>
            </w:pPr>
            <w:r w:rsidRPr="001C59A0">
              <w:rPr>
                <w:rFonts w:ascii="Arial" w:hAnsi="Arial" w:cs="Arial"/>
                <w:sz w:val="17"/>
                <w:szCs w:val="17"/>
              </w:rPr>
              <w:t>1 TEP = 11.63 MWh</w:t>
            </w:r>
          </w:p>
          <w:p w:rsidR="008A78D3" w:rsidRPr="001C59A0" w:rsidRDefault="008A78D3" w:rsidP="004D6218">
            <w:pPr>
              <w:rPr>
                <w:rFonts w:ascii="Arial" w:hAnsi="Arial" w:cs="Arial"/>
                <w:sz w:val="17"/>
                <w:szCs w:val="17"/>
              </w:rPr>
            </w:pPr>
            <w:r w:rsidRPr="001C59A0">
              <w:rPr>
                <w:rFonts w:ascii="Arial" w:hAnsi="Arial" w:cs="Arial"/>
                <w:sz w:val="17"/>
                <w:szCs w:val="17"/>
              </w:rPr>
              <w:t>1 TEP = 39,683,207.2 british thermal unit (BTU)</w:t>
            </w:r>
          </w:p>
          <w:p w:rsidR="008A78D3" w:rsidRPr="001C59A0" w:rsidRDefault="008A78D3" w:rsidP="004D6218">
            <w:pPr>
              <w:rPr>
                <w:rFonts w:ascii="Arial" w:hAnsi="Arial" w:cs="Arial"/>
                <w:sz w:val="17"/>
                <w:szCs w:val="17"/>
                <w:lang w:val="es-ES_tradnl"/>
              </w:rPr>
            </w:pPr>
            <w:r w:rsidRPr="001C59A0">
              <w:rPr>
                <w:rFonts w:ascii="Arial" w:hAnsi="Arial" w:cs="Arial"/>
                <w:sz w:val="17"/>
                <w:szCs w:val="17"/>
                <w:lang w:val="es-ES_tradnl"/>
              </w:rPr>
              <w:t>1 TEP = 41.868 gigajulios (GJ)</w:t>
            </w:r>
          </w:p>
          <w:p w:rsidR="008A78D3" w:rsidRPr="001C59A0" w:rsidRDefault="008A78D3" w:rsidP="002559C0">
            <w:pPr>
              <w:spacing w:before="120" w:after="120"/>
              <w:rPr>
                <w:rFonts w:ascii="Arial" w:hAnsi="Arial" w:cs="Arial"/>
                <w:sz w:val="17"/>
                <w:szCs w:val="17"/>
                <w:lang w:val="es-ES_tradnl"/>
              </w:rPr>
            </w:pPr>
            <w:r w:rsidRPr="001C59A0">
              <w:rPr>
                <w:rFonts w:ascii="Arial" w:hAnsi="Arial" w:cs="Arial"/>
                <w:sz w:val="17"/>
                <w:szCs w:val="17"/>
                <w:lang w:val="es-ES_tradnl"/>
              </w:rPr>
              <w:t xml:space="preserve"> La meta se determina a partir de un análisis del comportamiento de las transacciones intercambio de energía presentado entre Chile y Argentina en años recientes. </w:t>
            </w:r>
          </w:p>
          <w:p w:rsidR="008A78D3" w:rsidRPr="001C59A0" w:rsidRDefault="008A78D3" w:rsidP="002559C0">
            <w:pPr>
              <w:spacing w:before="120" w:after="120"/>
              <w:rPr>
                <w:rFonts w:ascii="Arial" w:hAnsi="Arial" w:cs="Arial"/>
                <w:sz w:val="17"/>
                <w:szCs w:val="17"/>
                <w:lang w:val="es-BO"/>
              </w:rPr>
            </w:pPr>
            <w:r w:rsidRPr="001C59A0">
              <w:rPr>
                <w:rFonts w:ascii="Arial" w:hAnsi="Arial" w:cs="Arial"/>
                <w:b/>
                <w:sz w:val="17"/>
                <w:szCs w:val="17"/>
                <w:lang w:val="es-BO"/>
              </w:rPr>
              <w:t xml:space="preserve">Metodología de evaluación: </w:t>
            </w:r>
            <w:r w:rsidRPr="001C59A0">
              <w:rPr>
                <w:rFonts w:ascii="Arial" w:hAnsi="Arial" w:cs="Arial"/>
                <w:sz w:val="17"/>
                <w:szCs w:val="17"/>
                <w:lang w:val="es-BO"/>
              </w:rPr>
              <w:t>antes y después, a partir de informes técnicos</w:t>
            </w:r>
          </w:p>
        </w:tc>
      </w:tr>
      <w:tr w:rsidR="008A78D3" w:rsidRPr="00EF4F23" w:rsidTr="008A78D3">
        <w:trPr>
          <w:trHeight w:val="64"/>
          <w:jc w:val="center"/>
        </w:trPr>
        <w:tc>
          <w:tcPr>
            <w:tcW w:w="900" w:type="pct"/>
            <w:shd w:val="clear" w:color="auto" w:fill="auto"/>
            <w:vAlign w:val="center"/>
          </w:tcPr>
          <w:p w:rsidR="008A78D3" w:rsidRPr="001C59A0" w:rsidRDefault="008A78D3" w:rsidP="00DE4B10">
            <w:pPr>
              <w:pStyle w:val="ListParagraph"/>
              <w:ind w:left="0"/>
              <w:rPr>
                <w:rFonts w:ascii="Arial" w:hAnsi="Arial" w:cs="Arial"/>
                <w:sz w:val="17"/>
                <w:szCs w:val="17"/>
                <w:lang w:val="es-ES_tradnl"/>
              </w:rPr>
            </w:pPr>
            <w:r w:rsidRPr="001C59A0">
              <w:rPr>
                <w:rFonts w:ascii="Arial" w:hAnsi="Arial" w:cs="Arial"/>
                <w:sz w:val="17"/>
                <w:szCs w:val="17"/>
                <w:lang w:val="es-ES_tradnl"/>
              </w:rPr>
              <w:t>5.2 Energía eléctrica transferida binacionalmente.</w:t>
            </w:r>
          </w:p>
        </w:tc>
        <w:tc>
          <w:tcPr>
            <w:tcW w:w="719" w:type="pct"/>
            <w:shd w:val="clear" w:color="auto" w:fill="auto"/>
            <w:vAlign w:val="center"/>
          </w:tcPr>
          <w:p w:rsidR="008A78D3" w:rsidRPr="001C59A0" w:rsidRDefault="008A78D3" w:rsidP="00DE4B10">
            <w:pPr>
              <w:jc w:val="center"/>
              <w:rPr>
                <w:rFonts w:ascii="Arial" w:hAnsi="Arial" w:cs="Arial"/>
                <w:sz w:val="17"/>
                <w:szCs w:val="17"/>
                <w:lang w:val="es-BO"/>
              </w:rPr>
            </w:pPr>
            <w:r w:rsidRPr="001C59A0">
              <w:rPr>
                <w:rFonts w:ascii="Arial" w:hAnsi="Arial" w:cs="Arial"/>
                <w:sz w:val="17"/>
                <w:szCs w:val="17"/>
                <w:lang w:val="es-BO"/>
              </w:rPr>
              <w:t>GWh/año</w:t>
            </w:r>
          </w:p>
        </w:tc>
        <w:tc>
          <w:tcPr>
            <w:tcW w:w="425"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0</w:t>
            </w:r>
          </w:p>
        </w:tc>
        <w:tc>
          <w:tcPr>
            <w:tcW w:w="350" w:type="pct"/>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47,8</w:t>
            </w:r>
          </w:p>
        </w:tc>
        <w:tc>
          <w:tcPr>
            <w:tcW w:w="377" w:type="pct"/>
            <w:shd w:val="clear" w:color="auto" w:fill="auto"/>
            <w:vAlign w:val="center"/>
          </w:tcPr>
          <w:p w:rsidR="008A78D3" w:rsidRPr="001C59A0" w:rsidRDefault="008A78D3" w:rsidP="00DE4B10">
            <w:pPr>
              <w:jc w:val="center"/>
              <w:rPr>
                <w:rFonts w:ascii="Arial" w:hAnsi="Arial" w:cs="Arial"/>
                <w:sz w:val="17"/>
                <w:szCs w:val="17"/>
                <w:lang w:val="es-ES_tradnl"/>
              </w:rPr>
            </w:pPr>
            <w:r w:rsidRPr="001C59A0">
              <w:rPr>
                <w:rFonts w:ascii="Arial" w:hAnsi="Arial" w:cs="Arial"/>
                <w:sz w:val="17"/>
                <w:szCs w:val="17"/>
                <w:lang w:val="es-ES_tradnl"/>
              </w:rPr>
              <w:t>100</w:t>
            </w:r>
          </w:p>
        </w:tc>
        <w:tc>
          <w:tcPr>
            <w:tcW w:w="2229" w:type="pct"/>
            <w:shd w:val="clear" w:color="auto" w:fill="auto"/>
            <w:vAlign w:val="center"/>
          </w:tcPr>
          <w:p w:rsidR="008A78D3" w:rsidRPr="001C59A0" w:rsidRDefault="008A78D3" w:rsidP="00784651">
            <w:pPr>
              <w:spacing w:before="120" w:after="120"/>
              <w:rPr>
                <w:rFonts w:ascii="Arial" w:hAnsi="Arial" w:cs="Arial"/>
                <w:b/>
                <w:sz w:val="17"/>
                <w:szCs w:val="17"/>
                <w:lang w:val="es-BO"/>
              </w:rPr>
            </w:pPr>
            <w:r w:rsidRPr="001C59A0">
              <w:rPr>
                <w:rFonts w:ascii="Arial" w:hAnsi="Arial" w:cs="Arial"/>
                <w:b/>
                <w:sz w:val="17"/>
                <w:szCs w:val="17"/>
                <w:lang w:val="es-BO"/>
              </w:rPr>
              <w:t xml:space="preserve">Medios de verificación: </w:t>
            </w:r>
            <w:r w:rsidRPr="001C59A0">
              <w:rPr>
                <w:rFonts w:ascii="Arial" w:hAnsi="Arial" w:cs="Arial"/>
                <w:sz w:val="17"/>
                <w:szCs w:val="17"/>
                <w:lang w:val="es-ES_tradnl"/>
              </w:rPr>
              <w:t>Informe de Energía Abierta</w:t>
            </w:r>
          </w:p>
          <w:p w:rsidR="008A78D3" w:rsidRPr="001C59A0" w:rsidRDefault="008A78D3" w:rsidP="00CF36A8">
            <w:pPr>
              <w:spacing w:before="120" w:after="120"/>
              <w:rPr>
                <w:rFonts w:ascii="Arial" w:hAnsi="Arial" w:cs="Arial"/>
                <w:sz w:val="17"/>
                <w:szCs w:val="17"/>
                <w:lang w:val="es-ES_tradnl"/>
              </w:rPr>
            </w:pPr>
            <w:r w:rsidRPr="001C59A0">
              <w:rPr>
                <w:rFonts w:ascii="Arial" w:hAnsi="Arial" w:cs="Arial"/>
                <w:b/>
                <w:sz w:val="17"/>
                <w:szCs w:val="17"/>
                <w:lang w:val="es-BO"/>
              </w:rPr>
              <w:t xml:space="preserve">Definición/cálculo: </w:t>
            </w:r>
            <w:r w:rsidRPr="001C59A0">
              <w:rPr>
                <w:rFonts w:ascii="Arial" w:hAnsi="Arial" w:cs="Arial"/>
                <w:sz w:val="17"/>
                <w:szCs w:val="17"/>
                <w:lang w:val="es-BO"/>
              </w:rPr>
              <w:t xml:space="preserve">Se refiere a la energía eléctrica exportada desde Chile a Argentina en GW/h. </w:t>
            </w:r>
            <w:r w:rsidRPr="001C59A0">
              <w:rPr>
                <w:rFonts w:ascii="Arial" w:hAnsi="Arial" w:cs="Arial"/>
                <w:sz w:val="17"/>
                <w:szCs w:val="17"/>
                <w:lang w:val="es-ES_tradnl"/>
              </w:rPr>
              <w:t xml:space="preserve">La meta se determina a partir de un análisis del comportamiento de las transacciones intercambio de energía presentado entre Chile y Argentina en años recientes. </w:t>
            </w:r>
          </w:p>
          <w:p w:rsidR="008A78D3" w:rsidRPr="001C59A0" w:rsidRDefault="008A78D3" w:rsidP="002559C0">
            <w:pPr>
              <w:spacing w:before="120" w:after="120"/>
              <w:rPr>
                <w:rFonts w:ascii="Arial" w:hAnsi="Arial" w:cs="Arial"/>
                <w:sz w:val="17"/>
                <w:szCs w:val="17"/>
                <w:lang w:val="es-BO"/>
              </w:rPr>
            </w:pPr>
            <w:r w:rsidRPr="001C59A0">
              <w:rPr>
                <w:rFonts w:ascii="Arial" w:hAnsi="Arial" w:cs="Arial"/>
                <w:b/>
                <w:sz w:val="17"/>
                <w:szCs w:val="17"/>
                <w:lang w:val="es-BO"/>
              </w:rPr>
              <w:lastRenderedPageBreak/>
              <w:t xml:space="preserve">Metodología de evaluación: </w:t>
            </w:r>
            <w:r w:rsidRPr="001C59A0">
              <w:rPr>
                <w:rFonts w:ascii="Arial" w:hAnsi="Arial" w:cs="Arial"/>
                <w:sz w:val="17"/>
                <w:szCs w:val="17"/>
                <w:lang w:val="es-BO"/>
              </w:rPr>
              <w:t>antes y después, a partir de informes técnicos</w:t>
            </w:r>
          </w:p>
        </w:tc>
      </w:tr>
    </w:tbl>
    <w:p w:rsidR="00C419B8" w:rsidRPr="001C59A0" w:rsidRDefault="00C419B8" w:rsidP="00C419B8">
      <w:pPr>
        <w:pStyle w:val="BodyText2"/>
        <w:tabs>
          <w:tab w:val="left" w:pos="0"/>
          <w:tab w:val="left" w:pos="720"/>
        </w:tabs>
        <w:spacing w:before="120" w:line="240" w:lineRule="auto"/>
        <w:jc w:val="both"/>
        <w:rPr>
          <w:rFonts w:ascii="Arial" w:hAnsi="Arial" w:cs="Arial"/>
          <w:szCs w:val="24"/>
          <w:lang w:val="es-ES"/>
        </w:rPr>
      </w:pPr>
    </w:p>
    <w:p w:rsidR="00C419B8" w:rsidRPr="001C59A0" w:rsidRDefault="00C419B8" w:rsidP="00C419B8">
      <w:pPr>
        <w:pStyle w:val="Paragraph"/>
        <w:widowControl w:val="0"/>
        <w:numPr>
          <w:ilvl w:val="0"/>
          <w:numId w:val="3"/>
        </w:numPr>
        <w:ind w:left="540" w:hanging="540"/>
        <w:rPr>
          <w:rFonts w:ascii="Arial" w:hAnsi="Arial" w:cs="Arial"/>
          <w:szCs w:val="24"/>
          <w:lang w:val="es-ES"/>
        </w:rPr>
      </w:pPr>
      <w:r w:rsidRPr="001C59A0">
        <w:rPr>
          <w:rFonts w:ascii="Arial" w:hAnsi="Arial" w:cs="Arial"/>
          <w:b/>
          <w:szCs w:val="24"/>
          <w:lang w:val="es-ES"/>
        </w:rPr>
        <w:t xml:space="preserve">Metodología de Evaluación. </w:t>
      </w:r>
    </w:p>
    <w:p w:rsidR="00C419B8" w:rsidRPr="001C59A0" w:rsidRDefault="00C419B8" w:rsidP="00C419B8">
      <w:pPr>
        <w:pStyle w:val="Paragraph"/>
        <w:numPr>
          <w:ilvl w:val="1"/>
          <w:numId w:val="4"/>
        </w:numPr>
        <w:spacing w:before="100" w:after="100"/>
        <w:ind w:left="540" w:hanging="540"/>
        <w:rPr>
          <w:rFonts w:ascii="Arial" w:hAnsi="Arial" w:cs="Arial"/>
          <w:color w:val="000000"/>
          <w:lang w:val="es-ES"/>
        </w:rPr>
      </w:pPr>
      <w:r w:rsidRPr="001C59A0">
        <w:rPr>
          <w:rFonts w:ascii="Arial" w:hAnsi="Arial" w:cs="Arial"/>
          <w:color w:val="000000"/>
          <w:lang w:val="es-ES"/>
        </w:rPr>
        <w:t xml:space="preserve">Las metodologías propuestas consisten en un análisis antes – después para medir el alcance de los resultados y una evaluación </w:t>
      </w:r>
      <w:r w:rsidR="007F5B8A">
        <w:rPr>
          <w:rFonts w:ascii="Arial" w:hAnsi="Arial" w:cs="Arial"/>
          <w:color w:val="000000"/>
          <w:lang w:val="es-ES"/>
        </w:rPr>
        <w:t>de impacto</w:t>
      </w:r>
      <w:r w:rsidRPr="001C59A0">
        <w:rPr>
          <w:rFonts w:ascii="Arial" w:hAnsi="Arial" w:cs="Arial"/>
          <w:color w:val="000000"/>
          <w:lang w:val="es-ES"/>
        </w:rPr>
        <w:t>.</w:t>
      </w:r>
    </w:p>
    <w:p w:rsidR="00C419B8" w:rsidRPr="001C59A0" w:rsidRDefault="00C419B8" w:rsidP="00C419B8">
      <w:pPr>
        <w:pStyle w:val="Paragraph"/>
        <w:numPr>
          <w:ilvl w:val="1"/>
          <w:numId w:val="4"/>
        </w:numPr>
        <w:spacing w:before="100" w:after="100"/>
        <w:ind w:left="540" w:hanging="540"/>
        <w:rPr>
          <w:rFonts w:ascii="Arial" w:hAnsi="Arial" w:cs="Arial"/>
          <w:color w:val="000000"/>
          <w:lang w:val="es-ES"/>
        </w:rPr>
      </w:pPr>
      <w:r w:rsidRPr="001C59A0">
        <w:rPr>
          <w:rFonts w:ascii="Arial" w:hAnsi="Arial" w:cs="Arial"/>
          <w:b/>
          <w:color w:val="000000"/>
          <w:lang w:val="es-ES"/>
        </w:rPr>
        <w:t>Método antes – después.</w:t>
      </w:r>
      <w:r w:rsidRPr="001C59A0">
        <w:rPr>
          <w:rFonts w:ascii="Arial" w:hAnsi="Arial" w:cs="Arial"/>
          <w:color w:val="000000"/>
          <w:lang w:val="es-ES"/>
        </w:rPr>
        <w:t xml:space="preserve"> Para definir si los resultados se han alcanzado, se realizara una medición antes – después</w:t>
      </w:r>
      <w:r w:rsidR="007F5B8A">
        <w:rPr>
          <w:rFonts w:ascii="Arial" w:hAnsi="Arial" w:cs="Arial"/>
          <w:color w:val="000000"/>
          <w:lang w:val="es-ES"/>
        </w:rPr>
        <w:t xml:space="preserve"> siguiendo los lineamientos establecidos por el Banco para la preparación de los </w:t>
      </w:r>
      <w:r w:rsidR="007F5B8A" w:rsidRPr="001C59A0">
        <w:rPr>
          <w:rFonts w:ascii="Arial" w:hAnsi="Arial" w:cs="Arial"/>
          <w:lang w:val="es-ES_tradnl" w:eastAsia="es-ES"/>
        </w:rPr>
        <w:t>Informe</w:t>
      </w:r>
      <w:r w:rsidR="007F5B8A">
        <w:rPr>
          <w:rFonts w:ascii="Arial" w:hAnsi="Arial" w:cs="Arial"/>
          <w:lang w:val="es-ES_tradnl" w:eastAsia="es-ES"/>
        </w:rPr>
        <w:t>s</w:t>
      </w:r>
      <w:r w:rsidR="007F5B8A" w:rsidRPr="001C59A0">
        <w:rPr>
          <w:rFonts w:ascii="Arial" w:hAnsi="Arial" w:cs="Arial"/>
          <w:lang w:val="es-ES_tradnl" w:eastAsia="es-ES"/>
        </w:rPr>
        <w:t xml:space="preserve"> de Terminación de Proyecto </w:t>
      </w:r>
      <w:r w:rsidR="007F5B8A">
        <w:rPr>
          <w:rFonts w:ascii="Arial" w:hAnsi="Arial" w:cs="Arial"/>
          <w:lang w:val="es-ES_tradnl" w:eastAsia="es-ES"/>
        </w:rPr>
        <w:t>(</w:t>
      </w:r>
      <w:r w:rsidR="007F5B8A" w:rsidRPr="001C59A0">
        <w:rPr>
          <w:rFonts w:ascii="Arial" w:hAnsi="Arial" w:cs="Arial"/>
          <w:lang w:val="es-ES_tradnl" w:eastAsia="es-ES"/>
        </w:rPr>
        <w:t>PCR</w:t>
      </w:r>
      <w:r w:rsidR="007F5B8A">
        <w:rPr>
          <w:rFonts w:ascii="Arial" w:hAnsi="Arial" w:cs="Arial"/>
          <w:lang w:val="es-ES_tradnl" w:eastAsia="es-ES"/>
        </w:rPr>
        <w:t xml:space="preserve">) </w:t>
      </w:r>
      <w:r w:rsidR="00707E32">
        <w:rPr>
          <w:rFonts w:ascii="Arial" w:hAnsi="Arial" w:cs="Arial"/>
          <w:lang w:val="es-ES_tradnl" w:eastAsia="es-ES"/>
        </w:rPr>
        <w:t>(</w:t>
      </w:r>
      <w:r w:rsidR="007F5B8A" w:rsidRPr="00D6554E">
        <w:rPr>
          <w:rFonts w:ascii="Arial" w:hAnsi="Arial" w:cs="Arial"/>
          <w:szCs w:val="24"/>
          <w:lang w:val="es-ES_tradnl"/>
        </w:rPr>
        <w:t>¶</w:t>
      </w:r>
      <w:r w:rsidR="00707E32">
        <w:rPr>
          <w:rFonts w:ascii="Arial" w:hAnsi="Arial" w:cs="Arial"/>
          <w:szCs w:val="24"/>
          <w:lang w:val="es-ES_tradnl"/>
        </w:rPr>
        <w:fldChar w:fldCharType="begin"/>
      </w:r>
      <w:r w:rsidR="00707E32">
        <w:rPr>
          <w:rFonts w:ascii="Arial" w:hAnsi="Arial" w:cs="Arial"/>
          <w:szCs w:val="24"/>
          <w:lang w:val="es-ES_tradnl"/>
        </w:rPr>
        <w:instrText xml:space="preserve"> REF _Ref463963712 \r \h </w:instrText>
      </w:r>
      <w:r w:rsidR="00707E32">
        <w:rPr>
          <w:rFonts w:ascii="Arial" w:hAnsi="Arial" w:cs="Arial"/>
          <w:szCs w:val="24"/>
          <w:lang w:val="es-ES_tradnl"/>
        </w:rPr>
      </w:r>
      <w:r w:rsidR="00707E32">
        <w:rPr>
          <w:rFonts w:ascii="Arial" w:hAnsi="Arial" w:cs="Arial"/>
          <w:szCs w:val="24"/>
          <w:lang w:val="es-ES_tradnl"/>
        </w:rPr>
        <w:fldChar w:fldCharType="separate"/>
      </w:r>
      <w:r w:rsidR="00707E32">
        <w:rPr>
          <w:rFonts w:ascii="Arial" w:hAnsi="Arial" w:cs="Arial"/>
          <w:szCs w:val="24"/>
          <w:lang w:val="es-ES_tradnl"/>
        </w:rPr>
        <w:t>3.14</w:t>
      </w:r>
      <w:r w:rsidR="00707E32">
        <w:rPr>
          <w:rFonts w:ascii="Arial" w:hAnsi="Arial" w:cs="Arial"/>
          <w:szCs w:val="24"/>
          <w:lang w:val="es-ES_tradnl"/>
        </w:rPr>
        <w:fldChar w:fldCharType="end"/>
      </w:r>
      <w:r w:rsidR="00707E32">
        <w:rPr>
          <w:rFonts w:ascii="Arial" w:hAnsi="Arial" w:cs="Arial"/>
          <w:szCs w:val="24"/>
          <w:lang w:val="es-ES_tradnl"/>
        </w:rPr>
        <w:t>)</w:t>
      </w:r>
      <w:r w:rsidRPr="001C59A0">
        <w:rPr>
          <w:rFonts w:ascii="Arial" w:hAnsi="Arial" w:cs="Arial"/>
          <w:color w:val="000000"/>
          <w:lang w:val="es-ES"/>
        </w:rPr>
        <w:t>, en función a los indicadores de impacto y resultado establecidos en la matriz, descritos en la sección anterior.</w:t>
      </w:r>
    </w:p>
    <w:p w:rsidR="00EA0363" w:rsidRPr="00EA0363" w:rsidRDefault="00C419B8" w:rsidP="00EA0363">
      <w:pPr>
        <w:pStyle w:val="Paragraph"/>
        <w:numPr>
          <w:ilvl w:val="1"/>
          <w:numId w:val="4"/>
        </w:numPr>
        <w:spacing w:before="100" w:after="100"/>
        <w:ind w:left="540" w:hanging="540"/>
        <w:rPr>
          <w:rFonts w:ascii="Arial" w:hAnsi="Arial" w:cs="Arial"/>
          <w:lang w:val="es-ES_tradnl" w:eastAsia="es-ES"/>
        </w:rPr>
      </w:pPr>
      <w:r w:rsidRPr="00EA0363">
        <w:rPr>
          <w:rFonts w:ascii="Arial" w:hAnsi="Arial" w:cs="Arial"/>
          <w:b/>
          <w:lang w:val="es-ES_tradnl" w:eastAsia="es-ES"/>
        </w:rPr>
        <w:t xml:space="preserve">Evaluación </w:t>
      </w:r>
      <w:r w:rsidR="007F5B8A">
        <w:rPr>
          <w:rFonts w:ascii="Arial" w:hAnsi="Arial" w:cs="Arial"/>
          <w:b/>
          <w:lang w:val="es-ES_tradnl" w:eastAsia="es-ES"/>
        </w:rPr>
        <w:t>de impacto</w:t>
      </w:r>
      <w:r w:rsidRPr="00EA0363">
        <w:rPr>
          <w:rFonts w:ascii="Arial" w:hAnsi="Arial" w:cs="Arial"/>
          <w:b/>
          <w:lang w:val="es-ES_tradnl" w:eastAsia="es-ES"/>
        </w:rPr>
        <w:t>.</w:t>
      </w:r>
      <w:r w:rsidRPr="00EA0363">
        <w:rPr>
          <w:rFonts w:ascii="Arial" w:hAnsi="Arial" w:cs="Arial"/>
          <w:lang w:val="es-ES_tradnl" w:eastAsia="es-ES"/>
        </w:rPr>
        <w:t xml:space="preserve"> </w:t>
      </w:r>
      <w:r w:rsidR="00EA0363" w:rsidRPr="00EA0363">
        <w:rPr>
          <w:rFonts w:ascii="Arial" w:hAnsi="Arial" w:cs="Arial"/>
          <w:lang w:val="es-ES_tradnl" w:eastAsia="es-ES"/>
        </w:rPr>
        <w:t>Debido a la naturaleza del programa es complicado llevar a cabo una evaluación de impacto del mismo. Est</w:t>
      </w:r>
      <w:r w:rsidR="000014BF">
        <w:rPr>
          <w:rFonts w:ascii="Arial" w:hAnsi="Arial" w:cs="Arial"/>
          <w:lang w:val="es-ES_tradnl" w:eastAsia="es-ES"/>
        </w:rPr>
        <w:t>o</w:t>
      </w:r>
      <w:r w:rsidR="00EA0363" w:rsidRPr="00EA0363">
        <w:rPr>
          <w:rFonts w:ascii="Arial" w:hAnsi="Arial" w:cs="Arial"/>
          <w:lang w:val="es-ES_tradnl" w:eastAsia="es-ES"/>
        </w:rPr>
        <w:t xml:space="preserve"> fundamentalmente se debe a que el programa consiste en un conjunto de medidas que se llevaran a cabo y que por su naturaleza en general sus impactos no son evaluables individualmente. En este caso lo que sería de interés por ende seria evaluar el programa y sus impactos como conjunto. El problema es que para la literatura especializada no basta con comparar los resultados del programa con la situación inicial, pues existen otras políticas/shocks y tendencias predeterminadas que están ocurriendo al mismo tiempo lo cual no permiten identificar correctamente los efectos del programa versus lo demás.</w:t>
      </w:r>
    </w:p>
    <w:p w:rsidR="00501620" w:rsidRPr="00DB68FC" w:rsidRDefault="00501620" w:rsidP="00501620">
      <w:pPr>
        <w:pStyle w:val="Paragraph"/>
        <w:numPr>
          <w:ilvl w:val="1"/>
          <w:numId w:val="4"/>
        </w:numPr>
        <w:spacing w:before="100" w:after="100"/>
        <w:ind w:left="540" w:hanging="540"/>
        <w:rPr>
          <w:rFonts w:ascii="Arial" w:hAnsi="Arial" w:cs="Arial"/>
          <w:lang w:val="es-ES_tradnl" w:eastAsia="es-ES"/>
        </w:rPr>
      </w:pPr>
      <w:r w:rsidRPr="00DB68FC">
        <w:rPr>
          <w:rFonts w:ascii="Arial" w:hAnsi="Arial" w:cs="Arial"/>
          <w:lang w:val="es-ES_tradnl" w:eastAsia="es-ES"/>
        </w:rPr>
        <w:t xml:space="preserve">Para subsanar esto, es necesario comparar los resultados del programa con un contrafactual, es decir, con un país gemelo que no haya sido sometido al programa. La metodología que permite construir dicho contrafactual es la del </w:t>
      </w:r>
      <w:r w:rsidRPr="00DB68FC">
        <w:rPr>
          <w:rFonts w:ascii="Arial" w:hAnsi="Arial" w:cs="Arial"/>
          <w:i/>
          <w:lang w:val="es-ES_tradnl" w:eastAsia="es-ES"/>
        </w:rPr>
        <w:t>Grupo de Control Sintético</w:t>
      </w:r>
      <w:r w:rsidRPr="00DB68FC">
        <w:rPr>
          <w:rFonts w:ascii="Arial" w:hAnsi="Arial" w:cs="Arial"/>
          <w:lang w:val="es-ES_tradnl" w:eastAsia="es-ES"/>
        </w:rPr>
        <w:t xml:space="preserve"> propuesto formalmente por Abadie y </w:t>
      </w:r>
      <w:hyperlink r:id="rId12" w:history="1">
        <w:r w:rsidRPr="00DB68FC">
          <w:rPr>
            <w:rFonts w:ascii="Arial" w:hAnsi="Arial" w:cs="Arial"/>
            <w:lang w:val="es-ES_tradnl" w:eastAsia="es-ES"/>
          </w:rPr>
          <w:t>Gardeazabal</w:t>
        </w:r>
      </w:hyperlink>
      <w:r w:rsidRPr="00DB68FC">
        <w:rPr>
          <w:rFonts w:ascii="Arial" w:hAnsi="Arial" w:cs="Arial"/>
          <w:lang w:val="es-ES_tradnl" w:eastAsia="es-ES"/>
        </w:rPr>
        <w:t xml:space="preserve"> (2003)</w:t>
      </w:r>
      <w:r w:rsidRPr="00DB68FC">
        <w:rPr>
          <w:rFonts w:ascii="Arial" w:hAnsi="Arial" w:cs="Arial"/>
          <w:vertAlign w:val="superscript"/>
          <w:lang w:val="es-ES_tradnl" w:eastAsia="es-ES"/>
        </w:rPr>
        <w:footnoteReference w:id="4"/>
      </w:r>
      <w:r w:rsidRPr="00DB68FC">
        <w:rPr>
          <w:rFonts w:ascii="Arial" w:hAnsi="Arial" w:cs="Arial"/>
          <w:lang w:val="es-ES_tradnl" w:eastAsia="es-ES"/>
        </w:rPr>
        <w:t xml:space="preserve">. Este método plantea usar la combinación de otros </w:t>
      </w:r>
      <m:oMath>
        <m:r>
          <w:rPr>
            <w:rFonts w:ascii="Cambria Math" w:hAnsi="Cambria Math" w:cs="Arial"/>
            <w:lang w:val="es-ES_tradnl" w:eastAsia="es-ES"/>
          </w:rPr>
          <m:t xml:space="preserve">J-1 </m:t>
        </m:r>
      </m:oMath>
      <w:r w:rsidRPr="00DB68FC">
        <w:rPr>
          <w:rFonts w:ascii="Arial" w:hAnsi="Arial" w:cs="Arial"/>
          <w:lang w:val="es-ES_tradnl" w:eastAsia="es-ES"/>
        </w:rPr>
        <w:t xml:space="preserve">países (llamados países de control) como una aproximación de lo que hubiera sido observado en el país tratado en ausencia del programa. Específicamente, el método compara la evolución de una variable de interés del país tratado </w:t>
      </w:r>
      <m:oMath>
        <m:sSub>
          <m:sSubPr>
            <m:ctrlPr>
              <w:rPr>
                <w:rFonts w:ascii="Cambria Math" w:hAnsi="Cambria Math" w:cs="Arial"/>
                <w:i/>
                <w:lang w:val="es-ES_tradnl" w:eastAsia="es-ES"/>
              </w:rPr>
            </m:ctrlPr>
          </m:sSubPr>
          <m:e>
            <m:r>
              <w:rPr>
                <w:rFonts w:ascii="Cambria Math" w:hAnsi="Cambria Math" w:cs="Arial"/>
                <w:lang w:val="es-ES_tradnl" w:eastAsia="es-ES"/>
              </w:rPr>
              <m:t>Y</m:t>
            </m:r>
          </m:e>
          <m:sub>
            <m:r>
              <w:rPr>
                <w:rFonts w:ascii="Cambria Math" w:hAnsi="Cambria Math" w:cs="Arial"/>
                <w:lang w:val="es-ES_tradnl" w:eastAsia="es-ES"/>
              </w:rPr>
              <m:t>1</m:t>
            </m:r>
          </m:sub>
        </m:sSub>
        <m:r>
          <w:rPr>
            <w:rFonts w:ascii="Cambria Math" w:hAnsi="Cambria Math" w:cs="Arial"/>
            <w:lang w:val="es-ES_tradnl" w:eastAsia="es-ES"/>
          </w:rPr>
          <m:t>={</m:t>
        </m:r>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1</m:t>
            </m:r>
          </m:sub>
          <m:sup>
            <m:r>
              <w:rPr>
                <w:rFonts w:ascii="Cambria Math" w:hAnsi="Cambria Math" w:cs="Arial"/>
                <w:lang w:val="es-ES_tradnl" w:eastAsia="es-ES"/>
              </w:rPr>
              <m:t>t</m:t>
            </m:r>
          </m:sup>
        </m:sSubSup>
        <m:r>
          <w:rPr>
            <w:rFonts w:ascii="Cambria Math" w:hAnsi="Cambria Math" w:cs="Arial"/>
            <w:lang w:val="es-ES_tradnl" w:eastAsia="es-ES"/>
          </w:rPr>
          <m:t>,…,</m:t>
        </m:r>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1</m:t>
            </m:r>
          </m:sub>
          <m:sup>
            <m:r>
              <w:rPr>
                <w:rFonts w:ascii="Cambria Math" w:hAnsi="Cambria Math" w:cs="Arial"/>
                <w:lang w:val="es-ES_tradnl" w:eastAsia="es-ES"/>
              </w:rPr>
              <m:t>T</m:t>
            </m:r>
          </m:sup>
        </m:sSubSup>
        <m:r>
          <w:rPr>
            <w:rFonts w:ascii="Cambria Math" w:hAnsi="Cambria Math" w:cs="Arial"/>
            <w:lang w:val="es-ES_tradnl" w:eastAsia="es-ES"/>
          </w:rPr>
          <m:t>}</m:t>
        </m:r>
      </m:oMath>
      <w:r w:rsidRPr="00DB68FC">
        <w:rPr>
          <w:rFonts w:ascii="Arial" w:hAnsi="Arial" w:cs="Arial"/>
          <w:lang w:val="es-ES_tradnl" w:eastAsia="es-ES"/>
        </w:rPr>
        <w:t xml:space="preserve">, el resultado del programa, con la evolución de la misma variable pero del grupo de control sintético </w:t>
      </w:r>
      <m:oMath>
        <m:sSub>
          <m:sSubPr>
            <m:ctrlPr>
              <w:rPr>
                <w:rFonts w:ascii="Cambria Math" w:hAnsi="Cambria Math" w:cs="Arial"/>
                <w:i/>
                <w:lang w:val="es-ES_tradnl" w:eastAsia="es-ES"/>
              </w:rPr>
            </m:ctrlPr>
          </m:sSubPr>
          <m:e>
            <m:r>
              <w:rPr>
                <w:rFonts w:ascii="Cambria Math" w:hAnsi="Cambria Math" w:cs="Arial"/>
                <w:lang w:val="es-ES_tradnl" w:eastAsia="es-ES"/>
              </w:rPr>
              <m:t>Y</m:t>
            </m:r>
          </m:e>
          <m:sub>
            <m:r>
              <w:rPr>
                <w:rFonts w:ascii="Cambria Math" w:hAnsi="Cambria Math" w:cs="Arial"/>
                <w:lang w:val="es-ES_tradnl" w:eastAsia="es-ES"/>
              </w:rPr>
              <m:t>0</m:t>
            </m:r>
          </m:sub>
        </m:sSub>
        <m:r>
          <w:rPr>
            <w:rFonts w:ascii="Cambria Math" w:hAnsi="Cambria Math" w:cs="Arial"/>
            <w:lang w:val="es-ES_tradnl" w:eastAsia="es-ES"/>
          </w:rPr>
          <m:t>={</m:t>
        </m:r>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0</m:t>
            </m:r>
          </m:sub>
          <m:sup>
            <m:r>
              <w:rPr>
                <w:rFonts w:ascii="Cambria Math" w:hAnsi="Cambria Math" w:cs="Arial"/>
                <w:lang w:val="es-ES_tradnl" w:eastAsia="es-ES"/>
              </w:rPr>
              <m:t>1</m:t>
            </m:r>
          </m:sup>
        </m:sSubSup>
        <m:r>
          <w:rPr>
            <w:rFonts w:ascii="Cambria Math" w:hAnsi="Cambria Math" w:cs="Arial"/>
            <w:lang w:val="es-ES_tradnl" w:eastAsia="es-ES"/>
          </w:rPr>
          <m:t>,…,</m:t>
        </m:r>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0</m:t>
            </m:r>
          </m:sub>
          <m:sup>
            <m:r>
              <w:rPr>
                <w:rFonts w:ascii="Cambria Math" w:hAnsi="Cambria Math" w:cs="Arial"/>
                <w:lang w:val="es-ES_tradnl" w:eastAsia="es-ES"/>
              </w:rPr>
              <m:t>T</m:t>
            </m:r>
          </m:sup>
        </m:sSubSup>
        <m:r>
          <w:rPr>
            <w:rFonts w:ascii="Cambria Math" w:hAnsi="Cambria Math" w:cs="Arial"/>
            <w:lang w:val="es-ES_tradnl" w:eastAsia="es-ES"/>
          </w:rPr>
          <m:t>}</m:t>
        </m:r>
      </m:oMath>
      <w:r w:rsidRPr="00DB68FC">
        <w:rPr>
          <w:rFonts w:ascii="Arial" w:hAnsi="Arial" w:cs="Arial"/>
          <w:lang w:val="es-ES_tradnl" w:eastAsia="es-ES"/>
        </w:rPr>
        <w:t xml:space="preserve">, sin aplicación del programa. La elección de los países y su importancia relativa (o peso </w:t>
      </w:r>
      <m:oMath>
        <m:r>
          <w:rPr>
            <w:rFonts w:ascii="Cambria Math" w:hAnsi="Cambria Math" w:cs="Arial"/>
            <w:lang w:val="es-ES_tradnl" w:eastAsia="es-ES"/>
          </w:rPr>
          <m:t>W={</m:t>
        </m:r>
        <m:sSub>
          <m:sSubPr>
            <m:ctrlPr>
              <w:rPr>
                <w:rFonts w:ascii="Cambria Math" w:hAnsi="Cambria Math" w:cs="Arial"/>
                <w:i/>
                <w:lang w:val="es-ES_tradnl" w:eastAsia="es-ES"/>
              </w:rPr>
            </m:ctrlPr>
          </m:sSubPr>
          <m:e>
            <m:r>
              <w:rPr>
                <w:rFonts w:ascii="Cambria Math" w:hAnsi="Cambria Math" w:cs="Arial"/>
                <w:lang w:val="es-ES_tradnl" w:eastAsia="es-ES"/>
              </w:rPr>
              <m:t>w</m:t>
            </m:r>
          </m:e>
          <m:sub>
            <m:r>
              <w:rPr>
                <w:rFonts w:ascii="Cambria Math" w:hAnsi="Cambria Math" w:cs="Arial"/>
                <w:lang w:val="es-ES_tradnl" w:eastAsia="es-ES"/>
              </w:rPr>
              <m:t>2</m:t>
            </m:r>
          </m:sub>
        </m:sSub>
        <m:r>
          <w:rPr>
            <w:rFonts w:ascii="Cambria Math" w:hAnsi="Cambria Math" w:cs="Arial"/>
            <w:lang w:val="es-ES_tradnl" w:eastAsia="es-ES"/>
          </w:rPr>
          <m:t xml:space="preserve">,…, </m:t>
        </m:r>
        <m:sSub>
          <m:sSubPr>
            <m:ctrlPr>
              <w:rPr>
                <w:rFonts w:ascii="Cambria Math" w:hAnsi="Cambria Math" w:cs="Arial"/>
                <w:i/>
                <w:lang w:val="es-ES_tradnl" w:eastAsia="es-ES"/>
              </w:rPr>
            </m:ctrlPr>
          </m:sSubPr>
          <m:e>
            <m:r>
              <w:rPr>
                <w:rFonts w:ascii="Cambria Math" w:hAnsi="Cambria Math" w:cs="Arial"/>
                <w:lang w:val="es-ES_tradnl" w:eastAsia="es-ES"/>
              </w:rPr>
              <m:t>w</m:t>
            </m:r>
          </m:e>
          <m:sub>
            <m:r>
              <w:rPr>
                <w:rFonts w:ascii="Cambria Math" w:hAnsi="Cambria Math" w:cs="Arial"/>
                <w:lang w:val="es-ES_tradnl" w:eastAsia="es-ES"/>
              </w:rPr>
              <m:t>J</m:t>
            </m:r>
          </m:sub>
        </m:sSub>
        <m:r>
          <w:rPr>
            <w:rFonts w:ascii="Cambria Math" w:hAnsi="Cambria Math" w:cs="Arial"/>
            <w:lang w:val="es-ES_tradnl" w:eastAsia="es-ES"/>
          </w:rPr>
          <m:t>}</m:t>
        </m:r>
      </m:oMath>
      <w:r w:rsidRPr="00DB68FC">
        <w:rPr>
          <w:rFonts w:ascii="Arial" w:hAnsi="Arial" w:cs="Arial"/>
          <w:lang w:val="es-ES_tradnl" w:eastAsia="es-ES"/>
        </w:rPr>
        <w:t xml:space="preserve">) en el grupo control sintético resulta de minimizar la distancia entre </w:t>
      </w:r>
      <m:oMath>
        <m:sSub>
          <m:sSubPr>
            <m:ctrlPr>
              <w:rPr>
                <w:rFonts w:ascii="Cambria Math" w:hAnsi="Cambria Math" w:cs="Arial"/>
                <w:i/>
                <w:lang w:val="es-ES_tradnl" w:eastAsia="es-ES"/>
              </w:rPr>
            </m:ctrlPr>
          </m:sSubPr>
          <m:e>
            <m:r>
              <w:rPr>
                <w:rFonts w:ascii="Cambria Math" w:hAnsi="Cambria Math" w:cs="Arial"/>
                <w:lang w:val="es-ES_tradnl" w:eastAsia="es-ES"/>
              </w:rPr>
              <m:t>X</m:t>
            </m:r>
          </m:e>
          <m:sub>
            <m:r>
              <w:rPr>
                <w:rFonts w:ascii="Cambria Math" w:hAnsi="Cambria Math" w:cs="Arial"/>
                <w:lang w:val="es-ES_tradnl" w:eastAsia="es-ES"/>
              </w:rPr>
              <m:t>1</m:t>
            </m:r>
          </m:sub>
        </m:sSub>
        <m:r>
          <w:rPr>
            <w:rFonts w:ascii="Cambria Math" w:hAnsi="Cambria Math" w:cs="Arial"/>
            <w:lang w:val="es-ES_tradnl" w:eastAsia="es-ES"/>
          </w:rPr>
          <m:t xml:space="preserve">∈ </m:t>
        </m:r>
        <m:sSup>
          <m:sSupPr>
            <m:ctrlPr>
              <w:rPr>
                <w:rFonts w:ascii="Cambria Math" w:hAnsi="Cambria Math" w:cs="Arial"/>
                <w:i/>
                <w:lang w:val="es-ES_tradnl" w:eastAsia="es-ES"/>
              </w:rPr>
            </m:ctrlPr>
          </m:sSupPr>
          <m:e>
            <m:r>
              <m:rPr>
                <m:scr m:val="double-struck"/>
              </m:rPr>
              <w:rPr>
                <w:rFonts w:ascii="Cambria Math" w:hAnsi="Cambria Math" w:cs="Arial"/>
                <w:lang w:val="es-ES_tradnl" w:eastAsia="es-ES"/>
              </w:rPr>
              <m:t>R</m:t>
            </m:r>
          </m:e>
          <m:sup>
            <m:r>
              <w:rPr>
                <w:rFonts w:ascii="Cambria Math" w:hAnsi="Cambria Math" w:cs="Arial"/>
                <w:lang w:val="es-ES_tradnl" w:eastAsia="es-ES"/>
              </w:rPr>
              <m:t>K</m:t>
            </m:r>
          </m:sup>
        </m:sSup>
      </m:oMath>
      <w:r w:rsidRPr="00DB68FC">
        <w:rPr>
          <w:rFonts w:ascii="Arial" w:hAnsi="Arial" w:cs="Arial"/>
          <w:lang w:val="es-ES_tradnl" w:eastAsia="es-ES"/>
        </w:rPr>
        <w:t xml:space="preserve"> (un conjunto de </w:t>
      </w:r>
      <m:oMath>
        <m:r>
          <w:rPr>
            <w:rFonts w:ascii="Cambria Math" w:hAnsi="Cambria Math" w:cs="Arial"/>
            <w:lang w:val="es-ES_tradnl" w:eastAsia="es-ES"/>
          </w:rPr>
          <m:t xml:space="preserve">K </m:t>
        </m:r>
      </m:oMath>
      <w:r w:rsidRPr="00DB68FC">
        <w:rPr>
          <w:rFonts w:ascii="Arial" w:hAnsi="Arial" w:cs="Arial"/>
          <w:lang w:val="es-ES_tradnl" w:eastAsia="es-ES"/>
        </w:rPr>
        <w:t xml:space="preserve">características del país tratado, usualmente predictores de </w:t>
      </w:r>
      <m:oMath>
        <m:sSub>
          <m:sSubPr>
            <m:ctrlPr>
              <w:rPr>
                <w:rFonts w:ascii="Cambria Math" w:hAnsi="Cambria Math" w:cs="Arial"/>
                <w:i/>
                <w:lang w:val="es-ES_tradnl" w:eastAsia="es-ES"/>
              </w:rPr>
            </m:ctrlPr>
          </m:sSubPr>
          <m:e>
            <m:r>
              <w:rPr>
                <w:rFonts w:ascii="Cambria Math" w:hAnsi="Cambria Math" w:cs="Arial"/>
                <w:lang w:val="es-ES_tradnl" w:eastAsia="es-ES"/>
              </w:rPr>
              <m:t>Y</m:t>
            </m:r>
          </m:e>
          <m:sub>
            <m:r>
              <w:rPr>
                <w:rFonts w:ascii="Cambria Math" w:hAnsi="Cambria Math" w:cs="Arial"/>
                <w:lang w:val="es-ES_tradnl" w:eastAsia="es-ES"/>
              </w:rPr>
              <m:t>1</m:t>
            </m:r>
          </m:sub>
        </m:sSub>
      </m:oMath>
      <w:r w:rsidRPr="00DB68FC">
        <w:rPr>
          <w:rFonts w:ascii="Arial" w:hAnsi="Arial" w:cs="Arial"/>
          <w:lang w:val="es-ES_tradnl" w:eastAsia="es-ES"/>
        </w:rPr>
        <w:t xml:space="preserve">) y </w:t>
      </w:r>
      <m:oMath>
        <m:sSub>
          <m:sSubPr>
            <m:ctrlPr>
              <w:rPr>
                <w:rFonts w:ascii="Cambria Math" w:hAnsi="Cambria Math" w:cs="Arial"/>
                <w:i/>
                <w:lang w:val="es-ES_tradnl" w:eastAsia="es-ES"/>
              </w:rPr>
            </m:ctrlPr>
          </m:sSubPr>
          <m:e>
            <m:r>
              <w:rPr>
                <w:rFonts w:ascii="Cambria Math" w:hAnsi="Cambria Math" w:cs="Arial"/>
                <w:lang w:val="es-ES_tradnl" w:eastAsia="es-ES"/>
              </w:rPr>
              <m:t>X</m:t>
            </m:r>
          </m:e>
          <m:sub>
            <m:r>
              <w:rPr>
                <w:rFonts w:ascii="Cambria Math" w:hAnsi="Cambria Math" w:cs="Arial"/>
                <w:lang w:val="es-ES_tradnl" w:eastAsia="es-ES"/>
              </w:rPr>
              <m:t>0</m:t>
            </m:r>
          </m:sub>
        </m:sSub>
        <m:r>
          <w:rPr>
            <w:rFonts w:ascii="Cambria Math" w:hAnsi="Cambria Math" w:cs="Arial"/>
            <w:lang w:val="es-ES_tradnl" w:eastAsia="es-ES"/>
          </w:rPr>
          <m:t xml:space="preserve">∈ </m:t>
        </m:r>
        <m:sSup>
          <m:sSupPr>
            <m:ctrlPr>
              <w:rPr>
                <w:rFonts w:ascii="Cambria Math" w:hAnsi="Cambria Math" w:cs="Arial"/>
                <w:i/>
                <w:lang w:val="es-ES_tradnl" w:eastAsia="es-ES"/>
              </w:rPr>
            </m:ctrlPr>
          </m:sSupPr>
          <m:e>
            <m:r>
              <m:rPr>
                <m:scr m:val="double-struck"/>
              </m:rPr>
              <w:rPr>
                <w:rFonts w:ascii="Cambria Math" w:hAnsi="Cambria Math" w:cs="Arial"/>
                <w:lang w:val="es-ES_tradnl" w:eastAsia="es-ES"/>
              </w:rPr>
              <m:t>R</m:t>
            </m:r>
          </m:e>
          <m:sup>
            <m:r>
              <w:rPr>
                <w:rFonts w:ascii="Cambria Math" w:hAnsi="Cambria Math" w:cs="Arial"/>
                <w:lang w:val="es-ES_tradnl" w:eastAsia="es-ES"/>
              </w:rPr>
              <m:t>K</m:t>
            </m:r>
          </m:sup>
        </m:sSup>
        <m:r>
          <w:rPr>
            <w:rFonts w:ascii="Cambria Math" w:hAnsi="Cambria Math" w:cs="Arial"/>
            <w:lang w:val="es-ES_tradnl" w:eastAsia="es-ES"/>
          </w:rPr>
          <m:t>×</m:t>
        </m:r>
        <m:sSup>
          <m:sSupPr>
            <m:ctrlPr>
              <w:rPr>
                <w:rFonts w:ascii="Cambria Math" w:hAnsi="Cambria Math" w:cs="Arial"/>
                <w:i/>
                <w:lang w:val="es-ES_tradnl" w:eastAsia="es-ES"/>
              </w:rPr>
            </m:ctrlPr>
          </m:sSupPr>
          <m:e>
            <m:r>
              <m:rPr>
                <m:scr m:val="double-struck"/>
              </m:rPr>
              <w:rPr>
                <w:rFonts w:ascii="Cambria Math" w:hAnsi="Cambria Math" w:cs="Arial"/>
                <w:lang w:val="es-ES_tradnl" w:eastAsia="es-ES"/>
              </w:rPr>
              <m:t>R</m:t>
            </m:r>
          </m:e>
          <m:sup>
            <m:r>
              <w:rPr>
                <w:rFonts w:ascii="Cambria Math" w:hAnsi="Cambria Math" w:cs="Arial"/>
                <w:lang w:val="es-ES_tradnl" w:eastAsia="es-ES"/>
              </w:rPr>
              <m:t>J</m:t>
            </m:r>
          </m:sup>
        </m:sSup>
      </m:oMath>
      <w:r w:rsidRPr="00DB68FC">
        <w:rPr>
          <w:rFonts w:ascii="Arial" w:hAnsi="Arial" w:cs="Arial"/>
          <w:lang w:val="es-ES_tradnl" w:eastAsia="es-ES"/>
        </w:rPr>
        <w:t xml:space="preserve"> (las mismas </w:t>
      </w:r>
      <m:oMath>
        <m:r>
          <w:rPr>
            <w:rFonts w:ascii="Cambria Math" w:hAnsi="Cambria Math" w:cs="Arial"/>
            <w:lang w:val="es-ES_tradnl" w:eastAsia="es-ES"/>
          </w:rPr>
          <m:t>K</m:t>
        </m:r>
      </m:oMath>
      <w:r w:rsidRPr="00DB68FC">
        <w:rPr>
          <w:rFonts w:ascii="Arial" w:hAnsi="Arial" w:cs="Arial"/>
          <w:lang w:val="es-ES_tradnl" w:eastAsia="es-ES"/>
        </w:rPr>
        <w:t xml:space="preserve"> características pero de los países de control) antes de la aplicación del programa. Formalmente, el método minimiza </w:t>
      </w:r>
      <m:oMath>
        <m:sSup>
          <m:sSupPr>
            <m:ctrlPr>
              <w:rPr>
                <w:rFonts w:ascii="Cambria Math" w:hAnsi="Cambria Math" w:cs="Arial"/>
                <w:i/>
                <w:lang w:val="es-ES_tradnl" w:eastAsia="es-ES"/>
              </w:rPr>
            </m:ctrlPr>
          </m:sSupPr>
          <m:e>
            <m:nary>
              <m:naryPr>
                <m:chr m:val="∑"/>
                <m:supHide m:val="1"/>
                <m:ctrlPr>
                  <w:rPr>
                    <w:rFonts w:ascii="Cambria Math" w:hAnsi="Cambria Math" w:cs="Arial"/>
                    <w:i/>
                    <w:lang w:val="es-ES_tradnl" w:eastAsia="es-ES"/>
                  </w:rPr>
                </m:ctrlPr>
              </m:naryPr>
              <m:sub>
                <m:r>
                  <w:rPr>
                    <w:rFonts w:ascii="Cambria Math" w:hAnsi="Cambria Math" w:cs="Arial"/>
                    <w:lang w:val="es-ES_tradnl" w:eastAsia="es-ES"/>
                  </w:rPr>
                  <m:t>k=1</m:t>
                </m:r>
              </m:sub>
              <m:sup/>
              <m:e>
                <m:d>
                  <m:dPr>
                    <m:ctrlPr>
                      <w:rPr>
                        <w:rFonts w:ascii="Cambria Math" w:hAnsi="Cambria Math" w:cs="Arial"/>
                        <w:i/>
                        <w:lang w:val="es-ES_tradnl" w:eastAsia="es-ES"/>
                      </w:rPr>
                    </m:ctrlPr>
                  </m:dPr>
                  <m:e>
                    <m:sSub>
                      <m:sSubPr>
                        <m:ctrlPr>
                          <w:rPr>
                            <w:rFonts w:ascii="Cambria Math" w:hAnsi="Cambria Math" w:cs="Arial"/>
                            <w:i/>
                            <w:lang w:val="es-ES_tradnl" w:eastAsia="es-ES"/>
                          </w:rPr>
                        </m:ctrlPr>
                      </m:sSubPr>
                      <m:e>
                        <m:r>
                          <w:rPr>
                            <w:rFonts w:ascii="Cambria Math" w:hAnsi="Cambria Math" w:cs="Arial"/>
                            <w:lang w:val="es-ES_tradnl" w:eastAsia="es-ES"/>
                          </w:rPr>
                          <m:t>x</m:t>
                        </m:r>
                      </m:e>
                      <m:sub>
                        <m:r>
                          <w:rPr>
                            <w:rFonts w:ascii="Cambria Math" w:hAnsi="Cambria Math" w:cs="Arial"/>
                            <w:lang w:val="es-ES_tradnl" w:eastAsia="es-ES"/>
                          </w:rPr>
                          <m:t>1,k</m:t>
                        </m:r>
                      </m:sub>
                    </m:sSub>
                    <m:r>
                      <w:rPr>
                        <w:rFonts w:ascii="Cambria Math" w:hAnsi="Cambria Math" w:cs="Arial"/>
                        <w:lang w:val="es-ES_tradnl" w:eastAsia="es-ES"/>
                      </w:rPr>
                      <m:t>-</m:t>
                    </m:r>
                    <m:sSub>
                      <m:sSubPr>
                        <m:ctrlPr>
                          <w:rPr>
                            <w:rFonts w:ascii="Cambria Math" w:hAnsi="Cambria Math" w:cs="Arial"/>
                            <w:i/>
                            <w:lang w:val="es-ES_tradnl" w:eastAsia="es-ES"/>
                          </w:rPr>
                        </m:ctrlPr>
                      </m:sSubPr>
                      <m:e>
                        <m:r>
                          <w:rPr>
                            <w:rFonts w:ascii="Cambria Math" w:hAnsi="Cambria Math" w:cs="Arial"/>
                            <w:lang w:val="es-ES_tradnl" w:eastAsia="es-ES"/>
                          </w:rPr>
                          <m:t>w</m:t>
                        </m:r>
                      </m:e>
                      <m:sub>
                        <m:r>
                          <w:rPr>
                            <w:rFonts w:ascii="Cambria Math" w:hAnsi="Cambria Math" w:cs="Arial"/>
                            <w:lang w:val="es-ES_tradnl" w:eastAsia="es-ES"/>
                          </w:rPr>
                          <m:t>j</m:t>
                        </m:r>
                      </m:sub>
                    </m:sSub>
                    <m:sSub>
                      <m:sSubPr>
                        <m:ctrlPr>
                          <w:rPr>
                            <w:rFonts w:ascii="Cambria Math" w:hAnsi="Cambria Math" w:cs="Arial"/>
                            <w:i/>
                            <w:lang w:val="es-ES_tradnl" w:eastAsia="es-ES"/>
                          </w:rPr>
                        </m:ctrlPr>
                      </m:sSubPr>
                      <m:e>
                        <m:r>
                          <w:rPr>
                            <w:rFonts w:ascii="Cambria Math" w:hAnsi="Cambria Math" w:cs="Arial"/>
                            <w:lang w:val="es-ES_tradnl" w:eastAsia="es-ES"/>
                          </w:rPr>
                          <m:t>x</m:t>
                        </m:r>
                      </m:e>
                      <m:sub>
                        <m:r>
                          <w:rPr>
                            <w:rFonts w:ascii="Cambria Math" w:hAnsi="Cambria Math" w:cs="Arial"/>
                            <w:lang w:val="es-ES_tradnl" w:eastAsia="es-ES"/>
                          </w:rPr>
                          <m:t>j,k</m:t>
                        </m:r>
                      </m:sub>
                    </m:sSub>
                  </m:e>
                </m:d>
              </m:e>
            </m:nary>
          </m:e>
          <m:sup>
            <m:r>
              <w:rPr>
                <w:rFonts w:ascii="Cambria Math" w:hAnsi="Cambria Math" w:cs="Arial"/>
                <w:lang w:val="es-ES_tradnl" w:eastAsia="es-ES"/>
              </w:rPr>
              <m:t>2</m:t>
            </m:r>
          </m:sup>
        </m:sSup>
      </m:oMath>
      <w:r w:rsidRPr="00DB68FC">
        <w:rPr>
          <w:rFonts w:ascii="Arial" w:hAnsi="Arial" w:cs="Arial"/>
          <w:lang w:val="es-ES_tradnl" w:eastAsia="es-ES"/>
        </w:rPr>
        <w:t xml:space="preserve"> escogiendo </w:t>
      </w:r>
      <m:oMath>
        <m:r>
          <w:rPr>
            <w:rFonts w:ascii="Cambria Math" w:hAnsi="Cambria Math" w:cs="Arial"/>
            <w:lang w:val="es-ES_tradnl" w:eastAsia="es-ES"/>
          </w:rPr>
          <m:t>W</m:t>
        </m:r>
      </m:oMath>
      <w:r w:rsidRPr="00DB68FC">
        <w:rPr>
          <w:rFonts w:ascii="Arial" w:hAnsi="Arial" w:cs="Arial"/>
          <w:lang w:val="es-ES_tradnl" w:eastAsia="es-ES"/>
        </w:rPr>
        <w:t xml:space="preserve"> sujeto a </w:t>
      </w:r>
      <m:oMath>
        <m:nary>
          <m:naryPr>
            <m:chr m:val="∑"/>
            <m:supHide m:val="1"/>
            <m:ctrlPr>
              <w:rPr>
                <w:rFonts w:ascii="Cambria Math" w:hAnsi="Cambria Math" w:cs="Arial"/>
                <w:i/>
                <w:lang w:val="es-ES_tradnl" w:eastAsia="es-ES"/>
              </w:rPr>
            </m:ctrlPr>
          </m:naryPr>
          <m:sub>
            <m:r>
              <w:rPr>
                <w:rFonts w:ascii="Cambria Math" w:hAnsi="Cambria Math" w:cs="Arial"/>
                <w:lang w:val="es-ES_tradnl" w:eastAsia="es-ES"/>
              </w:rPr>
              <m:t>j=2</m:t>
            </m:r>
          </m:sub>
          <m:sup/>
          <m:e>
            <m:sSub>
              <m:sSubPr>
                <m:ctrlPr>
                  <w:rPr>
                    <w:rFonts w:ascii="Cambria Math" w:hAnsi="Cambria Math" w:cs="Arial"/>
                    <w:i/>
                    <w:lang w:val="es-ES_tradnl" w:eastAsia="es-ES"/>
                  </w:rPr>
                </m:ctrlPr>
              </m:sSubPr>
              <m:e>
                <m:r>
                  <w:rPr>
                    <w:rFonts w:ascii="Cambria Math" w:hAnsi="Cambria Math" w:cs="Arial"/>
                    <w:lang w:val="es-ES_tradnl" w:eastAsia="es-ES"/>
                  </w:rPr>
                  <m:t>w</m:t>
                </m:r>
              </m:e>
              <m:sub>
                <m:r>
                  <w:rPr>
                    <w:rFonts w:ascii="Cambria Math" w:hAnsi="Cambria Math" w:cs="Arial"/>
                    <w:lang w:val="es-ES_tradnl" w:eastAsia="es-ES"/>
                  </w:rPr>
                  <m:t>j</m:t>
                </m:r>
              </m:sub>
            </m:sSub>
            <m:r>
              <w:rPr>
                <w:rFonts w:ascii="Cambria Math" w:hAnsi="Cambria Math" w:cs="Arial"/>
                <w:lang w:val="es-ES_tradnl" w:eastAsia="es-ES"/>
              </w:rPr>
              <m:t>=1</m:t>
            </m:r>
          </m:e>
        </m:nary>
      </m:oMath>
      <w:r w:rsidRPr="00DB68FC">
        <w:rPr>
          <w:rFonts w:ascii="Arial" w:hAnsi="Arial" w:cs="Arial"/>
          <w:lang w:val="es-ES_tradnl" w:eastAsia="es-ES"/>
        </w:rPr>
        <w:t xml:space="preserve"> y </w:t>
      </w:r>
      <m:oMath>
        <m:sSub>
          <m:sSubPr>
            <m:ctrlPr>
              <w:rPr>
                <w:rFonts w:ascii="Cambria Math" w:hAnsi="Cambria Math" w:cs="Arial"/>
                <w:i/>
                <w:lang w:val="es-ES_tradnl" w:eastAsia="es-ES"/>
              </w:rPr>
            </m:ctrlPr>
          </m:sSubPr>
          <m:e>
            <m:r>
              <w:rPr>
                <w:rFonts w:ascii="Cambria Math" w:hAnsi="Cambria Math" w:cs="Arial"/>
                <w:lang w:val="es-ES_tradnl" w:eastAsia="es-ES"/>
              </w:rPr>
              <m:t>w</m:t>
            </m:r>
          </m:e>
          <m:sub>
            <m:r>
              <w:rPr>
                <w:rFonts w:ascii="Cambria Math" w:hAnsi="Cambria Math" w:cs="Arial"/>
                <w:lang w:val="es-ES_tradnl" w:eastAsia="es-ES"/>
              </w:rPr>
              <m:t>j</m:t>
            </m:r>
          </m:sub>
        </m:sSub>
        <m:r>
          <w:rPr>
            <w:rFonts w:ascii="Cambria Math" w:hAnsi="Cambria Math" w:cs="Arial"/>
            <w:lang w:val="es-ES_tradnl" w:eastAsia="es-ES"/>
          </w:rPr>
          <m:t>∈</m:t>
        </m:r>
        <m:d>
          <m:dPr>
            <m:ctrlPr>
              <w:rPr>
                <w:rFonts w:ascii="Cambria Math" w:hAnsi="Cambria Math" w:cs="Arial"/>
                <w:i/>
                <w:lang w:val="es-ES_tradnl" w:eastAsia="es-ES"/>
              </w:rPr>
            </m:ctrlPr>
          </m:dPr>
          <m:e>
            <m:r>
              <w:rPr>
                <w:rFonts w:ascii="Cambria Math" w:hAnsi="Cambria Math" w:cs="Arial"/>
                <w:lang w:val="es-ES_tradnl" w:eastAsia="es-ES"/>
              </w:rPr>
              <m:t>0,1</m:t>
            </m:r>
          </m:e>
        </m:d>
      </m:oMath>
      <w:r w:rsidRPr="00DB68FC">
        <w:rPr>
          <w:rFonts w:ascii="Arial" w:hAnsi="Arial" w:cs="Arial"/>
          <w:lang w:val="es-ES_tradnl" w:eastAsia="es-ES"/>
        </w:rPr>
        <w:t xml:space="preserve">. Luego, la aproximación de lo que hubiera sido observado en </w:t>
      </w:r>
      <m:oMath>
        <m:r>
          <w:rPr>
            <w:rFonts w:ascii="Cambria Math" w:hAnsi="Cambria Math" w:cs="Arial"/>
            <w:lang w:val="es-ES_tradnl" w:eastAsia="es-ES"/>
          </w:rPr>
          <m:t>t</m:t>
        </m:r>
      </m:oMath>
      <w:r w:rsidRPr="00DB68FC">
        <w:rPr>
          <w:rFonts w:ascii="Arial" w:hAnsi="Arial" w:cs="Arial"/>
          <w:lang w:val="es-ES_tradnl" w:eastAsia="es-ES"/>
        </w:rPr>
        <w:t xml:space="preserve"> en el país tratado </w:t>
      </w:r>
      <w:r w:rsidRPr="00DB68FC">
        <w:rPr>
          <w:rFonts w:ascii="Arial" w:hAnsi="Arial" w:cs="Arial"/>
          <w:lang w:val="es-ES_tradnl" w:eastAsia="es-ES"/>
        </w:rPr>
        <w:lastRenderedPageBreak/>
        <w:t xml:space="preserve">(pero en ausencia del programa) es </w:t>
      </w:r>
      <m:oMath>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0</m:t>
            </m:r>
          </m:sub>
          <m:sup>
            <m:r>
              <w:rPr>
                <w:rFonts w:ascii="Cambria Math" w:hAnsi="Cambria Math" w:cs="Arial"/>
                <w:lang w:val="es-ES_tradnl" w:eastAsia="es-ES"/>
              </w:rPr>
              <m:t>t</m:t>
            </m:r>
          </m:sup>
        </m:sSubSup>
        <m:r>
          <w:rPr>
            <w:rFonts w:ascii="Cambria Math" w:hAnsi="Cambria Math" w:cs="Arial"/>
            <w:lang w:val="es-ES_tradnl" w:eastAsia="es-ES"/>
          </w:rPr>
          <m:t>=</m:t>
        </m:r>
        <m:nary>
          <m:naryPr>
            <m:chr m:val="∑"/>
            <m:supHide m:val="1"/>
            <m:ctrlPr>
              <w:rPr>
                <w:rFonts w:ascii="Cambria Math" w:hAnsi="Cambria Math" w:cs="Arial"/>
                <w:i/>
                <w:lang w:val="es-ES_tradnl" w:eastAsia="es-ES"/>
              </w:rPr>
            </m:ctrlPr>
          </m:naryPr>
          <m:sub>
            <m:r>
              <w:rPr>
                <w:rFonts w:ascii="Cambria Math" w:hAnsi="Cambria Math" w:cs="Arial"/>
                <w:lang w:val="es-ES_tradnl" w:eastAsia="es-ES"/>
              </w:rPr>
              <m:t>j=2</m:t>
            </m:r>
          </m:sub>
          <m:sup/>
          <m:e>
            <m:sSubSup>
              <m:sSubSupPr>
                <m:ctrlPr>
                  <w:rPr>
                    <w:rFonts w:ascii="Cambria Math" w:hAnsi="Cambria Math" w:cs="Arial"/>
                    <w:i/>
                    <w:lang w:val="es-ES_tradnl" w:eastAsia="es-ES"/>
                  </w:rPr>
                </m:ctrlPr>
              </m:sSubSupPr>
              <m:e>
                <m:r>
                  <w:rPr>
                    <w:rFonts w:ascii="Cambria Math" w:hAnsi="Cambria Math" w:cs="Arial"/>
                    <w:lang w:val="es-ES_tradnl" w:eastAsia="es-ES"/>
                  </w:rPr>
                  <m:t>y</m:t>
                </m:r>
              </m:e>
              <m:sub>
                <m:r>
                  <w:rPr>
                    <w:rFonts w:ascii="Cambria Math" w:hAnsi="Cambria Math" w:cs="Arial"/>
                    <w:lang w:val="es-ES_tradnl" w:eastAsia="es-ES"/>
                  </w:rPr>
                  <m:t>j</m:t>
                </m:r>
              </m:sub>
              <m:sup>
                <m:r>
                  <w:rPr>
                    <w:rFonts w:ascii="Cambria Math" w:hAnsi="Cambria Math" w:cs="Arial"/>
                    <w:lang w:val="es-ES_tradnl" w:eastAsia="es-ES"/>
                  </w:rPr>
                  <m:t>t</m:t>
                </m:r>
              </m:sup>
            </m:sSubSup>
            <m:sSubSup>
              <m:sSubSupPr>
                <m:ctrlPr>
                  <w:rPr>
                    <w:rFonts w:ascii="Cambria Math" w:hAnsi="Cambria Math" w:cs="Arial"/>
                    <w:i/>
                    <w:lang w:val="es-ES_tradnl" w:eastAsia="es-ES"/>
                  </w:rPr>
                </m:ctrlPr>
              </m:sSubSupPr>
              <m:e>
                <m:r>
                  <w:rPr>
                    <w:rFonts w:ascii="Cambria Math" w:hAnsi="Cambria Math" w:cs="Arial"/>
                    <w:lang w:val="es-ES_tradnl" w:eastAsia="es-ES"/>
                  </w:rPr>
                  <m:t>w</m:t>
                </m:r>
              </m:e>
              <m:sub>
                <m:r>
                  <w:rPr>
                    <w:rFonts w:ascii="Cambria Math" w:hAnsi="Cambria Math" w:cs="Arial"/>
                    <w:lang w:val="es-ES_tradnl" w:eastAsia="es-ES"/>
                  </w:rPr>
                  <m:t>j</m:t>
                </m:r>
              </m:sub>
              <m:sup>
                <m:r>
                  <w:rPr>
                    <w:rFonts w:ascii="Cambria Math" w:hAnsi="Cambria Math" w:cs="Arial"/>
                    <w:lang w:val="es-ES_tradnl" w:eastAsia="es-ES"/>
                  </w:rPr>
                  <m:t>*</m:t>
                </m:r>
              </m:sup>
            </m:sSubSup>
          </m:e>
        </m:nary>
      </m:oMath>
      <w:r w:rsidRPr="00DB68FC">
        <w:rPr>
          <w:rFonts w:ascii="Arial" w:hAnsi="Arial" w:cs="Arial"/>
          <w:lang w:val="es-ES_tradnl" w:eastAsia="es-ES"/>
        </w:rPr>
        <w:t>. Actualmente, este método se encuentra implementado en Stata (hasta la versión 12), R y MATLAB. Para un resumen de estudios que han utilizado este método ver Craig (2015)</w:t>
      </w:r>
      <w:r w:rsidRPr="00DB68FC">
        <w:rPr>
          <w:rFonts w:ascii="Arial" w:hAnsi="Arial" w:cs="Arial"/>
          <w:vertAlign w:val="superscript"/>
          <w:lang w:val="es-ES_tradnl" w:eastAsia="es-ES"/>
        </w:rPr>
        <w:footnoteReference w:id="5"/>
      </w:r>
      <w:r w:rsidRPr="00DB68FC">
        <w:rPr>
          <w:rFonts w:ascii="Arial" w:hAnsi="Arial" w:cs="Arial"/>
          <w:lang w:val="es-ES_tradnl" w:eastAsia="es-ES"/>
        </w:rPr>
        <w:t>.</w:t>
      </w:r>
    </w:p>
    <w:p w:rsidR="00501620" w:rsidRPr="00DB68FC" w:rsidRDefault="00501620" w:rsidP="00501620">
      <w:pPr>
        <w:pStyle w:val="Paragraph"/>
        <w:numPr>
          <w:ilvl w:val="1"/>
          <w:numId w:val="4"/>
        </w:numPr>
        <w:spacing w:before="100" w:after="100"/>
        <w:ind w:left="540" w:hanging="540"/>
        <w:rPr>
          <w:rFonts w:ascii="Arial" w:hAnsi="Arial" w:cs="Arial"/>
          <w:lang w:val="es-ES_tradnl" w:eastAsia="es-ES"/>
        </w:rPr>
      </w:pPr>
      <w:r w:rsidRPr="00DB68FC">
        <w:rPr>
          <w:rFonts w:ascii="Arial" w:hAnsi="Arial" w:cs="Arial"/>
          <w:lang w:val="es-ES_tradnl" w:eastAsia="es-ES"/>
        </w:rPr>
        <w:t>A modo de ejercicio, se utilizó un panel  de 170 países entre los años 2000 y 2013, proveniente de World Development Indicators  (World Bank Group, 2016), para realizar pruebas de placebo sobre la variable de interés: Emisiones de CO</w:t>
      </w:r>
      <w:r w:rsidRPr="00DB68FC">
        <w:rPr>
          <w:rFonts w:ascii="Arial" w:hAnsi="Arial" w:cs="Arial"/>
          <w:vertAlign w:val="subscript"/>
          <w:lang w:val="es-ES_tradnl" w:eastAsia="es-ES"/>
        </w:rPr>
        <w:t>2</w:t>
      </w:r>
      <w:r w:rsidRPr="00DB68FC">
        <w:rPr>
          <w:rFonts w:ascii="Arial" w:hAnsi="Arial" w:cs="Arial"/>
          <w:lang w:val="es-ES_tradnl" w:eastAsia="es-ES"/>
        </w:rPr>
        <w:t xml:space="preserve"> per cápita (toneladas métricas). Esta variable resulta fundamental para evaluar el éxito del programa, porque es desde la reducción de emisiones de CO</w:t>
      </w:r>
      <w:r w:rsidRPr="00DB68FC">
        <w:rPr>
          <w:rFonts w:ascii="Arial" w:hAnsi="Arial" w:cs="Arial"/>
          <w:vertAlign w:val="subscript"/>
          <w:lang w:val="es-ES_tradnl" w:eastAsia="es-ES"/>
        </w:rPr>
        <w:t>2</w:t>
      </w:r>
      <w:r w:rsidRPr="00DB68FC">
        <w:rPr>
          <w:rFonts w:ascii="Arial" w:hAnsi="Arial" w:cs="Arial"/>
          <w:lang w:val="es-ES_tradnl" w:eastAsia="es-ES"/>
        </w:rPr>
        <w:t xml:space="preserve"> donde se derivan </w:t>
      </w:r>
      <w:r>
        <w:rPr>
          <w:rFonts w:ascii="Arial" w:hAnsi="Arial" w:cs="Arial"/>
          <w:lang w:val="es-ES_tradnl" w:eastAsia="es-ES"/>
        </w:rPr>
        <w:t xml:space="preserve">una parte importante de los </w:t>
      </w:r>
      <w:r w:rsidRPr="00DB68FC">
        <w:rPr>
          <w:rFonts w:ascii="Arial" w:hAnsi="Arial" w:cs="Arial"/>
          <w:lang w:val="es-ES_tradnl" w:eastAsia="es-ES"/>
        </w:rPr>
        <w:t>beneficios</w:t>
      </w:r>
      <w:r>
        <w:rPr>
          <w:rFonts w:ascii="Arial" w:hAnsi="Arial" w:cs="Arial"/>
          <w:lang w:val="es-ES_tradnl" w:eastAsia="es-ES"/>
        </w:rPr>
        <w:t xml:space="preserve"> como se observa de la evaluación económica, mientras que el resto de los beneficios se derivan de menor contaminación y menores tarifas, las cuales no se analizan por ahora por no tener toda la información disponible</w:t>
      </w:r>
      <w:r w:rsidRPr="00DB68FC">
        <w:rPr>
          <w:rFonts w:ascii="Arial" w:hAnsi="Arial" w:cs="Arial"/>
          <w:lang w:val="es-ES_tradnl" w:eastAsia="es-ES"/>
        </w:rPr>
        <w:t>. Por otro lado, se definió un conjunto de predictores tradicionalmente citados en la literatura académica: GDP per cápita (US$); GDP per cápita al cuadrado (US$); Generación Eléctrica basada en recursos renovables (% del total de generación eléctrica); Superficie cubierta por Bosques (% de la superficie total); Comercio (% del GDP); Desarrollo Financiero (Crédito doméstico para el sector privado, % del GDP)</w:t>
      </w:r>
      <w:r>
        <w:rPr>
          <w:rStyle w:val="FootnoteReference"/>
          <w:rFonts w:ascii="Arial" w:hAnsi="Arial" w:cs="Arial"/>
          <w:lang w:val="es-ES_tradnl" w:eastAsia="es-ES"/>
        </w:rPr>
        <w:footnoteReference w:id="6"/>
      </w:r>
      <w:r w:rsidRPr="00DB68FC">
        <w:rPr>
          <w:rFonts w:ascii="Arial" w:hAnsi="Arial" w:cs="Arial"/>
          <w:lang w:val="es-ES_tradnl" w:eastAsia="es-ES"/>
        </w:rPr>
        <w:t>. Adicionalmente, se agregó rezagos de la variable de interés</w:t>
      </w:r>
      <w:r w:rsidRPr="00DB68FC">
        <w:rPr>
          <w:rStyle w:val="FootnoteReference"/>
          <w:rFonts w:ascii="Arial" w:hAnsi="Arial" w:cs="Arial"/>
          <w:lang w:val="es-ES_tradnl" w:eastAsia="es-ES"/>
        </w:rPr>
        <w:footnoteReference w:id="7"/>
      </w:r>
      <w:r w:rsidRPr="00DB68FC">
        <w:rPr>
          <w:rFonts w:ascii="Arial" w:hAnsi="Arial" w:cs="Arial"/>
          <w:lang w:val="es-ES_tradnl" w:eastAsia="es-ES"/>
        </w:rPr>
        <w:t>. El objetivo de las pruebas de placebo es mostrar que un grupo de control sintético efectivamente replicaría el comportamiento de un país tratado posterior a la aplicación.</w:t>
      </w:r>
    </w:p>
    <w:p w:rsidR="00501620" w:rsidRPr="00DB68FC" w:rsidRDefault="00501620" w:rsidP="00501620">
      <w:pPr>
        <w:pStyle w:val="Paragraph"/>
        <w:numPr>
          <w:ilvl w:val="1"/>
          <w:numId w:val="4"/>
        </w:numPr>
        <w:spacing w:before="100" w:after="100"/>
        <w:ind w:left="540" w:hanging="540"/>
        <w:rPr>
          <w:rFonts w:ascii="Arial" w:hAnsi="Arial" w:cs="Arial"/>
          <w:lang w:val="es-ES_tradnl" w:eastAsia="es-ES"/>
        </w:rPr>
      </w:pPr>
      <w:r w:rsidRPr="00DB68FC">
        <w:rPr>
          <w:rFonts w:ascii="Arial" w:hAnsi="Arial" w:cs="Arial"/>
          <w:lang w:val="es-ES_tradnl" w:eastAsia="es-ES"/>
        </w:rPr>
        <w:t>Se escogió a Chile como país tratado (por el placebo), mientras que los demás países en la muestra se asumieron como países de control. El año de aplicación escogido fue 2005, 2007, 2009 y 2011, sucesivamente. Los resultados de estas pruebas de placebo se muestran en la</w:t>
      </w:r>
      <w:r>
        <w:rPr>
          <w:rFonts w:ascii="Arial" w:hAnsi="Arial" w:cs="Arial"/>
          <w:lang w:val="es-ES_tradnl" w:eastAsia="es-ES"/>
        </w:rPr>
        <w:t xml:space="preserve"> Figura</w:t>
      </w:r>
      <w:r w:rsidRPr="00DB68FC">
        <w:rPr>
          <w:rFonts w:ascii="Arial" w:hAnsi="Arial" w:cs="Arial"/>
          <w:lang w:val="es-ES_tradnl" w:eastAsia="es-ES"/>
        </w:rPr>
        <w:t xml:space="preserve"> 1.</w:t>
      </w:r>
    </w:p>
    <w:p w:rsidR="00501620" w:rsidRPr="00DB68FC" w:rsidRDefault="00501620" w:rsidP="00FC4DE0">
      <w:pPr>
        <w:pStyle w:val="Paragraph"/>
        <w:numPr>
          <w:ilvl w:val="1"/>
          <w:numId w:val="4"/>
        </w:numPr>
        <w:spacing w:before="100" w:after="100"/>
        <w:rPr>
          <w:rFonts w:ascii="Arial" w:hAnsi="Arial" w:cs="Arial"/>
          <w:lang w:val="es-ES_tradnl" w:eastAsia="es-ES"/>
        </w:rPr>
      </w:pPr>
      <w:r w:rsidRPr="00DB68FC">
        <w:rPr>
          <w:rFonts w:ascii="Arial" w:hAnsi="Arial" w:cs="Arial"/>
          <w:lang w:val="es-ES_tradnl" w:eastAsia="es-ES"/>
        </w:rPr>
        <w:t xml:space="preserve">Como </w:t>
      </w:r>
      <w:r>
        <w:rPr>
          <w:rFonts w:ascii="Arial" w:hAnsi="Arial" w:cs="Arial"/>
          <w:lang w:val="es-ES_tradnl" w:eastAsia="es-ES"/>
        </w:rPr>
        <w:t>se observa</w:t>
      </w:r>
      <w:r w:rsidRPr="00DB68FC">
        <w:rPr>
          <w:rFonts w:ascii="Arial" w:hAnsi="Arial" w:cs="Arial"/>
          <w:lang w:val="es-ES_tradnl" w:eastAsia="es-ES"/>
        </w:rPr>
        <w:t xml:space="preserve">, el peso de casi todos de los países de control resultó ser residual, salvo por un pequeño grupo que si tuvo un peso relevante dentro del grupo de control sintético (mayor a 10%). Por razones de robustez, se quitó de la muestra aquellos países de peso residual y se repitió la serie de ejercicios anterior. No se encontró ningún cambio significativo en la evolución de las variables de interés después de eliminar los países de peso residual. Los pesos de los países que resultaron relevantes dentro del grupo de control sintético en cada una de </w:t>
      </w:r>
      <w:r w:rsidRPr="00DB68FC">
        <w:rPr>
          <w:rFonts w:ascii="Arial" w:hAnsi="Arial" w:cs="Arial"/>
          <w:lang w:val="es-ES_tradnl" w:eastAsia="es-ES"/>
        </w:rPr>
        <w:lastRenderedPageBreak/>
        <w:t>las especificaciones de la estrategia utilizada se muestran en la siguiente tabla.</w:t>
      </w:r>
      <w:r>
        <w:rPr>
          <w:rFonts w:ascii="Arial" w:hAnsi="Arial" w:cs="Arial"/>
          <w:lang w:val="es-ES_tradnl" w:eastAsia="es-ES"/>
        </w:rPr>
        <w:t xml:space="preserve"> Finalmente se condujo una búsqueda para verificar que estos países no hayan tenido una reforma significativa que afectara sus emisiones de CO</w:t>
      </w:r>
      <w:r w:rsidRPr="00D6554E">
        <w:rPr>
          <w:rFonts w:ascii="Arial" w:hAnsi="Arial" w:cs="Arial"/>
          <w:sz w:val="16"/>
          <w:szCs w:val="16"/>
          <w:lang w:val="es-ES_tradnl" w:eastAsia="es-ES"/>
        </w:rPr>
        <w:t>2</w:t>
      </w:r>
      <w:r>
        <w:rPr>
          <w:rFonts w:ascii="Arial" w:hAnsi="Arial" w:cs="Arial"/>
          <w:lang w:val="es-ES_tradnl" w:eastAsia="es-ES"/>
        </w:rPr>
        <w:t xml:space="preserve"> en el periodo considerado. El resultado no arroj</w:t>
      </w:r>
      <w:r w:rsidR="00FC4DE0" w:rsidRPr="00FC4DE0">
        <w:rPr>
          <w:rFonts w:ascii="Arial" w:hAnsi="Arial" w:cs="Arial"/>
          <w:lang w:val="es-ES_tradnl" w:eastAsia="es-ES"/>
        </w:rPr>
        <w:t>ó</w:t>
      </w:r>
      <w:r>
        <w:rPr>
          <w:rFonts w:ascii="Arial" w:hAnsi="Arial" w:cs="Arial"/>
          <w:lang w:val="es-ES_tradnl" w:eastAsia="es-ES"/>
        </w:rPr>
        <w:t xml:space="preserve"> reformas importantes.</w:t>
      </w:r>
    </w:p>
    <w:p w:rsidR="00501620" w:rsidRPr="00DB68FC" w:rsidRDefault="00501620" w:rsidP="00501620">
      <w:pPr>
        <w:pStyle w:val="Paragraph"/>
        <w:tabs>
          <w:tab w:val="clear" w:pos="1440"/>
        </w:tabs>
        <w:spacing w:before="100" w:after="100"/>
        <w:ind w:left="540" w:firstLine="0"/>
        <w:rPr>
          <w:rFonts w:ascii="Arial" w:hAnsi="Arial" w:cs="Arial"/>
          <w:lang w:val="es-ES_tradnl" w:eastAsia="es-ES"/>
        </w:rPr>
      </w:pPr>
    </w:p>
    <w:p w:rsidR="00501620" w:rsidRPr="00DB68FC" w:rsidRDefault="00501620" w:rsidP="00501620">
      <w:pPr>
        <w:pStyle w:val="Paragraph"/>
        <w:tabs>
          <w:tab w:val="clear" w:pos="1440"/>
        </w:tabs>
        <w:spacing w:before="100" w:after="100"/>
        <w:ind w:left="360" w:firstLine="0"/>
        <w:rPr>
          <w:rFonts w:ascii="Arial" w:hAnsi="Arial" w:cs="Arial"/>
          <w:lang w:val="es-ES_tradnl" w:eastAsia="es-ES"/>
        </w:rPr>
      </w:pPr>
      <w:r w:rsidRPr="008956BA">
        <w:rPr>
          <w:rFonts w:ascii="Arial" w:hAnsi="Arial" w:cs="Arial"/>
          <w:noProof/>
        </w:rPr>
        <w:drawing>
          <wp:inline distT="0" distB="0" distL="0" distR="0" wp14:anchorId="0233CA58" wp14:editId="17E63064">
            <wp:extent cx="4746569" cy="128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6569" cy="1280160"/>
                    </a:xfrm>
                    <a:prstGeom prst="rect">
                      <a:avLst/>
                    </a:prstGeom>
                    <a:noFill/>
                    <a:ln>
                      <a:noFill/>
                    </a:ln>
                  </pic:spPr>
                </pic:pic>
              </a:graphicData>
            </a:graphic>
          </wp:inline>
        </w:drawing>
      </w:r>
    </w:p>
    <w:p w:rsidR="00501620" w:rsidRPr="00DB68FC" w:rsidRDefault="00501620" w:rsidP="00501620">
      <w:pPr>
        <w:pStyle w:val="Paragraph"/>
        <w:tabs>
          <w:tab w:val="clear" w:pos="1440"/>
        </w:tabs>
        <w:spacing w:before="100" w:after="100"/>
        <w:ind w:left="360" w:firstLine="0"/>
        <w:rPr>
          <w:rFonts w:ascii="Arial" w:hAnsi="Arial" w:cs="Arial"/>
          <w:lang w:val="es-ES_tradnl" w:eastAsia="es-ES"/>
        </w:rPr>
      </w:pPr>
    </w:p>
    <w:p w:rsidR="00501620" w:rsidRPr="00DB68FC" w:rsidRDefault="00501620" w:rsidP="00501620">
      <w:pPr>
        <w:pStyle w:val="Paragraph"/>
        <w:numPr>
          <w:ilvl w:val="1"/>
          <w:numId w:val="4"/>
        </w:numPr>
        <w:spacing w:before="100" w:after="100"/>
        <w:ind w:left="540" w:hanging="540"/>
        <w:rPr>
          <w:rFonts w:ascii="Arial" w:hAnsi="Arial" w:cs="Arial"/>
          <w:lang w:val="es-ES_tradnl" w:eastAsia="es-ES"/>
        </w:rPr>
      </w:pPr>
      <w:r w:rsidRPr="00DB68FC">
        <w:rPr>
          <w:rFonts w:ascii="Arial" w:hAnsi="Arial" w:cs="Arial"/>
          <w:lang w:val="es-ES_tradnl" w:eastAsia="es-ES"/>
        </w:rPr>
        <w:t>Para la evaluación final del programa se prevé en principio evaluar el impacto en las siguientes variables</w:t>
      </w:r>
      <w:r>
        <w:rPr>
          <w:rFonts w:ascii="Arial" w:hAnsi="Arial" w:cs="Arial"/>
          <w:lang w:val="es-ES_tradnl" w:eastAsia="es-ES"/>
        </w:rPr>
        <w:t xml:space="preserve"> que se espera sean afectadas por la reforma</w:t>
      </w:r>
      <w:r w:rsidRPr="00DB68FC">
        <w:rPr>
          <w:rFonts w:ascii="Arial" w:hAnsi="Arial" w:cs="Arial"/>
          <w:lang w:val="es-ES_tradnl" w:eastAsia="es-ES"/>
        </w:rPr>
        <w:t>: tarifas eléctricas para consumidores residenciales e industriales; concentraciones de material particulado; emisiones de CO</w:t>
      </w:r>
      <w:r w:rsidRPr="00D6554E">
        <w:rPr>
          <w:rFonts w:ascii="Arial" w:hAnsi="Arial" w:cs="Arial"/>
          <w:sz w:val="16"/>
          <w:szCs w:val="16"/>
          <w:lang w:val="es-ES_tradnl" w:eastAsia="es-ES"/>
        </w:rPr>
        <w:t>2</w:t>
      </w:r>
      <w:r w:rsidRPr="00DB68FC">
        <w:rPr>
          <w:rFonts w:ascii="Arial" w:hAnsi="Arial" w:cs="Arial"/>
          <w:lang w:val="es-ES_tradnl" w:eastAsia="es-ES"/>
        </w:rPr>
        <w:t xml:space="preserve"> per cápita. La información adicional será obtenida de bases de datos de la IEA, WHO y WB.</w:t>
      </w:r>
    </w:p>
    <w:p w:rsidR="00EA0363" w:rsidRDefault="00EA0363" w:rsidP="00EA0363">
      <w:pPr>
        <w:pStyle w:val="Paragraph"/>
        <w:tabs>
          <w:tab w:val="clear" w:pos="1440"/>
        </w:tabs>
        <w:spacing w:before="100" w:after="100"/>
        <w:ind w:left="540" w:firstLine="0"/>
        <w:rPr>
          <w:rFonts w:ascii="Arial" w:hAnsi="Arial" w:cs="Arial"/>
          <w:lang w:val="es-ES_tradnl" w:eastAsia="es-ES"/>
        </w:rPr>
      </w:pPr>
      <w:r w:rsidRPr="00EA0363">
        <w:rPr>
          <w:rFonts w:ascii="Arial" w:hAnsi="Arial" w:cs="Arial"/>
          <w:lang w:val="es-ES_tradnl" w:eastAsia="es-ES"/>
        </w:rPr>
        <w:t xml:space="preserve">Figura 1. </w:t>
      </w:r>
    </w:p>
    <w:p w:rsidR="00501620" w:rsidRPr="00EA0363" w:rsidRDefault="00501620" w:rsidP="00EA0363">
      <w:pPr>
        <w:pStyle w:val="Paragraph"/>
        <w:tabs>
          <w:tab w:val="clear" w:pos="1440"/>
        </w:tabs>
        <w:spacing w:before="100" w:after="100"/>
        <w:ind w:left="540" w:firstLine="0"/>
        <w:rPr>
          <w:rFonts w:ascii="Arial" w:hAnsi="Arial" w:cs="Arial"/>
          <w:lang w:val="es-ES_tradnl" w:eastAsia="es-ES"/>
        </w:rPr>
      </w:pPr>
      <w:r>
        <w:rPr>
          <w:noProof/>
        </w:rPr>
        <w:drawing>
          <wp:inline distT="0" distB="0" distL="0" distR="0" wp14:anchorId="74DB3C6D" wp14:editId="19AA191C">
            <wp:extent cx="5598543" cy="4097271"/>
            <wp:effectExtent l="19050" t="19050" r="2159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6965" cy="4103434"/>
                    </a:xfrm>
                    <a:prstGeom prst="rect">
                      <a:avLst/>
                    </a:prstGeom>
                    <a:noFill/>
                    <a:ln>
                      <a:solidFill>
                        <a:schemeClr val="accent1"/>
                      </a:solidFill>
                    </a:ln>
                  </pic:spPr>
                </pic:pic>
              </a:graphicData>
            </a:graphic>
          </wp:inline>
        </w:drawing>
      </w:r>
    </w:p>
    <w:p w:rsidR="00EA0363" w:rsidRDefault="00EA0363" w:rsidP="00EA0363">
      <w:pPr>
        <w:pStyle w:val="Paragraph"/>
        <w:tabs>
          <w:tab w:val="clear" w:pos="1440"/>
        </w:tabs>
        <w:spacing w:before="100" w:after="100"/>
        <w:ind w:left="540" w:firstLine="0"/>
        <w:rPr>
          <w:rFonts w:ascii="Century Schoolbook" w:hAnsi="Century Schoolbook"/>
          <w:noProof/>
          <w:color w:val="404040" w:themeColor="text1" w:themeTint="BF"/>
          <w:sz w:val="20"/>
          <w:lang w:val="es-ES_tradnl" w:eastAsia="es-ES_tradnl"/>
        </w:rPr>
      </w:pPr>
      <w:r w:rsidRPr="00EA0363">
        <w:rPr>
          <w:rFonts w:ascii="Arial" w:hAnsi="Arial" w:cs="Arial"/>
          <w:lang w:val="es-ES_tradnl" w:eastAsia="es-ES"/>
        </w:rPr>
        <w:t>Firgura 2.</w:t>
      </w:r>
    </w:p>
    <w:p w:rsidR="00EA0363" w:rsidRDefault="00EA0363" w:rsidP="00EA0363">
      <w:pPr>
        <w:pStyle w:val="Paragraph"/>
        <w:tabs>
          <w:tab w:val="clear" w:pos="1440"/>
        </w:tabs>
        <w:spacing w:before="100" w:after="100"/>
        <w:ind w:left="540" w:firstLine="0"/>
        <w:rPr>
          <w:rFonts w:ascii="Century Schoolbook" w:hAnsi="Century Schoolbook"/>
          <w:color w:val="404040" w:themeColor="text1" w:themeTint="BF"/>
          <w:sz w:val="20"/>
        </w:rPr>
      </w:pPr>
      <w:r w:rsidRPr="00DA2F83">
        <w:rPr>
          <w:rFonts w:ascii="Century Schoolbook" w:hAnsi="Century Schoolbook"/>
          <w:noProof/>
          <w:color w:val="404040" w:themeColor="text1" w:themeTint="BF"/>
          <w:sz w:val="20"/>
        </w:rPr>
        <w:lastRenderedPageBreak/>
        <w:drawing>
          <wp:inline distT="0" distB="0" distL="0" distR="0" wp14:anchorId="2D921639" wp14:editId="586B5462">
            <wp:extent cx="5486400" cy="4015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015187"/>
                    </a:xfrm>
                    <a:prstGeom prst="rect">
                      <a:avLst/>
                    </a:prstGeom>
                    <a:noFill/>
                    <a:ln>
                      <a:noFill/>
                    </a:ln>
                  </pic:spPr>
                </pic:pic>
              </a:graphicData>
            </a:graphic>
          </wp:inline>
        </w:drawing>
      </w:r>
    </w:p>
    <w:p w:rsidR="00EA0363" w:rsidRPr="0083077A" w:rsidRDefault="00EA0363" w:rsidP="00EA0363">
      <w:pPr>
        <w:pStyle w:val="Paragraph"/>
        <w:tabs>
          <w:tab w:val="clear" w:pos="1440"/>
        </w:tabs>
        <w:spacing w:before="100" w:after="100"/>
        <w:ind w:left="540" w:firstLine="0"/>
        <w:rPr>
          <w:rFonts w:ascii="Century Schoolbook" w:hAnsi="Century Schoolbook"/>
          <w:color w:val="404040" w:themeColor="text1" w:themeTint="BF"/>
          <w:sz w:val="20"/>
          <w:lang w:val="es-ES_tradnl"/>
        </w:rPr>
      </w:pPr>
    </w:p>
    <w:p w:rsidR="00EA0363" w:rsidRPr="00D77E68" w:rsidRDefault="00EA0363" w:rsidP="00EA0363">
      <w:pPr>
        <w:pStyle w:val="Paragraph"/>
        <w:tabs>
          <w:tab w:val="clear" w:pos="1440"/>
        </w:tabs>
        <w:spacing w:before="100" w:after="100"/>
        <w:ind w:left="540" w:firstLine="0"/>
        <w:rPr>
          <w:rFonts w:ascii="Century Schoolbook" w:hAnsi="Century Schoolbook"/>
          <w:color w:val="404040" w:themeColor="text1" w:themeTint="BF"/>
          <w:lang w:val="es-ES_tradnl"/>
        </w:rPr>
      </w:pPr>
      <w:r w:rsidRPr="00DA2F83">
        <w:rPr>
          <w:rFonts w:ascii="Century Schoolbook" w:hAnsi="Century Schoolbook"/>
          <w:noProof/>
          <w:color w:val="404040" w:themeColor="text1" w:themeTint="BF"/>
          <w:sz w:val="20"/>
        </w:rPr>
        <w:drawing>
          <wp:inline distT="0" distB="0" distL="0" distR="0" wp14:anchorId="28911EFA" wp14:editId="625E1B75">
            <wp:extent cx="5398555" cy="39508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3809" cy="3954743"/>
                    </a:xfrm>
                    <a:prstGeom prst="rect">
                      <a:avLst/>
                    </a:prstGeom>
                    <a:noFill/>
                    <a:ln>
                      <a:noFill/>
                    </a:ln>
                  </pic:spPr>
                </pic:pic>
              </a:graphicData>
            </a:graphic>
          </wp:inline>
        </w:drawing>
      </w:r>
      <w:r w:rsidRPr="00EA0363">
        <w:rPr>
          <w:rFonts w:ascii="Century Schoolbook" w:hAnsi="Century Schoolbook"/>
          <w:color w:val="404040" w:themeColor="text1" w:themeTint="BF"/>
          <w:sz w:val="20"/>
          <w:lang w:val="es-ES_tradnl"/>
        </w:rPr>
        <w:br w:type="page"/>
      </w:r>
      <w:r w:rsidRPr="00D77E68">
        <w:rPr>
          <w:rFonts w:ascii="Century Schoolbook" w:hAnsi="Century Schoolbook"/>
          <w:color w:val="404040" w:themeColor="text1" w:themeTint="BF"/>
          <w:sz w:val="20"/>
          <w:lang w:val="es-ES_tradnl"/>
        </w:rPr>
        <w:lastRenderedPageBreak/>
        <w:t xml:space="preserve">Tabla </w:t>
      </w:r>
      <w:r w:rsidRPr="00EA0363">
        <w:rPr>
          <w:rFonts w:ascii="Century Schoolbook" w:hAnsi="Century Schoolbook"/>
          <w:color w:val="404040" w:themeColor="text1" w:themeTint="BF"/>
          <w:sz w:val="20"/>
          <w:lang w:val="es-ES_tradnl"/>
        </w:rPr>
        <w:t>A</w:t>
      </w:r>
      <w:r w:rsidRPr="00D77E68">
        <w:rPr>
          <w:rFonts w:ascii="Century Schoolbook" w:hAnsi="Century Schoolbook"/>
          <w:color w:val="404040" w:themeColor="text1" w:themeTint="BF"/>
          <w:sz w:val="20"/>
          <w:lang w:val="es-ES_tradnl"/>
        </w:rPr>
        <w:t>: Países que aportan o pesan más de 0.1 en el grupo de control sintético y sus pesos. La variable dependiente es la Generación de Electricidad basada en recursos renovables.</w:t>
      </w:r>
    </w:p>
    <w:tbl>
      <w:tblPr>
        <w:tblW w:w="0" w:type="auto"/>
        <w:jc w:val="center"/>
        <w:tblCellMar>
          <w:left w:w="70" w:type="dxa"/>
          <w:right w:w="70" w:type="dxa"/>
        </w:tblCellMar>
        <w:tblLook w:val="04A0" w:firstRow="1" w:lastRow="0" w:firstColumn="1" w:lastColumn="0" w:noHBand="0" w:noVBand="1"/>
      </w:tblPr>
      <w:tblGrid>
        <w:gridCol w:w="963"/>
        <w:gridCol w:w="1626"/>
        <w:gridCol w:w="1626"/>
        <w:gridCol w:w="1626"/>
        <w:gridCol w:w="1626"/>
      </w:tblGrid>
      <w:tr w:rsidR="00EA0363" w:rsidRPr="00DA2F83" w:rsidTr="0083077A">
        <w:trPr>
          <w:trHeight w:val="25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País</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2013</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2010</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2004</w:t>
            </w:r>
          </w:p>
        </w:tc>
      </w:tr>
      <w:tr w:rsidR="00EA0363" w:rsidRPr="00DA2F83" w:rsidTr="0083077A">
        <w:trPr>
          <w:trHeight w:val="255"/>
          <w:jc w:val="center"/>
        </w:trPr>
        <w:tc>
          <w:tcPr>
            <w:tcW w:w="0" w:type="auto"/>
            <w:tcBorders>
              <w:top w:val="single" w:sz="4" w:space="0" w:color="auto"/>
              <w:left w:val="single" w:sz="4" w:space="0" w:color="auto"/>
              <w:right w:val="nil"/>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Croa</w:t>
            </w:r>
            <w:r w:rsidRPr="00DA2F83">
              <w:rPr>
                <w:rFonts w:ascii="Century Schoolbook" w:hAnsi="Century Schoolbook"/>
                <w:color w:val="404040" w:themeColor="text1" w:themeTint="BF"/>
                <w:sz w:val="20"/>
                <w:szCs w:val="20"/>
                <w:lang w:eastAsia="es-ES"/>
              </w:rPr>
              <w:t>c</w:t>
            </w:r>
            <w:r w:rsidRPr="00015ED3">
              <w:rPr>
                <w:rFonts w:ascii="Century Schoolbook" w:hAnsi="Century Schoolbook"/>
                <w:color w:val="404040" w:themeColor="text1" w:themeTint="BF"/>
                <w:sz w:val="20"/>
                <w:szCs w:val="20"/>
                <w:lang w:eastAsia="es-ES"/>
              </w:rPr>
              <w:t>ia</w:t>
            </w:r>
          </w:p>
        </w:tc>
        <w:tc>
          <w:tcPr>
            <w:tcW w:w="0" w:type="auto"/>
            <w:tcBorders>
              <w:top w:val="single" w:sz="4" w:space="0" w:color="auto"/>
              <w:left w:val="nil"/>
              <w:right w:val="nil"/>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0.492</w:t>
            </w:r>
          </w:p>
        </w:tc>
        <w:tc>
          <w:tcPr>
            <w:tcW w:w="0" w:type="auto"/>
            <w:tcBorders>
              <w:top w:val="single" w:sz="4" w:space="0" w:color="auto"/>
              <w:left w:val="nil"/>
              <w:right w:val="nil"/>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0.304</w:t>
            </w:r>
          </w:p>
        </w:tc>
        <w:tc>
          <w:tcPr>
            <w:tcW w:w="0" w:type="auto"/>
            <w:tcBorders>
              <w:top w:val="single" w:sz="4" w:space="0" w:color="auto"/>
              <w:left w:val="nil"/>
              <w:right w:val="nil"/>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0.277</w:t>
            </w:r>
          </w:p>
        </w:tc>
        <w:tc>
          <w:tcPr>
            <w:tcW w:w="0" w:type="auto"/>
            <w:tcBorders>
              <w:top w:val="single" w:sz="4" w:space="0" w:color="auto"/>
              <w:left w:val="nil"/>
              <w:right w:val="single" w:sz="4" w:space="0" w:color="auto"/>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0.067</w:t>
            </w:r>
          </w:p>
        </w:tc>
      </w:tr>
      <w:tr w:rsidR="00EA0363" w:rsidRPr="00DA2F83" w:rsidTr="0083077A">
        <w:trPr>
          <w:trHeight w:val="255"/>
          <w:jc w:val="center"/>
        </w:trPr>
        <w:tc>
          <w:tcPr>
            <w:tcW w:w="0" w:type="auto"/>
            <w:tcBorders>
              <w:left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M</w:t>
            </w:r>
            <w:r w:rsidRPr="00DA2F83">
              <w:rPr>
                <w:rFonts w:ascii="Century Schoolbook" w:hAnsi="Century Schoolbook"/>
                <w:color w:val="404040" w:themeColor="text1" w:themeTint="BF"/>
                <w:sz w:val="20"/>
                <w:szCs w:val="20"/>
                <w:lang w:eastAsia="es-ES"/>
              </w:rPr>
              <w:t>é</w:t>
            </w:r>
            <w:r w:rsidRPr="00015ED3">
              <w:rPr>
                <w:rFonts w:ascii="Century Schoolbook" w:hAnsi="Century Schoolbook"/>
                <w:color w:val="404040" w:themeColor="text1" w:themeTint="BF"/>
                <w:sz w:val="20"/>
                <w:szCs w:val="20"/>
                <w:lang w:eastAsia="es-ES"/>
              </w:rPr>
              <w:t>xico</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0.246</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0.212</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0.236</w:t>
            </w:r>
          </w:p>
        </w:tc>
        <w:tc>
          <w:tcPr>
            <w:tcW w:w="0" w:type="auto"/>
            <w:tcBorders>
              <w:left w:val="nil"/>
              <w:right w:val="single" w:sz="4" w:space="0" w:color="auto"/>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0.29</w:t>
            </w:r>
          </w:p>
        </w:tc>
      </w:tr>
      <w:tr w:rsidR="00EA0363" w:rsidRPr="00DA2F83" w:rsidTr="0083077A">
        <w:trPr>
          <w:trHeight w:val="255"/>
          <w:jc w:val="center"/>
        </w:trPr>
        <w:tc>
          <w:tcPr>
            <w:tcW w:w="0" w:type="auto"/>
            <w:tcBorders>
              <w:left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Polonia</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0.103</w:t>
            </w:r>
          </w:p>
        </w:tc>
        <w:tc>
          <w:tcPr>
            <w:tcW w:w="0" w:type="auto"/>
            <w:tcBorders>
              <w:left w:val="nil"/>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0.103</w:t>
            </w:r>
          </w:p>
        </w:tc>
        <w:tc>
          <w:tcPr>
            <w:tcW w:w="0" w:type="auto"/>
            <w:tcBorders>
              <w:left w:val="nil"/>
              <w:right w:val="single" w:sz="4" w:space="0" w:color="auto"/>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0.197</w:t>
            </w:r>
          </w:p>
        </w:tc>
      </w:tr>
      <w:tr w:rsidR="00EA0363" w:rsidRPr="00DA2F83" w:rsidTr="0083077A">
        <w:trPr>
          <w:trHeight w:val="255"/>
          <w:jc w:val="center"/>
        </w:trPr>
        <w:tc>
          <w:tcPr>
            <w:tcW w:w="0" w:type="auto"/>
            <w:tcBorders>
              <w:left w:val="single" w:sz="4" w:space="0" w:color="auto"/>
              <w:bottom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Uruguay</w:t>
            </w:r>
          </w:p>
        </w:tc>
        <w:tc>
          <w:tcPr>
            <w:tcW w:w="0" w:type="auto"/>
            <w:tcBorders>
              <w:left w:val="nil"/>
              <w:bottom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0.233</w:t>
            </w:r>
          </w:p>
        </w:tc>
        <w:tc>
          <w:tcPr>
            <w:tcW w:w="0" w:type="auto"/>
            <w:tcBorders>
              <w:left w:val="nil"/>
              <w:bottom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0.381</w:t>
            </w:r>
          </w:p>
        </w:tc>
        <w:tc>
          <w:tcPr>
            <w:tcW w:w="0" w:type="auto"/>
            <w:tcBorders>
              <w:left w:val="nil"/>
              <w:bottom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0.385</w:t>
            </w:r>
          </w:p>
        </w:tc>
        <w:tc>
          <w:tcPr>
            <w:tcW w:w="0" w:type="auto"/>
            <w:tcBorders>
              <w:left w:val="nil"/>
              <w:bottom w:val="single" w:sz="4" w:space="0" w:color="auto"/>
              <w:right w:val="single" w:sz="4" w:space="0" w:color="auto"/>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0.446</w:t>
            </w:r>
          </w:p>
        </w:tc>
      </w:tr>
    </w:tbl>
    <w:p w:rsidR="00EA0363" w:rsidRPr="00D77E68" w:rsidRDefault="00EA0363" w:rsidP="00EA0363">
      <w:pPr>
        <w:spacing w:before="840" w:after="240"/>
        <w:rPr>
          <w:rFonts w:ascii="Century Schoolbook" w:hAnsi="Century Schoolbook"/>
          <w:color w:val="404040" w:themeColor="text1" w:themeTint="BF"/>
          <w:szCs w:val="20"/>
          <w:lang w:val="es-ES_tradnl"/>
        </w:rPr>
      </w:pPr>
      <w:r>
        <w:rPr>
          <w:rFonts w:ascii="Century Schoolbook" w:hAnsi="Century Schoolbook"/>
          <w:color w:val="404040" w:themeColor="text1" w:themeTint="BF"/>
          <w:sz w:val="20"/>
          <w:lang w:val="es-ES_tradnl"/>
        </w:rPr>
        <w:t>Tabla B</w:t>
      </w:r>
      <w:r w:rsidRPr="00D77E68">
        <w:rPr>
          <w:rFonts w:ascii="Century Schoolbook" w:hAnsi="Century Schoolbook"/>
          <w:color w:val="404040" w:themeColor="text1" w:themeTint="BF"/>
          <w:sz w:val="20"/>
          <w:lang w:val="es-ES_tradnl"/>
        </w:rPr>
        <w:t>: Países que aportan o pesan más de 0.1 en el grupo de control sintético y sus pesos. La variable dependiente es la Emisión de CO</w:t>
      </w:r>
      <w:r w:rsidRPr="00D6554E">
        <w:rPr>
          <w:rFonts w:ascii="Century Schoolbook" w:hAnsi="Century Schoolbook"/>
          <w:color w:val="404040" w:themeColor="text1" w:themeTint="BF"/>
          <w:sz w:val="16"/>
          <w:szCs w:val="16"/>
          <w:lang w:val="es-ES_tradnl"/>
        </w:rPr>
        <w:t>2</w:t>
      </w:r>
      <w:r w:rsidRPr="00D77E68">
        <w:rPr>
          <w:rFonts w:ascii="Century Schoolbook" w:hAnsi="Century Schoolbook"/>
          <w:color w:val="404040" w:themeColor="text1" w:themeTint="BF"/>
          <w:sz w:val="20"/>
          <w:lang w:val="es-ES_tradnl"/>
        </w:rPr>
        <w:t xml:space="preserve"> per </w:t>
      </w:r>
      <w:r w:rsidR="008E7AE4" w:rsidRPr="00D77E68">
        <w:rPr>
          <w:rFonts w:ascii="Century Schoolbook" w:hAnsi="Century Schoolbook"/>
          <w:color w:val="404040" w:themeColor="text1" w:themeTint="BF"/>
          <w:sz w:val="20"/>
          <w:lang w:val="es-ES_tradnl"/>
        </w:rPr>
        <w:t>cápita</w:t>
      </w:r>
      <w:r w:rsidRPr="00D77E68">
        <w:rPr>
          <w:rFonts w:ascii="Century Schoolbook" w:hAnsi="Century Schoolbook"/>
          <w:color w:val="404040" w:themeColor="text1" w:themeTint="BF"/>
          <w:sz w:val="20"/>
          <w:lang w:val="es-ES_tradnl"/>
        </w:rPr>
        <w:t>.</w:t>
      </w:r>
    </w:p>
    <w:tbl>
      <w:tblPr>
        <w:tblW w:w="0" w:type="auto"/>
        <w:jc w:val="center"/>
        <w:tblCellMar>
          <w:left w:w="70" w:type="dxa"/>
          <w:right w:w="70" w:type="dxa"/>
        </w:tblCellMar>
        <w:tblLook w:val="04A0" w:firstRow="1" w:lastRow="0" w:firstColumn="1" w:lastColumn="0" w:noHBand="0" w:noVBand="1"/>
      </w:tblPr>
      <w:tblGrid>
        <w:gridCol w:w="963"/>
        <w:gridCol w:w="1626"/>
        <w:gridCol w:w="1626"/>
        <w:gridCol w:w="1626"/>
        <w:gridCol w:w="1626"/>
      </w:tblGrid>
      <w:tr w:rsidR="00EA0363" w:rsidRPr="00DA2F83" w:rsidTr="0083077A">
        <w:trPr>
          <w:trHeight w:val="25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País</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2013</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2010</w:t>
            </w:r>
          </w:p>
        </w:tc>
        <w:tc>
          <w:tcPr>
            <w:tcW w:w="0" w:type="auto"/>
            <w:tcBorders>
              <w:top w:val="single" w:sz="4" w:space="0" w:color="auto"/>
              <w:left w:val="nil"/>
              <w:bottom w:val="single" w:sz="4" w:space="0" w:color="auto"/>
              <w:right w:val="nil"/>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Placebo en 2004</w:t>
            </w:r>
          </w:p>
        </w:tc>
      </w:tr>
      <w:tr w:rsidR="00EA0363" w:rsidRPr="00DA2F83" w:rsidTr="0083077A">
        <w:trPr>
          <w:trHeight w:val="255"/>
          <w:jc w:val="center"/>
        </w:trPr>
        <w:tc>
          <w:tcPr>
            <w:tcW w:w="0" w:type="auto"/>
            <w:tcBorders>
              <w:top w:val="single" w:sz="4" w:space="0" w:color="auto"/>
              <w:left w:val="single" w:sz="4" w:space="0" w:color="auto"/>
              <w:right w:val="nil"/>
            </w:tcBorders>
            <w:shd w:val="clear" w:color="auto" w:fill="auto"/>
            <w:noWrap/>
            <w:vAlign w:val="center"/>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Croac</w:t>
            </w:r>
            <w:r w:rsidRPr="00015ED3">
              <w:rPr>
                <w:rFonts w:ascii="Century Schoolbook" w:hAnsi="Century Schoolbook"/>
                <w:color w:val="404040" w:themeColor="text1" w:themeTint="BF"/>
                <w:sz w:val="20"/>
                <w:szCs w:val="20"/>
                <w:lang w:eastAsia="es-ES"/>
              </w:rPr>
              <w:t>ia</w:t>
            </w:r>
          </w:p>
        </w:tc>
        <w:tc>
          <w:tcPr>
            <w:tcW w:w="0" w:type="auto"/>
            <w:tcBorders>
              <w:top w:val="single" w:sz="4" w:space="0" w:color="auto"/>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0.37</w:t>
            </w:r>
          </w:p>
        </w:tc>
        <w:tc>
          <w:tcPr>
            <w:tcW w:w="0" w:type="auto"/>
            <w:tcBorders>
              <w:top w:val="single" w:sz="4" w:space="0" w:color="auto"/>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0.302</w:t>
            </w:r>
          </w:p>
        </w:tc>
        <w:tc>
          <w:tcPr>
            <w:tcW w:w="0" w:type="auto"/>
            <w:tcBorders>
              <w:top w:val="single" w:sz="4" w:space="0" w:color="auto"/>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0.277</w:t>
            </w:r>
          </w:p>
        </w:tc>
        <w:tc>
          <w:tcPr>
            <w:tcW w:w="0" w:type="auto"/>
            <w:tcBorders>
              <w:top w:val="single" w:sz="4" w:space="0" w:color="auto"/>
              <w:left w:val="nil"/>
              <w:right w:val="single" w:sz="4" w:space="0" w:color="auto"/>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0.064</w:t>
            </w:r>
          </w:p>
        </w:tc>
      </w:tr>
      <w:tr w:rsidR="00EA0363" w:rsidRPr="00DA2F83" w:rsidTr="0083077A">
        <w:trPr>
          <w:trHeight w:val="255"/>
          <w:jc w:val="center"/>
        </w:trPr>
        <w:tc>
          <w:tcPr>
            <w:tcW w:w="0" w:type="auto"/>
            <w:tcBorders>
              <w:left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M</w:t>
            </w:r>
            <w:r w:rsidRPr="00DA2F83">
              <w:rPr>
                <w:rFonts w:ascii="Century Schoolbook" w:hAnsi="Century Schoolbook"/>
                <w:color w:val="404040" w:themeColor="text1" w:themeTint="BF"/>
                <w:sz w:val="20"/>
                <w:szCs w:val="20"/>
                <w:lang w:eastAsia="es-ES"/>
              </w:rPr>
              <w:t>é</w:t>
            </w:r>
            <w:r w:rsidRPr="00015ED3">
              <w:rPr>
                <w:rFonts w:ascii="Century Schoolbook" w:hAnsi="Century Schoolbook"/>
                <w:color w:val="404040" w:themeColor="text1" w:themeTint="BF"/>
                <w:sz w:val="20"/>
                <w:szCs w:val="20"/>
                <w:lang w:eastAsia="es-ES"/>
              </w:rPr>
              <w:t>xico</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0.213</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0.211</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0.236</w:t>
            </w:r>
          </w:p>
        </w:tc>
        <w:tc>
          <w:tcPr>
            <w:tcW w:w="0" w:type="auto"/>
            <w:tcBorders>
              <w:left w:val="nil"/>
              <w:right w:val="single" w:sz="4" w:space="0" w:color="auto"/>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0.29</w:t>
            </w:r>
          </w:p>
        </w:tc>
      </w:tr>
      <w:tr w:rsidR="00EA0363" w:rsidRPr="00DA2F83" w:rsidTr="0083077A">
        <w:trPr>
          <w:trHeight w:val="255"/>
          <w:jc w:val="center"/>
        </w:trPr>
        <w:tc>
          <w:tcPr>
            <w:tcW w:w="0" w:type="auto"/>
            <w:tcBorders>
              <w:left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Polonia</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0.104</w:t>
            </w:r>
          </w:p>
        </w:tc>
        <w:tc>
          <w:tcPr>
            <w:tcW w:w="0" w:type="auto"/>
            <w:tcBorders>
              <w:left w:val="nil"/>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0.103</w:t>
            </w:r>
          </w:p>
        </w:tc>
        <w:tc>
          <w:tcPr>
            <w:tcW w:w="0" w:type="auto"/>
            <w:tcBorders>
              <w:left w:val="nil"/>
              <w:right w:val="single" w:sz="4" w:space="0" w:color="auto"/>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0.199</w:t>
            </w:r>
          </w:p>
        </w:tc>
      </w:tr>
      <w:tr w:rsidR="00EA0363" w:rsidRPr="00DA2F83" w:rsidTr="0083077A">
        <w:trPr>
          <w:trHeight w:val="255"/>
          <w:jc w:val="center"/>
        </w:trPr>
        <w:tc>
          <w:tcPr>
            <w:tcW w:w="0" w:type="auto"/>
            <w:tcBorders>
              <w:left w:val="single" w:sz="4" w:space="0" w:color="auto"/>
              <w:bottom w:val="single" w:sz="4" w:space="0" w:color="auto"/>
              <w:right w:val="nil"/>
            </w:tcBorders>
            <w:shd w:val="clear" w:color="auto" w:fill="auto"/>
            <w:noWrap/>
            <w:vAlign w:val="center"/>
          </w:tcPr>
          <w:p w:rsidR="00EA0363" w:rsidRPr="00015ED3" w:rsidRDefault="00EA0363" w:rsidP="0083077A">
            <w:pPr>
              <w:jc w:val="center"/>
              <w:rPr>
                <w:rFonts w:ascii="Century Schoolbook" w:hAnsi="Century Schoolbook"/>
                <w:color w:val="404040" w:themeColor="text1" w:themeTint="BF"/>
                <w:sz w:val="20"/>
                <w:szCs w:val="20"/>
                <w:lang w:eastAsia="es-ES"/>
              </w:rPr>
            </w:pPr>
            <w:r w:rsidRPr="00015ED3">
              <w:rPr>
                <w:rFonts w:ascii="Century Schoolbook" w:hAnsi="Century Schoolbook"/>
                <w:color w:val="404040" w:themeColor="text1" w:themeTint="BF"/>
                <w:sz w:val="20"/>
                <w:szCs w:val="20"/>
                <w:lang w:eastAsia="es-ES"/>
              </w:rPr>
              <w:t>Uruguay</w:t>
            </w:r>
          </w:p>
        </w:tc>
        <w:tc>
          <w:tcPr>
            <w:tcW w:w="0" w:type="auto"/>
            <w:tcBorders>
              <w:left w:val="nil"/>
              <w:bottom w:val="single" w:sz="4" w:space="0" w:color="auto"/>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0.323</w:t>
            </w:r>
          </w:p>
        </w:tc>
        <w:tc>
          <w:tcPr>
            <w:tcW w:w="0" w:type="auto"/>
            <w:tcBorders>
              <w:left w:val="nil"/>
              <w:bottom w:val="single" w:sz="4" w:space="0" w:color="auto"/>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0.382</w:t>
            </w:r>
          </w:p>
        </w:tc>
        <w:tc>
          <w:tcPr>
            <w:tcW w:w="0" w:type="auto"/>
            <w:tcBorders>
              <w:left w:val="nil"/>
              <w:bottom w:val="single" w:sz="4" w:space="0" w:color="auto"/>
              <w:right w:val="nil"/>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0.385</w:t>
            </w:r>
          </w:p>
        </w:tc>
        <w:tc>
          <w:tcPr>
            <w:tcW w:w="0" w:type="auto"/>
            <w:tcBorders>
              <w:left w:val="nil"/>
              <w:bottom w:val="single" w:sz="4" w:space="0" w:color="auto"/>
              <w:right w:val="single" w:sz="4" w:space="0" w:color="auto"/>
            </w:tcBorders>
            <w:shd w:val="clear" w:color="auto" w:fill="auto"/>
            <w:noWrap/>
            <w:vAlign w:val="bottom"/>
          </w:tcPr>
          <w:p w:rsidR="00EA0363" w:rsidRPr="00DA2F83" w:rsidRDefault="00EA0363" w:rsidP="0083077A">
            <w:pPr>
              <w:jc w:val="center"/>
              <w:rPr>
                <w:rFonts w:ascii="Century Schoolbook" w:hAnsi="Century Schoolbook"/>
                <w:color w:val="404040" w:themeColor="text1" w:themeTint="BF"/>
                <w:sz w:val="20"/>
                <w:szCs w:val="20"/>
                <w:lang w:eastAsia="es-ES"/>
              </w:rPr>
            </w:pPr>
            <w:r w:rsidRPr="00DA2F83">
              <w:rPr>
                <w:rFonts w:ascii="Century Schoolbook" w:hAnsi="Century Schoolbook"/>
                <w:color w:val="404040" w:themeColor="text1" w:themeTint="BF"/>
                <w:sz w:val="20"/>
                <w:szCs w:val="20"/>
                <w:lang w:eastAsia="es-ES"/>
              </w:rPr>
              <w:t>0.447</w:t>
            </w:r>
          </w:p>
        </w:tc>
      </w:tr>
    </w:tbl>
    <w:p w:rsidR="00EA0363" w:rsidRPr="001C59A0" w:rsidRDefault="00EA0363" w:rsidP="00EA0363">
      <w:pPr>
        <w:pStyle w:val="Paragraph"/>
        <w:tabs>
          <w:tab w:val="clear" w:pos="1440"/>
        </w:tabs>
        <w:spacing w:before="100" w:after="100"/>
        <w:rPr>
          <w:rFonts w:ascii="Arial" w:hAnsi="Arial" w:cs="Arial"/>
          <w:b/>
          <w:color w:val="000000"/>
          <w:lang w:val="es-ES"/>
        </w:rPr>
      </w:pPr>
    </w:p>
    <w:p w:rsidR="00C419B8" w:rsidRPr="001C59A0" w:rsidRDefault="00C419B8" w:rsidP="00C419B8">
      <w:pPr>
        <w:pStyle w:val="Paragraph"/>
        <w:widowControl w:val="0"/>
        <w:numPr>
          <w:ilvl w:val="0"/>
          <w:numId w:val="3"/>
        </w:numPr>
        <w:rPr>
          <w:rFonts w:ascii="Arial" w:hAnsi="Arial" w:cs="Arial"/>
          <w:b/>
          <w:spacing w:val="-3"/>
          <w:szCs w:val="24"/>
          <w:lang w:val="es-ES"/>
        </w:rPr>
      </w:pPr>
      <w:r w:rsidRPr="001C59A0">
        <w:rPr>
          <w:rFonts w:ascii="Arial" w:hAnsi="Arial" w:cs="Arial"/>
          <w:b/>
          <w:spacing w:val="-3"/>
          <w:szCs w:val="24"/>
          <w:lang w:val="es-ES"/>
        </w:rPr>
        <w:t>Informe de Terminación del Proyecto (PCR)</w:t>
      </w:r>
    </w:p>
    <w:p w:rsidR="00C419B8" w:rsidRPr="001C59A0" w:rsidRDefault="00C419B8" w:rsidP="00C419B8">
      <w:pPr>
        <w:pStyle w:val="Paragraph"/>
        <w:numPr>
          <w:ilvl w:val="1"/>
          <w:numId w:val="4"/>
        </w:numPr>
        <w:spacing w:before="100" w:after="100"/>
        <w:ind w:left="540" w:hanging="540"/>
        <w:rPr>
          <w:rFonts w:ascii="Arial" w:hAnsi="Arial" w:cs="Arial"/>
          <w:spacing w:val="-3"/>
          <w:szCs w:val="24"/>
          <w:lang w:val="es-ES"/>
        </w:rPr>
      </w:pPr>
      <w:bookmarkStart w:id="2" w:name="_Ref463963712"/>
      <w:r w:rsidRPr="001C59A0">
        <w:rPr>
          <w:rFonts w:ascii="Arial" w:hAnsi="Arial" w:cs="Arial"/>
          <w:lang w:val="es-ES_tradnl" w:eastAsia="es-ES"/>
        </w:rPr>
        <w:t>El Informe de Terminación de Proyecto o PCR, por sus siglas en inglés, es el principal instrumento de rendición de cuentas que utiliza el Banco para mostrar tanto a partes involucradas internos y externos al Banco, el desempeño de sus operaciones con garantía soberana y la efectividad en el Desarrollo de las mismas. Asimismo, presenta los principales hallazgos y recomendaciones a fin de fortalecer el diseño y ejecución de futuros proyectos.</w:t>
      </w:r>
      <w:bookmarkEnd w:id="2"/>
    </w:p>
    <w:p w:rsidR="00C419B8" w:rsidRPr="001C59A0" w:rsidRDefault="00C419B8" w:rsidP="00C419B8">
      <w:pPr>
        <w:pStyle w:val="Paragraph"/>
        <w:numPr>
          <w:ilvl w:val="1"/>
          <w:numId w:val="4"/>
        </w:numPr>
        <w:spacing w:before="100" w:after="100"/>
        <w:ind w:left="540" w:hanging="540"/>
        <w:rPr>
          <w:rFonts w:ascii="Arial" w:hAnsi="Arial" w:cs="Arial"/>
          <w:lang w:val="es-ES_tradnl" w:eastAsia="es-ES"/>
        </w:rPr>
      </w:pPr>
      <w:r w:rsidRPr="001C59A0">
        <w:rPr>
          <w:rFonts w:ascii="Arial" w:hAnsi="Arial" w:cs="Arial"/>
          <w:spacing w:val="-3"/>
          <w:szCs w:val="24"/>
          <w:lang w:val="es-ES"/>
        </w:rPr>
        <w:t>El PCR será aplicado según las nuevas guías que entraron en vigencia el 5 de Agosto de 2014, bajo el código OP-1242; y tuvieron su primera actualización en Febrero de 2015.</w:t>
      </w:r>
    </w:p>
    <w:p w:rsidR="00C419B8" w:rsidRPr="001C59A0" w:rsidRDefault="00C419B8" w:rsidP="00C419B8">
      <w:pPr>
        <w:pStyle w:val="Paragraph"/>
        <w:numPr>
          <w:ilvl w:val="1"/>
          <w:numId w:val="4"/>
        </w:numPr>
        <w:spacing w:before="100" w:after="100"/>
        <w:ind w:left="540" w:hanging="540"/>
        <w:rPr>
          <w:rFonts w:ascii="Arial" w:hAnsi="Arial" w:cs="Arial"/>
          <w:lang w:val="es-ES_tradnl" w:eastAsia="es-ES"/>
        </w:rPr>
      </w:pPr>
      <w:r w:rsidRPr="001C59A0">
        <w:rPr>
          <w:rFonts w:ascii="Arial" w:hAnsi="Arial" w:cs="Arial"/>
          <w:spacing w:val="-3"/>
          <w:szCs w:val="24"/>
          <w:lang w:val="es-ES"/>
        </w:rPr>
        <w:t xml:space="preserve">La evaluación será conducida a partir del análisis de los </w:t>
      </w:r>
      <w:r w:rsidRPr="001C59A0">
        <w:rPr>
          <w:rFonts w:ascii="Arial" w:hAnsi="Arial" w:cs="Arial"/>
          <w:lang w:val="es-ES_tradnl" w:eastAsia="es-ES"/>
        </w:rPr>
        <w:t xml:space="preserve">criterios centrales y criterios no centrales. Los criterios centrales del PCR, básicamente evalúan el desempeño del proyecto y se determinan en forma objetiva con base en los resultados y </w:t>
      </w:r>
      <w:r w:rsidRPr="001C59A0">
        <w:rPr>
          <w:rFonts w:ascii="Arial" w:hAnsi="Arial" w:cs="Arial"/>
          <w:spacing w:val="-3"/>
          <w:szCs w:val="24"/>
          <w:lang w:val="es-ES"/>
        </w:rPr>
        <w:t>productos</w:t>
      </w:r>
      <w:r w:rsidRPr="001C59A0">
        <w:rPr>
          <w:rFonts w:ascii="Arial" w:hAnsi="Arial" w:cs="Arial"/>
          <w:lang w:val="es-ES_tradnl" w:eastAsia="es-ES"/>
        </w:rPr>
        <w:t xml:space="preserve"> del mismo, y se califica a través de cuatro criterios: (i) Efectividad, (ii) Eficiencia</w:t>
      </w:r>
      <w:r w:rsidRPr="001C59A0">
        <w:rPr>
          <w:rStyle w:val="FootnoteReference"/>
          <w:rFonts w:ascii="Arial" w:hAnsi="Arial" w:cs="Arial"/>
          <w:lang w:val="es-ES_tradnl" w:eastAsia="es-ES"/>
        </w:rPr>
        <w:footnoteReference w:id="8"/>
      </w:r>
      <w:r w:rsidRPr="001C59A0">
        <w:rPr>
          <w:rFonts w:ascii="Arial" w:hAnsi="Arial" w:cs="Arial"/>
          <w:lang w:val="es-ES_tradnl" w:eastAsia="es-ES"/>
        </w:rPr>
        <w:t xml:space="preserve">, (iii) Relevancia y (iv) Sostenibilidad.  </w:t>
      </w:r>
    </w:p>
    <w:p w:rsidR="00C419B8" w:rsidRPr="001C59A0" w:rsidRDefault="00C419B8" w:rsidP="00C419B8">
      <w:pPr>
        <w:pStyle w:val="Paragraph"/>
        <w:numPr>
          <w:ilvl w:val="1"/>
          <w:numId w:val="4"/>
        </w:numPr>
        <w:spacing w:before="100" w:after="100"/>
        <w:ind w:left="540" w:hanging="540"/>
        <w:rPr>
          <w:rFonts w:ascii="Arial" w:hAnsi="Arial" w:cs="Arial"/>
          <w:lang w:val="es-BO" w:eastAsia="es-ES"/>
        </w:rPr>
      </w:pPr>
      <w:r w:rsidRPr="001C59A0">
        <w:rPr>
          <w:rFonts w:ascii="Arial" w:hAnsi="Arial" w:cs="Arial"/>
          <w:lang w:val="es-BO" w:eastAsia="es-ES"/>
        </w:rPr>
        <w:t xml:space="preserve">Los criterios no centrales del PCR son aquellos evaluables, pero que no califican la efectividad de la intervención. En su defecto evalúan la contribución de la operación a los </w:t>
      </w:r>
      <w:r w:rsidRPr="001C59A0">
        <w:rPr>
          <w:rFonts w:ascii="Arial" w:hAnsi="Arial" w:cs="Arial"/>
          <w:spacing w:val="-3"/>
          <w:szCs w:val="24"/>
          <w:lang w:val="es-ES"/>
        </w:rPr>
        <w:t>objetivos</w:t>
      </w:r>
      <w:r w:rsidRPr="001C59A0">
        <w:rPr>
          <w:rFonts w:ascii="Arial" w:hAnsi="Arial" w:cs="Arial"/>
          <w:lang w:val="es-BO" w:eastAsia="es-ES"/>
        </w:rPr>
        <w:t xml:space="preserve"> de desarrollo del Banco; la contribución a los objetivos de desarrollo del país; el cumplimiento del plan de monitoreo y evaluación; el uso de sistemas país y la implementación y mitigación de salvaguardas ambientales y sociales.</w:t>
      </w:r>
    </w:p>
    <w:p w:rsidR="00C419B8" w:rsidRDefault="00C419B8" w:rsidP="00C419B8">
      <w:pPr>
        <w:pStyle w:val="Paragraph"/>
        <w:numPr>
          <w:ilvl w:val="1"/>
          <w:numId w:val="4"/>
        </w:numPr>
        <w:spacing w:before="100" w:after="100"/>
        <w:ind w:left="540" w:hanging="540"/>
        <w:rPr>
          <w:rFonts w:ascii="Arial" w:hAnsi="Arial" w:cs="Arial"/>
          <w:spacing w:val="-3"/>
          <w:szCs w:val="24"/>
          <w:lang w:val="es-ES"/>
        </w:rPr>
      </w:pPr>
      <w:r w:rsidRPr="001C59A0">
        <w:rPr>
          <w:rFonts w:ascii="Arial" w:hAnsi="Arial" w:cs="Arial"/>
          <w:spacing w:val="-3"/>
          <w:szCs w:val="24"/>
          <w:lang w:val="es-ES"/>
        </w:rPr>
        <w:t>Será realizado hasta 6 meses después de haber desembolsado el segundo tramo de la operación.</w:t>
      </w:r>
    </w:p>
    <w:p w:rsidR="00BC6D71" w:rsidRPr="001C59A0" w:rsidRDefault="00BC6D71" w:rsidP="00D6554E">
      <w:pPr>
        <w:pStyle w:val="Paragraph"/>
        <w:tabs>
          <w:tab w:val="clear" w:pos="1440"/>
        </w:tabs>
        <w:spacing w:before="100" w:after="100"/>
        <w:ind w:left="1080" w:firstLine="0"/>
        <w:rPr>
          <w:rFonts w:ascii="Arial" w:hAnsi="Arial" w:cs="Arial"/>
          <w:spacing w:val="-3"/>
          <w:szCs w:val="24"/>
          <w:lang w:val="es-ES"/>
        </w:rPr>
      </w:pPr>
    </w:p>
    <w:p w:rsidR="00C419B8" w:rsidRPr="001C59A0" w:rsidRDefault="00C419B8" w:rsidP="00C419B8">
      <w:pPr>
        <w:pStyle w:val="Paragraph"/>
        <w:tabs>
          <w:tab w:val="clear" w:pos="1440"/>
        </w:tabs>
        <w:spacing w:before="100" w:after="100"/>
        <w:ind w:left="900" w:firstLine="0"/>
        <w:jc w:val="center"/>
        <w:rPr>
          <w:rFonts w:ascii="Arial" w:hAnsi="Arial" w:cs="Arial"/>
          <w:spacing w:val="-3"/>
          <w:szCs w:val="24"/>
          <w:lang w:val="es-ES"/>
        </w:rPr>
      </w:pPr>
      <w:r w:rsidRPr="001C59A0">
        <w:rPr>
          <w:rFonts w:ascii="Arial" w:hAnsi="Arial" w:cs="Arial"/>
          <w:b/>
          <w:bCs/>
          <w:color w:val="000000"/>
          <w:sz w:val="20"/>
          <w:lang w:val="es-ES"/>
        </w:rPr>
        <w:lastRenderedPageBreak/>
        <w:t>Plan de Trabajo de Evaluación</w:t>
      </w:r>
    </w:p>
    <w:tbl>
      <w:tblPr>
        <w:tblW w:w="5208" w:type="pct"/>
        <w:tblInd w:w="-432" w:type="dxa"/>
        <w:tblLayout w:type="fixed"/>
        <w:tblLook w:val="04A0" w:firstRow="1" w:lastRow="0" w:firstColumn="1" w:lastColumn="0" w:noHBand="0" w:noVBand="1"/>
      </w:tblPr>
      <w:tblGrid>
        <w:gridCol w:w="3237"/>
        <w:gridCol w:w="894"/>
        <w:gridCol w:w="718"/>
        <w:gridCol w:w="814"/>
        <w:gridCol w:w="771"/>
        <w:gridCol w:w="814"/>
        <w:gridCol w:w="1976"/>
      </w:tblGrid>
      <w:tr w:rsidR="00C419B8" w:rsidRPr="001C59A0" w:rsidTr="00D6554E">
        <w:trPr>
          <w:trHeight w:val="250"/>
        </w:trPr>
        <w:tc>
          <w:tcPr>
            <w:tcW w:w="175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Actividad</w:t>
            </w:r>
          </w:p>
        </w:tc>
        <w:tc>
          <w:tcPr>
            <w:tcW w:w="485"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2016</w:t>
            </w:r>
          </w:p>
        </w:tc>
        <w:tc>
          <w:tcPr>
            <w:tcW w:w="389"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2017</w:t>
            </w:r>
          </w:p>
        </w:tc>
        <w:tc>
          <w:tcPr>
            <w:tcW w:w="441"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2018</w:t>
            </w:r>
          </w:p>
        </w:tc>
        <w:tc>
          <w:tcPr>
            <w:tcW w:w="418"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2019</w:t>
            </w:r>
          </w:p>
        </w:tc>
        <w:tc>
          <w:tcPr>
            <w:tcW w:w="440" w:type="pct"/>
            <w:tcBorders>
              <w:top w:val="single" w:sz="8" w:space="0" w:color="auto"/>
              <w:left w:val="single" w:sz="8" w:space="0" w:color="auto"/>
              <w:right w:val="single" w:sz="4" w:space="0" w:color="auto"/>
            </w:tcBorders>
            <w:shd w:val="clear" w:color="000000" w:fill="D9D9D9"/>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2020</w:t>
            </w:r>
          </w:p>
        </w:tc>
        <w:tc>
          <w:tcPr>
            <w:tcW w:w="1071" w:type="pct"/>
            <w:tcBorders>
              <w:top w:val="single" w:sz="4" w:space="0" w:color="auto"/>
              <w:left w:val="single" w:sz="4" w:space="0" w:color="auto"/>
              <w:bottom w:val="single" w:sz="4" w:space="0" w:color="auto"/>
              <w:right w:val="single" w:sz="4" w:space="0" w:color="auto"/>
            </w:tcBorders>
            <w:shd w:val="clear" w:color="000000" w:fill="D9D9D9"/>
            <w:noWrap/>
            <w:vAlign w:val="center"/>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Responsable y Costo</w:t>
            </w:r>
          </w:p>
        </w:tc>
      </w:tr>
      <w:tr w:rsidR="00C419B8" w:rsidRPr="001C59A0" w:rsidTr="00D6554E">
        <w:trPr>
          <w:trHeight w:val="394"/>
        </w:trPr>
        <w:tc>
          <w:tcPr>
            <w:tcW w:w="1755" w:type="pct"/>
            <w:tcBorders>
              <w:top w:val="nil"/>
              <w:left w:val="single" w:sz="8" w:space="0" w:color="auto"/>
              <w:bottom w:val="single" w:sz="8" w:space="0" w:color="auto"/>
              <w:right w:val="single" w:sz="8" w:space="0" w:color="auto"/>
            </w:tcBorders>
            <w:shd w:val="clear" w:color="auto" w:fill="auto"/>
            <w:noWrap/>
            <w:vAlign w:val="center"/>
            <w:hideMark/>
          </w:tcPr>
          <w:p w:rsidR="00C419B8" w:rsidRPr="001C59A0" w:rsidRDefault="00C419B8" w:rsidP="00DE4B10">
            <w:pPr>
              <w:rPr>
                <w:rFonts w:ascii="Arial" w:hAnsi="Arial" w:cs="Arial"/>
                <w:bCs/>
                <w:color w:val="000000"/>
                <w:sz w:val="18"/>
                <w:szCs w:val="20"/>
                <w:lang w:val="es-MX"/>
              </w:rPr>
            </w:pPr>
            <w:r w:rsidRPr="001C59A0">
              <w:rPr>
                <w:rFonts w:ascii="Arial" w:hAnsi="Arial" w:cs="Arial"/>
                <w:bCs/>
                <w:color w:val="000000"/>
                <w:sz w:val="18"/>
                <w:szCs w:val="20"/>
                <w:lang w:val="es-MX"/>
              </w:rPr>
              <w:t xml:space="preserve">Informe de Terminación de Proyecto (PCR) </w:t>
            </w:r>
          </w:p>
        </w:tc>
        <w:tc>
          <w:tcPr>
            <w:tcW w:w="485" w:type="pct"/>
            <w:tcBorders>
              <w:top w:val="single" w:sz="8" w:space="0" w:color="auto"/>
              <w:left w:val="nil"/>
              <w:bottom w:val="single" w:sz="8" w:space="0" w:color="auto"/>
              <w:right w:val="single" w:sz="8" w:space="0" w:color="auto"/>
            </w:tcBorders>
            <w:shd w:val="clear" w:color="auto" w:fill="auto"/>
            <w:noWrap/>
            <w:vAlign w:val="center"/>
            <w:hideMark/>
          </w:tcPr>
          <w:p w:rsidR="00C419B8" w:rsidRPr="001C59A0" w:rsidRDefault="00C419B8" w:rsidP="00DE4B10">
            <w:pPr>
              <w:jc w:val="center"/>
              <w:rPr>
                <w:rFonts w:ascii="Arial" w:hAnsi="Arial" w:cs="Arial"/>
                <w:bCs/>
                <w:color w:val="000000"/>
                <w:sz w:val="18"/>
                <w:szCs w:val="20"/>
                <w:lang w:val="es-MX"/>
              </w:rPr>
            </w:pPr>
          </w:p>
          <w:p w:rsidR="00C419B8" w:rsidRPr="001C59A0" w:rsidRDefault="00C419B8" w:rsidP="00DE4B10">
            <w:pPr>
              <w:jc w:val="center"/>
              <w:rPr>
                <w:rFonts w:ascii="Arial" w:hAnsi="Arial" w:cs="Arial"/>
                <w:bCs/>
                <w:color w:val="000000"/>
                <w:sz w:val="18"/>
                <w:szCs w:val="20"/>
                <w:lang w:val="es-MX"/>
              </w:rPr>
            </w:pPr>
          </w:p>
        </w:tc>
        <w:tc>
          <w:tcPr>
            <w:tcW w:w="389" w:type="pct"/>
            <w:tcBorders>
              <w:top w:val="single" w:sz="8" w:space="0" w:color="auto"/>
              <w:left w:val="nil"/>
              <w:bottom w:val="single" w:sz="8" w:space="0" w:color="auto"/>
              <w:right w:val="single" w:sz="8" w:space="0" w:color="auto"/>
            </w:tcBorders>
            <w:shd w:val="clear" w:color="auto" w:fill="auto"/>
            <w:noWrap/>
            <w:vAlign w:val="center"/>
          </w:tcPr>
          <w:p w:rsidR="00C419B8" w:rsidRPr="001C59A0" w:rsidRDefault="00C419B8" w:rsidP="00DE4B10">
            <w:pPr>
              <w:jc w:val="center"/>
              <w:rPr>
                <w:rFonts w:ascii="Arial" w:hAnsi="Arial" w:cs="Arial"/>
                <w:bCs/>
                <w:color w:val="000000"/>
                <w:sz w:val="18"/>
                <w:szCs w:val="20"/>
                <w:lang w:val="es-MX"/>
              </w:rPr>
            </w:pPr>
          </w:p>
        </w:tc>
        <w:tc>
          <w:tcPr>
            <w:tcW w:w="441" w:type="pct"/>
            <w:tcBorders>
              <w:top w:val="single" w:sz="8" w:space="0" w:color="auto"/>
              <w:left w:val="nil"/>
              <w:bottom w:val="single" w:sz="8" w:space="0" w:color="auto"/>
              <w:right w:val="single" w:sz="8" w:space="0" w:color="auto"/>
            </w:tcBorders>
            <w:shd w:val="clear" w:color="auto" w:fill="auto"/>
            <w:noWrap/>
            <w:vAlign w:val="center"/>
          </w:tcPr>
          <w:p w:rsidR="00C419B8" w:rsidRPr="001C59A0" w:rsidRDefault="00C419B8"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PCR</w:t>
            </w:r>
          </w:p>
        </w:tc>
        <w:tc>
          <w:tcPr>
            <w:tcW w:w="418" w:type="pct"/>
            <w:tcBorders>
              <w:top w:val="single" w:sz="8" w:space="0" w:color="auto"/>
              <w:left w:val="nil"/>
              <w:bottom w:val="single" w:sz="8" w:space="0" w:color="auto"/>
              <w:right w:val="single" w:sz="8" w:space="0" w:color="auto"/>
            </w:tcBorders>
            <w:shd w:val="clear" w:color="auto" w:fill="auto"/>
            <w:noWrap/>
            <w:vAlign w:val="center"/>
            <w:hideMark/>
          </w:tcPr>
          <w:p w:rsidR="00C419B8" w:rsidRPr="001C59A0" w:rsidRDefault="00C419B8" w:rsidP="00DE4B10">
            <w:pPr>
              <w:jc w:val="center"/>
              <w:rPr>
                <w:rFonts w:ascii="Arial" w:hAnsi="Arial" w:cs="Arial"/>
                <w:bCs/>
                <w:color w:val="000000"/>
                <w:sz w:val="18"/>
                <w:szCs w:val="20"/>
                <w:lang w:val="es-MX"/>
              </w:rPr>
            </w:pPr>
          </w:p>
          <w:p w:rsidR="00C419B8" w:rsidRPr="001C59A0" w:rsidRDefault="00C419B8" w:rsidP="00DE4B10">
            <w:pPr>
              <w:jc w:val="center"/>
              <w:rPr>
                <w:rFonts w:ascii="Arial" w:hAnsi="Arial" w:cs="Arial"/>
                <w:bCs/>
                <w:color w:val="000000"/>
                <w:sz w:val="18"/>
                <w:szCs w:val="20"/>
                <w:lang w:val="es-MX"/>
              </w:rPr>
            </w:pPr>
          </w:p>
        </w:tc>
        <w:tc>
          <w:tcPr>
            <w:tcW w:w="440" w:type="pct"/>
            <w:tcBorders>
              <w:top w:val="single" w:sz="8" w:space="0" w:color="auto"/>
              <w:left w:val="nil"/>
              <w:bottom w:val="single" w:sz="8" w:space="0" w:color="auto"/>
              <w:right w:val="single" w:sz="8" w:space="0" w:color="auto"/>
            </w:tcBorders>
            <w:shd w:val="clear" w:color="auto" w:fill="auto"/>
            <w:vAlign w:val="center"/>
          </w:tcPr>
          <w:p w:rsidR="00C419B8" w:rsidRPr="001C59A0" w:rsidRDefault="00C419B8" w:rsidP="00DE4B10">
            <w:pPr>
              <w:jc w:val="center"/>
              <w:rPr>
                <w:rFonts w:ascii="Arial" w:hAnsi="Arial" w:cs="Arial"/>
                <w:bCs/>
                <w:color w:val="000000"/>
                <w:sz w:val="18"/>
                <w:szCs w:val="20"/>
                <w:lang w:val="es-MX"/>
              </w:rPr>
            </w:pPr>
          </w:p>
        </w:tc>
        <w:tc>
          <w:tcPr>
            <w:tcW w:w="1071"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419B8" w:rsidRPr="001C59A0" w:rsidRDefault="00C419B8"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US$15,000</w:t>
            </w:r>
          </w:p>
          <w:p w:rsidR="00C419B8" w:rsidRPr="001C59A0" w:rsidRDefault="00C419B8"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IDB - Proyecto</w:t>
            </w:r>
          </w:p>
        </w:tc>
      </w:tr>
      <w:tr w:rsidR="007F5B8A" w:rsidRPr="001C59A0" w:rsidTr="00D6554E">
        <w:trPr>
          <w:trHeight w:val="394"/>
        </w:trPr>
        <w:tc>
          <w:tcPr>
            <w:tcW w:w="1755" w:type="pct"/>
            <w:tcBorders>
              <w:top w:val="nil"/>
              <w:left w:val="single" w:sz="8" w:space="0" w:color="auto"/>
              <w:bottom w:val="single" w:sz="8" w:space="0" w:color="auto"/>
              <w:right w:val="single" w:sz="8" w:space="0" w:color="auto"/>
            </w:tcBorders>
            <w:shd w:val="clear" w:color="auto" w:fill="auto"/>
            <w:noWrap/>
            <w:vAlign w:val="center"/>
          </w:tcPr>
          <w:p w:rsidR="007F5B8A" w:rsidRPr="001C59A0" w:rsidRDefault="007F5B8A" w:rsidP="00DE4B10">
            <w:pPr>
              <w:rPr>
                <w:rFonts w:ascii="Arial" w:hAnsi="Arial" w:cs="Arial"/>
                <w:bCs/>
                <w:color w:val="000000"/>
                <w:sz w:val="18"/>
                <w:szCs w:val="20"/>
                <w:lang w:val="es-MX"/>
              </w:rPr>
            </w:pPr>
            <w:r>
              <w:rPr>
                <w:rFonts w:ascii="Arial" w:hAnsi="Arial" w:cs="Arial"/>
                <w:bCs/>
                <w:color w:val="000000"/>
                <w:sz w:val="18"/>
                <w:szCs w:val="20"/>
                <w:lang w:val="es-MX"/>
              </w:rPr>
              <w:t>Evaluación de Impacto</w:t>
            </w:r>
          </w:p>
        </w:tc>
        <w:tc>
          <w:tcPr>
            <w:tcW w:w="485"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389"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41"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18"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40" w:type="pct"/>
            <w:tcBorders>
              <w:top w:val="single" w:sz="8" w:space="0" w:color="auto"/>
              <w:left w:val="nil"/>
              <w:bottom w:val="single" w:sz="8" w:space="0" w:color="auto"/>
              <w:right w:val="single" w:sz="8" w:space="0" w:color="auto"/>
            </w:tcBorders>
            <w:shd w:val="clear" w:color="auto" w:fill="auto"/>
            <w:vAlign w:val="center"/>
          </w:tcPr>
          <w:p w:rsidR="007F5B8A" w:rsidRPr="001C59A0" w:rsidRDefault="007F5B8A" w:rsidP="007F5B8A">
            <w:pPr>
              <w:jc w:val="center"/>
              <w:rPr>
                <w:rFonts w:ascii="Arial" w:hAnsi="Arial" w:cs="Arial"/>
                <w:bCs/>
                <w:color w:val="000000"/>
                <w:sz w:val="18"/>
                <w:szCs w:val="20"/>
                <w:lang w:val="es-MX"/>
              </w:rPr>
            </w:pPr>
            <w:r w:rsidRPr="001C59A0">
              <w:rPr>
                <w:rFonts w:ascii="Arial" w:hAnsi="Arial" w:cs="Arial"/>
                <w:bCs/>
                <w:color w:val="000000"/>
                <w:sz w:val="18"/>
                <w:szCs w:val="20"/>
                <w:lang w:val="es-MX"/>
              </w:rPr>
              <w:t>Expost</w:t>
            </w:r>
          </w:p>
          <w:p w:rsidR="007F5B8A" w:rsidRPr="001C59A0" w:rsidRDefault="007F5B8A" w:rsidP="007F5B8A">
            <w:pPr>
              <w:jc w:val="center"/>
              <w:rPr>
                <w:rFonts w:ascii="Arial" w:hAnsi="Arial" w:cs="Arial"/>
                <w:bCs/>
                <w:color w:val="000000"/>
                <w:sz w:val="18"/>
                <w:szCs w:val="20"/>
                <w:lang w:val="es-MX"/>
              </w:rPr>
            </w:pPr>
            <w:r w:rsidRPr="001C59A0">
              <w:rPr>
                <w:rFonts w:ascii="Arial" w:hAnsi="Arial" w:cs="Arial"/>
                <w:bCs/>
                <w:color w:val="000000"/>
                <w:sz w:val="18"/>
                <w:szCs w:val="20"/>
                <w:lang w:val="es-MX"/>
              </w:rPr>
              <w:t>Final</w:t>
            </w:r>
          </w:p>
        </w:tc>
        <w:tc>
          <w:tcPr>
            <w:tcW w:w="1071" w:type="pct"/>
            <w:tcBorders>
              <w:top w:val="nil"/>
              <w:left w:val="single" w:sz="8" w:space="0" w:color="auto"/>
              <w:bottom w:val="single" w:sz="8" w:space="0" w:color="auto"/>
              <w:right w:val="single" w:sz="8" w:space="0" w:color="auto"/>
            </w:tcBorders>
            <w:shd w:val="clear" w:color="auto" w:fill="FFFFFF" w:themeFill="background1"/>
            <w:noWrap/>
            <w:vAlign w:val="center"/>
          </w:tcPr>
          <w:p w:rsidR="007F5B8A" w:rsidRPr="001C59A0" w:rsidRDefault="007F5B8A" w:rsidP="00BB23BB">
            <w:pPr>
              <w:jc w:val="center"/>
              <w:rPr>
                <w:rFonts w:ascii="Arial" w:hAnsi="Arial" w:cs="Arial"/>
                <w:bCs/>
                <w:color w:val="000000"/>
                <w:sz w:val="18"/>
                <w:szCs w:val="20"/>
                <w:lang w:val="es-MX"/>
              </w:rPr>
            </w:pPr>
            <w:r w:rsidRPr="001C59A0">
              <w:rPr>
                <w:rFonts w:ascii="Arial" w:hAnsi="Arial" w:cs="Arial"/>
                <w:bCs/>
                <w:color w:val="000000"/>
                <w:sz w:val="18"/>
                <w:szCs w:val="20"/>
                <w:lang w:val="es-MX"/>
              </w:rPr>
              <w:t>US$</w:t>
            </w:r>
            <w:r>
              <w:rPr>
                <w:rFonts w:ascii="Arial" w:hAnsi="Arial" w:cs="Arial"/>
                <w:bCs/>
                <w:color w:val="000000"/>
                <w:sz w:val="18"/>
                <w:szCs w:val="20"/>
                <w:lang w:val="es-MX"/>
              </w:rPr>
              <w:t>15</w:t>
            </w:r>
            <w:r w:rsidRPr="001C59A0">
              <w:rPr>
                <w:rFonts w:ascii="Arial" w:hAnsi="Arial" w:cs="Arial"/>
                <w:bCs/>
                <w:color w:val="000000"/>
                <w:sz w:val="18"/>
                <w:szCs w:val="20"/>
                <w:lang w:val="es-MX"/>
              </w:rPr>
              <w:t>,000 IDB</w:t>
            </w:r>
          </w:p>
        </w:tc>
      </w:tr>
      <w:tr w:rsidR="00C419B8" w:rsidRPr="001C59A0" w:rsidTr="00D6554E">
        <w:trPr>
          <w:trHeight w:val="394"/>
        </w:trPr>
        <w:tc>
          <w:tcPr>
            <w:tcW w:w="1755" w:type="pct"/>
            <w:tcBorders>
              <w:top w:val="nil"/>
              <w:left w:val="single" w:sz="8" w:space="0" w:color="auto"/>
              <w:bottom w:val="single" w:sz="8" w:space="0" w:color="auto"/>
              <w:right w:val="single" w:sz="8" w:space="0" w:color="auto"/>
            </w:tcBorders>
            <w:shd w:val="clear" w:color="auto" w:fill="auto"/>
            <w:noWrap/>
            <w:vAlign w:val="center"/>
          </w:tcPr>
          <w:p w:rsidR="00C419B8" w:rsidRPr="001C59A0" w:rsidRDefault="00C419B8" w:rsidP="00DE4B10">
            <w:pPr>
              <w:rPr>
                <w:rFonts w:ascii="Arial" w:hAnsi="Arial" w:cs="Arial"/>
                <w:bCs/>
                <w:color w:val="000000"/>
                <w:sz w:val="18"/>
                <w:szCs w:val="20"/>
                <w:lang w:val="es-MX"/>
              </w:rPr>
            </w:pPr>
            <w:r w:rsidRPr="001C59A0">
              <w:rPr>
                <w:rFonts w:ascii="Arial" w:hAnsi="Arial" w:cs="Arial"/>
                <w:bCs/>
                <w:color w:val="000000"/>
                <w:sz w:val="18"/>
                <w:szCs w:val="20"/>
                <w:lang w:val="es-MX"/>
              </w:rPr>
              <w:t>Total</w:t>
            </w:r>
          </w:p>
        </w:tc>
        <w:tc>
          <w:tcPr>
            <w:tcW w:w="2174" w:type="pct"/>
            <w:gridSpan w:val="5"/>
            <w:tcBorders>
              <w:top w:val="single" w:sz="8" w:space="0" w:color="auto"/>
              <w:left w:val="nil"/>
              <w:bottom w:val="single" w:sz="8" w:space="0" w:color="auto"/>
              <w:right w:val="single" w:sz="8" w:space="0" w:color="auto"/>
            </w:tcBorders>
            <w:shd w:val="clear" w:color="auto" w:fill="auto"/>
            <w:noWrap/>
            <w:vAlign w:val="center"/>
          </w:tcPr>
          <w:p w:rsidR="00C419B8" w:rsidRPr="001C59A0" w:rsidRDefault="00C419B8" w:rsidP="00DE4B10">
            <w:pPr>
              <w:jc w:val="center"/>
              <w:rPr>
                <w:rFonts w:ascii="Arial" w:hAnsi="Arial" w:cs="Arial"/>
                <w:bCs/>
                <w:color w:val="000000"/>
                <w:sz w:val="18"/>
                <w:szCs w:val="20"/>
                <w:lang w:val="es-MX"/>
              </w:rPr>
            </w:pPr>
          </w:p>
        </w:tc>
        <w:tc>
          <w:tcPr>
            <w:tcW w:w="1071" w:type="pct"/>
            <w:tcBorders>
              <w:top w:val="nil"/>
              <w:left w:val="single" w:sz="8" w:space="0" w:color="auto"/>
              <w:bottom w:val="single" w:sz="8" w:space="0" w:color="auto"/>
              <w:right w:val="single" w:sz="8" w:space="0" w:color="auto"/>
            </w:tcBorders>
            <w:shd w:val="clear" w:color="auto" w:fill="FFFFFF" w:themeFill="background1"/>
            <w:noWrap/>
            <w:vAlign w:val="center"/>
          </w:tcPr>
          <w:p w:rsidR="00C419B8" w:rsidRPr="001C59A0" w:rsidRDefault="00C419B8" w:rsidP="00931518">
            <w:pPr>
              <w:jc w:val="center"/>
              <w:rPr>
                <w:rFonts w:ascii="Arial" w:hAnsi="Arial" w:cs="Arial"/>
                <w:bCs/>
                <w:color w:val="000000"/>
                <w:sz w:val="18"/>
                <w:szCs w:val="20"/>
                <w:lang w:val="es-MX"/>
              </w:rPr>
            </w:pPr>
            <w:r w:rsidRPr="001C59A0">
              <w:rPr>
                <w:rFonts w:ascii="Arial" w:hAnsi="Arial" w:cs="Arial"/>
                <w:bCs/>
                <w:color w:val="000000"/>
                <w:sz w:val="18"/>
                <w:szCs w:val="20"/>
                <w:lang w:val="es-MX"/>
              </w:rPr>
              <w:t>3</w:t>
            </w:r>
            <w:r w:rsidR="00931518">
              <w:rPr>
                <w:rFonts w:ascii="Arial" w:hAnsi="Arial" w:cs="Arial"/>
                <w:bCs/>
                <w:color w:val="000000"/>
                <w:sz w:val="18"/>
                <w:szCs w:val="20"/>
                <w:lang w:val="es-MX"/>
              </w:rPr>
              <w:t>0</w:t>
            </w:r>
            <w:r w:rsidRPr="001C59A0">
              <w:rPr>
                <w:rFonts w:ascii="Arial" w:hAnsi="Arial" w:cs="Arial"/>
                <w:bCs/>
                <w:color w:val="000000"/>
                <w:sz w:val="18"/>
                <w:szCs w:val="20"/>
                <w:lang w:val="es-MX"/>
              </w:rPr>
              <w:t>,000</w:t>
            </w:r>
          </w:p>
        </w:tc>
      </w:tr>
    </w:tbl>
    <w:p w:rsidR="00C419B8" w:rsidRPr="001C59A0" w:rsidRDefault="00C419B8" w:rsidP="00C419B8">
      <w:pPr>
        <w:pStyle w:val="Paragraph"/>
        <w:tabs>
          <w:tab w:val="clear" w:pos="1440"/>
        </w:tabs>
        <w:spacing w:before="100" w:after="100"/>
        <w:ind w:left="900" w:firstLine="0"/>
        <w:rPr>
          <w:rFonts w:ascii="Arial" w:hAnsi="Arial" w:cs="Arial"/>
          <w:b/>
          <w:lang w:val="es-ES" w:eastAsia="x-none"/>
        </w:rPr>
      </w:pPr>
    </w:p>
    <w:p w:rsidR="00C419B8" w:rsidRPr="001C59A0" w:rsidRDefault="00C419B8" w:rsidP="00C419B8">
      <w:pPr>
        <w:pStyle w:val="Paragraph"/>
        <w:widowControl w:val="0"/>
        <w:numPr>
          <w:ilvl w:val="0"/>
          <w:numId w:val="3"/>
        </w:numPr>
        <w:rPr>
          <w:rFonts w:ascii="Arial" w:hAnsi="Arial" w:cs="Arial"/>
          <w:b/>
          <w:lang w:val="es-ES" w:eastAsia="x-none"/>
        </w:rPr>
      </w:pPr>
      <w:r w:rsidRPr="001C59A0">
        <w:rPr>
          <w:rFonts w:ascii="Arial" w:hAnsi="Arial" w:cs="Arial"/>
          <w:b/>
          <w:lang w:val="es-ES" w:eastAsia="x-none"/>
        </w:rPr>
        <w:t>Recolección de la Información</w:t>
      </w:r>
    </w:p>
    <w:p w:rsidR="00C419B8" w:rsidRPr="001C59A0" w:rsidRDefault="00C419B8" w:rsidP="00C419B8">
      <w:pPr>
        <w:pStyle w:val="Paragraph"/>
        <w:numPr>
          <w:ilvl w:val="1"/>
          <w:numId w:val="4"/>
        </w:numPr>
        <w:spacing w:before="100" w:after="100"/>
        <w:ind w:left="900" w:hanging="900"/>
        <w:rPr>
          <w:rFonts w:ascii="Arial" w:hAnsi="Arial" w:cs="Arial"/>
          <w:spacing w:val="-3"/>
          <w:szCs w:val="24"/>
          <w:lang w:val="es-ES"/>
        </w:rPr>
      </w:pPr>
      <w:r w:rsidRPr="001C59A0">
        <w:rPr>
          <w:rFonts w:ascii="Arial" w:hAnsi="Arial" w:cs="Arial"/>
          <w:spacing w:val="-3"/>
          <w:szCs w:val="24"/>
          <w:lang w:val="es-ES"/>
        </w:rPr>
        <w:t xml:space="preserve">La colecta de la información para la evaluación será realizada por los consultores responsables </w:t>
      </w:r>
      <w:r w:rsidR="00931518">
        <w:rPr>
          <w:rFonts w:ascii="Arial" w:hAnsi="Arial" w:cs="Arial"/>
          <w:spacing w:val="-3"/>
          <w:szCs w:val="24"/>
          <w:lang w:val="es-ES"/>
        </w:rPr>
        <w:t xml:space="preserve">del PCR y </w:t>
      </w:r>
      <w:r w:rsidRPr="001C59A0">
        <w:rPr>
          <w:rFonts w:ascii="Arial" w:hAnsi="Arial" w:cs="Arial"/>
          <w:spacing w:val="-3"/>
          <w:szCs w:val="24"/>
          <w:lang w:val="es-ES"/>
        </w:rPr>
        <w:t xml:space="preserve">de las evaluaciones </w:t>
      </w:r>
      <w:r w:rsidR="007F5B8A">
        <w:rPr>
          <w:rFonts w:ascii="Arial" w:hAnsi="Arial" w:cs="Arial"/>
          <w:spacing w:val="-3"/>
          <w:szCs w:val="24"/>
          <w:lang w:val="es-ES"/>
        </w:rPr>
        <w:t>de impacto</w:t>
      </w:r>
      <w:r w:rsidRPr="001C59A0">
        <w:rPr>
          <w:rFonts w:ascii="Arial" w:hAnsi="Arial" w:cs="Arial"/>
          <w:spacing w:val="-3"/>
          <w:szCs w:val="24"/>
          <w:lang w:val="es-ES"/>
        </w:rPr>
        <w:t>.</w:t>
      </w:r>
    </w:p>
    <w:p w:rsidR="00C419B8" w:rsidRPr="001C59A0" w:rsidRDefault="00C419B8" w:rsidP="00C419B8">
      <w:pPr>
        <w:pStyle w:val="Paragraph"/>
        <w:tabs>
          <w:tab w:val="clear" w:pos="1440"/>
        </w:tabs>
        <w:spacing w:before="100" w:after="100"/>
        <w:ind w:left="900" w:firstLine="0"/>
        <w:jc w:val="center"/>
        <w:rPr>
          <w:rFonts w:ascii="Arial" w:hAnsi="Arial" w:cs="Arial"/>
          <w:spacing w:val="-3"/>
          <w:szCs w:val="24"/>
          <w:lang w:val="es-ES"/>
        </w:rPr>
      </w:pPr>
      <w:r w:rsidRPr="001C59A0">
        <w:rPr>
          <w:rFonts w:ascii="Arial" w:hAnsi="Arial" w:cs="Arial"/>
          <w:b/>
          <w:bCs/>
          <w:color w:val="000000"/>
          <w:sz w:val="20"/>
          <w:lang w:val="es-ES"/>
        </w:rPr>
        <w:t>Plan de Trabajo Para la Colecta de la información</w:t>
      </w:r>
    </w:p>
    <w:tbl>
      <w:tblPr>
        <w:tblW w:w="5180" w:type="pct"/>
        <w:tblInd w:w="-432" w:type="dxa"/>
        <w:tblLayout w:type="fixed"/>
        <w:tblLook w:val="04A0" w:firstRow="1" w:lastRow="0" w:firstColumn="1" w:lastColumn="0" w:noHBand="0" w:noVBand="1"/>
      </w:tblPr>
      <w:tblGrid>
        <w:gridCol w:w="2884"/>
        <w:gridCol w:w="892"/>
        <w:gridCol w:w="901"/>
        <w:gridCol w:w="813"/>
        <w:gridCol w:w="769"/>
        <w:gridCol w:w="938"/>
        <w:gridCol w:w="1978"/>
      </w:tblGrid>
      <w:tr w:rsidR="00C419B8" w:rsidRPr="001C59A0" w:rsidTr="00DE4B10">
        <w:trPr>
          <w:trHeight w:val="88"/>
        </w:trPr>
        <w:tc>
          <w:tcPr>
            <w:tcW w:w="1572"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Actividad</w:t>
            </w:r>
          </w:p>
        </w:tc>
        <w:tc>
          <w:tcPr>
            <w:tcW w:w="486"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2016</w:t>
            </w:r>
          </w:p>
        </w:tc>
        <w:tc>
          <w:tcPr>
            <w:tcW w:w="491"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2017</w:t>
            </w:r>
          </w:p>
        </w:tc>
        <w:tc>
          <w:tcPr>
            <w:tcW w:w="443"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2018</w:t>
            </w:r>
          </w:p>
        </w:tc>
        <w:tc>
          <w:tcPr>
            <w:tcW w:w="419" w:type="pct"/>
            <w:tcBorders>
              <w:top w:val="single" w:sz="8" w:space="0" w:color="auto"/>
              <w:left w:val="nil"/>
              <w:right w:val="single" w:sz="8" w:space="0" w:color="000000"/>
            </w:tcBorders>
            <w:shd w:val="clear" w:color="000000" w:fill="D9D9D9"/>
            <w:noWrap/>
            <w:vAlign w:val="center"/>
            <w:hideMark/>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2019</w:t>
            </w:r>
          </w:p>
        </w:tc>
        <w:tc>
          <w:tcPr>
            <w:tcW w:w="511" w:type="pct"/>
            <w:tcBorders>
              <w:top w:val="single" w:sz="8" w:space="0" w:color="auto"/>
              <w:left w:val="single" w:sz="8" w:space="0" w:color="auto"/>
              <w:right w:val="single" w:sz="4" w:space="0" w:color="auto"/>
            </w:tcBorders>
            <w:shd w:val="clear" w:color="000000" w:fill="D9D9D9"/>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2020</w:t>
            </w:r>
          </w:p>
        </w:tc>
        <w:tc>
          <w:tcPr>
            <w:tcW w:w="1078" w:type="pct"/>
            <w:tcBorders>
              <w:top w:val="single" w:sz="4" w:space="0" w:color="auto"/>
              <w:left w:val="single" w:sz="4" w:space="0" w:color="auto"/>
              <w:bottom w:val="single" w:sz="4" w:space="0" w:color="auto"/>
              <w:right w:val="single" w:sz="4" w:space="0" w:color="auto"/>
            </w:tcBorders>
            <w:shd w:val="clear" w:color="000000" w:fill="D9D9D9"/>
            <w:noWrap/>
            <w:vAlign w:val="center"/>
          </w:tcPr>
          <w:p w:rsidR="00C419B8" w:rsidRPr="001C59A0" w:rsidRDefault="00C419B8" w:rsidP="00DE4B10">
            <w:pPr>
              <w:spacing w:before="120" w:after="120"/>
              <w:jc w:val="center"/>
              <w:rPr>
                <w:rFonts w:ascii="Arial" w:hAnsi="Arial" w:cs="Arial"/>
                <w:b/>
                <w:bCs/>
                <w:color w:val="000000"/>
                <w:sz w:val="18"/>
                <w:szCs w:val="20"/>
                <w:lang w:val="es-ES"/>
              </w:rPr>
            </w:pPr>
            <w:r w:rsidRPr="001C59A0">
              <w:rPr>
                <w:rFonts w:ascii="Arial" w:hAnsi="Arial" w:cs="Arial"/>
                <w:b/>
                <w:bCs/>
                <w:color w:val="000000"/>
                <w:sz w:val="18"/>
                <w:szCs w:val="20"/>
                <w:lang w:val="es-ES"/>
              </w:rPr>
              <w:t>Responsable y Costo</w:t>
            </w:r>
          </w:p>
        </w:tc>
      </w:tr>
      <w:tr w:rsidR="007F5B8A" w:rsidRPr="00EF4F23" w:rsidTr="00DE4B10">
        <w:trPr>
          <w:trHeight w:val="358"/>
        </w:trPr>
        <w:tc>
          <w:tcPr>
            <w:tcW w:w="1572" w:type="pct"/>
            <w:tcBorders>
              <w:top w:val="nil"/>
              <w:left w:val="single" w:sz="8" w:space="0" w:color="auto"/>
              <w:bottom w:val="single" w:sz="8" w:space="0" w:color="auto"/>
              <w:right w:val="single" w:sz="8" w:space="0" w:color="auto"/>
            </w:tcBorders>
            <w:shd w:val="clear" w:color="auto" w:fill="auto"/>
            <w:noWrap/>
            <w:vAlign w:val="center"/>
          </w:tcPr>
          <w:p w:rsidR="007F5B8A" w:rsidRPr="001C59A0" w:rsidRDefault="007F5B8A" w:rsidP="00DE4B10">
            <w:pPr>
              <w:rPr>
                <w:rFonts w:ascii="Arial" w:hAnsi="Arial" w:cs="Arial"/>
                <w:bCs/>
                <w:color w:val="000000"/>
                <w:sz w:val="18"/>
                <w:szCs w:val="20"/>
                <w:lang w:val="es-MX"/>
              </w:rPr>
            </w:pPr>
            <w:r w:rsidRPr="001C59A0">
              <w:rPr>
                <w:rFonts w:ascii="Arial" w:hAnsi="Arial" w:cs="Arial"/>
                <w:bCs/>
                <w:color w:val="000000"/>
                <w:sz w:val="18"/>
                <w:szCs w:val="20"/>
                <w:lang w:val="es-MX"/>
              </w:rPr>
              <w:t xml:space="preserve">Informe de Terminación de Proyecto (PCR) </w:t>
            </w:r>
          </w:p>
        </w:tc>
        <w:tc>
          <w:tcPr>
            <w:tcW w:w="486"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E87FDB">
            <w:pPr>
              <w:jc w:val="center"/>
              <w:rPr>
                <w:rFonts w:ascii="Arial" w:hAnsi="Arial" w:cs="Arial"/>
                <w:bCs/>
                <w:color w:val="000000"/>
                <w:sz w:val="18"/>
                <w:szCs w:val="20"/>
                <w:lang w:val="es-MX"/>
              </w:rPr>
            </w:pPr>
          </w:p>
          <w:p w:rsidR="007F5B8A" w:rsidRPr="001C59A0" w:rsidRDefault="007F5B8A" w:rsidP="00DE4B10">
            <w:pPr>
              <w:jc w:val="center"/>
              <w:rPr>
                <w:rFonts w:ascii="Arial" w:hAnsi="Arial" w:cs="Arial"/>
                <w:bCs/>
                <w:color w:val="000000"/>
                <w:sz w:val="18"/>
                <w:szCs w:val="20"/>
                <w:lang w:val="es-MX"/>
              </w:rPr>
            </w:pPr>
          </w:p>
        </w:tc>
        <w:tc>
          <w:tcPr>
            <w:tcW w:w="491"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43"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PCR</w:t>
            </w:r>
          </w:p>
        </w:tc>
        <w:tc>
          <w:tcPr>
            <w:tcW w:w="419"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E87FDB">
            <w:pPr>
              <w:jc w:val="center"/>
              <w:rPr>
                <w:rFonts w:ascii="Arial" w:hAnsi="Arial" w:cs="Arial"/>
                <w:bCs/>
                <w:color w:val="000000"/>
                <w:sz w:val="18"/>
                <w:szCs w:val="20"/>
                <w:lang w:val="es-MX"/>
              </w:rPr>
            </w:pPr>
          </w:p>
          <w:p w:rsidR="007F5B8A" w:rsidRPr="001C59A0" w:rsidRDefault="007F5B8A" w:rsidP="00DE4B10">
            <w:pPr>
              <w:jc w:val="center"/>
              <w:rPr>
                <w:rFonts w:ascii="Arial" w:hAnsi="Arial" w:cs="Arial"/>
                <w:bCs/>
                <w:color w:val="000000"/>
                <w:sz w:val="18"/>
                <w:szCs w:val="20"/>
                <w:lang w:val="es-MX"/>
              </w:rPr>
            </w:pPr>
          </w:p>
        </w:tc>
        <w:tc>
          <w:tcPr>
            <w:tcW w:w="511" w:type="pct"/>
            <w:tcBorders>
              <w:top w:val="single" w:sz="8" w:space="0" w:color="auto"/>
              <w:left w:val="nil"/>
              <w:bottom w:val="single" w:sz="8" w:space="0" w:color="auto"/>
              <w:right w:val="single" w:sz="8" w:space="0" w:color="auto"/>
            </w:tcBorders>
            <w:shd w:val="clear" w:color="auto" w:fill="auto"/>
            <w:vAlign w:val="center"/>
          </w:tcPr>
          <w:p w:rsidR="007F5B8A" w:rsidRPr="001C59A0" w:rsidRDefault="007F5B8A" w:rsidP="00DE4B10">
            <w:pPr>
              <w:jc w:val="center"/>
              <w:rPr>
                <w:rFonts w:ascii="Arial" w:hAnsi="Arial" w:cs="Arial"/>
                <w:bCs/>
                <w:color w:val="000000"/>
                <w:sz w:val="18"/>
                <w:szCs w:val="20"/>
                <w:lang w:val="es-MX"/>
              </w:rPr>
            </w:pPr>
          </w:p>
        </w:tc>
        <w:tc>
          <w:tcPr>
            <w:tcW w:w="1078" w:type="pct"/>
            <w:tcBorders>
              <w:top w:val="nil"/>
              <w:left w:val="single" w:sz="8" w:space="0" w:color="auto"/>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 xml:space="preserve">Consultor – Costo </w:t>
            </w:r>
            <w:r w:rsidR="00931518">
              <w:rPr>
                <w:rFonts w:ascii="Arial" w:hAnsi="Arial" w:cs="Arial"/>
                <w:bCs/>
                <w:color w:val="000000"/>
                <w:sz w:val="18"/>
                <w:szCs w:val="20"/>
                <w:lang w:val="es-MX"/>
              </w:rPr>
              <w:t>i</w:t>
            </w:r>
            <w:r w:rsidRPr="001C59A0">
              <w:rPr>
                <w:rFonts w:ascii="Arial" w:hAnsi="Arial" w:cs="Arial"/>
                <w:bCs/>
                <w:color w:val="000000"/>
                <w:sz w:val="18"/>
                <w:szCs w:val="20"/>
                <w:lang w:val="es-MX"/>
              </w:rPr>
              <w:t>ncluido en los honorarios (10%)</w:t>
            </w:r>
          </w:p>
        </w:tc>
      </w:tr>
      <w:tr w:rsidR="007F5B8A" w:rsidRPr="00EF4F23" w:rsidTr="00D6554E">
        <w:trPr>
          <w:trHeight w:val="124"/>
        </w:trPr>
        <w:tc>
          <w:tcPr>
            <w:tcW w:w="1572" w:type="pct"/>
            <w:tcBorders>
              <w:top w:val="nil"/>
              <w:left w:val="single" w:sz="8" w:space="0" w:color="auto"/>
              <w:bottom w:val="single" w:sz="8" w:space="0" w:color="auto"/>
              <w:right w:val="single" w:sz="8" w:space="0" w:color="auto"/>
            </w:tcBorders>
            <w:shd w:val="clear" w:color="auto" w:fill="auto"/>
            <w:noWrap/>
            <w:vAlign w:val="center"/>
          </w:tcPr>
          <w:p w:rsidR="007F5B8A" w:rsidRPr="001C59A0" w:rsidRDefault="007F5B8A" w:rsidP="00BB23BB">
            <w:pPr>
              <w:rPr>
                <w:rFonts w:ascii="Arial" w:hAnsi="Arial" w:cs="Arial"/>
                <w:bCs/>
                <w:color w:val="000000"/>
                <w:sz w:val="18"/>
                <w:szCs w:val="20"/>
                <w:lang w:val="es-MX"/>
              </w:rPr>
            </w:pPr>
            <w:r w:rsidRPr="001C59A0">
              <w:rPr>
                <w:rFonts w:ascii="Arial" w:hAnsi="Arial" w:cs="Arial"/>
                <w:bCs/>
                <w:color w:val="000000"/>
                <w:sz w:val="18"/>
                <w:szCs w:val="20"/>
                <w:lang w:val="es-MX"/>
              </w:rPr>
              <w:t xml:space="preserve">Evaluación </w:t>
            </w:r>
            <w:r>
              <w:rPr>
                <w:rFonts w:ascii="Arial" w:hAnsi="Arial" w:cs="Arial"/>
                <w:bCs/>
                <w:color w:val="000000"/>
                <w:sz w:val="18"/>
                <w:szCs w:val="20"/>
                <w:lang w:val="es-MX"/>
              </w:rPr>
              <w:t xml:space="preserve">de </w:t>
            </w:r>
            <w:r w:rsidR="00DC3075">
              <w:rPr>
                <w:rFonts w:ascii="Arial" w:hAnsi="Arial" w:cs="Arial"/>
                <w:bCs/>
                <w:color w:val="000000"/>
                <w:sz w:val="18"/>
                <w:szCs w:val="20"/>
                <w:lang w:val="es-MX"/>
              </w:rPr>
              <w:t>Impacto</w:t>
            </w:r>
          </w:p>
        </w:tc>
        <w:tc>
          <w:tcPr>
            <w:tcW w:w="486"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91"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443"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931518">
            <w:pPr>
              <w:jc w:val="center"/>
              <w:rPr>
                <w:rFonts w:ascii="Arial" w:hAnsi="Arial" w:cs="Arial"/>
                <w:bCs/>
                <w:color w:val="000000"/>
                <w:sz w:val="18"/>
                <w:szCs w:val="20"/>
                <w:lang w:val="es-MX"/>
              </w:rPr>
            </w:pPr>
          </w:p>
        </w:tc>
        <w:tc>
          <w:tcPr>
            <w:tcW w:w="419" w:type="pct"/>
            <w:tcBorders>
              <w:top w:val="single" w:sz="8" w:space="0" w:color="auto"/>
              <w:left w:val="nil"/>
              <w:bottom w:val="single" w:sz="8" w:space="0" w:color="auto"/>
              <w:right w:val="single" w:sz="8" w:space="0" w:color="auto"/>
            </w:tcBorders>
            <w:shd w:val="clear" w:color="auto" w:fill="auto"/>
            <w:noWrap/>
            <w:vAlign w:val="center"/>
          </w:tcPr>
          <w:p w:rsidR="007F5B8A" w:rsidRPr="001C59A0" w:rsidRDefault="007F5B8A" w:rsidP="00DE4B10">
            <w:pPr>
              <w:jc w:val="center"/>
              <w:rPr>
                <w:rFonts w:ascii="Arial" w:hAnsi="Arial" w:cs="Arial"/>
                <w:bCs/>
                <w:color w:val="000000"/>
                <w:sz w:val="18"/>
                <w:szCs w:val="20"/>
                <w:lang w:val="es-MX"/>
              </w:rPr>
            </w:pPr>
          </w:p>
        </w:tc>
        <w:tc>
          <w:tcPr>
            <w:tcW w:w="511" w:type="pct"/>
            <w:tcBorders>
              <w:top w:val="single" w:sz="8" w:space="0" w:color="auto"/>
              <w:left w:val="nil"/>
              <w:bottom w:val="single" w:sz="8" w:space="0" w:color="auto"/>
              <w:right w:val="single" w:sz="8" w:space="0" w:color="auto"/>
            </w:tcBorders>
            <w:shd w:val="clear" w:color="auto" w:fill="auto"/>
            <w:vAlign w:val="center"/>
          </w:tcPr>
          <w:p w:rsidR="007F5B8A" w:rsidRPr="001C59A0" w:rsidRDefault="007F5B8A" w:rsidP="00E87FDB">
            <w:pPr>
              <w:jc w:val="center"/>
              <w:rPr>
                <w:rFonts w:ascii="Arial" w:hAnsi="Arial" w:cs="Arial"/>
                <w:bCs/>
                <w:color w:val="000000"/>
                <w:sz w:val="18"/>
                <w:szCs w:val="20"/>
                <w:lang w:val="es-MX"/>
              </w:rPr>
            </w:pPr>
            <w:r w:rsidRPr="001C59A0">
              <w:rPr>
                <w:rFonts w:ascii="Arial" w:hAnsi="Arial" w:cs="Arial"/>
                <w:bCs/>
                <w:color w:val="000000"/>
                <w:sz w:val="18"/>
                <w:szCs w:val="20"/>
                <w:lang w:val="es-MX"/>
              </w:rPr>
              <w:t>Expost</w:t>
            </w:r>
          </w:p>
          <w:p w:rsidR="007F5B8A" w:rsidRPr="001C59A0" w:rsidRDefault="007F5B8A"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Final</w:t>
            </w:r>
          </w:p>
        </w:tc>
        <w:tc>
          <w:tcPr>
            <w:tcW w:w="1078" w:type="pct"/>
            <w:tcBorders>
              <w:top w:val="nil"/>
              <w:left w:val="single" w:sz="8" w:space="0" w:color="auto"/>
              <w:bottom w:val="single" w:sz="8" w:space="0" w:color="auto"/>
              <w:right w:val="single" w:sz="8" w:space="0" w:color="auto"/>
            </w:tcBorders>
            <w:shd w:val="clear" w:color="auto" w:fill="FFFFFF" w:themeFill="background1"/>
            <w:noWrap/>
            <w:vAlign w:val="center"/>
          </w:tcPr>
          <w:p w:rsidR="007F5B8A" w:rsidRPr="001C59A0" w:rsidRDefault="007F5B8A" w:rsidP="00DE4B10">
            <w:pPr>
              <w:jc w:val="center"/>
              <w:rPr>
                <w:rFonts w:ascii="Arial" w:hAnsi="Arial" w:cs="Arial"/>
                <w:bCs/>
                <w:color w:val="000000"/>
                <w:sz w:val="18"/>
                <w:szCs w:val="20"/>
                <w:lang w:val="es-MX"/>
              </w:rPr>
            </w:pPr>
            <w:r w:rsidRPr="001C59A0">
              <w:rPr>
                <w:rFonts w:ascii="Arial" w:hAnsi="Arial" w:cs="Arial"/>
                <w:bCs/>
                <w:color w:val="000000"/>
                <w:sz w:val="18"/>
                <w:szCs w:val="20"/>
                <w:lang w:val="es-MX"/>
              </w:rPr>
              <w:t xml:space="preserve">Consultor – Costo </w:t>
            </w:r>
            <w:r w:rsidR="00931518">
              <w:rPr>
                <w:rFonts w:ascii="Arial" w:hAnsi="Arial" w:cs="Arial"/>
                <w:bCs/>
                <w:color w:val="000000"/>
                <w:sz w:val="18"/>
                <w:szCs w:val="20"/>
                <w:lang w:val="es-MX"/>
              </w:rPr>
              <w:t>i</w:t>
            </w:r>
            <w:r w:rsidRPr="001C59A0">
              <w:rPr>
                <w:rFonts w:ascii="Arial" w:hAnsi="Arial" w:cs="Arial"/>
                <w:bCs/>
                <w:color w:val="000000"/>
                <w:sz w:val="18"/>
                <w:szCs w:val="20"/>
                <w:lang w:val="es-MX"/>
              </w:rPr>
              <w:t>ncluido en los honorarios (20%)</w:t>
            </w:r>
          </w:p>
        </w:tc>
      </w:tr>
    </w:tbl>
    <w:p w:rsidR="00C419B8" w:rsidRPr="001C59A0" w:rsidRDefault="00C419B8" w:rsidP="00C419B8">
      <w:pPr>
        <w:spacing w:after="200" w:line="276" w:lineRule="auto"/>
        <w:rPr>
          <w:rFonts w:ascii="Arial" w:hAnsi="Arial" w:cs="Arial"/>
          <w:b/>
          <w:bCs/>
          <w:smallCaps/>
          <w:lang w:val="es-CO"/>
        </w:rPr>
        <w:sectPr w:rsidR="00C419B8" w:rsidRPr="001C59A0" w:rsidSect="00546746">
          <w:headerReference w:type="default" r:id="rId17"/>
          <w:pgSz w:w="12240" w:h="15840"/>
          <w:pgMar w:top="1440" w:right="1800" w:bottom="900" w:left="1800" w:header="720" w:footer="720" w:gutter="0"/>
          <w:cols w:space="720"/>
          <w:titlePg/>
          <w:docGrid w:linePitch="326"/>
        </w:sectPr>
      </w:pPr>
    </w:p>
    <w:p w:rsidR="00C419B8" w:rsidRPr="001C59A0" w:rsidRDefault="00C419B8" w:rsidP="00C419B8">
      <w:pPr>
        <w:jc w:val="center"/>
        <w:rPr>
          <w:rFonts w:ascii="Arial" w:hAnsi="Arial" w:cs="Arial"/>
          <w:b/>
          <w:sz w:val="22"/>
          <w:szCs w:val="22"/>
          <w:lang w:val="es-CO"/>
        </w:rPr>
      </w:pPr>
      <w:r w:rsidRPr="001C59A0">
        <w:rPr>
          <w:rFonts w:ascii="Arial" w:hAnsi="Arial" w:cs="Arial"/>
          <w:b/>
          <w:sz w:val="22"/>
          <w:szCs w:val="22"/>
          <w:lang w:val="es-CO"/>
        </w:rPr>
        <w:lastRenderedPageBreak/>
        <w:t>Anexo I</w:t>
      </w:r>
    </w:p>
    <w:p w:rsidR="00C419B8" w:rsidRPr="001C59A0" w:rsidRDefault="00C419B8" w:rsidP="00C419B8">
      <w:pPr>
        <w:jc w:val="center"/>
        <w:rPr>
          <w:rFonts w:ascii="Arial" w:hAnsi="Arial" w:cs="Arial"/>
          <w:b/>
          <w:sz w:val="56"/>
          <w:szCs w:val="22"/>
          <w:lang w:val="es-CO"/>
        </w:rPr>
      </w:pPr>
    </w:p>
    <w:p w:rsidR="00C419B8" w:rsidRPr="001C59A0" w:rsidRDefault="00C419B8" w:rsidP="00C419B8">
      <w:pPr>
        <w:jc w:val="center"/>
        <w:rPr>
          <w:rFonts w:ascii="Arial" w:hAnsi="Arial" w:cs="Arial"/>
          <w:b/>
          <w:sz w:val="56"/>
          <w:szCs w:val="22"/>
          <w:lang w:val="es-CO"/>
        </w:rPr>
      </w:pPr>
      <w:r w:rsidRPr="001C59A0">
        <w:rPr>
          <w:rFonts w:ascii="Arial" w:hAnsi="Arial" w:cs="Arial"/>
          <w:b/>
          <w:sz w:val="56"/>
          <w:szCs w:val="22"/>
          <w:lang w:val="es-CO"/>
        </w:rPr>
        <w:t>Chile-Evaluación económica del</w:t>
      </w:r>
    </w:p>
    <w:p w:rsidR="00C419B8" w:rsidRPr="001C59A0" w:rsidRDefault="00C419B8" w:rsidP="00C419B8">
      <w:pPr>
        <w:jc w:val="center"/>
        <w:rPr>
          <w:rFonts w:ascii="Arial" w:eastAsia="Arial" w:hAnsi="Arial" w:cs="Arial"/>
          <w:b/>
          <w:sz w:val="56"/>
          <w:szCs w:val="22"/>
          <w:lang w:val="es-ES"/>
        </w:rPr>
      </w:pPr>
      <w:r w:rsidRPr="001C59A0">
        <w:rPr>
          <w:rFonts w:ascii="Arial" w:eastAsia="Arial" w:hAnsi="Arial" w:cs="Arial"/>
          <w:b/>
          <w:sz w:val="56"/>
          <w:szCs w:val="22"/>
          <w:lang w:val="es-ES"/>
        </w:rPr>
        <w:t>Programa de Energía Sostenible</w:t>
      </w:r>
    </w:p>
    <w:p w:rsidR="00C419B8" w:rsidRPr="001C59A0" w:rsidRDefault="00C419B8" w:rsidP="00C419B8">
      <w:pPr>
        <w:jc w:val="center"/>
        <w:rPr>
          <w:rFonts w:ascii="Arial" w:hAnsi="Arial" w:cs="Arial"/>
          <w:b/>
          <w:sz w:val="32"/>
          <w:szCs w:val="22"/>
          <w:lang w:val="es-CO"/>
        </w:rPr>
      </w:pPr>
      <w:r w:rsidRPr="001C59A0">
        <w:rPr>
          <w:rFonts w:ascii="Arial" w:hAnsi="Arial" w:cs="Arial"/>
          <w:b/>
          <w:sz w:val="32"/>
          <w:szCs w:val="22"/>
          <w:lang w:val="es-CO"/>
        </w:rPr>
        <w:t>Preparado a solicitud del Banco Interamericano de Desarrollo</w:t>
      </w:r>
    </w:p>
    <w:p w:rsidR="00C419B8" w:rsidRPr="001C59A0" w:rsidRDefault="00C419B8" w:rsidP="00C419B8">
      <w:pPr>
        <w:jc w:val="center"/>
        <w:rPr>
          <w:rFonts w:ascii="Arial" w:hAnsi="Arial" w:cs="Arial"/>
          <w:b/>
          <w:sz w:val="32"/>
          <w:szCs w:val="22"/>
          <w:lang w:val="es-CO"/>
        </w:rPr>
      </w:pPr>
    </w:p>
    <w:p w:rsidR="00C419B8" w:rsidRPr="001C59A0" w:rsidRDefault="00C419B8" w:rsidP="00C419B8">
      <w:pPr>
        <w:ind w:left="720" w:hanging="720"/>
        <w:jc w:val="both"/>
        <w:rPr>
          <w:rFonts w:ascii="Arial" w:hAnsi="Arial" w:cs="Arial"/>
          <w:b/>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r w:rsidRPr="001C59A0">
        <w:rPr>
          <w:rFonts w:ascii="Arial" w:hAnsi="Arial" w:cs="Arial"/>
          <w:noProof/>
        </w:rPr>
        <w:drawing>
          <wp:anchor distT="0" distB="0" distL="114300" distR="114300" simplePos="0" relativeHeight="251659264" behindDoc="0" locked="0" layoutInCell="1" allowOverlap="1" wp14:anchorId="04050503" wp14:editId="4F9DF4F1">
            <wp:simplePos x="0" y="0"/>
            <wp:positionH relativeFrom="margin">
              <wp:posOffset>-1504950</wp:posOffset>
            </wp:positionH>
            <wp:positionV relativeFrom="margin">
              <wp:posOffset>3887537</wp:posOffset>
            </wp:positionV>
            <wp:extent cx="8292465" cy="2994660"/>
            <wp:effectExtent l="0" t="0" r="0" b="0"/>
            <wp:wrapSquare wrapText="bothSides"/>
            <wp:docPr id="3" name="Imagen 3" descr="https://i.ytimg.com/vi/n0Huz01F0zc/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i.ytimg.com/vi/n0Huz01F0zc/maxres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246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both"/>
        <w:rPr>
          <w:rFonts w:ascii="Arial" w:hAnsi="Arial" w:cs="Arial"/>
          <w:sz w:val="22"/>
          <w:szCs w:val="22"/>
          <w:lang w:val="es-CO"/>
        </w:rPr>
      </w:pPr>
    </w:p>
    <w:p w:rsidR="00C419B8" w:rsidRPr="001C59A0" w:rsidRDefault="00C419B8" w:rsidP="00C419B8">
      <w:pPr>
        <w:jc w:val="right"/>
        <w:rPr>
          <w:rFonts w:ascii="Arial" w:hAnsi="Arial" w:cs="Arial"/>
          <w:sz w:val="22"/>
          <w:szCs w:val="22"/>
          <w:lang w:val="es-CO"/>
        </w:rPr>
      </w:pPr>
      <w:r w:rsidRPr="001C59A0">
        <w:rPr>
          <w:rFonts w:ascii="Arial" w:hAnsi="Arial" w:cs="Arial"/>
          <w:sz w:val="22"/>
          <w:szCs w:val="22"/>
          <w:lang w:val="es-CO"/>
        </w:rPr>
        <w:t>Jefe proyecto: Raul O´Ryan</w:t>
      </w:r>
    </w:p>
    <w:p w:rsidR="00C419B8" w:rsidRPr="001C59A0" w:rsidRDefault="00C419B8" w:rsidP="00C419B8">
      <w:pPr>
        <w:jc w:val="right"/>
        <w:rPr>
          <w:rFonts w:ascii="Arial" w:hAnsi="Arial" w:cs="Arial"/>
          <w:sz w:val="22"/>
          <w:szCs w:val="22"/>
          <w:lang w:val="es-CO"/>
        </w:rPr>
      </w:pPr>
      <w:r w:rsidRPr="001C59A0">
        <w:rPr>
          <w:rFonts w:ascii="Arial" w:hAnsi="Arial" w:cs="Arial"/>
          <w:sz w:val="22"/>
          <w:szCs w:val="22"/>
          <w:lang w:val="es-CO"/>
        </w:rPr>
        <w:t>Fecha: 16 de agosto de 2016</w:t>
      </w:r>
    </w:p>
    <w:p w:rsidR="00C419B8" w:rsidRPr="001C59A0" w:rsidRDefault="00C419B8" w:rsidP="00C419B8">
      <w:pPr>
        <w:spacing w:after="160" w:line="259" w:lineRule="auto"/>
        <w:rPr>
          <w:rFonts w:ascii="Arial" w:hAnsi="Arial" w:cs="Arial"/>
          <w:sz w:val="22"/>
          <w:szCs w:val="22"/>
          <w:lang w:val="es-CO"/>
        </w:rPr>
      </w:pPr>
      <w:r w:rsidRPr="001C59A0">
        <w:rPr>
          <w:rFonts w:ascii="Arial" w:hAnsi="Arial" w:cs="Arial"/>
          <w:sz w:val="22"/>
          <w:szCs w:val="22"/>
          <w:lang w:val="es-CO"/>
        </w:rPr>
        <w:br w:type="page"/>
      </w:r>
    </w:p>
    <w:sdt>
      <w:sdtPr>
        <w:rPr>
          <w:rFonts w:ascii="Arial" w:eastAsiaTheme="minorHAnsi" w:hAnsi="Arial" w:cs="Arial"/>
          <w:color w:val="auto"/>
          <w:sz w:val="20"/>
          <w:szCs w:val="24"/>
          <w:lang w:val="es-ES" w:eastAsia="en-US"/>
        </w:rPr>
        <w:id w:val="1060600324"/>
        <w:docPartObj>
          <w:docPartGallery w:val="Table of Contents"/>
          <w:docPartUnique/>
        </w:docPartObj>
      </w:sdtPr>
      <w:sdtEndPr>
        <w:rPr>
          <w:rFonts w:eastAsia="Times New Roman"/>
          <w:b/>
          <w:bCs/>
          <w:szCs w:val="22"/>
        </w:rPr>
      </w:sdtEndPr>
      <w:sdtContent>
        <w:p w:rsidR="00C419B8" w:rsidRPr="001C59A0" w:rsidRDefault="00C419B8" w:rsidP="00C419B8">
          <w:pPr>
            <w:pStyle w:val="TOCHeading"/>
            <w:rPr>
              <w:rFonts w:ascii="Arial" w:hAnsi="Arial" w:cs="Arial"/>
              <w:color w:val="auto"/>
              <w:sz w:val="20"/>
              <w:szCs w:val="24"/>
              <w:lang w:val="es-ES"/>
            </w:rPr>
          </w:pPr>
          <w:r w:rsidRPr="001C59A0">
            <w:rPr>
              <w:rFonts w:ascii="Arial" w:hAnsi="Arial" w:cs="Arial"/>
              <w:color w:val="auto"/>
              <w:sz w:val="20"/>
              <w:szCs w:val="24"/>
              <w:lang w:val="es-ES"/>
            </w:rPr>
            <w:t>Contenido</w:t>
          </w:r>
        </w:p>
        <w:p w:rsidR="00C419B8" w:rsidRPr="001C59A0" w:rsidRDefault="00C419B8" w:rsidP="00C419B8">
          <w:pPr>
            <w:rPr>
              <w:rFonts w:ascii="Arial" w:hAnsi="Arial" w:cs="Arial"/>
              <w:sz w:val="20"/>
              <w:lang w:val="es-ES"/>
            </w:rPr>
          </w:pPr>
        </w:p>
        <w:p w:rsidR="00C419B8" w:rsidRPr="001C59A0" w:rsidRDefault="00C419B8" w:rsidP="00C419B8">
          <w:pPr>
            <w:pStyle w:val="TOC1"/>
            <w:tabs>
              <w:tab w:val="left" w:pos="480"/>
              <w:tab w:val="right" w:leader="dot" w:pos="8828"/>
            </w:tabs>
            <w:rPr>
              <w:rFonts w:ascii="Arial" w:eastAsiaTheme="minorEastAsia" w:hAnsi="Arial" w:cs="Arial"/>
              <w:noProof/>
              <w:sz w:val="20"/>
            </w:rPr>
          </w:pPr>
          <w:r w:rsidRPr="001C59A0">
            <w:rPr>
              <w:rFonts w:ascii="Arial" w:hAnsi="Arial" w:cs="Arial"/>
              <w:sz w:val="20"/>
            </w:rPr>
            <w:fldChar w:fldCharType="begin"/>
          </w:r>
          <w:r w:rsidRPr="001C59A0">
            <w:rPr>
              <w:rFonts w:ascii="Arial" w:hAnsi="Arial" w:cs="Arial"/>
              <w:sz w:val="20"/>
            </w:rPr>
            <w:instrText xml:space="preserve"> TOC \o "1-3" \h \z \u </w:instrText>
          </w:r>
          <w:r w:rsidRPr="001C59A0">
            <w:rPr>
              <w:rFonts w:ascii="Arial" w:hAnsi="Arial" w:cs="Arial"/>
              <w:sz w:val="20"/>
            </w:rPr>
            <w:fldChar w:fldCharType="separate"/>
          </w:r>
          <w:hyperlink w:anchor="_Toc459677761" w:history="1">
            <w:r w:rsidRPr="001C59A0">
              <w:rPr>
                <w:rStyle w:val="Hyperlink"/>
                <w:rFonts w:ascii="Arial" w:hAnsi="Arial" w:cs="Arial"/>
                <w:b/>
                <w:bCs/>
                <w:noProof/>
                <w:sz w:val="20"/>
              </w:rPr>
              <w:t>1.</w:t>
            </w:r>
            <w:r w:rsidRPr="001C59A0">
              <w:rPr>
                <w:rFonts w:ascii="Arial" w:eastAsiaTheme="minorEastAsia" w:hAnsi="Arial" w:cs="Arial"/>
                <w:noProof/>
                <w:sz w:val="20"/>
              </w:rPr>
              <w:tab/>
            </w:r>
            <w:r w:rsidRPr="001C59A0">
              <w:rPr>
                <w:rStyle w:val="Hyperlink"/>
                <w:rFonts w:ascii="Arial" w:hAnsi="Arial" w:cs="Arial"/>
                <w:b/>
                <w:bCs/>
                <w:noProof/>
                <w:sz w:val="20"/>
              </w:rPr>
              <w:t>Resumen Ejecutivo</w:t>
            </w:r>
            <w:r w:rsidRPr="001C59A0">
              <w:rPr>
                <w:rFonts w:ascii="Arial" w:hAnsi="Arial" w:cs="Arial"/>
                <w:noProof/>
                <w:webHidden/>
                <w:sz w:val="20"/>
              </w:rPr>
              <w:tab/>
            </w:r>
            <w:r w:rsidRPr="001C59A0">
              <w:rPr>
                <w:rFonts w:ascii="Arial" w:hAnsi="Arial" w:cs="Arial"/>
                <w:noProof/>
                <w:webHidden/>
                <w:sz w:val="20"/>
              </w:rPr>
              <w:fldChar w:fldCharType="begin"/>
            </w:r>
            <w:r w:rsidRPr="001C59A0">
              <w:rPr>
                <w:rFonts w:ascii="Arial" w:hAnsi="Arial" w:cs="Arial"/>
                <w:noProof/>
                <w:webHidden/>
                <w:sz w:val="20"/>
              </w:rPr>
              <w:instrText xml:space="preserve"> PAGEREF _Toc459677761 \h </w:instrText>
            </w:r>
            <w:r w:rsidRPr="001C59A0">
              <w:rPr>
                <w:rFonts w:ascii="Arial" w:hAnsi="Arial" w:cs="Arial"/>
                <w:noProof/>
                <w:webHidden/>
                <w:sz w:val="20"/>
              </w:rPr>
            </w:r>
            <w:r w:rsidRPr="001C59A0">
              <w:rPr>
                <w:rFonts w:ascii="Arial" w:hAnsi="Arial" w:cs="Arial"/>
                <w:noProof/>
                <w:webHidden/>
                <w:sz w:val="20"/>
              </w:rPr>
              <w:fldChar w:fldCharType="separate"/>
            </w:r>
            <w:r w:rsidRPr="001C59A0">
              <w:rPr>
                <w:rFonts w:ascii="Arial" w:hAnsi="Arial" w:cs="Arial"/>
                <w:noProof/>
                <w:webHidden/>
                <w:sz w:val="20"/>
              </w:rPr>
              <w:t>2</w:t>
            </w:r>
            <w:r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62" w:history="1">
            <w:r w:rsidR="00C419B8" w:rsidRPr="001C59A0">
              <w:rPr>
                <w:rStyle w:val="Hyperlink"/>
                <w:rFonts w:ascii="Arial" w:hAnsi="Arial" w:cs="Arial"/>
                <w:b/>
                <w:bCs/>
                <w:noProof/>
                <w:sz w:val="20"/>
              </w:rPr>
              <w:t>2.</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Introducción</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_Toc459677762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10</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63" w:history="1">
            <w:r w:rsidR="00C419B8" w:rsidRPr="001C59A0">
              <w:rPr>
                <w:rStyle w:val="Hyperlink"/>
                <w:rFonts w:ascii="Arial" w:hAnsi="Arial" w:cs="Arial"/>
                <w:b/>
                <w:bCs/>
                <w:noProof/>
                <w:sz w:val="20"/>
              </w:rPr>
              <w:t>3.</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Enfoque de Evaluación</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_Toc459677763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11</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64" w:history="1">
            <w:r w:rsidR="00C419B8" w:rsidRPr="001C59A0">
              <w:rPr>
                <w:rStyle w:val="Hyperlink"/>
                <w:rFonts w:ascii="Arial" w:hAnsi="Arial" w:cs="Arial"/>
                <w:b/>
                <w:bCs/>
                <w:noProof/>
                <w:sz w:val="20"/>
              </w:rPr>
              <w:t>4.</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Línea Base de Desarrollo del Sector Eléctrico</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_Toc459677764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14</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65" w:history="1">
            <w:r w:rsidR="00C419B8" w:rsidRPr="001C59A0">
              <w:rPr>
                <w:rStyle w:val="Hyperlink"/>
                <w:rFonts w:ascii="Arial" w:hAnsi="Arial" w:cs="Arial"/>
                <w:b/>
                <w:bCs/>
                <w:noProof/>
                <w:sz w:val="20"/>
              </w:rPr>
              <w:t>4.1.</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Supuestos y Metodología de Construcción de Línea Base 2013-2050.</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_Toc459677765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14</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66" w:history="1">
            <w:r w:rsidR="00C419B8" w:rsidRPr="001C59A0">
              <w:rPr>
                <w:rStyle w:val="Hyperlink"/>
                <w:rFonts w:ascii="Arial" w:hAnsi="Arial" w:cs="Arial"/>
                <w:b/>
                <w:bCs/>
                <w:noProof/>
                <w:sz w:val="20"/>
              </w:rPr>
              <w:t>4.2.</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Línea Base 2013-2050</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_Toc459677766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16</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67" w:history="1">
            <w:r w:rsidR="00C419B8" w:rsidRPr="001C59A0">
              <w:rPr>
                <w:rStyle w:val="Hyperlink"/>
                <w:rFonts w:ascii="Arial" w:hAnsi="Arial" w:cs="Arial"/>
                <w:b/>
                <w:bCs/>
                <w:noProof/>
                <w:sz w:val="20"/>
              </w:rPr>
              <w:t>5.</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Escenario con Programa: Supuestos e Impactos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_Toc459677767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19</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68" w:history="1">
            <w:r w:rsidR="00C419B8" w:rsidRPr="001C59A0">
              <w:rPr>
                <w:rStyle w:val="Hyperlink"/>
                <w:rFonts w:ascii="Arial" w:hAnsi="Arial" w:cs="Arial"/>
                <w:b/>
                <w:bCs/>
                <w:noProof/>
                <w:sz w:val="20"/>
              </w:rPr>
              <w:t>5.1.</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Escenario con Programa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_Toc459677768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19</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69" w:history="1">
            <w:r w:rsidR="00C419B8" w:rsidRPr="001C59A0">
              <w:rPr>
                <w:rStyle w:val="Hyperlink"/>
                <w:rFonts w:ascii="Arial" w:eastAsia="Calibri" w:hAnsi="Arial" w:cs="Arial"/>
                <w:b/>
                <w:noProof/>
                <w:sz w:val="20"/>
              </w:rPr>
              <w:t>5.1.1.</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Las Metas de la Política Energética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_Toc459677769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19</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0" w:history="1">
            <w:r w:rsidR="00C419B8" w:rsidRPr="001C59A0">
              <w:rPr>
                <w:rStyle w:val="Hyperlink"/>
                <w:rFonts w:ascii="Arial" w:eastAsia="Calibri" w:hAnsi="Arial" w:cs="Arial"/>
                <w:b/>
                <w:noProof/>
                <w:sz w:val="20"/>
              </w:rPr>
              <w:t>5.1.2.</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Productos Esperados del Programa y de la Política Energética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_Toc459677770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21</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1" w:history="1">
            <w:r w:rsidR="00C419B8" w:rsidRPr="001C59A0">
              <w:rPr>
                <w:rStyle w:val="Hyperlink"/>
                <w:rFonts w:ascii="Arial" w:eastAsia="Calibri" w:hAnsi="Arial" w:cs="Arial"/>
                <w:b/>
                <w:noProof/>
                <w:sz w:val="20"/>
              </w:rPr>
              <w:t>5.1.3.</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Escenarios MAPS y el Programa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_Toc459677771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23</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2" w:history="1">
            <w:r w:rsidR="00C419B8" w:rsidRPr="001C59A0">
              <w:rPr>
                <w:rStyle w:val="Hyperlink"/>
                <w:rFonts w:ascii="Arial" w:eastAsia="Calibri" w:hAnsi="Arial" w:cs="Arial"/>
                <w:b/>
                <w:noProof/>
                <w:sz w:val="20"/>
              </w:rPr>
              <w:t>5.1.4.</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Programa de Energía Sostenible y Medidas Evaluadas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_Toc459677772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27</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73" w:history="1">
            <w:r w:rsidR="00C419B8" w:rsidRPr="001C59A0">
              <w:rPr>
                <w:rStyle w:val="Hyperlink"/>
                <w:rFonts w:ascii="Arial" w:hAnsi="Arial" w:cs="Arial"/>
                <w:b/>
                <w:bCs/>
                <w:noProof/>
                <w:sz w:val="20"/>
              </w:rPr>
              <w:t>5.2.</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Impactos del Programa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_Toc459677773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28</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4" w:history="1">
            <w:r w:rsidR="00C419B8" w:rsidRPr="001C59A0">
              <w:rPr>
                <w:rStyle w:val="Hyperlink"/>
                <w:rFonts w:ascii="Arial" w:hAnsi="Arial" w:cs="Arial"/>
                <w:b/>
                <w:bCs/>
                <w:noProof/>
                <w:sz w:val="20"/>
              </w:rPr>
              <w:t>5.2.1.</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 en Demanda Energética.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_Toc459677774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28</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5" w:history="1">
            <w:r w:rsidR="00C419B8" w:rsidRPr="001C59A0">
              <w:rPr>
                <w:rStyle w:val="Hyperlink"/>
                <w:rFonts w:ascii="Arial" w:hAnsi="Arial" w:cs="Arial"/>
                <w:b/>
                <w:bCs/>
                <w:noProof/>
                <w:sz w:val="20"/>
              </w:rPr>
              <w:t>5.2.2.</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 en la Matriz Energética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_Toc459677775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30</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6" w:history="1">
            <w:r w:rsidR="00C419B8" w:rsidRPr="001C59A0">
              <w:rPr>
                <w:rStyle w:val="Hyperlink"/>
                <w:rFonts w:ascii="Arial" w:hAnsi="Arial" w:cs="Arial"/>
                <w:b/>
                <w:bCs/>
                <w:noProof/>
                <w:sz w:val="20"/>
              </w:rPr>
              <w:t>5.2.3.</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 en Costos de Generación Eléctrica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_Toc459677776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33</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7" w:history="1">
            <w:r w:rsidR="00C419B8" w:rsidRPr="001C59A0">
              <w:rPr>
                <w:rStyle w:val="Hyperlink"/>
                <w:rFonts w:ascii="Arial" w:hAnsi="Arial" w:cs="Arial"/>
                <w:b/>
                <w:bCs/>
                <w:noProof/>
                <w:sz w:val="20"/>
              </w:rPr>
              <w:t>5.2.4.</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 en Tarifas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_Toc459677777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34</w:t>
            </w:r>
            <w:r w:rsidR="00C419B8" w:rsidRPr="001C59A0">
              <w:rPr>
                <w:rFonts w:ascii="Arial" w:hAnsi="Arial" w:cs="Arial"/>
                <w:noProof/>
                <w:webHidden/>
                <w:sz w:val="20"/>
              </w:rPr>
              <w:fldChar w:fldCharType="end"/>
            </w:r>
          </w:hyperlink>
        </w:p>
        <w:p w:rsidR="00C419B8" w:rsidRPr="001C59A0" w:rsidRDefault="00C251A9" w:rsidP="00C419B8">
          <w:pPr>
            <w:pStyle w:val="TOC3"/>
            <w:tabs>
              <w:tab w:val="left" w:pos="1320"/>
              <w:tab w:val="right" w:leader="dot" w:pos="8828"/>
            </w:tabs>
            <w:rPr>
              <w:rFonts w:ascii="Arial" w:eastAsiaTheme="minorEastAsia" w:hAnsi="Arial" w:cs="Arial"/>
              <w:noProof/>
              <w:sz w:val="20"/>
            </w:rPr>
          </w:pPr>
          <w:hyperlink w:anchor="_Toc459677778" w:history="1">
            <w:r w:rsidR="00C419B8" w:rsidRPr="001C59A0">
              <w:rPr>
                <w:rStyle w:val="Hyperlink"/>
                <w:rFonts w:ascii="Arial" w:hAnsi="Arial" w:cs="Arial"/>
                <w:b/>
                <w:bCs/>
                <w:noProof/>
                <w:sz w:val="20"/>
              </w:rPr>
              <w:t>5.2.5.</w:t>
            </w:r>
            <w:r w:rsidR="00C419B8" w:rsidRPr="001C59A0">
              <w:rPr>
                <w:rFonts w:ascii="Arial" w:eastAsiaTheme="minorEastAsia" w:hAnsi="Arial" w:cs="Arial"/>
                <w:noProof/>
                <w:sz w:val="20"/>
              </w:rPr>
              <w:tab/>
            </w:r>
            <w:r w:rsidR="00C419B8" w:rsidRPr="001C59A0">
              <w:rPr>
                <w:rStyle w:val="Hyperlink"/>
                <w:rFonts w:ascii="Arial" w:hAnsi="Arial" w:cs="Arial"/>
                <w:b/>
                <w:bCs/>
                <w:noProof/>
                <w:sz w:val="20"/>
              </w:rPr>
              <w:t>Impacto en Emisiones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_Toc459677778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39</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79" w:history="1">
            <w:r w:rsidR="00C419B8" w:rsidRPr="001C59A0">
              <w:rPr>
                <w:rStyle w:val="Hyperlink"/>
                <w:rFonts w:ascii="Arial" w:eastAsia="Calibri" w:hAnsi="Arial" w:cs="Arial"/>
                <w:b/>
                <w:noProof/>
                <w:sz w:val="20"/>
              </w:rPr>
              <w:t>6.</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Evaluación Económica del Programa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_Toc459677779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45</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0" w:history="1">
            <w:r w:rsidR="00C419B8" w:rsidRPr="001C59A0">
              <w:rPr>
                <w:rStyle w:val="Hyperlink"/>
                <w:rFonts w:ascii="Arial" w:eastAsia="Calibri" w:hAnsi="Arial" w:cs="Arial"/>
                <w:b/>
                <w:noProof/>
                <w:sz w:val="20"/>
              </w:rPr>
              <w:t>6.1.</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Beneficios por Reducción de Contaminantes Globales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_Toc459677780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45</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1" w:history="1">
            <w:r w:rsidR="00C419B8" w:rsidRPr="001C59A0">
              <w:rPr>
                <w:rStyle w:val="Hyperlink"/>
                <w:rFonts w:ascii="Arial" w:eastAsia="Calibri" w:hAnsi="Arial" w:cs="Arial"/>
                <w:b/>
                <w:noProof/>
                <w:sz w:val="20"/>
              </w:rPr>
              <w:t>6.2.</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Valoración de Reducción de Emisiones de Material Particulado</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_Toc459677781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47</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2" w:history="1">
            <w:r w:rsidR="00C419B8" w:rsidRPr="001C59A0">
              <w:rPr>
                <w:rStyle w:val="Hyperlink"/>
                <w:rFonts w:ascii="Arial" w:eastAsia="Calibri" w:hAnsi="Arial" w:cs="Arial"/>
                <w:b/>
                <w:noProof/>
                <w:sz w:val="20"/>
              </w:rPr>
              <w:t>6.3.</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Beneficio por Ahorro de los Hogares en Consumo Eléctrico</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_Toc459677782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54</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3" w:history="1">
            <w:r w:rsidR="00C419B8" w:rsidRPr="001C59A0">
              <w:rPr>
                <w:rStyle w:val="Hyperlink"/>
                <w:rFonts w:ascii="Arial" w:eastAsia="Calibri" w:hAnsi="Arial" w:cs="Arial"/>
                <w:b/>
                <w:noProof/>
                <w:sz w:val="20"/>
              </w:rPr>
              <w:t>6.4.</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Beneficios del sector industrial: Reducción de Gastos Energéticos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_Toc459677783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56</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4" w:history="1">
            <w:r w:rsidR="00C419B8" w:rsidRPr="001C59A0">
              <w:rPr>
                <w:rStyle w:val="Hyperlink"/>
                <w:rFonts w:ascii="Arial" w:eastAsia="Calibri" w:hAnsi="Arial" w:cs="Arial"/>
                <w:b/>
                <w:noProof/>
                <w:sz w:val="20"/>
              </w:rPr>
              <w:t>6.5.</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Beneficios totales: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_Toc459677784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58</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85" w:history="1">
            <w:r w:rsidR="00C419B8" w:rsidRPr="001C59A0">
              <w:rPr>
                <w:rStyle w:val="Hyperlink"/>
                <w:rFonts w:ascii="Arial" w:eastAsia="Calibri" w:hAnsi="Arial" w:cs="Arial"/>
                <w:noProof/>
                <w:sz w:val="20"/>
              </w:rPr>
              <w:t>7.</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Matriz de Riesgo y Análisis de Escenario Alternativo</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_Toc459677785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60</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6" w:history="1">
            <w:r w:rsidR="00C419B8" w:rsidRPr="001C59A0">
              <w:rPr>
                <w:rStyle w:val="Hyperlink"/>
                <w:rFonts w:ascii="Arial" w:eastAsia="Calibri" w:hAnsi="Arial" w:cs="Arial"/>
                <w:b/>
                <w:noProof/>
                <w:sz w:val="20"/>
              </w:rPr>
              <w:t>7.1.</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Matriz de Riesgos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_Toc459677786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60</w:t>
            </w:r>
            <w:r w:rsidR="00C419B8" w:rsidRPr="001C59A0">
              <w:rPr>
                <w:rFonts w:ascii="Arial" w:hAnsi="Arial" w:cs="Arial"/>
                <w:noProof/>
                <w:webHidden/>
                <w:sz w:val="20"/>
              </w:rPr>
              <w:fldChar w:fldCharType="end"/>
            </w:r>
          </w:hyperlink>
        </w:p>
        <w:p w:rsidR="00C419B8" w:rsidRPr="001C59A0" w:rsidRDefault="00C251A9" w:rsidP="00C419B8">
          <w:pPr>
            <w:pStyle w:val="TOC2"/>
            <w:tabs>
              <w:tab w:val="left" w:pos="880"/>
              <w:tab w:val="right" w:leader="dot" w:pos="8828"/>
            </w:tabs>
            <w:rPr>
              <w:rFonts w:ascii="Arial" w:eastAsiaTheme="minorEastAsia" w:hAnsi="Arial" w:cs="Arial"/>
              <w:noProof/>
              <w:sz w:val="20"/>
            </w:rPr>
          </w:pPr>
          <w:hyperlink w:anchor="_Toc459677787" w:history="1">
            <w:r w:rsidR="00C419B8" w:rsidRPr="001C59A0">
              <w:rPr>
                <w:rStyle w:val="Hyperlink"/>
                <w:rFonts w:ascii="Arial" w:eastAsia="Calibri" w:hAnsi="Arial" w:cs="Arial"/>
                <w:b/>
                <w:noProof/>
                <w:sz w:val="20"/>
              </w:rPr>
              <w:t>7.2.</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Análisis de Escenario Alternativo</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_Toc459677787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62</w:t>
            </w:r>
            <w:r w:rsidR="00C419B8" w:rsidRPr="001C59A0">
              <w:rPr>
                <w:rFonts w:ascii="Arial" w:hAnsi="Arial" w:cs="Arial"/>
                <w:noProof/>
                <w:webHidden/>
                <w:sz w:val="20"/>
              </w:rPr>
              <w:fldChar w:fldCharType="end"/>
            </w:r>
          </w:hyperlink>
        </w:p>
        <w:p w:rsidR="00C419B8" w:rsidRPr="001C59A0" w:rsidRDefault="00C251A9" w:rsidP="00C419B8">
          <w:pPr>
            <w:pStyle w:val="TOC1"/>
            <w:tabs>
              <w:tab w:val="left" w:pos="480"/>
              <w:tab w:val="right" w:leader="dot" w:pos="8828"/>
            </w:tabs>
            <w:rPr>
              <w:rFonts w:ascii="Arial" w:eastAsiaTheme="minorEastAsia" w:hAnsi="Arial" w:cs="Arial"/>
              <w:noProof/>
              <w:sz w:val="20"/>
            </w:rPr>
          </w:pPr>
          <w:hyperlink w:anchor="_Toc459677788" w:history="1">
            <w:r w:rsidR="00C419B8" w:rsidRPr="001C59A0">
              <w:rPr>
                <w:rStyle w:val="Hyperlink"/>
                <w:rFonts w:ascii="Arial" w:eastAsia="Calibri" w:hAnsi="Arial" w:cs="Arial"/>
                <w:b/>
                <w:noProof/>
                <w:sz w:val="20"/>
              </w:rPr>
              <w:t>8.</w:t>
            </w:r>
            <w:r w:rsidR="00C419B8" w:rsidRPr="001C59A0">
              <w:rPr>
                <w:rFonts w:ascii="Arial" w:eastAsiaTheme="minorEastAsia" w:hAnsi="Arial" w:cs="Arial"/>
                <w:noProof/>
                <w:sz w:val="20"/>
              </w:rPr>
              <w:tab/>
            </w:r>
            <w:r w:rsidR="00C419B8" w:rsidRPr="001C59A0">
              <w:rPr>
                <w:rStyle w:val="Hyperlink"/>
                <w:rFonts w:ascii="Arial" w:eastAsia="Calibri" w:hAnsi="Arial" w:cs="Arial"/>
                <w:b/>
                <w:noProof/>
                <w:sz w:val="20"/>
              </w:rPr>
              <w:t>Conclusiones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_Toc459677788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64</w:t>
            </w:r>
            <w:r w:rsidR="00C419B8" w:rsidRPr="001C59A0">
              <w:rPr>
                <w:rFonts w:ascii="Arial" w:hAnsi="Arial" w:cs="Arial"/>
                <w:noProof/>
                <w:webHidden/>
                <w:sz w:val="20"/>
              </w:rPr>
              <w:fldChar w:fldCharType="end"/>
            </w:r>
          </w:hyperlink>
        </w:p>
        <w:p w:rsidR="00C419B8" w:rsidRPr="001C59A0" w:rsidRDefault="00C251A9" w:rsidP="00C419B8">
          <w:pPr>
            <w:pStyle w:val="TOC1"/>
            <w:tabs>
              <w:tab w:val="right" w:leader="dot" w:pos="8828"/>
            </w:tabs>
            <w:rPr>
              <w:rFonts w:ascii="Arial" w:eastAsiaTheme="minorEastAsia" w:hAnsi="Arial" w:cs="Arial"/>
              <w:noProof/>
              <w:sz w:val="20"/>
            </w:rPr>
          </w:pPr>
          <w:hyperlink w:anchor="_Toc459677789" w:history="1">
            <w:r w:rsidR="00C419B8" w:rsidRPr="001C59A0">
              <w:rPr>
                <w:rStyle w:val="Hyperlink"/>
                <w:rFonts w:ascii="Arial" w:eastAsia="Calibri" w:hAnsi="Arial" w:cs="Arial"/>
                <w:b/>
                <w:noProof/>
                <w:sz w:val="20"/>
                <w:lang w:val="en-US" w:eastAsia="en-US"/>
              </w:rPr>
              <w:t>Bibliografía: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_Toc459677789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68</w:t>
            </w:r>
            <w:r w:rsidR="00C419B8" w:rsidRPr="001C59A0">
              <w:rPr>
                <w:rFonts w:ascii="Arial" w:hAnsi="Arial" w:cs="Arial"/>
                <w:noProof/>
                <w:webHidden/>
                <w:sz w:val="20"/>
              </w:rPr>
              <w:fldChar w:fldCharType="end"/>
            </w:r>
          </w:hyperlink>
        </w:p>
        <w:p w:rsidR="00C419B8" w:rsidRPr="001C59A0" w:rsidRDefault="00C251A9" w:rsidP="00C419B8">
          <w:pPr>
            <w:pStyle w:val="TOC1"/>
            <w:tabs>
              <w:tab w:val="right" w:leader="dot" w:pos="8828"/>
            </w:tabs>
            <w:rPr>
              <w:rFonts w:ascii="Arial" w:eastAsiaTheme="minorEastAsia" w:hAnsi="Arial" w:cs="Arial"/>
              <w:noProof/>
              <w:sz w:val="20"/>
            </w:rPr>
          </w:pPr>
          <w:hyperlink w:anchor="_Toc459677790" w:history="1">
            <w:r w:rsidR="00C419B8" w:rsidRPr="001C59A0">
              <w:rPr>
                <w:rStyle w:val="Hyperlink"/>
                <w:rFonts w:ascii="Arial" w:hAnsi="Arial" w:cs="Arial"/>
                <w:b/>
                <w:bCs/>
                <w:noProof/>
                <w:sz w:val="20"/>
              </w:rPr>
              <w:t>ANEXO 1: PROYECCION DE LA POBLACION Y CRECIMIENTO DEL PIB 2013-2050</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_Toc459677790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70</w:t>
            </w:r>
            <w:r w:rsidR="00C419B8" w:rsidRPr="001C59A0">
              <w:rPr>
                <w:rFonts w:ascii="Arial" w:hAnsi="Arial" w:cs="Arial"/>
                <w:noProof/>
                <w:webHidden/>
                <w:sz w:val="20"/>
              </w:rPr>
              <w:fldChar w:fldCharType="end"/>
            </w:r>
          </w:hyperlink>
        </w:p>
        <w:p w:rsidR="00C419B8" w:rsidRPr="001C59A0" w:rsidRDefault="00C251A9" w:rsidP="00C419B8">
          <w:pPr>
            <w:pStyle w:val="TOC1"/>
            <w:tabs>
              <w:tab w:val="right" w:leader="dot" w:pos="8828"/>
            </w:tabs>
            <w:rPr>
              <w:rFonts w:ascii="Arial" w:eastAsiaTheme="minorEastAsia" w:hAnsi="Arial" w:cs="Arial"/>
              <w:noProof/>
              <w:sz w:val="20"/>
            </w:rPr>
          </w:pPr>
          <w:hyperlink w:anchor="_Toc459677791" w:history="1">
            <w:r w:rsidR="00C419B8" w:rsidRPr="001C59A0">
              <w:rPr>
                <w:rStyle w:val="Hyperlink"/>
                <w:rFonts w:ascii="Arial" w:hAnsi="Arial" w:cs="Arial"/>
                <w:b/>
                <w:bCs/>
                <w:noProof/>
                <w:sz w:val="20"/>
                <w:lang w:eastAsia="en-US"/>
              </w:rPr>
              <w:t>ANEXO 2: ANALISIS DE MEDIDAS DE MITIGACION MAPS DE LOS SECTORES DE TRANSPORTE Y DE INDUSTRIA Y MINERIA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_Toc459677791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72</w:t>
            </w:r>
            <w:r w:rsidR="00C419B8" w:rsidRPr="001C59A0">
              <w:rPr>
                <w:rFonts w:ascii="Arial" w:hAnsi="Arial" w:cs="Arial"/>
                <w:noProof/>
                <w:webHidden/>
                <w:sz w:val="20"/>
              </w:rPr>
              <w:fldChar w:fldCharType="end"/>
            </w:r>
          </w:hyperlink>
        </w:p>
        <w:p w:rsidR="00C419B8" w:rsidRPr="001C59A0" w:rsidRDefault="00C251A9" w:rsidP="00C419B8">
          <w:pPr>
            <w:pStyle w:val="TOC1"/>
            <w:tabs>
              <w:tab w:val="right" w:leader="dot" w:pos="8828"/>
            </w:tabs>
            <w:rPr>
              <w:rFonts w:ascii="Arial" w:eastAsiaTheme="minorEastAsia" w:hAnsi="Arial" w:cs="Arial"/>
              <w:noProof/>
              <w:sz w:val="20"/>
            </w:rPr>
          </w:pPr>
          <w:hyperlink w:anchor="_Toc459677792" w:history="1">
            <w:r w:rsidR="00C419B8" w:rsidRPr="001C59A0">
              <w:rPr>
                <w:rStyle w:val="Hyperlink"/>
                <w:rFonts w:ascii="Arial" w:hAnsi="Arial" w:cs="Arial"/>
                <w:b/>
                <w:bCs/>
                <w:noProof/>
                <w:sz w:val="20"/>
                <w:lang w:eastAsia="en-US"/>
              </w:rPr>
              <w:t>ANEXO 3: ANÁLISIS DE LAS PRINCIPALES MEDIDAS DE MITIGACIÓN MAPS</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_Toc459677792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75</w:t>
            </w:r>
            <w:r w:rsidR="00C419B8" w:rsidRPr="001C59A0">
              <w:rPr>
                <w:rFonts w:ascii="Arial" w:hAnsi="Arial" w:cs="Arial"/>
                <w:noProof/>
                <w:webHidden/>
                <w:sz w:val="20"/>
              </w:rPr>
              <w:fldChar w:fldCharType="end"/>
            </w:r>
          </w:hyperlink>
        </w:p>
        <w:p w:rsidR="00C419B8" w:rsidRPr="001C59A0" w:rsidRDefault="00C251A9" w:rsidP="00C419B8">
          <w:pPr>
            <w:pStyle w:val="TOC1"/>
            <w:tabs>
              <w:tab w:val="right" w:leader="dot" w:pos="8828"/>
            </w:tabs>
            <w:rPr>
              <w:rFonts w:ascii="Arial" w:eastAsiaTheme="minorEastAsia" w:hAnsi="Arial" w:cs="Arial"/>
              <w:noProof/>
              <w:sz w:val="20"/>
            </w:rPr>
          </w:pPr>
          <w:hyperlink w:anchor="_Toc459677793" w:history="1">
            <w:r w:rsidR="00C419B8" w:rsidRPr="001C59A0">
              <w:rPr>
                <w:rStyle w:val="Hyperlink"/>
                <w:rFonts w:ascii="Arial" w:hAnsi="Arial" w:cs="Arial"/>
                <w:b/>
                <w:bCs/>
                <w:noProof/>
                <w:sz w:val="20"/>
                <w:lang w:eastAsia="en-US"/>
              </w:rPr>
              <w:t>ANEXO 4: IMPACTOS ECOSUSTEMICOS DE DIVERSAS TECNOLOGIAS DE GENERACION ELECTRICA</w:t>
            </w:r>
            <w:r w:rsidR="00C419B8" w:rsidRPr="001C59A0">
              <w:rPr>
                <w:rFonts w:ascii="Arial" w:hAnsi="Arial" w:cs="Arial"/>
                <w:noProof/>
                <w:webHidden/>
                <w:sz w:val="20"/>
              </w:rPr>
              <w:tab/>
            </w:r>
            <w:r w:rsidR="00C419B8" w:rsidRPr="001C59A0">
              <w:rPr>
                <w:rFonts w:ascii="Arial" w:hAnsi="Arial" w:cs="Arial"/>
                <w:noProof/>
                <w:webHidden/>
                <w:sz w:val="20"/>
              </w:rPr>
              <w:fldChar w:fldCharType="begin"/>
            </w:r>
            <w:r w:rsidR="00C419B8" w:rsidRPr="001C59A0">
              <w:rPr>
                <w:rFonts w:ascii="Arial" w:hAnsi="Arial" w:cs="Arial"/>
                <w:noProof/>
                <w:webHidden/>
                <w:sz w:val="20"/>
              </w:rPr>
              <w:instrText xml:space="preserve"> PAGEREF _Toc459677793 \h </w:instrText>
            </w:r>
            <w:r w:rsidR="00C419B8" w:rsidRPr="001C59A0">
              <w:rPr>
                <w:rFonts w:ascii="Arial" w:hAnsi="Arial" w:cs="Arial"/>
                <w:noProof/>
                <w:webHidden/>
                <w:sz w:val="20"/>
              </w:rPr>
            </w:r>
            <w:r w:rsidR="00C419B8" w:rsidRPr="001C59A0">
              <w:rPr>
                <w:rFonts w:ascii="Arial" w:hAnsi="Arial" w:cs="Arial"/>
                <w:noProof/>
                <w:webHidden/>
                <w:sz w:val="20"/>
              </w:rPr>
              <w:fldChar w:fldCharType="separate"/>
            </w:r>
            <w:r w:rsidR="00C419B8" w:rsidRPr="001C59A0">
              <w:rPr>
                <w:rFonts w:ascii="Arial" w:hAnsi="Arial" w:cs="Arial"/>
                <w:noProof/>
                <w:webHidden/>
                <w:sz w:val="20"/>
              </w:rPr>
              <w:t>77</w:t>
            </w:r>
            <w:r w:rsidR="00C419B8" w:rsidRPr="001C59A0">
              <w:rPr>
                <w:rFonts w:ascii="Arial" w:hAnsi="Arial" w:cs="Arial"/>
                <w:noProof/>
                <w:webHidden/>
                <w:sz w:val="20"/>
              </w:rPr>
              <w:fldChar w:fldCharType="end"/>
            </w:r>
          </w:hyperlink>
        </w:p>
        <w:p w:rsidR="00C419B8" w:rsidRPr="001C59A0" w:rsidRDefault="00C419B8" w:rsidP="00C419B8">
          <w:pPr>
            <w:rPr>
              <w:rFonts w:ascii="Arial" w:hAnsi="Arial" w:cs="Arial"/>
              <w:b/>
              <w:bCs/>
              <w:sz w:val="20"/>
              <w:szCs w:val="22"/>
              <w:lang w:val="es-ES"/>
            </w:rPr>
          </w:pPr>
          <w:r w:rsidRPr="001C59A0">
            <w:rPr>
              <w:rFonts w:ascii="Arial" w:hAnsi="Arial" w:cs="Arial"/>
              <w:bCs/>
              <w:sz w:val="20"/>
              <w:lang w:val="es-ES"/>
            </w:rPr>
            <w:fldChar w:fldCharType="end"/>
          </w:r>
        </w:p>
      </w:sdtContent>
    </w:sdt>
    <w:p w:rsidR="00C419B8" w:rsidRPr="001C59A0" w:rsidRDefault="00C419B8" w:rsidP="00C419B8">
      <w:pPr>
        <w:spacing w:after="160" w:line="259" w:lineRule="auto"/>
        <w:rPr>
          <w:rFonts w:ascii="Arial" w:hAnsi="Arial" w:cs="Arial"/>
          <w:b/>
          <w:bCs/>
          <w:sz w:val="20"/>
          <w:szCs w:val="22"/>
          <w:lang w:val="es-ES"/>
        </w:rPr>
      </w:pPr>
      <w:r w:rsidRPr="001C59A0">
        <w:rPr>
          <w:rFonts w:ascii="Arial" w:hAnsi="Arial" w:cs="Arial"/>
          <w:b/>
          <w:bCs/>
          <w:sz w:val="20"/>
          <w:szCs w:val="22"/>
          <w:lang w:val="es-ES"/>
        </w:rPr>
        <w:br w:type="page"/>
      </w:r>
    </w:p>
    <w:p w:rsidR="00C419B8" w:rsidRPr="001C59A0" w:rsidRDefault="00C419B8" w:rsidP="00C419B8">
      <w:pPr>
        <w:pStyle w:val="ListParagraph"/>
        <w:spacing w:after="100" w:afterAutospacing="1"/>
        <w:ind w:left="0"/>
        <w:jc w:val="both"/>
        <w:outlineLvl w:val="0"/>
        <w:rPr>
          <w:rFonts w:ascii="Arial" w:hAnsi="Arial" w:cs="Arial"/>
          <w:b/>
          <w:bCs/>
        </w:rPr>
      </w:pPr>
      <w:bookmarkStart w:id="3" w:name="_Toc459677761"/>
    </w:p>
    <w:p w:rsidR="00C419B8" w:rsidRPr="001C59A0" w:rsidRDefault="00C419B8" w:rsidP="00C419B8">
      <w:pPr>
        <w:pStyle w:val="ListParagraph"/>
        <w:numPr>
          <w:ilvl w:val="0"/>
          <w:numId w:val="8"/>
        </w:numPr>
        <w:spacing w:after="100" w:afterAutospacing="1"/>
        <w:ind w:left="0" w:firstLine="0"/>
        <w:jc w:val="both"/>
        <w:outlineLvl w:val="0"/>
        <w:rPr>
          <w:rFonts w:ascii="Arial" w:hAnsi="Arial" w:cs="Arial"/>
          <w:b/>
          <w:bCs/>
        </w:rPr>
      </w:pPr>
      <w:r w:rsidRPr="001C59A0">
        <w:rPr>
          <w:rFonts w:ascii="Arial" w:hAnsi="Arial" w:cs="Arial"/>
          <w:b/>
          <w:bCs/>
        </w:rPr>
        <w:t>Resumen Ejecutivo</w:t>
      </w:r>
      <w:bookmarkEnd w:id="3"/>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apoyar al Gobierno a enfrentar los desafíos planteados y cumplir con las metas establecidas en la agenda de energía, se ha concebido el Programa de Energía Sostenible (en adelante Programa), operación bajo la modalidad de préstamo Programático Basado en Política (PBP). El objetivo general del Programa es contribuir al mejoramiento de la productividad y sostenibilidad ambiental y social del país, a través de un proceso de reformas de políticas en el sector energético que consideren aspectos técnicos, económicos, sociales, ambientales y las necesidades e intereses nacionales y regionales. Para ello busca impulsar reformas de política conducentes a: 1) contar con normativas que promuevan y regulen el desarrollo sostenible del sector energético, 2) reducir los costos de la energía, 3) diversificar la matriz energética, 4) hacer uso eficiente de la energía, y 5) promover la integración regional energética.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En el presente informe se presenta una evaluación económica de este Programa considerando estas cinco componentes. Por sus características el Programa que se evalúa habilita y facilita el logro de algunos de los objetivos e iniciativas planteados en la política energética de Chile y plasmadas en el documento Energía 2050, resultado de un proceso participativo que se inicia con el desarrollo de la Agenda de Energía. En particular, permitirá desviar el desarrollo del sistema energético de su actual trayectoria y acercarla a la trayectoria propuesta por Energía 2050. Por ello, el enfoque de evaluación que se aplica consiste en determinar una línea base en ausencia del Programa que se evalúa, y luego establecer sus principales impactos de manera agregada respecto de esta línea base sobre precio de la energía, la matriz energética y las emisiones, tanto globales como locales. A partir de estos impactos se establecen y valorizan los beneficios esperados más relevantes del Programa. </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Una fuente de información clave para determinar tanto la Línea Base como el escenario con Programa son los antecedentes cuantitativos del proyecto MAPS desarrollado entre los años 2011 y 2015, principal referente en Chile en cuanto al desarrollo futuro del sector energético. Sus resultados, en particular referidos a la matriz energética, las opciones tecnológicas y de mitigación, los costos de las mismas y las emisiones de gases de efecto invernadero son ampliamente aceptados y se han utilizado como base de diversas evaluaciones.  Estos antecedentes se han complementado con otras fuentes de información, en particular los Análisis General de Impacto Económico y Social (AGIES) desarrollados por el Ministerio de Medio Ambiente. </w:t>
      </w:r>
    </w:p>
    <w:p w:rsidR="00C419B8" w:rsidRPr="001C59A0" w:rsidRDefault="00C419B8" w:rsidP="00C419B8">
      <w:pPr>
        <w:spacing w:after="100" w:afterAutospacing="1"/>
        <w:jc w:val="both"/>
        <w:rPr>
          <w:rFonts w:ascii="Arial" w:hAnsi="Arial" w:cs="Arial"/>
          <w:b/>
          <w:sz w:val="22"/>
          <w:szCs w:val="22"/>
          <w:lang w:val="es-CO"/>
        </w:rPr>
      </w:pPr>
      <w:r w:rsidRPr="001C59A0">
        <w:rPr>
          <w:rFonts w:ascii="Arial" w:hAnsi="Arial" w:cs="Arial"/>
          <w:b/>
          <w:sz w:val="22"/>
          <w:szCs w:val="22"/>
          <w:lang w:val="es-CO"/>
        </w:rPr>
        <w:t>Línea Base</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Basado en estos antecedentes se establece la línea base para el sector de generación eléctrica para el periodo 2013-2050. Se asume que no habrá cambios significativos en las tendencias observadas de demanda y generación, que las demandas sectoriales dependen del desarrollo esperado de cada sector demandante sin cambios estructurales ni de política relevantes, y que la generación queda determinada por la evolución esperada del parque generador fundamentalmente en base a costos. Ninguna de las medidas propuestas en el Programa han sido consideradas en esta Línea Base, excepto la de integración de los sistemas SIC-SING la que debe realizarse por necesidades técnicas el año 2019. Así, la Línea Base no considera el</w:t>
      </w:r>
      <w:r w:rsidRPr="001C59A0">
        <w:rPr>
          <w:rFonts w:ascii="Arial" w:hAnsi="Arial" w:cs="Arial"/>
          <w:sz w:val="20"/>
          <w:szCs w:val="22"/>
          <w:lang w:val="es-CO"/>
        </w:rPr>
        <w:t xml:space="preserve"> </w:t>
      </w:r>
      <w:r w:rsidRPr="001C59A0">
        <w:rPr>
          <w:rFonts w:ascii="Arial" w:hAnsi="Arial" w:cs="Arial"/>
          <w:sz w:val="22"/>
          <w:lang w:val="es-CO"/>
        </w:rPr>
        <w:t>desarrollo hídrico de gran escala</w:t>
      </w:r>
      <w:r w:rsidRPr="001C59A0">
        <w:rPr>
          <w:rFonts w:ascii="Arial" w:hAnsi="Arial" w:cs="Arial"/>
          <w:sz w:val="22"/>
          <w:szCs w:val="22"/>
          <w:lang w:val="es-CO"/>
        </w:rPr>
        <w:t>, la interconexión regional o la energía nuclear.</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lastRenderedPageBreak/>
        <w:t>Demanda Eléctrica Proyectada para Escenario de Crecimiento Medio: 2013-2050.</w:t>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noProof/>
          <w:sz w:val="22"/>
          <w:szCs w:val="22"/>
        </w:rPr>
        <w:drawing>
          <wp:inline distT="0" distB="0" distL="0" distR="0" wp14:anchorId="6962AF28" wp14:editId="09E68A8B">
            <wp:extent cx="2841125" cy="1764484"/>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002" cy="1809123"/>
                    </a:xfrm>
                    <a:prstGeom prst="rect">
                      <a:avLst/>
                    </a:prstGeom>
                    <a:noFill/>
                  </pic:spPr>
                </pic:pic>
              </a:graphicData>
            </a:graphic>
          </wp:inline>
        </w:drawing>
      </w:r>
      <w:r w:rsidRPr="001C59A0">
        <w:rPr>
          <w:rFonts w:ascii="Arial" w:hAnsi="Arial" w:cs="Arial"/>
          <w:bCs/>
          <w:noProof/>
          <w:sz w:val="22"/>
          <w:szCs w:val="22"/>
        </w:rPr>
        <w:drawing>
          <wp:inline distT="0" distB="0" distL="0" distR="0" wp14:anchorId="6C5DB762" wp14:editId="62510FFA">
            <wp:extent cx="2660454" cy="1772783"/>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999" cy="1815792"/>
                    </a:xfrm>
                    <a:prstGeom prst="rect">
                      <a:avLst/>
                    </a:prstGeom>
                    <a:noFill/>
                  </pic:spPr>
                </pic:pic>
              </a:graphicData>
            </a:graphic>
          </wp:inline>
        </w:drawing>
      </w:r>
      <w:r w:rsidRPr="001C59A0">
        <w:rPr>
          <w:rFonts w:ascii="Arial" w:hAnsi="Arial" w:cs="Arial"/>
          <w:bCs/>
          <w:sz w:val="22"/>
          <w:szCs w:val="22"/>
          <w:lang w:val="es-CO"/>
        </w:rPr>
        <w:t>Fuente: MAPS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resultados cuantitativos se presentan en la figura siguiente por sistema (SIC y SING). Entre el 2013 y 2030 la demanda eléctrica se duplica, y al 2050 aumenta por un factor de 2,8, llegando a 181 mil GWh. El mayor aumento será del SIC cuya demanda por energía llegará el 2050 a 135 mil GWh representando un 75% del total. El sector industrial y minero aumenta su consumo de energía en 148% en el periodo y su demanda corresponde el año 2050 al 60% del total. El segundo sector más importante es CPR, llegando al 38% el 2050.</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Porcentaje de la Energía Generada Por Tipo de Fuente a Nivel Nacional: 2013-2050.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lastRenderedPageBreak/>
        <w:drawing>
          <wp:inline distT="0" distB="0" distL="0" distR="0" wp14:anchorId="5ADEE0E1" wp14:editId="336609A1">
            <wp:extent cx="4225647" cy="259177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2240" cy="2595814"/>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 en base a MAPS</w:t>
      </w:r>
    </w:p>
    <w:p w:rsidR="00C419B8" w:rsidRPr="001C59A0" w:rsidRDefault="00C419B8" w:rsidP="00C419B8">
      <w:pPr>
        <w:spacing w:after="100" w:afterAutospacing="1"/>
        <w:ind w:left="720" w:firstLine="720"/>
        <w:jc w:val="center"/>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sz w:val="22"/>
          <w:szCs w:val="22"/>
          <w:lang w:val="es-CO"/>
        </w:rPr>
        <w:t>La composición de la generación resultante por tipo de fuente a nivel nacional resultante de este escenario tendencial se presenta en la figura. El carbón incrementa su importancia pasando del 42% el 2013 al 44% el 2030 y aunque retrocede a un 30% el año 2050 mantiene una participación muy importante. La energía hídrica de gran escala pierde importancia relativa y es reemplazada en parte por aumentos relativos ERNC.</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p>
    <w:p w:rsidR="00C419B8" w:rsidRPr="001C59A0" w:rsidRDefault="00C419B8" w:rsidP="00C419B8">
      <w:pPr>
        <w:spacing w:after="100" w:afterAutospacing="1"/>
        <w:jc w:val="both"/>
        <w:rPr>
          <w:rFonts w:ascii="Arial" w:hAnsi="Arial" w:cs="Arial"/>
          <w:b/>
          <w:sz w:val="22"/>
          <w:szCs w:val="22"/>
          <w:lang w:val="es-CO"/>
        </w:rPr>
      </w:pPr>
      <w:r w:rsidRPr="001C59A0">
        <w:rPr>
          <w:rFonts w:ascii="Arial" w:hAnsi="Arial" w:cs="Arial"/>
          <w:b/>
          <w:sz w:val="22"/>
          <w:szCs w:val="22"/>
          <w:lang w:val="es-CO"/>
        </w:rPr>
        <w:t xml:space="preserve">Escenario con Programa e Impactos </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sz w:val="22"/>
          <w:szCs w:val="22"/>
          <w:lang w:val="es-CO"/>
        </w:rPr>
        <w:t xml:space="preserve">La plena ejecución de las cinco componentes del Programa permitirá desviar el desarrollo del sistema energético de su actual trayectoria hacia una de menores costos de la energía, con una matriz energética con más energía renovable, y de menores emisiones locales y globales. Para determinar cuantitativamente estos impactos del Programa sobre la demanda y matriz energética se utiliza el escenario MAPS de esfuerzo medio, por su similitud con éste. En efecto, debido a la cercanía en el tiempo de Energía 2050 y MAPS hay una correspondencia cercana entre muchas de las iniciativas evaluadas cuantitativamente en MAPS y las que se requieren para cumplir con los objetivos de la Política Energética, que a su vez son apoyadas por el Programa.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sz w:val="22"/>
          <w:szCs w:val="22"/>
          <w:lang w:val="es-CO"/>
        </w:rPr>
        <w:t>Por otra parte, para determinar el efecto del Programa sobre las tarifas a usuarios finales se ha estimado primero el impacto del Programa sobre las tarifas de generación. Para ello se asume que en el largo plazo el precio converge a la suma de los costos de operación más el costo financiero de la inversión en el sector. Se asume que esta convergencia es paulatina al ir aumentando la competencia en el sector y reflejar esto en los nuevos contratos. Luego se suman los costos de transmisión y distribución.</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sz w:val="22"/>
          <w:szCs w:val="22"/>
          <w:lang w:val="es-CO"/>
        </w:rPr>
        <w:t>Al comparar la línea base de desarrollo del sector eléctrico 2015-2050 con este escenario con Programa, se proyectan los siguientes impactos:</w:t>
      </w:r>
    </w:p>
    <w:p w:rsidR="00C419B8" w:rsidRPr="001C59A0" w:rsidRDefault="00C419B8" w:rsidP="00C419B8">
      <w:pPr>
        <w:pStyle w:val="ListParagraph"/>
        <w:numPr>
          <w:ilvl w:val="0"/>
          <w:numId w:val="23"/>
        </w:numPr>
        <w:spacing w:after="100" w:afterAutospacing="1"/>
        <w:jc w:val="both"/>
        <w:rPr>
          <w:rFonts w:ascii="Arial" w:hAnsi="Arial" w:cs="Arial"/>
          <w:lang w:val="es-CO"/>
        </w:rPr>
      </w:pPr>
      <w:r w:rsidRPr="001C59A0">
        <w:rPr>
          <w:rFonts w:ascii="Arial" w:hAnsi="Arial" w:cs="Arial"/>
          <w:lang w:val="es-CO"/>
        </w:rPr>
        <w:t>Impacto en la demanda de energía eléctrica</w:t>
      </w:r>
    </w:p>
    <w:p w:rsidR="00C419B8" w:rsidRPr="001C59A0" w:rsidRDefault="00C419B8" w:rsidP="00C419B8">
      <w:pPr>
        <w:spacing w:after="100" w:afterAutospacing="1"/>
        <w:ind w:left="360"/>
        <w:jc w:val="both"/>
        <w:rPr>
          <w:rFonts w:ascii="Arial" w:hAnsi="Arial" w:cs="Arial"/>
          <w:sz w:val="22"/>
          <w:szCs w:val="22"/>
          <w:lang w:val="es-CO"/>
        </w:rPr>
      </w:pPr>
      <w:r w:rsidRPr="001C59A0">
        <w:rPr>
          <w:rFonts w:ascii="Arial" w:hAnsi="Arial" w:cs="Arial"/>
          <w:bCs/>
          <w:sz w:val="22"/>
          <w:szCs w:val="22"/>
          <w:lang w:val="es-CO"/>
        </w:rPr>
        <w:lastRenderedPageBreak/>
        <w:t>La demanda total de energía en ambos sistemas se reduce un 3,8% al año 2019, un 6,9% el 2030, llegando a un 8,6% el 2050. Esto último significa un ahorro de casi 16 mil GWh ese año. A pesar de que, en términos absolutos, el mayor ahorro se produce en el SIC, con casi 10 mil GWh el año 2050, es en el SING donde se logra una mayor reducción en términos porcentuales representando un 13,6% de la demanda de la línea base de ese sistema.</w:t>
      </w:r>
    </w:p>
    <w:p w:rsidR="00C419B8" w:rsidRPr="001C59A0" w:rsidRDefault="00C419B8" w:rsidP="00C419B8">
      <w:pPr>
        <w:pStyle w:val="ListParagraph"/>
        <w:numPr>
          <w:ilvl w:val="0"/>
          <w:numId w:val="23"/>
        </w:numPr>
        <w:spacing w:after="100" w:afterAutospacing="1"/>
        <w:jc w:val="both"/>
        <w:rPr>
          <w:rFonts w:ascii="Arial" w:hAnsi="Arial" w:cs="Arial"/>
        </w:rPr>
      </w:pPr>
      <w:r w:rsidRPr="001C59A0">
        <w:rPr>
          <w:rFonts w:ascii="Arial" w:hAnsi="Arial" w:cs="Arial"/>
        </w:rPr>
        <w:t>Impacto en la matriz energética</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t>La generación total de electricidad disminuye en línea con lo que sucede con la demanda eléctrica. Además, como se observa en la siguiente figura el año 2030 se logra un 30% de ERNC, llegando a un 39% el año 2050. Por otra parte, la energía proveniente de centrales hidro convencionales sumadas a las ERNC pasan a ser de gran importancia. Así, la generación por energías renovables alcanza un 47% del total el año 2019, lo que aumenta a un 74% el 2030, llegando a un 84% el 2050. Esto permite alcanzar las metas establecidas en la política energética 2050, situación que no se da en la Línea Base.</w:t>
      </w:r>
    </w:p>
    <w:p w:rsidR="00C419B8" w:rsidRPr="001C59A0" w:rsidRDefault="00C419B8" w:rsidP="00C419B8">
      <w:pPr>
        <w:spacing w:after="100" w:afterAutospacing="1"/>
        <w:ind w:left="360"/>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color w:val="000000"/>
          <w:sz w:val="22"/>
          <w:szCs w:val="22"/>
          <w:lang w:val="es-CO"/>
        </w:rPr>
        <w:t>Porcentaje de la Energía Generada Por Tipo de Fuente a Nivel Nacional: 2013-2050.</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6C8C42EC" wp14:editId="5BF044FA">
            <wp:extent cx="4219315" cy="22669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6772" cy="2287075"/>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 en base a MAPS</w:t>
      </w:r>
    </w:p>
    <w:p w:rsidR="00C419B8" w:rsidRPr="001C59A0" w:rsidRDefault="00C419B8" w:rsidP="00C419B8">
      <w:pPr>
        <w:pStyle w:val="ListParagraph"/>
        <w:numPr>
          <w:ilvl w:val="0"/>
          <w:numId w:val="23"/>
        </w:numPr>
        <w:spacing w:after="100" w:afterAutospacing="1"/>
        <w:jc w:val="both"/>
        <w:rPr>
          <w:rFonts w:ascii="Arial" w:hAnsi="Arial" w:cs="Arial"/>
        </w:rPr>
      </w:pPr>
      <w:r w:rsidRPr="001C59A0">
        <w:rPr>
          <w:rFonts w:ascii="Arial" w:hAnsi="Arial" w:cs="Arial"/>
        </w:rPr>
        <w:t>Impacto en las Tarifas</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t>A pesar de un leve aumento en los costos de generación asociados a una matriz energética con más energía renovable, la mayor competencia lleva a una reducción importante en las tarifas de generación</w:t>
      </w:r>
      <w:r w:rsidRPr="001C59A0">
        <w:rPr>
          <w:rStyle w:val="FootnoteReference"/>
          <w:rFonts w:ascii="Arial" w:hAnsi="Arial" w:cs="Arial"/>
          <w:bCs/>
          <w:sz w:val="22"/>
          <w:szCs w:val="22"/>
        </w:rPr>
        <w:footnoteReference w:id="9"/>
      </w:r>
      <w:r w:rsidRPr="001C59A0">
        <w:rPr>
          <w:rFonts w:ascii="Arial" w:hAnsi="Arial" w:cs="Arial"/>
          <w:bCs/>
          <w:sz w:val="22"/>
          <w:szCs w:val="22"/>
          <w:lang w:val="es-CO"/>
        </w:rPr>
        <w:t xml:space="preserve"> y en consecuencia a usuarios. Esta última reducción es de 20% para hogares y pequeño comercio al 2030 y casi 23% al 2050. </w:t>
      </w:r>
      <w:r w:rsidRPr="001C59A0">
        <w:rPr>
          <w:rFonts w:ascii="Arial" w:hAnsi="Arial" w:cs="Arial"/>
          <w:bCs/>
          <w:sz w:val="22"/>
          <w:szCs w:val="22"/>
          <w:lang w:val="es-CO"/>
        </w:rPr>
        <w:lastRenderedPageBreak/>
        <w:t>Para grandes consumidores esta reducción es de 25% para el 2030 y 28% al 2050. Estas diferencias se observan en los siguientes gráficos.</w:t>
      </w:r>
    </w:p>
    <w:p w:rsidR="00C419B8" w:rsidRPr="001C59A0" w:rsidRDefault="00C419B8" w:rsidP="00C419B8">
      <w:pPr>
        <w:autoSpaceDE w:val="0"/>
        <w:autoSpaceDN w:val="0"/>
        <w:adjustRightInd w:val="0"/>
        <w:spacing w:after="100" w:afterAutospacing="1"/>
        <w:jc w:val="center"/>
        <w:rPr>
          <w:rFonts w:ascii="Arial" w:hAnsi="Arial" w:cs="Arial"/>
          <w:bCs/>
          <w:sz w:val="22"/>
          <w:szCs w:val="22"/>
          <w:highlight w:val="yellow"/>
        </w:rPr>
      </w:pPr>
      <w:r w:rsidRPr="001C59A0">
        <w:rPr>
          <w:rFonts w:ascii="Arial" w:hAnsi="Arial" w:cs="Arial"/>
          <w:bCs/>
          <w:noProof/>
          <w:sz w:val="22"/>
          <w:szCs w:val="22"/>
          <w:lang w:val="es-CO"/>
        </w:rPr>
        <w:t xml:space="preserve">Evolución de tarifas con y sin competencia. </w:t>
      </w:r>
      <w:r w:rsidRPr="001C59A0">
        <w:rPr>
          <w:rFonts w:ascii="Arial" w:hAnsi="Arial" w:cs="Arial"/>
          <w:bCs/>
          <w:noProof/>
          <w:sz w:val="22"/>
          <w:szCs w:val="22"/>
        </w:rPr>
        <w:t>2016-2050</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2B932495" wp14:editId="46EF21F9">
            <wp:extent cx="3009900" cy="1903693"/>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1903693"/>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5EF72FFC" wp14:editId="4BF8D147">
            <wp:extent cx="3492000" cy="221148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000" cy="2211480"/>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23817EDD" wp14:editId="39ECB79B">
            <wp:extent cx="3492000" cy="200530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2000" cy="2005304"/>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p>
    <w:p w:rsidR="00C419B8" w:rsidRPr="001C59A0" w:rsidRDefault="00C419B8" w:rsidP="00C419B8">
      <w:pPr>
        <w:pStyle w:val="ListParagraph"/>
        <w:numPr>
          <w:ilvl w:val="0"/>
          <w:numId w:val="23"/>
        </w:numPr>
        <w:spacing w:after="100" w:afterAutospacing="1"/>
        <w:jc w:val="both"/>
        <w:rPr>
          <w:rFonts w:ascii="Arial" w:hAnsi="Arial" w:cs="Arial"/>
        </w:rPr>
      </w:pPr>
      <w:r w:rsidRPr="001C59A0">
        <w:rPr>
          <w:rFonts w:ascii="Arial" w:hAnsi="Arial" w:cs="Arial"/>
        </w:rPr>
        <w:t>Impacto en Emisiones</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lastRenderedPageBreak/>
        <w:t>El cambio en la matriz energética reduce las emisiones de gases de efecto invernadero. Este cambio, en conjunto con el reemplazo de calefacción a leña reduce también las emisiones de material particulado. Respecto de las emisiones de GEI, a partir del 2020, estas disminuyen con el Programa de manera significativa como se observa en la figura llegando a casi un 50% de reducción para los años 2030 y 2050. Esto equivale a una disminución de 29 y 23 millones de toneladas anuales respectivamente. Esta reducción se explica principalmente por el reemplazo de la generación térmica a carbón por energías renovables y por la menor demanda eléctrica.</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sz w:val="22"/>
          <w:szCs w:val="22"/>
          <w:lang w:val="es-CO"/>
        </w:rPr>
        <w:t xml:space="preserve">Las emisiones de </w:t>
      </w:r>
      <w:r w:rsidRPr="001C59A0">
        <w:rPr>
          <w:rFonts w:ascii="Arial" w:hAnsi="Arial" w:cs="Arial"/>
          <w:bCs/>
          <w:sz w:val="22"/>
          <w:szCs w:val="22"/>
          <w:lang w:val="es-CO"/>
        </w:rPr>
        <w:t>material particulado de centrales también disminuyen respecto de la línea base al cambiar la matriz energética. En ésta, las emisiones totales aumentan de 5 mil tons. el año 2015 a un peak de 7,6 mil tons. el 2030, quedando luego en 6,7 mil tons. el año 2050. Con Programa, se proyecta que éstas disminuyen de una forma relativamente continua hasta llegar a aproximadamente 3,3 mil tons. en el 2050, con una reducción para los años 2030 y 2050, de cerca de 3, 5 mil ton/año. A esto se agregan reducciones de 0,6 tons el año 2030 y 0,7 tons. el 2050 por reemplazo de calefacción a leña.</w:t>
      </w:r>
    </w:p>
    <w:p w:rsidR="00C419B8" w:rsidRPr="001C59A0" w:rsidRDefault="00C419B8" w:rsidP="00C419B8">
      <w:pPr>
        <w:spacing w:after="100" w:afterAutospacing="1"/>
        <w:ind w:left="360"/>
        <w:jc w:val="center"/>
        <w:rPr>
          <w:rFonts w:ascii="Arial" w:hAnsi="Arial" w:cs="Arial"/>
          <w:bCs/>
          <w:sz w:val="22"/>
          <w:szCs w:val="22"/>
          <w:lang w:val="es-CO"/>
        </w:rPr>
      </w:pPr>
      <w:r w:rsidRPr="001C59A0">
        <w:rPr>
          <w:rFonts w:ascii="Arial" w:hAnsi="Arial" w:cs="Arial"/>
          <w:color w:val="000000"/>
          <w:sz w:val="22"/>
          <w:szCs w:val="22"/>
          <w:lang w:val="es-CO"/>
        </w:rPr>
        <w:t>Evolución emisiones CO2 sector generación 2013 - 2050</w:t>
      </w:r>
    </w:p>
    <w:p w:rsidR="00C419B8" w:rsidRPr="001C59A0" w:rsidRDefault="00C419B8" w:rsidP="00C419B8">
      <w:pPr>
        <w:spacing w:after="100" w:afterAutospacing="1"/>
        <w:ind w:left="360"/>
        <w:jc w:val="center"/>
        <w:rPr>
          <w:rFonts w:ascii="Arial" w:hAnsi="Arial" w:cs="Arial"/>
          <w:bCs/>
          <w:sz w:val="22"/>
          <w:szCs w:val="22"/>
        </w:rPr>
      </w:pPr>
      <w:r w:rsidRPr="001C59A0">
        <w:rPr>
          <w:rFonts w:ascii="Arial" w:hAnsi="Arial" w:cs="Arial"/>
          <w:noProof/>
          <w:color w:val="000000"/>
          <w:sz w:val="22"/>
          <w:szCs w:val="22"/>
        </w:rPr>
        <w:drawing>
          <wp:inline distT="0" distB="0" distL="0" distR="0" wp14:anchorId="494C8E8C" wp14:editId="19057784">
            <wp:extent cx="3708000" cy="2026786"/>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8000" cy="2026786"/>
                    </a:xfrm>
                    <a:prstGeom prst="rect">
                      <a:avLst/>
                    </a:prstGeom>
                    <a:noFill/>
                  </pic:spPr>
                </pic:pic>
              </a:graphicData>
            </a:graphic>
          </wp:inline>
        </w:drawing>
      </w:r>
    </w:p>
    <w:p w:rsidR="00C419B8" w:rsidRPr="001C59A0" w:rsidRDefault="00C419B8" w:rsidP="00C419B8">
      <w:pPr>
        <w:spacing w:after="100" w:afterAutospacing="1"/>
        <w:ind w:left="1080" w:firstLine="360"/>
        <w:jc w:val="center"/>
        <w:rPr>
          <w:rFonts w:ascii="Arial" w:hAnsi="Arial" w:cs="Arial"/>
          <w:sz w:val="22"/>
          <w:szCs w:val="22"/>
          <w:lang w:val="es-CO"/>
        </w:rPr>
      </w:pPr>
      <w:r w:rsidRPr="001C59A0">
        <w:rPr>
          <w:rFonts w:ascii="Arial" w:hAnsi="Arial" w:cs="Arial"/>
          <w:sz w:val="22"/>
          <w:szCs w:val="22"/>
          <w:lang w:val="es-CO"/>
        </w:rPr>
        <w:t>Fuente: MAPS</w:t>
      </w:r>
    </w:p>
    <w:p w:rsidR="00C419B8" w:rsidRPr="001C59A0" w:rsidRDefault="00C419B8" w:rsidP="00C419B8">
      <w:pPr>
        <w:spacing w:after="100" w:afterAutospacing="1"/>
        <w:ind w:left="1080" w:firstLine="360"/>
        <w:jc w:val="center"/>
        <w:rPr>
          <w:rFonts w:ascii="Arial" w:hAnsi="Arial" w:cs="Arial"/>
          <w:sz w:val="22"/>
          <w:szCs w:val="22"/>
          <w:lang w:val="es-CO"/>
        </w:rPr>
      </w:pPr>
    </w:p>
    <w:p w:rsidR="00C419B8" w:rsidRPr="001C59A0" w:rsidRDefault="00C419B8" w:rsidP="00C419B8">
      <w:pPr>
        <w:spacing w:after="100" w:afterAutospacing="1"/>
        <w:jc w:val="both"/>
        <w:rPr>
          <w:rFonts w:ascii="Arial" w:hAnsi="Arial" w:cs="Arial"/>
          <w:b/>
          <w:sz w:val="22"/>
          <w:szCs w:val="22"/>
          <w:lang w:val="es-CO"/>
        </w:rPr>
      </w:pPr>
      <w:r w:rsidRPr="001C59A0">
        <w:rPr>
          <w:rFonts w:ascii="Arial" w:hAnsi="Arial" w:cs="Arial"/>
          <w:b/>
          <w:sz w:val="22"/>
          <w:szCs w:val="22"/>
          <w:lang w:val="es-CO"/>
        </w:rPr>
        <w:t>Beneficios del Programa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impactos señalados generan beneficios para el conjunto de la sociedad que se pueden valorizar. Por una parte, la reducción de emisiones de GEI tiene un precio de mercado que se utiliza para valorarlas. Las reducciones de emisiones de material particulado generan beneficios en salud, tanto por reducción de mortalidad como mortalidad que se estiman y valoran, utilizando antecedentes que la propia autoridad nacional ha utilizado en evaluaciones similares.</w:t>
      </w:r>
    </w:p>
    <w:p w:rsidR="00C419B8" w:rsidRPr="001C59A0" w:rsidRDefault="00C419B8" w:rsidP="00C419B8">
      <w:pPr>
        <w:spacing w:after="100" w:afterAutospacing="1"/>
        <w:jc w:val="both"/>
        <w:rPr>
          <w:rFonts w:ascii="Arial" w:hAnsi="Arial" w:cs="Arial"/>
          <w:bCs/>
          <w:sz w:val="22"/>
          <w:szCs w:val="22"/>
        </w:rPr>
      </w:pPr>
      <w:r w:rsidRPr="001C59A0">
        <w:rPr>
          <w:rFonts w:ascii="Arial" w:hAnsi="Arial" w:cs="Arial"/>
          <w:bCs/>
          <w:sz w:val="22"/>
          <w:szCs w:val="22"/>
          <w:lang w:val="es-CO"/>
        </w:rPr>
        <w:t xml:space="preserve">Cabe señalar que los resultados son conservadores. Por una parte, cuando la información no permite estimar un valor único, se ha utilizado el más conservador respecto de los beneficios. Por otra parte, hay un conjunto de beneficios que no se han evaluado. </w:t>
      </w:r>
      <w:r w:rsidRPr="001C59A0">
        <w:rPr>
          <w:rFonts w:ascii="Arial" w:hAnsi="Arial" w:cs="Arial"/>
          <w:bCs/>
          <w:sz w:val="22"/>
          <w:szCs w:val="22"/>
        </w:rPr>
        <w:t>Estos incluyen:</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lastRenderedPageBreak/>
        <w:t>Mayor competitividad de las industrias debido al menor gasto en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Reducción de emisiones directas de la generación de otros contaminantes como óxidos de nitrógeno, óxidos de azufre, metales, etc;</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Beneficio por reducción de emisiones por uso de calefacción a leña en ciudades no consideradas;</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Beneficio por mayor disponibilidad de ingreso en quintiles más vulnerables debido a menor gasto en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Menores costos de desarrollo de proyectos energéticos producto de menos conflictos sociales asociado a desarrollo de matriz más limpia y a la participación de la sociedad en la elaboración de la política energética;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Menos riesgos en el desarrollo de proyectos productivos debido a menor incertidumbre en disponibilidad y tarifa de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lang w:val="es-CO"/>
        </w:rPr>
        <w:t>Mantener la condición de país de bajo riesgo para las inversiones externas y ser sujeto para los programas que se desarrollen para apoyar la incorporación de nuevas tecnologías para mitigar o adaptarse al cambio climático, producto del cumplimiento de los compromisos de reducción de emisiones GEI.</w:t>
      </w:r>
    </w:p>
    <w:p w:rsidR="00C419B8" w:rsidRPr="001C59A0" w:rsidRDefault="00C419B8" w:rsidP="00C419B8">
      <w:pPr>
        <w:spacing w:after="160" w:line="259" w:lineRule="auto"/>
        <w:jc w:val="both"/>
        <w:rPr>
          <w:rFonts w:ascii="Arial" w:eastAsia="Calibri" w:hAnsi="Arial" w:cs="Arial"/>
          <w:sz w:val="22"/>
          <w:lang w:val="es-CO"/>
        </w:rPr>
      </w:pPr>
      <w:r w:rsidRPr="001C59A0">
        <w:rPr>
          <w:rFonts w:ascii="Arial" w:hAnsi="Arial" w:cs="Arial"/>
          <w:bCs/>
          <w:sz w:val="22"/>
          <w:szCs w:val="22"/>
          <w:lang w:val="es-CO"/>
        </w:rPr>
        <w:t xml:space="preserve">Debido al riesgo que el Programa no sea tan exitoso, por ejemplo, que no sea posible generar el </w:t>
      </w:r>
      <w:r w:rsidRPr="001C59A0">
        <w:rPr>
          <w:rFonts w:ascii="Arial" w:hAnsi="Arial" w:cs="Arial"/>
          <w:sz w:val="22"/>
          <w:lang w:val="es-CO"/>
        </w:rPr>
        <w:t>desarrollo hídrico de gran escala</w:t>
      </w:r>
      <w:r w:rsidRPr="001C59A0">
        <w:rPr>
          <w:rFonts w:ascii="Arial" w:hAnsi="Arial" w:cs="Arial"/>
          <w:bCs/>
          <w:sz w:val="22"/>
          <w:szCs w:val="22"/>
          <w:lang w:val="es-CO"/>
        </w:rPr>
        <w:t>, que la penetración de ERNC sea menor a la estimada, que no se logre la competencia en generación esperada o que no se materialice las transacciones interregionales. Se ha evaluado un escenario de esfuerzo bajo desarrollado también por el proyecto MAPS</w:t>
      </w:r>
      <w:r w:rsidRPr="001C59A0">
        <w:rPr>
          <w:rStyle w:val="FootnoteReference"/>
          <w:rFonts w:ascii="Arial" w:hAnsi="Arial" w:cs="Arial"/>
          <w:bCs/>
          <w:sz w:val="22"/>
          <w:szCs w:val="22"/>
        </w:rPr>
        <w:footnoteReference w:id="10"/>
      </w:r>
      <w:r w:rsidRPr="001C59A0">
        <w:rPr>
          <w:rFonts w:ascii="Arial" w:hAnsi="Arial" w:cs="Arial"/>
          <w:bCs/>
          <w:sz w:val="22"/>
          <w:szCs w:val="22"/>
          <w:lang w:val="es-CO"/>
        </w:rPr>
        <w:t xml:space="preserve"> que </w:t>
      </w:r>
      <w:r w:rsidRPr="001C59A0">
        <w:rPr>
          <w:rFonts w:ascii="Arial" w:eastAsia="Calibri" w:hAnsi="Arial" w:cs="Arial"/>
          <w:sz w:val="22"/>
          <w:lang w:val="es-CO"/>
        </w:rPr>
        <w:t>se caracteriza por incluir solamente medidas catalogadas como de bajo costo de implementación y alta factibilidad de concreción.</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siguiente cuadro presenta el rango de estos beneficios. El valor actual de los beneficios ambientales a una tasa de 6% (12%) que corresponde al utilizado por el Ministerio de Desarrollo Social de Chile (BID) es de entre 1.194 y 2.712 millones de dólares (603 y 1.286 millones de dólares).</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eastAsia="Calibri" w:hAnsi="Arial" w:cs="Arial"/>
          <w:sz w:val="22"/>
          <w:szCs w:val="22"/>
          <w:lang w:val="es-CO"/>
        </w:rPr>
        <w:t xml:space="preserve">Resumen de beneficios ambientales en escenario de esfuerzo medio </w:t>
      </w:r>
    </w:p>
    <w:tbl>
      <w:tblPr>
        <w:tblStyle w:val="TableGrid"/>
        <w:tblW w:w="0" w:type="auto"/>
        <w:jc w:val="center"/>
        <w:tblLook w:val="04A0" w:firstRow="1" w:lastRow="0" w:firstColumn="1" w:lastColumn="0" w:noHBand="0" w:noVBand="1"/>
      </w:tblPr>
      <w:tblGrid>
        <w:gridCol w:w="2972"/>
        <w:gridCol w:w="2268"/>
      </w:tblGrid>
      <w:tr w:rsidR="00C419B8" w:rsidRPr="00EF4F23" w:rsidTr="00DE4B10">
        <w:trPr>
          <w:trHeight w:val="454"/>
          <w:jc w:val="center"/>
        </w:trPr>
        <w:tc>
          <w:tcPr>
            <w:tcW w:w="2972"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268"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(US$ Millones)</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CO2</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732 a 2.101</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MP</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89 a 238</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Calefacción MP</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373</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beneficios ambientales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1194 a 2.712</w:t>
            </w:r>
          </w:p>
        </w:tc>
      </w:tr>
    </w:tbl>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Otro beneficio importante es la reducción en el gasto energético tanto de los hogares como de las empresas, debido a las menores tarifas. Esto es fundamentalmente una transferencia desde el sector generación hacia estos otros sectores. Los resultados finales se presentan en el cuadro siguiente. Los hogares pueden reducir su gasto energético en el periodo 2015-2050 entre 1.439 y 2.334 millones de dólares. Ello significa ahorros anuales que varían por año desde 16 a 282 dólares. Considerando que el quintil de más bajos ingresos, tiene un gasto anual en electricidad (al año 2012) de aproximadamente 240 dólares, ello implicaría para una situación similar una reducción en su gasto en electricidad de aproximadamente un 7% y un 0,4% respecto del gasto total del hogar. Por otra parte, el valor presente de reducción en el gasto energético de empresas para el periodo sería de entre 18,1 y 48,6 mil millones de dólares. Esto corresponde a cerca del 0,7% del PIB cada año a partir del año 2025. Por cierto, esta reducción de costos aumenta la competitividad de los productos nacionales lo que sería un beneficio adicional al permitir aumentar la producción y venta de estos productos.</w:t>
      </w:r>
    </w:p>
    <w:p w:rsidR="00C419B8" w:rsidRPr="001C59A0" w:rsidRDefault="00C419B8" w:rsidP="00C419B8">
      <w:pPr>
        <w:spacing w:after="100" w:afterAutospacing="1"/>
        <w:jc w:val="both"/>
        <w:rPr>
          <w:rFonts w:ascii="Arial" w:eastAsia="Calibri" w:hAnsi="Arial" w:cs="Arial"/>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eastAsia="Calibri" w:hAnsi="Arial" w:cs="Arial"/>
          <w:sz w:val="22"/>
          <w:szCs w:val="22"/>
          <w:lang w:val="es-CO"/>
        </w:rPr>
        <w:t>Resumen de ahorro hogares e industrial en escenario de esfuerzo medio</w:t>
      </w:r>
    </w:p>
    <w:tbl>
      <w:tblPr>
        <w:tblStyle w:val="TableGrid"/>
        <w:tblW w:w="0" w:type="auto"/>
        <w:jc w:val="center"/>
        <w:tblLook w:val="04A0" w:firstRow="1" w:lastRow="0" w:firstColumn="1" w:lastColumn="0" w:noHBand="0" w:noVBand="1"/>
      </w:tblPr>
      <w:tblGrid>
        <w:gridCol w:w="1980"/>
        <w:gridCol w:w="2268"/>
      </w:tblGrid>
      <w:tr w:rsidR="00C419B8" w:rsidRPr="00EF4F23" w:rsidTr="00DE4B10">
        <w:trPr>
          <w:trHeight w:val="454"/>
          <w:jc w:val="center"/>
        </w:trPr>
        <w:tc>
          <w:tcPr>
            <w:tcW w:w="1980"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268"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(US$Millones)</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Hogares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1.439 y 2.334</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Industria</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18.086 y 48.586</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ahorros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19.525 y 50.920</w:t>
            </w:r>
          </w:p>
        </w:tc>
      </w:tr>
    </w:tbl>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60" w:line="259" w:lineRule="auto"/>
        <w:rPr>
          <w:rFonts w:ascii="Arial" w:hAnsi="Arial" w:cs="Arial"/>
          <w:sz w:val="22"/>
          <w:szCs w:val="22"/>
        </w:rPr>
      </w:pPr>
      <w:r w:rsidRPr="001C59A0">
        <w:rPr>
          <w:rFonts w:ascii="Arial" w:hAnsi="Arial" w:cs="Arial"/>
          <w:sz w:val="22"/>
          <w:szCs w:val="22"/>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hAnsi="Arial" w:cs="Arial"/>
          <w:b/>
          <w:bCs/>
        </w:rPr>
      </w:pPr>
      <w:bookmarkStart w:id="4" w:name="_Toc459677762"/>
      <w:r w:rsidRPr="001C59A0">
        <w:rPr>
          <w:rFonts w:ascii="Arial" w:hAnsi="Arial" w:cs="Arial"/>
          <w:b/>
          <w:bCs/>
        </w:rPr>
        <w:lastRenderedPageBreak/>
        <w:t>Introducción</w:t>
      </w:r>
      <w:bookmarkEnd w:id="4"/>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En mayo de 2014 el Gobierno anunció la Agenda de Energía, la cual apunta a un desarrollo energético confiable, sustentable, inclusivo y de precios razonables. Los pilares de la agenda son: (i) un nuevo rol del Estado; (ii) reducción de los precios de la energía con mayor competencia, eficiencia y diversificación en el mercado energético; (iii) desarrollo de recursos energéticos propios; (iv) conectividad para el desarrollo energético; (v) un sector energético eficiente y que gestione el consumo; (vi) impulso a la inversión en infraestructura energética; y (vii) participación ciudadana y ordenamiento territorial.</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La Agenda incluye como líneas de acción y metas: (i) reducir los costos marginales de electricidad del SIC; (ii) reducir los precios de las licitaciones de suministro eléctrico de la próxima década; (iii) levantar las barreras existentes para las Energías Renovables No Convencionales; (iv) fomentar el uso eficiente de la energía; (v) diseñar un sistema de estabilización de precios de los combustibles que reduzca su volatilidad; (vi) transformar a la Empresa Nacional de Petróleo (ENAP) en una empresa con protagonismo en los desafíos energéticos; y (vii) desarrollar una Política Energética de largo plazo mediante un proceso de validación participativo y regional.</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apoyar al Gobierno a enfrentar los desafíos planteados y cumplir con las metas establecidas en la agenda de energía, se ha concebido el Programa de Energía Sostenible (en adelante Programa), operación bajo la modalidad de préstamo Programático Basado en Política (PBP). El objetivo general del Programa es contribuir al mejoramiento de la productividad y sostenibilidad ambiental y social del país, a través de un proceso de reformas de políticas en el sector energético que consideren aspectos técnicos, económicos, sociales, ambientales y las necesidades e intereses nacionales y regionales. Para ello busca impulsar reformas de política conducentes a: 1) contar con normativas que promuevan y regulen el desarrollo sostenible del sector energético, 2) reducir los costos de la energía, 3) diversificar la matriz energética, 4) hacer uso eficiente de la energía, y 5) promover la integración regional energética.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En el presente informe se presenta una evaluación económica de este Programa, preparado por el consultor a petición del Banco Interamericano de Desarrollo.</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sz w:val="22"/>
          <w:szCs w:val="22"/>
          <w:lang w:val="es-CO"/>
        </w:rPr>
        <w:t>Para realizar la evaluación se estiman</w:t>
      </w:r>
      <w:r w:rsidRPr="001C59A0">
        <w:rPr>
          <w:rFonts w:ascii="Arial" w:hAnsi="Arial" w:cs="Arial"/>
          <w:bCs/>
          <w:sz w:val="22"/>
          <w:szCs w:val="22"/>
          <w:lang w:val="es-CO"/>
        </w:rPr>
        <w:t xml:space="preserve"> los principales impactos del Programa sobre tarifas, total de energía demandada y matriz energética, y emisiones tanto locales como globales.  Luego, se estiman los beneficios monetarios de algunos de estos impactos, en particular los ambientales y sobre el gasto de empresas y hogares. En la sección 3 se presenta el enfoque de evaluación utilizado consistente en establecer los impactos del Programa respecto de una Línea Base sin Programa. Se ha tomado siempre la opción más conservadora respecto de los beneficios cuando los antecedentes no permitían un valor único.</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En la sección 4 se describe la línea base utilizada para la evaluación del programa y en la sección 5 se determinan los impactos del programa en el consumo energético, las tarifas y emisiones contaminantes. Finalmente, la sección 6 contiene la valoración económica de los impactos determinados en la sección 5.</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hAnsi="Arial" w:cs="Arial"/>
          <w:b/>
          <w:bCs/>
        </w:rPr>
      </w:pPr>
      <w:bookmarkStart w:id="5" w:name="_Toc459677763"/>
      <w:r w:rsidRPr="001C59A0">
        <w:rPr>
          <w:rFonts w:ascii="Arial" w:hAnsi="Arial" w:cs="Arial"/>
          <w:b/>
          <w:bCs/>
        </w:rPr>
        <w:lastRenderedPageBreak/>
        <w:t>Enfoque de Evaluación</w:t>
      </w:r>
      <w:bookmarkEnd w:id="5"/>
      <w:r w:rsidRPr="001C59A0">
        <w:rPr>
          <w:rFonts w:ascii="Arial" w:hAnsi="Arial" w:cs="Arial"/>
          <w:b/>
          <w:bCs/>
        </w:rPr>
        <w:t xml:space="preserve"> </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Por sus características el Programa que se evalúa habilita y facilita el logro de algunos de los objetivos e iniciativas planteados en la política energética de Chile. Esta política que se plasma en el documento “Energía 2050” es el resultado de un proceso participativo que se inicia con el desarrollo de la Agenda de Energía. En esta política se definen objetivos relacionados con tarifas, incorporación de energías renovables, eficiencia energética, interconexión regional y reducción de emisiones. </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Programa por su parte busca contribuir al mejoramiento de la productividad y sostenibilidad ambiental y social del país, a través de un proceso de reformas de políticas en el sector energético. Para ello considera cinco componentes: estabilidad macroeconómica, política energética de largo plazo, desarrollo de energías renovables, apoyo a la eficiencia energética, y apoyo a la integración regional. Estas reformas son esenciales para viabilizar muchas de las inversiones –tanto privadas como públicas- requeridas por Energía 2050, al definir las políticas, normativas, estándares y lineamientos, y eliminar barreras. Con ello se les entregan señales claras a los inversionistas, aumenta la competencia y reducen los riesgos.</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sz w:val="22"/>
          <w:szCs w:val="22"/>
          <w:lang w:val="es-CO"/>
        </w:rPr>
        <w:t xml:space="preserve">El desarrollo de las cinco componentes de este Programa permitirá desviar el desarrollo del sistema energético de su actual trayectoria y acercarla a la trayectoria propuesta por Energía 2050. Por ello, el enfoque de evaluación que se aplica, y que se presenta de manera esquemática en la figura 1, consiste en determinar una línea base en ausencia del Programa que se evalúa, y luego establecer sus principales impactos de manera agregada respecto de esta línea base sobre precio de la energía, la matriz energética y las emisiones, tanto globales como locales. A partir de estos impactos se establecen los beneficios esperados del Programa. Una fuente de información clave para determinar tanto la Línea Base como el escenario con Programa son los antecedentes cuantitativos del proyecto MAPS. Este proyecto analiza varios escenarios de desarrollo del sector energético hasta el año 2050. </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Figura N°1: Enfoque de evaluación</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31C74999" wp14:editId="455F4FDE">
            <wp:extent cx="5599194" cy="1593939"/>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7412" cy="1607665"/>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both"/>
        <w:rPr>
          <w:rFonts w:ascii="Arial" w:hAnsi="Arial" w:cs="Arial"/>
          <w:bCs/>
          <w:sz w:val="22"/>
          <w:szCs w:val="22"/>
        </w:rPr>
      </w:pPr>
      <w:r w:rsidRPr="001C59A0">
        <w:rPr>
          <w:rFonts w:ascii="Arial" w:hAnsi="Arial" w:cs="Arial"/>
          <w:bCs/>
          <w:sz w:val="22"/>
          <w:szCs w:val="22"/>
          <w:lang w:val="es-CO"/>
        </w:rPr>
        <w:t xml:space="preserve">Para determinar el escenario con Programa, se analizan los compromisos establecidos en el Programa y se identifican los principales instrumentos afectados por éste.  Luego </w:t>
      </w:r>
      <w:r w:rsidRPr="001C59A0">
        <w:rPr>
          <w:rFonts w:ascii="Arial" w:hAnsi="Arial" w:cs="Arial"/>
          <w:bCs/>
          <w:sz w:val="22"/>
          <w:szCs w:val="22"/>
          <w:lang w:val="es-CO"/>
        </w:rPr>
        <w:lastRenderedPageBreak/>
        <w:t xml:space="preserve">se seleccionan los instrumentos con mayor impacto sobre las principales variables de interés y evalúan. </w:t>
      </w:r>
      <w:r w:rsidRPr="001C59A0">
        <w:rPr>
          <w:rFonts w:ascii="Arial" w:hAnsi="Arial" w:cs="Arial"/>
          <w:bCs/>
          <w:sz w:val="22"/>
          <w:szCs w:val="22"/>
        </w:rPr>
        <w:t>Esta información se utiliza para cuantificar los impactos sobre:</w:t>
      </w:r>
    </w:p>
    <w:p w:rsidR="00C419B8" w:rsidRPr="001C59A0" w:rsidRDefault="00C419B8" w:rsidP="00C419B8">
      <w:pPr>
        <w:pStyle w:val="ListParagraph"/>
        <w:numPr>
          <w:ilvl w:val="0"/>
          <w:numId w:val="21"/>
        </w:numPr>
        <w:spacing w:after="100" w:afterAutospacing="1" w:line="259" w:lineRule="auto"/>
        <w:jc w:val="both"/>
        <w:rPr>
          <w:rFonts w:ascii="Arial" w:hAnsi="Arial" w:cs="Arial"/>
          <w:bCs/>
        </w:rPr>
      </w:pPr>
      <w:r w:rsidRPr="001C59A0">
        <w:rPr>
          <w:rFonts w:ascii="Arial" w:hAnsi="Arial" w:cs="Arial"/>
          <w:bCs/>
        </w:rPr>
        <w:t xml:space="preserve">las tarifas, </w:t>
      </w:r>
    </w:p>
    <w:p w:rsidR="00C419B8" w:rsidRPr="001C59A0" w:rsidRDefault="00C419B8" w:rsidP="00C419B8">
      <w:pPr>
        <w:pStyle w:val="ListParagraph"/>
        <w:numPr>
          <w:ilvl w:val="0"/>
          <w:numId w:val="21"/>
        </w:numPr>
        <w:spacing w:after="100" w:afterAutospacing="1" w:line="259" w:lineRule="auto"/>
        <w:jc w:val="both"/>
        <w:rPr>
          <w:rFonts w:ascii="Arial" w:hAnsi="Arial" w:cs="Arial"/>
          <w:bCs/>
          <w:lang w:val="es-CO"/>
        </w:rPr>
      </w:pPr>
      <w:r w:rsidRPr="001C59A0">
        <w:rPr>
          <w:rFonts w:ascii="Arial" w:hAnsi="Arial" w:cs="Arial"/>
          <w:bCs/>
          <w:lang w:val="es-CO"/>
        </w:rPr>
        <w:t>la matriz energética, en particular el consumo de energía total y por tipo de combustible, y</w:t>
      </w:r>
    </w:p>
    <w:p w:rsidR="00C419B8" w:rsidRPr="001C59A0" w:rsidRDefault="00C419B8" w:rsidP="00C419B8">
      <w:pPr>
        <w:pStyle w:val="ListParagraph"/>
        <w:numPr>
          <w:ilvl w:val="0"/>
          <w:numId w:val="21"/>
        </w:numPr>
        <w:spacing w:after="100" w:afterAutospacing="1" w:line="259" w:lineRule="auto"/>
        <w:jc w:val="both"/>
        <w:rPr>
          <w:rFonts w:ascii="Arial" w:hAnsi="Arial" w:cs="Arial"/>
          <w:bCs/>
        </w:rPr>
      </w:pPr>
      <w:r w:rsidRPr="001C59A0">
        <w:rPr>
          <w:rFonts w:ascii="Arial" w:hAnsi="Arial" w:cs="Arial"/>
          <w:bCs/>
        </w:rPr>
        <w:t xml:space="preserve">las emisiones.  </w:t>
      </w:r>
    </w:p>
    <w:p w:rsidR="00C419B8" w:rsidRPr="001C59A0" w:rsidRDefault="00C419B8" w:rsidP="00C419B8">
      <w:pPr>
        <w:spacing w:after="100" w:afterAutospacing="1"/>
        <w:jc w:val="both"/>
        <w:rPr>
          <w:rFonts w:ascii="Arial" w:hAnsi="Arial" w:cs="Arial"/>
          <w:bCs/>
          <w:sz w:val="22"/>
          <w:lang w:val="es-CO"/>
        </w:rPr>
      </w:pPr>
      <w:r w:rsidRPr="001C59A0">
        <w:rPr>
          <w:rFonts w:ascii="Arial" w:hAnsi="Arial" w:cs="Arial"/>
          <w:bCs/>
          <w:sz w:val="22"/>
          <w:lang w:val="es-CO"/>
        </w:rPr>
        <w:t>La figura N°2, muestra un esquema de este proceso.</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 N°2: El proceso de Evaluación</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7487D6F4" wp14:editId="1A4E50A5">
            <wp:extent cx="5592337" cy="27527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2626" cy="2757790"/>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Basado en estos impactos, se establecen los principales efectos sobre los hogares, industrias y medio ambiente. Específicamente se determina el cambio en el gasto monetario en energía de los hogares y de las empresas. También se estima el cambio en las emisiones de contaminantes al aire, tanto locales (material particulado, NOx y SOx) como globales (CO</w:t>
      </w:r>
      <w:r w:rsidRPr="001C59A0">
        <w:rPr>
          <w:rFonts w:ascii="Arial" w:hAnsi="Arial" w:cs="Arial"/>
          <w:bCs/>
          <w:sz w:val="22"/>
          <w:szCs w:val="22"/>
          <w:vertAlign w:val="subscript"/>
          <w:lang w:val="es-CO"/>
        </w:rPr>
        <w:t>2</w:t>
      </w:r>
      <w:r w:rsidRPr="001C59A0">
        <w:rPr>
          <w:rFonts w:ascii="Arial" w:hAnsi="Arial" w:cs="Arial"/>
          <w:bCs/>
          <w:sz w:val="22"/>
          <w:szCs w:val="22"/>
          <w:lang w:val="es-CO"/>
        </w:rPr>
        <w:t>), distinguiendo dos fuentes para estas emisiones:</w:t>
      </w:r>
    </w:p>
    <w:p w:rsidR="00C419B8" w:rsidRPr="001C59A0" w:rsidRDefault="00C419B8" w:rsidP="00C419B8">
      <w:pPr>
        <w:pStyle w:val="ListParagraph"/>
        <w:numPr>
          <w:ilvl w:val="0"/>
          <w:numId w:val="7"/>
        </w:numPr>
        <w:spacing w:after="100" w:afterAutospacing="1"/>
        <w:ind w:left="0" w:firstLine="0"/>
        <w:jc w:val="both"/>
        <w:rPr>
          <w:rFonts w:ascii="Arial" w:hAnsi="Arial" w:cs="Arial"/>
          <w:bCs/>
          <w:lang w:val="es-CO"/>
        </w:rPr>
      </w:pPr>
      <w:r w:rsidRPr="001C59A0">
        <w:rPr>
          <w:rFonts w:ascii="Arial" w:hAnsi="Arial" w:cs="Arial"/>
          <w:bCs/>
          <w:lang w:val="es-CO"/>
        </w:rPr>
        <w:t>Emisiones directas de la generación eléctrica</w:t>
      </w:r>
    </w:p>
    <w:p w:rsidR="00C419B8" w:rsidRPr="001C59A0" w:rsidRDefault="00C419B8" w:rsidP="00C419B8">
      <w:pPr>
        <w:pStyle w:val="ListParagraph"/>
        <w:numPr>
          <w:ilvl w:val="0"/>
          <w:numId w:val="7"/>
        </w:numPr>
        <w:spacing w:after="100" w:afterAutospacing="1"/>
        <w:ind w:left="0" w:firstLine="0"/>
        <w:jc w:val="both"/>
        <w:rPr>
          <w:rFonts w:ascii="Arial" w:hAnsi="Arial" w:cs="Arial"/>
          <w:bCs/>
          <w:lang w:val="es-CO"/>
        </w:rPr>
      </w:pPr>
      <w:r w:rsidRPr="001C59A0">
        <w:rPr>
          <w:rFonts w:ascii="Arial" w:hAnsi="Arial" w:cs="Arial"/>
          <w:bCs/>
          <w:lang w:val="es-CO"/>
        </w:rPr>
        <w:t>Emisiones de la calefacción a leña en las ciudades del sur de Chile</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Finalmente, se obtiene un valor monetizado de los beneficios generados por los cambios en tarifas y consumos de los hogares. Asociado a las menores emisiones de contaminantes al aire, se valoriza su efecto sobre la salud de la población y la reducción de emisiones de CO</w:t>
      </w:r>
      <w:r w:rsidRPr="001C59A0">
        <w:rPr>
          <w:rFonts w:ascii="Arial" w:hAnsi="Arial" w:cs="Arial"/>
          <w:bCs/>
          <w:sz w:val="22"/>
          <w:szCs w:val="22"/>
          <w:vertAlign w:val="subscript"/>
          <w:lang w:val="es-CO"/>
        </w:rPr>
        <w:t>2</w:t>
      </w:r>
      <w:r w:rsidRPr="001C59A0">
        <w:rPr>
          <w:rFonts w:ascii="Arial" w:hAnsi="Arial" w:cs="Arial"/>
          <w:bCs/>
          <w:sz w:val="22"/>
          <w:szCs w:val="22"/>
          <w:lang w:val="es-CO"/>
        </w:rPr>
        <w:t xml:space="preserve">. Para el sector industrial, un beneficio sería el aumento de ventas que se podría obtener al alcanzar nuevos mercados como resultado de la mayor </w:t>
      </w:r>
      <w:r w:rsidRPr="001C59A0">
        <w:rPr>
          <w:rFonts w:ascii="Arial" w:hAnsi="Arial" w:cs="Arial"/>
          <w:bCs/>
          <w:sz w:val="22"/>
          <w:szCs w:val="22"/>
          <w:lang w:val="es-CO"/>
        </w:rPr>
        <w:lastRenderedPageBreak/>
        <w:t>competitividad que permite la reducción de costos y/o el cambio en la matriz. La figura N°3 resume lo anterior.</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 N°3: Proceso de Evaluación</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4978831D" wp14:editId="2F4AB9B7">
            <wp:extent cx="5606415" cy="275965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869" cy="2766276"/>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En la evaluación del programa, se considera como el inicio de su implementación el 1 de enero de 2015, por lo que se analizan los instrumentos implementados a partir de esa fecha. La evaluación distingue los beneficios del programa a corto, mediano y largo plazo. Los efectos de corto plazo son estimados al año 2019, los de mediano plazo al 2030 y los de largo plazo al 2050. Por otra parte, se ha optado por tomar valores conservadores de impactos o beneficios cuando la información al respecto no permite inferir un único valor.</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
          <w:bCs/>
          <w:sz w:val="22"/>
          <w:szCs w:val="22"/>
          <w:lang w:val="es-CO"/>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hAnsi="Arial" w:cs="Arial"/>
          <w:b/>
          <w:bCs/>
          <w:lang w:val="es-CO"/>
        </w:rPr>
      </w:pPr>
      <w:bookmarkStart w:id="6" w:name="_Toc459677764"/>
      <w:r w:rsidRPr="001C59A0">
        <w:rPr>
          <w:rFonts w:ascii="Arial" w:hAnsi="Arial" w:cs="Arial"/>
          <w:b/>
          <w:bCs/>
          <w:lang w:val="es-CO"/>
        </w:rPr>
        <w:lastRenderedPageBreak/>
        <w:t>Línea Base de Desarrollo del Sector Eléctrico</w:t>
      </w:r>
      <w:bookmarkEnd w:id="6"/>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En los últimos años, ha habido diversos esfuerzos para proyectar lo que sería una evolución tendencial del sector energético de Chile, es decir en ausencia de mayores cambios en políticas, y otros que buscan establecer escenarios alternativos. Cabe señalar las iniciativas de Escenarios Energéticos, MAPS-Chile, la Agenda Energética y luego Energía 2050 que entrega una Hoja de Ruta y la Política Energética. Si bien tienen objetivos diferentes, son por lo general bastante consistentes entre sí en cuanto a supuestos y las medidas que se pueden implementar en el sector energético.</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En particular el proyecto MAPS Chile que se desarrolló entre el año 2011 y 2015 entrega antecedentes cuantitativos importantes para esta evaluación. Por la amplia participación pública, privada, académica y de la sociedad civil -participaron de este proyecto cerca de 300 profesionales- y la profundidad de los estudios realizados durante su ejecución, este proyecto es el principal referente en Chile en cuanto al desarrollo futuro del sector energético, entre otros. Sus resultados, por tanto, en particular referidos a la matriz energética, las opciones tecnológicas y de mitigación, los costos de las mismas y las emisiones de gases de efecto invernadero son ampliamente aceptados y se han utilizado como base de diversas evaluaciones.  Los resultados de la segunda fase, terminada a fines de 2014, incluyen una Línea Base de emisiones de gases de efecto invernadero (GEI) 2013-2030, un conjunto de cerca de 100 medidas de mitigación, y 9 escenarios de mitigación –en la forma de agrupamientos coherentes de medidas específicas de mitigación–. También desarrolla un análisis de los efectos macroeconómicos asociados a los distintos escenarios. La tercera fase de MAPS desarrollada durante 2015 hace una estimación de los co-impactos asociados a algunas medidas de mitigación seleccionadas, y un análisis de los posibles enfoques y medidas de mitigación para el largo plazo (2030-2050). Para mayor detalle ver el sitio </w:t>
      </w:r>
      <w:hyperlink r:id="rId30" w:history="1">
        <w:r w:rsidRPr="001C59A0">
          <w:rPr>
            <w:rStyle w:val="Hyperlink"/>
            <w:rFonts w:ascii="Arial" w:hAnsi="Arial" w:cs="Arial"/>
            <w:bCs/>
            <w:sz w:val="22"/>
            <w:szCs w:val="22"/>
            <w:lang w:val="es-CO"/>
          </w:rPr>
          <w:t>http://www.mapschile.cl/</w:t>
        </w:r>
      </w:hyperlink>
      <w:r w:rsidRPr="001C59A0">
        <w:rPr>
          <w:rFonts w:ascii="Arial" w:hAnsi="Arial" w:cs="Arial"/>
          <w:bCs/>
          <w:sz w:val="22"/>
          <w:szCs w:val="22"/>
          <w:lang w:val="es-CO"/>
        </w:rPr>
        <w:t xml:space="preserve">.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Basado en estos esfuerzos, en especial el proyecto MAPS, en esta sección se presentan los supuestos para construir la línea base correspondiente a la situación sin Programa. Esta línea base considera tanto la matriz energética esperada como las tarifas eléctricas que se prevén. Considerando que los impactos del Programa se darán en un horizonte de tiempo largo, se desarrolla un análisis hasta el año 2050. </w:t>
      </w:r>
    </w:p>
    <w:p w:rsidR="00C419B8" w:rsidRPr="001C59A0" w:rsidRDefault="00C419B8" w:rsidP="00C419B8">
      <w:pPr>
        <w:pStyle w:val="ListParagraph"/>
        <w:numPr>
          <w:ilvl w:val="1"/>
          <w:numId w:val="8"/>
        </w:numPr>
        <w:spacing w:after="100" w:afterAutospacing="1"/>
        <w:ind w:left="0" w:firstLine="0"/>
        <w:jc w:val="both"/>
        <w:outlineLvl w:val="1"/>
        <w:rPr>
          <w:rFonts w:ascii="Arial" w:hAnsi="Arial" w:cs="Arial"/>
          <w:b/>
          <w:bCs/>
          <w:lang w:val="es-CO"/>
        </w:rPr>
      </w:pPr>
      <w:bookmarkStart w:id="7" w:name="_Toc459677765"/>
      <w:r w:rsidRPr="001C59A0">
        <w:rPr>
          <w:rFonts w:ascii="Arial" w:hAnsi="Arial" w:cs="Arial"/>
          <w:b/>
          <w:bCs/>
          <w:lang w:val="es-CO"/>
        </w:rPr>
        <w:t>Supuestos y Metodología de Construcción de Línea Base 2013-2050</w:t>
      </w:r>
      <w:r w:rsidRPr="001C59A0">
        <w:rPr>
          <w:rStyle w:val="FootnoteReference"/>
          <w:rFonts w:ascii="Arial" w:hAnsi="Arial" w:cs="Arial"/>
          <w:b/>
          <w:bCs/>
        </w:rPr>
        <w:footnoteReference w:id="11"/>
      </w:r>
      <w:r w:rsidRPr="001C59A0">
        <w:rPr>
          <w:rFonts w:ascii="Arial" w:hAnsi="Arial" w:cs="Arial"/>
          <w:b/>
          <w:bCs/>
          <w:lang w:val="es-CO"/>
        </w:rPr>
        <w:t>.</w:t>
      </w:r>
      <w:bookmarkEnd w:id="7"/>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Como se señala en la introducción, a partir del proyecto MAPS se puede definir una línea base para el sector energético, y en particular el sector eléctrico que es el más afectado por el Programa que se evalúa. Esta Línea Base considera tanto la cantidad de energía demandada como la generación por tipo de energía y por año requerida para satisfacerla, entre el 2013 y 2050.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ello MAPS hace un conjunto de supuestos respecto de algunas variables claves: crecimiento de la población, escenarios de crecimiento del PIB, escenarios de evolución del tipo de cambio nominal y real, y escenarios de precios de combustibles, los cuales son coherentes con los escenarios macroeconómicos tal como se proyectaba a </w:t>
      </w:r>
      <w:r w:rsidRPr="001C59A0">
        <w:rPr>
          <w:rFonts w:ascii="Arial" w:hAnsi="Arial" w:cs="Arial"/>
          <w:bCs/>
          <w:sz w:val="22"/>
          <w:szCs w:val="22"/>
          <w:lang w:val="es-CO"/>
        </w:rPr>
        <w:lastRenderedPageBreak/>
        <w:t xml:space="preserve">comienzos de 2013. Los valores de los datos proyectados de población y PIB se encuentran disponibles en el Anexo 1 de este informe.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Un supuesto importante de MAPS que se mantiene en este análisis es que el crecimiento del PIB que se da en el periodo es el del escenario medio. Hubo largas discusiones para definir éste durante el desarrollo del proyecto y si bien las tasas que se han dado el 2014 y 2015 son menores a las proyectadas</w:t>
      </w:r>
      <w:r w:rsidRPr="001C59A0">
        <w:rPr>
          <w:rFonts w:ascii="Arial" w:hAnsi="Arial" w:cs="Arial"/>
          <w:sz w:val="22"/>
          <w:szCs w:val="22"/>
          <w:vertAlign w:val="superscript"/>
        </w:rPr>
        <w:footnoteReference w:id="12"/>
      </w:r>
      <w:r w:rsidRPr="001C59A0">
        <w:rPr>
          <w:rFonts w:ascii="Arial" w:hAnsi="Arial" w:cs="Arial"/>
          <w:bCs/>
          <w:sz w:val="22"/>
          <w:szCs w:val="22"/>
          <w:lang w:val="es-CO"/>
        </w:rPr>
        <w:t>, no parece aconsejable modificarlas para este análisis. En primer lugar, debido a que son tasas promedio esperadas, por lo que, si bien el crecimiento en estos años iniciales ha sido menor al esperado, es posible que el crecimiento retome una senda mayor a futuro. Además, las variaciones que se proyectan bajo los diversos escenarios de política analizados en MAPS son siempre respecto del escenario de crecimiento medio. Por ello, cualquier cambio en esta senda obligaría a realizar cambios en las sendas de los escenarios MAPS lo que excede lo posible de realizar en esta evaluación.</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La Línea Base asume que no habrá cambios significativos en las tendencias observadas de demanda y generación. Las demandas sectoriales dependen del desarrollo esperado de cada sector demandante sin cambios estructurales ni de política relevantes, por ejemplo, en cuanto a eficiencia energética. La generación por su parte queda determinada por la evolución esperada del parque generador fundamentalmente en base a costos y sin incentivos ni diseños particulares para la introducción de ERNC ni en la promoción de la competencia o interconexión regional.</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Por ello, ninguna de las medidas propuestas en el Programa han sido consideradas en la Línea Base, excepto la de integración de los sistemas SIC-SING. En efecto, en la Línea Base asume que ésta, por necesidades técnicas se realiza el año 2019. La Línea Base tampoco considera el </w:t>
      </w:r>
      <w:r w:rsidRPr="001C59A0">
        <w:rPr>
          <w:rFonts w:ascii="Arial" w:hAnsi="Arial" w:cs="Arial"/>
          <w:sz w:val="22"/>
          <w:lang w:val="es-CO"/>
        </w:rPr>
        <w:t>desarrollo hídrico de gran escala</w:t>
      </w:r>
      <w:r w:rsidRPr="001C59A0">
        <w:rPr>
          <w:rFonts w:ascii="Arial" w:hAnsi="Arial" w:cs="Arial"/>
          <w:bCs/>
          <w:sz w:val="22"/>
          <w:szCs w:val="22"/>
          <w:lang w:val="es-CO"/>
        </w:rPr>
        <w:t>. Además, no considera interconexión regional ni tampoco la energía nuclear como una alternativa de desarrollo.</w:t>
      </w:r>
    </w:p>
    <w:p w:rsidR="00C419B8" w:rsidRPr="001C59A0" w:rsidRDefault="00C419B8" w:rsidP="00C419B8">
      <w:pPr>
        <w:spacing w:after="100" w:afterAutospacing="1"/>
        <w:jc w:val="both"/>
        <w:rPr>
          <w:rFonts w:ascii="Arial" w:hAnsi="Arial" w:cs="Arial"/>
          <w:bCs/>
          <w:sz w:val="22"/>
          <w:szCs w:val="22"/>
        </w:rPr>
      </w:pPr>
      <w:r w:rsidRPr="001C59A0">
        <w:rPr>
          <w:rFonts w:ascii="Arial" w:hAnsi="Arial" w:cs="Arial"/>
          <w:bCs/>
          <w:sz w:val="22"/>
          <w:szCs w:val="22"/>
          <w:lang w:val="es-CO"/>
        </w:rPr>
        <w:t xml:space="preserve">Considerando lo anterior, se estiman las demandas esperadas de energía eléctrica de cada uno de los sectores relevantes de la economía para el periodo 2013-2050. </w:t>
      </w:r>
      <w:r w:rsidRPr="001C59A0">
        <w:rPr>
          <w:rFonts w:ascii="Arial" w:hAnsi="Arial" w:cs="Arial"/>
          <w:bCs/>
          <w:sz w:val="22"/>
          <w:szCs w:val="22"/>
        </w:rPr>
        <w:t xml:space="preserve">Fundamentalmente:  </w:t>
      </w:r>
    </w:p>
    <w:p w:rsidR="00C419B8" w:rsidRPr="001C59A0" w:rsidRDefault="00C419B8" w:rsidP="00C419B8">
      <w:pPr>
        <w:pStyle w:val="ListParagraph"/>
        <w:numPr>
          <w:ilvl w:val="0"/>
          <w:numId w:val="10"/>
        </w:numPr>
        <w:spacing w:after="100" w:afterAutospacing="1"/>
        <w:ind w:left="0" w:firstLine="0"/>
        <w:jc w:val="both"/>
        <w:rPr>
          <w:rFonts w:ascii="Arial" w:hAnsi="Arial" w:cs="Arial"/>
          <w:bCs/>
        </w:rPr>
      </w:pPr>
      <w:r w:rsidRPr="001C59A0">
        <w:rPr>
          <w:rFonts w:ascii="Arial" w:hAnsi="Arial" w:cs="Arial"/>
          <w:bCs/>
        </w:rPr>
        <w:t xml:space="preserve">Minería e Industrias </w:t>
      </w:r>
    </w:p>
    <w:p w:rsidR="00C419B8" w:rsidRPr="001C59A0" w:rsidRDefault="00C419B8" w:rsidP="00C419B8">
      <w:pPr>
        <w:pStyle w:val="ListParagraph"/>
        <w:numPr>
          <w:ilvl w:val="0"/>
          <w:numId w:val="10"/>
        </w:numPr>
        <w:spacing w:after="100" w:afterAutospacing="1"/>
        <w:ind w:left="0" w:firstLine="0"/>
        <w:jc w:val="both"/>
        <w:rPr>
          <w:rFonts w:ascii="Arial" w:hAnsi="Arial" w:cs="Arial"/>
          <w:bCs/>
        </w:rPr>
      </w:pPr>
      <w:r w:rsidRPr="001C59A0">
        <w:rPr>
          <w:rFonts w:ascii="Arial" w:hAnsi="Arial" w:cs="Arial"/>
          <w:bCs/>
        </w:rPr>
        <w:t xml:space="preserve">Comercial, Público, Residencial (CPR) </w:t>
      </w:r>
    </w:p>
    <w:p w:rsidR="00C419B8" w:rsidRPr="001C59A0" w:rsidRDefault="00C419B8" w:rsidP="00C419B8">
      <w:pPr>
        <w:pStyle w:val="ListParagraph"/>
        <w:numPr>
          <w:ilvl w:val="0"/>
          <w:numId w:val="10"/>
        </w:numPr>
        <w:spacing w:after="100" w:afterAutospacing="1"/>
        <w:ind w:left="0" w:firstLine="0"/>
        <w:jc w:val="both"/>
        <w:rPr>
          <w:rFonts w:ascii="Arial" w:hAnsi="Arial" w:cs="Arial"/>
          <w:bCs/>
        </w:rPr>
      </w:pPr>
      <w:r w:rsidRPr="001C59A0">
        <w:rPr>
          <w:rFonts w:ascii="Arial" w:hAnsi="Arial" w:cs="Arial"/>
          <w:bCs/>
        </w:rPr>
        <w:t xml:space="preserve">Transporte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ello, la evolución esperada de cada sector se analizó en detalle, tanto en su producción como la tecnología a utilizar, lo que permitió establecer sus requerimientos de energía eléctrica. En conjunto estos sectores determinan el total de la demanda, y también la forma que esta tiene, en especial los </w:t>
      </w:r>
      <w:r w:rsidRPr="001C59A0">
        <w:rPr>
          <w:rFonts w:ascii="Arial" w:hAnsi="Arial" w:cs="Arial"/>
          <w:bCs/>
          <w:i/>
          <w:sz w:val="22"/>
          <w:szCs w:val="22"/>
          <w:lang w:val="es-CO"/>
        </w:rPr>
        <w:t>peaks</w:t>
      </w:r>
      <w:r w:rsidRPr="001C59A0">
        <w:rPr>
          <w:rFonts w:ascii="Arial" w:hAnsi="Arial" w:cs="Arial"/>
          <w:bCs/>
          <w:sz w:val="22"/>
          <w:szCs w:val="22"/>
          <w:lang w:val="es-CO"/>
        </w:rPr>
        <w:t xml:space="preserve"> de demanda. Las pérdidas de energía en los sistemas de transmisión y distribución se estiman como un porcentaje de la demanda (8%) de acuerdo a valores publicados en el Balance Nacional de Energía (BNE).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determinar la generación eléctrica requerida para satisfacer esta demanda se utiliza un modelo de optimización que minimiza el costo de inversión, operación y falla, bajo un criterio de planificación centralizada. Las simulaciones son realizadas con el </w:t>
      </w:r>
      <w:r w:rsidRPr="001C59A0">
        <w:rPr>
          <w:rFonts w:ascii="Arial" w:hAnsi="Arial" w:cs="Arial"/>
          <w:bCs/>
          <w:sz w:val="22"/>
          <w:szCs w:val="22"/>
          <w:lang w:val="es-CO"/>
        </w:rPr>
        <w:lastRenderedPageBreak/>
        <w:t>software LEAP, el cual internamente resuelve un problema de optimización. Debido a que este software no permite un tratamiento estocástico de la hidrología, ello se hace considerando 10 escenarios definidos por 5 secuencias hidrológicas futuras y 2 escenarios de demanda eléctrica (asociados a las proyecciones de PIB medio y alto). Para cada uno de estos escenarios se obtiene un plan de expansión. El plan de expansión seleccionado es aquel que minimiza el costo esperado de los 10 escenarios.</w:t>
      </w:r>
    </w:p>
    <w:p w:rsidR="00C419B8" w:rsidRPr="001C59A0" w:rsidRDefault="00C419B8" w:rsidP="00C419B8">
      <w:pPr>
        <w:pStyle w:val="ListParagraph"/>
        <w:numPr>
          <w:ilvl w:val="1"/>
          <w:numId w:val="8"/>
        </w:numPr>
        <w:spacing w:after="100" w:afterAutospacing="1"/>
        <w:ind w:left="0" w:firstLine="0"/>
        <w:jc w:val="both"/>
        <w:outlineLvl w:val="1"/>
        <w:rPr>
          <w:rFonts w:ascii="Arial" w:hAnsi="Arial" w:cs="Arial"/>
          <w:b/>
          <w:bCs/>
        </w:rPr>
      </w:pPr>
      <w:bookmarkStart w:id="8" w:name="_Toc459677766"/>
      <w:r w:rsidRPr="001C59A0">
        <w:rPr>
          <w:rFonts w:ascii="Arial" w:hAnsi="Arial" w:cs="Arial"/>
          <w:b/>
          <w:bCs/>
        </w:rPr>
        <w:t>Línea Base 2013-2050</w:t>
      </w:r>
      <w:bookmarkEnd w:id="8"/>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Basado en los estudios señalados en el proyecto MAPS se establece para el periodo 2013-2050 tanto las demandas eléctricas como las características de la generación que permite satisfacerla para la Línea Base.</w:t>
      </w:r>
    </w:p>
    <w:p w:rsidR="00C419B8" w:rsidRPr="001C59A0" w:rsidRDefault="00C419B8" w:rsidP="00C419B8">
      <w:pPr>
        <w:spacing w:after="100" w:afterAutospacing="1"/>
        <w:jc w:val="both"/>
        <w:rPr>
          <w:rFonts w:ascii="Arial" w:hAnsi="Arial" w:cs="Arial"/>
          <w:bCs/>
          <w:sz w:val="22"/>
          <w:szCs w:val="22"/>
          <w:highlight w:val="yellow"/>
          <w:lang w:val="es-CO"/>
        </w:rPr>
      </w:pPr>
      <w:r w:rsidRPr="001C59A0">
        <w:rPr>
          <w:rFonts w:ascii="Arial" w:hAnsi="Arial" w:cs="Arial"/>
          <w:bCs/>
          <w:sz w:val="22"/>
          <w:szCs w:val="22"/>
          <w:lang w:val="es-CO"/>
        </w:rPr>
        <w:t xml:space="preserve">La figura siguiente presenta la demanda eléctrica de cada sector y por sistema (SIC y SING) para el periodo. Se observa que entre el 2013 y 2030 la demanda eléctrica se duplica, y al 2050 aumenta por un factor de 2,8, en relación al consumo del 2013, llegando a 181 mil   GWh. El mayor aumento será del SIC cuya demanda por energía llegará el 2050 a 135 mil GWh representando un 75% del total.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El sector industrial y minero aumenta su consumo de energía en 148% en el periodo y su demanda corresponde el año 2050 al 60% del total, bajando del 68% de la demanda total el año 2013. El segundo sector más importante es CPR con un 31% del total el año 2013 y llegando al 38% el 2050. La demanda del sector transporte es bastante menor y corresponde a menos del 1%.</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 N°4: Demanda Eléctrica Proyectada para Escenario de Crecimiento Medio: 2013-2050.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19B6061E" wp14:editId="77157726">
            <wp:extent cx="2841125" cy="1764484"/>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002" cy="1809123"/>
                    </a:xfrm>
                    <a:prstGeom prst="rect">
                      <a:avLst/>
                    </a:prstGeom>
                    <a:noFill/>
                  </pic:spPr>
                </pic:pic>
              </a:graphicData>
            </a:graphic>
          </wp:inline>
        </w:drawing>
      </w:r>
      <w:r w:rsidRPr="001C59A0">
        <w:rPr>
          <w:rFonts w:ascii="Arial" w:hAnsi="Arial" w:cs="Arial"/>
          <w:bCs/>
          <w:noProof/>
          <w:sz w:val="22"/>
          <w:szCs w:val="22"/>
        </w:rPr>
        <w:drawing>
          <wp:inline distT="0" distB="0" distL="0" distR="0" wp14:anchorId="0D88ED3C" wp14:editId="5901D702">
            <wp:extent cx="2660454" cy="1772783"/>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999" cy="1815792"/>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lastRenderedPageBreak/>
        <w:t>Fuente: MAPS</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El escenario tendencial en cuanto a la matriz energética se presenta en la Figura N°5. </w:t>
      </w:r>
      <w:r w:rsidRPr="001C59A0">
        <w:rPr>
          <w:rFonts w:ascii="Arial" w:hAnsi="Arial" w:cs="Arial"/>
          <w:color w:val="000000"/>
          <w:sz w:val="22"/>
          <w:szCs w:val="22"/>
          <w:lang w:val="es-CO"/>
        </w:rPr>
        <w:t>que muestra la composición de la generación resultante por tipo de fuente a nivel nacional hasta el año 2050. El carbón incrementa su importancia pasando del 42% el 2013 al 44% el 2030 y retrocede a un 30% el año 2050. La energía hidro de gran escala pierde importancia relativa y es reemplazada en parte por aumentos relativos en ERNC.</w:t>
      </w:r>
    </w:p>
    <w:p w:rsidR="00C419B8" w:rsidRPr="001C59A0" w:rsidRDefault="00C419B8" w:rsidP="00C419B8">
      <w:pPr>
        <w:spacing w:after="100" w:afterAutospacing="1"/>
        <w:jc w:val="center"/>
        <w:rPr>
          <w:rFonts w:ascii="Arial" w:hAnsi="Arial" w:cs="Arial"/>
          <w:color w:val="000000"/>
          <w:sz w:val="22"/>
          <w:szCs w:val="22"/>
          <w:lang w:val="es-CO"/>
        </w:rPr>
      </w:pPr>
    </w:p>
    <w:p w:rsidR="00C419B8" w:rsidRPr="001C59A0" w:rsidRDefault="00C419B8" w:rsidP="00C419B8">
      <w:pPr>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Figura N°5: Porcentaje de Energía Generada Por Tipo de Fuente a Nivel Nacional, Línea Base: 2013-2050.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36A25B1E" wp14:editId="0D8E5D40">
            <wp:extent cx="5448300" cy="334167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7241" cy="3365561"/>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 en base a MAPS</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El analizar el SIC y SING por separado es informativo y permite examinar como aumenta la generación a partir de carbón y la de energías renovables. En efecto, en el SIC se instalan 3,6 GW adicionales de centrales a carbón entre 2013 y 2030, mientras que en el SING se instalan 2,0 GW para ese mismo período de evaluación. Desde el 2030 al 2050 esta capacidad adicional es de 1,7 GW en el SIC mientras que en el SING no se instalan nuevas centrales a carbón en ese periodo. Los resultados muestran además un incremento de la generación a base de GNL entre los años 2017 y 2023, no habiendo nuevos desarrollos de ese tipo posteriormente.</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color w:val="000000"/>
          <w:sz w:val="22"/>
          <w:szCs w:val="22"/>
          <w:lang w:val="es-CO"/>
        </w:rPr>
        <w:lastRenderedPageBreak/>
        <w:t xml:space="preserve">En cuanto a las ERNC, al año 2025 se proyecta un 18% de generación con energías renovables no convencionales, mientras que al año 2030 se logra un 26%. Al 2050 ésta llegaría a 47%. </w:t>
      </w:r>
      <w:r w:rsidRPr="001C59A0">
        <w:rPr>
          <w:rFonts w:ascii="Arial" w:hAnsi="Arial" w:cs="Arial"/>
          <w:bCs/>
          <w:sz w:val="22"/>
          <w:szCs w:val="22"/>
          <w:lang w:val="es-CO"/>
        </w:rPr>
        <w:br w:type="page"/>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lastRenderedPageBreak/>
        <w:t>Figura N°6: Generación eléctrica SIC-SING 2013-2050.</w:t>
      </w:r>
    </w:p>
    <w:p w:rsidR="00C419B8" w:rsidRPr="001C59A0" w:rsidRDefault="00C419B8" w:rsidP="00C419B8">
      <w:pPr>
        <w:jc w:val="center"/>
        <w:rPr>
          <w:rFonts w:ascii="Arial" w:hAnsi="Arial" w:cs="Arial"/>
          <w:bCs/>
          <w:sz w:val="22"/>
          <w:szCs w:val="22"/>
        </w:rPr>
      </w:pPr>
      <w:r w:rsidRPr="001C59A0">
        <w:rPr>
          <w:rFonts w:ascii="Arial" w:hAnsi="Arial" w:cs="Arial"/>
          <w:bCs/>
          <w:sz w:val="22"/>
          <w:szCs w:val="22"/>
        </w:rPr>
        <w:t>SIC</w:t>
      </w:r>
    </w:p>
    <w:p w:rsidR="00C419B8" w:rsidRPr="001C59A0" w:rsidRDefault="00C419B8" w:rsidP="00C419B8">
      <w:pPr>
        <w:jc w:val="center"/>
        <w:rPr>
          <w:rFonts w:ascii="Arial" w:hAnsi="Arial" w:cs="Arial"/>
          <w:bCs/>
          <w:sz w:val="22"/>
          <w:szCs w:val="22"/>
        </w:rPr>
      </w:pPr>
      <w:r w:rsidRPr="001C59A0">
        <w:rPr>
          <w:rFonts w:ascii="Arial" w:hAnsi="Arial" w:cs="Arial"/>
          <w:bCs/>
          <w:noProof/>
          <w:sz w:val="22"/>
          <w:szCs w:val="22"/>
        </w:rPr>
        <w:drawing>
          <wp:inline distT="0" distB="0" distL="0" distR="0" wp14:anchorId="299C2170" wp14:editId="65BBA093">
            <wp:extent cx="5040000" cy="2282785"/>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282785"/>
                    </a:xfrm>
                    <a:prstGeom prst="rect">
                      <a:avLst/>
                    </a:prstGeom>
                    <a:noFill/>
                  </pic:spPr>
                </pic:pic>
              </a:graphicData>
            </a:graphic>
          </wp:inline>
        </w:drawing>
      </w:r>
    </w:p>
    <w:p w:rsidR="00C419B8" w:rsidRPr="001C59A0" w:rsidRDefault="00C419B8" w:rsidP="00C419B8">
      <w:pPr>
        <w:jc w:val="center"/>
        <w:rPr>
          <w:rFonts w:ascii="Arial" w:hAnsi="Arial" w:cs="Arial"/>
          <w:bCs/>
          <w:sz w:val="22"/>
          <w:szCs w:val="22"/>
        </w:rPr>
      </w:pPr>
    </w:p>
    <w:p w:rsidR="00C419B8" w:rsidRPr="001C59A0" w:rsidRDefault="00C419B8" w:rsidP="00C419B8">
      <w:pPr>
        <w:jc w:val="center"/>
        <w:rPr>
          <w:rFonts w:ascii="Arial" w:hAnsi="Arial" w:cs="Arial"/>
          <w:bCs/>
          <w:sz w:val="22"/>
          <w:szCs w:val="22"/>
        </w:rPr>
      </w:pPr>
      <w:r w:rsidRPr="001C59A0">
        <w:rPr>
          <w:rFonts w:ascii="Arial" w:hAnsi="Arial" w:cs="Arial"/>
          <w:bCs/>
          <w:sz w:val="22"/>
          <w:szCs w:val="22"/>
        </w:rPr>
        <w:t>SING</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6A0C0DE7" wp14:editId="6B7E4356">
            <wp:extent cx="5040000" cy="2010811"/>
            <wp:effectExtent l="0" t="0" r="8255"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010811"/>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 en base a MAPS</w:t>
      </w:r>
    </w:p>
    <w:p w:rsidR="00C419B8" w:rsidRPr="001C59A0" w:rsidRDefault="00C419B8" w:rsidP="00C419B8">
      <w:pPr>
        <w:spacing w:after="160" w:line="259" w:lineRule="auto"/>
        <w:rPr>
          <w:rFonts w:ascii="Arial" w:eastAsia="Calibri" w:hAnsi="Arial" w:cs="Arial"/>
          <w:b/>
          <w:sz w:val="22"/>
          <w:szCs w:val="22"/>
          <w:lang w:val="es-CO"/>
        </w:rPr>
      </w:pPr>
      <w:r w:rsidRPr="001C59A0">
        <w:rPr>
          <w:rFonts w:ascii="Arial" w:eastAsia="Calibri" w:hAnsi="Arial" w:cs="Arial"/>
          <w:b/>
          <w:sz w:val="22"/>
          <w:szCs w:val="22"/>
          <w:lang w:val="es-CO"/>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hAnsi="Arial" w:cs="Arial"/>
          <w:b/>
          <w:bCs/>
          <w:lang w:val="es-CO"/>
        </w:rPr>
      </w:pPr>
      <w:bookmarkStart w:id="9" w:name="_Toc459677767"/>
      <w:r w:rsidRPr="001C59A0">
        <w:rPr>
          <w:rFonts w:ascii="Arial" w:eastAsia="Calibri" w:hAnsi="Arial" w:cs="Arial"/>
          <w:b/>
          <w:lang w:val="es-CO"/>
        </w:rPr>
        <w:lastRenderedPageBreak/>
        <w:t>Escenario con Programa: Supuestos e Impactos</w:t>
      </w:r>
      <w:bookmarkEnd w:id="9"/>
    </w:p>
    <w:p w:rsidR="00C419B8" w:rsidRPr="001C59A0" w:rsidRDefault="00C419B8" w:rsidP="00C419B8">
      <w:pPr>
        <w:spacing w:after="100" w:afterAutospacing="1"/>
        <w:jc w:val="both"/>
        <w:rPr>
          <w:rFonts w:ascii="Arial" w:eastAsia="Calibri" w:hAnsi="Arial" w:cs="Arial"/>
          <w:sz w:val="22"/>
          <w:szCs w:val="22"/>
          <w:lang w:val="es-CO"/>
        </w:rPr>
      </w:pPr>
      <w:r w:rsidRPr="001C59A0">
        <w:rPr>
          <w:rFonts w:ascii="Arial" w:eastAsia="Calibri" w:hAnsi="Arial" w:cs="Arial"/>
          <w:sz w:val="22"/>
          <w:szCs w:val="22"/>
          <w:lang w:val="es-CO"/>
        </w:rPr>
        <w:t xml:space="preserve">En esta sección se justifica y presenta el escenario cuantitativo que se utiliza como Escenario con Programa. Corresponde al escenario MAPS de esfuerzo medio combinado con una tarifa eléctrica a usuarios reducida respecto de la proyectada.  Luego se presentan los principales impactos que se esperan de éste escenario con Programa respecto de la Línea Base. </w:t>
      </w:r>
    </w:p>
    <w:p w:rsidR="00C419B8" w:rsidRPr="001C59A0" w:rsidRDefault="00C419B8" w:rsidP="00C419B8">
      <w:pPr>
        <w:pStyle w:val="ListParagraph"/>
        <w:numPr>
          <w:ilvl w:val="1"/>
          <w:numId w:val="8"/>
        </w:numPr>
        <w:spacing w:after="100" w:afterAutospacing="1"/>
        <w:ind w:left="0" w:firstLine="0"/>
        <w:jc w:val="both"/>
        <w:outlineLvl w:val="1"/>
        <w:rPr>
          <w:rFonts w:ascii="Arial" w:hAnsi="Arial" w:cs="Arial"/>
          <w:b/>
          <w:bCs/>
        </w:rPr>
      </w:pPr>
      <w:bookmarkStart w:id="10" w:name="_Toc459677768"/>
      <w:r w:rsidRPr="001C59A0">
        <w:rPr>
          <w:rFonts w:ascii="Arial" w:eastAsia="Calibri" w:hAnsi="Arial" w:cs="Arial"/>
          <w:b/>
        </w:rPr>
        <w:t>Escenario con Programa</w:t>
      </w:r>
      <w:bookmarkEnd w:id="10"/>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El Programa que se evalúa apoya el logro de las metas de la Política Energética para los diversos horizontes de tiempo considerados. Para determinar el escenario con Programa y con ello poder evaluar sus impactos, es necesario asumir que las medidas que éste considera logran desviar el desarrollo del sistema energético de la trayectoria prevista en la Línea Base, hacia otra que se acerque a cumplir con las metas de la Política.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definir este escenario con Programa en esta sección se presentan primero las metas de la Política y luego los productos esperados del Programa. Se comparan luego tanto las metas como los productos en cuanto a desarrollo de energías renovables, eficiencia energética e integración regional, con las medidas de los escenarios MAPS. Se concluye que el escenario MAPS de esfuerzo medio es adecuado para evaluar esos productos por su similitud con lo propuesto por el Programa. Cabe señalar que debido a la cercanía en el tiempo de Energía 2050 y MAPS, y que los participantes se repetían en ambos, hay una correspondencia cercana entre muchas de las iniciativas evaluadas cuantitativamente en MAPS y las que se requieren para cumplir con los objetivos de la Política Energética, que a su vez son apoyadas por el Programa.</w:t>
      </w:r>
    </w:p>
    <w:p w:rsidR="00C419B8" w:rsidRPr="001C59A0" w:rsidRDefault="00C419B8" w:rsidP="00C419B8">
      <w:pPr>
        <w:pStyle w:val="ListParagraph"/>
        <w:numPr>
          <w:ilvl w:val="2"/>
          <w:numId w:val="8"/>
        </w:numPr>
        <w:spacing w:after="100" w:afterAutospacing="1"/>
        <w:ind w:left="0" w:firstLine="0"/>
        <w:jc w:val="both"/>
        <w:outlineLvl w:val="2"/>
        <w:rPr>
          <w:rFonts w:ascii="Arial" w:eastAsia="Calibri" w:hAnsi="Arial" w:cs="Arial"/>
          <w:b/>
          <w:lang w:val="es-CO"/>
        </w:rPr>
      </w:pPr>
      <w:bookmarkStart w:id="11" w:name="_Toc459677769"/>
      <w:r w:rsidRPr="001C59A0">
        <w:rPr>
          <w:rFonts w:ascii="Arial" w:eastAsia="Calibri" w:hAnsi="Arial" w:cs="Arial"/>
          <w:b/>
          <w:lang w:val="es-CO"/>
        </w:rPr>
        <w:t>Las Metas de la Política Energética</w:t>
      </w:r>
      <w:bookmarkEnd w:id="11"/>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La política energética establece las metas cuantitativas y cualitativas vinculadas al Programa que se detallan en el cuadro adjunto. Estas se refieren fundamentalmente a tarifas, la matriz energética, eficiencia energética, integración regional, emisiones y equidad y se presentan en el cuadro N°1.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En cuanto a tarifas, se espera lograr que Chile reduzca sus precios, primero al 2019 reduciendo los precios de generación y luego asegurando valores de precios residencial e industrial entre los 5 menores de la OCDE para el 2035 y los 3 menores al 2050. En ERNC se propone </w:t>
      </w:r>
      <w:r w:rsidRPr="001C59A0">
        <w:rPr>
          <w:rFonts w:ascii="Arial" w:hAnsi="Arial" w:cs="Arial"/>
          <w:sz w:val="22"/>
          <w:szCs w:val="22"/>
          <w:lang w:val="es-CO"/>
        </w:rPr>
        <w:t xml:space="preserve">que más del 60% de la generación eléctrica nacional provenga de energías renovables el 2035, llegando al 70% el 2050. </w:t>
      </w:r>
      <w:r w:rsidRPr="001C59A0" w:rsidDel="00CE1ED6">
        <w:rPr>
          <w:rFonts w:ascii="Arial" w:hAnsi="Arial" w:cs="Arial"/>
          <w:bCs/>
          <w:sz w:val="22"/>
          <w:szCs w:val="22"/>
          <w:lang w:val="es-CO"/>
        </w:rPr>
        <w:t xml:space="preserve"> </w:t>
      </w:r>
      <w:r w:rsidRPr="001C59A0">
        <w:rPr>
          <w:rFonts w:ascii="Arial" w:hAnsi="Arial" w:cs="Arial"/>
          <w:bCs/>
          <w:sz w:val="22"/>
          <w:szCs w:val="22"/>
          <w:lang w:val="es-CO"/>
        </w:rPr>
        <w:t>En eficiencia energética se propone cumplir con exigentes metas para los sectores industrial y minero y de transporte, tanto en cuanto a artefactos como sistemas de gestión. Las edificaciones nuevas públicas y de uso residencial deberán cumplir con estrictos estándares OCDE en construcción y sistemas inteligentes de gestión, entre otras.  En cuanto a interconexión regional se propone que sea una realidad al 2035. En lo ambiental, la Política propone que Chile debe cumplir con la meta de contribución nacional propuesta a la CMNUCC a fines del año 2015, de reducción de un 30% de la intensidad de emisiones de CO2 al 2030, respecto del año base 2007. Al 2050 las</w:t>
      </w:r>
      <w:r w:rsidRPr="001C59A0">
        <w:rPr>
          <w:rFonts w:ascii="Arial" w:hAnsi="Arial" w:cs="Arial"/>
          <w:sz w:val="22"/>
          <w:szCs w:val="22"/>
          <w:lang w:val="es-CO"/>
        </w:rPr>
        <w:t xml:space="preserve"> emisiones de GEI del sector deben ser coherentes con los límites definidos por la ciencia a nivel global. A esa fecha dentro de los hogares se propone recambiar 30% de los calefactores en zonas saturadas o latentes. Finalmente, para avanzar en equidad se propone un avance paulatino hacia un </w:t>
      </w:r>
      <w:r w:rsidRPr="001C59A0">
        <w:rPr>
          <w:rFonts w:ascii="Arial" w:hAnsi="Arial" w:cs="Arial"/>
          <w:bCs/>
          <w:sz w:val="22"/>
          <w:szCs w:val="22"/>
          <w:lang w:val="es-CO"/>
        </w:rPr>
        <w:t>acceso continuo y de calidad a los servicios energéticos</w:t>
      </w:r>
      <w:r w:rsidRPr="001C59A0" w:rsidDel="00CE1ED6">
        <w:rPr>
          <w:rFonts w:ascii="Arial" w:hAnsi="Arial" w:cs="Arial"/>
          <w:bCs/>
          <w:sz w:val="22"/>
          <w:szCs w:val="22"/>
          <w:lang w:val="es-CO"/>
        </w:rPr>
        <w:t xml:space="preserve"> </w:t>
      </w:r>
      <w:r w:rsidRPr="001C59A0">
        <w:rPr>
          <w:rFonts w:ascii="Arial" w:hAnsi="Arial" w:cs="Arial"/>
          <w:bCs/>
          <w:sz w:val="22"/>
          <w:szCs w:val="22"/>
          <w:lang w:val="es-CO"/>
        </w:rPr>
        <w:t xml:space="preserve">el 2035 para </w:t>
      </w:r>
      <w:r w:rsidRPr="001C59A0">
        <w:rPr>
          <w:rFonts w:ascii="Arial" w:hAnsi="Arial" w:cs="Arial"/>
          <w:bCs/>
          <w:sz w:val="22"/>
          <w:szCs w:val="22"/>
          <w:lang w:val="es-CO"/>
        </w:rPr>
        <w:lastRenderedPageBreak/>
        <w:t>el 100% de familias vulnerables y el 2050 para el 100% de la población. A partir del 2035 se propone que las familias vulnerables disminuyan el porcentaje de su ingreso que destinan a cubrir sus necesidades energéticas básicas a niveles “adecuados” (pero este nivel no se especifica).</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Cuadro N°1: Metas de la Política Energética Vinculadas al Programa</w:t>
      </w:r>
    </w:p>
    <w:tbl>
      <w:tblPr>
        <w:tblStyle w:val="TableGrid"/>
        <w:tblW w:w="8926" w:type="dxa"/>
        <w:tblLook w:val="04A0" w:firstRow="1" w:lastRow="0" w:firstColumn="1" w:lastColumn="0" w:noHBand="0" w:noVBand="1"/>
      </w:tblPr>
      <w:tblGrid>
        <w:gridCol w:w="2547"/>
        <w:gridCol w:w="6379"/>
      </w:tblGrid>
      <w:tr w:rsidR="00C419B8" w:rsidRPr="001C59A0" w:rsidTr="00DE4B10">
        <w:tc>
          <w:tcPr>
            <w:tcW w:w="2547" w:type="dxa"/>
            <w:shd w:val="clear" w:color="auto" w:fill="D9D9D9" w:themeFill="background1" w:themeFillShade="D9"/>
            <w:vAlign w:val="center"/>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Efecto Esperado</w:t>
            </w:r>
          </w:p>
        </w:tc>
        <w:tc>
          <w:tcPr>
            <w:tcW w:w="6379" w:type="dxa"/>
            <w:shd w:val="clear" w:color="auto" w:fill="D9D9D9" w:themeFill="background1" w:themeFillShade="D9"/>
            <w:vAlign w:val="center"/>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2019</w:t>
            </w:r>
          </w:p>
        </w:tc>
      </w:tr>
      <w:tr w:rsidR="00C419B8" w:rsidRPr="00EF4F23" w:rsidTr="00DE4B10">
        <w:tc>
          <w:tcPr>
            <w:tcW w:w="2547" w:type="dxa"/>
          </w:tcPr>
          <w:p w:rsidR="00C419B8" w:rsidRPr="001C59A0" w:rsidRDefault="00C419B8" w:rsidP="00DE4B10">
            <w:pPr>
              <w:spacing w:after="100" w:afterAutospacing="1"/>
              <w:jc w:val="both"/>
              <w:rPr>
                <w:rFonts w:ascii="Arial" w:hAnsi="Arial" w:cs="Arial"/>
                <w:bCs/>
                <w:sz w:val="22"/>
                <w:szCs w:val="22"/>
              </w:rPr>
            </w:pPr>
            <w:r w:rsidRPr="001C59A0">
              <w:rPr>
                <w:rFonts w:ascii="Arial" w:hAnsi="Arial" w:cs="Arial"/>
                <w:bCs/>
                <w:sz w:val="22"/>
                <w:szCs w:val="22"/>
              </w:rPr>
              <w:t>TARIFA</w:t>
            </w:r>
          </w:p>
        </w:tc>
        <w:tc>
          <w:tcPr>
            <w:tcW w:w="6379" w:type="dxa"/>
          </w:tcPr>
          <w:p w:rsidR="00C419B8" w:rsidRPr="001C59A0" w:rsidRDefault="00C419B8" w:rsidP="00DE4B10">
            <w:pPr>
              <w:spacing w:after="100" w:afterAutospacing="1"/>
              <w:jc w:val="both"/>
              <w:rPr>
                <w:rFonts w:ascii="Arial" w:hAnsi="Arial" w:cs="Arial"/>
                <w:sz w:val="22"/>
                <w:szCs w:val="22"/>
                <w:lang w:val="es-CO"/>
              </w:rPr>
            </w:pPr>
            <w:r w:rsidRPr="001C59A0">
              <w:rPr>
                <w:rFonts w:ascii="Arial" w:hAnsi="Arial" w:cs="Arial"/>
                <w:sz w:val="22"/>
                <w:szCs w:val="22"/>
                <w:lang w:val="es-CO"/>
              </w:rPr>
              <w:t>Reducción precios adjudicados desde 107 US$/MWh a 79,34 el 2020</w:t>
            </w:r>
          </w:p>
        </w:tc>
      </w:tr>
      <w:tr w:rsidR="00C419B8" w:rsidRPr="001C59A0" w:rsidTr="00DE4B10">
        <w:tc>
          <w:tcPr>
            <w:tcW w:w="2547" w:type="dxa"/>
          </w:tcPr>
          <w:p w:rsidR="00C419B8" w:rsidRPr="001C59A0" w:rsidRDefault="00C419B8" w:rsidP="00DE4B10">
            <w:pPr>
              <w:spacing w:after="100" w:afterAutospacing="1"/>
              <w:jc w:val="both"/>
              <w:rPr>
                <w:rFonts w:ascii="Arial" w:hAnsi="Arial" w:cs="Arial"/>
                <w:bCs/>
                <w:sz w:val="22"/>
                <w:szCs w:val="22"/>
              </w:rPr>
            </w:pPr>
            <w:r w:rsidRPr="001C59A0">
              <w:rPr>
                <w:rFonts w:ascii="Arial" w:hAnsi="Arial" w:cs="Arial"/>
                <w:bCs/>
                <w:sz w:val="22"/>
                <w:szCs w:val="22"/>
              </w:rPr>
              <w:t>ERNC</w:t>
            </w:r>
          </w:p>
        </w:tc>
        <w:tc>
          <w:tcPr>
            <w:tcW w:w="6379" w:type="dxa"/>
          </w:tcPr>
          <w:p w:rsidR="00C419B8" w:rsidRPr="001C59A0" w:rsidRDefault="00C419B8" w:rsidP="00DE4B10">
            <w:pPr>
              <w:spacing w:after="100" w:afterAutospacing="1"/>
              <w:jc w:val="both"/>
              <w:rPr>
                <w:rFonts w:ascii="Arial" w:hAnsi="Arial" w:cs="Arial"/>
                <w:bCs/>
                <w:sz w:val="22"/>
                <w:szCs w:val="22"/>
              </w:rPr>
            </w:pPr>
            <w:r w:rsidRPr="001C59A0">
              <w:rPr>
                <w:rFonts w:ascii="Arial" w:hAnsi="Arial" w:cs="Arial"/>
                <w:bCs/>
                <w:sz w:val="22"/>
                <w:szCs w:val="22"/>
              </w:rPr>
              <w:t>ERNC 20% al 2020</w:t>
            </w:r>
          </w:p>
        </w:tc>
      </w:tr>
      <w:tr w:rsidR="00C419B8" w:rsidRPr="001C59A0" w:rsidTr="00DE4B10">
        <w:tc>
          <w:tcPr>
            <w:tcW w:w="2547" w:type="dxa"/>
          </w:tcPr>
          <w:p w:rsidR="00C419B8" w:rsidRPr="001C59A0" w:rsidRDefault="00C419B8" w:rsidP="00DE4B10">
            <w:pPr>
              <w:spacing w:after="100" w:afterAutospacing="1"/>
              <w:jc w:val="both"/>
              <w:rPr>
                <w:rFonts w:ascii="Arial" w:hAnsi="Arial" w:cs="Arial"/>
                <w:bCs/>
                <w:sz w:val="22"/>
                <w:szCs w:val="22"/>
              </w:rPr>
            </w:pPr>
            <w:r w:rsidRPr="001C59A0">
              <w:rPr>
                <w:rFonts w:ascii="Arial" w:hAnsi="Arial" w:cs="Arial"/>
                <w:bCs/>
                <w:sz w:val="22"/>
                <w:szCs w:val="22"/>
              </w:rPr>
              <w:t>EFICIENCIA ENERGETICA</w:t>
            </w:r>
          </w:p>
        </w:tc>
        <w:tc>
          <w:tcPr>
            <w:tcW w:w="6379" w:type="dxa"/>
          </w:tcPr>
          <w:p w:rsidR="00C419B8" w:rsidRPr="001C59A0" w:rsidRDefault="00C419B8" w:rsidP="00DE4B10">
            <w:pPr>
              <w:spacing w:after="100" w:afterAutospacing="1"/>
              <w:jc w:val="both"/>
              <w:rPr>
                <w:rFonts w:ascii="Arial" w:hAnsi="Arial" w:cs="Arial"/>
                <w:bCs/>
                <w:sz w:val="22"/>
                <w:szCs w:val="22"/>
              </w:rPr>
            </w:pPr>
            <w:r w:rsidRPr="001C59A0">
              <w:rPr>
                <w:rFonts w:ascii="Arial" w:hAnsi="Arial" w:cs="Arial"/>
                <w:bCs/>
                <w:sz w:val="22"/>
                <w:szCs w:val="22"/>
              </w:rPr>
              <w:t>Recambio 90.000 luminarias públicas</w:t>
            </w:r>
          </w:p>
        </w:tc>
      </w:tr>
    </w:tbl>
    <w:p w:rsidR="00C419B8" w:rsidRPr="001C59A0" w:rsidRDefault="00C419B8" w:rsidP="00C419B8">
      <w:pPr>
        <w:jc w:val="center"/>
        <w:rPr>
          <w:rFonts w:ascii="Arial" w:hAnsi="Arial" w:cs="Arial"/>
          <w:bCs/>
          <w:sz w:val="22"/>
          <w:szCs w:val="22"/>
        </w:rPr>
      </w:pPr>
    </w:p>
    <w:tbl>
      <w:tblPr>
        <w:tblStyle w:val="TableGrid"/>
        <w:tblW w:w="8926" w:type="dxa"/>
        <w:tblLook w:val="04A0" w:firstRow="1" w:lastRow="0" w:firstColumn="1" w:lastColumn="0" w:noHBand="0" w:noVBand="1"/>
      </w:tblPr>
      <w:tblGrid>
        <w:gridCol w:w="1158"/>
        <w:gridCol w:w="3883"/>
        <w:gridCol w:w="3885"/>
      </w:tblGrid>
      <w:tr w:rsidR="00C419B8" w:rsidRPr="001C59A0" w:rsidTr="00DE4B10">
        <w:trPr>
          <w:trHeight w:val="567"/>
        </w:trPr>
        <w:tc>
          <w:tcPr>
            <w:tcW w:w="1049" w:type="dxa"/>
            <w:shd w:val="clear" w:color="auto" w:fill="D9D9D9" w:themeFill="background1" w:themeFillShade="D9"/>
            <w:vAlign w:val="center"/>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Efecto Esperado</w:t>
            </w:r>
          </w:p>
        </w:tc>
        <w:tc>
          <w:tcPr>
            <w:tcW w:w="3938" w:type="dxa"/>
            <w:shd w:val="clear" w:color="auto" w:fill="D9D9D9" w:themeFill="background1" w:themeFillShade="D9"/>
            <w:vAlign w:val="center"/>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2035</w:t>
            </w:r>
          </w:p>
        </w:tc>
        <w:tc>
          <w:tcPr>
            <w:tcW w:w="3939" w:type="dxa"/>
            <w:shd w:val="clear" w:color="auto" w:fill="D9D9D9" w:themeFill="background1" w:themeFillShade="D9"/>
            <w:vAlign w:val="center"/>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2050</w:t>
            </w:r>
          </w:p>
        </w:tc>
      </w:tr>
      <w:tr w:rsidR="00C419B8" w:rsidRPr="00EF4F23" w:rsidTr="00DE4B10">
        <w:trPr>
          <w:cantSplit/>
          <w:trHeight w:val="1134"/>
        </w:trPr>
        <w:tc>
          <w:tcPr>
            <w:tcW w:w="1049" w:type="dxa"/>
            <w:textDirection w:val="btLr"/>
            <w:vAlign w:val="center"/>
          </w:tcPr>
          <w:p w:rsidR="00C419B8" w:rsidRPr="001C59A0" w:rsidRDefault="00C419B8" w:rsidP="00DE4B10">
            <w:pPr>
              <w:spacing w:after="100" w:afterAutospacing="1"/>
              <w:ind w:left="113" w:right="113"/>
              <w:jc w:val="center"/>
              <w:rPr>
                <w:rFonts w:ascii="Arial" w:hAnsi="Arial" w:cs="Arial"/>
                <w:bCs/>
                <w:sz w:val="22"/>
                <w:szCs w:val="22"/>
              </w:rPr>
            </w:pPr>
            <w:r w:rsidRPr="001C59A0">
              <w:rPr>
                <w:rFonts w:ascii="Arial" w:hAnsi="Arial" w:cs="Arial"/>
                <w:bCs/>
                <w:sz w:val="22"/>
                <w:szCs w:val="22"/>
              </w:rPr>
              <w:t>TARIFA</w:t>
            </w:r>
          </w:p>
        </w:tc>
        <w:tc>
          <w:tcPr>
            <w:tcW w:w="3938" w:type="dxa"/>
            <w:vAlign w:val="center"/>
          </w:tcPr>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Chile se encuentra entre los 5 países OECD con menores precios promedio de suministro eléctrico a nivel residencial e industrial.</w:t>
            </w:r>
          </w:p>
        </w:tc>
        <w:tc>
          <w:tcPr>
            <w:tcW w:w="3939" w:type="dxa"/>
            <w:vAlign w:val="center"/>
          </w:tcPr>
          <w:p w:rsidR="00C419B8" w:rsidRPr="001C59A0" w:rsidRDefault="00C419B8" w:rsidP="00DE4B10">
            <w:pPr>
              <w:autoSpaceDE w:val="0"/>
              <w:autoSpaceDN w:val="0"/>
              <w:adjustRightInd w:val="0"/>
              <w:jc w:val="both"/>
              <w:rPr>
                <w:rFonts w:ascii="Arial" w:hAnsi="Arial" w:cs="Arial"/>
                <w:bCs/>
                <w:sz w:val="22"/>
                <w:szCs w:val="22"/>
                <w:lang w:val="es-CO"/>
              </w:rPr>
            </w:pPr>
            <w:r w:rsidRPr="001C59A0">
              <w:rPr>
                <w:rFonts w:ascii="Arial" w:hAnsi="Arial" w:cs="Arial"/>
                <w:sz w:val="22"/>
                <w:szCs w:val="22"/>
                <w:lang w:val="es-CO"/>
              </w:rPr>
              <w:t>Chile se encuentra entre los 3 países OECD con menores precios promedio de suministro eléctrico a nivel residencial e industrial.</w:t>
            </w:r>
          </w:p>
        </w:tc>
      </w:tr>
      <w:tr w:rsidR="00C419B8" w:rsidRPr="00EF4F23" w:rsidTr="00DE4B10">
        <w:trPr>
          <w:cantSplit/>
          <w:trHeight w:val="1134"/>
        </w:trPr>
        <w:tc>
          <w:tcPr>
            <w:tcW w:w="1049" w:type="dxa"/>
            <w:textDirection w:val="btLr"/>
            <w:vAlign w:val="center"/>
          </w:tcPr>
          <w:p w:rsidR="00C419B8" w:rsidRPr="001C59A0" w:rsidRDefault="00C419B8" w:rsidP="00DE4B10">
            <w:pPr>
              <w:spacing w:after="100" w:afterAutospacing="1"/>
              <w:ind w:left="113" w:right="113"/>
              <w:jc w:val="center"/>
              <w:rPr>
                <w:rFonts w:ascii="Arial" w:hAnsi="Arial" w:cs="Arial"/>
                <w:bCs/>
                <w:sz w:val="22"/>
                <w:szCs w:val="22"/>
              </w:rPr>
            </w:pPr>
            <w:r w:rsidRPr="001C59A0">
              <w:rPr>
                <w:rFonts w:ascii="Arial" w:hAnsi="Arial" w:cs="Arial"/>
                <w:bCs/>
                <w:sz w:val="22"/>
                <w:szCs w:val="22"/>
              </w:rPr>
              <w:t>ENERGIAS RENOVA- BLES</w:t>
            </w:r>
          </w:p>
        </w:tc>
        <w:tc>
          <w:tcPr>
            <w:tcW w:w="3938" w:type="dxa"/>
            <w:vAlign w:val="center"/>
          </w:tcPr>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Más del 60% de la generación eléctrica nacional proviene de energías renovables.</w:t>
            </w:r>
          </w:p>
        </w:tc>
        <w:tc>
          <w:tcPr>
            <w:tcW w:w="3939"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Al menos el 70% de la generación eléctrica nacional proviene de energías renovables.</w:t>
            </w:r>
          </w:p>
        </w:tc>
      </w:tr>
      <w:tr w:rsidR="00C419B8" w:rsidRPr="00EF4F23" w:rsidTr="00DE4B10">
        <w:tc>
          <w:tcPr>
            <w:tcW w:w="1049" w:type="dxa"/>
            <w:vMerge w:val="restart"/>
            <w:textDirection w:val="btLr"/>
            <w:vAlign w:val="center"/>
          </w:tcPr>
          <w:p w:rsidR="00C419B8" w:rsidRPr="001C59A0" w:rsidRDefault="00C419B8" w:rsidP="00DE4B10">
            <w:pPr>
              <w:spacing w:after="100" w:afterAutospacing="1"/>
              <w:ind w:left="113" w:right="113"/>
              <w:jc w:val="center"/>
              <w:rPr>
                <w:rFonts w:ascii="Arial" w:hAnsi="Arial" w:cs="Arial"/>
                <w:bCs/>
                <w:sz w:val="22"/>
                <w:szCs w:val="22"/>
              </w:rPr>
            </w:pPr>
            <w:r w:rsidRPr="001C59A0">
              <w:rPr>
                <w:rFonts w:ascii="Arial" w:hAnsi="Arial" w:cs="Arial"/>
                <w:bCs/>
                <w:sz w:val="22"/>
                <w:szCs w:val="22"/>
              </w:rPr>
              <w:t>EFICIENCIA ENERGETICA</w:t>
            </w:r>
          </w:p>
        </w:tc>
        <w:tc>
          <w:tcPr>
            <w:tcW w:w="3938" w:type="dxa"/>
            <w:vAlign w:val="center"/>
          </w:tcPr>
          <w:p w:rsidR="00C419B8" w:rsidRPr="001C59A0" w:rsidRDefault="00C419B8" w:rsidP="00DE4B10">
            <w:pPr>
              <w:autoSpaceDE w:val="0"/>
              <w:autoSpaceDN w:val="0"/>
              <w:adjustRightInd w:val="0"/>
              <w:jc w:val="both"/>
              <w:rPr>
                <w:rFonts w:ascii="Arial" w:hAnsi="Arial" w:cs="Arial"/>
                <w:bCs/>
                <w:sz w:val="22"/>
                <w:szCs w:val="22"/>
                <w:lang w:val="es-CO"/>
              </w:rPr>
            </w:pPr>
            <w:r w:rsidRPr="001C59A0">
              <w:rPr>
                <w:rFonts w:ascii="Arial" w:hAnsi="Arial" w:cs="Arial"/>
                <w:sz w:val="22"/>
                <w:szCs w:val="22"/>
                <w:lang w:val="es-CO"/>
              </w:rPr>
              <w:t>El sector de grandes consumidores, minero, industrial y de transporte, hace uso eficiente de la energía, con activos sistemas de gestión energética y la implementación de activas mejoras de eficiencia energética.</w:t>
            </w:r>
          </w:p>
        </w:tc>
        <w:tc>
          <w:tcPr>
            <w:tcW w:w="3939" w:type="dxa"/>
            <w:vAlign w:val="center"/>
          </w:tcPr>
          <w:p w:rsidR="00C419B8" w:rsidRPr="001C59A0" w:rsidRDefault="00C419B8" w:rsidP="00DE4B10">
            <w:pPr>
              <w:autoSpaceDE w:val="0"/>
              <w:autoSpaceDN w:val="0"/>
              <w:adjustRightInd w:val="0"/>
              <w:jc w:val="both"/>
              <w:rPr>
                <w:rFonts w:ascii="Arial" w:hAnsi="Arial" w:cs="Arial"/>
                <w:bCs/>
                <w:sz w:val="22"/>
                <w:szCs w:val="22"/>
                <w:lang w:val="es-CO"/>
              </w:rPr>
            </w:pPr>
            <w:r w:rsidRPr="001C59A0">
              <w:rPr>
                <w:rFonts w:ascii="Arial" w:hAnsi="Arial" w:cs="Arial"/>
                <w:sz w:val="22"/>
                <w:szCs w:val="22"/>
                <w:lang w:val="es-CO"/>
              </w:rPr>
              <w:t>Todas las edificaciones nuevas tengan estándares OCDE de construcción eficiente, y cuenten con sistemas de control y gestión inteligente de la energía.</w:t>
            </w:r>
          </w:p>
        </w:tc>
      </w:tr>
      <w:tr w:rsidR="00C419B8" w:rsidRPr="00EF4F23" w:rsidTr="00DE4B10">
        <w:tc>
          <w:tcPr>
            <w:tcW w:w="1049" w:type="dxa"/>
            <w:vMerge/>
          </w:tcPr>
          <w:p w:rsidR="00C419B8" w:rsidRPr="001C59A0" w:rsidRDefault="00C419B8" w:rsidP="00DE4B10">
            <w:pPr>
              <w:spacing w:after="100" w:afterAutospacing="1"/>
              <w:jc w:val="both"/>
              <w:rPr>
                <w:rFonts w:ascii="Arial" w:hAnsi="Arial" w:cs="Arial"/>
                <w:bCs/>
                <w:sz w:val="22"/>
                <w:szCs w:val="22"/>
                <w:lang w:val="es-CO"/>
              </w:rPr>
            </w:pPr>
          </w:p>
        </w:tc>
        <w:tc>
          <w:tcPr>
            <w:tcW w:w="3938" w:type="dxa"/>
            <w:vAlign w:val="center"/>
          </w:tcPr>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100% de los grandes consumidores de energía industriales y mineros y del sector transporte deberán hacer un uso eficiente de la energía, con activos sistemas de gestión de energía e implementación de mejoras de eficiencia energética.</w:t>
            </w:r>
          </w:p>
          <w:p w:rsidR="00C419B8" w:rsidRPr="001C59A0" w:rsidDel="004C33E9"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70% de las principales categorías de artefactos y equipos que se venden en el mercado corresponden a equipos energéticamente eficientes.</w:t>
            </w:r>
          </w:p>
        </w:tc>
        <w:tc>
          <w:tcPr>
            <w:tcW w:w="3939" w:type="dxa"/>
            <w:vAlign w:val="center"/>
          </w:tcPr>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 El crecimiento del consumo energético está desacoplado del crecimiento del producto interno bruto.</w:t>
            </w:r>
          </w:p>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 Los sectores de transporte, minero e industrial se convierten en modelos regionales de eficiencia energética.</w:t>
            </w:r>
          </w:p>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 100% de las principales categorías de artefactos y equipos que se venden en el mercado corresponden a equipos energéticamente eficientes.</w:t>
            </w:r>
          </w:p>
        </w:tc>
      </w:tr>
      <w:tr w:rsidR="00C419B8" w:rsidRPr="00EF4F23" w:rsidTr="00DE4B10">
        <w:tc>
          <w:tcPr>
            <w:tcW w:w="1049" w:type="dxa"/>
            <w:vMerge/>
          </w:tcPr>
          <w:p w:rsidR="00C419B8" w:rsidRPr="001C59A0" w:rsidRDefault="00C419B8" w:rsidP="00DE4B10">
            <w:pPr>
              <w:spacing w:after="100" w:afterAutospacing="1"/>
              <w:jc w:val="both"/>
              <w:rPr>
                <w:rFonts w:ascii="Arial" w:hAnsi="Arial" w:cs="Arial"/>
                <w:bCs/>
                <w:sz w:val="22"/>
                <w:szCs w:val="22"/>
                <w:lang w:val="es-CO"/>
              </w:rPr>
            </w:pPr>
          </w:p>
        </w:tc>
        <w:tc>
          <w:tcPr>
            <w:tcW w:w="3938" w:type="dxa"/>
            <w:vAlign w:val="center"/>
          </w:tcPr>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100% de las edificaciones de uso público y edificaciones de uso residencial nuevas cuentan con estándares OECD de construcción eficiente.</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xml:space="preserve">• Todas las edificaciones de uso </w:t>
            </w:r>
            <w:r w:rsidRPr="001C59A0">
              <w:rPr>
                <w:rFonts w:ascii="Arial" w:hAnsi="Arial" w:cs="Arial"/>
                <w:sz w:val="22"/>
                <w:szCs w:val="22"/>
                <w:lang w:val="es-CO"/>
              </w:rPr>
              <w:lastRenderedPageBreak/>
              <w:t>residencial que se venden en el país informan el consumo energético de éstas.</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Todas las edificaciones de uso público en el país informan su consumo energético.</w:t>
            </w:r>
          </w:p>
          <w:p w:rsidR="00C419B8" w:rsidRPr="001C59A0" w:rsidDel="004C33E9"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El Sector Público tiene altos estándares de eficiencia energética en sus instalaciones y proyectos, cumpliendo con su rol ejemplificador.</w:t>
            </w:r>
          </w:p>
        </w:tc>
        <w:tc>
          <w:tcPr>
            <w:tcW w:w="3939" w:type="dxa"/>
            <w:vAlign w:val="center"/>
          </w:tcPr>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lastRenderedPageBreak/>
              <w:t>• 100% de las edificaciones nuevas cuentan con estándares OECD de construcción eficiente, y cuentan con sistemas de</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control y gestión inteligente de la energía.</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lastRenderedPageBreak/>
              <w:t>• 100% de las edificaciones existentes informa su consumo energético al momento de la venta</w:t>
            </w:r>
          </w:p>
        </w:tc>
      </w:tr>
      <w:tr w:rsidR="00C419B8" w:rsidRPr="00EF4F23" w:rsidTr="00DE4B10">
        <w:trPr>
          <w:cantSplit/>
          <w:trHeight w:val="1581"/>
        </w:trPr>
        <w:tc>
          <w:tcPr>
            <w:tcW w:w="1049" w:type="dxa"/>
            <w:textDirection w:val="btLr"/>
            <w:vAlign w:val="center"/>
          </w:tcPr>
          <w:p w:rsidR="00C419B8" w:rsidRPr="001C59A0" w:rsidRDefault="00C419B8" w:rsidP="00DE4B10">
            <w:pPr>
              <w:spacing w:after="100" w:afterAutospacing="1"/>
              <w:ind w:left="113" w:right="113"/>
              <w:jc w:val="center"/>
              <w:rPr>
                <w:rFonts w:ascii="Arial" w:hAnsi="Arial" w:cs="Arial"/>
                <w:bCs/>
                <w:sz w:val="22"/>
                <w:szCs w:val="22"/>
              </w:rPr>
            </w:pPr>
            <w:r w:rsidRPr="001C59A0">
              <w:rPr>
                <w:rFonts w:ascii="Arial" w:hAnsi="Arial" w:cs="Arial"/>
                <w:bCs/>
                <w:sz w:val="22"/>
                <w:szCs w:val="22"/>
              </w:rPr>
              <w:lastRenderedPageBreak/>
              <w:t>INTEGRACION REGIONAL</w:t>
            </w:r>
          </w:p>
        </w:tc>
        <w:tc>
          <w:tcPr>
            <w:tcW w:w="3938"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La interconexión de Chile con los demás países miembros del SINEA, así como con otros países de Sudamérica, particularmente los del MERCOSUR, es una realidad.</w:t>
            </w:r>
          </w:p>
        </w:tc>
        <w:tc>
          <w:tcPr>
            <w:tcW w:w="3939"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La integración energética regional es una realidad, va en beneficio de la seguridad de abastecimiento y es económicamente eficiente.</w:t>
            </w:r>
          </w:p>
        </w:tc>
      </w:tr>
      <w:tr w:rsidR="00C419B8" w:rsidRPr="00EF4F23" w:rsidTr="00DE4B10">
        <w:tc>
          <w:tcPr>
            <w:tcW w:w="1049" w:type="dxa"/>
            <w:vMerge w:val="restart"/>
            <w:textDirection w:val="btLr"/>
            <w:vAlign w:val="center"/>
          </w:tcPr>
          <w:p w:rsidR="00C419B8" w:rsidRPr="001C59A0" w:rsidRDefault="00C419B8" w:rsidP="00DE4B10">
            <w:pPr>
              <w:spacing w:after="100" w:afterAutospacing="1"/>
              <w:ind w:left="113" w:right="113"/>
              <w:jc w:val="center"/>
              <w:rPr>
                <w:rFonts w:ascii="Arial" w:hAnsi="Arial" w:cs="Arial"/>
                <w:sz w:val="22"/>
                <w:szCs w:val="22"/>
              </w:rPr>
            </w:pPr>
            <w:r w:rsidRPr="001C59A0">
              <w:rPr>
                <w:rFonts w:ascii="Arial" w:hAnsi="Arial" w:cs="Arial"/>
                <w:bCs/>
                <w:sz w:val="22"/>
                <w:szCs w:val="22"/>
              </w:rPr>
              <w:t>AMBIENTAL</w:t>
            </w:r>
          </w:p>
        </w:tc>
        <w:tc>
          <w:tcPr>
            <w:tcW w:w="3938" w:type="dxa"/>
            <w:vAlign w:val="center"/>
          </w:tcPr>
          <w:p w:rsidR="00C419B8" w:rsidRPr="001C59A0" w:rsidRDefault="00C419B8" w:rsidP="00DE4B10">
            <w:pPr>
              <w:autoSpaceDE w:val="0"/>
              <w:autoSpaceDN w:val="0"/>
              <w:adjustRightInd w:val="0"/>
              <w:jc w:val="both"/>
              <w:rPr>
                <w:rFonts w:ascii="Arial" w:hAnsi="Arial" w:cs="Arial"/>
                <w:bCs/>
                <w:sz w:val="22"/>
                <w:szCs w:val="22"/>
                <w:lang w:val="es-CO"/>
              </w:rPr>
            </w:pPr>
            <w:r w:rsidRPr="001C59A0">
              <w:rPr>
                <w:rFonts w:ascii="Arial" w:hAnsi="Arial" w:cs="Arial"/>
                <w:sz w:val="22"/>
                <w:szCs w:val="22"/>
                <w:lang w:val="es-CO"/>
              </w:rPr>
              <w:t>30% de reducción de intensidad de emisiones de GEI al 2030</w:t>
            </w:r>
          </w:p>
        </w:tc>
        <w:tc>
          <w:tcPr>
            <w:tcW w:w="3939" w:type="dxa"/>
            <w:vAlign w:val="center"/>
          </w:tcPr>
          <w:p w:rsidR="00C419B8" w:rsidRPr="001C59A0" w:rsidRDefault="00C419B8" w:rsidP="00DE4B10">
            <w:pPr>
              <w:jc w:val="both"/>
              <w:rPr>
                <w:rFonts w:ascii="Arial" w:hAnsi="Arial" w:cs="Arial"/>
                <w:bCs/>
                <w:sz w:val="22"/>
                <w:szCs w:val="22"/>
                <w:lang w:val="es-CO"/>
              </w:rPr>
            </w:pPr>
          </w:p>
        </w:tc>
      </w:tr>
      <w:tr w:rsidR="00C419B8" w:rsidRPr="00EF4F23" w:rsidTr="00DE4B10">
        <w:tc>
          <w:tcPr>
            <w:tcW w:w="1049" w:type="dxa"/>
            <w:vMerge/>
          </w:tcPr>
          <w:p w:rsidR="00C419B8" w:rsidRPr="001C59A0" w:rsidRDefault="00C419B8" w:rsidP="00DE4B10">
            <w:pPr>
              <w:spacing w:after="100" w:afterAutospacing="1"/>
              <w:jc w:val="both"/>
              <w:rPr>
                <w:rFonts w:ascii="Arial" w:hAnsi="Arial" w:cs="Arial"/>
                <w:bCs/>
                <w:sz w:val="22"/>
                <w:szCs w:val="22"/>
                <w:lang w:val="es-CO"/>
              </w:rPr>
            </w:pPr>
          </w:p>
        </w:tc>
        <w:tc>
          <w:tcPr>
            <w:tcW w:w="3938" w:type="dxa"/>
            <w:vAlign w:val="center"/>
          </w:tcPr>
          <w:p w:rsidR="00C419B8" w:rsidRPr="001C59A0" w:rsidRDefault="00C419B8" w:rsidP="00DE4B10">
            <w:pPr>
              <w:autoSpaceDE w:val="0"/>
              <w:autoSpaceDN w:val="0"/>
              <w:adjustRightInd w:val="0"/>
              <w:jc w:val="both"/>
              <w:rPr>
                <w:rFonts w:ascii="Arial" w:hAnsi="Arial" w:cs="Arial"/>
                <w:sz w:val="22"/>
                <w:szCs w:val="22"/>
                <w:lang w:val="es-CO"/>
              </w:rPr>
            </w:pPr>
          </w:p>
        </w:tc>
        <w:tc>
          <w:tcPr>
            <w:tcW w:w="3939"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30% de los calefactores han sido recambiados, de acuerdo a un estándar mínimo, en zonas saturadas o latentes.</w:t>
            </w:r>
          </w:p>
        </w:tc>
      </w:tr>
      <w:tr w:rsidR="00C419B8" w:rsidRPr="00EF4F23" w:rsidTr="00DE4B10">
        <w:tc>
          <w:tcPr>
            <w:tcW w:w="1049" w:type="dxa"/>
            <w:vMerge/>
          </w:tcPr>
          <w:p w:rsidR="00C419B8" w:rsidRPr="001C59A0" w:rsidRDefault="00C419B8" w:rsidP="00DE4B10">
            <w:pPr>
              <w:spacing w:after="100" w:afterAutospacing="1"/>
              <w:jc w:val="both"/>
              <w:rPr>
                <w:rFonts w:ascii="Arial" w:hAnsi="Arial" w:cs="Arial"/>
                <w:bCs/>
                <w:sz w:val="22"/>
                <w:szCs w:val="22"/>
                <w:lang w:val="es-CO"/>
              </w:rPr>
            </w:pPr>
          </w:p>
        </w:tc>
        <w:tc>
          <w:tcPr>
            <w:tcW w:w="3938" w:type="dxa"/>
            <w:vAlign w:val="center"/>
          </w:tcPr>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Contribuir al compromiso de la COP 21</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Se aplica un Plan de Mitigación de Emisiones de GEI del sector energía.</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Existe un mecanismo de revisión periódica de los instrumentos de política pública aplicados para lograr las metas de mitigación de GEI.</w:t>
            </w:r>
          </w:p>
          <w:p w:rsidR="00C419B8" w:rsidRPr="001C59A0" w:rsidRDefault="00C419B8" w:rsidP="00DE4B10">
            <w:pPr>
              <w:autoSpaceDE w:val="0"/>
              <w:autoSpaceDN w:val="0"/>
              <w:adjustRightInd w:val="0"/>
              <w:jc w:val="both"/>
              <w:rPr>
                <w:rFonts w:ascii="Arial" w:hAnsi="Arial" w:cs="Arial"/>
                <w:sz w:val="22"/>
                <w:szCs w:val="22"/>
                <w:lang w:val="es-CO"/>
              </w:rPr>
            </w:pPr>
            <w:r w:rsidRPr="001C59A0">
              <w:rPr>
                <w:rFonts w:ascii="Arial" w:hAnsi="Arial" w:cs="Arial"/>
                <w:sz w:val="22"/>
                <w:szCs w:val="22"/>
                <w:lang w:val="es-CO"/>
              </w:rPr>
              <w:t>• Se aplica un Plan de Adaptación del sector energía al cambio climático, dentro del marco de un plan nacional al respecto.</w:t>
            </w:r>
          </w:p>
        </w:tc>
        <w:tc>
          <w:tcPr>
            <w:tcW w:w="3939" w:type="dxa"/>
            <w:vAlign w:val="center"/>
          </w:tcPr>
          <w:p w:rsidR="00C419B8" w:rsidRPr="001C59A0" w:rsidRDefault="00C419B8" w:rsidP="00DE4B10">
            <w:pPr>
              <w:jc w:val="both"/>
              <w:rPr>
                <w:rFonts w:ascii="Arial" w:hAnsi="Arial" w:cs="Arial"/>
                <w:sz w:val="22"/>
                <w:szCs w:val="22"/>
                <w:lang w:val="es-CO"/>
              </w:rPr>
            </w:pPr>
            <w:r w:rsidRPr="001C59A0">
              <w:rPr>
                <w:rFonts w:ascii="Arial" w:hAnsi="Arial" w:cs="Arial"/>
                <w:sz w:val="22"/>
                <w:szCs w:val="22"/>
                <w:lang w:val="es-CO"/>
              </w:rPr>
              <w:t>Las emisiones de GEI del sector energético chileno son coherentes con los límites definidos por la ciencia a nivel global y con la correspondiente meta nacional de reducción, promoviendo medidas de mitigación costo efectivas.</w:t>
            </w:r>
          </w:p>
        </w:tc>
      </w:tr>
      <w:tr w:rsidR="00C419B8" w:rsidRPr="001C59A0" w:rsidTr="00DE4B10">
        <w:tc>
          <w:tcPr>
            <w:tcW w:w="1049" w:type="dxa"/>
            <w:vMerge w:val="restart"/>
            <w:textDirection w:val="btLr"/>
            <w:vAlign w:val="center"/>
          </w:tcPr>
          <w:p w:rsidR="00C419B8" w:rsidRPr="001C59A0" w:rsidRDefault="00C419B8" w:rsidP="00DE4B10">
            <w:pPr>
              <w:spacing w:after="100" w:afterAutospacing="1"/>
              <w:ind w:left="113" w:right="113"/>
              <w:jc w:val="center"/>
              <w:rPr>
                <w:rFonts w:ascii="Arial" w:hAnsi="Arial" w:cs="Arial"/>
                <w:bCs/>
                <w:sz w:val="22"/>
                <w:szCs w:val="22"/>
              </w:rPr>
            </w:pPr>
            <w:r w:rsidRPr="001C59A0">
              <w:rPr>
                <w:rFonts w:ascii="Arial" w:hAnsi="Arial" w:cs="Arial"/>
                <w:bCs/>
                <w:sz w:val="22"/>
                <w:szCs w:val="22"/>
              </w:rPr>
              <w:t>EQUIDAD</w:t>
            </w:r>
          </w:p>
        </w:tc>
        <w:tc>
          <w:tcPr>
            <w:tcW w:w="3938"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100% de viviendas de familias vulnerables con acceso continuo y de calidad a los servicios energéticos.</w:t>
            </w:r>
          </w:p>
        </w:tc>
        <w:tc>
          <w:tcPr>
            <w:tcW w:w="3939"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100% de la población con acceso continuo y de calidad a</w:t>
            </w:r>
          </w:p>
          <w:p w:rsidR="00C419B8" w:rsidRPr="001C59A0" w:rsidRDefault="00C419B8" w:rsidP="00DE4B10">
            <w:pPr>
              <w:jc w:val="both"/>
              <w:rPr>
                <w:rFonts w:ascii="Arial" w:hAnsi="Arial" w:cs="Arial"/>
                <w:bCs/>
                <w:sz w:val="22"/>
                <w:szCs w:val="22"/>
              </w:rPr>
            </w:pPr>
            <w:r w:rsidRPr="001C59A0">
              <w:rPr>
                <w:rFonts w:ascii="Arial" w:hAnsi="Arial" w:cs="Arial"/>
                <w:bCs/>
                <w:sz w:val="22"/>
                <w:szCs w:val="22"/>
              </w:rPr>
              <w:t>los servicios energéticos.</w:t>
            </w:r>
          </w:p>
        </w:tc>
      </w:tr>
      <w:tr w:rsidR="00C419B8" w:rsidRPr="00EF4F23" w:rsidTr="00DE4B10">
        <w:tc>
          <w:tcPr>
            <w:tcW w:w="1049" w:type="dxa"/>
            <w:vMerge/>
          </w:tcPr>
          <w:p w:rsidR="00C419B8" w:rsidRPr="001C59A0" w:rsidRDefault="00C419B8" w:rsidP="00DE4B10">
            <w:pPr>
              <w:spacing w:after="100" w:afterAutospacing="1"/>
              <w:jc w:val="both"/>
              <w:rPr>
                <w:rFonts w:ascii="Arial" w:hAnsi="Arial" w:cs="Arial"/>
                <w:bCs/>
                <w:sz w:val="22"/>
                <w:szCs w:val="22"/>
              </w:rPr>
            </w:pPr>
          </w:p>
        </w:tc>
        <w:tc>
          <w:tcPr>
            <w:tcW w:w="3938"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Las familias vulnerables disminuyen el porcentaje de su ingreso que destinan a cubrir sus necesidades energéticas básicas a niveles cercanos a los definidos como adecuados para la realidad nacional.</w:t>
            </w:r>
          </w:p>
        </w:tc>
        <w:tc>
          <w:tcPr>
            <w:tcW w:w="3939" w:type="dxa"/>
            <w:vAlign w:val="center"/>
          </w:tcPr>
          <w:p w:rsidR="00C419B8" w:rsidRPr="001C59A0" w:rsidRDefault="00C419B8" w:rsidP="00DE4B10">
            <w:pPr>
              <w:jc w:val="both"/>
              <w:rPr>
                <w:rFonts w:ascii="Arial" w:hAnsi="Arial" w:cs="Arial"/>
                <w:bCs/>
                <w:sz w:val="22"/>
                <w:szCs w:val="22"/>
                <w:lang w:val="es-CO"/>
              </w:rPr>
            </w:pPr>
            <w:r w:rsidRPr="001C59A0">
              <w:rPr>
                <w:rFonts w:ascii="Arial" w:hAnsi="Arial" w:cs="Arial"/>
                <w:bCs/>
                <w:sz w:val="22"/>
                <w:szCs w:val="22"/>
                <w:lang w:val="es-CO"/>
              </w:rPr>
              <w:t>Las familias vulnerables disminuyen el porcentaje de su ingreso que destinan a cubrir sus necesidades energéticas básicas a los niveles definidos como adecuados para la realidad nacional.</w:t>
            </w:r>
          </w:p>
        </w:tc>
      </w:tr>
    </w:tbl>
    <w:p w:rsidR="00C419B8" w:rsidRPr="001C59A0" w:rsidRDefault="00C419B8" w:rsidP="00C419B8">
      <w:pPr>
        <w:spacing w:before="100" w:beforeAutospacing="1"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before="100" w:beforeAutospacing="1" w:after="100" w:afterAutospacing="1"/>
        <w:jc w:val="center"/>
        <w:rPr>
          <w:rFonts w:ascii="Arial" w:hAnsi="Arial" w:cs="Arial"/>
          <w:bCs/>
          <w:sz w:val="22"/>
          <w:szCs w:val="22"/>
        </w:rPr>
      </w:pPr>
    </w:p>
    <w:p w:rsidR="00C419B8" w:rsidRPr="001C59A0" w:rsidRDefault="00C419B8" w:rsidP="00C419B8">
      <w:pPr>
        <w:pStyle w:val="ListParagraph"/>
        <w:numPr>
          <w:ilvl w:val="2"/>
          <w:numId w:val="8"/>
        </w:numPr>
        <w:spacing w:after="100" w:afterAutospacing="1"/>
        <w:ind w:left="0" w:firstLine="0"/>
        <w:jc w:val="both"/>
        <w:outlineLvl w:val="2"/>
        <w:rPr>
          <w:rFonts w:ascii="Arial" w:eastAsia="Calibri" w:hAnsi="Arial" w:cs="Arial"/>
          <w:b/>
          <w:lang w:val="es-CO"/>
        </w:rPr>
      </w:pPr>
      <w:bookmarkStart w:id="12" w:name="_Toc459677770"/>
      <w:r w:rsidRPr="001C59A0">
        <w:rPr>
          <w:rFonts w:ascii="Arial" w:eastAsia="Calibri" w:hAnsi="Arial" w:cs="Arial"/>
          <w:b/>
          <w:lang w:val="es-CO"/>
        </w:rPr>
        <w:t>Productos Esperados del Programa y de la Política Energética</w:t>
      </w:r>
      <w:bookmarkEnd w:id="12"/>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lastRenderedPageBreak/>
        <w:t xml:space="preserve">Por su parte, el Programa establece un conjunto de compromisos y medidas de política vinculadas con las metas señaladas más arriba y que de lograrse habilitarían y/o facilitarían su logro. En el cuadro siguiente se presentan los productos esperados de aplicar el Programa. En su conjunto establecen un marco coherente para el desarrollo del sector, fortalecen las instituciones claves requeridas, permiten disponer de las herramientas legales y normas técnicas necesarias y se apoya el desarrolla de estudios específicos relevantes.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De lograr estos productos, el Programa facilitará el aumento de competencia, promoverá el desarrollo de energías renovables, aportará en el logro de una mayor eficiencia energética y a una mayor integración energética regional. Con ello, y en línea con lo que se propone en las metas de Política Energética para el sector, un Programa exitoso implicará un impacto en:</w:t>
      </w:r>
    </w:p>
    <w:p w:rsidR="00C419B8" w:rsidRPr="001C59A0" w:rsidRDefault="00C419B8" w:rsidP="00C419B8">
      <w:pPr>
        <w:pStyle w:val="ListParagraph"/>
        <w:numPr>
          <w:ilvl w:val="0"/>
          <w:numId w:val="20"/>
        </w:numPr>
        <w:spacing w:after="100" w:afterAutospacing="1" w:line="259" w:lineRule="auto"/>
        <w:jc w:val="both"/>
        <w:rPr>
          <w:rFonts w:ascii="Arial" w:hAnsi="Arial" w:cs="Arial"/>
          <w:bCs/>
          <w:lang w:val="es-CO"/>
        </w:rPr>
      </w:pPr>
      <w:r w:rsidRPr="001C59A0">
        <w:rPr>
          <w:rFonts w:ascii="Arial" w:hAnsi="Arial" w:cs="Arial"/>
          <w:bCs/>
          <w:lang w:val="es-CO"/>
        </w:rPr>
        <w:t>la tarifa eléctrica esperada, en especial una reducción debido al aumento de competencia;</w:t>
      </w:r>
    </w:p>
    <w:p w:rsidR="00C419B8" w:rsidRPr="001C59A0" w:rsidRDefault="00C419B8" w:rsidP="00C419B8">
      <w:pPr>
        <w:pStyle w:val="ListParagraph"/>
        <w:numPr>
          <w:ilvl w:val="0"/>
          <w:numId w:val="20"/>
        </w:numPr>
        <w:spacing w:after="100" w:afterAutospacing="1" w:line="259" w:lineRule="auto"/>
        <w:jc w:val="both"/>
        <w:rPr>
          <w:rFonts w:ascii="Arial" w:hAnsi="Arial" w:cs="Arial"/>
          <w:bCs/>
          <w:lang w:val="es-CO"/>
        </w:rPr>
      </w:pPr>
      <w:r w:rsidRPr="001C59A0">
        <w:rPr>
          <w:rFonts w:ascii="Arial" w:hAnsi="Arial" w:cs="Arial"/>
          <w:bCs/>
          <w:lang w:val="es-CO"/>
        </w:rPr>
        <w:t xml:space="preserve">la matriz energética, lo que incluye: </w:t>
      </w:r>
    </w:p>
    <w:p w:rsidR="00C419B8" w:rsidRPr="001C59A0" w:rsidRDefault="00C419B8" w:rsidP="00C419B8">
      <w:pPr>
        <w:pStyle w:val="ListParagraph"/>
        <w:numPr>
          <w:ilvl w:val="1"/>
          <w:numId w:val="20"/>
        </w:numPr>
        <w:spacing w:after="100" w:afterAutospacing="1" w:line="259" w:lineRule="auto"/>
        <w:jc w:val="both"/>
        <w:rPr>
          <w:rFonts w:ascii="Arial" w:hAnsi="Arial" w:cs="Arial"/>
          <w:bCs/>
          <w:lang w:val="es-CO"/>
        </w:rPr>
      </w:pPr>
      <w:r w:rsidRPr="001C59A0">
        <w:rPr>
          <w:rFonts w:ascii="Arial" w:hAnsi="Arial" w:cs="Arial"/>
          <w:bCs/>
          <w:lang w:val="es-CO"/>
        </w:rPr>
        <w:t>mayor incorporación de ERNC e hidro por reducción de la incertidumbre en el sector tanto regulatoria como de información;</w:t>
      </w:r>
    </w:p>
    <w:p w:rsidR="00C419B8" w:rsidRPr="001C59A0" w:rsidRDefault="00C419B8" w:rsidP="00C419B8">
      <w:pPr>
        <w:pStyle w:val="ListParagraph"/>
        <w:numPr>
          <w:ilvl w:val="1"/>
          <w:numId w:val="20"/>
        </w:numPr>
        <w:spacing w:after="100" w:afterAutospacing="1" w:line="259" w:lineRule="auto"/>
        <w:jc w:val="both"/>
        <w:rPr>
          <w:rFonts w:ascii="Arial" w:hAnsi="Arial" w:cs="Arial"/>
          <w:bCs/>
          <w:lang w:val="es-CO"/>
        </w:rPr>
      </w:pPr>
      <w:r w:rsidRPr="001C59A0">
        <w:rPr>
          <w:rFonts w:ascii="Arial" w:hAnsi="Arial" w:cs="Arial"/>
          <w:bCs/>
          <w:lang w:val="es-CO"/>
        </w:rPr>
        <w:t>reducción en la demanda de energía al desacoplarse parcialmente crecimiento y consumo de energía;</w:t>
      </w:r>
    </w:p>
    <w:p w:rsidR="00C419B8" w:rsidRPr="001C59A0" w:rsidRDefault="00C419B8" w:rsidP="00C419B8">
      <w:pPr>
        <w:pStyle w:val="ListParagraph"/>
        <w:numPr>
          <w:ilvl w:val="0"/>
          <w:numId w:val="20"/>
        </w:numPr>
        <w:spacing w:after="100" w:afterAutospacing="1" w:line="259" w:lineRule="auto"/>
        <w:jc w:val="both"/>
        <w:rPr>
          <w:rFonts w:ascii="Arial" w:hAnsi="Arial" w:cs="Arial"/>
          <w:bCs/>
          <w:lang w:val="es-CO"/>
        </w:rPr>
      </w:pPr>
      <w:r w:rsidRPr="001C59A0">
        <w:rPr>
          <w:rFonts w:ascii="Arial" w:hAnsi="Arial" w:cs="Arial"/>
          <w:bCs/>
          <w:lang w:val="es-CO"/>
        </w:rPr>
        <w:t>reducción de las emisiones de gases de efecto invernadero y emisiones locales, debido al cambio de matriz, uso más eficiente de la leña y reducción de demanda energética.</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evaluar luego los beneficios monetarios asociados al Programa es fundamental establecer las características de la nueva matriz de generación eléctrica esperada.  Ésta será el resultado combinado del conjunto de medidas del Programa. Cabe destacar que este resultado no es la suma simple de las medidas. Por ejemplo, la combinación óptima de ERNC será diferente en un escenario con interconexión eléctrica que uno sin. Del mismo modo, la reducción de emisiones de una misma medida de eficiencia energética (por ejemplo, mejora en motores) será muy diferente si la generación es básicamente en base a carbón, o si la matriz tiene una alta proporción de ERNC. Por ello, para estimar la magnitud de estos beneficios se ha utilizado un escenario de generación alternativo al de línea base que considera el conjunto de medidas que los originan. Adicionalmente se mide el impacto de algunas medidas individuales, por ejemplo, por mejora en salud al mejorar/reducir los usos de la leña.</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Cuadro N°2: Productos Esperados de Aplicar el Programa</w:t>
      </w:r>
    </w:p>
    <w:tbl>
      <w:tblPr>
        <w:tblpPr w:leftFromText="141" w:rightFromText="141" w:vertAnchor="text" w:tblpY="1"/>
        <w:tblOverlap w:val="neve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4"/>
      </w:tblGrid>
      <w:tr w:rsidR="00C419B8" w:rsidRPr="001C59A0" w:rsidTr="00DE4B10">
        <w:trPr>
          <w:trHeight w:val="440"/>
          <w:tblHeader/>
        </w:trPr>
        <w:tc>
          <w:tcPr>
            <w:tcW w:w="5000" w:type="pct"/>
            <w:vMerge w:val="restart"/>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bCs/>
                <w:color w:val="000000"/>
                <w:sz w:val="22"/>
                <w:szCs w:val="22"/>
              </w:rPr>
            </w:pPr>
            <w:r w:rsidRPr="001C59A0">
              <w:rPr>
                <w:rFonts w:ascii="Arial" w:hAnsi="Arial" w:cs="Arial"/>
                <w:bCs/>
                <w:color w:val="000000"/>
                <w:sz w:val="22"/>
                <w:szCs w:val="22"/>
                <w:lang w:val="es-ES"/>
              </w:rPr>
              <w:t>Productos Esperados</w:t>
            </w:r>
          </w:p>
        </w:tc>
      </w:tr>
      <w:tr w:rsidR="00C419B8" w:rsidRPr="001C59A0" w:rsidTr="00DE4B10">
        <w:trPr>
          <w:trHeight w:val="282"/>
          <w:tblHeader/>
        </w:trPr>
        <w:tc>
          <w:tcPr>
            <w:tcW w:w="5000" w:type="pct"/>
            <w:vMerge/>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bCs/>
                <w:color w:val="000000"/>
                <w:sz w:val="22"/>
                <w:szCs w:val="22"/>
              </w:rPr>
            </w:pPr>
          </w:p>
        </w:tc>
      </w:tr>
      <w:tr w:rsidR="00C419B8" w:rsidRPr="001C59A0" w:rsidTr="00DE4B10">
        <w:trPr>
          <w:trHeight w:val="287"/>
        </w:trPr>
        <w:tc>
          <w:tcPr>
            <w:tcW w:w="5000" w:type="pct"/>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I. Estabilidad Macroeconómica</w:t>
            </w:r>
          </w:p>
        </w:tc>
      </w:tr>
      <w:tr w:rsidR="00C419B8" w:rsidRPr="00EF4F23" w:rsidTr="00DE4B10">
        <w:trPr>
          <w:trHeight w:val="558"/>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color w:val="000000"/>
                <w:sz w:val="22"/>
                <w:szCs w:val="22"/>
                <w:lang w:val="es-ES_tradnl"/>
              </w:rPr>
              <w:t>Marco macroeconómico consistente con los objetivos del Programa y con los lineamientos establecidos en la carta de política sectorial.</w:t>
            </w:r>
          </w:p>
        </w:tc>
      </w:tr>
      <w:tr w:rsidR="00C419B8" w:rsidRPr="00EF4F23" w:rsidTr="00DE4B10">
        <w:trPr>
          <w:trHeight w:val="242"/>
        </w:trPr>
        <w:tc>
          <w:tcPr>
            <w:tcW w:w="5000" w:type="pct"/>
          </w:tcPr>
          <w:p w:rsidR="00C419B8" w:rsidRPr="001C59A0" w:rsidRDefault="00C419B8" w:rsidP="00DE4B10">
            <w:pPr>
              <w:spacing w:after="100" w:afterAutospacing="1"/>
              <w:jc w:val="both"/>
              <w:rPr>
                <w:rFonts w:ascii="Arial" w:hAnsi="Arial" w:cs="Arial"/>
                <w:bCs/>
                <w:color w:val="000000"/>
                <w:sz w:val="22"/>
                <w:szCs w:val="22"/>
                <w:lang w:val="es-MX"/>
              </w:rPr>
            </w:pPr>
            <w:r w:rsidRPr="001C59A0">
              <w:rPr>
                <w:rFonts w:ascii="Arial" w:hAnsi="Arial" w:cs="Arial"/>
                <w:bCs/>
                <w:color w:val="000000"/>
                <w:sz w:val="22"/>
                <w:szCs w:val="22"/>
                <w:lang w:val="es-MX"/>
              </w:rPr>
              <w:t xml:space="preserve">II. </w:t>
            </w:r>
            <w:r w:rsidRPr="001C59A0">
              <w:rPr>
                <w:rFonts w:ascii="Arial" w:hAnsi="Arial" w:cs="Arial"/>
                <w:sz w:val="22"/>
                <w:szCs w:val="22"/>
                <w:lang w:val="es-MX"/>
              </w:rPr>
              <w:t>Política Sectorial de Energía de Largo Plazo</w:t>
            </w:r>
          </w:p>
        </w:tc>
      </w:tr>
      <w:tr w:rsidR="00C419B8" w:rsidRPr="00EF4F23" w:rsidTr="00DE4B10">
        <w:trPr>
          <w:trHeight w:val="724"/>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lastRenderedPageBreak/>
              <w:t>Política que establezca la visión y plan de acción del sector energético de Chile a largo plazo, a través de un proceso de consulta involucrando diferentes grupos de interés y temas de seguridad y calidad del suministro, desarrollo económico, media ambiente y eficiencia y educación energética, formulada y aprobada.</w:t>
            </w:r>
          </w:p>
        </w:tc>
      </w:tr>
      <w:tr w:rsidR="00C419B8" w:rsidRPr="00EF4F23" w:rsidTr="00DE4B10">
        <w:trPr>
          <w:trHeight w:val="423"/>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bCs/>
                <w:color w:val="000000"/>
                <w:sz w:val="22"/>
                <w:szCs w:val="22"/>
                <w:lang w:val="es-MX"/>
              </w:rPr>
              <w:t>Esquema y proceso tarifario para reflejar los precios reales de generación, transmisión y distribución eléctrica, mejorado</w:t>
            </w:r>
          </w:p>
        </w:tc>
      </w:tr>
      <w:tr w:rsidR="00C419B8" w:rsidRPr="00EF4F23" w:rsidTr="00DE4B10">
        <w:trPr>
          <w:trHeight w:val="542"/>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MX"/>
              </w:rPr>
            </w:pPr>
            <w:r w:rsidRPr="001C59A0">
              <w:rPr>
                <w:rFonts w:ascii="Arial" w:hAnsi="Arial" w:cs="Arial"/>
                <w:bCs/>
                <w:color w:val="000000"/>
                <w:sz w:val="22"/>
                <w:szCs w:val="22"/>
                <w:lang w:val="es-MX"/>
              </w:rPr>
              <w:t>Esquema y proceso tarifario para reflejar los precios reales de distribución de gas, con el fin de asegurar la sostenibilidad técnica y financiera del sector, mejorado.</w:t>
            </w:r>
          </w:p>
        </w:tc>
      </w:tr>
      <w:tr w:rsidR="00C419B8" w:rsidRPr="00EF4F23" w:rsidTr="00DE4B10">
        <w:trPr>
          <w:trHeight w:val="504"/>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bCs/>
                <w:color w:val="000000"/>
                <w:sz w:val="22"/>
                <w:szCs w:val="22"/>
                <w:lang w:val="es-MX"/>
              </w:rPr>
              <w:t>Suministro eléctrico de clientes regulados cuente con un sistema de licitaciones más eficiente.</w:t>
            </w:r>
          </w:p>
        </w:tc>
      </w:tr>
      <w:tr w:rsidR="00C419B8" w:rsidRPr="00EF4F23" w:rsidTr="00DE4B10">
        <w:trPr>
          <w:trHeight w:val="419"/>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bCs/>
                <w:color w:val="000000"/>
                <w:sz w:val="22"/>
                <w:szCs w:val="22"/>
                <w:lang w:val="es-CO"/>
              </w:rPr>
              <w:t>A</w:t>
            </w:r>
            <w:r w:rsidRPr="001C59A0">
              <w:rPr>
                <w:rFonts w:ascii="Arial" w:hAnsi="Arial" w:cs="Arial"/>
                <w:bCs/>
                <w:color w:val="000000"/>
                <w:sz w:val="22"/>
                <w:szCs w:val="22"/>
                <w:lang w:val="es-MX"/>
              </w:rPr>
              <w:t>ctor público robusto en el mercado energético nacional que permita traer sinergias y eficiencias definido.</w:t>
            </w:r>
          </w:p>
        </w:tc>
      </w:tr>
      <w:tr w:rsidR="00C419B8" w:rsidRPr="00EF4F23" w:rsidTr="00DE4B10">
        <w:trPr>
          <w:trHeight w:val="340"/>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bCs/>
                <w:color w:val="000000"/>
                <w:sz w:val="22"/>
                <w:szCs w:val="22"/>
                <w:lang w:val="es-MX"/>
              </w:rPr>
              <w:t>Normativas que faciliten la instalación de generación distribuida elaboradas.</w:t>
            </w:r>
          </w:p>
        </w:tc>
      </w:tr>
      <w:tr w:rsidR="00C419B8" w:rsidRPr="001C59A0" w:rsidTr="00DE4B10">
        <w:trPr>
          <w:trHeight w:val="340"/>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Sistemas SIC y SING se integrados físicamente y armonizados regulatoriamente.</w:t>
            </w:r>
          </w:p>
        </w:tc>
      </w:tr>
      <w:tr w:rsidR="00C419B8" w:rsidRPr="00EF4F23" w:rsidTr="00DE4B10">
        <w:trPr>
          <w:trHeight w:val="475"/>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Instituciones responsables de la planificación, monitoreo, regulación y desarrollo del sector fortalecidas, y una plataforma de información energética para mayor transparencia desarrollada.</w:t>
            </w:r>
          </w:p>
        </w:tc>
      </w:tr>
      <w:tr w:rsidR="00C419B8" w:rsidRPr="00EF4F23" w:rsidTr="00DE4B10">
        <w:trPr>
          <w:trHeight w:val="297"/>
        </w:trPr>
        <w:tc>
          <w:tcPr>
            <w:tcW w:w="5000" w:type="pct"/>
          </w:tcPr>
          <w:p w:rsidR="00C419B8" w:rsidRPr="001C59A0" w:rsidRDefault="00C419B8" w:rsidP="00DE4B10">
            <w:pPr>
              <w:spacing w:after="100" w:afterAutospacing="1"/>
              <w:jc w:val="both"/>
              <w:rPr>
                <w:rFonts w:ascii="Arial" w:hAnsi="Arial" w:cs="Arial"/>
                <w:bCs/>
                <w:color w:val="000000"/>
                <w:sz w:val="22"/>
                <w:szCs w:val="22"/>
                <w:lang w:val="es-MX"/>
              </w:rPr>
            </w:pPr>
            <w:r w:rsidRPr="001C59A0">
              <w:rPr>
                <w:rFonts w:ascii="Arial" w:hAnsi="Arial" w:cs="Arial"/>
                <w:bCs/>
                <w:color w:val="000000"/>
                <w:sz w:val="22"/>
                <w:szCs w:val="22"/>
                <w:lang w:val="es-MX"/>
              </w:rPr>
              <w:t>III. Desarrollo de Energías Renovables</w:t>
            </w:r>
          </w:p>
        </w:tc>
      </w:tr>
      <w:tr w:rsidR="00C419B8" w:rsidRPr="00EF4F23" w:rsidTr="00DE4B10">
        <w:trPr>
          <w:trHeight w:val="475"/>
        </w:trPr>
        <w:tc>
          <w:tcPr>
            <w:tcW w:w="5000" w:type="pct"/>
            <w:shd w:val="clear" w:color="auto" w:fill="auto"/>
            <w:vAlign w:val="center"/>
          </w:tcPr>
          <w:p w:rsidR="00C419B8" w:rsidRPr="001C59A0" w:rsidRDefault="00C419B8" w:rsidP="00DE4B10">
            <w:pPr>
              <w:spacing w:after="100" w:afterAutospacing="1"/>
              <w:ind w:left="720"/>
              <w:rPr>
                <w:rFonts w:ascii="Arial" w:hAnsi="Arial" w:cs="Arial"/>
                <w:bCs/>
                <w:color w:val="000000"/>
                <w:sz w:val="22"/>
                <w:szCs w:val="22"/>
                <w:lang w:val="es-MX"/>
              </w:rPr>
            </w:pPr>
            <w:r w:rsidRPr="001C59A0">
              <w:rPr>
                <w:rFonts w:ascii="Arial" w:hAnsi="Arial" w:cs="Arial"/>
                <w:sz w:val="22"/>
                <w:szCs w:val="22"/>
                <w:lang w:val="es-MX"/>
              </w:rPr>
              <w:t>Normativas que regulen y fomenten el desarrollo de ER y se hayan actualizado las existentes con criterios socio-ambientales elaboradas.</w:t>
            </w:r>
          </w:p>
        </w:tc>
      </w:tr>
      <w:tr w:rsidR="00C419B8" w:rsidRPr="00EF4F23" w:rsidTr="00DE4B10">
        <w:trPr>
          <w:trHeight w:val="343"/>
        </w:trPr>
        <w:tc>
          <w:tcPr>
            <w:tcW w:w="5000" w:type="pct"/>
            <w:shd w:val="clear" w:color="auto" w:fill="auto"/>
            <w:vAlign w:val="center"/>
          </w:tcPr>
          <w:p w:rsidR="00C419B8" w:rsidRPr="001C59A0" w:rsidRDefault="00C419B8" w:rsidP="00DE4B10">
            <w:pPr>
              <w:spacing w:after="100" w:afterAutospacing="1"/>
              <w:ind w:left="720"/>
              <w:rPr>
                <w:rFonts w:ascii="Arial" w:hAnsi="Arial" w:cs="Arial"/>
                <w:color w:val="000000"/>
                <w:sz w:val="22"/>
                <w:szCs w:val="22"/>
                <w:lang w:val="es-MX"/>
              </w:rPr>
            </w:pPr>
            <w:r w:rsidRPr="001C59A0">
              <w:rPr>
                <w:rFonts w:ascii="Arial" w:hAnsi="Arial" w:cs="Arial"/>
                <w:bCs/>
                <w:color w:val="000000"/>
                <w:sz w:val="22"/>
                <w:szCs w:val="22"/>
                <w:lang w:val="es-MX"/>
              </w:rPr>
              <w:t>Instituciones responsables de la investigación y promoción de ERNC creadas.</w:t>
            </w:r>
          </w:p>
        </w:tc>
      </w:tr>
      <w:tr w:rsidR="00C419B8" w:rsidRPr="00EF4F23" w:rsidTr="00DE4B10">
        <w:trPr>
          <w:trHeight w:val="340"/>
        </w:trPr>
        <w:tc>
          <w:tcPr>
            <w:tcW w:w="5000" w:type="pct"/>
            <w:shd w:val="clear" w:color="auto" w:fill="auto"/>
            <w:vAlign w:val="center"/>
          </w:tcPr>
          <w:p w:rsidR="00C419B8" w:rsidRPr="001C59A0" w:rsidRDefault="00C419B8" w:rsidP="00DE4B10">
            <w:pPr>
              <w:spacing w:after="100" w:afterAutospacing="1"/>
              <w:ind w:left="720"/>
              <w:rPr>
                <w:rFonts w:ascii="Arial" w:hAnsi="Arial" w:cs="Arial"/>
                <w:sz w:val="22"/>
                <w:szCs w:val="22"/>
                <w:lang w:val="es-MX"/>
              </w:rPr>
            </w:pPr>
            <w:r w:rsidRPr="001C59A0">
              <w:rPr>
                <w:rFonts w:ascii="Arial" w:hAnsi="Arial" w:cs="Arial"/>
                <w:sz w:val="22"/>
                <w:szCs w:val="22"/>
                <w:lang w:val="es-MX"/>
              </w:rPr>
              <w:t>Análisis sistemático e integral del potencial de ER en el país completado.</w:t>
            </w:r>
          </w:p>
        </w:tc>
      </w:tr>
      <w:tr w:rsidR="00C419B8" w:rsidRPr="00EF4F23" w:rsidTr="00DE4B10">
        <w:trPr>
          <w:trHeight w:val="283"/>
        </w:trPr>
        <w:tc>
          <w:tcPr>
            <w:tcW w:w="5000" w:type="pct"/>
            <w:shd w:val="clear" w:color="auto" w:fill="auto"/>
            <w:vAlign w:val="center"/>
          </w:tcPr>
          <w:p w:rsidR="00C419B8" w:rsidRPr="001C59A0" w:rsidRDefault="00C419B8" w:rsidP="00DE4B10">
            <w:pPr>
              <w:spacing w:after="100" w:afterAutospacing="1"/>
              <w:ind w:left="720"/>
              <w:rPr>
                <w:rFonts w:ascii="Arial" w:hAnsi="Arial" w:cs="Arial"/>
                <w:sz w:val="22"/>
                <w:szCs w:val="22"/>
                <w:lang w:val="es-MX"/>
              </w:rPr>
            </w:pPr>
            <w:r w:rsidRPr="001C59A0">
              <w:rPr>
                <w:rFonts w:ascii="Arial" w:hAnsi="Arial" w:cs="Arial"/>
                <w:sz w:val="22"/>
                <w:szCs w:val="22"/>
                <w:lang w:val="es-MX"/>
              </w:rPr>
              <w:t>Concesiones de exploración y explotación geotérmica.</w:t>
            </w:r>
          </w:p>
        </w:tc>
      </w:tr>
      <w:tr w:rsidR="00C419B8" w:rsidRPr="00EF4F23" w:rsidTr="00DE4B10">
        <w:trPr>
          <w:trHeight w:val="340"/>
        </w:trPr>
        <w:tc>
          <w:tcPr>
            <w:tcW w:w="5000" w:type="pct"/>
            <w:shd w:val="clear" w:color="auto" w:fill="auto"/>
            <w:vAlign w:val="center"/>
          </w:tcPr>
          <w:p w:rsidR="00C419B8" w:rsidRPr="001C59A0" w:rsidRDefault="00C419B8" w:rsidP="00DE4B10">
            <w:pPr>
              <w:spacing w:after="100" w:afterAutospacing="1"/>
              <w:ind w:left="720"/>
              <w:rPr>
                <w:rFonts w:ascii="Arial" w:hAnsi="Arial" w:cs="Arial"/>
                <w:sz w:val="22"/>
                <w:szCs w:val="22"/>
                <w:highlight w:val="yellow"/>
                <w:lang w:val="es-MX"/>
              </w:rPr>
            </w:pPr>
            <w:r w:rsidRPr="001C59A0">
              <w:rPr>
                <w:rFonts w:ascii="Arial" w:hAnsi="Arial" w:cs="Arial"/>
                <w:sz w:val="22"/>
                <w:szCs w:val="22"/>
                <w:lang w:val="es-MX"/>
              </w:rPr>
              <w:t>Proyecto de energía solar concentrada a gran escala en un sector productivo.</w:t>
            </w:r>
          </w:p>
        </w:tc>
      </w:tr>
      <w:tr w:rsidR="00C419B8" w:rsidRPr="00EF4F23" w:rsidTr="00DE4B10">
        <w:trPr>
          <w:trHeight w:val="340"/>
        </w:trPr>
        <w:tc>
          <w:tcPr>
            <w:tcW w:w="5000" w:type="pct"/>
            <w:shd w:val="clear" w:color="auto" w:fill="auto"/>
            <w:vAlign w:val="center"/>
          </w:tcPr>
          <w:p w:rsidR="00C419B8" w:rsidRPr="001C59A0" w:rsidRDefault="00C419B8" w:rsidP="00DE4B10">
            <w:pPr>
              <w:spacing w:after="100" w:afterAutospacing="1"/>
              <w:ind w:left="720"/>
              <w:rPr>
                <w:rFonts w:ascii="Arial" w:hAnsi="Arial" w:cs="Arial"/>
                <w:color w:val="000000"/>
                <w:sz w:val="22"/>
                <w:szCs w:val="22"/>
                <w:lang w:val="es-MX"/>
              </w:rPr>
            </w:pPr>
            <w:r w:rsidRPr="001C59A0">
              <w:rPr>
                <w:rFonts w:ascii="Arial" w:hAnsi="Arial" w:cs="Arial"/>
                <w:sz w:val="22"/>
                <w:szCs w:val="22"/>
                <w:lang w:val="es-MX"/>
              </w:rPr>
              <w:t>Informe de cumplimiento de meta inyección ERNC en el sistema interconectado central.</w:t>
            </w:r>
          </w:p>
        </w:tc>
      </w:tr>
      <w:tr w:rsidR="00C419B8" w:rsidRPr="00EF4F23" w:rsidTr="00DE4B10">
        <w:trPr>
          <w:trHeight w:val="297"/>
        </w:trPr>
        <w:tc>
          <w:tcPr>
            <w:tcW w:w="5000" w:type="pct"/>
          </w:tcPr>
          <w:p w:rsidR="00C419B8" w:rsidRPr="001C59A0" w:rsidRDefault="00C419B8" w:rsidP="00DE4B10">
            <w:pPr>
              <w:spacing w:after="100" w:afterAutospacing="1"/>
              <w:jc w:val="both"/>
              <w:rPr>
                <w:rFonts w:ascii="Arial" w:hAnsi="Arial" w:cs="Arial"/>
                <w:bCs/>
                <w:sz w:val="22"/>
                <w:szCs w:val="22"/>
                <w:lang w:val="es-MX"/>
              </w:rPr>
            </w:pPr>
            <w:r w:rsidRPr="001C59A0">
              <w:rPr>
                <w:rFonts w:ascii="Arial" w:hAnsi="Arial" w:cs="Arial"/>
                <w:bCs/>
                <w:sz w:val="22"/>
                <w:szCs w:val="22"/>
                <w:lang w:val="es-MX"/>
              </w:rPr>
              <w:t>IV. Apoyo a la Eficiencia Energética</w:t>
            </w:r>
          </w:p>
        </w:tc>
      </w:tr>
      <w:tr w:rsidR="00C419B8" w:rsidRPr="00EF4F23" w:rsidTr="00DE4B10">
        <w:trPr>
          <w:trHeight w:val="534"/>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Nuevas normativas, estándares y lineamientos nacionales sobre Eficiencia Energética definidos.</w:t>
            </w:r>
          </w:p>
        </w:tc>
      </w:tr>
      <w:tr w:rsidR="00C419B8" w:rsidRPr="00EF4F23" w:rsidTr="00DE4B10">
        <w:trPr>
          <w:trHeight w:val="435"/>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Normativas que permitan la implementación de medidas de EE en el sector público preparadas y sancionadas.</w:t>
            </w:r>
          </w:p>
        </w:tc>
      </w:tr>
      <w:tr w:rsidR="00C419B8" w:rsidRPr="00EF4F23" w:rsidTr="00DE4B10">
        <w:trPr>
          <w:trHeight w:val="344"/>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MX"/>
              </w:rPr>
            </w:pPr>
            <w:r w:rsidRPr="001C59A0">
              <w:rPr>
                <w:rFonts w:ascii="Arial" w:hAnsi="Arial" w:cs="Arial"/>
                <w:bCs/>
                <w:color w:val="000000"/>
                <w:sz w:val="22"/>
                <w:szCs w:val="22"/>
                <w:lang w:val="es-MX"/>
              </w:rPr>
              <w:t>Política con el fin de contribuir al uso eficiente y sostenible de la leña definida.</w:t>
            </w:r>
          </w:p>
        </w:tc>
      </w:tr>
      <w:tr w:rsidR="00C419B8" w:rsidRPr="00EF4F23" w:rsidTr="00DE4B10">
        <w:trPr>
          <w:trHeight w:val="549"/>
        </w:trPr>
        <w:tc>
          <w:tcPr>
            <w:tcW w:w="5000" w:type="pct"/>
            <w:shd w:val="clear" w:color="auto" w:fill="auto"/>
            <w:vAlign w:val="center"/>
          </w:tcPr>
          <w:p w:rsidR="00C419B8" w:rsidRPr="001C59A0" w:rsidRDefault="00C419B8" w:rsidP="00DE4B10">
            <w:pPr>
              <w:spacing w:after="100" w:afterAutospacing="1"/>
              <w:ind w:left="720"/>
              <w:jc w:val="both"/>
              <w:rPr>
                <w:rFonts w:ascii="Arial" w:hAnsi="Arial" w:cs="Arial"/>
                <w:color w:val="000000"/>
                <w:sz w:val="22"/>
                <w:szCs w:val="22"/>
                <w:lang w:val="es-ES_tradnl"/>
              </w:rPr>
            </w:pPr>
            <w:r w:rsidRPr="001C59A0">
              <w:rPr>
                <w:rFonts w:ascii="Arial" w:hAnsi="Arial" w:cs="Arial"/>
                <w:bCs/>
                <w:color w:val="000000"/>
                <w:sz w:val="22"/>
                <w:szCs w:val="22"/>
                <w:lang w:val="es-MX"/>
              </w:rPr>
              <w:t>Auditorias de EE y acciones de planificación, seguimiento y control de EE en instituciones y/o empresas públicas del sector de energía ejecutadas.</w:t>
            </w:r>
          </w:p>
        </w:tc>
      </w:tr>
      <w:tr w:rsidR="00C419B8" w:rsidRPr="00EF4F23" w:rsidTr="00DE4B10">
        <w:trPr>
          <w:trHeight w:val="354"/>
        </w:trPr>
        <w:tc>
          <w:tcPr>
            <w:tcW w:w="5000" w:type="pct"/>
          </w:tcPr>
          <w:p w:rsidR="00C419B8" w:rsidRPr="001C59A0" w:rsidRDefault="00C419B8" w:rsidP="00DE4B10">
            <w:pPr>
              <w:spacing w:after="100" w:afterAutospacing="1"/>
              <w:jc w:val="both"/>
              <w:rPr>
                <w:rFonts w:ascii="Arial" w:hAnsi="Arial" w:cs="Arial"/>
                <w:bCs/>
                <w:sz w:val="22"/>
                <w:szCs w:val="22"/>
                <w:lang w:val="es-MX"/>
              </w:rPr>
            </w:pPr>
            <w:r w:rsidRPr="001C59A0">
              <w:rPr>
                <w:rFonts w:ascii="Arial" w:hAnsi="Arial" w:cs="Arial"/>
                <w:bCs/>
                <w:sz w:val="22"/>
                <w:szCs w:val="22"/>
                <w:lang w:val="es-MX"/>
              </w:rPr>
              <w:t>V. Apoyo a la Integración Regional</w:t>
            </w:r>
          </w:p>
        </w:tc>
      </w:tr>
      <w:tr w:rsidR="00C419B8" w:rsidRPr="00EF4F23" w:rsidTr="00DE4B10">
        <w:trPr>
          <w:trHeight w:val="336"/>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Lineamientos para una política de integración energética regional formulados.</w:t>
            </w:r>
          </w:p>
        </w:tc>
      </w:tr>
      <w:tr w:rsidR="00C419B8" w:rsidRPr="00EF4F23" w:rsidTr="00DE4B10">
        <w:trPr>
          <w:trHeight w:val="258"/>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Proceso de reforma del sistema de transmisión eléctrica que considere potenciales transacciones eléctricas internacionales iniciado.</w:t>
            </w:r>
          </w:p>
        </w:tc>
      </w:tr>
      <w:tr w:rsidR="00C419B8" w:rsidRPr="00EF4F23" w:rsidTr="00DE4B10">
        <w:trPr>
          <w:trHeight w:val="322"/>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Transacciones binacionales de energía con al menos un país vecino.</w:t>
            </w:r>
          </w:p>
        </w:tc>
      </w:tr>
      <w:tr w:rsidR="00C419B8" w:rsidRPr="00EF4F23" w:rsidTr="00DE4B10">
        <w:trPr>
          <w:trHeight w:val="401"/>
        </w:trPr>
        <w:tc>
          <w:tcPr>
            <w:tcW w:w="5000" w:type="pct"/>
            <w:shd w:val="clear" w:color="auto" w:fill="auto"/>
          </w:tcPr>
          <w:p w:rsidR="00C419B8" w:rsidRPr="001C59A0" w:rsidRDefault="00C419B8" w:rsidP="00DE4B10">
            <w:pPr>
              <w:spacing w:after="100" w:afterAutospacing="1"/>
              <w:ind w:left="720"/>
              <w:jc w:val="both"/>
              <w:rPr>
                <w:rFonts w:ascii="Arial" w:hAnsi="Arial" w:cs="Arial"/>
                <w:bCs/>
                <w:color w:val="000000"/>
                <w:sz w:val="22"/>
                <w:szCs w:val="22"/>
                <w:lang w:val="es-MX"/>
              </w:rPr>
            </w:pPr>
            <w:r w:rsidRPr="001C59A0">
              <w:rPr>
                <w:rFonts w:ascii="Arial" w:hAnsi="Arial" w:cs="Arial"/>
                <w:bCs/>
                <w:color w:val="000000"/>
                <w:sz w:val="22"/>
                <w:szCs w:val="22"/>
                <w:lang w:val="es-MX"/>
              </w:rPr>
              <w:t>Proceso de análisis de armonización regulatoria para la integración eléctrica regional con al menos un país vecino iniciado.</w:t>
            </w:r>
          </w:p>
        </w:tc>
      </w:tr>
    </w:tbl>
    <w:p w:rsidR="00C419B8" w:rsidRPr="001C59A0" w:rsidRDefault="00C419B8" w:rsidP="00C419B8">
      <w:pPr>
        <w:jc w:val="center"/>
        <w:rPr>
          <w:rFonts w:ascii="Arial" w:eastAsia="Calibri" w:hAnsi="Arial" w:cs="Arial"/>
          <w:sz w:val="22"/>
          <w:szCs w:val="22"/>
          <w:lang w:val="es-CO"/>
        </w:rPr>
      </w:pPr>
    </w:p>
    <w:p w:rsidR="00C419B8" w:rsidRPr="001C59A0" w:rsidRDefault="00C419B8" w:rsidP="00C419B8">
      <w:pPr>
        <w:spacing w:after="100" w:afterAutospacing="1"/>
        <w:jc w:val="center"/>
        <w:rPr>
          <w:rFonts w:ascii="Arial" w:eastAsia="Calibri" w:hAnsi="Arial" w:cs="Arial"/>
          <w:sz w:val="22"/>
          <w:szCs w:val="22"/>
        </w:rPr>
      </w:pPr>
      <w:r w:rsidRPr="001C59A0">
        <w:rPr>
          <w:rFonts w:ascii="Arial" w:eastAsia="Calibri" w:hAnsi="Arial" w:cs="Arial"/>
          <w:sz w:val="22"/>
          <w:szCs w:val="22"/>
        </w:rPr>
        <w:t>Fuente: Elaboración Propia</w:t>
      </w:r>
    </w:p>
    <w:p w:rsidR="00C419B8" w:rsidRPr="001C59A0" w:rsidRDefault="00C419B8" w:rsidP="00C419B8">
      <w:pPr>
        <w:spacing w:after="100" w:afterAutospacing="1"/>
        <w:jc w:val="center"/>
        <w:rPr>
          <w:rFonts w:ascii="Arial" w:eastAsia="Calibri" w:hAnsi="Arial" w:cs="Arial"/>
          <w:sz w:val="22"/>
          <w:szCs w:val="22"/>
        </w:rPr>
      </w:pPr>
    </w:p>
    <w:p w:rsidR="00C419B8" w:rsidRPr="001C59A0" w:rsidRDefault="00C419B8" w:rsidP="00C419B8">
      <w:pPr>
        <w:pStyle w:val="ListParagraph"/>
        <w:numPr>
          <w:ilvl w:val="2"/>
          <w:numId w:val="8"/>
        </w:numPr>
        <w:spacing w:after="100" w:afterAutospacing="1"/>
        <w:ind w:left="0" w:firstLine="0"/>
        <w:jc w:val="both"/>
        <w:outlineLvl w:val="2"/>
        <w:rPr>
          <w:rFonts w:ascii="Arial" w:eastAsia="Calibri" w:hAnsi="Arial" w:cs="Arial"/>
          <w:b/>
        </w:rPr>
      </w:pPr>
      <w:bookmarkStart w:id="13" w:name="_Toc459677771"/>
      <w:r w:rsidRPr="001C59A0">
        <w:rPr>
          <w:rFonts w:ascii="Arial" w:eastAsia="Calibri" w:hAnsi="Arial" w:cs="Arial"/>
          <w:b/>
        </w:rPr>
        <w:lastRenderedPageBreak/>
        <w:t>Escenarios MAPS y el Programa</w:t>
      </w:r>
      <w:bookmarkEnd w:id="13"/>
    </w:p>
    <w:p w:rsidR="00C419B8" w:rsidRPr="001C59A0" w:rsidRDefault="00C419B8" w:rsidP="00C419B8">
      <w:pPr>
        <w:pStyle w:val="Default"/>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medir los impactos esperados del Programa en tarifas, demanda sectorial de energía y emisiones extradomiciliarias es necesario considerar un escenario que incorpore las principales medidas. Para ello se utiliza </w:t>
      </w:r>
      <w:r w:rsidRPr="001C59A0">
        <w:rPr>
          <w:rFonts w:ascii="Arial" w:hAnsi="Arial" w:cs="Arial"/>
          <w:bCs/>
          <w:color w:val="auto"/>
          <w:sz w:val="22"/>
          <w:szCs w:val="22"/>
          <w:lang w:val="es-CO" w:eastAsia="es-CL"/>
        </w:rPr>
        <w:t>el</w:t>
      </w:r>
      <w:r w:rsidRPr="001C59A0">
        <w:rPr>
          <w:rFonts w:ascii="Arial" w:hAnsi="Arial" w:cs="Arial"/>
          <w:bCs/>
          <w:sz w:val="22"/>
          <w:szCs w:val="22"/>
          <w:lang w:val="es-CO"/>
        </w:rPr>
        <w:t xml:space="preserve"> escenario MAPS </w:t>
      </w:r>
      <w:r w:rsidRPr="001C59A0">
        <w:rPr>
          <w:rFonts w:ascii="Arial" w:hAnsi="Arial" w:cs="Arial"/>
          <w:bCs/>
          <w:color w:val="auto"/>
          <w:sz w:val="22"/>
          <w:szCs w:val="22"/>
          <w:lang w:val="es-CO" w:eastAsia="es-CL"/>
        </w:rPr>
        <w:t xml:space="preserve">de esfuerzo medio </w:t>
      </w:r>
      <w:r w:rsidRPr="001C59A0">
        <w:rPr>
          <w:rFonts w:ascii="Arial" w:hAnsi="Arial" w:cs="Arial"/>
          <w:bCs/>
          <w:sz w:val="22"/>
          <w:szCs w:val="22"/>
          <w:lang w:val="es-CO"/>
        </w:rPr>
        <w:t xml:space="preserve">que simula una situación bastante similar a la que se espera lograr al aplicar </w:t>
      </w:r>
      <w:r w:rsidRPr="001C59A0">
        <w:rPr>
          <w:rFonts w:ascii="Arial" w:hAnsi="Arial" w:cs="Arial"/>
          <w:bCs/>
          <w:color w:val="auto"/>
          <w:sz w:val="22"/>
          <w:szCs w:val="22"/>
          <w:lang w:val="es-CO" w:eastAsia="es-CL"/>
        </w:rPr>
        <w:t>el Programa</w:t>
      </w:r>
      <w:r w:rsidRPr="001C59A0">
        <w:rPr>
          <w:rFonts w:ascii="Arial" w:hAnsi="Arial" w:cs="Arial"/>
          <w:bCs/>
          <w:sz w:val="22"/>
          <w:szCs w:val="22"/>
          <w:lang w:val="es-CO"/>
        </w:rPr>
        <w:t xml:space="preserve">.  En efecto, el proyecto MAPS analizó en detalle los siete escenarios de mitigación (EM) de gases de efecto invernadero que se presentan en el cuadro siguiente. Estos escenarios combinan de diversas maneras las 96 medidas de mitigación de emisiones identificadas durante 4 años de proceso. En particular examina de manera detallada las opciones de desarrollo futuro del sector de generación eléctrica, sector especialmente relevante en el Programa bajo evaluación. </w:t>
      </w:r>
    </w:p>
    <w:p w:rsidR="00C419B8" w:rsidRPr="001C59A0" w:rsidRDefault="00C419B8" w:rsidP="00C419B8">
      <w:pPr>
        <w:keepNext/>
        <w:jc w:val="center"/>
        <w:rPr>
          <w:rFonts w:ascii="Arial" w:hAnsi="Arial" w:cs="Arial"/>
          <w:b/>
          <w:sz w:val="22"/>
          <w:lang w:val="es-CO"/>
        </w:rPr>
      </w:pPr>
      <w:r w:rsidRPr="001C59A0">
        <w:rPr>
          <w:rFonts w:ascii="Arial" w:hAnsi="Arial" w:cs="Arial"/>
          <w:b/>
          <w:sz w:val="22"/>
          <w:lang w:val="es-CO"/>
        </w:rPr>
        <w:t>Cuadro N°3: Descripción de escenarios de mitigación</w:t>
      </w:r>
    </w:p>
    <w:tbl>
      <w:tblPr>
        <w:tblW w:w="88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blCellMar>
          <w:left w:w="70" w:type="dxa"/>
          <w:right w:w="70" w:type="dxa"/>
        </w:tblCellMar>
        <w:tblLook w:val="04A0" w:firstRow="1" w:lastRow="0" w:firstColumn="1" w:lastColumn="0" w:noHBand="0" w:noVBand="1"/>
      </w:tblPr>
      <w:tblGrid>
        <w:gridCol w:w="1575"/>
        <w:gridCol w:w="7229"/>
      </w:tblGrid>
      <w:tr w:rsidR="00C419B8" w:rsidRPr="001C59A0" w:rsidTr="00DE4B10">
        <w:trPr>
          <w:trHeight w:val="315"/>
          <w:jc w:val="center"/>
        </w:trPr>
        <w:tc>
          <w:tcPr>
            <w:tcW w:w="1575" w:type="dxa"/>
            <w:shd w:val="clear" w:color="auto" w:fill="D9D9D9" w:themeFill="background1" w:themeFillShade="D9"/>
            <w:vAlign w:val="center"/>
            <w:hideMark/>
          </w:tcPr>
          <w:p w:rsidR="00C419B8" w:rsidRPr="001C59A0" w:rsidRDefault="00C419B8" w:rsidP="00DE4B10">
            <w:pPr>
              <w:rPr>
                <w:rFonts w:ascii="Arial" w:hAnsi="Arial" w:cs="Arial"/>
                <w:color w:val="000000"/>
                <w:sz w:val="22"/>
              </w:rPr>
            </w:pPr>
            <w:r w:rsidRPr="001C59A0">
              <w:rPr>
                <w:rFonts w:ascii="Arial" w:hAnsi="Arial" w:cs="Arial"/>
                <w:bCs/>
                <w:color w:val="000000"/>
                <w:sz w:val="22"/>
              </w:rPr>
              <w:t>Escenario</w:t>
            </w:r>
          </w:p>
        </w:tc>
        <w:tc>
          <w:tcPr>
            <w:tcW w:w="7229" w:type="dxa"/>
            <w:shd w:val="clear" w:color="auto" w:fill="D9D9D9" w:themeFill="background1" w:themeFillShade="D9"/>
            <w:vAlign w:val="center"/>
            <w:hideMark/>
          </w:tcPr>
          <w:p w:rsidR="00C419B8" w:rsidRPr="001C59A0" w:rsidRDefault="00C419B8" w:rsidP="00DE4B10">
            <w:pPr>
              <w:jc w:val="center"/>
              <w:rPr>
                <w:rFonts w:ascii="Arial" w:hAnsi="Arial" w:cs="Arial"/>
                <w:bCs/>
                <w:color w:val="000000"/>
                <w:sz w:val="22"/>
              </w:rPr>
            </w:pPr>
            <w:r w:rsidRPr="001C59A0">
              <w:rPr>
                <w:rFonts w:ascii="Arial" w:hAnsi="Arial" w:cs="Arial"/>
                <w:bCs/>
                <w:color w:val="000000"/>
                <w:sz w:val="22"/>
              </w:rPr>
              <w:t>Descripción</w:t>
            </w:r>
          </w:p>
        </w:tc>
      </w:tr>
      <w:tr w:rsidR="00C419B8" w:rsidRPr="00EF4F23" w:rsidTr="00DE4B10">
        <w:trPr>
          <w:trHeight w:val="454"/>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Esfuerzo Bajo</w:t>
            </w:r>
            <w:r w:rsidRPr="001C59A0">
              <w:rPr>
                <w:rStyle w:val="FootnoteReference"/>
                <w:rFonts w:ascii="Arial" w:hAnsi="Arial" w:cs="Arial"/>
                <w:bCs/>
                <w:color w:val="000000"/>
                <w:sz w:val="22"/>
              </w:rPr>
              <w:footnoteReference w:id="13"/>
            </w:r>
            <w:r w:rsidRPr="001C59A0">
              <w:rPr>
                <w:rFonts w:ascii="Arial" w:hAnsi="Arial" w:cs="Arial"/>
                <w:bCs/>
                <w:color w:val="000000"/>
                <w:sz w:val="22"/>
              </w:rPr>
              <w:t xml:space="preserve"> </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Incluye aquellas medidas que se caracterizan por un bajo costo de abatimiento, un alto potencial de mitigación y una alta factibilidad en poder concretarlas.</w:t>
            </w:r>
          </w:p>
        </w:tc>
      </w:tr>
      <w:tr w:rsidR="00C419B8" w:rsidRPr="00EF4F23" w:rsidTr="00DE4B10">
        <w:trPr>
          <w:trHeight w:val="645"/>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 xml:space="preserve">Esfuerzo Medio </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Incluye además de las medidas de mitigación del escenario bajo, otras que se caracterizan por un costo medio de abatimiento y una factibilidad media de implementación.</w:t>
            </w:r>
          </w:p>
        </w:tc>
      </w:tr>
      <w:tr w:rsidR="00C419B8" w:rsidRPr="00EF4F23" w:rsidTr="00DE4B10">
        <w:trPr>
          <w:trHeight w:val="613"/>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 xml:space="preserve">Esfuerzo Alto </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Incluye además de las medidas de mitigación del escenario medio, otras que se caracterizan por un mayor costo de abatimiento y una menor factibilidad de implementación.</w:t>
            </w:r>
          </w:p>
        </w:tc>
      </w:tr>
      <w:tr w:rsidR="00C419B8" w:rsidRPr="00EF4F23" w:rsidTr="00DE4B10">
        <w:trPr>
          <w:trHeight w:val="386"/>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 xml:space="preserve">ERNC </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Todas las medidas de energías renovables no convencionales considerando entre ellas: solar, geotermia, eólica, biomasa, pequeña hidro.</w:t>
            </w:r>
          </w:p>
        </w:tc>
      </w:tr>
      <w:tr w:rsidR="00C419B8" w:rsidRPr="00EF4F23" w:rsidTr="00DE4B10">
        <w:trPr>
          <w:trHeight w:val="615"/>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Energías Renovables</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Todas las medidas que incorporan energías renovables del escenario ERNC, más las grandes centrales hidroeléctricas.</w:t>
            </w:r>
          </w:p>
        </w:tc>
      </w:tr>
      <w:tr w:rsidR="00C419B8" w:rsidRPr="00EF4F23" w:rsidTr="00DE4B10">
        <w:trPr>
          <w:trHeight w:val="390"/>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Eficiencia Energética</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Todas las medidas de mitigación relacionadas con eficiencia energética.</w:t>
            </w:r>
          </w:p>
        </w:tc>
      </w:tr>
      <w:tr w:rsidR="00C419B8" w:rsidRPr="00EF4F23" w:rsidTr="00DE4B10">
        <w:trPr>
          <w:trHeight w:val="454"/>
          <w:jc w:val="center"/>
        </w:trPr>
        <w:tc>
          <w:tcPr>
            <w:tcW w:w="1575" w:type="dxa"/>
            <w:shd w:val="clear" w:color="000000" w:fill="FFFFFF"/>
            <w:vAlign w:val="center"/>
            <w:hideMark/>
          </w:tcPr>
          <w:p w:rsidR="00C419B8" w:rsidRPr="001C59A0" w:rsidRDefault="00C419B8" w:rsidP="00DE4B10">
            <w:pPr>
              <w:rPr>
                <w:rFonts w:ascii="Arial" w:hAnsi="Arial" w:cs="Arial"/>
                <w:bCs/>
                <w:color w:val="000000"/>
                <w:sz w:val="22"/>
              </w:rPr>
            </w:pPr>
            <w:r w:rsidRPr="001C59A0">
              <w:rPr>
                <w:rFonts w:ascii="Arial" w:hAnsi="Arial" w:cs="Arial"/>
                <w:bCs/>
                <w:color w:val="000000"/>
                <w:sz w:val="22"/>
              </w:rPr>
              <w:t>80/20</w:t>
            </w:r>
          </w:p>
        </w:tc>
        <w:tc>
          <w:tcPr>
            <w:tcW w:w="7229" w:type="dxa"/>
            <w:shd w:val="clear" w:color="000000" w:fill="FFFFFF"/>
            <w:vAlign w:val="center"/>
            <w:hideMark/>
          </w:tcPr>
          <w:p w:rsidR="00C419B8" w:rsidRPr="001C59A0" w:rsidRDefault="00C419B8" w:rsidP="00DE4B10">
            <w:pPr>
              <w:rPr>
                <w:rFonts w:ascii="Arial" w:hAnsi="Arial" w:cs="Arial"/>
                <w:bCs/>
                <w:color w:val="000000"/>
                <w:sz w:val="22"/>
                <w:lang w:val="es-CO"/>
              </w:rPr>
            </w:pPr>
            <w:r w:rsidRPr="001C59A0">
              <w:rPr>
                <w:rFonts w:ascii="Arial" w:hAnsi="Arial" w:cs="Arial"/>
                <w:bCs/>
                <w:color w:val="000000"/>
                <w:sz w:val="22"/>
                <w:lang w:val="es-CO"/>
              </w:rPr>
              <w:t>Agrupa un conjunto reducido de medidas de mitigación que suman un potencial alto de mitigación.</w:t>
            </w:r>
          </w:p>
        </w:tc>
      </w:tr>
    </w:tbl>
    <w:p w:rsidR="00C419B8" w:rsidRPr="001C59A0" w:rsidRDefault="00C419B8" w:rsidP="00C419B8">
      <w:pPr>
        <w:jc w:val="center"/>
        <w:rPr>
          <w:rFonts w:ascii="Arial" w:hAnsi="Arial" w:cs="Arial"/>
          <w:sz w:val="22"/>
          <w:lang w:val="es-CO"/>
        </w:rPr>
      </w:pPr>
    </w:p>
    <w:p w:rsidR="00C419B8" w:rsidRPr="001C59A0" w:rsidRDefault="00C419B8" w:rsidP="00C419B8">
      <w:pPr>
        <w:spacing w:after="100" w:afterAutospacing="1"/>
        <w:jc w:val="center"/>
        <w:rPr>
          <w:rFonts w:ascii="Arial" w:hAnsi="Arial" w:cs="Arial"/>
          <w:sz w:val="22"/>
          <w:lang w:val="es-CO"/>
        </w:rPr>
      </w:pPr>
      <w:r w:rsidRPr="001C59A0">
        <w:rPr>
          <w:rFonts w:ascii="Arial" w:hAnsi="Arial" w:cs="Arial"/>
          <w:sz w:val="22"/>
          <w:lang w:val="es-CO"/>
        </w:rPr>
        <w:t>Fuente: Elaboración propia sobre la base de MAPS Chile (2014)</w:t>
      </w:r>
    </w:p>
    <w:p w:rsidR="00C419B8" w:rsidRPr="001C59A0" w:rsidRDefault="00C419B8" w:rsidP="00C419B8">
      <w:pPr>
        <w:pStyle w:val="Default"/>
        <w:spacing w:after="100" w:afterAutospacing="1"/>
        <w:jc w:val="both"/>
        <w:rPr>
          <w:rFonts w:ascii="Arial" w:hAnsi="Arial" w:cs="Arial"/>
          <w:bCs/>
          <w:sz w:val="22"/>
          <w:szCs w:val="22"/>
          <w:lang w:val="es-CO"/>
        </w:rPr>
      </w:pP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sz w:val="22"/>
          <w:szCs w:val="22"/>
          <w:lang w:val="es-CO"/>
        </w:rPr>
        <w:t>De acuerdo al “nivel de esfuerzo” aplicado para mitigar emisiones, se identificaron tres escenarios: de esfuerzo bajo, medio y alto. Adicionalmente se identifican otros cuatro escenarios específicos, por ejemplo, de eficiencia energética o ERNC en los que se evalúa de manera específica esas medidas.</w:t>
      </w:r>
      <w:r w:rsidRPr="001C59A0">
        <w:rPr>
          <w:rFonts w:ascii="Arial" w:hAnsi="Arial" w:cs="Arial"/>
          <w:bCs/>
          <w:color w:val="auto"/>
          <w:sz w:val="22"/>
          <w:szCs w:val="22"/>
          <w:lang w:val="es-CO" w:eastAsia="es-CL"/>
        </w:rPr>
        <w:t xml:space="preserve"> Para fines de esta evaluación interesa examinar los tres escenarios por nivel de esfuerzo para establecer el más parecido al Programa. </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Los niveles de esfuerzo de los escenarios se relacionan </w:t>
      </w:r>
      <w:r w:rsidRPr="001C59A0">
        <w:rPr>
          <w:rFonts w:ascii="Arial" w:hAnsi="Arial" w:cs="Arial"/>
          <w:sz w:val="22"/>
          <w:szCs w:val="22"/>
          <w:lang w:val="es-CO"/>
        </w:rPr>
        <w:t xml:space="preserve">con: costos de abatimiento, factibilidad de materializar una medida de mitigación específica y su potencial de mitigación.  En base a estos tres atributos principales se diferenciaron y priorizaron las </w:t>
      </w:r>
      <w:r w:rsidRPr="001C59A0">
        <w:rPr>
          <w:rFonts w:ascii="Arial" w:hAnsi="Arial" w:cs="Arial"/>
          <w:sz w:val="22"/>
          <w:szCs w:val="22"/>
          <w:lang w:val="es-CO"/>
        </w:rPr>
        <w:lastRenderedPageBreak/>
        <w:t>medidas de mitigación a incluir en cada escenario: un EM que represente un nivel de esfuerzo “bajo”, incluye aquellas medidas que se caracterizan por un bajo costo de abatimiento, un alto potencial de mitigación y una alta factibilidad en poder concretarlas. En el otro extremo, y con la misma lógica, un EM de nivel de esfuerzo “alto” incluye además las medidas de mitigación que se caracterizan por un alto costo de abatimiento y una baja factibilidad. También donde se consideró necesario se distinguió entre un nivel de aplicación menos exigente (N1) y otro más exigente (llegando hasta N3). Cabe destacar que la evaluación de los escenarios analizados en el proyecto MAPS Chile consideró la interrelación entre estas medidas y los distintos niveles de aplicación. Por tanto, la suma individual de las reducciones de emisiones no necesariamente corresponde al resultado del escenario</w:t>
      </w:r>
      <w:r w:rsidRPr="001C59A0">
        <w:rPr>
          <w:rStyle w:val="FootnoteReference"/>
          <w:rFonts w:ascii="Arial" w:hAnsi="Arial" w:cs="Arial"/>
          <w:sz w:val="22"/>
          <w:szCs w:val="22"/>
        </w:rPr>
        <w:footnoteReference w:id="14"/>
      </w:r>
      <w:r w:rsidRPr="001C59A0">
        <w:rPr>
          <w:rFonts w:ascii="Arial" w:hAnsi="Arial" w:cs="Arial"/>
          <w:sz w:val="22"/>
          <w:szCs w:val="22"/>
          <w:lang w:val="es-CO"/>
        </w:rPr>
        <w:t>.</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Para el sector de generación eléctrica se identificaron en total las 17 medidas claves para reducir las emisiones de GEI. Estas se presentan para cada escenario de esfuerzo en el cuadro siguiente. Se observa que el escenario de esfuerzo bajo no considera un impacto significativo de muchas de las iniciativas que se busca impulsar con el Programa relacionadas con ERNC o interconexión. Por otra parte, el de esfuerzo alto incorpora medidas como sistemas de captura de CO2, incentivo a la energía nuclear y subsidios para un aumento sustantivo con GNL que no se consideran en el Programa. El escenario medio por su parte considera un cambio en la matriz energética similar al que se impulsa con el Programa, en especial un ingreso de ERNC superior al de la Línea Base, tanto riego, mini hidro, eólica, y concentración solar, así como sistemas de almacenamiento para eólico y solar. </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Cuadro N°4: Escenarios sector generación eléctrica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5170"/>
        <w:gridCol w:w="756"/>
        <w:gridCol w:w="756"/>
        <w:gridCol w:w="756"/>
      </w:tblGrid>
      <w:tr w:rsidR="00C419B8" w:rsidRPr="001C59A0" w:rsidTr="00DE4B10">
        <w:trPr>
          <w:trHeight w:val="255"/>
          <w:tblHeader/>
          <w:jc w:val="center"/>
        </w:trPr>
        <w:tc>
          <w:tcPr>
            <w:tcW w:w="1346" w:type="dxa"/>
            <w:shd w:val="clear" w:color="auto" w:fill="D9D9D9" w:themeFill="background1" w:themeFillShade="D9"/>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Sector</w:t>
            </w:r>
          </w:p>
        </w:tc>
        <w:tc>
          <w:tcPr>
            <w:tcW w:w="5170" w:type="dxa"/>
            <w:shd w:val="clear" w:color="auto" w:fill="D9D9D9" w:themeFill="background1" w:themeFillShade="D9"/>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Medidas de Mitigación</w:t>
            </w:r>
          </w:p>
        </w:tc>
        <w:tc>
          <w:tcPr>
            <w:tcW w:w="756" w:type="dxa"/>
            <w:shd w:val="clear" w:color="auto" w:fill="D9D9D9" w:themeFill="background1" w:themeFillShade="D9"/>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Bajo</w:t>
            </w:r>
          </w:p>
        </w:tc>
        <w:tc>
          <w:tcPr>
            <w:tcW w:w="756" w:type="dxa"/>
            <w:shd w:val="clear" w:color="auto" w:fill="D9D9D9" w:themeFill="background1" w:themeFillShade="D9"/>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Medio</w:t>
            </w:r>
          </w:p>
        </w:tc>
        <w:tc>
          <w:tcPr>
            <w:tcW w:w="756" w:type="dxa"/>
            <w:shd w:val="clear" w:color="auto" w:fill="D9D9D9" w:themeFill="background1" w:themeFillShade="D9"/>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Alto</w:t>
            </w:r>
          </w:p>
        </w:tc>
      </w:tr>
      <w:tr w:rsidR="00C419B8" w:rsidRPr="001C59A0" w:rsidTr="00DE4B10">
        <w:trPr>
          <w:trHeight w:val="255"/>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Modificación de la Ley ERNC: 30/30</w:t>
            </w: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Gen. Eléctrica en obras de riego</w:t>
            </w:r>
          </w:p>
        </w:tc>
        <w:tc>
          <w:tcPr>
            <w:tcW w:w="756" w:type="dxa"/>
            <w:shd w:val="clear" w:color="auto" w:fill="auto"/>
            <w:noWrap/>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r>
      <w:tr w:rsidR="00C419B8" w:rsidRPr="001C59A0" w:rsidTr="00DE4B10">
        <w:trPr>
          <w:trHeight w:val="198"/>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Incentivo a una tecnología ERNC específica – Mini Hidro</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r>
      <w:tr w:rsidR="00C419B8" w:rsidRPr="001C59A0" w:rsidTr="00DE4B10">
        <w:trPr>
          <w:trHeight w:val="198"/>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Incentivo a una tecnología ERNC específica – Eólica</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N1</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N1</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r>
      <w:tr w:rsidR="00C419B8" w:rsidRPr="001C59A0" w:rsidTr="00DE4B10">
        <w:trPr>
          <w:trHeight w:val="198"/>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Incentivo a una tec. ERNC específica – geotérmica</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r>
      <w:tr w:rsidR="00C419B8" w:rsidRPr="001C59A0" w:rsidTr="00DE4B10">
        <w:trPr>
          <w:trHeight w:val="198"/>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lang w:val="es-CO"/>
              </w:rPr>
              <w:t xml:space="preserve">Incentivo a una tecnología ERNC específica – Conc. </w:t>
            </w:r>
            <w:r w:rsidRPr="001C59A0">
              <w:rPr>
                <w:rFonts w:ascii="Arial" w:hAnsi="Arial" w:cs="Arial"/>
                <w:bCs/>
                <w:sz w:val="22"/>
                <w:szCs w:val="22"/>
              </w:rPr>
              <w:t>Solar</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N1</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N2</w:t>
            </w:r>
          </w:p>
        </w:tc>
      </w:tr>
      <w:tr w:rsidR="00C419B8" w:rsidRPr="001C59A0" w:rsidTr="00DE4B10">
        <w:trPr>
          <w:trHeight w:val="265"/>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Incentivo a una tec. ERNC específica –Solar fotovoltaica</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N1</w:t>
            </w:r>
          </w:p>
        </w:tc>
      </w:tr>
      <w:tr w:rsidR="00C419B8" w:rsidRPr="001C59A0" w:rsidTr="00DE4B10">
        <w:trPr>
          <w:trHeight w:val="265"/>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Sistema de almacenamiento para energía eólica</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65"/>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Sistema de almacenamiento para energía solar</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Expansión</w:t>
            </w:r>
            <w:r w:rsidRPr="001C59A0">
              <w:rPr>
                <w:rFonts w:ascii="Arial" w:hAnsi="Arial" w:cs="Arial"/>
                <w:sz w:val="22"/>
                <w:lang w:val="es-CO"/>
              </w:rPr>
              <w:t xml:space="preserve"> desarrollo hídrico de gran escala</w:t>
            </w: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Interconexión regional</w:t>
            </w: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Norma o incentivo a tecnologías a carbón más limpias</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02"/>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Sistema de captura y almacenamiento de CO</w:t>
            </w:r>
            <w:r w:rsidRPr="001C59A0">
              <w:rPr>
                <w:rFonts w:ascii="Arial" w:hAnsi="Arial" w:cs="Arial"/>
                <w:bCs/>
                <w:sz w:val="22"/>
                <w:szCs w:val="22"/>
                <w:vertAlign w:val="subscript"/>
                <w:lang w:val="es-CO"/>
              </w:rPr>
              <w:t>2</w:t>
            </w: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Disminución de pérdidas eléctricas</w:t>
            </w: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hideMark/>
          </w:tcPr>
          <w:p w:rsidR="00C419B8" w:rsidRPr="001C59A0" w:rsidRDefault="00C419B8" w:rsidP="00DE4B10">
            <w:pPr>
              <w:pStyle w:val="Default"/>
              <w:jc w:val="center"/>
              <w:rPr>
                <w:rFonts w:ascii="Arial" w:hAnsi="Arial" w:cs="Arial"/>
                <w:bCs/>
                <w:sz w:val="22"/>
                <w:szCs w:val="22"/>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1C59A0" w:rsidTr="00DE4B10">
        <w:trPr>
          <w:trHeight w:val="255"/>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Incentivo a la energía nuclear</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N1</w:t>
            </w:r>
          </w:p>
        </w:tc>
      </w:tr>
      <w:tr w:rsidR="00C419B8" w:rsidRPr="001C59A0" w:rsidTr="00DE4B10">
        <w:trPr>
          <w:trHeight w:val="280"/>
          <w:jc w:val="center"/>
        </w:trPr>
        <w:tc>
          <w:tcPr>
            <w:tcW w:w="1346" w:type="dxa"/>
            <w:shd w:val="clear" w:color="auto" w:fill="auto"/>
            <w:noWrap/>
            <w:vAlign w:val="bottom"/>
            <w:hideMark/>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lastRenderedPageBreak/>
              <w:t>Generación</w:t>
            </w:r>
          </w:p>
        </w:tc>
        <w:tc>
          <w:tcPr>
            <w:tcW w:w="5170" w:type="dxa"/>
            <w:shd w:val="clear" w:color="auto" w:fill="auto"/>
            <w:vAlign w:val="center"/>
            <w:hideMark/>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Aumento sustantivo de la generación con GNL</w:t>
            </w: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hideMark/>
          </w:tcPr>
          <w:p w:rsidR="00C419B8" w:rsidRPr="001C59A0" w:rsidRDefault="00C419B8" w:rsidP="00DE4B10">
            <w:pPr>
              <w:pStyle w:val="Default"/>
              <w:jc w:val="center"/>
              <w:rPr>
                <w:rFonts w:ascii="Arial" w:hAnsi="Arial" w:cs="Arial"/>
                <w:bCs/>
                <w:sz w:val="22"/>
                <w:szCs w:val="22"/>
              </w:rPr>
            </w:pPr>
            <w:r w:rsidRPr="001C59A0">
              <w:rPr>
                <w:rFonts w:ascii="Arial" w:hAnsi="Arial" w:cs="Arial"/>
                <w:bCs/>
                <w:sz w:val="22"/>
                <w:szCs w:val="22"/>
              </w:rPr>
              <w:t>x</w:t>
            </w:r>
          </w:p>
        </w:tc>
      </w:tr>
      <w:tr w:rsidR="00C419B8" w:rsidRPr="00EF4F23" w:rsidTr="00DE4B10">
        <w:trPr>
          <w:trHeight w:val="280"/>
          <w:jc w:val="center"/>
        </w:trPr>
        <w:tc>
          <w:tcPr>
            <w:tcW w:w="1346" w:type="dxa"/>
            <w:shd w:val="clear" w:color="auto" w:fill="auto"/>
            <w:noWrap/>
            <w:vAlign w:val="bottom"/>
          </w:tcPr>
          <w:p w:rsidR="00C419B8" w:rsidRPr="001C59A0" w:rsidRDefault="00C419B8" w:rsidP="00DE4B10">
            <w:pPr>
              <w:pStyle w:val="Default"/>
              <w:jc w:val="both"/>
              <w:rPr>
                <w:rFonts w:ascii="Arial" w:hAnsi="Arial" w:cs="Arial"/>
                <w:bCs/>
                <w:sz w:val="22"/>
                <w:szCs w:val="22"/>
              </w:rPr>
            </w:pPr>
            <w:r w:rsidRPr="001C59A0">
              <w:rPr>
                <w:rFonts w:ascii="Arial" w:hAnsi="Arial" w:cs="Arial"/>
                <w:bCs/>
                <w:sz w:val="22"/>
                <w:szCs w:val="22"/>
              </w:rPr>
              <w:t>Generación</w:t>
            </w:r>
          </w:p>
        </w:tc>
        <w:tc>
          <w:tcPr>
            <w:tcW w:w="5170" w:type="dxa"/>
            <w:shd w:val="clear" w:color="auto" w:fill="auto"/>
            <w:vAlign w:val="center"/>
          </w:tcPr>
          <w:p w:rsidR="00C419B8" w:rsidRPr="001C59A0" w:rsidRDefault="00C419B8" w:rsidP="00DE4B10">
            <w:pPr>
              <w:pStyle w:val="Default"/>
              <w:jc w:val="both"/>
              <w:rPr>
                <w:rFonts w:ascii="Arial" w:hAnsi="Arial" w:cs="Arial"/>
                <w:bCs/>
                <w:sz w:val="22"/>
                <w:szCs w:val="22"/>
                <w:lang w:val="es-CO"/>
              </w:rPr>
            </w:pPr>
            <w:r w:rsidRPr="001C59A0">
              <w:rPr>
                <w:rFonts w:ascii="Arial" w:hAnsi="Arial" w:cs="Arial"/>
                <w:bCs/>
                <w:sz w:val="22"/>
                <w:szCs w:val="22"/>
                <w:lang w:val="es-CO"/>
              </w:rPr>
              <w:t>Impuesto al carbono de US$20/tCO2 eq</w:t>
            </w: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c>
          <w:tcPr>
            <w:tcW w:w="756" w:type="dxa"/>
            <w:shd w:val="clear" w:color="auto" w:fill="auto"/>
            <w:noWrap/>
            <w:vAlign w:val="center"/>
          </w:tcPr>
          <w:p w:rsidR="00C419B8" w:rsidRPr="001C59A0" w:rsidRDefault="00C419B8" w:rsidP="00DE4B10">
            <w:pPr>
              <w:pStyle w:val="Default"/>
              <w:jc w:val="center"/>
              <w:rPr>
                <w:rFonts w:ascii="Arial" w:hAnsi="Arial" w:cs="Arial"/>
                <w:bCs/>
                <w:sz w:val="22"/>
                <w:szCs w:val="22"/>
                <w:lang w:val="es-CO"/>
              </w:rPr>
            </w:pPr>
          </w:p>
        </w:tc>
      </w:tr>
    </w:tbl>
    <w:p w:rsidR="00C419B8" w:rsidRPr="001C59A0" w:rsidRDefault="00C419B8" w:rsidP="00C419B8">
      <w:pPr>
        <w:pStyle w:val="Default"/>
        <w:ind w:left="720"/>
        <w:jc w:val="center"/>
        <w:rPr>
          <w:rFonts w:ascii="Arial" w:hAnsi="Arial" w:cs="Arial"/>
          <w:bCs/>
          <w:sz w:val="22"/>
          <w:szCs w:val="22"/>
          <w:lang w:val="es-CO"/>
        </w:rPr>
      </w:pPr>
    </w:p>
    <w:p w:rsidR="00C419B8" w:rsidRPr="001C59A0" w:rsidRDefault="00C419B8" w:rsidP="00C419B8">
      <w:pPr>
        <w:pStyle w:val="Default"/>
        <w:ind w:left="720"/>
        <w:jc w:val="center"/>
        <w:rPr>
          <w:rFonts w:ascii="Arial" w:hAnsi="Arial" w:cs="Arial"/>
          <w:bCs/>
          <w:sz w:val="22"/>
          <w:szCs w:val="22"/>
          <w:lang w:val="es-CO"/>
        </w:rPr>
      </w:pPr>
      <w:r w:rsidRPr="001C59A0">
        <w:rPr>
          <w:rFonts w:ascii="Arial" w:hAnsi="Arial" w:cs="Arial"/>
          <w:bCs/>
          <w:sz w:val="22"/>
          <w:szCs w:val="22"/>
          <w:lang w:val="es-CO"/>
        </w:rPr>
        <w:t>Fuente: MAPS</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En su conjunto el escenario medio se parece en este sector al Programa al incluir: </w:t>
      </w:r>
    </w:p>
    <w:p w:rsidR="00C419B8" w:rsidRPr="001C59A0" w:rsidRDefault="00C419B8" w:rsidP="00C419B8">
      <w:pPr>
        <w:pStyle w:val="Default"/>
        <w:numPr>
          <w:ilvl w:val="0"/>
          <w:numId w:val="14"/>
        </w:numPr>
        <w:spacing w:after="100" w:afterAutospacing="1"/>
        <w:ind w:left="0" w:firstLine="0"/>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8 medidas relacionadas con el desarrollo de ERNC, </w:t>
      </w:r>
    </w:p>
    <w:p w:rsidR="00C419B8" w:rsidRPr="001C59A0" w:rsidRDefault="00C419B8" w:rsidP="00C419B8">
      <w:pPr>
        <w:pStyle w:val="Default"/>
        <w:numPr>
          <w:ilvl w:val="0"/>
          <w:numId w:val="14"/>
        </w:numPr>
        <w:spacing w:after="100" w:afterAutospacing="1"/>
        <w:ind w:left="0" w:firstLine="0"/>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1 medida de desarrollo de energía renovables (expansión con </w:t>
      </w:r>
      <w:r w:rsidRPr="001C59A0">
        <w:rPr>
          <w:rFonts w:ascii="Arial" w:hAnsi="Arial" w:cs="Arial"/>
          <w:sz w:val="22"/>
          <w:lang w:val="es-CO"/>
        </w:rPr>
        <w:t>desarrollo hídrico de gran escala</w:t>
      </w:r>
      <w:r w:rsidRPr="001C59A0">
        <w:rPr>
          <w:rFonts w:ascii="Arial" w:hAnsi="Arial" w:cs="Arial"/>
          <w:bCs/>
          <w:color w:val="auto"/>
          <w:sz w:val="22"/>
          <w:szCs w:val="22"/>
          <w:lang w:val="es-CO" w:eastAsia="es-CL"/>
        </w:rPr>
        <w:t xml:space="preserve">), </w:t>
      </w:r>
    </w:p>
    <w:p w:rsidR="00C419B8" w:rsidRPr="001C59A0" w:rsidRDefault="00C419B8" w:rsidP="00C419B8">
      <w:pPr>
        <w:pStyle w:val="Default"/>
        <w:numPr>
          <w:ilvl w:val="0"/>
          <w:numId w:val="14"/>
        </w:numPr>
        <w:spacing w:after="100" w:afterAutospacing="1"/>
        <w:ind w:left="0" w:firstLine="0"/>
        <w:jc w:val="both"/>
        <w:rPr>
          <w:rFonts w:ascii="Arial" w:hAnsi="Arial" w:cs="Arial"/>
          <w:bCs/>
          <w:color w:val="auto"/>
          <w:sz w:val="22"/>
          <w:szCs w:val="22"/>
          <w:lang w:eastAsia="es-CL"/>
        </w:rPr>
      </w:pPr>
      <w:r w:rsidRPr="001C59A0">
        <w:rPr>
          <w:rFonts w:ascii="Arial" w:hAnsi="Arial" w:cs="Arial"/>
          <w:bCs/>
          <w:color w:val="auto"/>
          <w:sz w:val="22"/>
          <w:szCs w:val="22"/>
          <w:lang w:eastAsia="es-CL"/>
        </w:rPr>
        <w:t>1 medida de interconexión regional.</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El cuadro siguiente presenta las principales medidas consideradas en los tres escenarios para los sectores comercial, público y residencial (CPR), el industrial y minero (I&amp;M) y el de transporte. Se han incluido solo aquellas medidas de mayor impacto en cuanto a reducciones de emisiones de CO2 (en el anexo 2 se presentan todas). </w:t>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Cuadro N°5: Principales medidas según escenarios para los sectores Transporte; Industria y Minería y; Comercial, Público y Residencial</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5170"/>
        <w:gridCol w:w="754"/>
        <w:gridCol w:w="754"/>
        <w:gridCol w:w="754"/>
      </w:tblGrid>
      <w:tr w:rsidR="00C419B8" w:rsidRPr="001C59A0" w:rsidTr="00DE4B10">
        <w:trPr>
          <w:trHeight w:val="255"/>
          <w:tblHeader/>
          <w:jc w:val="center"/>
        </w:trPr>
        <w:tc>
          <w:tcPr>
            <w:tcW w:w="1344" w:type="dxa"/>
            <w:shd w:val="clear" w:color="auto" w:fill="D9D9D9" w:themeFill="background1" w:themeFillShade="D9"/>
            <w:noWrap/>
            <w:vAlign w:val="center"/>
            <w:hideMark/>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Sector</w:t>
            </w:r>
          </w:p>
        </w:tc>
        <w:tc>
          <w:tcPr>
            <w:tcW w:w="5170" w:type="dxa"/>
            <w:shd w:val="clear" w:color="auto" w:fill="D9D9D9" w:themeFill="background1" w:themeFillShade="D9"/>
            <w:noWrap/>
            <w:vAlign w:val="center"/>
            <w:hideMark/>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Medidas de Mitigación</w:t>
            </w:r>
          </w:p>
        </w:tc>
        <w:tc>
          <w:tcPr>
            <w:tcW w:w="754" w:type="dxa"/>
            <w:shd w:val="clear" w:color="auto" w:fill="D9D9D9" w:themeFill="background1" w:themeFillShade="D9"/>
            <w:noWrap/>
            <w:vAlign w:val="center"/>
            <w:hideMark/>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Bajo</w:t>
            </w:r>
          </w:p>
        </w:tc>
        <w:tc>
          <w:tcPr>
            <w:tcW w:w="754" w:type="dxa"/>
            <w:shd w:val="clear" w:color="auto" w:fill="D9D9D9" w:themeFill="background1" w:themeFillShade="D9"/>
            <w:noWrap/>
            <w:vAlign w:val="center"/>
            <w:hideMark/>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Medio</w:t>
            </w:r>
          </w:p>
        </w:tc>
        <w:tc>
          <w:tcPr>
            <w:tcW w:w="754" w:type="dxa"/>
            <w:shd w:val="clear" w:color="auto" w:fill="D9D9D9" w:themeFill="background1" w:themeFillShade="D9"/>
            <w:noWrap/>
            <w:vAlign w:val="center"/>
            <w:hideMark/>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Alto</w:t>
            </w:r>
          </w:p>
        </w:tc>
      </w:tr>
      <w:tr w:rsidR="00C419B8" w:rsidRPr="001C59A0" w:rsidTr="00DE4B10">
        <w:trPr>
          <w:trHeight w:val="412"/>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Transporte</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Metas de consumo energético y de emisiones de CO</w:t>
            </w:r>
            <w:r w:rsidRPr="001C59A0">
              <w:rPr>
                <w:rFonts w:ascii="Arial" w:hAnsi="Arial" w:cs="Arial"/>
                <w:sz w:val="22"/>
                <w:szCs w:val="22"/>
                <w:vertAlign w:val="subscript"/>
                <w:lang w:val="es-CO"/>
              </w:rPr>
              <w:t>2</w:t>
            </w:r>
            <w:r w:rsidRPr="001C59A0">
              <w:rPr>
                <w:rFonts w:ascii="Arial" w:hAnsi="Arial" w:cs="Arial"/>
                <w:sz w:val="22"/>
                <w:szCs w:val="22"/>
                <w:lang w:val="es-CO"/>
              </w:rPr>
              <w:t xml:space="preserve"> para el promedio del parque de vehículos nuevos</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N3</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N3</w:t>
            </w:r>
          </w:p>
        </w:tc>
      </w:tr>
      <w:tr w:rsidR="00C419B8" w:rsidRPr="001C59A0" w:rsidTr="00DE4B10">
        <w:trPr>
          <w:trHeight w:val="255"/>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Transporte</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Vehículos de cero y baja emisión</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N2</w:t>
            </w:r>
          </w:p>
        </w:tc>
      </w:tr>
      <w:tr w:rsidR="00C419B8" w:rsidRPr="001C59A0" w:rsidTr="00DE4B10">
        <w:trPr>
          <w:trHeight w:val="252"/>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Transporte</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Plan de preparación para la electro-movilidad de taxis</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N2</w:t>
            </w:r>
          </w:p>
        </w:tc>
      </w:tr>
      <w:tr w:rsidR="00C419B8" w:rsidRPr="001C59A0" w:rsidTr="00DE4B10">
        <w:trPr>
          <w:trHeight w:val="255"/>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Transporte</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Mejoras tecnológicas en modo aéreo</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N2</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N3</w:t>
            </w:r>
          </w:p>
        </w:tc>
      </w:tr>
      <w:tr w:rsidR="00C419B8" w:rsidRPr="001C59A0" w:rsidTr="00DE4B10">
        <w:trPr>
          <w:trHeight w:val="255"/>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Transporte</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Infraestructura modo bicicleta</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N3</w:t>
            </w:r>
          </w:p>
        </w:tc>
        <w:tc>
          <w:tcPr>
            <w:tcW w:w="754" w:type="dxa"/>
            <w:shd w:val="clear" w:color="auto" w:fill="FFFFFF" w:themeFill="background1"/>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N3</w:t>
            </w:r>
          </w:p>
        </w:tc>
      </w:tr>
      <w:tr w:rsidR="00C419B8" w:rsidRPr="001C59A0" w:rsidTr="00DE4B10">
        <w:trPr>
          <w:trHeight w:val="448"/>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Proyectos de autogeneración de energía eléctrica con ERNC en plantas industriales y mineras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710"/>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Impulso a redes más limpias introduciendo un factor de emisión basado en contratos y chequeado contra generación efectiva de esos contratos.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422"/>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Energías renovables para usos térmicos en instalaciones nuevas y existentes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528"/>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Uso eficiente de la energía en la industria impulsada por auditorías energéticas y aplicación de medidas detectadas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510"/>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Estándar (voluntario) de eficiencia energética en nuevos proyectos mineros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lang w:val="es-CO"/>
              </w:rPr>
            </w:pP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510"/>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I&amp;M</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Medidas de eficiencia energética para el transporte en la minería</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263"/>
          <w:jc w:val="center"/>
        </w:trPr>
        <w:tc>
          <w:tcPr>
            <w:tcW w:w="1344" w:type="dxa"/>
            <w:shd w:val="clear" w:color="auto" w:fill="FFFFFF" w:themeFill="background1"/>
            <w:noWrap/>
            <w:vAlign w:val="center"/>
          </w:tcPr>
          <w:p w:rsidR="00C419B8" w:rsidRPr="001C59A0" w:rsidRDefault="00C419B8" w:rsidP="00DE4B10">
            <w:pPr>
              <w:rPr>
                <w:rFonts w:ascii="Arial" w:hAnsi="Arial" w:cs="Arial"/>
                <w:sz w:val="22"/>
                <w:szCs w:val="22"/>
              </w:rPr>
            </w:pPr>
            <w:r w:rsidRPr="001C59A0">
              <w:rPr>
                <w:rFonts w:ascii="Arial" w:hAnsi="Arial" w:cs="Arial"/>
                <w:sz w:val="22"/>
                <w:szCs w:val="22"/>
              </w:rPr>
              <w:t>CPR</w:t>
            </w:r>
          </w:p>
        </w:tc>
        <w:tc>
          <w:tcPr>
            <w:tcW w:w="5170" w:type="dxa"/>
            <w:shd w:val="clear" w:color="auto" w:fill="FFFFFF" w:themeFill="background1"/>
            <w:vAlign w:val="center"/>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Calificación energética de viviendas existentes</w:t>
            </w:r>
          </w:p>
        </w:tc>
        <w:tc>
          <w:tcPr>
            <w:tcW w:w="754" w:type="dxa"/>
            <w:shd w:val="clear" w:color="auto" w:fill="FFFFFF" w:themeFill="background1"/>
            <w:noWrap/>
            <w:vAlign w:val="center"/>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224"/>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CPR</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Programa de recambio de aireadores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255"/>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CPR</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lang w:val="es-CO"/>
              </w:rPr>
            </w:pPr>
            <w:r w:rsidRPr="001C59A0">
              <w:rPr>
                <w:rFonts w:ascii="Arial" w:hAnsi="Arial" w:cs="Arial"/>
                <w:sz w:val="22"/>
                <w:szCs w:val="22"/>
                <w:lang w:val="es-CO"/>
              </w:rPr>
              <w:t>Programa de adopción de sistemas solares térmicos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302"/>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lastRenderedPageBreak/>
              <w:t>CPR</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MEPS para iluminación residencial</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r w:rsidR="00C419B8" w:rsidRPr="001C59A0" w:rsidTr="00DE4B10">
        <w:trPr>
          <w:trHeight w:val="255"/>
          <w:jc w:val="center"/>
        </w:trPr>
        <w:tc>
          <w:tcPr>
            <w:tcW w:w="1344" w:type="dxa"/>
            <w:shd w:val="clear" w:color="auto" w:fill="FFFFFF" w:themeFill="background1"/>
            <w:noWrap/>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CPR</w:t>
            </w:r>
          </w:p>
        </w:tc>
        <w:tc>
          <w:tcPr>
            <w:tcW w:w="5170" w:type="dxa"/>
            <w:shd w:val="clear" w:color="auto" w:fill="FFFFFF" w:themeFill="background1"/>
            <w:vAlign w:val="center"/>
            <w:hideMark/>
          </w:tcPr>
          <w:p w:rsidR="00C419B8" w:rsidRPr="001C59A0" w:rsidRDefault="00C419B8" w:rsidP="00DE4B10">
            <w:pPr>
              <w:rPr>
                <w:rFonts w:ascii="Arial" w:hAnsi="Arial" w:cs="Arial"/>
                <w:sz w:val="22"/>
                <w:szCs w:val="22"/>
              </w:rPr>
            </w:pPr>
            <w:r w:rsidRPr="001C59A0">
              <w:rPr>
                <w:rFonts w:ascii="Arial" w:hAnsi="Arial" w:cs="Arial"/>
                <w:sz w:val="22"/>
                <w:szCs w:val="22"/>
              </w:rPr>
              <w:t>MEPS refrigeradores comerciales</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c>
          <w:tcPr>
            <w:tcW w:w="754" w:type="dxa"/>
            <w:shd w:val="clear" w:color="auto" w:fill="FFFFFF" w:themeFill="background1"/>
            <w:noWrap/>
            <w:vAlign w:val="center"/>
            <w:hideMark/>
          </w:tcPr>
          <w:p w:rsidR="00C419B8" w:rsidRPr="001C59A0" w:rsidRDefault="00C419B8" w:rsidP="00DE4B10">
            <w:pPr>
              <w:jc w:val="center"/>
              <w:rPr>
                <w:rFonts w:ascii="Arial" w:hAnsi="Arial" w:cs="Arial"/>
                <w:sz w:val="22"/>
                <w:szCs w:val="22"/>
              </w:rPr>
            </w:pPr>
            <w:r w:rsidRPr="001C59A0">
              <w:rPr>
                <w:rFonts w:ascii="Arial" w:hAnsi="Arial" w:cs="Arial"/>
                <w:sz w:val="22"/>
                <w:szCs w:val="22"/>
              </w:rPr>
              <w:t>N1</w:t>
            </w:r>
          </w:p>
        </w:tc>
      </w:tr>
    </w:tbl>
    <w:p w:rsidR="00C419B8" w:rsidRPr="001C59A0" w:rsidRDefault="00C419B8" w:rsidP="00C419B8">
      <w:pPr>
        <w:pStyle w:val="Default"/>
        <w:jc w:val="center"/>
        <w:rPr>
          <w:rFonts w:ascii="Arial" w:hAnsi="Arial" w:cs="Arial"/>
          <w:bCs/>
          <w:color w:val="auto"/>
          <w:sz w:val="22"/>
          <w:szCs w:val="22"/>
          <w:lang w:eastAsia="es-CL"/>
        </w:rPr>
      </w:pPr>
    </w:p>
    <w:p w:rsidR="00C419B8" w:rsidRPr="001C59A0" w:rsidRDefault="00C419B8" w:rsidP="00C419B8">
      <w:pPr>
        <w:pStyle w:val="Default"/>
        <w:spacing w:after="100" w:afterAutospacing="1"/>
        <w:jc w:val="center"/>
        <w:rPr>
          <w:rFonts w:ascii="Arial" w:hAnsi="Arial" w:cs="Arial"/>
          <w:bCs/>
          <w:color w:val="auto"/>
          <w:sz w:val="22"/>
          <w:szCs w:val="22"/>
          <w:lang w:val="es-CO" w:eastAsia="es-CL"/>
        </w:rPr>
      </w:pPr>
      <w:r w:rsidRPr="001C59A0">
        <w:rPr>
          <w:rFonts w:ascii="Arial" w:hAnsi="Arial" w:cs="Arial"/>
          <w:bCs/>
          <w:color w:val="auto"/>
          <w:sz w:val="22"/>
          <w:szCs w:val="22"/>
          <w:lang w:val="es-CO" w:eastAsia="es-CL"/>
        </w:rPr>
        <w:t>Fuente: Elaboración propia en base a MAPS.</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Se concluye, al igual que en el sector de generación eléctrica, que en el escenario de esfuerzo bajo no se hace un esfuerzo relevante respecto de la Línea Base, mientras que el alto incorpora una serie de medidas que no se relacionan con el Programa. Por ejemplo, en el sector CPR, los niveles de esfuerzo medio y alto incorporan el net-billing, que también se incluye en el Programa, mientras que ello no sucede en el nivel bajo. Así, en el escenario de esfuerzo medio se incorporan, por sobre la Línea Base: </w:t>
      </w:r>
    </w:p>
    <w:p w:rsidR="00C419B8" w:rsidRPr="001C59A0" w:rsidRDefault="00C419B8" w:rsidP="00C419B8">
      <w:pPr>
        <w:pStyle w:val="Default"/>
        <w:numPr>
          <w:ilvl w:val="0"/>
          <w:numId w:val="14"/>
        </w:numPr>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 xml:space="preserve">Eficiencia energética en los sectores: CPR (10 medidas), industria y minería (9 medidas) y transporte (8 medidas). </w:t>
      </w:r>
    </w:p>
    <w:p w:rsidR="00C419B8" w:rsidRPr="001C59A0" w:rsidRDefault="00C419B8" w:rsidP="00C419B8">
      <w:pPr>
        <w:pStyle w:val="Default"/>
        <w:numPr>
          <w:ilvl w:val="0"/>
          <w:numId w:val="14"/>
        </w:numPr>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Generación Distribuida: hogares (1 medida-net billing), industria y minería (2 medidas)</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r w:rsidRPr="001C59A0">
        <w:rPr>
          <w:rFonts w:ascii="Arial" w:hAnsi="Arial" w:cs="Arial"/>
          <w:bCs/>
          <w:color w:val="auto"/>
          <w:sz w:val="22"/>
          <w:szCs w:val="22"/>
          <w:lang w:val="es-CO" w:eastAsia="es-CL"/>
        </w:rPr>
        <w:t>Estas medidas son también importantes en el Programa que se evalúa.</w:t>
      </w:r>
    </w:p>
    <w:p w:rsidR="00C419B8" w:rsidRPr="001C59A0" w:rsidRDefault="00C419B8" w:rsidP="00C419B8">
      <w:pPr>
        <w:pStyle w:val="Default"/>
        <w:spacing w:after="100" w:afterAutospacing="1"/>
        <w:jc w:val="both"/>
        <w:rPr>
          <w:rFonts w:ascii="Arial" w:hAnsi="Arial" w:cs="Arial"/>
          <w:bCs/>
          <w:color w:val="auto"/>
          <w:sz w:val="22"/>
          <w:szCs w:val="22"/>
          <w:lang w:val="es-CO" w:eastAsia="es-CL"/>
        </w:rPr>
      </w:pPr>
    </w:p>
    <w:p w:rsidR="00C419B8" w:rsidRPr="001C59A0" w:rsidRDefault="00C419B8" w:rsidP="00C419B8">
      <w:pPr>
        <w:pStyle w:val="ListParagraph"/>
        <w:numPr>
          <w:ilvl w:val="2"/>
          <w:numId w:val="8"/>
        </w:numPr>
        <w:spacing w:after="100" w:afterAutospacing="1"/>
        <w:ind w:left="0" w:firstLine="0"/>
        <w:jc w:val="both"/>
        <w:outlineLvl w:val="2"/>
        <w:rPr>
          <w:rFonts w:ascii="Arial" w:eastAsia="Calibri" w:hAnsi="Arial" w:cs="Arial"/>
          <w:b/>
          <w:lang w:val="es-CO"/>
        </w:rPr>
      </w:pPr>
      <w:bookmarkStart w:id="14" w:name="_Toc459677772"/>
      <w:r w:rsidRPr="001C59A0">
        <w:rPr>
          <w:rFonts w:ascii="Arial" w:eastAsia="Calibri" w:hAnsi="Arial" w:cs="Arial"/>
          <w:b/>
          <w:lang w:val="es-CO"/>
        </w:rPr>
        <w:t>Programa de Energía Sostenible y Medidas Evaluadas</w:t>
      </w:r>
      <w:bookmarkEnd w:id="14"/>
    </w:p>
    <w:p w:rsidR="00C419B8" w:rsidRPr="001C59A0" w:rsidRDefault="00C419B8" w:rsidP="00C419B8">
      <w:pPr>
        <w:pStyle w:val="Default"/>
        <w:spacing w:after="100" w:afterAutospacing="1"/>
        <w:jc w:val="both"/>
        <w:rPr>
          <w:rFonts w:ascii="Arial" w:hAnsi="Arial" w:cs="Arial"/>
          <w:sz w:val="22"/>
          <w:szCs w:val="22"/>
          <w:lang w:val="es-CO"/>
        </w:rPr>
      </w:pPr>
      <w:r w:rsidRPr="001C59A0">
        <w:rPr>
          <w:rFonts w:ascii="Arial" w:hAnsi="Arial" w:cs="Arial"/>
          <w:bCs/>
          <w:color w:val="auto"/>
          <w:sz w:val="22"/>
          <w:szCs w:val="22"/>
          <w:lang w:val="es-CO" w:eastAsia="es-CL"/>
        </w:rPr>
        <w:t xml:space="preserve">Finalmente, en el siguiente cuadro se resumen los productos esperados del Programa y las principales medidas que se evalúan a partir del proyecto MAPS y sobre las tarifas. Se observa que las medidas consideradas en el escenario MAPS de esfuerzo medio se corresponden bien con los productos esperados del Programa, y que son necesarias para acercarse a cumplir las metas de la Política Energética. Al complementarse éstas medidas con supuestos respecto de la baja en  tarifas producto de las políticas de largo plazo que promueven la competencia, se obtiene un escenario cuantitativo muy similar a lo que se espera lograr con el Programa. Por ello, se ha seleccionado el escenario de esfuerzo base MAPS como la alternativa cuantitativa a evaluar.  </w:t>
      </w:r>
    </w:p>
    <w:p w:rsidR="00C419B8" w:rsidRPr="001C59A0" w:rsidRDefault="00C419B8" w:rsidP="00C419B8">
      <w:pPr>
        <w:spacing w:after="160" w:line="259" w:lineRule="auto"/>
        <w:rPr>
          <w:rFonts w:ascii="Arial" w:hAnsi="Arial" w:cs="Arial"/>
          <w:sz w:val="22"/>
          <w:szCs w:val="22"/>
          <w:highlight w:val="yellow"/>
          <w:lang w:val="es-CO"/>
        </w:rPr>
      </w:pPr>
    </w:p>
    <w:p w:rsidR="00C419B8" w:rsidRPr="001C59A0" w:rsidRDefault="00C419B8" w:rsidP="00C419B8">
      <w:pPr>
        <w:spacing w:after="160" w:line="259" w:lineRule="auto"/>
        <w:jc w:val="center"/>
        <w:rPr>
          <w:rFonts w:ascii="Arial" w:hAnsi="Arial" w:cs="Arial"/>
          <w:sz w:val="22"/>
          <w:szCs w:val="22"/>
          <w:lang w:val="es-CO"/>
        </w:rPr>
      </w:pPr>
      <w:r w:rsidRPr="001C59A0">
        <w:rPr>
          <w:rFonts w:ascii="Arial" w:hAnsi="Arial" w:cs="Arial"/>
          <w:sz w:val="22"/>
          <w:szCs w:val="22"/>
          <w:lang w:val="es-CO"/>
        </w:rPr>
        <w:t>Cuadro N°6: Productos Esperados del Programa Y Medidas de Mitigación MAPS</w:t>
      </w:r>
    </w:p>
    <w:p w:rsidR="00C419B8" w:rsidRPr="001C59A0" w:rsidRDefault="00C419B8" w:rsidP="00C419B8">
      <w:pPr>
        <w:pStyle w:val="Default"/>
        <w:spacing w:after="100" w:afterAutospacing="1"/>
        <w:jc w:val="center"/>
        <w:rPr>
          <w:rFonts w:ascii="Arial" w:hAnsi="Arial" w:cs="Arial"/>
          <w:sz w:val="22"/>
          <w:szCs w:val="22"/>
        </w:rPr>
      </w:pPr>
      <w:r w:rsidRPr="001C59A0">
        <w:rPr>
          <w:rFonts w:ascii="Arial" w:hAnsi="Arial" w:cs="Arial"/>
          <w:noProof/>
        </w:rPr>
        <w:drawing>
          <wp:inline distT="0" distB="0" distL="0" distR="0" wp14:anchorId="7F557D6F" wp14:editId="0DB9FCFE">
            <wp:extent cx="5611495" cy="2647666"/>
            <wp:effectExtent l="0" t="0" r="8255"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58251"/>
                    <a:stretch/>
                  </pic:blipFill>
                  <pic:spPr bwMode="auto">
                    <a:xfrm>
                      <a:off x="0" y="0"/>
                      <a:ext cx="5612130" cy="2647966"/>
                    </a:xfrm>
                    <a:prstGeom prst="rect">
                      <a:avLst/>
                    </a:prstGeom>
                    <a:noFill/>
                    <a:ln>
                      <a:noFill/>
                    </a:ln>
                    <a:extLst>
                      <a:ext uri="{53640926-AAD7-44D8-BBD7-CCE9431645EC}">
                        <a14:shadowObscured xmlns:a14="http://schemas.microsoft.com/office/drawing/2010/main"/>
                      </a:ext>
                    </a:extLst>
                  </pic:spPr>
                </pic:pic>
              </a:graphicData>
            </a:graphic>
          </wp:inline>
        </w:drawing>
      </w:r>
    </w:p>
    <w:p w:rsidR="00C419B8" w:rsidRPr="001C59A0" w:rsidRDefault="00C419B8" w:rsidP="00C419B8">
      <w:pPr>
        <w:spacing w:after="160" w:line="259" w:lineRule="auto"/>
        <w:rPr>
          <w:rFonts w:ascii="Arial" w:hAnsi="Arial" w:cs="Arial"/>
          <w:color w:val="000000"/>
          <w:sz w:val="22"/>
          <w:szCs w:val="22"/>
        </w:rPr>
      </w:pPr>
      <w:r w:rsidRPr="001C59A0">
        <w:rPr>
          <w:rFonts w:ascii="Arial" w:hAnsi="Arial" w:cs="Arial"/>
          <w:sz w:val="22"/>
          <w:szCs w:val="22"/>
        </w:rPr>
        <w:br w:type="page"/>
      </w:r>
    </w:p>
    <w:p w:rsidR="00C419B8" w:rsidRPr="001C59A0" w:rsidRDefault="00C419B8" w:rsidP="00C419B8">
      <w:pPr>
        <w:pStyle w:val="Default"/>
        <w:spacing w:after="100" w:afterAutospacing="1"/>
        <w:jc w:val="center"/>
        <w:rPr>
          <w:rFonts w:ascii="Arial" w:hAnsi="Arial" w:cs="Arial"/>
          <w:sz w:val="22"/>
          <w:szCs w:val="22"/>
        </w:rPr>
      </w:pPr>
      <w:r w:rsidRPr="001C59A0">
        <w:rPr>
          <w:rFonts w:ascii="Arial" w:hAnsi="Arial" w:cs="Arial"/>
          <w:noProof/>
        </w:rPr>
        <w:drawing>
          <wp:inline distT="0" distB="0" distL="0" distR="0" wp14:anchorId="332B64E1" wp14:editId="22C9E5F4">
            <wp:extent cx="5611645" cy="21836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96557"/>
                    <a:stretch/>
                  </pic:blipFill>
                  <pic:spPr bwMode="auto">
                    <a:xfrm>
                      <a:off x="0" y="0"/>
                      <a:ext cx="5612130" cy="218383"/>
                    </a:xfrm>
                    <a:prstGeom prst="rect">
                      <a:avLst/>
                    </a:prstGeom>
                    <a:noFill/>
                    <a:ln>
                      <a:noFill/>
                    </a:ln>
                    <a:extLst>
                      <a:ext uri="{53640926-AAD7-44D8-BBD7-CCE9431645EC}">
                        <a14:shadowObscured xmlns:a14="http://schemas.microsoft.com/office/drawing/2010/main"/>
                      </a:ext>
                    </a:extLst>
                  </pic:spPr>
                </pic:pic>
              </a:graphicData>
            </a:graphic>
          </wp:inline>
        </w:drawing>
      </w:r>
      <w:r w:rsidRPr="001C59A0">
        <w:rPr>
          <w:rFonts w:ascii="Arial" w:hAnsi="Arial" w:cs="Arial"/>
          <w:noProof/>
        </w:rPr>
        <w:drawing>
          <wp:inline distT="0" distB="0" distL="0" distR="0" wp14:anchorId="36878FCB" wp14:editId="09A42389">
            <wp:extent cx="5612130" cy="3694714"/>
            <wp:effectExtent l="0" t="0" r="762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41745"/>
                    <a:stretch/>
                  </pic:blipFill>
                  <pic:spPr bwMode="auto">
                    <a:xfrm>
                      <a:off x="0" y="0"/>
                      <a:ext cx="5612130" cy="3694714"/>
                    </a:xfrm>
                    <a:prstGeom prst="rect">
                      <a:avLst/>
                    </a:prstGeom>
                    <a:noFill/>
                    <a:ln>
                      <a:noFill/>
                    </a:ln>
                    <a:extLst>
                      <a:ext uri="{53640926-AAD7-44D8-BBD7-CCE9431645EC}">
                        <a14:shadowObscured xmlns:a14="http://schemas.microsoft.com/office/drawing/2010/main"/>
                      </a:ext>
                    </a:extLst>
                  </pic:spPr>
                </pic:pic>
              </a:graphicData>
            </a:graphic>
          </wp:inline>
        </w:drawing>
      </w:r>
    </w:p>
    <w:p w:rsidR="00C419B8" w:rsidRPr="001C59A0" w:rsidRDefault="00C419B8" w:rsidP="00C419B8">
      <w:pPr>
        <w:pStyle w:val="Default"/>
        <w:spacing w:after="100" w:afterAutospacing="1"/>
        <w:jc w:val="center"/>
        <w:rPr>
          <w:rFonts w:ascii="Arial" w:hAnsi="Arial" w:cs="Arial"/>
          <w:sz w:val="22"/>
          <w:szCs w:val="22"/>
        </w:rPr>
      </w:pPr>
      <w:r w:rsidRPr="001C59A0">
        <w:rPr>
          <w:rFonts w:ascii="Arial" w:hAnsi="Arial" w:cs="Arial"/>
          <w:sz w:val="22"/>
          <w:szCs w:val="22"/>
        </w:rPr>
        <w:t>Fuente: Elaboración propia</w:t>
      </w:r>
    </w:p>
    <w:p w:rsidR="00C419B8" w:rsidRPr="001C59A0" w:rsidRDefault="00C419B8" w:rsidP="00C419B8">
      <w:pPr>
        <w:pStyle w:val="Default"/>
        <w:spacing w:after="100" w:afterAutospacing="1"/>
        <w:jc w:val="center"/>
        <w:rPr>
          <w:rFonts w:ascii="Arial" w:hAnsi="Arial" w:cs="Arial"/>
          <w:sz w:val="22"/>
          <w:szCs w:val="22"/>
        </w:rPr>
      </w:pPr>
    </w:p>
    <w:p w:rsidR="00C419B8" w:rsidRPr="001C59A0" w:rsidRDefault="00C419B8" w:rsidP="00C419B8">
      <w:pPr>
        <w:pStyle w:val="ListParagraph"/>
        <w:numPr>
          <w:ilvl w:val="1"/>
          <w:numId w:val="8"/>
        </w:numPr>
        <w:spacing w:after="100" w:afterAutospacing="1"/>
        <w:ind w:left="0" w:firstLine="0"/>
        <w:jc w:val="both"/>
        <w:outlineLvl w:val="1"/>
        <w:rPr>
          <w:rFonts w:ascii="Arial" w:hAnsi="Arial" w:cs="Arial"/>
          <w:b/>
          <w:bCs/>
        </w:rPr>
      </w:pPr>
      <w:bookmarkStart w:id="15" w:name="_Toc459677773"/>
      <w:r w:rsidRPr="001C59A0">
        <w:rPr>
          <w:rFonts w:ascii="Arial" w:hAnsi="Arial" w:cs="Arial"/>
          <w:b/>
          <w:bCs/>
        </w:rPr>
        <w:t>Impactos del Programa</w:t>
      </w:r>
      <w:bookmarkEnd w:id="15"/>
    </w:p>
    <w:p w:rsidR="00C419B8" w:rsidRPr="001C59A0" w:rsidRDefault="00C419B8" w:rsidP="00C419B8">
      <w:pPr>
        <w:spacing w:after="100" w:afterAutospacing="1"/>
        <w:jc w:val="both"/>
        <w:rPr>
          <w:rFonts w:ascii="Arial" w:eastAsia="Calibri" w:hAnsi="Arial" w:cs="Arial"/>
          <w:sz w:val="22"/>
          <w:szCs w:val="22"/>
          <w:lang w:val="es-CO"/>
        </w:rPr>
      </w:pPr>
      <w:r w:rsidRPr="001C59A0">
        <w:rPr>
          <w:rFonts w:ascii="Arial" w:eastAsia="Calibri" w:hAnsi="Arial" w:cs="Arial"/>
          <w:sz w:val="22"/>
          <w:szCs w:val="22"/>
          <w:lang w:val="es-CO"/>
        </w:rPr>
        <w:t>El Programa creará las condiciones necesarias para desviarse de la Línea Base y acercarse a un escenario más parecido al de Esfuerzo Medio MAPS. Se detallan a continuación los impactos cuantitativos esperados en matriz energética, emisiones y tarifas, en el periodo 2015-2050 de éste escenario.</w:t>
      </w:r>
    </w:p>
    <w:p w:rsidR="00C419B8" w:rsidRPr="001C59A0" w:rsidRDefault="00C419B8" w:rsidP="00C419B8">
      <w:pPr>
        <w:pStyle w:val="ListParagraph"/>
        <w:numPr>
          <w:ilvl w:val="2"/>
          <w:numId w:val="8"/>
        </w:numPr>
        <w:spacing w:after="100" w:afterAutospacing="1"/>
        <w:ind w:left="0" w:firstLine="0"/>
        <w:jc w:val="both"/>
        <w:outlineLvl w:val="2"/>
        <w:rPr>
          <w:rFonts w:ascii="Arial" w:hAnsi="Arial" w:cs="Arial"/>
          <w:bCs/>
        </w:rPr>
      </w:pPr>
      <w:bookmarkStart w:id="16" w:name="_Toc459677774"/>
      <w:r w:rsidRPr="001C59A0">
        <w:rPr>
          <w:rFonts w:ascii="Arial" w:hAnsi="Arial" w:cs="Arial"/>
          <w:b/>
          <w:bCs/>
        </w:rPr>
        <w:t>Impacto en Demanda Energética.</w:t>
      </w:r>
      <w:bookmarkEnd w:id="16"/>
      <w:r w:rsidRPr="001C59A0">
        <w:rPr>
          <w:rFonts w:ascii="Arial" w:hAnsi="Arial" w:cs="Arial"/>
          <w:b/>
          <w:bCs/>
        </w:rPr>
        <w:t xml:space="preserve">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La figura siguiente compara la evolución de la demanda del escenario de nivel de esfuerzo medio y la línea base para el SIC y el SING. Las medidas implementadas en el escenario medio permiten reducir la demanda total en ambos sistemas, reduciéndose un 3,8% al año 2019, un 6,9% el 2030, llegando a un 8,6% el 2050, lo que significa un ahorro de casi 16 mil GWh ese año. A pesar de que, en términos absolutos, el mayor ahorro se produce en el SIC, con casi 10 mil GWh el año 2050, es en el SING donde se logra una mayor reducción en términos porcentuales representando un 13,6% de la demanda de la línea base de ese sistema.</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Figura N°7: Demanda Eléctrica Proyectada SIC y SING, comparación Línea Base y Escenario de Nivel de Esfuerzo Medio: 2013-2050.</w:t>
      </w:r>
    </w:p>
    <w:p w:rsidR="00C419B8" w:rsidRPr="001C59A0" w:rsidRDefault="00C419B8" w:rsidP="00C419B8">
      <w:pPr>
        <w:autoSpaceDE w:val="0"/>
        <w:autoSpaceDN w:val="0"/>
        <w:adjustRightInd w:val="0"/>
        <w:jc w:val="center"/>
        <w:rPr>
          <w:rFonts w:ascii="Arial" w:hAnsi="Arial" w:cs="Arial"/>
          <w:bCs/>
          <w:sz w:val="22"/>
          <w:szCs w:val="22"/>
        </w:rPr>
      </w:pPr>
      <w:r w:rsidRPr="001C59A0">
        <w:rPr>
          <w:rFonts w:ascii="Arial" w:hAnsi="Arial" w:cs="Arial"/>
          <w:bCs/>
          <w:sz w:val="22"/>
          <w:szCs w:val="22"/>
        </w:rPr>
        <w:t>SIC</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
          <w:bCs/>
          <w:noProof/>
          <w:sz w:val="22"/>
          <w:szCs w:val="22"/>
        </w:rPr>
        <w:drawing>
          <wp:inline distT="0" distB="0" distL="0" distR="0" wp14:anchorId="78F3E880" wp14:editId="402B7D5F">
            <wp:extent cx="4230806" cy="24670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9952" cy="2484091"/>
                    </a:xfrm>
                    <a:prstGeom prst="rect">
                      <a:avLst/>
                    </a:prstGeom>
                    <a:noFill/>
                  </pic:spPr>
                </pic:pic>
              </a:graphicData>
            </a:graphic>
          </wp:inline>
        </w:drawing>
      </w:r>
    </w:p>
    <w:p w:rsidR="00C419B8" w:rsidRPr="001C59A0" w:rsidRDefault="00C419B8" w:rsidP="00C419B8">
      <w:pPr>
        <w:autoSpaceDE w:val="0"/>
        <w:autoSpaceDN w:val="0"/>
        <w:adjustRightInd w:val="0"/>
        <w:jc w:val="center"/>
        <w:rPr>
          <w:rFonts w:ascii="Arial" w:hAnsi="Arial" w:cs="Arial"/>
          <w:bCs/>
          <w:sz w:val="22"/>
          <w:szCs w:val="22"/>
        </w:rPr>
      </w:pPr>
      <w:r w:rsidRPr="001C59A0">
        <w:rPr>
          <w:rFonts w:ascii="Arial" w:hAnsi="Arial" w:cs="Arial"/>
          <w:bCs/>
          <w:sz w:val="22"/>
          <w:szCs w:val="22"/>
        </w:rPr>
        <w:t>SING</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5F757D8D" wp14:editId="395E7479">
            <wp:extent cx="4376392" cy="2551986"/>
            <wp:effectExtent l="0" t="0" r="571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55" cy="2616050"/>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Fuente: MAPS</w:t>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El sector industrial y minero reduce su consumo en casi 7000GWh el año 2030 y logra ahorros de un 15.088GWh el año 2050, lo que implica desviarse un 13,8% ese año con respecto a la línea base. Es en este sector donde se generan los mayores ahorros, tanto en términos absolutos como porcentuales, a pesar de que es el sector CPR el que logra los mayores ahorros hasta el año 2019.</w:t>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Figura N°8: Reducción demanda sectores I&amp;M y CPR Escenario de Nivel de Esfuerzo Medio: 2013-2050.</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noProof/>
          <w:sz w:val="22"/>
          <w:szCs w:val="22"/>
        </w:rPr>
        <w:drawing>
          <wp:inline distT="0" distB="0" distL="0" distR="0" wp14:anchorId="77A70F29" wp14:editId="5EFD837D">
            <wp:extent cx="4449170" cy="2674429"/>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317" cy="2711786"/>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MAPS</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p>
    <w:p w:rsidR="00C419B8" w:rsidRPr="001C59A0" w:rsidRDefault="00C419B8" w:rsidP="00C419B8">
      <w:pPr>
        <w:pStyle w:val="ListParagraph"/>
        <w:numPr>
          <w:ilvl w:val="2"/>
          <w:numId w:val="8"/>
        </w:numPr>
        <w:spacing w:after="100" w:afterAutospacing="1"/>
        <w:ind w:left="0" w:firstLine="0"/>
        <w:jc w:val="both"/>
        <w:outlineLvl w:val="2"/>
        <w:rPr>
          <w:rFonts w:ascii="Arial" w:hAnsi="Arial" w:cs="Arial"/>
          <w:b/>
          <w:bCs/>
        </w:rPr>
      </w:pPr>
      <w:bookmarkStart w:id="17" w:name="_Toc459677775"/>
      <w:r w:rsidRPr="001C59A0">
        <w:rPr>
          <w:rFonts w:ascii="Arial" w:hAnsi="Arial" w:cs="Arial"/>
          <w:b/>
          <w:bCs/>
        </w:rPr>
        <w:t>Impacto en la Matriz Energética</w:t>
      </w:r>
      <w:bookmarkEnd w:id="17"/>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En cuanto a la matriz energética, el desarrollo en el escenario de nivel de esfuerzo medio se presenta en la figura N°9. Por otra parte, la figura N°10, muestra cómo cambia la matriz energética en comparación a la línea base. Destaca, al compararse con el gráfico similar de Línea Base, que una fracción significativa de la generación a carbón es reemplazada por fuentes hidro convencionales. </w:t>
      </w:r>
    </w:p>
    <w:p w:rsidR="00C419B8" w:rsidRPr="001C59A0" w:rsidRDefault="00C419B8" w:rsidP="00C419B8">
      <w:pPr>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El analizar el SIC y SING por separado es informativo y permite examinar como aumenta la generación a partir de carbón y la de energías renovables.  En ambos sistemas, la capacidad instalada disminuye en comparación a la línea base. En el SIC, centrales hidro convencionales reemplazan el crecimiento con generación térmica a carbón. Con ello se reduce la capacidad instalada de ERNC necesaria en comparación a la línea base. En el SING, también se reemplaza el crecimiento con centrales a carbón. En este caso, el crecimiento es con ERNC, mientras que la capacidad instalada de este tipo de energía crece más rápido que en la línea base hasta el año 2024, luego se estanca, por lo que al año 2050, la capacidad instalada será menor que la de la línea base.</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Figura N°9: Porcentaje de la Energía Generada Por Tipo de Fuente a Nivel Nacional, Escenario Esfuerzo Medio: 2013-2050.</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noProof/>
          <w:color w:val="000000"/>
          <w:sz w:val="22"/>
          <w:szCs w:val="22"/>
        </w:rPr>
        <w:drawing>
          <wp:inline distT="0" distB="0" distL="0" distR="0" wp14:anchorId="3EAA4C52" wp14:editId="263EAD93">
            <wp:extent cx="4790364" cy="274336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0364" cy="2743369"/>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Fuente: Elaboración propia en base a MAPS</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FiguraN°10: Variación en la capacidad instalada con respecto a línea base SIC-SING 2013.2050.</w:t>
      </w:r>
      <w:r w:rsidRPr="001C59A0">
        <w:rPr>
          <w:rStyle w:val="FootnoteReference"/>
          <w:rFonts w:ascii="Arial" w:hAnsi="Arial" w:cs="Arial"/>
          <w:bCs/>
          <w:sz w:val="22"/>
          <w:szCs w:val="22"/>
        </w:rPr>
        <w:footnoteReference w:id="15"/>
      </w:r>
    </w:p>
    <w:p w:rsidR="00C419B8" w:rsidRPr="001C59A0" w:rsidRDefault="00C419B8" w:rsidP="00C419B8">
      <w:pPr>
        <w:jc w:val="center"/>
        <w:rPr>
          <w:rFonts w:ascii="Arial" w:hAnsi="Arial" w:cs="Arial"/>
          <w:bCs/>
          <w:sz w:val="22"/>
          <w:szCs w:val="22"/>
        </w:rPr>
      </w:pPr>
      <w:r w:rsidRPr="001C59A0">
        <w:rPr>
          <w:rFonts w:ascii="Arial" w:hAnsi="Arial" w:cs="Arial"/>
          <w:bCs/>
          <w:sz w:val="22"/>
          <w:szCs w:val="22"/>
        </w:rPr>
        <w:t>SIC</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jc w:val="center"/>
        <w:rPr>
          <w:rFonts w:ascii="Arial" w:hAnsi="Arial" w:cs="Arial"/>
          <w:bCs/>
          <w:sz w:val="22"/>
          <w:szCs w:val="22"/>
        </w:rPr>
      </w:pPr>
      <w:r w:rsidRPr="001C59A0">
        <w:rPr>
          <w:rFonts w:ascii="Arial" w:hAnsi="Arial" w:cs="Arial"/>
          <w:bCs/>
          <w:noProof/>
          <w:sz w:val="22"/>
          <w:szCs w:val="22"/>
        </w:rPr>
        <w:drawing>
          <wp:inline distT="0" distB="0" distL="0" distR="0" wp14:anchorId="4D959454" wp14:editId="7E682FA1">
            <wp:extent cx="4471295" cy="2643195"/>
            <wp:effectExtent l="0" t="0" r="5715"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8751" cy="2653514"/>
                    </a:xfrm>
                    <a:prstGeom prst="rect">
                      <a:avLst/>
                    </a:prstGeom>
                    <a:noFill/>
                  </pic:spPr>
                </pic:pic>
              </a:graphicData>
            </a:graphic>
          </wp:inline>
        </w:drawing>
      </w:r>
    </w:p>
    <w:p w:rsidR="00C419B8" w:rsidRPr="001C59A0" w:rsidRDefault="00C419B8" w:rsidP="00C419B8">
      <w:pPr>
        <w:jc w:val="center"/>
        <w:rPr>
          <w:rFonts w:ascii="Arial" w:hAnsi="Arial" w:cs="Arial"/>
          <w:bCs/>
          <w:sz w:val="22"/>
          <w:szCs w:val="22"/>
        </w:rPr>
      </w:pPr>
    </w:p>
    <w:p w:rsidR="00C419B8" w:rsidRPr="001C59A0" w:rsidRDefault="00C419B8" w:rsidP="00C419B8">
      <w:pPr>
        <w:jc w:val="center"/>
        <w:rPr>
          <w:rFonts w:ascii="Arial" w:hAnsi="Arial" w:cs="Arial"/>
          <w:bCs/>
          <w:sz w:val="22"/>
          <w:szCs w:val="22"/>
        </w:rPr>
      </w:pPr>
      <w:r w:rsidRPr="001C59A0">
        <w:rPr>
          <w:rFonts w:ascii="Arial" w:hAnsi="Arial" w:cs="Arial"/>
          <w:bCs/>
          <w:sz w:val="22"/>
          <w:szCs w:val="22"/>
        </w:rPr>
        <w:t>SING</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7DF840E0" wp14:editId="37DDC849">
            <wp:extent cx="4450139" cy="2626020"/>
            <wp:effectExtent l="0" t="0" r="762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2539" cy="2645139"/>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 en base a MAPS</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Cs/>
          <w:sz w:val="22"/>
          <w:szCs w:val="22"/>
          <w:lang w:val="es-CO"/>
        </w:rPr>
        <w:t xml:space="preserve">Cuadro </w:t>
      </w:r>
      <w:r w:rsidRPr="001C59A0">
        <w:rPr>
          <w:rFonts w:ascii="Arial" w:hAnsi="Arial" w:cs="Arial"/>
          <w:bCs/>
          <w:lang w:val="es-CO"/>
        </w:rPr>
        <w:t>N°7</w:t>
      </w:r>
      <w:r w:rsidRPr="001C59A0">
        <w:rPr>
          <w:rFonts w:ascii="Arial" w:hAnsi="Arial" w:cs="Arial"/>
          <w:bCs/>
          <w:sz w:val="22"/>
          <w:szCs w:val="22"/>
          <w:lang w:val="es-CO"/>
        </w:rPr>
        <w:t xml:space="preserve">: Generación por tipo para línea </w:t>
      </w:r>
      <w:r w:rsidRPr="001C59A0">
        <w:rPr>
          <w:rFonts w:ascii="Arial" w:hAnsi="Arial" w:cs="Arial"/>
          <w:color w:val="000000"/>
          <w:sz w:val="22"/>
          <w:szCs w:val="22"/>
          <w:lang w:val="es-CO"/>
        </w:rPr>
        <w:t xml:space="preserve">base y escenario de esfuerzo medio. </w:t>
      </w:r>
      <w:r w:rsidRPr="001C59A0">
        <w:rPr>
          <w:rFonts w:ascii="Arial" w:hAnsi="Arial" w:cs="Arial"/>
          <w:color w:val="000000"/>
          <w:sz w:val="22"/>
          <w:szCs w:val="22"/>
        </w:rPr>
        <w:t>2019, 2030 y 2050.</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noProof/>
          <w:color w:val="000000"/>
          <w:sz w:val="22"/>
          <w:szCs w:val="22"/>
        </w:rPr>
        <w:drawing>
          <wp:inline distT="0" distB="0" distL="0" distR="0" wp14:anchorId="52597C8C" wp14:editId="4E0BF381">
            <wp:extent cx="3330054" cy="3771879"/>
            <wp:effectExtent l="0" t="0" r="381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3917" cy="3787582"/>
                    </a:xfrm>
                    <a:prstGeom prst="rect">
                      <a:avLst/>
                    </a:prstGeom>
                    <a:noFill/>
                    <a:ln>
                      <a:noFill/>
                    </a:ln>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Fuente: Elaboración propia</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Finalmente, en el cuadro N°7, se observa la generación en ambos escenarios para los años 2019, 2030 y 2050. La generación total disminuye en línea con lo que sucede con la demanda eléctrica. El desarrollo del escenario de nivel de esfuerzo medio, permite lograr un 30% de ERNC el año 2030, llegando a un 39% el año 2050. Además, se puede apreciar que en el escenario de esfuerzo medio la energía proveniente de centrales hidro convencionales sumadas a las ERNC son de gran importancia. En efecto, en este escenario la generación por energías renovables alcanza un 47% del total el año 2019, lo que aumenta a un 74% el 2030, llegando a un 84% el 2050. Esto permite alcanzar las metas establecidas en la política energética 2050, situación que no se da en la Línea Base.</w:t>
      </w:r>
    </w:p>
    <w:p w:rsidR="00C419B8" w:rsidRPr="001C59A0" w:rsidRDefault="00C419B8" w:rsidP="00C419B8">
      <w:pPr>
        <w:spacing w:after="160" w:line="259" w:lineRule="auto"/>
        <w:rPr>
          <w:rFonts w:ascii="Arial" w:hAnsi="Arial" w:cs="Arial"/>
          <w:color w:val="000000"/>
          <w:sz w:val="22"/>
          <w:szCs w:val="22"/>
          <w:lang w:val="es-CO"/>
        </w:rPr>
      </w:pPr>
    </w:p>
    <w:p w:rsidR="00C419B8" w:rsidRPr="001C59A0" w:rsidRDefault="00C419B8" w:rsidP="00C419B8">
      <w:pPr>
        <w:pStyle w:val="ListParagraph"/>
        <w:numPr>
          <w:ilvl w:val="2"/>
          <w:numId w:val="8"/>
        </w:numPr>
        <w:spacing w:after="100" w:afterAutospacing="1"/>
        <w:ind w:left="0" w:firstLine="0"/>
        <w:jc w:val="both"/>
        <w:outlineLvl w:val="2"/>
        <w:rPr>
          <w:rFonts w:ascii="Arial" w:hAnsi="Arial" w:cs="Arial"/>
          <w:b/>
          <w:bCs/>
          <w:lang w:val="es-CO"/>
        </w:rPr>
      </w:pPr>
      <w:bookmarkStart w:id="18" w:name="_Toc459677776"/>
      <w:r w:rsidRPr="001C59A0">
        <w:rPr>
          <w:rFonts w:ascii="Arial" w:hAnsi="Arial" w:cs="Arial"/>
          <w:b/>
          <w:bCs/>
          <w:lang w:val="es-CO"/>
        </w:rPr>
        <w:t>Impacto en Costos de Generación Eléctrica</w:t>
      </w:r>
      <w:bookmarkEnd w:id="18"/>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Los siguientes gráficos presentan los costos de capital (CAPEX) y de operación (OPEX) estimados para cada año el escenario de línea base y el de esfuerzo medio en el proyecto MAPS. El escenario de esfuerzo medio presenta mayores costos de capital producto de la incorporación de ERNC que son mayores. Los OPEX en cambio son menores.</w:t>
      </w:r>
    </w:p>
    <w:p w:rsidR="00C419B8" w:rsidRPr="001C59A0" w:rsidRDefault="00C419B8" w:rsidP="00C419B8">
      <w:pPr>
        <w:spacing w:after="100" w:afterAutospacing="1"/>
        <w:jc w:val="both"/>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sz w:val="22"/>
          <w:lang w:val="es-CO"/>
        </w:rPr>
        <w:t xml:space="preserve">Figura N°11: CAPEX escenario esfuerzo medio y línea base. </w:t>
      </w:r>
      <w:r w:rsidRPr="001C59A0">
        <w:rPr>
          <w:rFonts w:ascii="Arial" w:eastAsia="Calibri" w:hAnsi="Arial" w:cs="Arial"/>
          <w:sz w:val="22"/>
        </w:rPr>
        <w:t>2014-2050</w:t>
      </w: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noProof/>
          <w:sz w:val="22"/>
        </w:rPr>
        <w:drawing>
          <wp:inline distT="0" distB="0" distL="0" distR="0" wp14:anchorId="3B89843D" wp14:editId="25A2F2FA">
            <wp:extent cx="4868258" cy="3289110"/>
            <wp:effectExtent l="0" t="0" r="889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6759" cy="3315123"/>
                    </a:xfrm>
                    <a:prstGeom prst="rect">
                      <a:avLst/>
                    </a:prstGeom>
                    <a:noFill/>
                  </pic:spPr>
                </pic:pic>
              </a:graphicData>
            </a:graphic>
          </wp:inline>
        </w:drawing>
      </w:r>
    </w:p>
    <w:p w:rsidR="00C419B8" w:rsidRPr="001C59A0" w:rsidRDefault="00C419B8" w:rsidP="00C419B8">
      <w:pPr>
        <w:spacing w:after="100" w:afterAutospacing="1"/>
        <w:jc w:val="center"/>
        <w:rPr>
          <w:rFonts w:ascii="Arial" w:eastAsia="Calibri" w:hAnsi="Arial" w:cs="Arial"/>
          <w:sz w:val="22"/>
          <w:lang w:val="es-CO"/>
        </w:rPr>
      </w:pPr>
      <w:r w:rsidRPr="001C59A0">
        <w:rPr>
          <w:rFonts w:ascii="Arial" w:eastAsia="Calibri" w:hAnsi="Arial" w:cs="Arial"/>
          <w:sz w:val="22"/>
          <w:lang w:val="es-CO"/>
        </w:rPr>
        <w:t>Fuente: Elaboración propia en base a MAPS</w:t>
      </w:r>
    </w:p>
    <w:p w:rsidR="00C419B8" w:rsidRPr="001C59A0" w:rsidRDefault="00C419B8" w:rsidP="00C419B8">
      <w:pPr>
        <w:spacing w:after="100" w:afterAutospacing="1"/>
        <w:jc w:val="center"/>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sz w:val="22"/>
          <w:lang w:val="es-CO"/>
        </w:rPr>
        <w:t xml:space="preserve">Figura N°12: OPEX escenario esfuerzo medio y línea base. </w:t>
      </w:r>
      <w:r w:rsidRPr="001C59A0">
        <w:rPr>
          <w:rFonts w:ascii="Arial" w:eastAsia="Calibri" w:hAnsi="Arial" w:cs="Arial"/>
          <w:sz w:val="22"/>
        </w:rPr>
        <w:t>2014-2050</w:t>
      </w: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noProof/>
          <w:sz w:val="22"/>
        </w:rPr>
        <w:drawing>
          <wp:inline distT="0" distB="0" distL="0" distR="0" wp14:anchorId="775019FD" wp14:editId="5701EF74">
            <wp:extent cx="4872251" cy="312658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9611" cy="3150555"/>
                    </a:xfrm>
                    <a:prstGeom prst="rect">
                      <a:avLst/>
                    </a:prstGeom>
                    <a:noFill/>
                  </pic:spPr>
                </pic:pic>
              </a:graphicData>
            </a:graphic>
          </wp:inline>
        </w:drawing>
      </w:r>
    </w:p>
    <w:p w:rsidR="00C419B8" w:rsidRPr="001C59A0" w:rsidRDefault="00C419B8" w:rsidP="00C419B8">
      <w:pPr>
        <w:spacing w:after="100" w:afterAutospacing="1"/>
        <w:jc w:val="center"/>
        <w:rPr>
          <w:rFonts w:ascii="Arial" w:eastAsia="Calibri" w:hAnsi="Arial" w:cs="Arial"/>
          <w:sz w:val="22"/>
          <w:lang w:val="es-CO"/>
        </w:rPr>
      </w:pPr>
      <w:r w:rsidRPr="001C59A0">
        <w:rPr>
          <w:rFonts w:ascii="Arial" w:eastAsia="Calibri" w:hAnsi="Arial" w:cs="Arial"/>
          <w:sz w:val="22"/>
          <w:lang w:val="es-CO"/>
        </w:rPr>
        <w:t>Fuente: Elaboración propia en base a MAPS</w:t>
      </w:r>
    </w:p>
    <w:p w:rsidR="00C419B8" w:rsidRPr="001C59A0" w:rsidRDefault="00C419B8" w:rsidP="00C419B8">
      <w:pPr>
        <w:spacing w:after="100" w:afterAutospacing="1"/>
        <w:jc w:val="both"/>
        <w:rPr>
          <w:rFonts w:ascii="Arial" w:eastAsia="Calibri" w:hAnsi="Arial" w:cs="Arial"/>
          <w:sz w:val="22"/>
          <w:highlight w:val="cyan"/>
          <w:lang w:val="es-CO"/>
        </w:rPr>
      </w:pP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Al considerar juntos los CAPEX y OPEX, los costos anuales del escenario de esfuerzo medio son mayores a los de línea base, y por ello en ausencia del Programa serían los costos de Línea Base los que prevalecerían. Esto se debe a que los menores OPEX no alcanzan a compensar los mayores CAPEX del escenario de esfuerzo medio.</w:t>
      </w:r>
    </w:p>
    <w:p w:rsidR="00C419B8" w:rsidRPr="001C59A0" w:rsidRDefault="00C419B8" w:rsidP="00C419B8">
      <w:pPr>
        <w:spacing w:after="100" w:afterAutospacing="1"/>
        <w:jc w:val="both"/>
        <w:rPr>
          <w:rFonts w:ascii="Arial" w:eastAsia="Calibri" w:hAnsi="Arial" w:cs="Arial"/>
          <w:sz w:val="22"/>
          <w:lang w:val="es-CO"/>
        </w:rPr>
      </w:pPr>
    </w:p>
    <w:p w:rsidR="00C419B8" w:rsidRPr="001C59A0" w:rsidRDefault="00C419B8" w:rsidP="00C419B8">
      <w:pPr>
        <w:pStyle w:val="ListParagraph"/>
        <w:numPr>
          <w:ilvl w:val="2"/>
          <w:numId w:val="8"/>
        </w:numPr>
        <w:spacing w:after="100" w:afterAutospacing="1"/>
        <w:ind w:left="0" w:firstLine="0"/>
        <w:jc w:val="both"/>
        <w:outlineLvl w:val="2"/>
        <w:rPr>
          <w:rFonts w:ascii="Arial" w:hAnsi="Arial" w:cs="Arial"/>
          <w:b/>
          <w:bCs/>
        </w:rPr>
      </w:pPr>
      <w:bookmarkStart w:id="19" w:name="_Toc459677777"/>
      <w:r w:rsidRPr="001C59A0">
        <w:rPr>
          <w:rFonts w:ascii="Arial" w:hAnsi="Arial" w:cs="Arial"/>
          <w:b/>
          <w:bCs/>
        </w:rPr>
        <w:t>Impacto en Tarifas</w:t>
      </w:r>
      <w:bookmarkEnd w:id="19"/>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Las medidas que buscan aumentar la competencia y reducir los riesgos en el sector generación permitirán reducir los precios observados actualmente en este segmento. Esta reducción permite luego reducir las tarifas a consumidores. A continuación, se describe como se estima esta reducción a consumidores finales.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Los precios de la energía para clientes regulados provenientes de las licitaciones de suministro subieron sostenidamente desde el año 2006 hasta el año 2013, incrementándose desde los 68,4 US$/MWh (licitación 2006-1) a 135,9 US$/MWh (licitación 2013-1) como precios medios indexados al 2014. En mayo 2014, fecha de publicación de la agenda de energía, las alzas continuas de los precios a cliente regulados se mostraban como una amenaza real al bienestar de los hogares y la competitividad del sector industrial y minero. Por ello la agenda fijó como meta:</w:t>
      </w:r>
    </w:p>
    <w:p w:rsidR="00C419B8" w:rsidRPr="001C59A0" w:rsidRDefault="00C419B8" w:rsidP="00C419B8">
      <w:pPr>
        <w:autoSpaceDE w:val="0"/>
        <w:autoSpaceDN w:val="0"/>
        <w:adjustRightInd w:val="0"/>
        <w:spacing w:after="100" w:afterAutospacing="1"/>
        <w:jc w:val="both"/>
        <w:rPr>
          <w:rFonts w:ascii="Arial" w:hAnsi="Arial" w:cs="Arial"/>
          <w:bCs/>
          <w:i/>
          <w:sz w:val="22"/>
          <w:szCs w:val="22"/>
          <w:lang w:val="es-CO"/>
        </w:rPr>
      </w:pPr>
      <w:r w:rsidRPr="001C59A0">
        <w:rPr>
          <w:rFonts w:ascii="Arial" w:hAnsi="Arial" w:cs="Arial"/>
          <w:bCs/>
          <w:i/>
          <w:sz w:val="22"/>
          <w:szCs w:val="22"/>
          <w:lang w:val="es-CO"/>
        </w:rPr>
        <w:t>“Reducir en un 25% los precios de las licitaciones de suministro eléctrico de la próxima década para hogares, comercios y pequeñas empresas respecto a los precios ofertados en la última licitación del año 2013 (que fueron de US$128,2 MWh)”.</w:t>
      </w:r>
      <w:r w:rsidRPr="001C59A0">
        <w:rPr>
          <w:rFonts w:ascii="MS Gothic" w:eastAsia="MS Gothic" w:hAnsi="MS Gothic" w:cs="MS Gothic" w:hint="eastAsia"/>
          <w:bCs/>
          <w:i/>
          <w:sz w:val="22"/>
          <w:szCs w:val="22"/>
          <w:lang w:val="es-CO"/>
        </w:rPr>
        <w:t>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En el contexto anterior cabe distinguir cuatro escenarios de tarifas y costos esperados de generación: </w:t>
      </w:r>
    </w:p>
    <w:p w:rsidR="00C419B8" w:rsidRPr="001C59A0" w:rsidRDefault="00C419B8" w:rsidP="00C419B8">
      <w:pPr>
        <w:pStyle w:val="ListParagraph"/>
        <w:numPr>
          <w:ilvl w:val="0"/>
          <w:numId w:val="22"/>
        </w:numPr>
        <w:autoSpaceDE w:val="0"/>
        <w:autoSpaceDN w:val="0"/>
        <w:adjustRightInd w:val="0"/>
        <w:spacing w:after="100" w:afterAutospacing="1" w:line="259" w:lineRule="auto"/>
        <w:jc w:val="both"/>
        <w:rPr>
          <w:rFonts w:ascii="Arial" w:hAnsi="Arial" w:cs="Arial"/>
          <w:bCs/>
          <w:lang w:val="es-CO"/>
        </w:rPr>
      </w:pPr>
      <w:r w:rsidRPr="001C59A0">
        <w:rPr>
          <w:rFonts w:ascii="Arial" w:hAnsi="Arial" w:cs="Arial"/>
          <w:bCs/>
          <w:lang w:val="es-CO"/>
        </w:rPr>
        <w:t>Escenario de línea base: tarifa proyectada (L1)</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r w:rsidRPr="001C59A0">
        <w:rPr>
          <w:rFonts w:ascii="Arial" w:hAnsi="Arial" w:cs="Arial"/>
          <w:bCs/>
          <w:sz w:val="22"/>
          <w:szCs w:val="22"/>
          <w:lang w:val="es-CO"/>
        </w:rPr>
        <w:t>La línea base buscar representar la situación sin ningún tipo de intervención para lograr la baja de precio planteada en la Agenda de Energía. De esta forma, la proyección de los precios se calcula asumiendo que todas las licitaciones posteriores al 2013 obtienen sus mismos resultados. Esta alza en los precios es consistente con lo enunciado por el gobierno, que si no se intervenía el sector, los precios de la electricidad subirían más de 30%.</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r w:rsidRPr="001C59A0">
        <w:rPr>
          <w:rFonts w:ascii="Arial" w:hAnsi="Arial" w:cs="Arial"/>
          <w:bCs/>
          <w:sz w:val="22"/>
          <w:szCs w:val="22"/>
          <w:lang w:val="es-CO"/>
        </w:rPr>
        <w:t xml:space="preserve">Cabe señalar, que el traspaso de precios a los consumidores toma varios años debido a que hay que esperar que los contratos expiren y que sean renovados por nuevos contratos a niveles de precios altos. Para realizar este cálculo se asumió que todos los MWh adjudicados luego del 2013 se valoraban al precio de dicha licitación. Este resultado corresponde al escenario L1 de la pestaña resultados de la planilla “Resultado Escenario Medio BID” que se adjunta. </w:t>
      </w:r>
    </w:p>
    <w:p w:rsidR="00C419B8" w:rsidRPr="001C59A0" w:rsidRDefault="00C419B8" w:rsidP="00C419B8">
      <w:pPr>
        <w:pStyle w:val="ListParagraph"/>
        <w:numPr>
          <w:ilvl w:val="0"/>
          <w:numId w:val="22"/>
        </w:numPr>
        <w:autoSpaceDE w:val="0"/>
        <w:autoSpaceDN w:val="0"/>
        <w:adjustRightInd w:val="0"/>
        <w:spacing w:after="100" w:afterAutospacing="1" w:line="259" w:lineRule="auto"/>
        <w:jc w:val="both"/>
        <w:rPr>
          <w:rFonts w:ascii="Arial" w:hAnsi="Arial" w:cs="Arial"/>
          <w:bCs/>
          <w:lang w:val="es-CO"/>
        </w:rPr>
      </w:pPr>
      <w:r w:rsidRPr="001C59A0">
        <w:rPr>
          <w:rFonts w:ascii="Arial" w:hAnsi="Arial" w:cs="Arial"/>
          <w:bCs/>
          <w:lang w:val="es-CO"/>
        </w:rPr>
        <w:t>Escenario de línea base MAPS: costo medio de generación (L2)</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r w:rsidRPr="001C59A0">
        <w:rPr>
          <w:rFonts w:ascii="Arial" w:hAnsi="Arial" w:cs="Arial"/>
          <w:bCs/>
          <w:sz w:val="22"/>
          <w:szCs w:val="22"/>
          <w:lang w:val="es-CO"/>
        </w:rPr>
        <w:t>Este escenario modela un sistema adaptado considerando el escenario de Línea Base proveniente de la iniciativa MAPS. Los precios en este escenario de calculan como los costos de operación más el costo financiero de la inversión en el sector. Es decir, corresponde a los precios a los que los agentes deberían converger en el escenario de Línea Base MAPS si hay competencia y no hay captura de rentas provenientes de poder de mercado. En particular, se entiende que los precios de este escenario corresponden a los precios de desarrollo de largo plazo del sistema en ese escenario. Este resultado corresponde al escenario L2 de la pestaña resultados de la planilla “Resultado Escenario Medio BID” que se adjunta.</w:t>
      </w:r>
    </w:p>
    <w:p w:rsidR="00C419B8" w:rsidRPr="001C59A0" w:rsidRDefault="00C419B8" w:rsidP="00C419B8">
      <w:pPr>
        <w:pStyle w:val="ListParagraph"/>
        <w:numPr>
          <w:ilvl w:val="0"/>
          <w:numId w:val="22"/>
        </w:numPr>
        <w:autoSpaceDE w:val="0"/>
        <w:autoSpaceDN w:val="0"/>
        <w:adjustRightInd w:val="0"/>
        <w:spacing w:after="100" w:afterAutospacing="1" w:line="259" w:lineRule="auto"/>
        <w:jc w:val="both"/>
        <w:rPr>
          <w:rFonts w:ascii="Arial" w:hAnsi="Arial" w:cs="Arial"/>
          <w:bCs/>
          <w:lang w:val="es-CO"/>
        </w:rPr>
      </w:pPr>
      <w:r w:rsidRPr="001C59A0">
        <w:rPr>
          <w:rFonts w:ascii="Arial" w:hAnsi="Arial" w:cs="Arial"/>
          <w:bCs/>
          <w:lang w:val="es-CO"/>
        </w:rPr>
        <w:t>Escenario de esfuerzo medio MAPS: costo medio de generación (L3)</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r w:rsidRPr="001C59A0">
        <w:rPr>
          <w:rFonts w:ascii="Arial" w:hAnsi="Arial" w:cs="Arial"/>
          <w:bCs/>
          <w:sz w:val="22"/>
          <w:szCs w:val="22"/>
          <w:lang w:val="es-CO"/>
        </w:rPr>
        <w:t xml:space="preserve">Este escenario modela un sistema adaptado considerando el escenario de esfuerzo medio de reducción de emisiones proveniente de la iniciativa MAPS.  Los precios en este escenario se calculan como los costos de operación más el costo financiero de la inversión en el sector.  Es decir, corresponde a los precios a los que los agentes deberían converger en el escenario de esfuerzo medio MAPS si hay competencia y no hay captura de rentas provenientes de poder de mercado. En particular, se entiende que los precios de este escenario corresponden a los precios de desarrollo de largo plazo del sistema en ese escenario. Este resultado corresponde al escenario L3 de la pestaña resultados de la planilla “Resultado Escenario Medio BID” que se adjunta. </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p>
    <w:p w:rsidR="00C419B8" w:rsidRPr="001C59A0" w:rsidRDefault="00C419B8" w:rsidP="00C419B8">
      <w:pPr>
        <w:pStyle w:val="ListParagraph"/>
        <w:numPr>
          <w:ilvl w:val="0"/>
          <w:numId w:val="22"/>
        </w:numPr>
        <w:autoSpaceDE w:val="0"/>
        <w:autoSpaceDN w:val="0"/>
        <w:adjustRightInd w:val="0"/>
        <w:spacing w:after="100" w:afterAutospacing="1" w:line="259" w:lineRule="auto"/>
        <w:jc w:val="both"/>
        <w:rPr>
          <w:rFonts w:ascii="Arial" w:hAnsi="Arial" w:cs="Arial"/>
          <w:bCs/>
          <w:lang w:val="es-CO"/>
        </w:rPr>
      </w:pPr>
      <w:r w:rsidRPr="001C59A0">
        <w:rPr>
          <w:rFonts w:ascii="Arial" w:hAnsi="Arial" w:cs="Arial"/>
          <w:bCs/>
          <w:lang w:val="es-CO"/>
        </w:rPr>
        <w:t>Escenario de Precios de Transición: de tarifas actuales al escenario de esfuerzo medio (L4).</w:t>
      </w:r>
    </w:p>
    <w:p w:rsidR="00C419B8" w:rsidRPr="001C59A0" w:rsidRDefault="00C419B8" w:rsidP="00C419B8">
      <w:pPr>
        <w:autoSpaceDE w:val="0"/>
        <w:autoSpaceDN w:val="0"/>
        <w:adjustRightInd w:val="0"/>
        <w:spacing w:after="100" w:afterAutospacing="1"/>
        <w:ind w:left="720"/>
        <w:jc w:val="both"/>
        <w:rPr>
          <w:rFonts w:ascii="Arial" w:hAnsi="Arial" w:cs="Arial"/>
          <w:bCs/>
          <w:sz w:val="22"/>
          <w:szCs w:val="22"/>
          <w:lang w:val="es-CO"/>
        </w:rPr>
      </w:pPr>
      <w:r w:rsidRPr="001C59A0">
        <w:rPr>
          <w:rFonts w:ascii="Arial" w:hAnsi="Arial" w:cs="Arial"/>
          <w:bCs/>
          <w:sz w:val="22"/>
          <w:szCs w:val="22"/>
          <w:lang w:val="es-CO"/>
        </w:rPr>
        <w:t xml:space="preserve">El escenario de transición L4 modela la evolución esperada de la tarifa de generación desde el valor del escenario de línea base el 2013 L1, al escenario con esfuerzo medio L3. En este último escenario se asume que el sistema está adaptado y que hay plena competencia, sin captura de rentas por generadores ejerciendo poder de mercado. Sin embargo, la transición de un escenario como el actual (L1) en la que hay poder de mercado al competitivo de largo plazo será progresiva, hasta llegar a que los precios que reflejan el costo de desarrollo de largo plazo. Este avance solo se verifica en la medida que cada vez más generación es licitada y adjudicada a dichos precios. Es decir, los precios altos productos de la falta de adaptación de la energía licitada entre los años 2008-2013, demora más de una década en pasar a los contratos.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A partir de estos escenarios para las tarifas de generación es necesario estimar los precios a los diferentes consumidores. Para calcular el precio final a los consumidores residenciales y pequeño comercio se utilizan representaciones de los otros componentes tales como el CUT (costo único de transmisión), subtransmisión, pago por potencia y el VAD (valor agregado de la distribución). Estos cuatro valores se calculan en el año 2014 y se suponen constantes en el horizonte de simulación. Para los grandes consumidores no se consideró el valor del VAD dentro de su pago por energía.</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Una vez calculados los precios para pequeños y grandes consumidores, se le agrega el IVA (impuesto al valor agregado), como un porcentaje del precio total, y se convierte el precio a dólares, utilizando la tasa de cambio de 660 CLP$/US$.</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Los resultados se presentan en los gráficos siguientes. El primer gráfico, muestra la serie de tarifas esperadas de generación del 2016 al 2050. Se observa que esta tarifa se acercará en el mediano plazo a 80 USD/MWh en el escenario con competencia. Esta es una reducción a partir del año 2025 de 26% respecto a la tarifa sin competencia, muy similar a lo propuesto por la agenda</w:t>
      </w:r>
      <w:r w:rsidRPr="001C59A0">
        <w:rPr>
          <w:rStyle w:val="FootnoteReference"/>
          <w:rFonts w:ascii="Arial" w:hAnsi="Arial" w:cs="Arial"/>
          <w:bCs/>
          <w:sz w:val="22"/>
          <w:szCs w:val="22"/>
        </w:rPr>
        <w:footnoteReference w:id="16"/>
      </w:r>
      <w:r w:rsidRPr="001C59A0">
        <w:rPr>
          <w:rFonts w:ascii="Arial" w:hAnsi="Arial" w:cs="Arial"/>
          <w:bCs/>
          <w:sz w:val="22"/>
          <w:szCs w:val="22"/>
          <w:lang w:val="es-CO"/>
        </w:rPr>
        <w:t>.</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bCs/>
          <w:sz w:val="22"/>
          <w:szCs w:val="22"/>
          <w:lang w:val="es-CO"/>
        </w:rPr>
        <w:t>Cabe señalar que, el precio promedio de la última licitación (2016-1) fue cercano a los 50 USD/MWh, sin embargo, para ser conservadores, se utiliza un valor más alto.</w:t>
      </w:r>
      <w:r w:rsidRPr="001C59A0">
        <w:rPr>
          <w:rFonts w:ascii="Arial" w:hAnsi="Arial" w:cs="Arial"/>
          <w:sz w:val="22"/>
          <w:szCs w:val="22"/>
          <w:lang w:val="es-CO"/>
        </w:rPr>
        <w:t xml:space="preserve"> Sin embargo la documentación utilizada en el proyecto MAPS es consistente con un costo de desarrollo de largo plazo cercano a los 80 USD/MWh y aunque la última licitación entregó cifras más cercanas a los 50 USD/MWh, no es claro si dicha baja sería permanente o más bien producto de estrategias comerciales de las empresas en un mercado de sobreoferta. Para ver si hay una corrección de los costos de desarrollo de largo plazo es necesario esperar más puntos que describan dicha tendencia.</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sz w:val="22"/>
          <w:szCs w:val="22"/>
          <w:lang w:val="es-CO"/>
        </w:rPr>
        <w:t>El segundo y tercer gráfico, presentan la serie de tarifas a grandes usuarios y pequeños clientes esperada para el mismo periodo.</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lang w:val="es-CO"/>
        </w:rPr>
        <w:t xml:space="preserve">Figura N°13: Evolución de tarifas con y sin competencia. </w:t>
      </w:r>
      <w:r w:rsidRPr="001C59A0">
        <w:rPr>
          <w:rFonts w:ascii="Arial" w:hAnsi="Arial" w:cs="Arial"/>
          <w:bCs/>
          <w:noProof/>
          <w:sz w:val="22"/>
          <w:szCs w:val="22"/>
        </w:rPr>
        <w:t>2016-2050</w:t>
      </w:r>
      <w:r w:rsidRPr="001C59A0">
        <w:rPr>
          <w:rStyle w:val="FootnoteReference"/>
          <w:rFonts w:ascii="Arial" w:hAnsi="Arial" w:cs="Arial"/>
          <w:bCs/>
          <w:noProof/>
          <w:sz w:val="22"/>
          <w:szCs w:val="22"/>
        </w:rPr>
        <w:footnoteReference w:id="17"/>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004C083E" wp14:editId="7FE4D07E">
            <wp:extent cx="3676650" cy="232539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3601" cy="2336115"/>
                    </a:xfrm>
                    <a:prstGeom prst="rect">
                      <a:avLst/>
                    </a:prstGeom>
                    <a:noFill/>
                  </pic:spPr>
                </pic:pic>
              </a:graphicData>
            </a:graphic>
          </wp:inline>
        </w:drawing>
      </w:r>
      <w:r w:rsidRPr="001C59A0">
        <w:rPr>
          <w:rFonts w:ascii="Arial" w:hAnsi="Arial" w:cs="Arial"/>
          <w:bCs/>
          <w:noProof/>
          <w:sz w:val="22"/>
          <w:szCs w:val="22"/>
        </w:rPr>
        <w:drawing>
          <wp:inline distT="0" distB="0" distL="0" distR="0" wp14:anchorId="081F64CB" wp14:editId="376A7A91">
            <wp:extent cx="3664810" cy="2320924"/>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4813" cy="2346258"/>
                    </a:xfrm>
                    <a:prstGeom prst="rect">
                      <a:avLst/>
                    </a:prstGeom>
                    <a:noFill/>
                  </pic:spPr>
                </pic:pic>
              </a:graphicData>
            </a:graphic>
          </wp:inline>
        </w:drawing>
      </w:r>
      <w:r w:rsidRPr="001C59A0">
        <w:rPr>
          <w:rFonts w:ascii="Arial" w:hAnsi="Arial" w:cs="Arial"/>
          <w:bCs/>
          <w:noProof/>
          <w:sz w:val="22"/>
          <w:szCs w:val="22"/>
        </w:rPr>
        <w:drawing>
          <wp:inline distT="0" distB="0" distL="0" distR="0" wp14:anchorId="0AECD6B5" wp14:editId="3AF5A2EA">
            <wp:extent cx="3665450" cy="210490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1114" cy="2119645"/>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bCs/>
          <w:sz w:val="22"/>
          <w:szCs w:val="22"/>
          <w:lang w:val="es-CO"/>
        </w:rPr>
        <w:t xml:space="preserve">En los siguientes cuadros se compara en más detalle las tarifas sin competencia y con competencia para los segmentos consumidores. Se observa que la diferencia de precios a largo plazo que se obtiene es de un 25% y 20% respectivamente según tipo de consumidor. Dicha </w:t>
      </w:r>
      <w:r w:rsidRPr="001C59A0">
        <w:rPr>
          <w:rFonts w:ascii="Arial" w:hAnsi="Arial" w:cs="Arial"/>
          <w:sz w:val="22"/>
          <w:szCs w:val="22"/>
          <w:lang w:val="es-CO"/>
        </w:rPr>
        <w:t>disminución de tarifas de la electricidad se alcanzaría a mediados de la próxima década para los usuarios finales, sin embargo, la magnitud y oportunidad de dicha disminución dependerá de los valores medios de las licitaciones. A modo de ejemplo, si las licitaciones arrojan resultados menores a 80 USD/MWh dicha baja sería más pronunciada y llegaría antes. En este sentido, un análisis ex post con el precio promedio de la última licitación (2016-1), cercano a los 50 USD/MWh, resultaría en que dicha baja sería a comienzos de la década (20% al 2021 como se ha indicado a raíz de la última licitación) y más pronunciada a partir del 2025.</w:t>
      </w:r>
    </w:p>
    <w:p w:rsidR="00C419B8" w:rsidRPr="001C59A0" w:rsidRDefault="00C419B8" w:rsidP="00C419B8">
      <w:pPr>
        <w:autoSpaceDE w:val="0"/>
        <w:autoSpaceDN w:val="0"/>
        <w:adjustRightInd w:val="0"/>
        <w:spacing w:after="100" w:afterAutospacing="1"/>
        <w:jc w:val="both"/>
        <w:rPr>
          <w:rFonts w:ascii="Arial" w:hAnsi="Arial" w:cs="Arial"/>
          <w:sz w:val="22"/>
          <w:szCs w:val="22"/>
          <w:lang w:val="es-CO"/>
        </w:rPr>
      </w:pPr>
      <w:r w:rsidRPr="001C59A0">
        <w:rPr>
          <w:rFonts w:ascii="Arial" w:hAnsi="Arial" w:cs="Arial"/>
          <w:sz w:val="22"/>
          <w:szCs w:val="22"/>
          <w:lang w:val="es-CO"/>
        </w:rPr>
        <w:t>Para mantener el carácter conservador de esta evaluación, se asumen los valores indicados en los cuadros.</w:t>
      </w:r>
    </w:p>
    <w:p w:rsidR="00C419B8" w:rsidRPr="001C59A0" w:rsidRDefault="00C419B8" w:rsidP="00C419B8">
      <w:pPr>
        <w:tabs>
          <w:tab w:val="left" w:pos="2644"/>
        </w:tabs>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ab/>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CuadroN°8: Tarifas para Escenario de Línea Base y de Esfuerzo Medio: Grandes Consumidores ($kWh)</w:t>
      </w:r>
    </w:p>
    <w:tbl>
      <w:tblPr>
        <w:tblStyle w:val="TableGrid"/>
        <w:tblW w:w="0" w:type="auto"/>
        <w:tblInd w:w="792" w:type="dxa"/>
        <w:tblLook w:val="04A0" w:firstRow="1" w:lastRow="0" w:firstColumn="1" w:lastColumn="0" w:noHBand="0" w:noVBand="1"/>
      </w:tblPr>
      <w:tblGrid>
        <w:gridCol w:w="3031"/>
        <w:gridCol w:w="1275"/>
        <w:gridCol w:w="1276"/>
        <w:gridCol w:w="1276"/>
      </w:tblGrid>
      <w:tr w:rsidR="00C419B8" w:rsidRPr="001C59A0" w:rsidTr="00DE4B10">
        <w:tc>
          <w:tcPr>
            <w:tcW w:w="3031" w:type="dxa"/>
            <w:shd w:val="clear" w:color="auto" w:fill="D9D9D9" w:themeFill="background1" w:themeFillShade="D9"/>
          </w:tcPr>
          <w:p w:rsidR="00C419B8" w:rsidRPr="001C59A0" w:rsidRDefault="00C419B8" w:rsidP="00DE4B10">
            <w:pPr>
              <w:pStyle w:val="ListParagraph"/>
              <w:ind w:left="0"/>
              <w:jc w:val="both"/>
              <w:rPr>
                <w:rFonts w:ascii="Arial" w:hAnsi="Arial" w:cs="Arial"/>
                <w:bCs/>
              </w:rPr>
            </w:pPr>
            <w:r w:rsidRPr="001C59A0">
              <w:rPr>
                <w:rFonts w:ascii="Arial" w:hAnsi="Arial" w:cs="Arial"/>
                <w:bCs/>
              </w:rPr>
              <w:t>Año/escenario</w:t>
            </w:r>
          </w:p>
        </w:tc>
        <w:tc>
          <w:tcPr>
            <w:tcW w:w="1275" w:type="dxa"/>
            <w:shd w:val="clear" w:color="auto" w:fill="D9D9D9" w:themeFill="background1" w:themeFillShade="D9"/>
          </w:tcPr>
          <w:p w:rsidR="00C419B8" w:rsidRPr="001C59A0" w:rsidRDefault="00C419B8" w:rsidP="00DE4B10">
            <w:pPr>
              <w:pStyle w:val="ListParagraph"/>
              <w:ind w:left="0"/>
              <w:jc w:val="center"/>
              <w:rPr>
                <w:rFonts w:ascii="Arial" w:hAnsi="Arial" w:cs="Arial"/>
                <w:bCs/>
              </w:rPr>
            </w:pPr>
            <w:r w:rsidRPr="001C59A0">
              <w:rPr>
                <w:rFonts w:ascii="Arial" w:hAnsi="Arial" w:cs="Arial"/>
                <w:bCs/>
              </w:rPr>
              <w:t>2019</w:t>
            </w:r>
          </w:p>
        </w:tc>
        <w:tc>
          <w:tcPr>
            <w:tcW w:w="1276" w:type="dxa"/>
            <w:shd w:val="clear" w:color="auto" w:fill="D9D9D9" w:themeFill="background1" w:themeFillShade="D9"/>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2030</w:t>
            </w:r>
          </w:p>
        </w:tc>
        <w:tc>
          <w:tcPr>
            <w:tcW w:w="1276" w:type="dxa"/>
            <w:shd w:val="clear" w:color="auto" w:fill="D9D9D9" w:themeFill="background1" w:themeFillShade="D9"/>
          </w:tcPr>
          <w:p w:rsidR="00C419B8" w:rsidRPr="001C59A0" w:rsidRDefault="00C419B8" w:rsidP="00DE4B10">
            <w:pPr>
              <w:pStyle w:val="ListParagraph"/>
              <w:ind w:left="0"/>
              <w:jc w:val="center"/>
              <w:rPr>
                <w:rFonts w:ascii="Arial" w:hAnsi="Arial" w:cs="Arial"/>
                <w:bCs/>
              </w:rPr>
            </w:pPr>
            <w:r w:rsidRPr="001C59A0">
              <w:rPr>
                <w:rFonts w:ascii="Arial" w:hAnsi="Arial" w:cs="Arial"/>
                <w:bCs/>
              </w:rPr>
              <w:t>2050</w:t>
            </w:r>
          </w:p>
        </w:tc>
      </w:tr>
      <w:tr w:rsidR="00C419B8" w:rsidRPr="001C59A0" w:rsidTr="00DE4B10">
        <w:tc>
          <w:tcPr>
            <w:tcW w:w="3031" w:type="dxa"/>
          </w:tcPr>
          <w:p w:rsidR="00C419B8" w:rsidRPr="001C59A0" w:rsidRDefault="00C419B8" w:rsidP="00DE4B10">
            <w:pPr>
              <w:pStyle w:val="ListParagraph"/>
              <w:ind w:left="0"/>
              <w:jc w:val="both"/>
              <w:rPr>
                <w:rFonts w:ascii="Arial" w:hAnsi="Arial" w:cs="Arial"/>
                <w:bCs/>
              </w:rPr>
            </w:pPr>
            <w:r w:rsidRPr="001C59A0">
              <w:rPr>
                <w:rFonts w:ascii="Arial" w:hAnsi="Arial" w:cs="Arial"/>
                <w:bCs/>
              </w:rPr>
              <w:t>Línea Base</w:t>
            </w:r>
          </w:p>
        </w:tc>
        <w:tc>
          <w:tcPr>
            <w:tcW w:w="1275"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94</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124</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124</w:t>
            </w:r>
          </w:p>
        </w:tc>
      </w:tr>
      <w:tr w:rsidR="00C419B8" w:rsidRPr="001C59A0" w:rsidTr="00DE4B10">
        <w:tc>
          <w:tcPr>
            <w:tcW w:w="3031" w:type="dxa"/>
          </w:tcPr>
          <w:p w:rsidR="00C419B8" w:rsidRPr="001C59A0" w:rsidRDefault="00C419B8" w:rsidP="00DE4B10">
            <w:pPr>
              <w:pStyle w:val="ListParagraph"/>
              <w:ind w:left="0"/>
              <w:jc w:val="both"/>
              <w:rPr>
                <w:rFonts w:ascii="Arial" w:hAnsi="Arial" w:cs="Arial"/>
                <w:bCs/>
              </w:rPr>
            </w:pPr>
            <w:r w:rsidRPr="001C59A0">
              <w:rPr>
                <w:rFonts w:ascii="Arial" w:hAnsi="Arial" w:cs="Arial"/>
                <w:bCs/>
              </w:rPr>
              <w:t>Escenario de Esfuerzo Medio</w:t>
            </w:r>
          </w:p>
        </w:tc>
        <w:tc>
          <w:tcPr>
            <w:tcW w:w="1275"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95</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93</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90</w:t>
            </w:r>
          </w:p>
        </w:tc>
      </w:tr>
      <w:tr w:rsidR="00C419B8" w:rsidRPr="001C59A0" w:rsidTr="00DE4B10">
        <w:tc>
          <w:tcPr>
            <w:tcW w:w="3031" w:type="dxa"/>
          </w:tcPr>
          <w:p w:rsidR="00C419B8" w:rsidRPr="001C59A0" w:rsidRDefault="00C419B8" w:rsidP="00DE4B10">
            <w:pPr>
              <w:pStyle w:val="ListParagraph"/>
              <w:ind w:left="0"/>
              <w:jc w:val="both"/>
              <w:rPr>
                <w:rFonts w:ascii="Arial" w:hAnsi="Arial" w:cs="Arial"/>
                <w:bCs/>
              </w:rPr>
            </w:pPr>
            <w:r w:rsidRPr="001C59A0">
              <w:rPr>
                <w:rFonts w:ascii="Arial" w:hAnsi="Arial" w:cs="Arial"/>
                <w:bCs/>
              </w:rPr>
              <w:t>Diferencia</w:t>
            </w:r>
          </w:p>
        </w:tc>
        <w:tc>
          <w:tcPr>
            <w:tcW w:w="1275"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-0,3%</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25,0%</w:t>
            </w:r>
          </w:p>
        </w:tc>
        <w:tc>
          <w:tcPr>
            <w:tcW w:w="1276" w:type="dxa"/>
          </w:tcPr>
          <w:p w:rsidR="00C419B8" w:rsidRPr="001C59A0" w:rsidRDefault="00C419B8" w:rsidP="00DE4B10">
            <w:pPr>
              <w:pStyle w:val="ListParagraph"/>
              <w:ind w:left="0"/>
              <w:jc w:val="center"/>
              <w:rPr>
                <w:rFonts w:ascii="Arial" w:hAnsi="Arial" w:cs="Arial"/>
                <w:bCs/>
              </w:rPr>
            </w:pPr>
            <w:r w:rsidRPr="001C59A0">
              <w:rPr>
                <w:rFonts w:ascii="Arial" w:hAnsi="Arial" w:cs="Arial"/>
                <w:bCs/>
              </w:rPr>
              <w:t>27,8%</w:t>
            </w:r>
          </w:p>
        </w:tc>
      </w:tr>
    </w:tbl>
    <w:p w:rsidR="00C419B8" w:rsidRPr="001C59A0" w:rsidRDefault="00C419B8" w:rsidP="00C419B8">
      <w:pPr>
        <w:autoSpaceDE w:val="0"/>
        <w:autoSpaceDN w:val="0"/>
        <w:adjustRightInd w:val="0"/>
        <w:jc w:val="center"/>
        <w:rPr>
          <w:rFonts w:ascii="Arial" w:hAnsi="Arial" w:cs="Arial"/>
          <w:bCs/>
          <w:sz w:val="22"/>
          <w:szCs w:val="22"/>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Cuadro N°9: Tarifas para Escenario de Línea Base y de Esfuerzo Medio: Hogares y Pequeño Comercio ($/kWh)</w:t>
      </w:r>
    </w:p>
    <w:tbl>
      <w:tblPr>
        <w:tblStyle w:val="TableGrid"/>
        <w:tblW w:w="0" w:type="auto"/>
        <w:tblInd w:w="792" w:type="dxa"/>
        <w:tblLayout w:type="fixed"/>
        <w:tblLook w:val="04A0" w:firstRow="1" w:lastRow="0" w:firstColumn="1" w:lastColumn="0" w:noHBand="0" w:noVBand="1"/>
      </w:tblPr>
      <w:tblGrid>
        <w:gridCol w:w="3004"/>
        <w:gridCol w:w="1284"/>
        <w:gridCol w:w="1285"/>
        <w:gridCol w:w="1285"/>
      </w:tblGrid>
      <w:tr w:rsidR="00C419B8" w:rsidRPr="001C59A0" w:rsidTr="00DE4B10">
        <w:tc>
          <w:tcPr>
            <w:tcW w:w="3004" w:type="dxa"/>
            <w:shd w:val="clear" w:color="auto" w:fill="D9D9D9" w:themeFill="background1" w:themeFillShade="D9"/>
          </w:tcPr>
          <w:p w:rsidR="00C419B8" w:rsidRPr="001C59A0" w:rsidRDefault="00C419B8" w:rsidP="00DE4B10">
            <w:pPr>
              <w:pStyle w:val="ListParagraph"/>
              <w:ind w:left="0"/>
              <w:jc w:val="both"/>
              <w:rPr>
                <w:rFonts w:ascii="Arial" w:hAnsi="Arial" w:cs="Arial"/>
                <w:bCs/>
              </w:rPr>
            </w:pPr>
            <w:r w:rsidRPr="001C59A0">
              <w:rPr>
                <w:rFonts w:ascii="Arial" w:hAnsi="Arial" w:cs="Arial"/>
                <w:bCs/>
              </w:rPr>
              <w:t>Año/escenario</w:t>
            </w:r>
          </w:p>
        </w:tc>
        <w:tc>
          <w:tcPr>
            <w:tcW w:w="1284" w:type="dxa"/>
            <w:shd w:val="clear" w:color="auto" w:fill="D9D9D9" w:themeFill="background1" w:themeFillShade="D9"/>
          </w:tcPr>
          <w:p w:rsidR="00C419B8" w:rsidRPr="001C59A0" w:rsidRDefault="00C419B8" w:rsidP="00DE4B10">
            <w:pPr>
              <w:pStyle w:val="ListParagraph"/>
              <w:ind w:left="0"/>
              <w:jc w:val="center"/>
              <w:rPr>
                <w:rFonts w:ascii="Arial" w:hAnsi="Arial" w:cs="Arial"/>
                <w:bCs/>
              </w:rPr>
            </w:pPr>
            <w:r w:rsidRPr="001C59A0">
              <w:rPr>
                <w:rFonts w:ascii="Arial" w:hAnsi="Arial" w:cs="Arial"/>
                <w:bCs/>
              </w:rPr>
              <w:t>2019</w:t>
            </w:r>
          </w:p>
        </w:tc>
        <w:tc>
          <w:tcPr>
            <w:tcW w:w="1285" w:type="dxa"/>
            <w:shd w:val="clear" w:color="auto" w:fill="D9D9D9" w:themeFill="background1" w:themeFillShade="D9"/>
          </w:tcPr>
          <w:p w:rsidR="00C419B8" w:rsidRPr="001C59A0" w:rsidRDefault="00C419B8" w:rsidP="00DE4B10">
            <w:pPr>
              <w:pStyle w:val="ListParagraph"/>
              <w:ind w:left="0"/>
              <w:jc w:val="center"/>
              <w:rPr>
                <w:rFonts w:ascii="Arial" w:hAnsi="Arial" w:cs="Arial"/>
                <w:bCs/>
              </w:rPr>
            </w:pPr>
            <w:r w:rsidRPr="001C59A0">
              <w:rPr>
                <w:rFonts w:ascii="Arial" w:hAnsi="Arial" w:cs="Arial"/>
                <w:bCs/>
              </w:rPr>
              <w:t>2030</w:t>
            </w:r>
          </w:p>
        </w:tc>
        <w:tc>
          <w:tcPr>
            <w:tcW w:w="1285" w:type="dxa"/>
            <w:shd w:val="clear" w:color="auto" w:fill="D9D9D9" w:themeFill="background1" w:themeFillShade="D9"/>
          </w:tcPr>
          <w:p w:rsidR="00C419B8" w:rsidRPr="001C59A0" w:rsidRDefault="00C419B8" w:rsidP="00DE4B10">
            <w:pPr>
              <w:pStyle w:val="ListParagraph"/>
              <w:ind w:left="0"/>
              <w:jc w:val="center"/>
              <w:rPr>
                <w:rFonts w:ascii="Arial" w:hAnsi="Arial" w:cs="Arial"/>
                <w:bCs/>
              </w:rPr>
            </w:pPr>
            <w:r w:rsidRPr="001C59A0">
              <w:rPr>
                <w:rFonts w:ascii="Arial" w:hAnsi="Arial" w:cs="Arial"/>
                <w:bCs/>
              </w:rPr>
              <w:t>2050</w:t>
            </w:r>
          </w:p>
        </w:tc>
      </w:tr>
      <w:tr w:rsidR="00C419B8" w:rsidRPr="001C59A0" w:rsidTr="00DE4B10">
        <w:tc>
          <w:tcPr>
            <w:tcW w:w="3004" w:type="dxa"/>
            <w:shd w:val="clear" w:color="auto" w:fill="auto"/>
          </w:tcPr>
          <w:p w:rsidR="00C419B8" w:rsidRPr="001C59A0" w:rsidRDefault="00C419B8" w:rsidP="00DE4B10">
            <w:pPr>
              <w:pStyle w:val="ListParagraph"/>
              <w:ind w:left="0"/>
              <w:jc w:val="both"/>
              <w:rPr>
                <w:rFonts w:ascii="Arial" w:hAnsi="Arial" w:cs="Arial"/>
                <w:bCs/>
              </w:rPr>
            </w:pPr>
            <w:r w:rsidRPr="001C59A0">
              <w:rPr>
                <w:rFonts w:ascii="Arial" w:hAnsi="Arial" w:cs="Arial"/>
                <w:bCs/>
              </w:rPr>
              <w:t>Línea Base</w:t>
            </w:r>
          </w:p>
        </w:tc>
        <w:tc>
          <w:tcPr>
            <w:tcW w:w="1284"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123</w:t>
            </w:r>
          </w:p>
        </w:tc>
        <w:tc>
          <w:tcPr>
            <w:tcW w:w="1285"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153</w:t>
            </w:r>
          </w:p>
        </w:tc>
        <w:tc>
          <w:tcPr>
            <w:tcW w:w="1285" w:type="dxa"/>
            <w:shd w:val="clear" w:color="auto" w:fill="auto"/>
          </w:tcPr>
          <w:p w:rsidR="00C419B8" w:rsidRPr="001C59A0" w:rsidRDefault="00C419B8" w:rsidP="00DE4B10">
            <w:pPr>
              <w:jc w:val="center"/>
              <w:rPr>
                <w:rFonts w:ascii="Arial" w:hAnsi="Arial" w:cs="Arial"/>
                <w:bCs/>
                <w:sz w:val="22"/>
                <w:szCs w:val="22"/>
              </w:rPr>
            </w:pPr>
            <w:r w:rsidRPr="001C59A0">
              <w:rPr>
                <w:rFonts w:ascii="Arial" w:hAnsi="Arial" w:cs="Arial"/>
                <w:bCs/>
                <w:sz w:val="22"/>
                <w:szCs w:val="22"/>
              </w:rPr>
              <w:t>153</w:t>
            </w:r>
          </w:p>
        </w:tc>
      </w:tr>
      <w:tr w:rsidR="00C419B8" w:rsidRPr="001C59A0" w:rsidTr="00DE4B10">
        <w:tc>
          <w:tcPr>
            <w:tcW w:w="3004" w:type="dxa"/>
            <w:shd w:val="clear" w:color="auto" w:fill="auto"/>
          </w:tcPr>
          <w:p w:rsidR="00C419B8" w:rsidRPr="001C59A0" w:rsidRDefault="00C419B8" w:rsidP="00DE4B10">
            <w:pPr>
              <w:pStyle w:val="ListParagraph"/>
              <w:ind w:left="0"/>
              <w:jc w:val="both"/>
              <w:rPr>
                <w:rFonts w:ascii="Arial" w:hAnsi="Arial" w:cs="Arial"/>
                <w:bCs/>
                <w:lang w:val="es-CO"/>
              </w:rPr>
            </w:pPr>
            <w:r w:rsidRPr="001C59A0">
              <w:rPr>
                <w:rFonts w:ascii="Arial" w:hAnsi="Arial" w:cs="Arial"/>
                <w:bCs/>
                <w:lang w:val="es-CO"/>
              </w:rPr>
              <w:t>Escenario de Esfuerzo Medio y mayor competencia</w:t>
            </w:r>
          </w:p>
        </w:tc>
        <w:tc>
          <w:tcPr>
            <w:tcW w:w="1284"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123</w:t>
            </w:r>
          </w:p>
        </w:tc>
        <w:tc>
          <w:tcPr>
            <w:tcW w:w="1285"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122</w:t>
            </w:r>
          </w:p>
        </w:tc>
        <w:tc>
          <w:tcPr>
            <w:tcW w:w="1285"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118</w:t>
            </w:r>
          </w:p>
        </w:tc>
      </w:tr>
      <w:tr w:rsidR="00C419B8" w:rsidRPr="001C59A0" w:rsidTr="00DE4B10">
        <w:tc>
          <w:tcPr>
            <w:tcW w:w="3004" w:type="dxa"/>
            <w:shd w:val="clear" w:color="auto" w:fill="auto"/>
          </w:tcPr>
          <w:p w:rsidR="00C419B8" w:rsidRPr="001C59A0" w:rsidRDefault="00C419B8" w:rsidP="00DE4B10">
            <w:pPr>
              <w:pStyle w:val="ListParagraph"/>
              <w:ind w:left="0"/>
              <w:jc w:val="both"/>
              <w:rPr>
                <w:rFonts w:ascii="Arial" w:hAnsi="Arial" w:cs="Arial"/>
                <w:bCs/>
              </w:rPr>
            </w:pPr>
            <w:r w:rsidRPr="001C59A0">
              <w:rPr>
                <w:rFonts w:ascii="Arial" w:hAnsi="Arial" w:cs="Arial"/>
                <w:bCs/>
              </w:rPr>
              <w:t>Diferencia</w:t>
            </w:r>
          </w:p>
        </w:tc>
        <w:tc>
          <w:tcPr>
            <w:tcW w:w="1284"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-0,2%</w:t>
            </w:r>
          </w:p>
        </w:tc>
        <w:tc>
          <w:tcPr>
            <w:tcW w:w="1285"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20,3%</w:t>
            </w:r>
          </w:p>
        </w:tc>
        <w:tc>
          <w:tcPr>
            <w:tcW w:w="1285" w:type="dxa"/>
            <w:shd w:val="clear" w:color="auto" w:fill="auto"/>
          </w:tcPr>
          <w:p w:rsidR="00C419B8" w:rsidRPr="001C59A0" w:rsidRDefault="00C419B8" w:rsidP="00DE4B10">
            <w:pPr>
              <w:pStyle w:val="ListParagraph"/>
              <w:ind w:left="0"/>
              <w:jc w:val="center"/>
              <w:rPr>
                <w:rFonts w:ascii="Arial" w:hAnsi="Arial" w:cs="Arial"/>
                <w:bCs/>
              </w:rPr>
            </w:pPr>
            <w:r w:rsidRPr="001C59A0">
              <w:rPr>
                <w:rFonts w:ascii="Arial" w:hAnsi="Arial" w:cs="Arial"/>
                <w:bCs/>
              </w:rPr>
              <w:t>22,6%</w:t>
            </w:r>
          </w:p>
        </w:tc>
      </w:tr>
    </w:tbl>
    <w:p w:rsidR="00C419B8" w:rsidRPr="001C59A0" w:rsidRDefault="00C419B8" w:rsidP="00C419B8">
      <w:pPr>
        <w:autoSpaceDE w:val="0"/>
        <w:autoSpaceDN w:val="0"/>
        <w:adjustRightInd w:val="0"/>
        <w:jc w:val="center"/>
        <w:rPr>
          <w:rFonts w:ascii="Arial" w:hAnsi="Arial" w:cs="Arial"/>
          <w:bCs/>
          <w:sz w:val="22"/>
          <w:szCs w:val="22"/>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p>
    <w:p w:rsidR="00C419B8" w:rsidRPr="001C59A0" w:rsidRDefault="00C419B8" w:rsidP="00C419B8">
      <w:pPr>
        <w:spacing w:after="100" w:afterAutospacing="1"/>
        <w:jc w:val="both"/>
        <w:rPr>
          <w:rFonts w:ascii="Arial" w:eastAsia="Calibri" w:hAnsi="Arial" w:cs="Arial"/>
          <w:sz w:val="22"/>
          <w:highlight w:val="yellow"/>
        </w:rPr>
      </w:pPr>
    </w:p>
    <w:p w:rsidR="00C419B8" w:rsidRPr="001C59A0" w:rsidRDefault="00C419B8" w:rsidP="00C419B8">
      <w:pPr>
        <w:pStyle w:val="ListParagraph"/>
        <w:numPr>
          <w:ilvl w:val="2"/>
          <w:numId w:val="8"/>
        </w:numPr>
        <w:spacing w:after="100" w:afterAutospacing="1"/>
        <w:ind w:left="0" w:firstLine="0"/>
        <w:jc w:val="both"/>
        <w:outlineLvl w:val="2"/>
        <w:rPr>
          <w:rFonts w:ascii="Arial" w:hAnsi="Arial" w:cs="Arial"/>
          <w:b/>
          <w:bCs/>
        </w:rPr>
      </w:pPr>
      <w:bookmarkStart w:id="20" w:name="_Toc459677778"/>
      <w:r w:rsidRPr="001C59A0">
        <w:rPr>
          <w:rFonts w:ascii="Arial" w:hAnsi="Arial" w:cs="Arial"/>
          <w:b/>
          <w:bCs/>
        </w:rPr>
        <w:t>Impacto en Emisiones</w:t>
      </w:r>
      <w:bookmarkEnd w:id="20"/>
    </w:p>
    <w:p w:rsidR="00C419B8" w:rsidRPr="001C59A0" w:rsidRDefault="00C419B8" w:rsidP="00C419B8">
      <w:pPr>
        <w:pStyle w:val="ListParagraph"/>
        <w:spacing w:after="100" w:afterAutospacing="1"/>
        <w:ind w:left="0"/>
        <w:jc w:val="both"/>
        <w:outlineLvl w:val="2"/>
        <w:rPr>
          <w:rFonts w:ascii="Arial" w:hAnsi="Arial" w:cs="Arial"/>
          <w:b/>
          <w:bCs/>
        </w:rPr>
      </w:pPr>
    </w:p>
    <w:p w:rsidR="00C419B8" w:rsidRPr="001C59A0" w:rsidRDefault="00C419B8" w:rsidP="00C419B8">
      <w:pPr>
        <w:pStyle w:val="ListParagraph"/>
        <w:spacing w:after="100" w:afterAutospacing="1"/>
        <w:ind w:left="0"/>
        <w:jc w:val="both"/>
        <w:rPr>
          <w:rFonts w:ascii="Arial" w:hAnsi="Arial" w:cs="Arial"/>
          <w:color w:val="000000"/>
          <w:lang w:val="es-CO"/>
        </w:rPr>
      </w:pPr>
      <w:r w:rsidRPr="001C59A0">
        <w:rPr>
          <w:rFonts w:ascii="Arial" w:hAnsi="Arial" w:cs="Arial"/>
          <w:color w:val="000000"/>
          <w:lang w:val="es-CO"/>
        </w:rPr>
        <w:t>Se considera en esta sección el impacto sobre emisiones globales de GEI y locales de material particulado.</w:t>
      </w:r>
    </w:p>
    <w:p w:rsidR="00C419B8" w:rsidRPr="001C59A0" w:rsidRDefault="00C419B8" w:rsidP="00C419B8">
      <w:pPr>
        <w:pStyle w:val="ListParagraph"/>
        <w:spacing w:after="100" w:afterAutospacing="1"/>
        <w:ind w:left="0"/>
        <w:jc w:val="both"/>
        <w:rPr>
          <w:rFonts w:ascii="Arial" w:hAnsi="Arial" w:cs="Arial"/>
          <w:b/>
          <w:bCs/>
          <w:lang w:val="es-CO"/>
        </w:rPr>
      </w:pPr>
    </w:p>
    <w:p w:rsidR="00C419B8" w:rsidRPr="001C59A0" w:rsidRDefault="00C419B8" w:rsidP="00C419B8">
      <w:pPr>
        <w:pStyle w:val="ListParagraph"/>
        <w:numPr>
          <w:ilvl w:val="0"/>
          <w:numId w:val="13"/>
        </w:numPr>
        <w:spacing w:after="100" w:afterAutospacing="1"/>
        <w:ind w:left="0" w:firstLine="0"/>
        <w:jc w:val="both"/>
        <w:rPr>
          <w:rFonts w:ascii="Arial" w:hAnsi="Arial" w:cs="Arial"/>
          <w:b/>
          <w:bCs/>
          <w:lang w:val="es-CO"/>
        </w:rPr>
      </w:pPr>
      <w:r w:rsidRPr="001C59A0">
        <w:rPr>
          <w:rFonts w:ascii="Arial" w:hAnsi="Arial" w:cs="Arial"/>
          <w:b/>
          <w:bCs/>
          <w:lang w:val="es-CO"/>
        </w:rPr>
        <w:t xml:space="preserve">Emisiones de Gases de Efecto Invernadero de la Generación Eléctrica: </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 xml:space="preserve">Las emisiones de CO2 des sector generación, corresponden a las estimadas para la línea base y escenario de nivel de esfuerzo medio de MAPS y se presentan en el gráfico siguiente. Se observa que hasta el año 2019, ambas proyecciones aumentan de manera similar con una reducción de un 8,8% en el escenario de nivel de esfuerzo medio. Sin embargo, a partir del 2020, se genera una gran brecha en las emisiones de CO2, alcanzando alrededor del 48% para los años 2030 y 2050, es decir, alrededor de la mitad de las emisiones que se generarían en la línea base. Esta reducción se explica principalmente por el reemplazo de la generación térmica a carbón por energías renovables y por la menor demanda eléctrica que ha en el escenario de esfuerzo medio. El cuadro N°10 presenta la reducción de emisiones de GEI en toneladas. </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Figura N°14: Evolución emisiones CO2 sector generación 2013 - 2050.</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noProof/>
          <w:color w:val="000000"/>
          <w:sz w:val="22"/>
          <w:szCs w:val="22"/>
        </w:rPr>
        <w:drawing>
          <wp:inline distT="0" distB="0" distL="0" distR="0" wp14:anchorId="7C77B795" wp14:editId="17CAC166">
            <wp:extent cx="5018665" cy="2743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427" cy="2760014"/>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Fuente: MAPS</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lang w:val="es-CO"/>
        </w:rPr>
        <w:t xml:space="preserve">Cuadro N°10: Emisiones de CO2 sector generación, para línea base y escenario de esfuerzo medio. </w:t>
      </w:r>
      <w:r w:rsidRPr="001C59A0">
        <w:rPr>
          <w:rFonts w:ascii="Arial" w:hAnsi="Arial" w:cs="Arial"/>
          <w:color w:val="000000"/>
          <w:sz w:val="22"/>
          <w:szCs w:val="22"/>
        </w:rPr>
        <w:t>2019, 2030 y 2050</w:t>
      </w:r>
    </w:p>
    <w:tbl>
      <w:tblPr>
        <w:tblW w:w="6360" w:type="dxa"/>
        <w:jc w:val="center"/>
        <w:tblCellMar>
          <w:left w:w="70" w:type="dxa"/>
          <w:right w:w="70" w:type="dxa"/>
        </w:tblCellMar>
        <w:tblLook w:val="04A0" w:firstRow="1" w:lastRow="0" w:firstColumn="1" w:lastColumn="0" w:noHBand="0" w:noVBand="1"/>
      </w:tblPr>
      <w:tblGrid>
        <w:gridCol w:w="2760"/>
        <w:gridCol w:w="1200"/>
        <w:gridCol w:w="1200"/>
        <w:gridCol w:w="1200"/>
      </w:tblGrid>
      <w:tr w:rsidR="00C419B8" w:rsidRPr="001C59A0" w:rsidTr="00DE4B10">
        <w:trPr>
          <w:trHeight w:val="300"/>
          <w:jc w:val="center"/>
        </w:trPr>
        <w:tc>
          <w:tcPr>
            <w:tcW w:w="27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rPr>
                <w:rFonts w:ascii="Arial" w:hAnsi="Arial" w:cs="Arial"/>
                <w:color w:val="000000"/>
                <w:sz w:val="22"/>
                <w:szCs w:val="22"/>
              </w:rPr>
            </w:pPr>
            <w:r w:rsidRPr="001C59A0">
              <w:rPr>
                <w:rFonts w:ascii="Arial" w:hAnsi="Arial" w:cs="Arial"/>
                <w:color w:val="000000"/>
                <w:sz w:val="22"/>
                <w:szCs w:val="22"/>
              </w:rPr>
              <w:t>Año/escenario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2030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2050</w:t>
            </w:r>
          </w:p>
        </w:tc>
      </w:tr>
      <w:tr w:rsidR="00C419B8" w:rsidRPr="001C59A0" w:rsidTr="00DE4B10">
        <w:trPr>
          <w:trHeight w:val="300"/>
          <w:jc w:val="center"/>
        </w:trPr>
        <w:tc>
          <w:tcPr>
            <w:tcW w:w="27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rPr>
                <w:rFonts w:ascii="Arial" w:hAnsi="Arial" w:cs="Arial"/>
                <w:color w:val="000000"/>
                <w:sz w:val="22"/>
                <w:szCs w:val="22"/>
              </w:rPr>
            </w:pPr>
          </w:p>
        </w:tc>
        <w:tc>
          <w:tcPr>
            <w:tcW w:w="120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(Miles de Tons)</w:t>
            </w:r>
          </w:p>
        </w:tc>
        <w:tc>
          <w:tcPr>
            <w:tcW w:w="120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(Miles de Tons)</w:t>
            </w:r>
          </w:p>
        </w:tc>
        <w:tc>
          <w:tcPr>
            <w:tcW w:w="120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(Miles de Tons)</w:t>
            </w:r>
          </w:p>
        </w:tc>
      </w:tr>
      <w:tr w:rsidR="00C419B8" w:rsidRPr="001C59A0" w:rsidTr="00DE4B10">
        <w:trPr>
          <w:trHeight w:val="300"/>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rPr>
                <w:rFonts w:ascii="Arial" w:hAnsi="Arial" w:cs="Arial"/>
                <w:color w:val="000000"/>
                <w:sz w:val="22"/>
                <w:szCs w:val="22"/>
              </w:rPr>
            </w:pPr>
            <w:r w:rsidRPr="001C59A0">
              <w:rPr>
                <w:rFonts w:ascii="Arial" w:hAnsi="Arial" w:cs="Arial"/>
                <w:color w:val="000000"/>
                <w:sz w:val="22"/>
                <w:szCs w:val="22"/>
              </w:rPr>
              <w:t>Línea Base</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49,752</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60,312</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47,779</w:t>
            </w:r>
          </w:p>
        </w:tc>
      </w:tr>
      <w:tr w:rsidR="00C419B8" w:rsidRPr="001C59A0" w:rsidTr="00DE4B10">
        <w:trPr>
          <w:trHeight w:val="300"/>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rPr>
                <w:rFonts w:ascii="Arial" w:hAnsi="Arial" w:cs="Arial"/>
                <w:color w:val="000000"/>
                <w:sz w:val="22"/>
                <w:szCs w:val="22"/>
              </w:rPr>
            </w:pPr>
            <w:r w:rsidRPr="001C59A0">
              <w:rPr>
                <w:rFonts w:ascii="Arial" w:hAnsi="Arial" w:cs="Arial"/>
                <w:color w:val="000000"/>
                <w:sz w:val="22"/>
                <w:szCs w:val="22"/>
              </w:rPr>
              <w:t>Escenario de Esfuerzo Medio</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45,397</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31,197</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24,791</w:t>
            </w:r>
          </w:p>
        </w:tc>
      </w:tr>
      <w:tr w:rsidR="00C419B8" w:rsidRPr="001C59A0" w:rsidTr="00DE4B10">
        <w:trPr>
          <w:trHeight w:val="300"/>
          <w:jc w:val="center"/>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rPr>
                <w:rFonts w:ascii="Arial" w:hAnsi="Arial" w:cs="Arial"/>
                <w:color w:val="000000"/>
                <w:sz w:val="22"/>
                <w:szCs w:val="22"/>
              </w:rPr>
            </w:pPr>
            <w:r w:rsidRPr="001C59A0">
              <w:rPr>
                <w:rFonts w:ascii="Arial" w:hAnsi="Arial" w:cs="Arial"/>
                <w:color w:val="000000"/>
                <w:sz w:val="22"/>
                <w:szCs w:val="22"/>
              </w:rPr>
              <w:t>Diferencia</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-4,355</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-29,115</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-22,988</w:t>
            </w:r>
          </w:p>
        </w:tc>
      </w:tr>
    </w:tbl>
    <w:p w:rsidR="00C419B8" w:rsidRPr="001C59A0" w:rsidRDefault="00C419B8" w:rsidP="00C419B8">
      <w:pPr>
        <w:autoSpaceDE w:val="0"/>
        <w:autoSpaceDN w:val="0"/>
        <w:adjustRightInd w:val="0"/>
        <w:jc w:val="center"/>
        <w:rPr>
          <w:rFonts w:ascii="Arial" w:hAnsi="Arial" w:cs="Arial"/>
          <w:color w:val="000000"/>
          <w:sz w:val="22"/>
          <w:szCs w:val="22"/>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Fuente: Elaboración Propia</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p>
    <w:p w:rsidR="00C419B8" w:rsidRPr="001C59A0" w:rsidRDefault="00C419B8" w:rsidP="00C419B8">
      <w:pPr>
        <w:pStyle w:val="ListParagraph"/>
        <w:numPr>
          <w:ilvl w:val="0"/>
          <w:numId w:val="13"/>
        </w:numPr>
        <w:spacing w:after="100" w:afterAutospacing="1"/>
        <w:ind w:left="0" w:firstLine="0"/>
        <w:jc w:val="both"/>
        <w:rPr>
          <w:rFonts w:ascii="Arial" w:hAnsi="Arial" w:cs="Arial"/>
          <w:b/>
          <w:bCs/>
          <w:lang w:val="es-CO"/>
        </w:rPr>
      </w:pPr>
      <w:r w:rsidRPr="001C59A0">
        <w:rPr>
          <w:rFonts w:ascii="Arial" w:hAnsi="Arial" w:cs="Arial"/>
          <w:b/>
          <w:bCs/>
          <w:lang w:val="es-CO"/>
        </w:rPr>
        <w:t xml:space="preserve">Contaminantes Locales de la Generación Eléctrica: </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bCs/>
          <w:sz w:val="22"/>
          <w:szCs w:val="22"/>
          <w:lang w:val="es-CO"/>
        </w:rPr>
        <w:t xml:space="preserve">La estimación de las emisiones directas de material particulado provenientes del sector generación </w:t>
      </w:r>
      <w:r w:rsidRPr="001C59A0">
        <w:rPr>
          <w:rFonts w:ascii="Arial" w:hAnsi="Arial" w:cs="Arial"/>
          <w:color w:val="000000"/>
          <w:sz w:val="22"/>
          <w:szCs w:val="22"/>
          <w:lang w:val="es-CO"/>
        </w:rPr>
        <w:t>se realiza a partir de los datos obtenidos de MAPS para este sector, tanto para la línea base como para el escenario de esfuerzo medio.  Para ello se tuvo en consideración que las centrales a carbón y diésel están sujetas a los límites de emisión del DS13/2011 del MMA que “Establece norma de emisión para centrales termoeléctricas” y que además deberán tributar por sus emisiones locales según los nuevos impuestos verdes establecidos en la reforma tributaria.  La norma de emisión para centrales termoeléctricas establece los siguientes límites de emisión de material particulado.</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Cuadro N°11: Límites de emisión de material particulado para centrales termoeléctricas</w:t>
      </w:r>
    </w:p>
    <w:tbl>
      <w:tblPr>
        <w:tblW w:w="4800" w:type="dxa"/>
        <w:jc w:val="center"/>
        <w:tblCellMar>
          <w:left w:w="70" w:type="dxa"/>
          <w:right w:w="70" w:type="dxa"/>
        </w:tblCellMar>
        <w:tblLook w:val="04A0" w:firstRow="1" w:lastRow="0" w:firstColumn="1" w:lastColumn="0" w:noHBand="0" w:noVBand="1"/>
      </w:tblPr>
      <w:tblGrid>
        <w:gridCol w:w="1363"/>
        <w:gridCol w:w="1880"/>
        <w:gridCol w:w="1560"/>
      </w:tblGrid>
      <w:tr w:rsidR="00C419B8" w:rsidRPr="001C59A0" w:rsidTr="00DE4B10">
        <w:trPr>
          <w:trHeight w:val="3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Combustible</w:t>
            </w:r>
          </w:p>
        </w:tc>
        <w:tc>
          <w:tcPr>
            <w:tcW w:w="18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Fuentes Existentes</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Fuentes nuevas</w:t>
            </w:r>
          </w:p>
        </w:tc>
      </w:tr>
      <w:tr w:rsidR="00C419B8" w:rsidRPr="001C59A0" w:rsidTr="00DE4B10">
        <w:trPr>
          <w:trHeight w:val="30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p>
        </w:tc>
        <w:tc>
          <w:tcPr>
            <w:tcW w:w="188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mg/NM3</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mg/NM3</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Sólido</w:t>
            </w:r>
          </w:p>
        </w:tc>
        <w:tc>
          <w:tcPr>
            <w:tcW w:w="188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50</w:t>
            </w:r>
          </w:p>
        </w:tc>
        <w:tc>
          <w:tcPr>
            <w:tcW w:w="156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30</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Líquido</w:t>
            </w:r>
          </w:p>
        </w:tc>
        <w:tc>
          <w:tcPr>
            <w:tcW w:w="188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30</w:t>
            </w:r>
          </w:p>
        </w:tc>
        <w:tc>
          <w:tcPr>
            <w:tcW w:w="156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30</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Gaseoso</w:t>
            </w:r>
          </w:p>
        </w:tc>
        <w:tc>
          <w:tcPr>
            <w:tcW w:w="188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n.a.</w:t>
            </w:r>
          </w:p>
        </w:tc>
        <w:tc>
          <w:tcPr>
            <w:tcW w:w="156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n.a.</w:t>
            </w:r>
          </w:p>
        </w:tc>
      </w:tr>
    </w:tbl>
    <w:p w:rsidR="00C419B8" w:rsidRPr="001C59A0" w:rsidRDefault="00C419B8" w:rsidP="00C419B8">
      <w:pPr>
        <w:autoSpaceDE w:val="0"/>
        <w:autoSpaceDN w:val="0"/>
        <w:adjustRightInd w:val="0"/>
        <w:jc w:val="center"/>
        <w:rPr>
          <w:rFonts w:ascii="Arial" w:hAnsi="Arial" w:cs="Arial"/>
          <w:color w:val="000000"/>
          <w:sz w:val="22"/>
          <w:szCs w:val="22"/>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r w:rsidRPr="001C59A0">
        <w:rPr>
          <w:rFonts w:ascii="Arial" w:hAnsi="Arial" w:cs="Arial"/>
          <w:color w:val="000000"/>
          <w:sz w:val="22"/>
          <w:szCs w:val="22"/>
        </w:rPr>
        <w:t>Fuente: DS13/11 Norma emisión termoeléctrica</w:t>
      </w: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rPr>
      </w:pP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Para estimar las emisiones anuales de una central, se requiere conocer el flujo de salida de la chimenea, así como las horas de funcionamiento. El flujo de salida utilizado corresponde al promedio de los flujos declarados por las centrales existentes en el estudio “Análisis general de impacto económico y social de una norma de emisión para termoeléctricas” (CONAMA,2009)</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 xml:space="preserve">Por otra parte, se utilizó la información de la capacidad instalada y energía generada contenida en MAPS para estimar un factor de planta promedio para las centrales que usan carbón y las que utilizan diésel. </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Para estimar el número de centrales que operarán en el sistema, se dividió la capacidad instalada por el tamaño de planta promedio existente usando datos del mismo estudio mencionado para los flujos. Se consideró como fuente existente toda aquella instalada hasta el 2015.</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Para las emisiones de las centrales a gas, se utilizó el consumo de ese combustible y factores de emisión del AP42 de la EPA.</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Finalmente, para estimar las emisiones efectivas se consideró que las centrales emitirán un 80% de las emisiones calculadas. Esto considera una holgura respecto del límite máximo que se justifica debido a que las empresas operan con valores bajo la norma, ya que lo indicado en el cuadro N°11 corresponde al límite máximo y que la existencia de los impuestos verdes, entrega incentivos para que las empresas intenten mantener sus emisiones lo más bajas posibles para reducir el pago asociado. Este supuesto, además reduce las emisiones estimadas y por lo tanto es conservador desde la perspectiva de la estimación de beneficios asociados a la reducción de emisiones contaminantes.</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color w:val="000000"/>
          <w:sz w:val="22"/>
          <w:szCs w:val="22"/>
          <w:lang w:val="es-CO"/>
        </w:rPr>
        <w:t>Los resultados en cuanto a emisiones de material particulado de centrales se observan en la figura 15. En la línea base, las em</w:t>
      </w:r>
      <w:r w:rsidRPr="001C59A0">
        <w:rPr>
          <w:rFonts w:ascii="Arial" w:hAnsi="Arial" w:cs="Arial"/>
          <w:bCs/>
          <w:sz w:val="22"/>
          <w:szCs w:val="22"/>
          <w:lang w:val="es-CO"/>
        </w:rPr>
        <w:t xml:space="preserve">isiones totales estimadas aumentan desde 5.031 toneladas el año 2015, llegando a un </w:t>
      </w:r>
      <w:r w:rsidRPr="001C59A0">
        <w:rPr>
          <w:rFonts w:ascii="Arial" w:hAnsi="Arial" w:cs="Arial"/>
          <w:bCs/>
          <w:i/>
          <w:sz w:val="22"/>
          <w:szCs w:val="22"/>
          <w:lang w:val="es-CO"/>
        </w:rPr>
        <w:t>peak</w:t>
      </w:r>
      <w:r w:rsidRPr="001C59A0">
        <w:rPr>
          <w:rFonts w:ascii="Arial" w:hAnsi="Arial" w:cs="Arial"/>
          <w:bCs/>
          <w:sz w:val="22"/>
          <w:szCs w:val="22"/>
          <w:lang w:val="es-CO"/>
        </w:rPr>
        <w:t xml:space="preserve"> de 7.559 el 2030 quedando luego en 6.717 el año 2050. En el escenario de esfuerzo medio en cambio, estas disminuyen de una forma relativamente continua hasta llegar a aproximadamente 3.290 toneladas en el 2050. El cuadro N°12 presenta las reducciones para los años 2030 y 2050, las que alcanzan cerca de 3.500 ton/año.</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pStyle w:val="ListParagraph"/>
        <w:spacing w:after="100" w:afterAutospacing="1"/>
        <w:ind w:left="0"/>
        <w:jc w:val="center"/>
        <w:rPr>
          <w:rFonts w:ascii="Arial" w:hAnsi="Arial" w:cs="Arial"/>
          <w:bCs/>
        </w:rPr>
      </w:pPr>
      <w:r w:rsidRPr="001C59A0">
        <w:rPr>
          <w:rFonts w:ascii="Arial" w:hAnsi="Arial" w:cs="Arial"/>
          <w:bCs/>
          <w:lang w:val="es-CO"/>
        </w:rPr>
        <w:t xml:space="preserve">Cuadro N°12: Emisiones de material particulado sector generación, para línea base y escenario de esfuerzo medio. </w:t>
      </w:r>
      <w:r w:rsidRPr="001C59A0">
        <w:rPr>
          <w:rFonts w:ascii="Arial" w:hAnsi="Arial" w:cs="Arial"/>
          <w:bCs/>
        </w:rPr>
        <w:t>2019, 2030 y 2050</w:t>
      </w:r>
    </w:p>
    <w:tbl>
      <w:tblPr>
        <w:tblW w:w="6400" w:type="dxa"/>
        <w:jc w:val="center"/>
        <w:tblCellMar>
          <w:left w:w="70" w:type="dxa"/>
          <w:right w:w="70" w:type="dxa"/>
        </w:tblCellMar>
        <w:tblLook w:val="04A0" w:firstRow="1" w:lastRow="0" w:firstColumn="1" w:lastColumn="0" w:noHBand="0" w:noVBand="1"/>
      </w:tblPr>
      <w:tblGrid>
        <w:gridCol w:w="2800"/>
        <w:gridCol w:w="1200"/>
        <w:gridCol w:w="1200"/>
        <w:gridCol w:w="1200"/>
      </w:tblGrid>
      <w:tr w:rsidR="00C419B8" w:rsidRPr="001C59A0" w:rsidTr="00DE4B10">
        <w:trPr>
          <w:trHeight w:val="300"/>
          <w:jc w:val="center"/>
        </w:trPr>
        <w:tc>
          <w:tcPr>
            <w:tcW w:w="2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Año/escenario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2030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2050</w:t>
            </w:r>
          </w:p>
        </w:tc>
      </w:tr>
      <w:tr w:rsidR="00C419B8" w:rsidRPr="001C59A0" w:rsidTr="00DE4B10">
        <w:trPr>
          <w:trHeight w:val="300"/>
          <w:jc w:val="center"/>
        </w:trPr>
        <w:tc>
          <w:tcPr>
            <w:tcW w:w="28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Línea Base</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5.479</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7.559</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6.717</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Escenario de Esfuerzo Medio</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5.194</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4.134</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3.290</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Diferencia</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-285</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-3.426</w:t>
            </w:r>
          </w:p>
        </w:tc>
        <w:tc>
          <w:tcPr>
            <w:tcW w:w="1200"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-3.427</w:t>
            </w:r>
          </w:p>
        </w:tc>
      </w:tr>
    </w:tbl>
    <w:p w:rsidR="00C419B8" w:rsidRPr="001C59A0" w:rsidRDefault="00C419B8" w:rsidP="00C419B8">
      <w:pPr>
        <w:autoSpaceDE w:val="0"/>
        <w:autoSpaceDN w:val="0"/>
        <w:adjustRightInd w:val="0"/>
        <w:jc w:val="center"/>
        <w:rPr>
          <w:rFonts w:ascii="Arial" w:hAnsi="Arial" w:cs="Arial"/>
          <w:bCs/>
          <w:sz w:val="22"/>
          <w:szCs w:val="22"/>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both"/>
        <w:rPr>
          <w:rFonts w:ascii="Arial" w:hAnsi="Arial" w:cs="Arial"/>
          <w:b/>
          <w:bCs/>
          <w:sz w:val="22"/>
          <w:szCs w:val="22"/>
        </w:rPr>
      </w:pP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Es importante distinguir lo que sucede en el SIC y el SING debido a que ello determina los beneficios monetarios de esta reducción. Por ello, es necesario destacar que tanto para la línea base como para el escenario de esfuerzo medio, las emisiones de las centrales a carbón representan prácticamente la totalidad de las emisiones de material particulado a partir de año 2017, en cada sistema.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La evolución de las emisiones de las centrales a carbón, distinguiendo el SIC del SING, se pueden observar en la figura N°16, que muestra que la mayor reducción de emisiones se concentra en el SIC, alcanzando al año 2050 un 59,6% en contraste al 32,4% del SING. </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Figura N° 15: Evolución emisiones material particulado de centrales termoeléctricas. 2013 - 2050.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
          <w:bCs/>
          <w:noProof/>
          <w:sz w:val="22"/>
          <w:szCs w:val="22"/>
        </w:rPr>
        <w:drawing>
          <wp:inline distT="0" distB="0" distL="0" distR="0" wp14:anchorId="586A19AE" wp14:editId="796807D1">
            <wp:extent cx="3916908" cy="2161946"/>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8255" cy="2179248"/>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lang w:val="es-CO"/>
        </w:rPr>
      </w:pPr>
      <w:r w:rsidRPr="001C59A0">
        <w:rPr>
          <w:rFonts w:ascii="Arial" w:hAnsi="Arial" w:cs="Arial"/>
          <w:bCs/>
          <w:sz w:val="22"/>
          <w:szCs w:val="22"/>
          <w:lang w:val="es-CO"/>
        </w:rPr>
        <w:t>FiguraN°16: Evolución emisiones material participado de centrales a carbón SIC y SING2013 - 2050.</w:t>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2700D470" wp14:editId="65E29BBC">
            <wp:extent cx="3930555" cy="2296876"/>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724" cy="2315675"/>
                    </a:xfrm>
                    <a:prstGeom prst="rect">
                      <a:avLst/>
                    </a:prstGeom>
                    <a:noFill/>
                  </pic:spPr>
                </pic:pic>
              </a:graphicData>
            </a:graphic>
          </wp:inline>
        </w:drawing>
      </w:r>
    </w:p>
    <w:p w:rsidR="00C419B8" w:rsidRPr="001C59A0" w:rsidRDefault="00C419B8" w:rsidP="00C419B8">
      <w:pPr>
        <w:autoSpaceDE w:val="0"/>
        <w:autoSpaceDN w:val="0"/>
        <w:adjustRightInd w:val="0"/>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both"/>
        <w:rPr>
          <w:rFonts w:ascii="Arial" w:hAnsi="Arial" w:cs="Arial"/>
          <w:bCs/>
          <w:sz w:val="22"/>
          <w:szCs w:val="22"/>
        </w:rPr>
      </w:pPr>
    </w:p>
    <w:p w:rsidR="00C419B8" w:rsidRPr="001C59A0" w:rsidRDefault="00C419B8" w:rsidP="00C419B8">
      <w:pPr>
        <w:pStyle w:val="ListParagraph"/>
        <w:numPr>
          <w:ilvl w:val="0"/>
          <w:numId w:val="13"/>
        </w:numPr>
        <w:spacing w:after="100" w:afterAutospacing="1"/>
        <w:ind w:left="0" w:firstLine="0"/>
        <w:jc w:val="both"/>
        <w:rPr>
          <w:rFonts w:ascii="Arial" w:hAnsi="Arial" w:cs="Arial"/>
          <w:b/>
          <w:bCs/>
          <w:lang w:val="es-CO"/>
        </w:rPr>
      </w:pPr>
      <w:r w:rsidRPr="001C59A0">
        <w:rPr>
          <w:rFonts w:ascii="Arial" w:hAnsi="Arial" w:cs="Arial"/>
          <w:b/>
          <w:bCs/>
          <w:lang w:val="es-CO"/>
        </w:rPr>
        <w:t xml:space="preserve">Contaminantes Locales por Reemplazo de Sistemas de Calefacción a Leña: </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Para estimar el impacto del Programa sobre las emisiones de la calefacción a leña se aprovechan también los resultados del proyecto MAPS. Usando la información del sector CPR, se estiman estas emisiones usando el consumo de energía para calefacción a leña y el número de viviendas que usan este tipo de calefacción para calcular el consumo por vivienda. Esto se realiza tanto para la línea base como para el escenario de esfuerzo medio de MAPS en que se considera mayores exigencias en la reglamentación térmica y la implementación de la calificación energética de viviendas.</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Luego, se estima la cantidad de horas de uso de calefacción que se requieren para generar la energía que consume cada vivienda. Para ello se considera un calefactor de 8kW que corresponde a un calefactor a leña de tamaño medio que cumple con la norma de emisión para estufas a leña, es decir que debe emitir menos de 2,5gr/h de material particulado.</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Este supuesto es conservador por 2 motivos:</w:t>
      </w:r>
    </w:p>
    <w:p w:rsidR="00C419B8" w:rsidRPr="001C59A0" w:rsidRDefault="00C419B8" w:rsidP="00C419B8">
      <w:pPr>
        <w:pStyle w:val="ListParagraph"/>
        <w:numPr>
          <w:ilvl w:val="0"/>
          <w:numId w:val="19"/>
        </w:numPr>
        <w:spacing w:after="100" w:afterAutospacing="1" w:line="259" w:lineRule="auto"/>
        <w:jc w:val="both"/>
        <w:rPr>
          <w:rFonts w:ascii="Arial" w:hAnsi="Arial" w:cs="Arial"/>
          <w:bCs/>
          <w:lang w:val="es-CO"/>
        </w:rPr>
      </w:pPr>
      <w:r w:rsidRPr="001C59A0">
        <w:rPr>
          <w:rFonts w:ascii="Arial" w:hAnsi="Arial" w:cs="Arial"/>
          <w:bCs/>
          <w:lang w:val="es-CO"/>
        </w:rPr>
        <w:t>Actualmente una proporción muy pequeña de los calefactores está certificada, debido a que el límite de emisión recién entró en vigencia en octubre del año 2014. Esto significa que se están contabilizando solo las reducciones en emisiones debidos a cambios en la demanda de energía y no las asociadas al mejoramiento del parque de estufas. Este efecto es más importante en los primeros años, ya que hacia el 2050, el parque de calefactores a leña se irá renovando y los nuevos deberán cumplir con la norma.</w:t>
      </w:r>
    </w:p>
    <w:p w:rsidR="00C419B8" w:rsidRPr="001C59A0" w:rsidRDefault="00C419B8" w:rsidP="00C419B8">
      <w:pPr>
        <w:pStyle w:val="ListParagraph"/>
        <w:numPr>
          <w:ilvl w:val="0"/>
          <w:numId w:val="19"/>
        </w:numPr>
        <w:spacing w:after="100" w:afterAutospacing="1" w:line="259" w:lineRule="auto"/>
        <w:jc w:val="both"/>
        <w:rPr>
          <w:rFonts w:ascii="Arial" w:hAnsi="Arial" w:cs="Arial"/>
          <w:bCs/>
          <w:lang w:val="es-CO"/>
        </w:rPr>
      </w:pPr>
      <w:r w:rsidRPr="001C59A0">
        <w:rPr>
          <w:rFonts w:ascii="Arial" w:hAnsi="Arial" w:cs="Arial"/>
          <w:bCs/>
          <w:lang w:val="es-CO"/>
        </w:rPr>
        <w:t>El límite de emisiones establecido en la norma, se verifica en condiciones ideales de funcionamiento (funcionamiento en régimen con carga de leña de tamaño, geometría, especie y humedad definida) que no son las que se replican en el uso de las estufas en los hogares, por lo que el factor de emisión real de un calefactor podría ser varias veces el de la norma.</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La información de las emisiones se calcula según tipología de vivienda y su zona geográfica, distinguiéndose 3 zonas:</w:t>
      </w:r>
    </w:p>
    <w:p w:rsidR="00C419B8" w:rsidRPr="001C59A0" w:rsidRDefault="00C419B8" w:rsidP="00C419B8">
      <w:pPr>
        <w:pStyle w:val="ListParagraph"/>
        <w:numPr>
          <w:ilvl w:val="0"/>
          <w:numId w:val="18"/>
        </w:numPr>
        <w:autoSpaceDE w:val="0"/>
        <w:autoSpaceDN w:val="0"/>
        <w:adjustRightInd w:val="0"/>
        <w:spacing w:after="100" w:afterAutospacing="1" w:line="259" w:lineRule="auto"/>
        <w:rPr>
          <w:rFonts w:ascii="Arial" w:hAnsi="Arial" w:cs="Arial"/>
          <w:color w:val="000000"/>
          <w:lang w:val="es-CO"/>
        </w:rPr>
      </w:pPr>
      <w:r w:rsidRPr="001C59A0">
        <w:rPr>
          <w:rFonts w:ascii="Arial" w:hAnsi="Arial" w:cs="Arial"/>
          <w:color w:val="000000"/>
          <w:lang w:val="es-CO"/>
        </w:rPr>
        <w:t xml:space="preserve">“Zona A (Norte-Centro Norte): compuesta por las zonas térmicas 1 y 2, y presenta un comportamiento menor 750° día-anuales. </w:t>
      </w:r>
    </w:p>
    <w:p w:rsidR="00C419B8" w:rsidRPr="001C59A0" w:rsidRDefault="00C419B8" w:rsidP="00C419B8">
      <w:pPr>
        <w:pStyle w:val="ListParagraph"/>
        <w:numPr>
          <w:ilvl w:val="0"/>
          <w:numId w:val="18"/>
        </w:numPr>
        <w:autoSpaceDE w:val="0"/>
        <w:autoSpaceDN w:val="0"/>
        <w:adjustRightInd w:val="0"/>
        <w:spacing w:after="100" w:afterAutospacing="1" w:line="259" w:lineRule="auto"/>
        <w:rPr>
          <w:rFonts w:ascii="Arial" w:hAnsi="Arial" w:cs="Arial"/>
          <w:color w:val="000000"/>
          <w:lang w:val="es-CO"/>
        </w:rPr>
      </w:pPr>
      <w:r w:rsidRPr="001C59A0">
        <w:rPr>
          <w:rFonts w:ascii="Arial" w:hAnsi="Arial" w:cs="Arial"/>
          <w:color w:val="000000"/>
          <w:lang w:val="es-CO"/>
        </w:rPr>
        <w:t xml:space="preserve">Zona B (Centro Sur – Sur): compuesto por las zonas térmicas 3, 4 y 5, y presenta un comportamiento entre 750° y 1500° día-anuales. </w:t>
      </w:r>
    </w:p>
    <w:p w:rsidR="00C419B8" w:rsidRPr="001C59A0" w:rsidRDefault="00C419B8" w:rsidP="00C419B8">
      <w:pPr>
        <w:pStyle w:val="ListParagraph"/>
        <w:numPr>
          <w:ilvl w:val="0"/>
          <w:numId w:val="18"/>
        </w:numPr>
        <w:autoSpaceDE w:val="0"/>
        <w:autoSpaceDN w:val="0"/>
        <w:adjustRightInd w:val="0"/>
        <w:spacing w:after="100" w:afterAutospacing="1" w:line="259" w:lineRule="auto"/>
        <w:rPr>
          <w:rFonts w:ascii="Arial" w:hAnsi="Arial" w:cs="Arial"/>
          <w:color w:val="000000"/>
          <w:lang w:val="es-CO"/>
        </w:rPr>
      </w:pPr>
      <w:r w:rsidRPr="001C59A0">
        <w:rPr>
          <w:rFonts w:ascii="Arial" w:hAnsi="Arial" w:cs="Arial"/>
          <w:color w:val="000000"/>
          <w:lang w:val="es-CO"/>
        </w:rPr>
        <w:t xml:space="preserve">Zona C (Sur -Austral – Cordillera): compuesto por las zonas térmicas 6 y 7, y presenta un comportamiento mayor a 1500° día-anuales“ </w:t>
      </w:r>
      <w:r w:rsidRPr="001C59A0">
        <w:rPr>
          <w:rStyle w:val="FootnoteReference"/>
          <w:rFonts w:ascii="Arial" w:hAnsi="Arial" w:cs="Arial"/>
          <w:color w:val="000000"/>
        </w:rPr>
        <w:footnoteReference w:id="18"/>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Las tipologías corresponden a casa o departamento, distinguiendo entre aquellos urbanos y rurales. Debido a que en departamentos no se utiliza calefacción a leña, las emisiones de esa tipología vivienda se asume cero para todas las zonas.</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 xml:space="preserve">La figura 17 muestra la evolución de las emisiones resultantes para las 6 tipologías, en la que se observa claramente que estas son mayores en la zona B que en la zona C, ya que a pesar que en ésta última el uso de calefacción es más intenso, la cantidad de hogares que utilizan leña para calefacción es menor a los de la zona B debido a la menor densidad de la población. </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center"/>
        <w:rPr>
          <w:rFonts w:ascii="Arial" w:hAnsi="Arial" w:cs="Arial"/>
          <w:color w:val="000000"/>
          <w:sz w:val="22"/>
          <w:szCs w:val="22"/>
          <w:lang w:val="es-CO"/>
        </w:rPr>
      </w:pPr>
      <w:r w:rsidRPr="001C59A0">
        <w:rPr>
          <w:rFonts w:ascii="Arial" w:hAnsi="Arial" w:cs="Arial"/>
          <w:color w:val="000000"/>
          <w:sz w:val="22"/>
          <w:szCs w:val="22"/>
          <w:lang w:val="es-CO"/>
        </w:rPr>
        <w:t>Figura N° 17: Evolución de las emisiones de MP por calefacción a leña según zona y tipología, escenario esfuerzo medio: 2012 a 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417D6D57" wp14:editId="03D8679E">
            <wp:extent cx="3875374" cy="226552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7862" cy="2290367"/>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p>
    <w:p w:rsidR="00C419B8" w:rsidRPr="001C59A0" w:rsidRDefault="00C419B8" w:rsidP="00C419B8">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Por otra parte, se observa que las emisiones de la calefacción a leña disminuyen en las zonas urbanas y aumentan en las zonas rurales. Ambos movimientos responden en gran parte a la evolución del número de viviendas que usan este tipo de combustible, el que se supone que irá en descenso en las zonas urbanas debido a que los planes de descontaminación que se están implementando generan incentivos para que las viviendas migren a otro tipo de sistemas de calefacción.</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r w:rsidRPr="001C59A0">
        <w:rPr>
          <w:rFonts w:ascii="Arial" w:hAnsi="Arial" w:cs="Arial"/>
          <w:bCs/>
          <w:sz w:val="22"/>
          <w:szCs w:val="22"/>
          <w:lang w:val="es-CO"/>
        </w:rPr>
        <w:t>Las emisiones de la línea base son mayores a la del escenario de esfuerzo medio debido a la que la implementación de medidas de eficiencia energética como una reglamentación térmica más estricta y el uso de la calificación energética de viviendas, genera una menor necesidad de calefacción.</w:t>
      </w:r>
    </w:p>
    <w:p w:rsidR="00C419B8" w:rsidRPr="001C59A0" w:rsidRDefault="00C419B8" w:rsidP="00C419B8">
      <w:pPr>
        <w:autoSpaceDE w:val="0"/>
        <w:autoSpaceDN w:val="0"/>
        <w:adjustRightInd w:val="0"/>
        <w:spacing w:after="100" w:afterAutospacing="1"/>
        <w:jc w:val="both"/>
        <w:rPr>
          <w:rFonts w:ascii="Arial" w:hAnsi="Arial" w:cs="Arial"/>
          <w:bCs/>
          <w:sz w:val="22"/>
          <w:szCs w:val="22"/>
          <w:lang w:val="es-CO"/>
        </w:rPr>
      </w:pPr>
    </w:p>
    <w:p w:rsidR="00C419B8" w:rsidRPr="001C59A0" w:rsidRDefault="00C419B8" w:rsidP="00C419B8">
      <w:pPr>
        <w:pStyle w:val="ListParagraph"/>
        <w:spacing w:after="100" w:afterAutospacing="1"/>
        <w:ind w:left="0"/>
        <w:jc w:val="center"/>
        <w:rPr>
          <w:rFonts w:ascii="Arial" w:hAnsi="Arial" w:cs="Arial"/>
          <w:bCs/>
        </w:rPr>
      </w:pPr>
      <w:r w:rsidRPr="001C59A0">
        <w:rPr>
          <w:rFonts w:ascii="Arial" w:hAnsi="Arial" w:cs="Arial"/>
          <w:bCs/>
          <w:lang w:val="es-CO"/>
        </w:rPr>
        <w:t xml:space="preserve">Cuadro N°13: Emisiones de material particulado por calefacción a leña, para línea base y escenario de esfuerzo medio. </w:t>
      </w:r>
      <w:r w:rsidRPr="001C59A0">
        <w:rPr>
          <w:rFonts w:ascii="Arial" w:hAnsi="Arial" w:cs="Arial"/>
          <w:bCs/>
        </w:rPr>
        <w:t>2019, 2030 y 2050</w:t>
      </w:r>
    </w:p>
    <w:tbl>
      <w:tblPr>
        <w:tblW w:w="6400" w:type="dxa"/>
        <w:jc w:val="center"/>
        <w:tblCellMar>
          <w:left w:w="70" w:type="dxa"/>
          <w:right w:w="70" w:type="dxa"/>
        </w:tblCellMar>
        <w:tblLook w:val="04A0" w:firstRow="1" w:lastRow="0" w:firstColumn="1" w:lastColumn="0" w:noHBand="0" w:noVBand="1"/>
      </w:tblPr>
      <w:tblGrid>
        <w:gridCol w:w="2800"/>
        <w:gridCol w:w="1200"/>
        <w:gridCol w:w="1200"/>
        <w:gridCol w:w="1200"/>
      </w:tblGrid>
      <w:tr w:rsidR="00C419B8" w:rsidRPr="001C59A0" w:rsidTr="00DE4B10">
        <w:trPr>
          <w:trHeight w:val="300"/>
          <w:jc w:val="center"/>
        </w:trPr>
        <w:tc>
          <w:tcPr>
            <w:tcW w:w="2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Año/escenario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2030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2050</w:t>
            </w:r>
          </w:p>
        </w:tc>
      </w:tr>
      <w:tr w:rsidR="00C419B8" w:rsidRPr="001C59A0" w:rsidTr="00DE4B10">
        <w:trPr>
          <w:trHeight w:val="300"/>
          <w:jc w:val="center"/>
        </w:trPr>
        <w:tc>
          <w:tcPr>
            <w:tcW w:w="28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(Tons)</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Línea Base</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9.497</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9.786</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9.838</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Escenario de Esfuerzo Medio</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8.938</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9.168</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9.185</w:t>
            </w:r>
          </w:p>
        </w:tc>
      </w:tr>
      <w:tr w:rsidR="00C419B8" w:rsidRPr="001C59A0" w:rsidTr="00DE4B1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Diferencia</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-560</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-619</w:t>
            </w:r>
          </w:p>
        </w:tc>
        <w:tc>
          <w:tcPr>
            <w:tcW w:w="1200" w:type="dxa"/>
            <w:tcBorders>
              <w:top w:val="nil"/>
              <w:left w:val="nil"/>
              <w:bottom w:val="single" w:sz="4" w:space="0" w:color="auto"/>
              <w:right w:val="single" w:sz="4" w:space="0" w:color="auto"/>
            </w:tcBorders>
            <w:shd w:val="clear" w:color="auto" w:fill="auto"/>
            <w:noWrap/>
            <w:vAlign w:val="bottom"/>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-653</w:t>
            </w:r>
          </w:p>
        </w:tc>
      </w:tr>
    </w:tbl>
    <w:p w:rsidR="00C419B8" w:rsidRPr="001C59A0" w:rsidRDefault="00C419B8" w:rsidP="00C419B8">
      <w:pPr>
        <w:autoSpaceDE w:val="0"/>
        <w:autoSpaceDN w:val="0"/>
        <w:adjustRightInd w:val="0"/>
        <w:jc w:val="center"/>
        <w:rPr>
          <w:rFonts w:ascii="Arial" w:hAnsi="Arial" w:cs="Arial"/>
          <w:bCs/>
          <w:sz w:val="22"/>
          <w:szCs w:val="22"/>
        </w:rPr>
      </w:pPr>
    </w:p>
    <w:p w:rsidR="00C419B8" w:rsidRPr="001C59A0" w:rsidRDefault="00C419B8" w:rsidP="00C419B8">
      <w:pPr>
        <w:autoSpaceDE w:val="0"/>
        <w:autoSpaceDN w:val="0"/>
        <w:adjustRightInd w:val="0"/>
        <w:spacing w:after="100" w:afterAutospacing="1"/>
        <w:jc w:val="center"/>
        <w:rPr>
          <w:rFonts w:ascii="Arial" w:hAnsi="Arial" w:cs="Arial"/>
          <w:bCs/>
          <w:sz w:val="22"/>
          <w:szCs w:val="22"/>
          <w:highlight w:val="green"/>
        </w:rPr>
      </w:pPr>
      <w:r w:rsidRPr="001C59A0">
        <w:rPr>
          <w:rFonts w:ascii="Arial" w:hAnsi="Arial" w:cs="Arial"/>
          <w:bCs/>
          <w:sz w:val="22"/>
          <w:szCs w:val="22"/>
        </w:rPr>
        <w:t>Fuente: Elaboración propia</w:t>
      </w:r>
    </w:p>
    <w:p w:rsidR="00C419B8" w:rsidRPr="001C59A0" w:rsidRDefault="00C419B8" w:rsidP="00C419B8">
      <w:pPr>
        <w:autoSpaceDE w:val="0"/>
        <w:autoSpaceDN w:val="0"/>
        <w:adjustRightInd w:val="0"/>
        <w:spacing w:after="100" w:afterAutospacing="1"/>
        <w:jc w:val="both"/>
        <w:rPr>
          <w:rFonts w:ascii="Arial" w:eastAsia="Calibri" w:hAnsi="Arial" w:cs="Arial"/>
          <w:b/>
        </w:rPr>
      </w:pPr>
      <w:r w:rsidRPr="001C59A0">
        <w:rPr>
          <w:rFonts w:ascii="Arial" w:eastAsia="Calibri" w:hAnsi="Arial" w:cs="Arial"/>
          <w:b/>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eastAsia="Calibri" w:hAnsi="Arial" w:cs="Arial"/>
          <w:b/>
        </w:rPr>
      </w:pPr>
      <w:bookmarkStart w:id="21" w:name="_Toc459677779"/>
      <w:r w:rsidRPr="001C59A0">
        <w:rPr>
          <w:rFonts w:ascii="Arial" w:eastAsia="Calibri" w:hAnsi="Arial" w:cs="Arial"/>
          <w:b/>
        </w:rPr>
        <w:t>Evaluación Económica del Programa</w:t>
      </w:r>
      <w:bookmarkEnd w:id="21"/>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evaluar los beneficios esperados del Programa se valorizan primero los beneficios ambientales, tanto por reducción de emisiones de CO2 como por emisiones locales. Luego se cuantifican los beneficios sobre los hogares de las menores tarifas esperadas. Finalmente se identifican los beneficios en los sectores industrial y minero, los que se valorizarán en el próximo informe. </w:t>
      </w:r>
    </w:p>
    <w:p w:rsidR="00C419B8" w:rsidRPr="001C59A0" w:rsidRDefault="00C419B8" w:rsidP="00C419B8">
      <w:pPr>
        <w:pStyle w:val="ListParagraph"/>
        <w:numPr>
          <w:ilvl w:val="1"/>
          <w:numId w:val="8"/>
        </w:numPr>
        <w:spacing w:after="100" w:afterAutospacing="1"/>
        <w:ind w:left="0" w:firstLine="0"/>
        <w:jc w:val="both"/>
        <w:outlineLvl w:val="1"/>
        <w:rPr>
          <w:rFonts w:ascii="Arial" w:eastAsia="Calibri" w:hAnsi="Arial" w:cs="Arial"/>
          <w:b/>
          <w:lang w:val="es-CO"/>
        </w:rPr>
      </w:pPr>
      <w:bookmarkStart w:id="22" w:name="_Toc459677780"/>
      <w:r w:rsidRPr="001C59A0">
        <w:rPr>
          <w:rFonts w:ascii="Arial" w:eastAsia="Calibri" w:hAnsi="Arial" w:cs="Arial"/>
          <w:b/>
          <w:lang w:val="es-CO"/>
        </w:rPr>
        <w:t>Beneficios por Reducción de Contaminantes Globales</w:t>
      </w:r>
      <w:bookmarkEnd w:id="22"/>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Los beneficios ambientales de reducir las emisiones de GEI por una parte se relacionan con el hecho que cada tonelada de emisiones reducida tiene un valor de mercado que se puede estimar. Por otra se refieren a la posibilidad de cumplir el compromiso contraído ante la CMNUCC de lograr un 30% de reducción. </w:t>
      </w:r>
    </w:p>
    <w:p w:rsidR="00C419B8" w:rsidRPr="001C59A0" w:rsidRDefault="00C419B8" w:rsidP="00C419B8">
      <w:pPr>
        <w:pStyle w:val="ListParagraph"/>
        <w:numPr>
          <w:ilvl w:val="0"/>
          <w:numId w:val="15"/>
        </w:numPr>
        <w:spacing w:after="100" w:afterAutospacing="1"/>
        <w:ind w:left="0" w:firstLine="0"/>
        <w:jc w:val="both"/>
        <w:rPr>
          <w:rFonts w:ascii="Arial" w:hAnsi="Arial" w:cs="Arial"/>
          <w:b/>
          <w:bCs/>
          <w:lang w:val="es-CO"/>
        </w:rPr>
      </w:pPr>
      <w:r w:rsidRPr="001C59A0">
        <w:rPr>
          <w:rFonts w:ascii="Arial" w:hAnsi="Arial" w:cs="Arial"/>
          <w:b/>
          <w:bCs/>
          <w:lang w:val="es-CO"/>
        </w:rPr>
        <w:t xml:space="preserve">Valoración de </w:t>
      </w:r>
      <w:r w:rsidRPr="001C59A0">
        <w:rPr>
          <w:rFonts w:ascii="Arial" w:hAnsi="Arial" w:cs="Arial"/>
          <w:b/>
          <w:lang w:val="es-CO"/>
        </w:rPr>
        <w:t>Emisiones de Contaminantes Globales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beneficios de la reducción de las emisiones de CO2 fueron valorizados usando el precio social del carbono determinado por el ministerio de desarrollo social, en el documento “Precio sociales vigentes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precio social para el año 2016 de una tonelada de carbono corresponde a $5.972.- (USD8,447.- considera precio del dólar observado al 31-dic-2015 de 707 CLP/USD). Este valor que se obtiene del precio promedio de mercado de los instrumentos que se transan bajo el Mecanismo de Desarrollo Limpio (MDL) del año 2015.</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Figura N°18: beneficio por año y beneficio acumulado por reducción de CO2.</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200BD70A" wp14:editId="01456EC8">
            <wp:extent cx="4743029" cy="253848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1552" cy="2553748"/>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Los beneficios anuales aumentan hasta el año 2030, luego se reducen levemente para mantenerse relativamente estables desde el 2037 en adelante. El año 2019, el beneficio equivale a MMUSD 36,8, alcanza un </w:t>
      </w:r>
      <w:r w:rsidRPr="001C59A0">
        <w:rPr>
          <w:rFonts w:ascii="Arial" w:hAnsi="Arial" w:cs="Arial"/>
          <w:i/>
          <w:sz w:val="22"/>
          <w:szCs w:val="22"/>
          <w:lang w:val="es-CO"/>
        </w:rPr>
        <w:t>peak</w:t>
      </w:r>
      <w:r w:rsidRPr="001C59A0">
        <w:rPr>
          <w:rFonts w:ascii="Arial" w:hAnsi="Arial" w:cs="Arial"/>
          <w:sz w:val="22"/>
          <w:szCs w:val="22"/>
          <w:lang w:val="es-CO"/>
        </w:rPr>
        <w:t xml:space="preserve"> el año 2030 de MMUSD 245,9 y al año 2050 llega a MMUSD 194,2 anuales, como se indica en el cuadro N°14.</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Cuadro N°14: Beneficios anuales por reducción de emisiones de CO2. 2019, 2030 y 2050.</w:t>
      </w:r>
    </w:p>
    <w:tbl>
      <w:tblPr>
        <w:tblW w:w="2400" w:type="dxa"/>
        <w:jc w:val="center"/>
        <w:tblCellMar>
          <w:left w:w="70" w:type="dxa"/>
          <w:right w:w="70" w:type="dxa"/>
        </w:tblCellMar>
        <w:tblLook w:val="04A0" w:firstRow="1" w:lastRow="0" w:firstColumn="1" w:lastColumn="0" w:noHBand="0" w:noVBand="1"/>
      </w:tblPr>
      <w:tblGrid>
        <w:gridCol w:w="1200"/>
        <w:gridCol w:w="1200"/>
      </w:tblGrid>
      <w:tr w:rsidR="00C419B8" w:rsidRPr="001C59A0" w:rsidTr="00DE4B10">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Año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Beneficio</w:t>
            </w:r>
            <w:r w:rsidRPr="001C59A0">
              <w:rPr>
                <w:rFonts w:ascii="Arial" w:hAnsi="Arial" w:cs="Arial"/>
                <w:color w:val="000000"/>
                <w:sz w:val="22"/>
                <w:szCs w:val="22"/>
              </w:rPr>
              <w:br/>
              <w:t>(MM USD)</w:t>
            </w:r>
          </w:p>
        </w:tc>
      </w:tr>
      <w:tr w:rsidR="00C419B8" w:rsidRPr="001C59A0" w:rsidTr="00DE4B10">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2019</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36,8</w:t>
            </w:r>
          </w:p>
        </w:tc>
      </w:tr>
      <w:tr w:rsidR="00C419B8" w:rsidRPr="001C59A0" w:rsidTr="00DE4B10">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2030</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245,9</w:t>
            </w:r>
          </w:p>
        </w:tc>
      </w:tr>
      <w:tr w:rsidR="00C419B8" w:rsidRPr="001C59A0" w:rsidTr="00DE4B10">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2050</w:t>
            </w:r>
          </w:p>
        </w:tc>
        <w:tc>
          <w:tcPr>
            <w:tcW w:w="120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194,2</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Fuente: Elaboración Propia</w:t>
      </w:r>
    </w:p>
    <w:p w:rsidR="00C419B8" w:rsidRPr="001C59A0" w:rsidRDefault="00C419B8" w:rsidP="00C419B8">
      <w:pPr>
        <w:spacing w:after="100" w:afterAutospacing="1"/>
        <w:jc w:val="center"/>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valor actual neto de los beneficios al año 2015, usando la tasa social de descuento oficial de Chile de 6%, es de 2.101 millones de dólares</w:t>
      </w:r>
      <w:r w:rsidRPr="001C59A0">
        <w:rPr>
          <w:rStyle w:val="FootnoteReference"/>
          <w:rFonts w:ascii="Arial" w:hAnsi="Arial" w:cs="Arial"/>
          <w:sz w:val="22"/>
          <w:szCs w:val="22"/>
        </w:rPr>
        <w:footnoteReference w:id="19"/>
      </w:r>
      <w:r w:rsidRPr="001C59A0">
        <w:rPr>
          <w:rFonts w:ascii="Arial" w:hAnsi="Arial" w:cs="Arial"/>
          <w:sz w:val="22"/>
          <w:szCs w:val="22"/>
          <w:lang w:val="es-CO"/>
        </w:rPr>
        <w:t xml:space="preserve">. </w:t>
      </w:r>
    </w:p>
    <w:p w:rsidR="00C419B8" w:rsidRPr="001C59A0" w:rsidRDefault="00C419B8" w:rsidP="00C419B8">
      <w:pPr>
        <w:pStyle w:val="ListParagraph"/>
        <w:numPr>
          <w:ilvl w:val="0"/>
          <w:numId w:val="15"/>
        </w:numPr>
        <w:spacing w:after="100" w:afterAutospacing="1"/>
        <w:ind w:left="0" w:firstLine="0"/>
        <w:jc w:val="both"/>
        <w:rPr>
          <w:rFonts w:ascii="Arial" w:hAnsi="Arial" w:cs="Arial"/>
          <w:b/>
          <w:bCs/>
          <w:lang w:val="es-CO"/>
        </w:rPr>
      </w:pPr>
      <w:r w:rsidRPr="001C59A0">
        <w:rPr>
          <w:rFonts w:ascii="Arial" w:hAnsi="Arial" w:cs="Arial"/>
          <w:b/>
          <w:bCs/>
          <w:lang w:val="es-CO"/>
        </w:rPr>
        <w:t>Cumplimiento de la Contribución Propuesta por Chile</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siguiente cuadro presenta la intensidad de emisiones de CO2 por unidad de PIB para los años 2007, 2019 y 2030 para la Línea Base y Escenario con Programa. Se observa que al 2030 solo el escenario con Programa cumple el compromiso de reducción de 30% de este indicador respecto del año 2007. El sector energético, si bien no es el único responsable de este resultado es clave para ello.</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Cuadro N°15: Emisiones de CO2 por Unidad de PIB (TonCO2/millones$)</w:t>
      </w:r>
    </w:p>
    <w:tbl>
      <w:tblPr>
        <w:tblStyle w:val="TableGrid"/>
        <w:tblW w:w="0" w:type="auto"/>
        <w:jc w:val="center"/>
        <w:tblLook w:val="04A0" w:firstRow="1" w:lastRow="0" w:firstColumn="1" w:lastColumn="0" w:noHBand="0" w:noVBand="1"/>
      </w:tblPr>
      <w:tblGrid>
        <w:gridCol w:w="1658"/>
        <w:gridCol w:w="1146"/>
        <w:gridCol w:w="1147"/>
        <w:gridCol w:w="1548"/>
      </w:tblGrid>
      <w:tr w:rsidR="00C419B8" w:rsidRPr="001C59A0" w:rsidTr="00DE4B10">
        <w:trPr>
          <w:jc w:val="center"/>
        </w:trPr>
        <w:tc>
          <w:tcPr>
            <w:tcW w:w="1658" w:type="dxa"/>
            <w:shd w:val="clear" w:color="auto" w:fill="D9D9D9" w:themeFill="background1" w:themeFillShade="D9"/>
            <w:vAlign w:val="center"/>
          </w:tcPr>
          <w:p w:rsidR="00C419B8" w:rsidRPr="001C59A0" w:rsidRDefault="00C419B8" w:rsidP="00DE4B10">
            <w:pPr>
              <w:pStyle w:val="ListParagraph"/>
              <w:spacing w:after="100" w:afterAutospacing="1"/>
              <w:ind w:left="0"/>
              <w:rPr>
                <w:rFonts w:ascii="Arial" w:hAnsi="Arial" w:cs="Arial"/>
                <w:bCs/>
              </w:rPr>
            </w:pPr>
            <w:r w:rsidRPr="001C59A0">
              <w:rPr>
                <w:rFonts w:ascii="Arial" w:hAnsi="Arial" w:cs="Arial"/>
                <w:bCs/>
              </w:rPr>
              <w:t>Escenario</w:t>
            </w:r>
          </w:p>
        </w:tc>
        <w:tc>
          <w:tcPr>
            <w:tcW w:w="1146" w:type="dxa"/>
            <w:shd w:val="clear" w:color="auto" w:fill="D9D9D9" w:themeFill="background1" w:themeFillShade="D9"/>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2007</w:t>
            </w:r>
          </w:p>
        </w:tc>
        <w:tc>
          <w:tcPr>
            <w:tcW w:w="1147" w:type="dxa"/>
            <w:shd w:val="clear" w:color="auto" w:fill="D9D9D9" w:themeFill="background1" w:themeFillShade="D9"/>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2030</w:t>
            </w:r>
          </w:p>
        </w:tc>
        <w:tc>
          <w:tcPr>
            <w:tcW w:w="1548" w:type="dxa"/>
            <w:shd w:val="clear" w:color="auto" w:fill="D9D9D9" w:themeFill="background1" w:themeFillShade="D9"/>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Diferencia 2007-2030 (%)</w:t>
            </w:r>
          </w:p>
        </w:tc>
      </w:tr>
      <w:tr w:rsidR="00C419B8" w:rsidRPr="001C59A0" w:rsidTr="00DE4B10">
        <w:trPr>
          <w:jc w:val="center"/>
        </w:trPr>
        <w:tc>
          <w:tcPr>
            <w:tcW w:w="1658" w:type="dxa"/>
            <w:vAlign w:val="center"/>
          </w:tcPr>
          <w:p w:rsidR="00C419B8" w:rsidRPr="001C59A0" w:rsidRDefault="00C419B8" w:rsidP="00DE4B10">
            <w:pPr>
              <w:pStyle w:val="ListParagraph"/>
              <w:spacing w:after="100" w:afterAutospacing="1"/>
              <w:ind w:left="0"/>
              <w:rPr>
                <w:rFonts w:ascii="Arial" w:hAnsi="Arial" w:cs="Arial"/>
                <w:bCs/>
              </w:rPr>
            </w:pPr>
            <w:r w:rsidRPr="001C59A0">
              <w:rPr>
                <w:rFonts w:ascii="Arial" w:hAnsi="Arial" w:cs="Arial"/>
                <w:bCs/>
              </w:rPr>
              <w:t>Línea Base</w:t>
            </w:r>
          </w:p>
        </w:tc>
        <w:tc>
          <w:tcPr>
            <w:tcW w:w="1146"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1,020</w:t>
            </w:r>
          </w:p>
        </w:tc>
        <w:tc>
          <w:tcPr>
            <w:tcW w:w="1147"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0,79</w:t>
            </w:r>
          </w:p>
        </w:tc>
        <w:tc>
          <w:tcPr>
            <w:tcW w:w="1548"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23%</w:t>
            </w:r>
          </w:p>
        </w:tc>
      </w:tr>
      <w:tr w:rsidR="00C419B8" w:rsidRPr="001C59A0" w:rsidTr="00DE4B10">
        <w:trPr>
          <w:jc w:val="center"/>
        </w:trPr>
        <w:tc>
          <w:tcPr>
            <w:tcW w:w="1658" w:type="dxa"/>
            <w:vAlign w:val="center"/>
          </w:tcPr>
          <w:p w:rsidR="00C419B8" w:rsidRPr="001C59A0" w:rsidRDefault="00C419B8" w:rsidP="00DE4B10">
            <w:pPr>
              <w:pStyle w:val="ListParagraph"/>
              <w:spacing w:after="100" w:afterAutospacing="1"/>
              <w:ind w:left="0"/>
              <w:rPr>
                <w:rFonts w:ascii="Arial" w:hAnsi="Arial" w:cs="Arial"/>
                <w:bCs/>
              </w:rPr>
            </w:pPr>
            <w:r w:rsidRPr="001C59A0">
              <w:rPr>
                <w:rFonts w:ascii="Arial" w:hAnsi="Arial" w:cs="Arial"/>
                <w:bCs/>
              </w:rPr>
              <w:t>Con Programa</w:t>
            </w:r>
          </w:p>
        </w:tc>
        <w:tc>
          <w:tcPr>
            <w:tcW w:w="1146"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1,020</w:t>
            </w:r>
          </w:p>
        </w:tc>
        <w:tc>
          <w:tcPr>
            <w:tcW w:w="1147"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0,56</w:t>
            </w:r>
          </w:p>
        </w:tc>
        <w:tc>
          <w:tcPr>
            <w:tcW w:w="1548" w:type="dxa"/>
            <w:vAlign w:val="center"/>
          </w:tcPr>
          <w:p w:rsidR="00C419B8" w:rsidRPr="001C59A0" w:rsidRDefault="00C419B8" w:rsidP="00DE4B10">
            <w:pPr>
              <w:pStyle w:val="ListParagraph"/>
              <w:spacing w:after="100" w:afterAutospacing="1"/>
              <w:ind w:left="0"/>
              <w:jc w:val="center"/>
              <w:rPr>
                <w:rFonts w:ascii="Arial" w:hAnsi="Arial" w:cs="Arial"/>
                <w:bCs/>
              </w:rPr>
            </w:pPr>
            <w:r w:rsidRPr="001C59A0">
              <w:rPr>
                <w:rFonts w:ascii="Arial" w:hAnsi="Arial" w:cs="Arial"/>
                <w:bCs/>
              </w:rPr>
              <w:t>45%</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Fuente: Elaboración Propia</w:t>
      </w: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Este resultado es interesante ya que el cumplir este compromiso genera otros beneficios no valorados pero que pueden ser significativos, por ejemplo, mantener la condición de país de bajo riesgo para las inversiones externas y ser sujeto para los programas que se desarrollen para apoyar la incorporación de nuevas tecnologías para mitigar o adaptarse al cambio climático.</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pStyle w:val="ListParagraph"/>
        <w:numPr>
          <w:ilvl w:val="1"/>
          <w:numId w:val="8"/>
        </w:numPr>
        <w:spacing w:after="100" w:afterAutospacing="1"/>
        <w:ind w:left="0" w:firstLine="0"/>
        <w:jc w:val="both"/>
        <w:outlineLvl w:val="1"/>
        <w:rPr>
          <w:rFonts w:ascii="Arial" w:eastAsia="Calibri" w:hAnsi="Arial" w:cs="Arial"/>
          <w:b/>
          <w:lang w:val="es-CO"/>
        </w:rPr>
      </w:pPr>
      <w:bookmarkStart w:id="23" w:name="_Toc459677781"/>
      <w:r w:rsidRPr="001C59A0">
        <w:rPr>
          <w:rFonts w:ascii="Arial" w:eastAsia="Calibri" w:hAnsi="Arial" w:cs="Arial"/>
          <w:b/>
          <w:lang w:val="es-CO"/>
        </w:rPr>
        <w:t>Valoración de Reducción de Emisiones de Material Particulado</w:t>
      </w:r>
      <w:bookmarkEnd w:id="23"/>
      <w:r w:rsidRPr="001C59A0">
        <w:rPr>
          <w:rFonts w:ascii="Arial" w:eastAsia="Calibri" w:hAnsi="Arial" w:cs="Arial"/>
          <w:b/>
          <w:lang w:val="es-CO"/>
        </w:rPr>
        <w:t xml:space="preserve"> </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bCs/>
          <w:sz w:val="22"/>
          <w:szCs w:val="22"/>
          <w:lang w:val="es-CO"/>
        </w:rPr>
        <w:t>Los beneficios de reducir emisiones de material particulado se valoran en base a los efectos evitados en salud. Por cierto, que cada tecnología tiene, además, otros efectos ambientales, por ejemplo, sobre ecosistemas (al respecto ver anexo 3). Sin embargo, al realizar una evaluación económica y valorar los beneficios, los asociados a salud son por lo general mucho más significativos a los demás. En efecto, l</w:t>
      </w:r>
      <w:r w:rsidRPr="001C59A0">
        <w:rPr>
          <w:rFonts w:ascii="Arial" w:hAnsi="Arial" w:cs="Arial"/>
          <w:sz w:val="22"/>
          <w:szCs w:val="22"/>
          <w:lang w:val="es-CO"/>
        </w:rPr>
        <w:t>os resultados de las experiencias europea y norteamericana permiten dimensionar la importancia relativa de cada categoría de impacto y contaminante, los que se observan en el cuadro siguiente. Si bien cada caso de análisis es diferente, estos estudios muestran que la mayor parte de los beneficios monetizados corresponden a las mejoras en salud. Desagregando los impactos en salud se evidencia un dominio del material particulado (MP2.5) en los beneficios. Para el caso europeo el 99% de los beneficios de salud se derivan de reducciones en particulado (luego en ozono 1%)</w:t>
      </w:r>
      <w:r w:rsidRPr="001C59A0">
        <w:rPr>
          <w:rFonts w:ascii="Arial" w:hAnsi="Arial" w:cs="Arial"/>
          <w:sz w:val="22"/>
          <w:szCs w:val="22"/>
          <w:vertAlign w:val="superscript"/>
        </w:rPr>
        <w:footnoteReference w:id="20"/>
      </w:r>
      <w:r w:rsidRPr="001C59A0">
        <w:rPr>
          <w:rFonts w:ascii="Arial" w:hAnsi="Arial" w:cs="Arial"/>
          <w:sz w:val="22"/>
          <w:szCs w:val="22"/>
          <w:lang w:val="es-CO"/>
        </w:rPr>
        <w:t>. Para Norteamérica esta cifra sobrepasa el 97% (ozono menos de 3%).</w:t>
      </w:r>
    </w:p>
    <w:p w:rsidR="00C419B8" w:rsidRPr="001C59A0" w:rsidRDefault="00C419B8" w:rsidP="00C419B8">
      <w:pPr>
        <w:pStyle w:val="Estilo1"/>
        <w:spacing w:before="0" w:after="100" w:afterAutospacing="1"/>
        <w:ind w:firstLine="0"/>
        <w:rPr>
          <w:rFonts w:ascii="Arial" w:hAnsi="Arial" w:cs="Arial"/>
          <w:b/>
          <w:sz w:val="22"/>
          <w:szCs w:val="22"/>
          <w:lang w:val="es-CL"/>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Cuadro N° 16: Distribución de Beneficios por Impactos para dos Estudios Internacionales Representativos</w:t>
      </w:r>
    </w:p>
    <w:tbl>
      <w:tblPr>
        <w:tblW w:w="4815" w:type="dxa"/>
        <w:jc w:val="center"/>
        <w:tblLayout w:type="fixed"/>
        <w:tblCellMar>
          <w:left w:w="70" w:type="dxa"/>
          <w:right w:w="70" w:type="dxa"/>
        </w:tblCellMar>
        <w:tblLook w:val="04A0" w:firstRow="1" w:lastRow="0" w:firstColumn="1" w:lastColumn="0" w:noHBand="0" w:noVBand="1"/>
      </w:tblPr>
      <w:tblGrid>
        <w:gridCol w:w="1696"/>
        <w:gridCol w:w="1559"/>
        <w:gridCol w:w="1560"/>
      </w:tblGrid>
      <w:tr w:rsidR="00C419B8" w:rsidRPr="001C59A0" w:rsidTr="00DE4B10">
        <w:trPr>
          <w:trHeight w:val="1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both"/>
              <w:rPr>
                <w:rFonts w:ascii="Arial" w:hAnsi="Arial" w:cs="Arial"/>
                <w:color w:val="000000"/>
                <w:sz w:val="22"/>
                <w:szCs w:val="22"/>
                <w:lang w:eastAsia="es-MX"/>
              </w:rPr>
            </w:pPr>
            <w:r w:rsidRPr="001C59A0">
              <w:rPr>
                <w:rFonts w:ascii="Arial" w:hAnsi="Arial" w:cs="Arial"/>
                <w:color w:val="000000"/>
                <w:sz w:val="22"/>
                <w:szCs w:val="22"/>
                <w:lang w:val="es-CO" w:eastAsia="es-MX"/>
              </w:rPr>
              <w:t> </w:t>
            </w:r>
            <w:r w:rsidRPr="001C59A0">
              <w:rPr>
                <w:rFonts w:ascii="Arial" w:hAnsi="Arial" w:cs="Arial"/>
                <w:color w:val="000000"/>
                <w:sz w:val="22"/>
                <w:szCs w:val="22"/>
                <w:lang w:eastAsia="es-MX"/>
              </w:rPr>
              <w:t>Impacto</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Europa</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Estados Unidos</w:t>
            </w:r>
          </w:p>
        </w:tc>
      </w:tr>
      <w:tr w:rsidR="00C419B8" w:rsidRPr="001C59A0" w:rsidTr="00DE4B10">
        <w:trPr>
          <w:trHeight w:val="170"/>
          <w:jc w:val="center"/>
        </w:trPr>
        <w:tc>
          <w:tcPr>
            <w:tcW w:w="1696" w:type="dxa"/>
            <w:tcBorders>
              <w:top w:val="nil"/>
              <w:left w:val="single" w:sz="4" w:space="0" w:color="auto"/>
              <w:bottom w:val="single" w:sz="4" w:space="0" w:color="auto"/>
              <w:right w:val="single" w:sz="4" w:space="0" w:color="auto"/>
            </w:tcBorders>
            <w:noWrap/>
            <w:vAlign w:val="bottom"/>
            <w:hideMark/>
          </w:tcPr>
          <w:p w:rsidR="00C419B8" w:rsidRPr="001C59A0" w:rsidRDefault="00C419B8" w:rsidP="00DE4B10">
            <w:pPr>
              <w:spacing w:after="100" w:afterAutospacing="1"/>
              <w:jc w:val="both"/>
              <w:rPr>
                <w:rFonts w:ascii="Arial" w:hAnsi="Arial" w:cs="Arial"/>
                <w:color w:val="000000"/>
                <w:sz w:val="22"/>
                <w:szCs w:val="22"/>
                <w:lang w:eastAsia="es-MX"/>
              </w:rPr>
            </w:pPr>
            <w:r w:rsidRPr="001C59A0">
              <w:rPr>
                <w:rFonts w:ascii="Arial" w:hAnsi="Arial" w:cs="Arial"/>
                <w:color w:val="000000"/>
                <w:sz w:val="22"/>
                <w:szCs w:val="22"/>
                <w:lang w:eastAsia="es-MX"/>
              </w:rPr>
              <w:t>Salud</w:t>
            </w:r>
          </w:p>
        </w:tc>
        <w:tc>
          <w:tcPr>
            <w:tcW w:w="1559"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99.39%</w:t>
            </w:r>
          </w:p>
        </w:tc>
        <w:tc>
          <w:tcPr>
            <w:tcW w:w="1560"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99.57%</w:t>
            </w:r>
          </w:p>
        </w:tc>
      </w:tr>
      <w:tr w:rsidR="00C419B8" w:rsidRPr="001C59A0" w:rsidTr="00DE4B10">
        <w:trPr>
          <w:trHeight w:val="170"/>
          <w:jc w:val="center"/>
        </w:trPr>
        <w:tc>
          <w:tcPr>
            <w:tcW w:w="1696" w:type="dxa"/>
            <w:tcBorders>
              <w:top w:val="nil"/>
              <w:left w:val="single" w:sz="4" w:space="0" w:color="auto"/>
              <w:bottom w:val="single" w:sz="4" w:space="0" w:color="auto"/>
              <w:right w:val="single" w:sz="4" w:space="0" w:color="auto"/>
            </w:tcBorders>
            <w:noWrap/>
            <w:vAlign w:val="bottom"/>
            <w:hideMark/>
          </w:tcPr>
          <w:p w:rsidR="00C419B8" w:rsidRPr="001C59A0" w:rsidRDefault="00C419B8" w:rsidP="00DE4B10">
            <w:pPr>
              <w:spacing w:after="100" w:afterAutospacing="1"/>
              <w:jc w:val="both"/>
              <w:rPr>
                <w:rFonts w:ascii="Arial" w:hAnsi="Arial" w:cs="Arial"/>
                <w:color w:val="000000"/>
                <w:sz w:val="22"/>
                <w:szCs w:val="22"/>
                <w:lang w:eastAsia="es-MX"/>
              </w:rPr>
            </w:pPr>
            <w:r w:rsidRPr="001C59A0">
              <w:rPr>
                <w:rFonts w:ascii="Arial" w:hAnsi="Arial" w:cs="Arial"/>
                <w:color w:val="000000"/>
                <w:sz w:val="22"/>
                <w:szCs w:val="22"/>
                <w:lang w:eastAsia="es-MX"/>
              </w:rPr>
              <w:t>Agricultura</w:t>
            </w:r>
          </w:p>
        </w:tc>
        <w:tc>
          <w:tcPr>
            <w:tcW w:w="1559"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0.47%</w:t>
            </w:r>
          </w:p>
        </w:tc>
        <w:tc>
          <w:tcPr>
            <w:tcW w:w="1560"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0.43%</w:t>
            </w:r>
          </w:p>
        </w:tc>
      </w:tr>
      <w:tr w:rsidR="00C419B8" w:rsidRPr="001C59A0" w:rsidTr="00DE4B10">
        <w:trPr>
          <w:trHeight w:val="170"/>
          <w:jc w:val="center"/>
        </w:trPr>
        <w:tc>
          <w:tcPr>
            <w:tcW w:w="1696" w:type="dxa"/>
            <w:tcBorders>
              <w:top w:val="nil"/>
              <w:left w:val="single" w:sz="4" w:space="0" w:color="auto"/>
              <w:bottom w:val="single" w:sz="4" w:space="0" w:color="auto"/>
              <w:right w:val="single" w:sz="4" w:space="0" w:color="auto"/>
            </w:tcBorders>
            <w:noWrap/>
            <w:vAlign w:val="bottom"/>
            <w:hideMark/>
          </w:tcPr>
          <w:p w:rsidR="00C419B8" w:rsidRPr="001C59A0" w:rsidRDefault="00C419B8" w:rsidP="00DE4B10">
            <w:pPr>
              <w:spacing w:after="100" w:afterAutospacing="1"/>
              <w:jc w:val="both"/>
              <w:rPr>
                <w:rFonts w:ascii="Arial" w:hAnsi="Arial" w:cs="Arial"/>
                <w:color w:val="000000"/>
                <w:sz w:val="22"/>
                <w:szCs w:val="22"/>
                <w:lang w:eastAsia="es-MX"/>
              </w:rPr>
            </w:pPr>
            <w:r w:rsidRPr="001C59A0">
              <w:rPr>
                <w:rFonts w:ascii="Arial" w:hAnsi="Arial" w:cs="Arial"/>
                <w:color w:val="000000"/>
                <w:sz w:val="22"/>
                <w:szCs w:val="22"/>
                <w:lang w:eastAsia="es-MX"/>
              </w:rPr>
              <w:t>Materiales</w:t>
            </w:r>
          </w:p>
        </w:tc>
        <w:tc>
          <w:tcPr>
            <w:tcW w:w="1559"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0.14%</w:t>
            </w:r>
          </w:p>
        </w:tc>
        <w:tc>
          <w:tcPr>
            <w:tcW w:w="1560" w:type="dxa"/>
            <w:tcBorders>
              <w:top w:val="nil"/>
              <w:left w:val="nil"/>
              <w:bottom w:val="single" w:sz="4" w:space="0" w:color="auto"/>
              <w:right w:val="single" w:sz="4" w:space="0" w:color="auto"/>
            </w:tcBorders>
            <w:noWrap/>
            <w:vAlign w:val="bottom"/>
            <w:hideMark/>
          </w:tcPr>
          <w:p w:rsidR="00C419B8" w:rsidRPr="001C59A0" w:rsidRDefault="00C419B8" w:rsidP="00DE4B10">
            <w:pPr>
              <w:spacing w:after="100" w:afterAutospacing="1"/>
              <w:jc w:val="center"/>
              <w:rPr>
                <w:rFonts w:ascii="Arial" w:hAnsi="Arial" w:cs="Arial"/>
                <w:color w:val="000000"/>
                <w:sz w:val="22"/>
                <w:szCs w:val="22"/>
                <w:lang w:eastAsia="es-MX"/>
              </w:rPr>
            </w:pPr>
            <w:r w:rsidRPr="001C59A0">
              <w:rPr>
                <w:rFonts w:ascii="Arial" w:hAnsi="Arial" w:cs="Arial"/>
                <w:color w:val="000000"/>
                <w:sz w:val="22"/>
                <w:szCs w:val="22"/>
                <w:lang w:eastAsia="es-MX"/>
              </w:rPr>
              <w:t>0.01%</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 en base EPA 2010 y Stockholm Environment Institute 2011.</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sz w:val="22"/>
          <w:szCs w:val="22"/>
          <w:lang w:val="es-CO"/>
        </w:rPr>
        <w:t>Los resultados anteriores están en línea con diversos estudios conducidos hace al menos un par de décadas. La experiencia internacional revela que los beneficios de salud dominan holgadamente al resto de categorías consideradas. La preponderancia fundamental de esta categoría justifica, en una primera aproximación, solo considerar beneficios en salud. Por otra parte, el material particulado (ligado a salud) es el contaminante responsable de la mayor parte de los beneficios.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estimar los beneficios de la reducción de emisiones de material particulado, se utiliza la metodología sugerida por la “Guía metodológica para la elaboración de un análisis general de impacto económico y social (AGIES) para instrumentos de gestión de calidad del aire”.</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Este enfoque de la función de daño, propone utilizar el cambio en las emisiones contaminantes para estimar un cambio en la concentración de los mismos (cambio en calidad del aire). Se determina la población expuesta y como ésta se ve afectada por la calidad del aire y luego se calculan los beneficios sociales asociados a la reducción de muertes y enfermedades debidos a la menor exposición.</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Figura N°19: Esquema del marco metodológico de función de daño</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5FB7A175" wp14:editId="22B9E531">
            <wp:extent cx="4797251" cy="3616657"/>
            <wp:effectExtent l="0" t="0" r="381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473" t="21854" r="28764" b="19463"/>
                    <a:stretch/>
                  </pic:blipFill>
                  <pic:spPr bwMode="auto">
                    <a:xfrm>
                      <a:off x="0" y="0"/>
                      <a:ext cx="4842934" cy="3651098"/>
                    </a:xfrm>
                    <a:prstGeom prst="rect">
                      <a:avLst/>
                    </a:prstGeom>
                    <a:ln>
                      <a:noFill/>
                    </a:ln>
                    <a:extLst>
                      <a:ext uri="{53640926-AAD7-44D8-BBD7-CCE9431645EC}">
                        <a14:shadowObscured xmlns:a14="http://schemas.microsoft.com/office/drawing/2010/main"/>
                      </a:ext>
                    </a:extLst>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MMA 2013</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estimar el cambio en las concentraciones de material particulado, se utiliza la siguiente relación:</w:t>
      </w:r>
    </w:p>
    <w:p w:rsidR="00C419B8" w:rsidRPr="001C59A0" w:rsidRDefault="00C419B8" w:rsidP="00C419B8">
      <w:pPr>
        <w:spacing w:after="100" w:afterAutospacing="1"/>
        <w:jc w:val="both"/>
        <w:rPr>
          <w:rFonts w:ascii="Arial" w:hAnsi="Arial" w:cs="Arial"/>
          <w:sz w:val="22"/>
          <w:szCs w:val="22"/>
        </w:rPr>
      </w:pPr>
      <m:oMathPara>
        <m:oMath>
          <m:r>
            <w:rPr>
              <w:rFonts w:ascii="Cambria Math" w:hAnsi="Cambria Math" w:cs="Arial"/>
              <w:sz w:val="22"/>
              <w:szCs w:val="22"/>
            </w:rPr>
            <m:t>FEC=</m:t>
          </m:r>
          <m:f>
            <m:fPr>
              <m:ctrlPr>
                <w:rPr>
                  <w:rFonts w:ascii="Cambria Math" w:hAnsi="Cambria Math" w:cs="Arial"/>
                  <w:i/>
                  <w:sz w:val="22"/>
                  <w:szCs w:val="22"/>
                </w:rPr>
              </m:ctrlPr>
            </m:fPr>
            <m:num>
              <m:r>
                <w:rPr>
                  <w:rFonts w:ascii="Cambria Math" w:hAnsi="Cambria Math" w:cs="Arial"/>
                  <w:sz w:val="22"/>
                  <w:szCs w:val="22"/>
                </w:rPr>
                <m:t>E</m:t>
              </m:r>
            </m:num>
            <m:den>
              <m:r>
                <w:rPr>
                  <w:rFonts w:ascii="Cambria Math" w:hAnsi="Cambria Math" w:cs="Arial"/>
                  <w:sz w:val="22"/>
                  <w:szCs w:val="22"/>
                </w:rPr>
                <m:t>C</m:t>
              </m:r>
            </m:den>
          </m:f>
        </m:oMath>
      </m:oMathPara>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Donde:</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ab/>
        <w:t>FEC:</w:t>
      </w:r>
      <w:r w:rsidRPr="001C59A0">
        <w:rPr>
          <w:rFonts w:ascii="Arial" w:hAnsi="Arial" w:cs="Arial"/>
          <w:sz w:val="22"/>
          <w:szCs w:val="22"/>
          <w:lang w:val="es-CO"/>
        </w:rPr>
        <w:tab/>
        <w:t>Factor emisión concentración (ton/año)/(µg/m</w:t>
      </w:r>
      <w:r w:rsidRPr="001C59A0">
        <w:rPr>
          <w:rFonts w:ascii="Arial" w:hAnsi="Arial" w:cs="Arial"/>
          <w:sz w:val="22"/>
          <w:szCs w:val="22"/>
          <w:vertAlign w:val="superscript"/>
          <w:lang w:val="es-CO"/>
        </w:rPr>
        <w:t>3</w:t>
      </w:r>
      <w:r w:rsidRPr="001C59A0">
        <w:rPr>
          <w:rFonts w:ascii="Arial" w:hAnsi="Arial" w:cs="Arial"/>
          <w:sz w:val="22"/>
          <w:szCs w:val="22"/>
          <w:lang w:val="es-CO"/>
        </w:rPr>
        <w:t>)</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ab/>
        <w:t>E:</w:t>
      </w:r>
      <w:r w:rsidRPr="001C59A0">
        <w:rPr>
          <w:rFonts w:ascii="Arial" w:hAnsi="Arial" w:cs="Arial"/>
          <w:sz w:val="22"/>
          <w:szCs w:val="22"/>
          <w:lang w:val="es-CO"/>
        </w:rPr>
        <w:tab/>
        <w:t>Emisión anual de contaminante (ton/año)</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ab/>
        <w:t>C:</w:t>
      </w:r>
      <w:r w:rsidRPr="001C59A0">
        <w:rPr>
          <w:rFonts w:ascii="Arial" w:hAnsi="Arial" w:cs="Arial"/>
          <w:sz w:val="22"/>
          <w:szCs w:val="22"/>
          <w:lang w:val="es-CO"/>
        </w:rPr>
        <w:tab/>
        <w:t>Concentración ambiental del contaminante (µg/m</w:t>
      </w:r>
      <w:r w:rsidRPr="001C59A0">
        <w:rPr>
          <w:rFonts w:ascii="Arial" w:hAnsi="Arial" w:cs="Arial"/>
          <w:sz w:val="22"/>
          <w:szCs w:val="22"/>
          <w:vertAlign w:val="superscript"/>
          <w:lang w:val="es-CO"/>
        </w:rPr>
        <w:t>3</w:t>
      </w:r>
      <w:r w:rsidRPr="001C59A0">
        <w:rPr>
          <w:rFonts w:ascii="Arial" w:hAnsi="Arial" w:cs="Arial"/>
          <w:sz w:val="22"/>
          <w:szCs w:val="22"/>
          <w:lang w:val="es-CO"/>
        </w:rPr>
        <w:t>)</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Una vez determinado el cambio en las concentraciones, se determina el efecto en la exposición de la población, considerando la población expuesta y la tasa de incidencia de cada efecto.</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Finalmente se valorizan los efectos considerando los costos de la enfermedad o la disposición a pagar de los individuos por reducir riesgos a su salud.</w:t>
      </w:r>
      <w:r w:rsidRPr="001C59A0">
        <w:rPr>
          <w:rStyle w:val="FootnoteReference"/>
          <w:rFonts w:ascii="Arial" w:hAnsi="Arial" w:cs="Arial"/>
          <w:sz w:val="22"/>
          <w:szCs w:val="22"/>
        </w:rPr>
        <w:footnoteReference w:id="21"/>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En el caso específico de este estudio, se utiliza los siguientes parámetros para la estimación:</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bCs/>
          <w:sz w:val="22"/>
          <w:szCs w:val="22"/>
        </w:rPr>
        <w:t>Cuadro N°17: Efectos en salud</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509A4604" wp14:editId="497CF0A7">
            <wp:extent cx="5659281" cy="201168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32480"/>
                    <a:stretch/>
                  </pic:blipFill>
                  <pic:spPr bwMode="auto">
                    <a:xfrm>
                      <a:off x="0" y="0"/>
                      <a:ext cx="5844808" cy="2077629"/>
                    </a:xfrm>
                    <a:prstGeom prst="rect">
                      <a:avLst/>
                    </a:prstGeom>
                    <a:noFill/>
                    <a:ln>
                      <a:noFill/>
                    </a:ln>
                    <a:extLst>
                      <a:ext uri="{53640926-AAD7-44D8-BBD7-CCE9431645EC}">
                        <a14:shadowObscured xmlns:a14="http://schemas.microsoft.com/office/drawing/2010/main"/>
                      </a:ext>
                    </a:extLst>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AGIES PDA Temuco y Padre las Casas</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Cuadro N°18: Beneficios por casos evitados</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59291168" wp14:editId="178D9B59">
            <wp:extent cx="2993366" cy="1844893"/>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61058"/>
                    <a:stretch/>
                  </pic:blipFill>
                  <pic:spPr bwMode="auto">
                    <a:xfrm>
                      <a:off x="0" y="0"/>
                      <a:ext cx="3130107" cy="1929170"/>
                    </a:xfrm>
                    <a:prstGeom prst="rect">
                      <a:avLst/>
                    </a:prstGeom>
                    <a:noFill/>
                    <a:ln>
                      <a:noFill/>
                    </a:ln>
                    <a:extLst>
                      <a:ext uri="{53640926-AAD7-44D8-BBD7-CCE9431645EC}">
                        <a14:shadowObscured xmlns:a14="http://schemas.microsoft.com/office/drawing/2010/main"/>
                      </a:ext>
                    </a:extLst>
                  </pic:spPr>
                </pic:pic>
              </a:graphicData>
            </a:graphic>
          </wp:inline>
        </w:drawing>
      </w:r>
      <w:r w:rsidRPr="001C59A0">
        <w:rPr>
          <w:rFonts w:ascii="Arial" w:hAnsi="Arial" w:cs="Arial"/>
          <w:noProof/>
          <w:sz w:val="22"/>
          <w:szCs w:val="22"/>
        </w:rPr>
        <w:drawing>
          <wp:inline distT="0" distB="0" distL="0" distR="0" wp14:anchorId="2E8D73A2" wp14:editId="0399E094">
            <wp:extent cx="2540317" cy="18529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67095"/>
                    <a:stretch/>
                  </pic:blipFill>
                  <pic:spPr bwMode="auto">
                    <a:xfrm>
                      <a:off x="0" y="0"/>
                      <a:ext cx="2552045" cy="1861485"/>
                    </a:xfrm>
                    <a:prstGeom prst="rect">
                      <a:avLst/>
                    </a:prstGeom>
                    <a:noFill/>
                    <a:ln>
                      <a:noFill/>
                    </a:ln>
                    <a:extLst>
                      <a:ext uri="{53640926-AAD7-44D8-BBD7-CCE9431645EC}">
                        <a14:shadowObscured xmlns:a14="http://schemas.microsoft.com/office/drawing/2010/main"/>
                      </a:ext>
                    </a:extLst>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AGIES PDA Temuco y Padre las Casas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valores de los cuadros 17 y 18 son los utilizados en los últimos planes de descontaminación aprobados. Estos no diferencian por zona geográfica del país, supuesto que se mantiene en esta evaluación.</w:t>
      </w:r>
    </w:p>
    <w:p w:rsidR="00C419B8" w:rsidRPr="001C59A0" w:rsidRDefault="00C419B8" w:rsidP="00C419B8">
      <w:pPr>
        <w:pStyle w:val="ListParagraph"/>
        <w:numPr>
          <w:ilvl w:val="0"/>
          <w:numId w:val="17"/>
        </w:numPr>
        <w:spacing w:after="100" w:afterAutospacing="1"/>
        <w:jc w:val="both"/>
        <w:rPr>
          <w:rFonts w:ascii="Arial" w:hAnsi="Arial" w:cs="Arial"/>
          <w:b/>
          <w:bCs/>
          <w:lang w:val="es-CO"/>
        </w:rPr>
      </w:pPr>
      <w:r w:rsidRPr="001C59A0">
        <w:rPr>
          <w:rFonts w:ascii="Arial" w:hAnsi="Arial" w:cs="Arial"/>
          <w:b/>
          <w:bCs/>
          <w:lang w:val="es-CO"/>
        </w:rPr>
        <w:t>Beneficio por reducción de emisiones directas de la generación eléctrica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utilizar la metodología descrita en la sección anterior, se utilizan los siguientes supuestos adicionales:</w:t>
      </w:r>
    </w:p>
    <w:p w:rsidR="00C419B8" w:rsidRPr="001C59A0" w:rsidRDefault="00C419B8" w:rsidP="00C419B8">
      <w:pPr>
        <w:pStyle w:val="ListParagraph"/>
        <w:numPr>
          <w:ilvl w:val="0"/>
          <w:numId w:val="16"/>
        </w:numPr>
        <w:spacing w:after="100" w:afterAutospacing="1"/>
        <w:jc w:val="both"/>
        <w:rPr>
          <w:rFonts w:ascii="Arial" w:hAnsi="Arial" w:cs="Arial"/>
          <w:lang w:val="es-CO"/>
        </w:rPr>
      </w:pPr>
      <w:r w:rsidRPr="001C59A0">
        <w:rPr>
          <w:rFonts w:ascii="Arial" w:hAnsi="Arial" w:cs="Arial"/>
          <w:lang w:val="es-CO"/>
        </w:rPr>
        <w:t>FEC = 646 (ton/año)/(µg/m</w:t>
      </w:r>
      <w:r w:rsidRPr="001C59A0">
        <w:rPr>
          <w:rFonts w:ascii="Arial" w:hAnsi="Arial" w:cs="Arial"/>
          <w:vertAlign w:val="superscript"/>
          <w:lang w:val="es-CO"/>
        </w:rPr>
        <w:t>3</w:t>
      </w:r>
      <w:r w:rsidRPr="001C59A0">
        <w:rPr>
          <w:rFonts w:ascii="Arial" w:hAnsi="Arial" w:cs="Arial"/>
          <w:lang w:val="es-CO"/>
        </w:rPr>
        <w:t>) (fuente AGIES PPDA RM)</w:t>
      </w:r>
    </w:p>
    <w:p w:rsidR="00C419B8" w:rsidRPr="001C59A0" w:rsidRDefault="00C419B8" w:rsidP="00C419B8">
      <w:pPr>
        <w:pStyle w:val="ListParagraph"/>
        <w:numPr>
          <w:ilvl w:val="0"/>
          <w:numId w:val="16"/>
        </w:numPr>
        <w:spacing w:after="100" w:afterAutospacing="1"/>
        <w:jc w:val="both"/>
        <w:rPr>
          <w:rFonts w:ascii="Arial" w:hAnsi="Arial" w:cs="Arial"/>
          <w:lang w:val="es-CO"/>
        </w:rPr>
      </w:pPr>
      <w:r w:rsidRPr="001C59A0">
        <w:rPr>
          <w:rFonts w:ascii="Arial" w:hAnsi="Arial" w:cs="Arial"/>
          <w:lang w:val="es-CO"/>
        </w:rPr>
        <w:t xml:space="preserve">Porcentaje población expuesta SIC: 17,4% de la población total (Fuente: estimación propia en base a </w:t>
      </w:r>
      <w:r w:rsidRPr="001C59A0">
        <w:rPr>
          <w:rFonts w:ascii="Arial" w:hAnsi="Arial" w:cs="Arial"/>
          <w:bCs/>
          <w:lang w:val="es-CO"/>
        </w:rPr>
        <w:t>“Análisis general de impacto económico y social de una norma de emisión para termoeléctricas” (CONAMA,2009))</w:t>
      </w:r>
    </w:p>
    <w:p w:rsidR="00C419B8" w:rsidRPr="001C59A0" w:rsidRDefault="00C419B8" w:rsidP="00C419B8">
      <w:pPr>
        <w:pStyle w:val="ListParagraph"/>
        <w:numPr>
          <w:ilvl w:val="0"/>
          <w:numId w:val="16"/>
        </w:numPr>
        <w:spacing w:after="100" w:afterAutospacing="1"/>
        <w:jc w:val="both"/>
        <w:rPr>
          <w:rFonts w:ascii="Arial" w:hAnsi="Arial" w:cs="Arial"/>
          <w:bCs/>
          <w:lang w:val="es-CO"/>
        </w:rPr>
      </w:pPr>
      <w:r w:rsidRPr="001C59A0">
        <w:rPr>
          <w:rFonts w:ascii="Arial" w:hAnsi="Arial" w:cs="Arial"/>
          <w:lang w:val="es-CO"/>
        </w:rPr>
        <w:t xml:space="preserve">Porcentaje población expuesta SING: 1,2% de la población total (Fuente: estimación propia en base a </w:t>
      </w:r>
      <w:r w:rsidRPr="001C59A0">
        <w:rPr>
          <w:rFonts w:ascii="Arial" w:hAnsi="Arial" w:cs="Arial"/>
          <w:bCs/>
          <w:lang w:val="es-CO"/>
        </w:rPr>
        <w:t>“Análisis general de impacto económico y social de una norma de emisión para termoeléctricas” (CONAMA,2009))</w:t>
      </w:r>
    </w:p>
    <w:p w:rsidR="00C419B8" w:rsidRPr="001C59A0" w:rsidRDefault="00C419B8" w:rsidP="00C419B8">
      <w:pPr>
        <w:pStyle w:val="ListParagraph"/>
        <w:numPr>
          <w:ilvl w:val="0"/>
          <w:numId w:val="16"/>
        </w:numPr>
        <w:spacing w:after="100" w:afterAutospacing="1"/>
        <w:jc w:val="both"/>
        <w:rPr>
          <w:rFonts w:ascii="Arial" w:hAnsi="Arial" w:cs="Arial"/>
          <w:bCs/>
        </w:rPr>
      </w:pPr>
      <w:r w:rsidRPr="001C59A0">
        <w:rPr>
          <w:rFonts w:ascii="Arial" w:hAnsi="Arial" w:cs="Arial"/>
          <w:bCs/>
        </w:rPr>
        <w:t>Proyección población 2010 a 2050 (INE)</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Se usa el valor de la FEC de la RM porque es más alto que en otras zonas del país, lo que se traduce en que las concentraciones estimadas serán menores. Este supuesto es conservador, ya que la reducción de emisiones será menor, por lo tanto, se generará una menor reducción de las concentraciones al considera un FEC alto, lo que se traduce en menores beneficios es salud.</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La exposición de la población se mantiene de manera relativa debido a que se asume que tanto los emplazamientos urbanos y la ubicación de los proyectos termoeléctricos se mantienen en el tiempo.  Este segundo supuesto se basa en que los nuevos proyectos termoeléctricos tienden a emplazarse en complejos de generación ya existentes.  Esto se observa debido a que al elegir un emplazamiento en un complejo de generación es posible plantear un balanceo de emisiones (disminuir en plantas existentes para dar cabida a la nueva planta) de manera de no perjudicar o incluso crear una ganancia neta ambiental en la zona.  Sin embargo, los proyectos que buscan emplazarse en zonas nuevas tienen un cuestionamiento de parte de las comunidades aledañas, con un impacto neto negativo. En general, esto no quiere decir que no habrá ninguna zona nueva de instalación de plantas termoeléctricas, pero que en general dichas plantas se instalarán en zonas existentes.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Es de interés notar que, los proyectos térmicos que se han agregado a la matriz energética en los últimos años (por ejemplo, Guacolda V, Campiche, Cochrane, Kelar, Santa María), han sido primariamente en complejos existentes, y que los nuevos proyectos (por ejemplo, Barrancones, Cruz Grande, Castilla) han sido rechazados o desistidos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Debido a la gran diferencia en la densidad de la población expuesta en el SING y SIC, la estimación de los beneficios económicos se hizo por separado para ambos sistemas.</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Considerando que algunos supuestos realizados se basan en información muy agregada, para verificar la robustez de los resultados, se realiza una estimación alternativa (método 2) del beneficio por reducción de emisiones, utilizando los valores calculados en el AGIES de la norma termoeléctrica (CONAMA 2009), de lo que puede calcularse los siguientes beneficios por reducción de una tonelada de emisión.</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Usando esa información se determina el beneficio promedio para el SIC y SING de la reducción de una tonelada y luego se multiplica ese valor por la reducción de emisiones estimada para cada uno de los sistemas. </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Cuadro N°19: Beneficios por casos evitados</w:t>
      </w:r>
    </w:p>
    <w:tbl>
      <w:tblPr>
        <w:tblStyle w:val="TableGrid"/>
        <w:tblW w:w="4531" w:type="dxa"/>
        <w:jc w:val="center"/>
        <w:tblLook w:val="04A0" w:firstRow="1" w:lastRow="0" w:firstColumn="1" w:lastColumn="0" w:noHBand="0" w:noVBand="1"/>
      </w:tblPr>
      <w:tblGrid>
        <w:gridCol w:w="1129"/>
        <w:gridCol w:w="3402"/>
      </w:tblGrid>
      <w:tr w:rsidR="00C419B8" w:rsidRPr="00EF4F23" w:rsidTr="00DE4B10">
        <w:trPr>
          <w:trHeight w:val="300"/>
          <w:jc w:val="center"/>
        </w:trPr>
        <w:tc>
          <w:tcPr>
            <w:tcW w:w="1129" w:type="dxa"/>
            <w:shd w:val="clear" w:color="auto" w:fill="D9D9D9" w:themeFill="background1" w:themeFillShade="D9"/>
            <w:noWrap/>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Sistema</w:t>
            </w:r>
          </w:p>
        </w:tc>
        <w:tc>
          <w:tcPr>
            <w:tcW w:w="3402" w:type="dxa"/>
            <w:shd w:val="clear" w:color="auto" w:fill="D9D9D9" w:themeFill="background1" w:themeFillShade="D9"/>
          </w:tcPr>
          <w:p w:rsidR="00C419B8" w:rsidRPr="001C59A0" w:rsidRDefault="00C419B8" w:rsidP="00DE4B10">
            <w:pPr>
              <w:spacing w:after="100" w:afterAutospacing="1"/>
              <w:jc w:val="both"/>
              <w:rPr>
                <w:rFonts w:ascii="Arial" w:hAnsi="Arial" w:cs="Arial"/>
                <w:color w:val="000000"/>
                <w:sz w:val="22"/>
                <w:szCs w:val="22"/>
                <w:lang w:val="es-CO"/>
              </w:rPr>
            </w:pPr>
            <w:r w:rsidRPr="001C59A0">
              <w:rPr>
                <w:rFonts w:ascii="Arial" w:hAnsi="Arial" w:cs="Arial"/>
                <w:color w:val="000000"/>
                <w:sz w:val="22"/>
                <w:szCs w:val="22"/>
                <w:lang w:val="es-CO"/>
              </w:rPr>
              <w:t>Beneficios promedio por reducción una tonelada de MP (USD/ton)</w:t>
            </w:r>
          </w:p>
        </w:tc>
      </w:tr>
      <w:tr w:rsidR="00C419B8" w:rsidRPr="001C59A0" w:rsidTr="00DE4B10">
        <w:trPr>
          <w:trHeight w:val="300"/>
          <w:jc w:val="center"/>
        </w:trPr>
        <w:tc>
          <w:tcPr>
            <w:tcW w:w="1129" w:type="dxa"/>
            <w:noWrap/>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SIC</w:t>
            </w:r>
          </w:p>
        </w:tc>
        <w:tc>
          <w:tcPr>
            <w:tcW w:w="3402" w:type="dxa"/>
            <w:noWrap/>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14.044,8</w:t>
            </w:r>
          </w:p>
        </w:tc>
      </w:tr>
      <w:tr w:rsidR="00C419B8" w:rsidRPr="001C59A0" w:rsidTr="00DE4B10">
        <w:trPr>
          <w:trHeight w:val="300"/>
          <w:jc w:val="center"/>
        </w:trPr>
        <w:tc>
          <w:tcPr>
            <w:tcW w:w="1129" w:type="dxa"/>
            <w:noWrap/>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SING</w:t>
            </w:r>
          </w:p>
        </w:tc>
        <w:tc>
          <w:tcPr>
            <w:tcW w:w="3402" w:type="dxa"/>
            <w:noWrap/>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609,2</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 en base a CONAMA 2009</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resultados obtenidos con ambos métodos se muestran figura N°20. En ambos casos, el beneficio está asociado principalmente a las menores emisiones generadas por la reducción de la generación con carbón, sin embargo, se observa que el método 1 da valores entre un 30% a un 40% mayores a los del método 2.</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Para elegir el valor a usar se opta por el más conservador (método 2), para el que se obtiene un beneficio de MMUSD 3,6 al año 2019, que aumenta fuertemente alcanzando MMUSD 30 el año 2030 y MMUSD 38 al año 2050.</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Figura N°20: Comparación beneficios anuales por reducción de emisiones de material particulado de la generación eléctrica: 2013-2050</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437E84C9" wp14:editId="67B8E67D">
            <wp:extent cx="4121219" cy="245364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5438" cy="2479966"/>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Estos beneficios se generan casi en su totalidad debido a la reducción de emisiones del SIC debido a la mayor población presente en esa zona. Con ello, las menores concentraciones de contaminación generan un mayor número de casos evitados de muertes prematuras, enfermedades y días laborales perdidos, lo que se traduce en mayores beneficios por tonelada de MP reducida.</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Cuadro N°20: Beneficios anuales por reducción de emisiones de CO2. 2019, 2030 y 2050</w:t>
      </w:r>
    </w:p>
    <w:tbl>
      <w:tblPr>
        <w:tblW w:w="4800" w:type="dxa"/>
        <w:jc w:val="center"/>
        <w:tblCellMar>
          <w:left w:w="70" w:type="dxa"/>
          <w:right w:w="70" w:type="dxa"/>
        </w:tblCellMar>
        <w:tblLook w:val="04A0" w:firstRow="1" w:lastRow="0" w:firstColumn="1" w:lastColumn="0" w:noHBand="0" w:noVBand="1"/>
      </w:tblPr>
      <w:tblGrid>
        <w:gridCol w:w="1360"/>
        <w:gridCol w:w="1880"/>
        <w:gridCol w:w="1560"/>
      </w:tblGrid>
      <w:tr w:rsidR="00C419B8" w:rsidRPr="001C59A0" w:rsidTr="00DE4B10">
        <w:trPr>
          <w:trHeight w:val="6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Año</w:t>
            </w:r>
          </w:p>
        </w:tc>
        <w:tc>
          <w:tcPr>
            <w:tcW w:w="18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Beneficio</w:t>
            </w:r>
            <w:r w:rsidRPr="001C59A0">
              <w:rPr>
                <w:rFonts w:ascii="Arial" w:hAnsi="Arial" w:cs="Arial"/>
                <w:color w:val="000000"/>
                <w:sz w:val="22"/>
                <w:szCs w:val="22"/>
              </w:rPr>
              <w:br/>
              <w:t>método 1</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Beneficio</w:t>
            </w:r>
            <w:r w:rsidRPr="001C59A0">
              <w:rPr>
                <w:rFonts w:ascii="Arial" w:hAnsi="Arial" w:cs="Arial"/>
                <w:color w:val="000000"/>
                <w:sz w:val="22"/>
                <w:szCs w:val="22"/>
              </w:rPr>
              <w:br/>
              <w:t>método 2</w:t>
            </w:r>
          </w:p>
        </w:tc>
      </w:tr>
      <w:tr w:rsidR="00C419B8" w:rsidRPr="001C59A0" w:rsidTr="00DE4B10">
        <w:trPr>
          <w:trHeight w:val="30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(MM USD)</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(MM USD)</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2019</w:t>
            </w:r>
          </w:p>
        </w:tc>
        <w:tc>
          <w:tcPr>
            <w:tcW w:w="188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5,5</w:t>
            </w:r>
          </w:p>
        </w:tc>
        <w:tc>
          <w:tcPr>
            <w:tcW w:w="156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3,6</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2030</w:t>
            </w:r>
          </w:p>
        </w:tc>
        <w:tc>
          <w:tcPr>
            <w:tcW w:w="188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48</w:t>
            </w:r>
          </w:p>
        </w:tc>
        <w:tc>
          <w:tcPr>
            <w:tcW w:w="156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30</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2050</w:t>
            </w:r>
          </w:p>
        </w:tc>
        <w:tc>
          <w:tcPr>
            <w:tcW w:w="188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63</w:t>
            </w:r>
          </w:p>
        </w:tc>
        <w:tc>
          <w:tcPr>
            <w:tcW w:w="1560" w:type="dxa"/>
            <w:tcBorders>
              <w:top w:val="nil"/>
              <w:left w:val="nil"/>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38</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Fuente: Elaboración propia</w:t>
      </w: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valor actual neto de los beneficios al año 2015, usando la tasa social de descuento, es de 238 millones de dólares</w:t>
      </w:r>
      <w:r w:rsidRPr="001C59A0">
        <w:rPr>
          <w:rStyle w:val="FootnoteReference"/>
          <w:rFonts w:ascii="Arial" w:hAnsi="Arial" w:cs="Arial"/>
          <w:sz w:val="22"/>
          <w:szCs w:val="22"/>
        </w:rPr>
        <w:footnoteReference w:id="22"/>
      </w:r>
      <w:r w:rsidRPr="001C59A0">
        <w:rPr>
          <w:rFonts w:ascii="Arial" w:hAnsi="Arial" w:cs="Arial"/>
          <w:sz w:val="22"/>
          <w:szCs w:val="22"/>
          <w:lang w:val="es-CO"/>
        </w:rPr>
        <w:t>.</w:t>
      </w:r>
    </w:p>
    <w:p w:rsidR="00C419B8" w:rsidRPr="001C59A0" w:rsidRDefault="00C419B8" w:rsidP="00C419B8">
      <w:pPr>
        <w:pStyle w:val="ListParagraph"/>
        <w:numPr>
          <w:ilvl w:val="0"/>
          <w:numId w:val="17"/>
        </w:numPr>
        <w:spacing w:after="100" w:afterAutospacing="1"/>
        <w:jc w:val="both"/>
        <w:rPr>
          <w:rFonts w:ascii="Arial" w:hAnsi="Arial" w:cs="Arial"/>
          <w:b/>
          <w:bCs/>
          <w:lang w:val="es-CO"/>
        </w:rPr>
      </w:pPr>
      <w:r w:rsidRPr="001C59A0">
        <w:rPr>
          <w:rFonts w:ascii="Arial" w:hAnsi="Arial" w:cs="Arial"/>
          <w:b/>
          <w:bCs/>
          <w:lang w:val="es-CO"/>
        </w:rPr>
        <w:t xml:space="preserve">Beneficios de la reducción de emisiones por menor uso de calefacción a leña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La implementación del programa, permitirá que se reduzca el consumo de calefacción a leña. En la siguiente sección, se valorizan esos beneficios, considerando únicamente aquellos asociados a la reducción de emisiones de material particulado, ya que la calefacción a leña usualmente se considera neutral en sus emisiones de CO2.</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Debido a los supuestos conservadores en el cálculo de las emisiones de material particulado del uso de calefacción a leña, los beneficios estimados por su reducción, son una cota inferior de los beneficios que realmente se generarán.</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Al igual que en el caso de la reducción de emisiones de material particulado de la generación eléctrica, se utiliza el enfoque de la función de daño, por lo que es necesario estimar una mejora en calidad del aire a partir de la reducción de emisiones.</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ellos, se utilizaron los mismos factores de emisión concentración (FEC) con los que se ha realizado la evaluación económica de los planes de descontaminación de las ciudades del sur de Chile.</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Los efectos en salud, las reducciones por mejor calidad del aire y los beneficios por caso evitado, son los descritos en los cuadros 17 y 18.</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Cuadro N° 21: Factores emisión concentración para ciudades del sur de Chile</w:t>
      </w:r>
    </w:p>
    <w:tbl>
      <w:tblPr>
        <w:tblStyle w:val="TableGrid"/>
        <w:tblW w:w="0" w:type="auto"/>
        <w:jc w:val="center"/>
        <w:tblLook w:val="04A0" w:firstRow="1" w:lastRow="0" w:firstColumn="1" w:lastColumn="0" w:noHBand="0" w:noVBand="1"/>
      </w:tblPr>
      <w:tblGrid>
        <w:gridCol w:w="1838"/>
        <w:gridCol w:w="1876"/>
      </w:tblGrid>
      <w:tr w:rsidR="00C419B8" w:rsidRPr="00EF4F23" w:rsidTr="00DE4B10">
        <w:trPr>
          <w:jc w:val="center"/>
        </w:trPr>
        <w:tc>
          <w:tcPr>
            <w:tcW w:w="1838" w:type="dxa"/>
            <w:shd w:val="clear" w:color="auto" w:fill="D9D9D9" w:themeFill="background1" w:themeFillShade="D9"/>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Ciudad</w:t>
            </w:r>
          </w:p>
        </w:tc>
        <w:tc>
          <w:tcPr>
            <w:tcW w:w="1701" w:type="dxa"/>
            <w:shd w:val="clear" w:color="auto" w:fill="D9D9D9" w:themeFill="background1" w:themeFillShade="D9"/>
          </w:tcPr>
          <w:p w:rsidR="00C419B8" w:rsidRPr="001C59A0" w:rsidRDefault="00C419B8" w:rsidP="00DE4B10">
            <w:pPr>
              <w:spacing w:after="100" w:afterAutospacing="1"/>
              <w:jc w:val="center"/>
              <w:rPr>
                <w:rFonts w:ascii="Arial" w:hAnsi="Arial" w:cs="Arial"/>
                <w:bCs/>
                <w:sz w:val="22"/>
                <w:szCs w:val="22"/>
                <w:lang w:val="es-CO"/>
              </w:rPr>
            </w:pPr>
            <w:r w:rsidRPr="001C59A0">
              <w:rPr>
                <w:rFonts w:ascii="Arial" w:hAnsi="Arial" w:cs="Arial"/>
                <w:bCs/>
                <w:sz w:val="22"/>
                <w:szCs w:val="22"/>
                <w:lang w:val="es-CO"/>
              </w:rPr>
              <w:t xml:space="preserve">FEC </w:t>
            </w:r>
            <w:r w:rsidRPr="001C59A0">
              <w:rPr>
                <w:rFonts w:ascii="Arial" w:hAnsi="Arial" w:cs="Arial"/>
                <w:sz w:val="22"/>
                <w:szCs w:val="22"/>
                <w:lang w:val="es-CO"/>
              </w:rPr>
              <w:t>(ton/año)/(µg/m</w:t>
            </w:r>
            <w:r w:rsidRPr="001C59A0">
              <w:rPr>
                <w:rFonts w:ascii="Arial" w:hAnsi="Arial" w:cs="Arial"/>
                <w:sz w:val="22"/>
                <w:szCs w:val="22"/>
                <w:vertAlign w:val="superscript"/>
                <w:lang w:val="es-CO"/>
              </w:rPr>
              <w:t>3</w:t>
            </w:r>
            <w:r w:rsidRPr="001C59A0">
              <w:rPr>
                <w:rFonts w:ascii="Arial" w:hAnsi="Arial" w:cs="Arial"/>
                <w:sz w:val="22"/>
                <w:szCs w:val="22"/>
                <w:lang w:val="es-CO"/>
              </w:rPr>
              <w:t>)</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IV región</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72,7</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Talca y Maule</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40,9</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Chillán</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461,9</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Los Ángeles</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370,6</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Temuco</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245</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Valdivia</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235</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Osorno</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316,3</w:t>
            </w:r>
          </w:p>
        </w:tc>
      </w:tr>
      <w:tr w:rsidR="00C419B8" w:rsidRPr="001C59A0" w:rsidTr="00DE4B10">
        <w:trPr>
          <w:jc w:val="center"/>
        </w:trPr>
        <w:tc>
          <w:tcPr>
            <w:tcW w:w="1838" w:type="dxa"/>
          </w:tcPr>
          <w:p w:rsidR="00C419B8" w:rsidRPr="001C59A0" w:rsidRDefault="00C419B8" w:rsidP="00DE4B10">
            <w:pPr>
              <w:spacing w:after="100" w:afterAutospacing="1"/>
              <w:rPr>
                <w:rFonts w:ascii="Arial" w:hAnsi="Arial" w:cs="Arial"/>
                <w:bCs/>
                <w:sz w:val="22"/>
                <w:szCs w:val="22"/>
              </w:rPr>
            </w:pPr>
            <w:r w:rsidRPr="001C59A0">
              <w:rPr>
                <w:rFonts w:ascii="Arial" w:hAnsi="Arial" w:cs="Arial"/>
                <w:bCs/>
                <w:sz w:val="22"/>
                <w:szCs w:val="22"/>
              </w:rPr>
              <w:t>Coyhaique</w:t>
            </w:r>
          </w:p>
        </w:tc>
        <w:tc>
          <w:tcPr>
            <w:tcW w:w="1701" w:type="dxa"/>
          </w:tcPr>
          <w:p w:rsidR="00C419B8" w:rsidRPr="001C59A0" w:rsidRDefault="00C419B8" w:rsidP="00DE4B10">
            <w:pPr>
              <w:spacing w:after="100" w:afterAutospacing="1"/>
              <w:jc w:val="center"/>
              <w:rPr>
                <w:rFonts w:ascii="Arial" w:hAnsi="Arial" w:cs="Arial"/>
                <w:bCs/>
                <w:sz w:val="22"/>
                <w:szCs w:val="22"/>
              </w:rPr>
            </w:pPr>
            <w:r w:rsidRPr="001C59A0">
              <w:rPr>
                <w:rFonts w:ascii="Arial" w:hAnsi="Arial" w:cs="Arial"/>
                <w:bCs/>
                <w:sz w:val="22"/>
                <w:szCs w:val="22"/>
              </w:rPr>
              <w:t>108,7</w:t>
            </w:r>
          </w:p>
        </w:tc>
      </w:tr>
    </w:tbl>
    <w:p w:rsidR="00C419B8" w:rsidRPr="001C59A0" w:rsidRDefault="00C419B8" w:rsidP="00C419B8">
      <w:pPr>
        <w:jc w:val="center"/>
        <w:rPr>
          <w:rFonts w:ascii="Arial" w:hAnsi="Arial" w:cs="Arial"/>
          <w:bCs/>
          <w:sz w:val="22"/>
          <w:szCs w:val="22"/>
          <w:highlight w:val="green"/>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 en base a información de los AGIES de cada plan</w:t>
      </w:r>
    </w:p>
    <w:p w:rsidR="00C419B8" w:rsidRPr="001C59A0" w:rsidRDefault="00C419B8" w:rsidP="00C419B8">
      <w:pPr>
        <w:spacing w:after="100" w:afterAutospacing="1"/>
        <w:jc w:val="both"/>
        <w:rPr>
          <w:rFonts w:ascii="Arial" w:hAnsi="Arial" w:cs="Arial"/>
          <w:bCs/>
          <w:sz w:val="22"/>
          <w:szCs w:val="22"/>
          <w:highlight w:val="green"/>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estimar la población expuesta, y considerando que las emisiones de la calefacción se distribuyen geográficamente por toda la zona sur de Chile, se considera que la población de cada una de las zonas térmicas utilizadas en MAPS es proporcional al número de viviendas.</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Luego, se estiman los beneficios solo para las ciudades que tienen plan de descontaminación (ya que solo se cuenta con un FEC para ellas).</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bCs/>
          <w:sz w:val="22"/>
          <w:szCs w:val="22"/>
          <w:lang w:val="es-CO"/>
        </w:rPr>
        <w:t xml:space="preserve">Figura N°21:  </w:t>
      </w:r>
      <w:r w:rsidRPr="001C59A0">
        <w:rPr>
          <w:rFonts w:ascii="Arial" w:hAnsi="Arial" w:cs="Arial"/>
          <w:sz w:val="22"/>
          <w:szCs w:val="22"/>
          <w:lang w:val="es-CO"/>
        </w:rPr>
        <w:t>beneficios anuales por reducción de emisiones de material particulado de la calefacción a leña: 2013-2050</w:t>
      </w: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31CCBED7" wp14:editId="16C217DF">
            <wp:extent cx="3753134" cy="247195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1497" cy="2484052"/>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sz w:val="22"/>
          <w:szCs w:val="22"/>
          <w:lang w:val="es-CO"/>
        </w:rPr>
      </w:pPr>
      <w:r w:rsidRPr="001C59A0">
        <w:rPr>
          <w:rFonts w:ascii="Arial" w:hAnsi="Arial" w:cs="Arial"/>
          <w:sz w:val="22"/>
          <w:szCs w:val="22"/>
          <w:lang w:val="es-CO"/>
        </w:rPr>
        <w:t>Fuente: Elaboración propia</w:t>
      </w:r>
    </w:p>
    <w:p w:rsidR="00C419B8" w:rsidRPr="001C59A0" w:rsidRDefault="00C419B8" w:rsidP="00C419B8">
      <w:pPr>
        <w:spacing w:after="100" w:afterAutospacing="1"/>
        <w:jc w:val="center"/>
        <w:rPr>
          <w:rFonts w:ascii="Arial" w:hAnsi="Arial" w:cs="Arial"/>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ello, se supone que las emisiones se distribuyen de manera proporcional al número de habitantes que tiene cada uno de esas ciudades, por lo que solo se contabiliza el beneficio generado por la reducción de aproximadamente un tercio de las emisiones totales, ya que los otros dos tercios se asume que son emitidos en otras ciudades o en zonas rurales para las que no se cuenta con un FEC.</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La figura 21 muestra la evolución de los beneficios anuales que se generan por la reducción de emisiones de la calefacción a leña.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beneficios al año 2019, por la mejora en calidad del aire asociada al uso de calefacción a leña, equivale a 25 millones de dólares, lo que aumenta a 30 millones de dólares en el año 2030 y decaen levemente a 28 millones de dólares para el año 2050.</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lang w:val="es-CO"/>
        </w:rPr>
        <w:t xml:space="preserve">Cuadro N°22: Beneficios anuales por reducción de emisiones asociadas a calefacción a leña. </w:t>
      </w:r>
      <w:r w:rsidRPr="001C59A0">
        <w:rPr>
          <w:rFonts w:ascii="Arial" w:hAnsi="Arial" w:cs="Arial"/>
          <w:sz w:val="22"/>
          <w:szCs w:val="22"/>
        </w:rPr>
        <w:t>2019, 2030 y 2050</w:t>
      </w:r>
    </w:p>
    <w:tbl>
      <w:tblPr>
        <w:tblW w:w="3240" w:type="dxa"/>
        <w:jc w:val="center"/>
        <w:tblCellMar>
          <w:left w:w="70" w:type="dxa"/>
          <w:right w:w="70" w:type="dxa"/>
        </w:tblCellMar>
        <w:tblLook w:val="04A0" w:firstRow="1" w:lastRow="0" w:firstColumn="1" w:lastColumn="0" w:noHBand="0" w:noVBand="1"/>
      </w:tblPr>
      <w:tblGrid>
        <w:gridCol w:w="1360"/>
        <w:gridCol w:w="1880"/>
      </w:tblGrid>
      <w:tr w:rsidR="00C419B8" w:rsidRPr="001C59A0" w:rsidTr="00DE4B10">
        <w:trPr>
          <w:trHeight w:val="6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Año</w:t>
            </w:r>
          </w:p>
        </w:tc>
        <w:tc>
          <w:tcPr>
            <w:tcW w:w="18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Beneficio</w:t>
            </w:r>
          </w:p>
        </w:tc>
      </w:tr>
      <w:tr w:rsidR="00C419B8" w:rsidRPr="001C59A0" w:rsidTr="00DE4B10">
        <w:trPr>
          <w:trHeight w:val="30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both"/>
              <w:rPr>
                <w:rFonts w:ascii="Arial" w:hAnsi="Arial" w:cs="Arial"/>
                <w:color w:val="000000"/>
                <w:sz w:val="22"/>
                <w:szCs w:val="22"/>
              </w:rPr>
            </w:pPr>
          </w:p>
        </w:tc>
        <w:tc>
          <w:tcPr>
            <w:tcW w:w="1880" w:type="dxa"/>
            <w:tcBorders>
              <w:top w:val="nil"/>
              <w:left w:val="nil"/>
              <w:bottom w:val="single" w:sz="4" w:space="0" w:color="auto"/>
              <w:right w:val="single" w:sz="4" w:space="0" w:color="auto"/>
            </w:tcBorders>
            <w:shd w:val="clear" w:color="auto" w:fill="D9D9D9" w:themeFill="background1" w:themeFillShade="D9"/>
            <w:vAlign w:val="center"/>
            <w:hideMark/>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(MM USD)</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2019</w:t>
            </w:r>
          </w:p>
        </w:tc>
        <w:tc>
          <w:tcPr>
            <w:tcW w:w="1880" w:type="dxa"/>
            <w:tcBorders>
              <w:top w:val="nil"/>
              <w:left w:val="nil"/>
              <w:bottom w:val="single" w:sz="4" w:space="0" w:color="auto"/>
              <w:right w:val="single" w:sz="4" w:space="0" w:color="auto"/>
            </w:tcBorders>
            <w:shd w:val="clear" w:color="auto" w:fill="auto"/>
            <w:vAlign w:val="center"/>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24,7</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2030</w:t>
            </w:r>
          </w:p>
        </w:tc>
        <w:tc>
          <w:tcPr>
            <w:tcW w:w="1880" w:type="dxa"/>
            <w:tcBorders>
              <w:top w:val="nil"/>
              <w:left w:val="nil"/>
              <w:bottom w:val="single" w:sz="4" w:space="0" w:color="auto"/>
              <w:right w:val="single" w:sz="4" w:space="0" w:color="auto"/>
            </w:tcBorders>
            <w:shd w:val="clear" w:color="auto" w:fill="auto"/>
            <w:vAlign w:val="center"/>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29,7</w:t>
            </w:r>
          </w:p>
        </w:tc>
      </w:tr>
      <w:tr w:rsidR="00C419B8" w:rsidRPr="001C59A0" w:rsidTr="00DE4B10">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spacing w:after="100" w:afterAutospacing="1"/>
              <w:jc w:val="both"/>
              <w:rPr>
                <w:rFonts w:ascii="Arial" w:hAnsi="Arial" w:cs="Arial"/>
                <w:color w:val="000000"/>
                <w:sz w:val="22"/>
                <w:szCs w:val="22"/>
              </w:rPr>
            </w:pPr>
            <w:r w:rsidRPr="001C59A0">
              <w:rPr>
                <w:rFonts w:ascii="Arial" w:hAnsi="Arial" w:cs="Arial"/>
                <w:color w:val="000000"/>
                <w:sz w:val="22"/>
                <w:szCs w:val="22"/>
              </w:rPr>
              <w:t>2050</w:t>
            </w:r>
          </w:p>
        </w:tc>
        <w:tc>
          <w:tcPr>
            <w:tcW w:w="1880" w:type="dxa"/>
            <w:tcBorders>
              <w:top w:val="nil"/>
              <w:left w:val="nil"/>
              <w:bottom w:val="single" w:sz="4" w:space="0" w:color="auto"/>
              <w:right w:val="single" w:sz="4" w:space="0" w:color="auto"/>
            </w:tcBorders>
            <w:shd w:val="clear" w:color="auto" w:fill="auto"/>
            <w:vAlign w:val="center"/>
          </w:tcPr>
          <w:p w:rsidR="00C419B8" w:rsidRPr="001C59A0" w:rsidRDefault="00C419B8" w:rsidP="00DE4B10">
            <w:pPr>
              <w:spacing w:after="100" w:afterAutospacing="1"/>
              <w:jc w:val="center"/>
              <w:rPr>
                <w:rFonts w:ascii="Arial" w:hAnsi="Arial" w:cs="Arial"/>
                <w:color w:val="000000"/>
                <w:sz w:val="22"/>
                <w:szCs w:val="22"/>
              </w:rPr>
            </w:pPr>
            <w:r w:rsidRPr="001C59A0">
              <w:rPr>
                <w:rFonts w:ascii="Arial" w:hAnsi="Arial" w:cs="Arial"/>
                <w:color w:val="000000"/>
                <w:sz w:val="22"/>
                <w:szCs w:val="22"/>
              </w:rPr>
              <w:t>27,9</w:t>
            </w:r>
          </w:p>
        </w:tc>
      </w:tr>
    </w:tbl>
    <w:p w:rsidR="00C419B8" w:rsidRPr="001C59A0" w:rsidRDefault="00C419B8" w:rsidP="00C419B8">
      <w:pPr>
        <w:jc w:val="center"/>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sz w:val="22"/>
          <w:szCs w:val="22"/>
        </w:rPr>
        <w:t>Fuente: Elaboración propia</w:t>
      </w: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valor actual neto de los beneficios al año 2015 de la reducción de emisiones provenientes de la leña usada en calefacción, usando la tasa social de descuento oficial de Chile de 6%, es de 373 millones de dólares</w:t>
      </w:r>
      <w:r w:rsidRPr="001C59A0">
        <w:rPr>
          <w:rStyle w:val="FootnoteReference"/>
          <w:rFonts w:ascii="Arial" w:hAnsi="Arial" w:cs="Arial"/>
          <w:sz w:val="22"/>
          <w:szCs w:val="22"/>
        </w:rPr>
        <w:footnoteReference w:id="23"/>
      </w:r>
      <w:r w:rsidRPr="001C59A0">
        <w:rPr>
          <w:rFonts w:ascii="Arial" w:hAnsi="Arial" w:cs="Arial"/>
          <w:sz w:val="22"/>
          <w:szCs w:val="22"/>
          <w:lang w:val="es-CO"/>
        </w:rPr>
        <w:t xml:space="preserve">. </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pStyle w:val="ListParagraph"/>
        <w:numPr>
          <w:ilvl w:val="1"/>
          <w:numId w:val="8"/>
        </w:numPr>
        <w:spacing w:after="100" w:afterAutospacing="1"/>
        <w:ind w:left="0" w:firstLine="0"/>
        <w:jc w:val="both"/>
        <w:outlineLvl w:val="1"/>
        <w:rPr>
          <w:rFonts w:ascii="Arial" w:eastAsia="Calibri" w:hAnsi="Arial" w:cs="Arial"/>
          <w:b/>
          <w:lang w:val="es-CO"/>
        </w:rPr>
      </w:pPr>
      <w:bookmarkStart w:id="24" w:name="_Toc459677782"/>
      <w:r w:rsidRPr="001C59A0">
        <w:rPr>
          <w:rFonts w:ascii="Arial" w:eastAsia="Calibri" w:hAnsi="Arial" w:cs="Arial"/>
          <w:b/>
          <w:lang w:val="es-CO"/>
        </w:rPr>
        <w:t>Beneficio por Ahorro de los Hogares en Consumo Eléctrico</w:t>
      </w:r>
      <w:bookmarkEnd w:id="24"/>
    </w:p>
    <w:p w:rsidR="00C419B8" w:rsidRPr="001C59A0" w:rsidRDefault="00C419B8" w:rsidP="00C419B8">
      <w:pPr>
        <w:shd w:val="clear" w:color="auto" w:fill="FFFFFF" w:themeFill="background1"/>
        <w:spacing w:after="100" w:afterAutospacing="1"/>
        <w:jc w:val="both"/>
        <w:rPr>
          <w:rFonts w:ascii="Arial" w:hAnsi="Arial" w:cs="Arial"/>
          <w:bCs/>
          <w:sz w:val="22"/>
          <w:szCs w:val="22"/>
          <w:lang w:val="es-CO"/>
        </w:rPr>
      </w:pPr>
      <w:r w:rsidRPr="001C59A0">
        <w:rPr>
          <w:rFonts w:ascii="Arial" w:hAnsi="Arial" w:cs="Arial"/>
          <w:bCs/>
          <w:sz w:val="22"/>
          <w:szCs w:val="22"/>
          <w:lang w:val="es-CO"/>
        </w:rPr>
        <w:t>Los hogares se verán beneficiados por un ahorro en su gasto en consumo eléctrico debido al menor consumo que tendrán en el escenario de esfuerzo medio por eficiencia energética, y a la reducción en el precio final de la energía eléctrica.</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El gasto total del sector residencial se obtiene al multiplicar el precio determinado en 5.2.4, por el consumo eléctrico (no considera ACS ni calefacción) del sector residencial. La figura N°22 muestra la evolución del gasto tanto para la línea base como para el escenario de esfuerzo medio.</w:t>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 N°22: Evolución del gasto en electricidad del sector residencial 2014-2050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2F1A90B7" wp14:editId="292E99FE">
            <wp:extent cx="4844955" cy="2508602"/>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3697" cy="2544195"/>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Por su parte, el cuadro N°23 muestra las cifras en más detalle para los años de interés de esta evaluación. El gasto de los hogares es menor en el escenario de esfuerzo medio, alcanzando ahorros de MMUSD222 el año 2019, los que aumentan hasta llegar a valores de MMUSD1.424 el año 2050.</w:t>
      </w:r>
    </w:p>
    <w:p w:rsidR="00C419B8" w:rsidRPr="001C59A0" w:rsidRDefault="00C419B8" w:rsidP="00C419B8">
      <w:pPr>
        <w:spacing w:after="100" w:afterAutospacing="1"/>
        <w:jc w:val="center"/>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Cuadro N°23: Ahorro hogares por menor por gasto en electricidad</w:t>
      </w:r>
    </w:p>
    <w:tbl>
      <w:tblPr>
        <w:tblW w:w="8633" w:type="dxa"/>
        <w:jc w:val="center"/>
        <w:tblLayout w:type="fixed"/>
        <w:tblCellMar>
          <w:left w:w="70" w:type="dxa"/>
          <w:right w:w="70" w:type="dxa"/>
        </w:tblCellMar>
        <w:tblLook w:val="04A0" w:firstRow="1" w:lastRow="0" w:firstColumn="1" w:lastColumn="0" w:noHBand="0" w:noVBand="1"/>
      </w:tblPr>
      <w:tblGrid>
        <w:gridCol w:w="1001"/>
        <w:gridCol w:w="4097"/>
        <w:gridCol w:w="1178"/>
        <w:gridCol w:w="1178"/>
        <w:gridCol w:w="1179"/>
      </w:tblGrid>
      <w:tr w:rsidR="00C419B8" w:rsidRPr="001C59A0" w:rsidTr="00DE4B10">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Escenario</w:t>
            </w:r>
          </w:p>
        </w:tc>
        <w:tc>
          <w:tcPr>
            <w:tcW w:w="40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Año</w:t>
            </w:r>
          </w:p>
        </w:tc>
        <w:tc>
          <w:tcPr>
            <w:tcW w:w="11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2019</w:t>
            </w:r>
          </w:p>
        </w:tc>
        <w:tc>
          <w:tcPr>
            <w:tcW w:w="11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2030</w:t>
            </w:r>
          </w:p>
        </w:tc>
        <w:tc>
          <w:tcPr>
            <w:tcW w:w="117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2050</w:t>
            </w:r>
          </w:p>
        </w:tc>
      </w:tr>
      <w:tr w:rsidR="00C419B8" w:rsidRPr="001C59A0" w:rsidTr="00DE4B10">
        <w:trPr>
          <w:trHeight w:val="300"/>
          <w:jc w:val="center"/>
        </w:trPr>
        <w:tc>
          <w:tcPr>
            <w:tcW w:w="10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Línea Base</w:t>
            </w: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lang w:val="es-CO"/>
              </w:rPr>
            </w:pPr>
            <w:r w:rsidRPr="001C59A0">
              <w:rPr>
                <w:rFonts w:ascii="Arial" w:hAnsi="Arial" w:cs="Arial"/>
                <w:color w:val="000000"/>
                <w:sz w:val="22"/>
                <w:szCs w:val="22"/>
                <w:lang w:val="es-CO"/>
              </w:rPr>
              <w:t>Consumo Eléctrico Hogares (MWh/año)</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13.282.606</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18.011.723</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22.096.036</w:t>
            </w:r>
          </w:p>
        </w:tc>
      </w:tr>
      <w:tr w:rsidR="00C419B8" w:rsidRPr="001C59A0" w:rsidTr="00DE4B10">
        <w:trPr>
          <w:trHeight w:val="300"/>
          <w:jc w:val="center"/>
        </w:trPr>
        <w:tc>
          <w:tcPr>
            <w:tcW w:w="1001" w:type="dxa"/>
            <w:vMerge/>
            <w:tcBorders>
              <w:top w:val="nil"/>
              <w:left w:val="single" w:sz="4" w:space="0" w:color="auto"/>
              <w:bottom w:val="single" w:sz="4" w:space="0" w:color="auto"/>
              <w:right w:val="single" w:sz="4" w:space="0" w:color="auto"/>
            </w:tcBorders>
            <w:vAlign w:val="center"/>
            <w:hideMark/>
          </w:tcPr>
          <w:p w:rsidR="00C419B8" w:rsidRPr="001C59A0" w:rsidRDefault="00C419B8" w:rsidP="00DE4B10">
            <w:pPr>
              <w:jc w:val="center"/>
              <w:rPr>
                <w:rFonts w:ascii="Arial" w:hAnsi="Arial" w:cs="Arial"/>
                <w:color w:val="000000"/>
                <w:sz w:val="22"/>
                <w:szCs w:val="22"/>
              </w:rPr>
            </w:pP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Precio ($/kWh)</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123</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153</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153</w:t>
            </w:r>
          </w:p>
        </w:tc>
      </w:tr>
      <w:tr w:rsidR="00C419B8" w:rsidRPr="001C59A0" w:rsidTr="00DE4B10">
        <w:trPr>
          <w:trHeight w:val="300"/>
          <w:jc w:val="center"/>
        </w:trPr>
        <w:tc>
          <w:tcPr>
            <w:tcW w:w="1001" w:type="dxa"/>
            <w:vMerge/>
            <w:tcBorders>
              <w:top w:val="nil"/>
              <w:left w:val="single" w:sz="4" w:space="0" w:color="auto"/>
              <w:bottom w:val="single" w:sz="4" w:space="0" w:color="auto"/>
              <w:right w:val="single" w:sz="4" w:space="0" w:color="auto"/>
            </w:tcBorders>
            <w:vAlign w:val="center"/>
            <w:hideMark/>
          </w:tcPr>
          <w:p w:rsidR="00C419B8" w:rsidRPr="001C59A0" w:rsidRDefault="00C419B8" w:rsidP="00DE4B10">
            <w:pPr>
              <w:jc w:val="center"/>
              <w:rPr>
                <w:rFonts w:ascii="Arial" w:hAnsi="Arial" w:cs="Arial"/>
                <w:color w:val="000000"/>
                <w:sz w:val="22"/>
                <w:szCs w:val="22"/>
              </w:rPr>
            </w:pP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lang w:val="es-CO"/>
              </w:rPr>
            </w:pPr>
            <w:r w:rsidRPr="001C59A0">
              <w:rPr>
                <w:rFonts w:ascii="Arial" w:hAnsi="Arial" w:cs="Arial"/>
                <w:color w:val="000000"/>
                <w:sz w:val="22"/>
                <w:szCs w:val="22"/>
                <w:lang w:val="es-CO"/>
              </w:rPr>
              <w:t>Gasto Sector Residencial en Electricidad, Línea Base (MMUSD)</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2.334</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3.933</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4.825</w:t>
            </w:r>
          </w:p>
        </w:tc>
      </w:tr>
      <w:tr w:rsidR="00C419B8" w:rsidRPr="001C59A0" w:rsidTr="00DE4B10">
        <w:trPr>
          <w:trHeight w:val="300"/>
          <w:jc w:val="center"/>
        </w:trPr>
        <w:tc>
          <w:tcPr>
            <w:tcW w:w="1001" w:type="dxa"/>
            <w:vMerge w:val="restart"/>
            <w:tcBorders>
              <w:top w:val="nil"/>
              <w:left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Esfuerzo Medio</w:t>
            </w: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Consumo Eléctrico Hogares (MWh)</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11.994.337</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16.312.859</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20.121.287</w:t>
            </w:r>
          </w:p>
        </w:tc>
      </w:tr>
      <w:tr w:rsidR="00C419B8" w:rsidRPr="001C59A0" w:rsidTr="00DE4B10">
        <w:trPr>
          <w:trHeight w:val="300"/>
          <w:jc w:val="center"/>
        </w:trPr>
        <w:tc>
          <w:tcPr>
            <w:tcW w:w="1001" w:type="dxa"/>
            <w:vMerge/>
            <w:tcBorders>
              <w:left w:val="single" w:sz="4" w:space="0" w:color="auto"/>
              <w:right w:val="single" w:sz="4" w:space="0" w:color="auto"/>
            </w:tcBorders>
            <w:shd w:val="clear" w:color="auto" w:fill="auto"/>
            <w:vAlign w:val="center"/>
            <w:hideMark/>
          </w:tcPr>
          <w:p w:rsidR="00C419B8" w:rsidRPr="001C59A0" w:rsidRDefault="00C419B8" w:rsidP="00DE4B10">
            <w:pPr>
              <w:rPr>
                <w:rFonts w:ascii="Arial" w:hAnsi="Arial" w:cs="Arial"/>
                <w:color w:val="000000"/>
                <w:sz w:val="22"/>
                <w:szCs w:val="22"/>
              </w:rPr>
            </w:pP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Precio ($/kWh)</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123</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122</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118</w:t>
            </w:r>
          </w:p>
        </w:tc>
      </w:tr>
      <w:tr w:rsidR="00C419B8" w:rsidRPr="001C59A0" w:rsidTr="00DE4B10">
        <w:trPr>
          <w:trHeight w:val="300"/>
          <w:jc w:val="center"/>
        </w:trPr>
        <w:tc>
          <w:tcPr>
            <w:tcW w:w="1001" w:type="dxa"/>
            <w:vMerge/>
            <w:tcBorders>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rPr>
                <w:rFonts w:ascii="Arial" w:hAnsi="Arial" w:cs="Arial"/>
                <w:color w:val="000000"/>
                <w:sz w:val="22"/>
                <w:szCs w:val="22"/>
              </w:rPr>
            </w:pPr>
          </w:p>
        </w:tc>
        <w:tc>
          <w:tcPr>
            <w:tcW w:w="4097" w:type="dxa"/>
            <w:tcBorders>
              <w:top w:val="nil"/>
              <w:left w:val="nil"/>
              <w:bottom w:val="single" w:sz="4" w:space="0" w:color="auto"/>
              <w:right w:val="single" w:sz="4" w:space="0" w:color="auto"/>
            </w:tcBorders>
            <w:shd w:val="clear" w:color="auto" w:fill="auto"/>
            <w:noWrap/>
            <w:vAlign w:val="bottom"/>
            <w:hideMark/>
          </w:tcPr>
          <w:p w:rsidR="00C419B8" w:rsidRPr="001C59A0" w:rsidRDefault="00C419B8" w:rsidP="00DE4B10">
            <w:pPr>
              <w:rPr>
                <w:rFonts w:ascii="Arial" w:hAnsi="Arial" w:cs="Arial"/>
                <w:color w:val="000000"/>
                <w:sz w:val="22"/>
                <w:szCs w:val="22"/>
                <w:lang w:val="es-CO"/>
              </w:rPr>
            </w:pPr>
            <w:r w:rsidRPr="001C59A0">
              <w:rPr>
                <w:rFonts w:ascii="Arial" w:hAnsi="Arial" w:cs="Arial"/>
                <w:color w:val="000000"/>
                <w:sz w:val="22"/>
                <w:szCs w:val="22"/>
                <w:lang w:val="es-CO"/>
              </w:rPr>
              <w:t>Gasto Sector Residencial en Electricidad, Escenario Medio (MMUSD)</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2.112</w:t>
            </w:r>
          </w:p>
        </w:tc>
        <w:tc>
          <w:tcPr>
            <w:tcW w:w="1178"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2.839</w:t>
            </w:r>
          </w:p>
        </w:tc>
        <w:tc>
          <w:tcPr>
            <w:tcW w:w="1179"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3.401</w:t>
            </w:r>
          </w:p>
        </w:tc>
      </w:tr>
      <w:tr w:rsidR="00C419B8" w:rsidRPr="001C59A0" w:rsidTr="00DE4B10">
        <w:trPr>
          <w:trHeight w:val="300"/>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rsidR="00C419B8" w:rsidRPr="001C59A0" w:rsidRDefault="00C419B8" w:rsidP="00DE4B10">
            <w:pPr>
              <w:rPr>
                <w:rFonts w:ascii="Arial" w:hAnsi="Arial" w:cs="Arial"/>
                <w:color w:val="000000"/>
                <w:sz w:val="22"/>
                <w:szCs w:val="22"/>
              </w:rPr>
            </w:pPr>
            <w:r w:rsidRPr="001C59A0">
              <w:rPr>
                <w:rFonts w:ascii="Arial" w:hAnsi="Arial" w:cs="Arial"/>
                <w:color w:val="000000"/>
                <w:sz w:val="22"/>
                <w:szCs w:val="22"/>
              </w:rPr>
              <w:t>Variación</w:t>
            </w:r>
          </w:p>
        </w:tc>
        <w:tc>
          <w:tcPr>
            <w:tcW w:w="4097" w:type="dxa"/>
            <w:tcBorders>
              <w:top w:val="nil"/>
              <w:left w:val="nil"/>
              <w:bottom w:val="single" w:sz="4" w:space="0" w:color="auto"/>
              <w:right w:val="single" w:sz="4" w:space="0" w:color="auto"/>
            </w:tcBorders>
            <w:shd w:val="clear" w:color="auto" w:fill="auto"/>
            <w:noWrap/>
            <w:vAlign w:val="center"/>
            <w:hideMark/>
          </w:tcPr>
          <w:p w:rsidR="00C419B8" w:rsidRPr="001C59A0" w:rsidRDefault="00C419B8" w:rsidP="00DE4B10">
            <w:pPr>
              <w:rPr>
                <w:rFonts w:ascii="Arial" w:hAnsi="Arial" w:cs="Arial"/>
                <w:color w:val="000000"/>
                <w:sz w:val="22"/>
                <w:szCs w:val="22"/>
                <w:lang w:val="es-CO"/>
              </w:rPr>
            </w:pPr>
            <w:r w:rsidRPr="001C59A0">
              <w:rPr>
                <w:rFonts w:ascii="Arial" w:hAnsi="Arial" w:cs="Arial"/>
                <w:color w:val="000000"/>
                <w:sz w:val="22"/>
                <w:szCs w:val="22"/>
                <w:lang w:val="es-CO"/>
              </w:rPr>
              <w:t>Ahorro en consumo eléctrico sector residencial (MMUSD)</w:t>
            </w:r>
          </w:p>
        </w:tc>
        <w:tc>
          <w:tcPr>
            <w:tcW w:w="1178" w:type="dxa"/>
            <w:tcBorders>
              <w:top w:val="nil"/>
              <w:left w:val="nil"/>
              <w:bottom w:val="single" w:sz="4" w:space="0" w:color="auto"/>
              <w:right w:val="single" w:sz="4" w:space="0" w:color="auto"/>
            </w:tcBorders>
            <w:shd w:val="clear" w:color="auto" w:fill="auto"/>
            <w:noWrap/>
            <w:vAlign w:val="center"/>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222</w:t>
            </w:r>
          </w:p>
        </w:tc>
        <w:tc>
          <w:tcPr>
            <w:tcW w:w="1178" w:type="dxa"/>
            <w:tcBorders>
              <w:top w:val="nil"/>
              <w:left w:val="nil"/>
              <w:bottom w:val="single" w:sz="4" w:space="0" w:color="auto"/>
              <w:right w:val="single" w:sz="4" w:space="0" w:color="auto"/>
            </w:tcBorders>
            <w:shd w:val="clear" w:color="auto" w:fill="auto"/>
            <w:noWrap/>
            <w:vAlign w:val="center"/>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1094</w:t>
            </w:r>
          </w:p>
        </w:tc>
        <w:tc>
          <w:tcPr>
            <w:tcW w:w="1179" w:type="dxa"/>
            <w:tcBorders>
              <w:top w:val="nil"/>
              <w:left w:val="nil"/>
              <w:bottom w:val="single" w:sz="4" w:space="0" w:color="auto"/>
              <w:right w:val="single" w:sz="4" w:space="0" w:color="auto"/>
            </w:tcBorders>
            <w:shd w:val="clear" w:color="auto" w:fill="auto"/>
            <w:noWrap/>
            <w:vAlign w:val="center"/>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1424</w:t>
            </w:r>
          </w:p>
        </w:tc>
      </w:tr>
    </w:tbl>
    <w:p w:rsidR="00C419B8" w:rsidRPr="001C59A0" w:rsidRDefault="00C419B8" w:rsidP="00C419B8">
      <w:pPr>
        <w:jc w:val="both"/>
        <w:rPr>
          <w:rFonts w:ascii="Arial" w:hAnsi="Arial" w:cs="Arial"/>
          <w:bCs/>
          <w:sz w:val="22"/>
          <w:szCs w:val="22"/>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Asumiendo que los hogares están compuestos por 4 personas, el ahorro anual por hogar para el año 2019 corresponde a USD48, lo que aumenta a USD223 el año 2030 y alcanza a USD282 el año 2050.</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sz w:val="22"/>
          <w:szCs w:val="22"/>
          <w:lang w:val="es-CO"/>
        </w:rPr>
        <w:t>El valor actual neto de los ahorros de los hogares al año 2015, usando la tasa social de descuento oficial de Chile de 6%, es de 2.334 millones de dólares</w:t>
      </w:r>
      <w:r w:rsidRPr="001C59A0">
        <w:rPr>
          <w:rStyle w:val="FootnoteReference"/>
          <w:rFonts w:ascii="Arial" w:hAnsi="Arial" w:cs="Arial"/>
          <w:sz w:val="22"/>
          <w:szCs w:val="22"/>
        </w:rPr>
        <w:footnoteReference w:id="24"/>
      </w:r>
      <w:r w:rsidRPr="001C59A0">
        <w:rPr>
          <w:rFonts w:ascii="Arial" w:hAnsi="Arial" w:cs="Arial"/>
          <w:sz w:val="22"/>
          <w:szCs w:val="22"/>
          <w:lang w:val="es-CO"/>
        </w:rPr>
        <w:t xml:space="preserve">. </w:t>
      </w:r>
      <w:r w:rsidRPr="001C59A0">
        <w:rPr>
          <w:rFonts w:ascii="Arial" w:hAnsi="Arial" w:cs="Arial"/>
          <w:bCs/>
          <w:sz w:val="22"/>
          <w:szCs w:val="22"/>
          <w:lang w:val="es-CO"/>
        </w:rPr>
        <w:t xml:space="preserve"> </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pStyle w:val="ListParagraph"/>
        <w:numPr>
          <w:ilvl w:val="1"/>
          <w:numId w:val="8"/>
        </w:numPr>
        <w:spacing w:after="100" w:afterAutospacing="1"/>
        <w:ind w:left="0" w:firstLine="0"/>
        <w:jc w:val="both"/>
        <w:outlineLvl w:val="1"/>
        <w:rPr>
          <w:rFonts w:ascii="Arial" w:eastAsia="Calibri" w:hAnsi="Arial" w:cs="Arial"/>
          <w:b/>
          <w:lang w:val="es-CO"/>
        </w:rPr>
      </w:pPr>
      <w:bookmarkStart w:id="25" w:name="_Toc459677783"/>
      <w:r w:rsidRPr="001C59A0">
        <w:rPr>
          <w:rFonts w:ascii="Arial" w:eastAsia="Calibri" w:hAnsi="Arial" w:cs="Arial"/>
          <w:b/>
          <w:lang w:val="es-CO"/>
        </w:rPr>
        <w:t>Beneficios del sector industrial: Reducción de Gastos Energéticos</w:t>
      </w:r>
      <w:bookmarkEnd w:id="25"/>
    </w:p>
    <w:p w:rsidR="00C419B8" w:rsidRPr="001C59A0" w:rsidRDefault="00C419B8" w:rsidP="00C419B8">
      <w:pPr>
        <w:shd w:val="clear" w:color="auto" w:fill="FFFFFF" w:themeFill="background1"/>
        <w:spacing w:after="100" w:afterAutospacing="1"/>
        <w:jc w:val="both"/>
        <w:rPr>
          <w:rFonts w:ascii="Arial" w:hAnsi="Arial" w:cs="Arial"/>
          <w:bCs/>
          <w:sz w:val="22"/>
          <w:szCs w:val="22"/>
          <w:lang w:val="es-CO"/>
        </w:rPr>
      </w:pPr>
      <w:r w:rsidRPr="001C59A0">
        <w:rPr>
          <w:rFonts w:ascii="Arial" w:hAnsi="Arial" w:cs="Arial"/>
          <w:bCs/>
          <w:sz w:val="22"/>
          <w:szCs w:val="22"/>
          <w:lang w:val="es-CO"/>
        </w:rPr>
        <w:t>El gasto en energía del sector industrial disminuye debido al menor costo de la electricidad y al menor consumo energético producto de la implementación de medidas de eficiencia energética. Ambos efectos no solo permitirán que el sector industrial genere mayores utilidades, sino que también pueda mejorar su competitividad.</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Para estimar el gasto del sector industrial, se usó el consumo del sector “industria y minería” de MAPS y los precios estimados para grandes consumidores. La figura N°23 muestra la evolución del gasto tanto para la línea base como para el escenario de esfuerzo medio.</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lang w:val="es-CO"/>
        </w:rPr>
        <w:t xml:space="preserve">Figura N°23: Evolución del gasto en electricidad del sector industrial. </w:t>
      </w:r>
      <w:r w:rsidRPr="001C59A0">
        <w:rPr>
          <w:rFonts w:ascii="Arial" w:hAnsi="Arial" w:cs="Arial"/>
          <w:bCs/>
          <w:sz w:val="22"/>
          <w:szCs w:val="22"/>
        </w:rPr>
        <w:t>2014-2050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7BD6731F" wp14:editId="6D0B61E6">
            <wp:extent cx="4449170" cy="2928689"/>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2769" cy="2937641"/>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lang w:val="es-CO"/>
        </w:rPr>
        <w:t xml:space="preserve">Figura N°24: Descomposición del ahorro en energía, esfuerzo medio, según origen. </w:t>
      </w:r>
      <w:r w:rsidRPr="001C59A0">
        <w:rPr>
          <w:rFonts w:ascii="Arial" w:hAnsi="Arial" w:cs="Arial"/>
          <w:bCs/>
          <w:sz w:val="22"/>
          <w:szCs w:val="22"/>
        </w:rPr>
        <w:t>2014-2050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68B79523" wp14:editId="65E13ECC">
            <wp:extent cx="4662683" cy="3070747"/>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7440" cy="3080466"/>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both"/>
        <w:rPr>
          <w:rFonts w:ascii="Arial" w:hAnsi="Arial" w:cs="Arial"/>
          <w:bCs/>
          <w:sz w:val="22"/>
          <w:szCs w:val="22"/>
          <w:lang w:val="es-CO"/>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Figura N°25: Ahorro sector industrial por menor tarifa como porcentaje del PIB. 2014-2050</w:t>
      </w: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noProof/>
          <w:sz w:val="22"/>
          <w:szCs w:val="22"/>
        </w:rPr>
        <w:drawing>
          <wp:inline distT="0" distB="0" distL="0" distR="0" wp14:anchorId="0D330535" wp14:editId="795B87B6">
            <wp:extent cx="4415790" cy="3082562"/>
            <wp:effectExtent l="0" t="0" r="381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6959" cy="3097339"/>
                    </a:xfrm>
                    <a:prstGeom prst="rect">
                      <a:avLst/>
                    </a:prstGeom>
                    <a:noFill/>
                  </pic:spPr>
                </pic:pic>
              </a:graphicData>
            </a:graphic>
          </wp:inline>
        </w:drawing>
      </w: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hAnsi="Arial" w:cs="Arial"/>
          <w:bCs/>
          <w:sz w:val="22"/>
          <w:szCs w:val="22"/>
          <w:lang w:val="es-CO"/>
        </w:rPr>
        <w:t>Fuente: Elaboración propia</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Para distinguir el efecto del cambio en la tarifa eléctrica del de menor consumo energético por eficiencia energética, se separó menor gasto (u ahorro) según su origen en la figura 24.  Se observa que el cambio de tarifa es el responsable de la mayor parte del menor gasto en energía.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 xml:space="preserve">El menor gasto producto de una mayor eficiencia no se puede considerar completamente como un beneficio para las empresas ya que se debe incurrir en costos de inversión para implementar las medidas que reducen los costos operacionales. En el caso muy conservador que los ahorros energéticos por mayor eficiencia son similares a los costos de inversión requeridos, se debe considerar que el beneficio para las empresas corresponde solo a los asociados a la menor tarifa.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Este menor gasto de todas formas es muy significativo. Alcanza cerca de 4 mil millones de dólares el año 2030 y sobre 5.5 mil millones el año 2050.  Con ello, el ahorro debido a la menor tarifa representa 0,6% del PIB al año 2050, tal como se puede observar en la figura N°25.</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sz w:val="22"/>
          <w:szCs w:val="22"/>
          <w:lang w:val="es-CO"/>
        </w:rPr>
        <w:t>El valor actual neto de los ahorros del sector industrial al año 2015, usando la tasa social de descuento oficial de Chile de 6%, es de 48.586 millones de dólares</w:t>
      </w:r>
      <w:r w:rsidRPr="001C59A0">
        <w:rPr>
          <w:rStyle w:val="FootnoteReference"/>
          <w:rFonts w:ascii="Arial" w:hAnsi="Arial" w:cs="Arial"/>
          <w:sz w:val="22"/>
          <w:szCs w:val="22"/>
        </w:rPr>
        <w:footnoteReference w:id="25"/>
      </w:r>
      <w:r w:rsidRPr="001C59A0">
        <w:rPr>
          <w:rFonts w:ascii="Arial" w:hAnsi="Arial" w:cs="Arial"/>
          <w:sz w:val="22"/>
          <w:szCs w:val="22"/>
          <w:lang w:val="es-CO"/>
        </w:rPr>
        <w:t xml:space="preserve">. </w:t>
      </w:r>
      <w:r w:rsidRPr="001C59A0">
        <w:rPr>
          <w:rFonts w:ascii="Arial" w:hAnsi="Arial" w:cs="Arial"/>
          <w:bCs/>
          <w:sz w:val="22"/>
          <w:szCs w:val="22"/>
          <w:lang w:val="es-CO"/>
        </w:rPr>
        <w:t xml:space="preserve"> </w:t>
      </w:r>
    </w:p>
    <w:p w:rsidR="00C419B8" w:rsidRPr="001C59A0" w:rsidRDefault="00C419B8" w:rsidP="00C419B8">
      <w:pPr>
        <w:spacing w:after="100" w:afterAutospacing="1"/>
        <w:jc w:val="both"/>
        <w:rPr>
          <w:rFonts w:ascii="Arial" w:hAnsi="Arial" w:cs="Arial"/>
          <w:bCs/>
          <w:sz w:val="22"/>
          <w:szCs w:val="22"/>
          <w:lang w:val="es-CO"/>
        </w:rPr>
      </w:pPr>
      <w:r w:rsidRPr="001C59A0">
        <w:rPr>
          <w:rFonts w:ascii="Arial" w:hAnsi="Arial" w:cs="Arial"/>
          <w:bCs/>
          <w:sz w:val="22"/>
          <w:szCs w:val="22"/>
          <w:lang w:val="es-CO"/>
        </w:rPr>
        <w:t>Estos menores costos permitirán a la industria aumentar su competitividad y por lo tanto aumentar, en el margen, su producción. Ese aumento de producción, valorado a precio de mercado, constituye un beneficio adicional que no se ha estimado en este estudio.</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pStyle w:val="ListParagraph"/>
        <w:numPr>
          <w:ilvl w:val="1"/>
          <w:numId w:val="8"/>
        </w:numPr>
        <w:spacing w:after="100" w:afterAutospacing="1"/>
        <w:ind w:left="0" w:firstLine="0"/>
        <w:jc w:val="both"/>
        <w:outlineLvl w:val="1"/>
        <w:rPr>
          <w:rFonts w:ascii="Arial" w:eastAsia="Calibri" w:hAnsi="Arial" w:cs="Arial"/>
          <w:b/>
        </w:rPr>
      </w:pPr>
      <w:bookmarkStart w:id="26" w:name="_Toc459677784"/>
      <w:r w:rsidRPr="001C59A0">
        <w:rPr>
          <w:rFonts w:ascii="Arial" w:eastAsia="Calibri" w:hAnsi="Arial" w:cs="Arial"/>
          <w:b/>
        </w:rPr>
        <w:t>Beneficios totales:</w:t>
      </w:r>
      <w:bookmarkEnd w:id="26"/>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Los cuadros 24 y 25, resumen los beneficios totales identificados y cuantificados monetariamente para el Programa. Los beneficios por menores gastos energéticos en hogares e industrias no son directamente sumables al corresponder, al menos parcialmente, a una transferencia desde los sectores de generación.</w:t>
      </w:r>
    </w:p>
    <w:p w:rsidR="00C419B8" w:rsidRPr="001C59A0" w:rsidRDefault="00C419B8" w:rsidP="00C419B8">
      <w:pPr>
        <w:spacing w:after="100" w:afterAutospacing="1"/>
        <w:jc w:val="both"/>
        <w:rPr>
          <w:rFonts w:ascii="Arial" w:hAnsi="Arial" w:cs="Arial"/>
          <w:bCs/>
          <w:sz w:val="22"/>
          <w:szCs w:val="22"/>
        </w:rPr>
      </w:pPr>
      <w:r w:rsidRPr="001C59A0">
        <w:rPr>
          <w:rFonts w:ascii="Arial" w:hAnsi="Arial" w:cs="Arial"/>
          <w:bCs/>
          <w:sz w:val="22"/>
          <w:szCs w:val="22"/>
          <w:lang w:val="es-CO"/>
        </w:rPr>
        <w:t xml:space="preserve">Cabe destacar que los beneficios estimados corresponden a una cota inferior, debido a que se optó por usar supuestos conservadores cuando fue necesario. </w:t>
      </w:r>
      <w:r w:rsidRPr="001C59A0">
        <w:rPr>
          <w:rFonts w:ascii="Arial" w:hAnsi="Arial" w:cs="Arial"/>
          <w:bCs/>
          <w:sz w:val="22"/>
          <w:szCs w:val="22"/>
        </w:rPr>
        <w:t>Además, la evaluación con valorizó otros beneficios como:</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Mayor competitividad de las industrias debido al menor gasto en energía.</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Reducción de emisiones directas de la generación de otros contaminantes como óxidos de nitrógeno, óxidos de azufre, metales, etc.</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Beneficio por reducción de emisiones por uso de calefacción a leña en ciudades no consideradas</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Beneficio por mayor disponibilidad de ingreso en quintiles más vulnerables debido a menor gasto en energía</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Menores costos de desarrollo de proyectos energéticos producto de menos conflictos sociales (asociado a desarrollo de matriz más limpia y a la participación de la sociedad en la elaboración de la política energética)</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bCs/>
          <w:lang w:val="es-CO"/>
        </w:rPr>
        <w:t>Menos riesgos en el desarrollo de proyectos productivos debido a menor incertidumbre en disponibilidad y tarifa de energía.</w:t>
      </w:r>
    </w:p>
    <w:p w:rsidR="00C419B8" w:rsidRPr="001C59A0" w:rsidRDefault="00C419B8" w:rsidP="00C419B8">
      <w:pPr>
        <w:pStyle w:val="ListParagraph"/>
        <w:numPr>
          <w:ilvl w:val="0"/>
          <w:numId w:val="25"/>
        </w:numPr>
        <w:spacing w:after="100" w:afterAutospacing="1" w:line="259" w:lineRule="auto"/>
        <w:jc w:val="both"/>
        <w:rPr>
          <w:rFonts w:ascii="Arial" w:hAnsi="Arial" w:cs="Arial"/>
          <w:bCs/>
          <w:lang w:val="es-CO"/>
        </w:rPr>
      </w:pPr>
      <w:r w:rsidRPr="001C59A0">
        <w:rPr>
          <w:rFonts w:ascii="Arial" w:hAnsi="Arial" w:cs="Arial"/>
          <w:lang w:val="es-CO"/>
        </w:rPr>
        <w:t>Mantener la condición de país de bajo riesgo para las inversiones externas y ser sujeto para los programas que se desarrollen para apoyar la incorporación de nuevas tecnologías para mitigar o adaptarse al cambio climático, producto del cumplimiento de los compromisos de reducción de emisiones GEI.</w:t>
      </w:r>
    </w:p>
    <w:p w:rsidR="00C419B8" w:rsidRPr="001C59A0" w:rsidRDefault="00C419B8" w:rsidP="00C419B8">
      <w:pPr>
        <w:spacing w:after="100" w:afterAutospacing="1"/>
        <w:jc w:val="both"/>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szCs w:val="22"/>
          <w:lang w:val="es-CO"/>
        </w:rPr>
      </w:pPr>
      <w:r w:rsidRPr="001C59A0">
        <w:rPr>
          <w:rFonts w:ascii="Arial" w:eastAsia="Calibri" w:hAnsi="Arial" w:cs="Arial"/>
          <w:sz w:val="22"/>
          <w:szCs w:val="22"/>
          <w:lang w:val="es-CO"/>
        </w:rPr>
        <w:t>Cuadro N°24:  Resumen de beneficios ambientales en escenario de esfuerzo medio</w:t>
      </w:r>
    </w:p>
    <w:tbl>
      <w:tblPr>
        <w:tblStyle w:val="TableGrid"/>
        <w:tblW w:w="0" w:type="auto"/>
        <w:jc w:val="center"/>
        <w:tblLook w:val="04A0" w:firstRow="1" w:lastRow="0" w:firstColumn="1" w:lastColumn="0" w:noHBand="0" w:noVBand="1"/>
      </w:tblPr>
      <w:tblGrid>
        <w:gridCol w:w="2972"/>
        <w:gridCol w:w="2410"/>
      </w:tblGrid>
      <w:tr w:rsidR="00C419B8" w:rsidRPr="001C59A0" w:rsidTr="00DE4B10">
        <w:trPr>
          <w:trHeight w:val="454"/>
          <w:jc w:val="center"/>
        </w:trPr>
        <w:tc>
          <w:tcPr>
            <w:tcW w:w="2972"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410"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VAN al año 2015, 6%</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CO2</w:t>
            </w:r>
          </w:p>
        </w:tc>
        <w:tc>
          <w:tcPr>
            <w:tcW w:w="2410"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2.101</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MP</w:t>
            </w:r>
          </w:p>
        </w:tc>
        <w:tc>
          <w:tcPr>
            <w:tcW w:w="2410"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238</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Calefacción MP</w:t>
            </w:r>
          </w:p>
        </w:tc>
        <w:tc>
          <w:tcPr>
            <w:tcW w:w="2410"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373</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beneficios ambientales</w:t>
            </w:r>
            <w:r w:rsidRPr="001C59A0">
              <w:rPr>
                <w:rStyle w:val="FootnoteReference"/>
                <w:rFonts w:ascii="Arial" w:eastAsia="Calibri" w:hAnsi="Arial" w:cs="Arial"/>
                <w:sz w:val="22"/>
                <w:szCs w:val="22"/>
              </w:rPr>
              <w:footnoteReference w:id="26"/>
            </w:r>
          </w:p>
        </w:tc>
        <w:tc>
          <w:tcPr>
            <w:tcW w:w="2410"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2.712</w:t>
            </w:r>
          </w:p>
        </w:tc>
      </w:tr>
    </w:tbl>
    <w:p w:rsidR="00C419B8" w:rsidRPr="001C59A0" w:rsidRDefault="00C419B8" w:rsidP="00C419B8">
      <w:pPr>
        <w:jc w:val="center"/>
        <w:rPr>
          <w:rFonts w:ascii="Arial" w:hAnsi="Arial" w:cs="Arial"/>
          <w:bCs/>
          <w:sz w:val="22"/>
          <w:szCs w:val="22"/>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center"/>
        <w:rPr>
          <w:rFonts w:ascii="Arial" w:eastAsia="Calibri" w:hAnsi="Arial" w:cs="Arial"/>
          <w:sz w:val="22"/>
          <w:szCs w:val="22"/>
          <w:lang w:val="es-CO"/>
        </w:rPr>
      </w:pPr>
      <w:r w:rsidRPr="001C59A0">
        <w:rPr>
          <w:rFonts w:ascii="Arial" w:eastAsia="Calibri" w:hAnsi="Arial" w:cs="Arial"/>
          <w:sz w:val="22"/>
          <w:szCs w:val="22"/>
          <w:lang w:val="es-CO"/>
        </w:rPr>
        <w:t>Cuadro N°25:  Resumen de ahorro hogares e industrial en escenario de esfuerzo medio</w:t>
      </w:r>
    </w:p>
    <w:tbl>
      <w:tblPr>
        <w:tblStyle w:val="TableGrid"/>
        <w:tblW w:w="0" w:type="auto"/>
        <w:jc w:val="center"/>
        <w:tblLook w:val="04A0" w:firstRow="1" w:lastRow="0" w:firstColumn="1" w:lastColumn="0" w:noHBand="0" w:noVBand="1"/>
      </w:tblPr>
      <w:tblGrid>
        <w:gridCol w:w="1980"/>
        <w:gridCol w:w="2268"/>
      </w:tblGrid>
      <w:tr w:rsidR="00C419B8" w:rsidRPr="001C59A0" w:rsidTr="00DE4B10">
        <w:trPr>
          <w:trHeight w:val="454"/>
          <w:jc w:val="center"/>
        </w:trPr>
        <w:tc>
          <w:tcPr>
            <w:tcW w:w="1980"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268"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VAN al año 2015, 6%</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Hogares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2.334</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Industria</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48.586</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w:t>
            </w:r>
            <w:r w:rsidRPr="001C59A0">
              <w:rPr>
                <w:rStyle w:val="FootnoteReference"/>
                <w:rFonts w:ascii="Arial" w:eastAsia="Calibri" w:hAnsi="Arial" w:cs="Arial"/>
                <w:sz w:val="22"/>
                <w:szCs w:val="22"/>
              </w:rPr>
              <w:footnoteReference w:id="27"/>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50.920</w:t>
            </w:r>
          </w:p>
        </w:tc>
      </w:tr>
    </w:tbl>
    <w:p w:rsidR="00C419B8" w:rsidRPr="001C59A0" w:rsidRDefault="00C419B8" w:rsidP="00C419B8">
      <w:pPr>
        <w:jc w:val="center"/>
        <w:rPr>
          <w:rFonts w:ascii="Arial" w:hAnsi="Arial" w:cs="Arial"/>
          <w:bCs/>
          <w:sz w:val="22"/>
          <w:szCs w:val="22"/>
        </w:rPr>
      </w:pPr>
    </w:p>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60" w:line="259" w:lineRule="auto"/>
        <w:rPr>
          <w:rFonts w:ascii="Arial" w:eastAsia="Calibri" w:hAnsi="Arial" w:cs="Arial"/>
          <w:b/>
          <w:sz w:val="22"/>
          <w:szCs w:val="22"/>
        </w:rPr>
      </w:pPr>
      <w:r w:rsidRPr="001C59A0">
        <w:rPr>
          <w:rFonts w:ascii="Arial" w:eastAsia="Calibri" w:hAnsi="Arial" w:cs="Arial"/>
          <w:b/>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eastAsia="Calibri" w:hAnsi="Arial" w:cs="Arial"/>
          <w:lang w:val="es-CO"/>
        </w:rPr>
      </w:pPr>
      <w:bookmarkStart w:id="27" w:name="_Toc459677785"/>
      <w:r w:rsidRPr="001C59A0">
        <w:rPr>
          <w:rFonts w:ascii="Arial" w:eastAsia="Calibri" w:hAnsi="Arial" w:cs="Arial"/>
          <w:b/>
          <w:lang w:val="es-CO"/>
        </w:rPr>
        <w:t>Matriz de Riesgo y Análisis de Escenario Alternativo</w:t>
      </w:r>
      <w:bookmarkEnd w:id="27"/>
    </w:p>
    <w:p w:rsidR="00C419B8" w:rsidRPr="001C59A0" w:rsidRDefault="00C419B8" w:rsidP="00C419B8">
      <w:pPr>
        <w:pStyle w:val="ListParagraph"/>
        <w:spacing w:after="100" w:afterAutospacing="1"/>
        <w:ind w:left="0"/>
        <w:jc w:val="both"/>
        <w:outlineLvl w:val="0"/>
        <w:rPr>
          <w:rFonts w:ascii="Arial" w:eastAsia="Calibri" w:hAnsi="Arial" w:cs="Arial"/>
          <w:lang w:val="es-CO"/>
        </w:rPr>
      </w:pPr>
    </w:p>
    <w:p w:rsidR="00C419B8" w:rsidRPr="001C59A0" w:rsidRDefault="00C419B8" w:rsidP="00C419B8">
      <w:pPr>
        <w:pStyle w:val="ListParagraph"/>
        <w:spacing w:after="100" w:afterAutospacing="1"/>
        <w:ind w:left="0"/>
        <w:jc w:val="both"/>
        <w:rPr>
          <w:rFonts w:ascii="Arial" w:eastAsia="Calibri" w:hAnsi="Arial" w:cs="Arial"/>
          <w:lang w:val="es-CO"/>
        </w:rPr>
      </w:pPr>
      <w:r w:rsidRPr="001C59A0">
        <w:rPr>
          <w:rFonts w:ascii="Arial" w:eastAsia="Calibri" w:hAnsi="Arial" w:cs="Arial"/>
          <w:lang w:val="es-CO"/>
        </w:rPr>
        <w:t>Los resultados presentados asumen que el Programa es plenamente exitoso y permite lograr los objetivos esperados del mismo. En esta sección se analizan los principales riesgos que podrían afectar estos resultados y una estimación de su potencial impacto.</w:t>
      </w:r>
    </w:p>
    <w:p w:rsidR="00C419B8" w:rsidRPr="001C59A0" w:rsidRDefault="00C419B8" w:rsidP="00C419B8">
      <w:pPr>
        <w:pStyle w:val="ListParagraph"/>
        <w:spacing w:after="100" w:afterAutospacing="1"/>
        <w:ind w:left="0"/>
        <w:jc w:val="both"/>
        <w:outlineLvl w:val="0"/>
        <w:rPr>
          <w:rFonts w:ascii="Arial" w:eastAsia="Calibri" w:hAnsi="Arial" w:cs="Arial"/>
          <w:lang w:val="es-CO"/>
        </w:rPr>
      </w:pPr>
    </w:p>
    <w:p w:rsidR="00C419B8" w:rsidRPr="001C59A0" w:rsidRDefault="00C419B8" w:rsidP="00C419B8">
      <w:pPr>
        <w:pStyle w:val="ListParagraph"/>
        <w:numPr>
          <w:ilvl w:val="1"/>
          <w:numId w:val="8"/>
        </w:numPr>
        <w:spacing w:after="100" w:afterAutospacing="1"/>
        <w:jc w:val="both"/>
        <w:outlineLvl w:val="1"/>
        <w:rPr>
          <w:rFonts w:ascii="Arial" w:eastAsia="Calibri" w:hAnsi="Arial" w:cs="Arial"/>
          <w:b/>
        </w:rPr>
      </w:pPr>
      <w:bookmarkStart w:id="28" w:name="_Toc459677786"/>
      <w:r w:rsidRPr="001C59A0">
        <w:rPr>
          <w:rFonts w:ascii="Arial" w:eastAsia="Calibri" w:hAnsi="Arial" w:cs="Arial"/>
          <w:b/>
        </w:rPr>
        <w:t>Matriz de Riesgos</w:t>
      </w:r>
      <w:bookmarkEnd w:id="28"/>
    </w:p>
    <w:p w:rsidR="00C419B8" w:rsidRPr="001C59A0" w:rsidRDefault="00C419B8" w:rsidP="00C419B8">
      <w:pPr>
        <w:spacing w:after="100" w:afterAutospacing="1"/>
        <w:jc w:val="both"/>
        <w:rPr>
          <w:rFonts w:ascii="Arial" w:eastAsia="Calibri" w:hAnsi="Arial" w:cs="Arial"/>
          <w:sz w:val="22"/>
          <w:highlight w:val="green"/>
          <w:lang w:val="es-CO"/>
        </w:rPr>
      </w:pPr>
      <w:r w:rsidRPr="001C59A0">
        <w:rPr>
          <w:rFonts w:ascii="Arial" w:eastAsia="Calibri" w:hAnsi="Arial" w:cs="Arial"/>
          <w:sz w:val="22"/>
          <w:lang w:val="es-CO"/>
        </w:rPr>
        <w:t>La matriz de riesgo se usa para identificar los riesgos más importantes que podrían atentar contra la obtención de los objetivos del programa. La metodología utilizada, consiste en identificar los riesgos (tanto endógenos como exógenos) del programa, los que luego son clasificados según su probabilidad de ocurrencia y el impacto que generaría en el programa, lo que permite clasificar los riesgos según lo detallado en la figura 26.</w:t>
      </w:r>
    </w:p>
    <w:p w:rsidR="00C419B8" w:rsidRPr="001C59A0" w:rsidRDefault="00C419B8" w:rsidP="00C419B8">
      <w:pPr>
        <w:spacing w:after="100" w:afterAutospacing="1"/>
        <w:jc w:val="center"/>
        <w:rPr>
          <w:rFonts w:ascii="Arial" w:eastAsia="Calibri" w:hAnsi="Arial" w:cs="Arial"/>
          <w:sz w:val="22"/>
          <w:highlight w:val="green"/>
          <w:lang w:val="es-CO"/>
        </w:rPr>
      </w:pPr>
      <w:r w:rsidRPr="001C59A0">
        <w:rPr>
          <w:rFonts w:ascii="Arial" w:eastAsia="Calibri" w:hAnsi="Arial" w:cs="Arial"/>
          <w:sz w:val="22"/>
          <w:lang w:val="es-CO"/>
        </w:rPr>
        <w:t>Figura N°26: Nivel de riesgo según probabilidad de ocurrencia e impacto esperado</w:t>
      </w:r>
    </w:p>
    <w:tbl>
      <w:tblPr>
        <w:tblW w:w="5954" w:type="dxa"/>
        <w:jc w:val="center"/>
        <w:tblCellMar>
          <w:left w:w="70" w:type="dxa"/>
          <w:right w:w="70" w:type="dxa"/>
        </w:tblCellMar>
        <w:tblLook w:val="04A0" w:firstRow="1" w:lastRow="0" w:firstColumn="1" w:lastColumn="0" w:noHBand="0" w:noVBand="1"/>
      </w:tblPr>
      <w:tblGrid>
        <w:gridCol w:w="426"/>
        <w:gridCol w:w="1417"/>
        <w:gridCol w:w="1418"/>
        <w:gridCol w:w="1417"/>
        <w:gridCol w:w="1276"/>
      </w:tblGrid>
      <w:tr w:rsidR="00C419B8" w:rsidRPr="001C59A0" w:rsidTr="00DE4B10">
        <w:trPr>
          <w:trHeight w:val="600"/>
          <w:jc w:val="center"/>
        </w:trPr>
        <w:tc>
          <w:tcPr>
            <w:tcW w:w="1843" w:type="dxa"/>
            <w:gridSpan w:val="2"/>
            <w:vMerge w:val="restart"/>
            <w:tcBorders>
              <w:top w:val="nil"/>
              <w:left w:val="nil"/>
              <w:bottom w:val="single" w:sz="8" w:space="0" w:color="000000"/>
              <w:right w:val="single" w:sz="8" w:space="0" w:color="000000"/>
            </w:tcBorders>
            <w:shd w:val="clear" w:color="auto" w:fill="auto"/>
            <w:vAlign w:val="center"/>
            <w:hideMark/>
          </w:tcPr>
          <w:p w:rsidR="00C419B8" w:rsidRPr="001C59A0" w:rsidRDefault="00C419B8" w:rsidP="00DE4B10">
            <w:pPr>
              <w:rPr>
                <w:rFonts w:ascii="Arial" w:hAnsi="Arial" w:cs="Arial"/>
                <w:sz w:val="20"/>
                <w:szCs w:val="20"/>
                <w:lang w:val="es-CO"/>
              </w:rPr>
            </w:pPr>
          </w:p>
        </w:tc>
        <w:tc>
          <w:tcPr>
            <w:tcW w:w="4111" w:type="dxa"/>
            <w:gridSpan w:val="3"/>
            <w:tcBorders>
              <w:top w:val="single" w:sz="8" w:space="0" w:color="auto"/>
              <w:left w:val="nil"/>
              <w:bottom w:val="single" w:sz="8" w:space="0" w:color="auto"/>
              <w:right w:val="single" w:sz="8" w:space="0" w:color="000000"/>
            </w:tcBorders>
            <w:shd w:val="clear" w:color="auto" w:fill="auto"/>
            <w:vAlign w:val="center"/>
            <w:hideMark/>
          </w:tcPr>
          <w:p w:rsidR="00C419B8" w:rsidRPr="001C59A0" w:rsidRDefault="00C419B8" w:rsidP="00DE4B10">
            <w:pPr>
              <w:jc w:val="center"/>
              <w:rPr>
                <w:rFonts w:ascii="Arial" w:hAnsi="Arial" w:cs="Arial"/>
                <w:b/>
                <w:bCs/>
                <w:color w:val="000000"/>
                <w:sz w:val="22"/>
                <w:szCs w:val="22"/>
              </w:rPr>
            </w:pPr>
            <w:r w:rsidRPr="001C59A0">
              <w:rPr>
                <w:rFonts w:ascii="Arial" w:hAnsi="Arial" w:cs="Arial"/>
                <w:b/>
                <w:bCs/>
                <w:color w:val="000000"/>
                <w:sz w:val="22"/>
                <w:szCs w:val="22"/>
              </w:rPr>
              <w:t>Impacto</w:t>
            </w:r>
          </w:p>
        </w:tc>
      </w:tr>
      <w:tr w:rsidR="00C419B8" w:rsidRPr="001C59A0" w:rsidTr="00DE4B10">
        <w:trPr>
          <w:trHeight w:val="600"/>
          <w:jc w:val="center"/>
        </w:trPr>
        <w:tc>
          <w:tcPr>
            <w:tcW w:w="1843" w:type="dxa"/>
            <w:gridSpan w:val="2"/>
            <w:vMerge/>
            <w:tcBorders>
              <w:top w:val="nil"/>
              <w:left w:val="nil"/>
              <w:bottom w:val="single" w:sz="8" w:space="0" w:color="000000"/>
              <w:right w:val="single" w:sz="8" w:space="0" w:color="000000"/>
            </w:tcBorders>
            <w:vAlign w:val="center"/>
            <w:hideMark/>
          </w:tcPr>
          <w:p w:rsidR="00C419B8" w:rsidRPr="001C59A0" w:rsidRDefault="00C419B8" w:rsidP="00DE4B10">
            <w:pPr>
              <w:rPr>
                <w:rFonts w:ascii="Arial" w:hAnsi="Arial" w:cs="Arial"/>
                <w:sz w:val="20"/>
                <w:szCs w:val="20"/>
              </w:rPr>
            </w:pPr>
          </w:p>
        </w:tc>
        <w:tc>
          <w:tcPr>
            <w:tcW w:w="1418"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jc w:val="center"/>
              <w:rPr>
                <w:rFonts w:ascii="Arial" w:hAnsi="Arial" w:cs="Arial"/>
                <w:b/>
                <w:bCs/>
                <w:color w:val="000000"/>
                <w:sz w:val="22"/>
                <w:szCs w:val="22"/>
              </w:rPr>
            </w:pPr>
            <w:r w:rsidRPr="001C59A0">
              <w:rPr>
                <w:rFonts w:ascii="Arial" w:hAnsi="Arial" w:cs="Arial"/>
                <w:b/>
                <w:bCs/>
                <w:color w:val="000000"/>
                <w:sz w:val="22"/>
                <w:szCs w:val="22"/>
              </w:rPr>
              <w:t>Bajo</w:t>
            </w:r>
          </w:p>
        </w:tc>
        <w:tc>
          <w:tcPr>
            <w:tcW w:w="1417"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jc w:val="center"/>
              <w:rPr>
                <w:rFonts w:ascii="Arial" w:hAnsi="Arial" w:cs="Arial"/>
                <w:b/>
                <w:bCs/>
                <w:color w:val="000000"/>
                <w:sz w:val="22"/>
                <w:szCs w:val="22"/>
              </w:rPr>
            </w:pPr>
            <w:r w:rsidRPr="001C59A0">
              <w:rPr>
                <w:rFonts w:ascii="Arial" w:hAnsi="Arial" w:cs="Arial"/>
                <w:b/>
                <w:bCs/>
                <w:color w:val="000000"/>
                <w:sz w:val="22"/>
                <w:szCs w:val="22"/>
              </w:rPr>
              <w:t>Medio</w:t>
            </w:r>
          </w:p>
        </w:tc>
        <w:tc>
          <w:tcPr>
            <w:tcW w:w="1276"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jc w:val="center"/>
              <w:rPr>
                <w:rFonts w:ascii="Arial" w:hAnsi="Arial" w:cs="Arial"/>
                <w:b/>
                <w:bCs/>
                <w:color w:val="000000"/>
                <w:sz w:val="22"/>
                <w:szCs w:val="22"/>
              </w:rPr>
            </w:pPr>
            <w:r w:rsidRPr="001C59A0">
              <w:rPr>
                <w:rFonts w:ascii="Arial" w:hAnsi="Arial" w:cs="Arial"/>
                <w:b/>
                <w:bCs/>
                <w:color w:val="000000"/>
                <w:sz w:val="22"/>
                <w:szCs w:val="22"/>
              </w:rPr>
              <w:t>Alto</w:t>
            </w:r>
          </w:p>
        </w:tc>
      </w:tr>
      <w:tr w:rsidR="00C419B8" w:rsidRPr="001C59A0" w:rsidTr="00DE4B10">
        <w:trPr>
          <w:cantSplit/>
          <w:trHeight w:val="600"/>
          <w:jc w:val="center"/>
        </w:trPr>
        <w:tc>
          <w:tcPr>
            <w:tcW w:w="4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C419B8" w:rsidRPr="001C59A0" w:rsidRDefault="00C419B8" w:rsidP="00DE4B10">
            <w:pPr>
              <w:jc w:val="center"/>
              <w:rPr>
                <w:rFonts w:ascii="Arial" w:hAnsi="Arial" w:cs="Arial"/>
                <w:b/>
                <w:bCs/>
                <w:color w:val="000000"/>
                <w:sz w:val="22"/>
                <w:szCs w:val="22"/>
              </w:rPr>
            </w:pPr>
            <w:r w:rsidRPr="001C59A0">
              <w:rPr>
                <w:rFonts w:ascii="Arial" w:hAnsi="Arial" w:cs="Arial"/>
                <w:b/>
                <w:bCs/>
                <w:color w:val="000000"/>
                <w:sz w:val="22"/>
                <w:szCs w:val="22"/>
              </w:rPr>
              <w:t>Probabilidad</w:t>
            </w:r>
          </w:p>
        </w:tc>
        <w:tc>
          <w:tcPr>
            <w:tcW w:w="1417"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rPr>
                <w:rFonts w:ascii="Arial" w:hAnsi="Arial" w:cs="Arial"/>
                <w:b/>
                <w:bCs/>
                <w:color w:val="000000"/>
                <w:sz w:val="22"/>
                <w:szCs w:val="22"/>
              </w:rPr>
            </w:pPr>
            <w:r w:rsidRPr="001C59A0">
              <w:rPr>
                <w:rFonts w:ascii="Arial" w:hAnsi="Arial" w:cs="Arial"/>
                <w:b/>
                <w:bCs/>
                <w:color w:val="000000"/>
                <w:sz w:val="22"/>
                <w:szCs w:val="22"/>
              </w:rPr>
              <w:t>Baja</w:t>
            </w:r>
          </w:p>
        </w:tc>
        <w:tc>
          <w:tcPr>
            <w:tcW w:w="1418" w:type="dxa"/>
            <w:tcBorders>
              <w:top w:val="nil"/>
              <w:left w:val="nil"/>
              <w:bottom w:val="single" w:sz="8" w:space="0" w:color="auto"/>
              <w:right w:val="single" w:sz="8" w:space="0" w:color="auto"/>
            </w:tcBorders>
            <w:shd w:val="clear" w:color="000000" w:fill="92D05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Bajo</w:t>
            </w:r>
          </w:p>
        </w:tc>
        <w:tc>
          <w:tcPr>
            <w:tcW w:w="1417" w:type="dxa"/>
            <w:tcBorders>
              <w:top w:val="nil"/>
              <w:left w:val="nil"/>
              <w:bottom w:val="single" w:sz="8" w:space="0" w:color="auto"/>
              <w:right w:val="single" w:sz="8" w:space="0" w:color="auto"/>
            </w:tcBorders>
            <w:shd w:val="clear" w:color="000000" w:fill="92D05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Bajo</w:t>
            </w:r>
          </w:p>
        </w:tc>
        <w:tc>
          <w:tcPr>
            <w:tcW w:w="1276" w:type="dxa"/>
            <w:tcBorders>
              <w:top w:val="nil"/>
              <w:left w:val="nil"/>
              <w:bottom w:val="single" w:sz="8" w:space="0" w:color="auto"/>
              <w:right w:val="single" w:sz="8" w:space="0" w:color="auto"/>
            </w:tcBorders>
            <w:shd w:val="clear" w:color="000000" w:fill="FFFF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Medio</w:t>
            </w:r>
          </w:p>
        </w:tc>
      </w:tr>
      <w:tr w:rsidR="00C419B8" w:rsidRPr="001C59A0" w:rsidTr="00DE4B10">
        <w:trPr>
          <w:trHeight w:val="600"/>
          <w:jc w:val="center"/>
        </w:trPr>
        <w:tc>
          <w:tcPr>
            <w:tcW w:w="426" w:type="dxa"/>
            <w:vMerge/>
            <w:tcBorders>
              <w:top w:val="nil"/>
              <w:left w:val="single" w:sz="8" w:space="0" w:color="auto"/>
              <w:bottom w:val="single" w:sz="8" w:space="0" w:color="000000"/>
              <w:right w:val="single" w:sz="8" w:space="0" w:color="auto"/>
            </w:tcBorders>
            <w:vAlign w:val="center"/>
            <w:hideMark/>
          </w:tcPr>
          <w:p w:rsidR="00C419B8" w:rsidRPr="001C59A0" w:rsidRDefault="00C419B8" w:rsidP="00DE4B10">
            <w:pPr>
              <w:rPr>
                <w:rFonts w:ascii="Arial" w:hAnsi="Arial" w:cs="Arial"/>
                <w:b/>
                <w:bCs/>
                <w:color w:val="000000"/>
                <w:sz w:val="22"/>
                <w:szCs w:val="22"/>
              </w:rPr>
            </w:pPr>
          </w:p>
        </w:tc>
        <w:tc>
          <w:tcPr>
            <w:tcW w:w="1417"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rPr>
                <w:rFonts w:ascii="Arial" w:hAnsi="Arial" w:cs="Arial"/>
                <w:b/>
                <w:bCs/>
                <w:color w:val="000000"/>
                <w:sz w:val="22"/>
                <w:szCs w:val="22"/>
              </w:rPr>
            </w:pPr>
            <w:r w:rsidRPr="001C59A0">
              <w:rPr>
                <w:rFonts w:ascii="Arial" w:hAnsi="Arial" w:cs="Arial"/>
                <w:b/>
                <w:bCs/>
                <w:color w:val="000000"/>
                <w:sz w:val="22"/>
                <w:szCs w:val="22"/>
              </w:rPr>
              <w:t>Media</w:t>
            </w:r>
          </w:p>
        </w:tc>
        <w:tc>
          <w:tcPr>
            <w:tcW w:w="1418" w:type="dxa"/>
            <w:tcBorders>
              <w:top w:val="nil"/>
              <w:left w:val="nil"/>
              <w:bottom w:val="single" w:sz="8" w:space="0" w:color="auto"/>
              <w:right w:val="single" w:sz="8" w:space="0" w:color="auto"/>
            </w:tcBorders>
            <w:shd w:val="clear" w:color="000000" w:fill="92D05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Bajo</w:t>
            </w:r>
          </w:p>
        </w:tc>
        <w:tc>
          <w:tcPr>
            <w:tcW w:w="1417" w:type="dxa"/>
            <w:tcBorders>
              <w:top w:val="nil"/>
              <w:left w:val="nil"/>
              <w:bottom w:val="single" w:sz="8" w:space="0" w:color="auto"/>
              <w:right w:val="single" w:sz="8" w:space="0" w:color="auto"/>
            </w:tcBorders>
            <w:shd w:val="clear" w:color="000000" w:fill="FFFF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Medio</w:t>
            </w:r>
          </w:p>
        </w:tc>
        <w:tc>
          <w:tcPr>
            <w:tcW w:w="1276" w:type="dxa"/>
            <w:tcBorders>
              <w:top w:val="nil"/>
              <w:left w:val="nil"/>
              <w:bottom w:val="single" w:sz="8" w:space="0" w:color="auto"/>
              <w:right w:val="single" w:sz="8" w:space="0" w:color="auto"/>
            </w:tcBorders>
            <w:shd w:val="clear" w:color="000000" w:fill="FF00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Alto</w:t>
            </w:r>
          </w:p>
        </w:tc>
      </w:tr>
      <w:tr w:rsidR="00C419B8" w:rsidRPr="001C59A0" w:rsidTr="00DE4B10">
        <w:trPr>
          <w:trHeight w:val="600"/>
          <w:jc w:val="center"/>
        </w:trPr>
        <w:tc>
          <w:tcPr>
            <w:tcW w:w="426" w:type="dxa"/>
            <w:vMerge/>
            <w:tcBorders>
              <w:top w:val="nil"/>
              <w:left w:val="single" w:sz="8" w:space="0" w:color="auto"/>
              <w:bottom w:val="single" w:sz="8" w:space="0" w:color="000000"/>
              <w:right w:val="single" w:sz="8" w:space="0" w:color="auto"/>
            </w:tcBorders>
            <w:vAlign w:val="center"/>
            <w:hideMark/>
          </w:tcPr>
          <w:p w:rsidR="00C419B8" w:rsidRPr="001C59A0" w:rsidRDefault="00C419B8" w:rsidP="00DE4B10">
            <w:pPr>
              <w:rPr>
                <w:rFonts w:ascii="Arial" w:hAnsi="Arial" w:cs="Arial"/>
                <w:b/>
                <w:bCs/>
                <w:color w:val="000000"/>
                <w:sz w:val="22"/>
                <w:szCs w:val="22"/>
              </w:rPr>
            </w:pPr>
          </w:p>
        </w:tc>
        <w:tc>
          <w:tcPr>
            <w:tcW w:w="1417" w:type="dxa"/>
            <w:tcBorders>
              <w:top w:val="nil"/>
              <w:left w:val="nil"/>
              <w:bottom w:val="single" w:sz="8" w:space="0" w:color="auto"/>
              <w:right w:val="single" w:sz="8" w:space="0" w:color="auto"/>
            </w:tcBorders>
            <w:shd w:val="clear" w:color="auto" w:fill="auto"/>
            <w:vAlign w:val="center"/>
            <w:hideMark/>
          </w:tcPr>
          <w:p w:rsidR="00C419B8" w:rsidRPr="001C59A0" w:rsidRDefault="00C419B8" w:rsidP="00DE4B10">
            <w:pPr>
              <w:rPr>
                <w:rFonts w:ascii="Arial" w:hAnsi="Arial" w:cs="Arial"/>
                <w:b/>
                <w:bCs/>
                <w:color w:val="000000"/>
                <w:sz w:val="22"/>
                <w:szCs w:val="22"/>
              </w:rPr>
            </w:pPr>
            <w:r w:rsidRPr="001C59A0">
              <w:rPr>
                <w:rFonts w:ascii="Arial" w:hAnsi="Arial" w:cs="Arial"/>
                <w:b/>
                <w:bCs/>
                <w:color w:val="000000"/>
                <w:sz w:val="22"/>
                <w:szCs w:val="22"/>
              </w:rPr>
              <w:t>Alta</w:t>
            </w:r>
          </w:p>
        </w:tc>
        <w:tc>
          <w:tcPr>
            <w:tcW w:w="1418" w:type="dxa"/>
            <w:tcBorders>
              <w:top w:val="nil"/>
              <w:left w:val="nil"/>
              <w:bottom w:val="single" w:sz="8" w:space="0" w:color="auto"/>
              <w:right w:val="single" w:sz="8" w:space="0" w:color="auto"/>
            </w:tcBorders>
            <w:shd w:val="clear" w:color="000000" w:fill="FFFF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Medio</w:t>
            </w:r>
          </w:p>
        </w:tc>
        <w:tc>
          <w:tcPr>
            <w:tcW w:w="1417" w:type="dxa"/>
            <w:tcBorders>
              <w:top w:val="nil"/>
              <w:left w:val="nil"/>
              <w:bottom w:val="single" w:sz="8" w:space="0" w:color="auto"/>
              <w:right w:val="single" w:sz="8" w:space="0" w:color="auto"/>
            </w:tcBorders>
            <w:shd w:val="clear" w:color="000000" w:fill="FF00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Alto</w:t>
            </w:r>
          </w:p>
        </w:tc>
        <w:tc>
          <w:tcPr>
            <w:tcW w:w="1276" w:type="dxa"/>
            <w:tcBorders>
              <w:top w:val="nil"/>
              <w:left w:val="nil"/>
              <w:bottom w:val="single" w:sz="8" w:space="0" w:color="auto"/>
              <w:right w:val="single" w:sz="8" w:space="0" w:color="auto"/>
            </w:tcBorders>
            <w:shd w:val="clear" w:color="000000" w:fill="FF0000"/>
            <w:vAlign w:val="center"/>
            <w:hideMark/>
          </w:tcPr>
          <w:p w:rsidR="00C419B8" w:rsidRPr="001C59A0" w:rsidRDefault="00C419B8" w:rsidP="00DE4B10">
            <w:pPr>
              <w:jc w:val="center"/>
              <w:rPr>
                <w:rFonts w:ascii="Arial" w:hAnsi="Arial" w:cs="Arial"/>
                <w:color w:val="000000"/>
                <w:sz w:val="22"/>
                <w:szCs w:val="22"/>
              </w:rPr>
            </w:pPr>
            <w:r w:rsidRPr="001C59A0">
              <w:rPr>
                <w:rFonts w:ascii="Arial" w:hAnsi="Arial" w:cs="Arial"/>
                <w:color w:val="000000"/>
                <w:sz w:val="22"/>
                <w:szCs w:val="22"/>
              </w:rPr>
              <w:t>Alto</w:t>
            </w:r>
          </w:p>
        </w:tc>
      </w:tr>
    </w:tbl>
    <w:p w:rsidR="00C419B8" w:rsidRPr="001C59A0" w:rsidRDefault="00C419B8" w:rsidP="00C419B8">
      <w:pPr>
        <w:spacing w:after="100" w:afterAutospacing="1"/>
        <w:jc w:val="center"/>
        <w:rPr>
          <w:rFonts w:ascii="Arial" w:eastAsia="Calibri" w:hAnsi="Arial" w:cs="Arial"/>
          <w:sz w:val="22"/>
        </w:rPr>
      </w:pP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sz w:val="22"/>
        </w:rPr>
        <w:t>Fuente: Elaboración Propia</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El uso de la matriz de riesgos permite tener un diagnóstico objetivo de los riesgos que enfrenta el programa para su implementación eficaz, además, permite generar estrategias para gestionar los riesgos identificados por parte de los diversos actores que intervienen en la implementación del programa.</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 xml:space="preserve">La evaluación de riesgos del Programa realizada por el equipo del BID en conjunto con el Gobierno de Chile identifica posibles demoras en los procesos de implementación de éste, los que afectarían el pleno cumplimiento de los compromisos. Para cuantificar el potencial impacto de ello, en el siguiente cuadro se identifican 10 riesgos de los cuales 4 tienen la condición de riesgo alto. Estos riesgos se relacionan con posibles causas que dificulten el </w:t>
      </w:r>
      <w:r w:rsidRPr="001C59A0">
        <w:rPr>
          <w:rFonts w:ascii="Arial" w:hAnsi="Arial" w:cs="Arial"/>
          <w:sz w:val="22"/>
          <w:lang w:val="es-CO"/>
        </w:rPr>
        <w:t>desarrollo hídrico de gran escala</w:t>
      </w:r>
      <w:r w:rsidRPr="001C59A0">
        <w:rPr>
          <w:rFonts w:ascii="Arial" w:eastAsia="Calibri" w:hAnsi="Arial" w:cs="Arial"/>
          <w:sz w:val="22"/>
          <w:lang w:val="es-CO"/>
        </w:rPr>
        <w:t xml:space="preserve"> (ya sea por la imposibilidad de realizar el desarrollo de nuevas centrales o por escenarios hidrológicos adversos), a una baja competencia entre las empresas generadoras, lo que impediría lograr el objetivo de reducir las tarifas de electricidad y a un bajo crecimiento del PIB, que afecta la demanda de energía. También se identificaron 3 riesgos medios, lo que tienen relación con precios de combustibles fósiles muy bajos, una menor penetración de las ERNC y la inexistencia de transacciones interregionales de energía. Todos estos riesgos dificultan que la generación termoeléctrica sea desplazada por otras tecnologías.</w:t>
      </w:r>
      <w:r w:rsidRPr="001C59A0" w:rsidDel="00E603F0">
        <w:rPr>
          <w:rFonts w:ascii="Arial" w:eastAsia="Calibri" w:hAnsi="Arial" w:cs="Arial"/>
          <w:sz w:val="22"/>
          <w:lang w:val="es-CO"/>
        </w:rPr>
        <w:t xml:space="preserve"> </w:t>
      </w:r>
    </w:p>
    <w:p w:rsidR="00C419B8" w:rsidRPr="001C59A0" w:rsidRDefault="00C419B8" w:rsidP="00C419B8">
      <w:pPr>
        <w:spacing w:after="100" w:afterAutospacing="1"/>
        <w:jc w:val="both"/>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sz w:val="22"/>
        </w:rPr>
        <w:t>Cuadro N°26: Matriz de riesgos</w:t>
      </w:r>
    </w:p>
    <w:tbl>
      <w:tblPr>
        <w:tblStyle w:val="TableGrid"/>
        <w:tblW w:w="0" w:type="auto"/>
        <w:tblLook w:val="04A0" w:firstRow="1" w:lastRow="0" w:firstColumn="1" w:lastColumn="0" w:noHBand="0" w:noVBand="1"/>
      </w:tblPr>
      <w:tblGrid>
        <w:gridCol w:w="1808"/>
        <w:gridCol w:w="1540"/>
        <w:gridCol w:w="1300"/>
        <w:gridCol w:w="1301"/>
        <w:gridCol w:w="2879"/>
      </w:tblGrid>
      <w:tr w:rsidR="00C419B8" w:rsidRPr="001C59A0" w:rsidTr="00DE4B10">
        <w:tc>
          <w:tcPr>
            <w:tcW w:w="1808" w:type="dxa"/>
            <w:shd w:val="clear" w:color="auto" w:fill="D9D9D9" w:themeFill="background1" w:themeFillShade="D9"/>
            <w:vAlign w:val="center"/>
          </w:tcPr>
          <w:p w:rsidR="00C419B8" w:rsidRPr="001C59A0" w:rsidRDefault="00C419B8" w:rsidP="00DE4B10">
            <w:pPr>
              <w:spacing w:after="100" w:afterAutospacing="1"/>
              <w:rPr>
                <w:rFonts w:ascii="Arial" w:eastAsia="Calibri" w:hAnsi="Arial" w:cs="Arial"/>
                <w:sz w:val="20"/>
                <w:szCs w:val="22"/>
              </w:rPr>
            </w:pPr>
            <w:r w:rsidRPr="001C59A0">
              <w:rPr>
                <w:rFonts w:ascii="Arial" w:eastAsia="Calibri" w:hAnsi="Arial" w:cs="Arial"/>
                <w:sz w:val="20"/>
                <w:szCs w:val="22"/>
              </w:rPr>
              <w:t>Riesgo</w:t>
            </w:r>
          </w:p>
        </w:tc>
        <w:tc>
          <w:tcPr>
            <w:tcW w:w="1540" w:type="dxa"/>
            <w:shd w:val="clear" w:color="auto" w:fill="D9D9D9" w:themeFill="background1" w:themeFillShade="D9"/>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Probabilidad de ocurrencia</w:t>
            </w:r>
          </w:p>
        </w:tc>
        <w:tc>
          <w:tcPr>
            <w:tcW w:w="1300" w:type="dxa"/>
            <w:shd w:val="clear" w:color="auto" w:fill="D9D9D9" w:themeFill="background1" w:themeFillShade="D9"/>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Impacto</w:t>
            </w:r>
          </w:p>
        </w:tc>
        <w:tc>
          <w:tcPr>
            <w:tcW w:w="1301" w:type="dxa"/>
            <w:shd w:val="clear" w:color="auto" w:fill="D9D9D9" w:themeFill="background1" w:themeFillShade="D9"/>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Nivel de riesgo</w:t>
            </w:r>
          </w:p>
        </w:tc>
        <w:tc>
          <w:tcPr>
            <w:tcW w:w="2879" w:type="dxa"/>
            <w:shd w:val="clear" w:color="auto" w:fill="D9D9D9" w:themeFill="background1" w:themeFillShade="D9"/>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Comentario</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a) Precios de combustibles fósiles muy bajos</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Aumentaría el interés por desarrollar proyectos de generación termoeléctrica en desmedro del desarrollo de ER</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rPr>
            </w:pPr>
            <w:r w:rsidRPr="001C59A0">
              <w:rPr>
                <w:rFonts w:ascii="Arial" w:eastAsia="Calibri" w:hAnsi="Arial" w:cs="Arial"/>
                <w:sz w:val="20"/>
                <w:szCs w:val="22"/>
              </w:rPr>
              <w:t>b) Escenario hidrológica adverso</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Poca disponibilidad de agua para generar con tecnología hidro convencional</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 xml:space="preserve">c) </w:t>
            </w:r>
            <w:r w:rsidRPr="001C59A0">
              <w:rPr>
                <w:rFonts w:ascii="Arial" w:eastAsia="Calibri" w:hAnsi="Arial" w:cs="Arial"/>
                <w:sz w:val="20"/>
                <w:szCs w:val="20"/>
                <w:lang w:val="es-CO"/>
              </w:rPr>
              <w:t xml:space="preserve">Bajo </w:t>
            </w:r>
            <w:r w:rsidRPr="001C59A0">
              <w:rPr>
                <w:rFonts w:ascii="Arial" w:hAnsi="Arial" w:cs="Arial"/>
                <w:sz w:val="20"/>
                <w:szCs w:val="20"/>
                <w:lang w:val="es-CO"/>
              </w:rPr>
              <w:t>desarrollo hídrico de gran escala</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0"/>
                <w:lang w:val="es-CO"/>
              </w:rPr>
              <w:t xml:space="preserve">Rechazo social al </w:t>
            </w:r>
            <w:r w:rsidRPr="001C59A0">
              <w:rPr>
                <w:rFonts w:ascii="Arial" w:hAnsi="Arial" w:cs="Arial"/>
                <w:sz w:val="20"/>
                <w:szCs w:val="20"/>
                <w:lang w:val="es-CO"/>
              </w:rPr>
              <w:t>desarrollo hídrico de gran escala</w:t>
            </w:r>
            <w:r w:rsidRPr="001C59A0">
              <w:rPr>
                <w:rFonts w:ascii="Arial" w:eastAsia="Calibri" w:hAnsi="Arial" w:cs="Arial"/>
                <w:sz w:val="20"/>
                <w:szCs w:val="22"/>
                <w:lang w:val="es-CO"/>
              </w:rPr>
              <w:t xml:space="preserve"> </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d) Baja penetración de ERNC</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No se logra generar incentivos suficientes para el desarrollo del potencial de generación ERNC</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e) Bajo nivel de competencia entre empresas de generación</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Precios podrían aumentar debido a mayores costos de la matriz</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f) Inexistencia de transacciones interregionales de energía</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Escenario supone que el país es comprador de energía a sus países vecinos</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g) Menores reducciones de consumo por eficiencia energética</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Los MEPS logran establecer menores ganancias de eficiencia a las estimadas y/o mecanismos de información son menos efectivos de lo esperado</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rPr>
            </w:pPr>
            <w:r w:rsidRPr="001C59A0">
              <w:rPr>
                <w:rFonts w:ascii="Arial" w:eastAsia="Calibri" w:hAnsi="Arial" w:cs="Arial"/>
                <w:sz w:val="20"/>
                <w:szCs w:val="22"/>
              </w:rPr>
              <w:t>h) Menor tasa de recambio de artefactos existentes</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Condiciones económicas desfavorables podrían ralentizar la renovación natural de los artefactos, retrasando su reemplazo por otros más eficientes</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i) Crecimiento de la población bajo las estimaciones</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BAJO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Reduce consumo energético, pero también reduce los beneficios ambientales por menos personas afectadas</w:t>
            </w:r>
          </w:p>
        </w:tc>
      </w:tr>
      <w:tr w:rsidR="00C419B8" w:rsidRPr="00EF4F23" w:rsidTr="00DE4B10">
        <w:tc>
          <w:tcPr>
            <w:tcW w:w="1808" w:type="dxa"/>
            <w:vAlign w:val="center"/>
          </w:tcPr>
          <w:p w:rsidR="00C419B8" w:rsidRPr="001C59A0" w:rsidRDefault="00C419B8" w:rsidP="00DE4B10">
            <w:pPr>
              <w:spacing w:after="100" w:afterAutospacing="1"/>
              <w:jc w:val="both"/>
              <w:rPr>
                <w:rFonts w:ascii="Arial" w:eastAsia="Calibri" w:hAnsi="Arial" w:cs="Arial"/>
                <w:sz w:val="20"/>
                <w:szCs w:val="22"/>
              </w:rPr>
            </w:pPr>
            <w:r w:rsidRPr="001C59A0">
              <w:rPr>
                <w:rFonts w:ascii="Arial" w:eastAsia="Calibri" w:hAnsi="Arial" w:cs="Arial"/>
                <w:sz w:val="20"/>
                <w:szCs w:val="22"/>
              </w:rPr>
              <w:t>j) Crecimiento PIB bajo</w:t>
            </w:r>
          </w:p>
        </w:tc>
        <w:tc>
          <w:tcPr>
            <w:tcW w:w="154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Alta</w:t>
            </w:r>
          </w:p>
        </w:tc>
        <w:tc>
          <w:tcPr>
            <w:tcW w:w="1300"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Medio</w:t>
            </w:r>
          </w:p>
        </w:tc>
        <w:tc>
          <w:tcPr>
            <w:tcW w:w="1301" w:type="dxa"/>
            <w:vAlign w:val="center"/>
          </w:tcPr>
          <w:p w:rsidR="00C419B8" w:rsidRPr="001C59A0" w:rsidRDefault="00C419B8" w:rsidP="00DE4B10">
            <w:pPr>
              <w:spacing w:after="100" w:afterAutospacing="1"/>
              <w:jc w:val="center"/>
              <w:rPr>
                <w:rFonts w:ascii="Arial" w:eastAsia="Calibri" w:hAnsi="Arial" w:cs="Arial"/>
                <w:sz w:val="20"/>
                <w:szCs w:val="22"/>
              </w:rPr>
            </w:pPr>
            <w:r w:rsidRPr="001C59A0">
              <w:rPr>
                <w:rFonts w:ascii="Arial" w:eastAsia="Calibri" w:hAnsi="Arial" w:cs="Arial"/>
                <w:sz w:val="20"/>
                <w:szCs w:val="22"/>
              </w:rPr>
              <w:t>ALTO</w:t>
            </w:r>
          </w:p>
        </w:tc>
        <w:tc>
          <w:tcPr>
            <w:tcW w:w="2879" w:type="dxa"/>
            <w:vAlign w:val="center"/>
          </w:tcPr>
          <w:p w:rsidR="00C419B8" w:rsidRPr="001C59A0" w:rsidRDefault="00C419B8" w:rsidP="00DE4B10">
            <w:pPr>
              <w:spacing w:after="100" w:afterAutospacing="1"/>
              <w:jc w:val="both"/>
              <w:rPr>
                <w:rFonts w:ascii="Arial" w:eastAsia="Calibri" w:hAnsi="Arial" w:cs="Arial"/>
                <w:sz w:val="20"/>
                <w:szCs w:val="22"/>
                <w:lang w:val="es-CO"/>
              </w:rPr>
            </w:pPr>
            <w:r w:rsidRPr="001C59A0">
              <w:rPr>
                <w:rFonts w:ascii="Arial" w:eastAsia="Calibri" w:hAnsi="Arial" w:cs="Arial"/>
                <w:sz w:val="20"/>
                <w:szCs w:val="22"/>
                <w:lang w:val="es-CO"/>
              </w:rPr>
              <w:t>Reduce consumo energético, morigera reducción de emisiones</w:t>
            </w:r>
          </w:p>
        </w:tc>
      </w:tr>
    </w:tbl>
    <w:p w:rsidR="00C419B8" w:rsidRPr="001C59A0" w:rsidRDefault="00C419B8" w:rsidP="00C419B8">
      <w:pPr>
        <w:spacing w:after="100" w:afterAutospacing="1"/>
        <w:jc w:val="center"/>
        <w:rPr>
          <w:rFonts w:ascii="Arial" w:eastAsia="Calibri" w:hAnsi="Arial" w:cs="Arial"/>
          <w:sz w:val="22"/>
        </w:rPr>
      </w:pPr>
      <w:r w:rsidRPr="001C59A0">
        <w:rPr>
          <w:rFonts w:ascii="Arial" w:eastAsia="Calibri" w:hAnsi="Arial" w:cs="Arial"/>
          <w:sz w:val="22"/>
        </w:rPr>
        <w:t>Fuente: Elaboración Propia</w:t>
      </w:r>
    </w:p>
    <w:p w:rsidR="00C419B8" w:rsidRPr="001C59A0" w:rsidRDefault="00C419B8" w:rsidP="00C419B8">
      <w:pPr>
        <w:spacing w:after="100" w:afterAutospacing="1"/>
        <w:jc w:val="center"/>
        <w:rPr>
          <w:rFonts w:ascii="Arial" w:eastAsia="Calibri" w:hAnsi="Arial" w:cs="Arial"/>
          <w:sz w:val="22"/>
        </w:rPr>
      </w:pPr>
    </w:p>
    <w:p w:rsidR="00C419B8" w:rsidRPr="001C59A0" w:rsidRDefault="00C419B8" w:rsidP="00C419B8">
      <w:pPr>
        <w:pStyle w:val="ListParagraph"/>
        <w:numPr>
          <w:ilvl w:val="1"/>
          <w:numId w:val="8"/>
        </w:numPr>
        <w:spacing w:after="100" w:afterAutospacing="1"/>
        <w:jc w:val="both"/>
        <w:outlineLvl w:val="1"/>
        <w:rPr>
          <w:rFonts w:ascii="Arial" w:eastAsia="Calibri" w:hAnsi="Arial" w:cs="Arial"/>
          <w:b/>
        </w:rPr>
      </w:pPr>
      <w:bookmarkStart w:id="29" w:name="_Toc459677787"/>
      <w:r w:rsidRPr="001C59A0">
        <w:rPr>
          <w:rFonts w:ascii="Arial" w:eastAsia="Calibri" w:hAnsi="Arial" w:cs="Arial"/>
          <w:b/>
        </w:rPr>
        <w:t>Análisis de Escenario Alternativo</w:t>
      </w:r>
      <w:bookmarkEnd w:id="29"/>
      <w:r w:rsidRPr="001C59A0">
        <w:rPr>
          <w:rFonts w:ascii="Arial" w:eastAsia="Calibri" w:hAnsi="Arial" w:cs="Arial"/>
          <w:b/>
        </w:rPr>
        <w:t xml:space="preserve"> </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Para analizar cuantitativamente los riesgos es común sensibilizar los resultados obtenidos frente a variaciones de las variables que más afectan éstos. El análisis de sensibilidad tradicional se realiza de manera unidimensional, variable por variable lo que impide observar el impacto conjunto de más de una al mismo tiempo. Además, es difícil definir los límites esperados de variación para cada variable. Para superar esta deficiencia, en particular al evaluar Programas como el que se analiza, es común hacer análisis de riesgos cuantitativo en base a evaluar escenarios alternativos que consideran un conjunto de cambios que pueden afectar las variables de manera simultánea.  Para ello se aplica un cambio coherente en las variables riesgosas, que incorpora el hecho que no todas las combinaciones de variables son igualmente probables. La definición de los escenarios posibles se realiza por expertos de cada sector, los que incorporan partir de su experiencia los límites de variación esperados de las variables más importantes.</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Considerando las características del Programa y sus riesgos principales, se ha optado por analizar los riesgos en base a un análisis de escenarios. Para ello, se analiza un escenario en el que se asume que el Programa logra resultados menores respecto de los previstos con su aplicación en el escenario de esfuerzo medio.  En efecto, una parte importante de los riesgos identificados en la matriz de la sección anterior tienen relación con que algunas medidas del escenario de esfuerzo medio de MAPS no se puedan implementar satisfactoriamente. El escenario de nivel de esfuerzo bajo de MAPS generó proyecciones bajo esas condiciones. Este escenario se caracteriza por incluir solamente las medidas que fueron catalogadas como aquellas de bajo costo de implementación y alta factibilidad de concreción. Estas estimadas en base a opinión experta construida sector por sector.</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Tal como se puede ver en el cuadro N°4, el escenario MAPS de esfuerzo bajo propuesto, no considera el</w:t>
      </w:r>
      <w:r w:rsidRPr="001C59A0">
        <w:rPr>
          <w:rFonts w:ascii="Arial" w:hAnsi="Arial" w:cs="Arial"/>
          <w:sz w:val="22"/>
          <w:lang w:val="es-CO"/>
        </w:rPr>
        <w:t xml:space="preserve"> desarrollo hídrico de gran escala</w:t>
      </w:r>
      <w:r w:rsidRPr="001C59A0">
        <w:rPr>
          <w:rFonts w:ascii="Arial" w:eastAsia="Calibri" w:hAnsi="Arial" w:cs="Arial"/>
          <w:sz w:val="22"/>
          <w:lang w:val="es-CO"/>
        </w:rPr>
        <w:t xml:space="preserve"> ni la interconexión regional. Además, en ese escenario, el desarrollo de ERNC es bajo debido a que no hay suficientes incentivos para ello. Adicionalmente, se considera para esta evaluación que la competencia aumenta a menores niveles que en el escenario de esfuerzo bajo, por lo que la reducción de tarifa eléctrica al consumidor final es menor.</w:t>
      </w:r>
    </w:p>
    <w:p w:rsidR="00C419B8" w:rsidRPr="001C59A0" w:rsidRDefault="00C419B8" w:rsidP="00C419B8">
      <w:pPr>
        <w:spacing w:after="100" w:afterAutospacing="1"/>
        <w:jc w:val="both"/>
        <w:rPr>
          <w:rFonts w:ascii="Arial" w:eastAsia="Calibri" w:hAnsi="Arial" w:cs="Arial"/>
          <w:sz w:val="22"/>
          <w:lang w:val="es-CO"/>
        </w:rPr>
      </w:pPr>
      <w:r w:rsidRPr="001C59A0">
        <w:rPr>
          <w:rFonts w:ascii="Arial" w:eastAsia="Calibri" w:hAnsi="Arial" w:cs="Arial"/>
          <w:sz w:val="22"/>
          <w:lang w:val="es-CO"/>
        </w:rPr>
        <w:t xml:space="preserve">Considerando lo anterior, estimar los beneficios considerando el escenario de esfuerzo bajo, permite analizar lo que sucedería con los beneficios asociados al Programa para una situación en que éste tenga un impacto mínimo. En el cuadro siguiente se presentan los resultados de aplicar para este escenario bajo la misma metodología de análisis detallada para el escenario de esfuerzo medio. </w:t>
      </w:r>
    </w:p>
    <w:p w:rsidR="00C419B8" w:rsidRPr="001C59A0" w:rsidRDefault="00C419B8" w:rsidP="00C419B8">
      <w:pPr>
        <w:spacing w:after="160" w:line="259" w:lineRule="auto"/>
        <w:jc w:val="both"/>
        <w:rPr>
          <w:rFonts w:ascii="Arial" w:eastAsia="Calibri" w:hAnsi="Arial" w:cs="Arial"/>
          <w:sz w:val="22"/>
          <w:szCs w:val="22"/>
          <w:highlight w:val="cyan"/>
          <w:lang w:val="es-CO"/>
        </w:rPr>
      </w:pPr>
      <w:r w:rsidRPr="001C59A0">
        <w:rPr>
          <w:rFonts w:ascii="Arial" w:eastAsia="Calibri" w:hAnsi="Arial" w:cs="Arial"/>
          <w:sz w:val="22"/>
          <w:szCs w:val="22"/>
          <w:lang w:val="es-CO"/>
        </w:rPr>
        <w:t>El escenario de esfuerzo bajo genera beneficios bastante menores al de esfuerzo medio, pero aun así significativos. El total de beneficios ambientales considerando el periodo 2015-2050 es muy importante y tiene un valor presente a tasa de descuento social de 6% de 1.194 millones de dólares</w:t>
      </w:r>
      <w:r w:rsidRPr="001C59A0">
        <w:rPr>
          <w:rStyle w:val="FootnoteReference"/>
          <w:rFonts w:ascii="Arial" w:eastAsia="Calibri" w:hAnsi="Arial" w:cs="Arial"/>
          <w:sz w:val="22"/>
          <w:szCs w:val="22"/>
        </w:rPr>
        <w:footnoteReference w:id="28"/>
      </w:r>
      <w:r w:rsidRPr="001C59A0">
        <w:rPr>
          <w:rFonts w:ascii="Arial" w:eastAsia="Calibri" w:hAnsi="Arial" w:cs="Arial"/>
          <w:sz w:val="22"/>
          <w:szCs w:val="22"/>
          <w:lang w:val="es-CO"/>
        </w:rPr>
        <w:t>.</w:t>
      </w:r>
      <w:r w:rsidRPr="001C59A0">
        <w:rPr>
          <w:rFonts w:ascii="Arial" w:eastAsia="Calibri" w:hAnsi="Arial" w:cs="Arial"/>
          <w:sz w:val="22"/>
          <w:szCs w:val="22"/>
          <w:highlight w:val="cyan"/>
          <w:lang w:val="es-CO"/>
        </w:rPr>
        <w:t xml:space="preserve"> </w:t>
      </w:r>
    </w:p>
    <w:p w:rsidR="00C419B8" w:rsidRPr="001C59A0" w:rsidRDefault="00C419B8" w:rsidP="00C419B8">
      <w:pPr>
        <w:spacing w:after="160" w:line="259" w:lineRule="auto"/>
        <w:jc w:val="both"/>
        <w:rPr>
          <w:rFonts w:ascii="Arial" w:eastAsia="Calibri" w:hAnsi="Arial" w:cs="Arial"/>
          <w:sz w:val="22"/>
          <w:szCs w:val="22"/>
          <w:lang w:val="es-CO"/>
        </w:rPr>
      </w:pPr>
      <w:r w:rsidRPr="001C59A0">
        <w:rPr>
          <w:rFonts w:ascii="Arial" w:eastAsia="Calibri" w:hAnsi="Arial" w:cs="Arial"/>
          <w:sz w:val="22"/>
          <w:szCs w:val="22"/>
          <w:lang w:val="es-CO"/>
        </w:rPr>
        <w:t>Los hogares y empresas siguen observando un ahorro importante en sus gastos energéticos. El valor presente de esos ahorros corresponde a 19.525</w:t>
      </w:r>
      <w:r w:rsidRPr="001C59A0">
        <w:rPr>
          <w:rStyle w:val="FootnoteReference"/>
          <w:rFonts w:ascii="Arial" w:eastAsia="Calibri" w:hAnsi="Arial" w:cs="Arial"/>
          <w:sz w:val="22"/>
          <w:szCs w:val="22"/>
        </w:rPr>
        <w:footnoteReference w:id="29"/>
      </w:r>
      <w:r w:rsidRPr="001C59A0">
        <w:rPr>
          <w:rFonts w:ascii="Arial" w:eastAsia="Calibri" w:hAnsi="Arial" w:cs="Arial"/>
          <w:sz w:val="22"/>
          <w:szCs w:val="22"/>
          <w:lang w:val="es-CO"/>
        </w:rPr>
        <w:t xml:space="preserve"> millones de dólares en el escenario más desfavorable. </w:t>
      </w:r>
    </w:p>
    <w:p w:rsidR="00C419B8" w:rsidRPr="001C59A0" w:rsidRDefault="00C419B8" w:rsidP="00C419B8">
      <w:pPr>
        <w:spacing w:after="100" w:afterAutospacing="1"/>
        <w:jc w:val="both"/>
        <w:rPr>
          <w:rFonts w:ascii="Arial" w:eastAsia="Calibri" w:hAnsi="Arial" w:cs="Arial"/>
          <w:sz w:val="22"/>
          <w:lang w:val="es-CO"/>
        </w:rPr>
      </w:pPr>
    </w:p>
    <w:p w:rsidR="00C419B8" w:rsidRPr="001C59A0" w:rsidRDefault="00C419B8" w:rsidP="00C419B8">
      <w:pPr>
        <w:spacing w:after="100" w:afterAutospacing="1"/>
        <w:jc w:val="center"/>
        <w:rPr>
          <w:rFonts w:ascii="Arial" w:eastAsia="Calibri" w:hAnsi="Arial" w:cs="Arial"/>
          <w:sz w:val="22"/>
          <w:szCs w:val="22"/>
          <w:lang w:val="es-CO"/>
        </w:rPr>
      </w:pPr>
      <w:r w:rsidRPr="001C59A0">
        <w:rPr>
          <w:rFonts w:ascii="Arial" w:eastAsia="Calibri" w:hAnsi="Arial" w:cs="Arial"/>
          <w:sz w:val="22"/>
          <w:szCs w:val="22"/>
          <w:lang w:val="es-CO"/>
        </w:rPr>
        <w:t>Cuadro N°27: Comparación beneficios en escenario de esfuerzo medio y competencia con escenario esfuerzo bajo y menor reducción de precios</w:t>
      </w:r>
    </w:p>
    <w:tbl>
      <w:tblPr>
        <w:tblStyle w:val="TableGrid"/>
        <w:tblW w:w="0" w:type="auto"/>
        <w:jc w:val="center"/>
        <w:tblLook w:val="04A0" w:firstRow="1" w:lastRow="0" w:firstColumn="1" w:lastColumn="0" w:noHBand="0" w:noVBand="1"/>
      </w:tblPr>
      <w:tblGrid>
        <w:gridCol w:w="2830"/>
        <w:gridCol w:w="2696"/>
        <w:gridCol w:w="2696"/>
      </w:tblGrid>
      <w:tr w:rsidR="00C419B8" w:rsidRPr="00EF4F23" w:rsidTr="00DE4B10">
        <w:trPr>
          <w:jc w:val="center"/>
        </w:trPr>
        <w:tc>
          <w:tcPr>
            <w:tcW w:w="2830"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696"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ESCENARIO DE ESFUERZO MEDIO MMUSD</w:t>
            </w:r>
          </w:p>
        </w:tc>
        <w:tc>
          <w:tcPr>
            <w:tcW w:w="2696"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ESCENARIO DE ESFUERZO BAJO MMUSD</w:t>
            </w:r>
          </w:p>
        </w:tc>
      </w:tr>
      <w:tr w:rsidR="00C419B8" w:rsidRPr="001C59A0" w:rsidTr="00DE4B10">
        <w:trPr>
          <w:trHeight w:val="454"/>
          <w:jc w:val="center"/>
        </w:trPr>
        <w:tc>
          <w:tcPr>
            <w:tcW w:w="283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CO2</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2.101</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732</w:t>
            </w:r>
          </w:p>
        </w:tc>
      </w:tr>
      <w:tr w:rsidR="00C419B8" w:rsidRPr="001C59A0" w:rsidTr="00DE4B10">
        <w:trPr>
          <w:trHeight w:val="454"/>
          <w:jc w:val="center"/>
        </w:trPr>
        <w:tc>
          <w:tcPr>
            <w:tcW w:w="283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MP</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238</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89</w:t>
            </w:r>
          </w:p>
        </w:tc>
      </w:tr>
      <w:tr w:rsidR="00C419B8" w:rsidRPr="001C59A0" w:rsidTr="00DE4B10">
        <w:trPr>
          <w:trHeight w:val="454"/>
          <w:jc w:val="center"/>
        </w:trPr>
        <w:tc>
          <w:tcPr>
            <w:tcW w:w="283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Calefacción MP</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373</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373</w:t>
            </w:r>
          </w:p>
        </w:tc>
      </w:tr>
      <w:tr w:rsidR="00C419B8" w:rsidRPr="001C59A0" w:rsidTr="00DE4B10">
        <w:trPr>
          <w:trHeight w:val="454"/>
          <w:jc w:val="center"/>
        </w:trPr>
        <w:tc>
          <w:tcPr>
            <w:tcW w:w="283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beneficios ambientales</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2.712</w:t>
            </w:r>
          </w:p>
        </w:tc>
        <w:tc>
          <w:tcPr>
            <w:tcW w:w="269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1.194</w:t>
            </w:r>
          </w:p>
        </w:tc>
      </w:tr>
    </w:tbl>
    <w:p w:rsidR="00C419B8" w:rsidRPr="001C59A0" w:rsidRDefault="00C419B8" w:rsidP="00C419B8">
      <w:pPr>
        <w:jc w:val="center"/>
        <w:rPr>
          <w:rFonts w:ascii="Arial" w:eastAsia="Calibri" w:hAnsi="Arial" w:cs="Arial"/>
          <w:sz w:val="22"/>
          <w:szCs w:val="22"/>
          <w:highlight w:val="green"/>
        </w:rPr>
      </w:pPr>
    </w:p>
    <w:p w:rsidR="00C419B8" w:rsidRPr="001C59A0" w:rsidRDefault="00C419B8" w:rsidP="00C419B8">
      <w:pPr>
        <w:spacing w:after="160" w:line="259" w:lineRule="auto"/>
        <w:jc w:val="center"/>
        <w:rPr>
          <w:rFonts w:ascii="Arial" w:eastAsia="Calibri" w:hAnsi="Arial" w:cs="Arial"/>
          <w:sz w:val="22"/>
          <w:szCs w:val="22"/>
        </w:rPr>
      </w:pPr>
      <w:r w:rsidRPr="001C59A0">
        <w:rPr>
          <w:rFonts w:ascii="Arial" w:eastAsia="Calibri" w:hAnsi="Arial" w:cs="Arial"/>
          <w:sz w:val="22"/>
          <w:szCs w:val="22"/>
        </w:rPr>
        <w:t>Fuente: Elaboración propia</w:t>
      </w:r>
    </w:p>
    <w:p w:rsidR="00C419B8" w:rsidRPr="001C59A0" w:rsidRDefault="00C419B8" w:rsidP="00C419B8">
      <w:pPr>
        <w:spacing w:after="160" w:line="259" w:lineRule="auto"/>
        <w:jc w:val="both"/>
        <w:rPr>
          <w:rFonts w:ascii="Arial" w:eastAsia="Calibri" w:hAnsi="Arial" w:cs="Arial"/>
          <w:sz w:val="22"/>
          <w:szCs w:val="22"/>
          <w:highlight w:val="cyan"/>
        </w:rPr>
      </w:pPr>
    </w:p>
    <w:p w:rsidR="00C419B8" w:rsidRPr="001C59A0" w:rsidRDefault="00C419B8" w:rsidP="00C419B8">
      <w:pPr>
        <w:spacing w:after="100" w:afterAutospacing="1"/>
        <w:jc w:val="center"/>
        <w:rPr>
          <w:rFonts w:ascii="Arial" w:eastAsia="Calibri" w:hAnsi="Arial" w:cs="Arial"/>
          <w:sz w:val="22"/>
          <w:szCs w:val="22"/>
          <w:lang w:val="es-CO"/>
        </w:rPr>
      </w:pPr>
      <w:r w:rsidRPr="001C59A0">
        <w:rPr>
          <w:rFonts w:ascii="Arial" w:eastAsia="Calibri" w:hAnsi="Arial" w:cs="Arial"/>
          <w:sz w:val="22"/>
          <w:szCs w:val="22"/>
          <w:lang w:val="es-CO"/>
        </w:rPr>
        <w:t>Cuadro N°28: Comparación beneficios en escenario de esfuerzo medio y competencia con escenario esfuerzo bajo y menor reducción de precios</w:t>
      </w:r>
    </w:p>
    <w:tbl>
      <w:tblPr>
        <w:tblStyle w:val="TableGrid"/>
        <w:tblW w:w="0" w:type="auto"/>
        <w:jc w:val="center"/>
        <w:tblLook w:val="04A0" w:firstRow="1" w:lastRow="0" w:firstColumn="1" w:lastColumn="0" w:noHBand="0" w:noVBand="1"/>
      </w:tblPr>
      <w:tblGrid>
        <w:gridCol w:w="2942"/>
        <w:gridCol w:w="2156"/>
        <w:gridCol w:w="2127"/>
      </w:tblGrid>
      <w:tr w:rsidR="00C419B8" w:rsidRPr="00EF4F23" w:rsidTr="00DE4B10">
        <w:trPr>
          <w:jc w:val="center"/>
        </w:trPr>
        <w:tc>
          <w:tcPr>
            <w:tcW w:w="2942"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156"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ESCENARIO DE ESFUERZO MEDIO MMUSD</w:t>
            </w:r>
          </w:p>
        </w:tc>
        <w:tc>
          <w:tcPr>
            <w:tcW w:w="2127"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ESCENARIO DE ESFUERZO BAJO MMUSD</w:t>
            </w:r>
          </w:p>
        </w:tc>
      </w:tr>
      <w:tr w:rsidR="00C419B8" w:rsidRPr="001C59A0" w:rsidTr="00DE4B10">
        <w:trPr>
          <w:trHeight w:val="454"/>
          <w:jc w:val="center"/>
        </w:trPr>
        <w:tc>
          <w:tcPr>
            <w:tcW w:w="294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hogares</w:t>
            </w:r>
          </w:p>
        </w:tc>
        <w:tc>
          <w:tcPr>
            <w:tcW w:w="215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2.334</w:t>
            </w:r>
          </w:p>
        </w:tc>
        <w:tc>
          <w:tcPr>
            <w:tcW w:w="2127"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1.439</w:t>
            </w:r>
          </w:p>
        </w:tc>
      </w:tr>
      <w:tr w:rsidR="00C419B8" w:rsidRPr="001C59A0" w:rsidTr="00DE4B10">
        <w:trPr>
          <w:trHeight w:val="454"/>
          <w:jc w:val="center"/>
        </w:trPr>
        <w:tc>
          <w:tcPr>
            <w:tcW w:w="294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Industria</w:t>
            </w:r>
          </w:p>
        </w:tc>
        <w:tc>
          <w:tcPr>
            <w:tcW w:w="215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48.586</w:t>
            </w:r>
          </w:p>
        </w:tc>
        <w:tc>
          <w:tcPr>
            <w:tcW w:w="2127"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18.086</w:t>
            </w:r>
          </w:p>
        </w:tc>
      </w:tr>
      <w:tr w:rsidR="00C419B8" w:rsidRPr="001C59A0" w:rsidTr="00DE4B10">
        <w:trPr>
          <w:trHeight w:val="454"/>
          <w:jc w:val="center"/>
        </w:trPr>
        <w:tc>
          <w:tcPr>
            <w:tcW w:w="294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w:t>
            </w:r>
          </w:p>
        </w:tc>
        <w:tc>
          <w:tcPr>
            <w:tcW w:w="2156"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50.920</w:t>
            </w:r>
          </w:p>
        </w:tc>
        <w:tc>
          <w:tcPr>
            <w:tcW w:w="2127"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19.525</w:t>
            </w:r>
          </w:p>
        </w:tc>
      </w:tr>
    </w:tbl>
    <w:p w:rsidR="00C419B8" w:rsidRPr="001C59A0" w:rsidRDefault="00C419B8" w:rsidP="00C419B8">
      <w:pPr>
        <w:jc w:val="center"/>
        <w:rPr>
          <w:rFonts w:ascii="Arial" w:eastAsia="Calibri" w:hAnsi="Arial" w:cs="Arial"/>
          <w:sz w:val="22"/>
          <w:szCs w:val="22"/>
        </w:rPr>
      </w:pPr>
    </w:p>
    <w:p w:rsidR="00C419B8" w:rsidRPr="001C59A0" w:rsidRDefault="00C419B8" w:rsidP="00C419B8">
      <w:pPr>
        <w:spacing w:after="160" w:line="259" w:lineRule="auto"/>
        <w:jc w:val="center"/>
        <w:rPr>
          <w:rFonts w:ascii="Arial" w:eastAsia="Calibri" w:hAnsi="Arial" w:cs="Arial"/>
          <w:sz w:val="22"/>
          <w:szCs w:val="22"/>
        </w:rPr>
      </w:pPr>
      <w:r w:rsidRPr="001C59A0">
        <w:rPr>
          <w:rFonts w:ascii="Arial" w:eastAsia="Calibri" w:hAnsi="Arial" w:cs="Arial"/>
          <w:sz w:val="22"/>
          <w:szCs w:val="22"/>
        </w:rPr>
        <w:t>Fuente: Elaboración propia</w:t>
      </w:r>
    </w:p>
    <w:p w:rsidR="00C419B8" w:rsidRPr="001C59A0" w:rsidRDefault="00C419B8" w:rsidP="00C419B8">
      <w:pPr>
        <w:spacing w:after="160" w:line="259" w:lineRule="auto"/>
        <w:jc w:val="both"/>
        <w:rPr>
          <w:rFonts w:ascii="Arial" w:eastAsia="Calibri" w:hAnsi="Arial" w:cs="Arial"/>
          <w:sz w:val="22"/>
          <w:szCs w:val="22"/>
        </w:rPr>
      </w:pPr>
    </w:p>
    <w:p w:rsidR="00C419B8" w:rsidRPr="001C59A0" w:rsidRDefault="00C419B8" w:rsidP="00C419B8">
      <w:pPr>
        <w:spacing w:after="160" w:line="259" w:lineRule="auto"/>
        <w:rPr>
          <w:rFonts w:ascii="Arial" w:eastAsia="Calibri" w:hAnsi="Arial" w:cs="Arial"/>
          <w:sz w:val="22"/>
          <w:szCs w:val="22"/>
          <w:highlight w:val="yellow"/>
        </w:rPr>
      </w:pPr>
      <w:r w:rsidRPr="001C59A0">
        <w:rPr>
          <w:rFonts w:ascii="Arial" w:eastAsia="Calibri" w:hAnsi="Arial" w:cs="Arial"/>
          <w:sz w:val="22"/>
          <w:szCs w:val="22"/>
          <w:highlight w:val="yellow"/>
        </w:rPr>
        <w:br w:type="page"/>
      </w:r>
    </w:p>
    <w:p w:rsidR="00C419B8" w:rsidRPr="001C59A0" w:rsidRDefault="00C419B8" w:rsidP="00C419B8">
      <w:pPr>
        <w:pStyle w:val="ListParagraph"/>
        <w:numPr>
          <w:ilvl w:val="0"/>
          <w:numId w:val="8"/>
        </w:numPr>
        <w:spacing w:after="100" w:afterAutospacing="1"/>
        <w:ind w:left="0" w:firstLine="0"/>
        <w:jc w:val="both"/>
        <w:outlineLvl w:val="0"/>
        <w:rPr>
          <w:rFonts w:ascii="Arial" w:eastAsia="Calibri" w:hAnsi="Arial" w:cs="Arial"/>
          <w:b/>
        </w:rPr>
      </w:pPr>
      <w:bookmarkStart w:id="30" w:name="_Toc459677788"/>
      <w:r w:rsidRPr="001C59A0">
        <w:rPr>
          <w:rFonts w:ascii="Arial" w:eastAsia="Calibri" w:hAnsi="Arial" w:cs="Arial"/>
          <w:b/>
        </w:rPr>
        <w:t>Conclusiones</w:t>
      </w:r>
      <w:bookmarkEnd w:id="30"/>
    </w:p>
    <w:p w:rsidR="00C419B8" w:rsidRPr="001C59A0" w:rsidRDefault="00C419B8" w:rsidP="00C419B8">
      <w:pPr>
        <w:spacing w:after="100" w:afterAutospacing="1"/>
        <w:jc w:val="both"/>
        <w:rPr>
          <w:rFonts w:ascii="Arial" w:hAnsi="Arial" w:cs="Arial"/>
          <w:sz w:val="22"/>
          <w:szCs w:val="22"/>
          <w:lang w:val="es-CO"/>
        </w:rPr>
      </w:pPr>
      <w:r w:rsidRPr="001C59A0">
        <w:rPr>
          <w:rFonts w:ascii="Arial" w:eastAsia="Calibri" w:hAnsi="Arial" w:cs="Arial"/>
          <w:sz w:val="22"/>
          <w:szCs w:val="22"/>
          <w:lang w:val="es-CO"/>
        </w:rPr>
        <w:t xml:space="preserve">El Programa de Energía Sostenible se ha concebido para apoyar al Gobierno de Chile a enfrentar los desafíos planteados en la agenda de energía. </w:t>
      </w:r>
      <w:r w:rsidRPr="001C59A0">
        <w:rPr>
          <w:rFonts w:ascii="Arial" w:hAnsi="Arial" w:cs="Arial"/>
          <w:sz w:val="22"/>
          <w:szCs w:val="22"/>
          <w:lang w:val="es-CO"/>
        </w:rPr>
        <w:t>Por sus características el Programa que se evalúa habilita y facilita el logro de algunos de los objetivos e iniciativas planteados en éste. En particular</w:t>
      </w:r>
      <w:r w:rsidRPr="001C59A0">
        <w:rPr>
          <w:rFonts w:ascii="Arial" w:eastAsia="Calibri" w:hAnsi="Arial" w:cs="Arial"/>
          <w:sz w:val="22"/>
          <w:szCs w:val="22"/>
          <w:lang w:val="es-CO"/>
        </w:rPr>
        <w:t xml:space="preserve"> busca impulsar un conjunto de reformas en el sector energético conducentes a</w:t>
      </w:r>
      <w:r w:rsidRPr="001C59A0">
        <w:rPr>
          <w:rFonts w:ascii="Arial" w:hAnsi="Arial" w:cs="Arial"/>
          <w:sz w:val="22"/>
          <w:szCs w:val="22"/>
          <w:lang w:val="es-CO"/>
        </w:rPr>
        <w:t xml:space="preserve"> contar con normativas que promuevan y regulen el desarrollo sostenible del sector energético, reducir los costos de la energía, diversificar la matriz energética, hacer uso eficiente de la energía y promover la integración regional energética. </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La plena ejecución de las cinco componentes señaladas del Programa permitirá desviar el desarrollo del sistema energético de su actual trayectoria hacia una de menores costos de la energía, con una matriz energética con más energía renovable y de menores emisiones locales y globales. En efecto, al comparar la línea base de desarrollo del sector eléctrico 2015-2050 con un escenario con Programa –correspondiente al escenario MAPS de esfuerzo medio-se proyectan los siguientes impactos:</w:t>
      </w:r>
    </w:p>
    <w:p w:rsidR="00C419B8" w:rsidRPr="001C59A0" w:rsidRDefault="00C419B8" w:rsidP="00C419B8">
      <w:pPr>
        <w:pStyle w:val="ListParagraph"/>
        <w:numPr>
          <w:ilvl w:val="0"/>
          <w:numId w:val="23"/>
        </w:numPr>
        <w:spacing w:after="100" w:afterAutospacing="1" w:line="259" w:lineRule="auto"/>
        <w:jc w:val="both"/>
        <w:rPr>
          <w:rFonts w:ascii="Arial" w:hAnsi="Arial" w:cs="Arial"/>
          <w:lang w:val="es-CO"/>
        </w:rPr>
      </w:pPr>
      <w:r w:rsidRPr="001C59A0">
        <w:rPr>
          <w:rFonts w:ascii="Arial" w:hAnsi="Arial" w:cs="Arial"/>
          <w:lang w:val="es-CO"/>
        </w:rPr>
        <w:t>Impacto en la demanda de energía eléctrica</w:t>
      </w:r>
    </w:p>
    <w:p w:rsidR="00C419B8" w:rsidRPr="001C59A0" w:rsidRDefault="00C419B8" w:rsidP="00C419B8">
      <w:pPr>
        <w:spacing w:after="100" w:afterAutospacing="1"/>
        <w:ind w:left="360"/>
        <w:jc w:val="both"/>
        <w:rPr>
          <w:rFonts w:ascii="Arial" w:hAnsi="Arial" w:cs="Arial"/>
          <w:lang w:val="es-CO"/>
        </w:rPr>
      </w:pPr>
      <w:r w:rsidRPr="001C59A0">
        <w:rPr>
          <w:rFonts w:ascii="Arial" w:hAnsi="Arial" w:cs="Arial"/>
          <w:bCs/>
          <w:sz w:val="22"/>
          <w:szCs w:val="22"/>
          <w:lang w:val="es-CO"/>
        </w:rPr>
        <w:t>La demanda total de energía en ambos sistemas se reduce un 3,8% al año 2019, un 6,9% el 2030, llegando a un 8,6% el 2050. Esto último significa un ahorro de casi 16 mil GWh ese año. A pesar de que, en términos absolutos, el mayor ahorro se produce en el SIC, con casi 10 mil GWh el año 2050, es en el SING donde se logra una mayor reducción en términos porcentuales representando un 13,6% de la demanda de la línea base de ese sistema.</w:t>
      </w:r>
    </w:p>
    <w:p w:rsidR="00C419B8" w:rsidRPr="001C59A0" w:rsidRDefault="00C419B8" w:rsidP="00C419B8">
      <w:pPr>
        <w:pStyle w:val="ListParagraph"/>
        <w:numPr>
          <w:ilvl w:val="0"/>
          <w:numId w:val="23"/>
        </w:numPr>
        <w:spacing w:after="100" w:afterAutospacing="1" w:line="259" w:lineRule="auto"/>
        <w:jc w:val="both"/>
        <w:rPr>
          <w:rFonts w:ascii="Arial" w:hAnsi="Arial" w:cs="Arial"/>
        </w:rPr>
      </w:pPr>
      <w:r w:rsidRPr="001C59A0">
        <w:rPr>
          <w:rFonts w:ascii="Arial" w:hAnsi="Arial" w:cs="Arial"/>
        </w:rPr>
        <w:t>Impacto en la matriz energética</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t>La generación total de electricidad disminuye en línea con lo que sucede con la demanda eléctrica. Además, el año 2030 se logra un 30% de ERNC, llegando a un 39% el año 2050. Por otra parte, la energía proveniente de centrales hidro convencionales sumadas a las ERNC pasan a ser de gran importancia. Así, la generación por energías renovables alcanza un 47% del total el año 2019, lo que aumenta a un 74% el 2030, llegando a un 84% el 2050. Esto permite alcanzar las metas establecidas en la política energética 2050, situación que no se da en la Línea Base.</w:t>
      </w:r>
    </w:p>
    <w:p w:rsidR="00C419B8" w:rsidRPr="001C59A0" w:rsidRDefault="00C419B8" w:rsidP="00C419B8">
      <w:pPr>
        <w:pStyle w:val="ListParagraph"/>
        <w:numPr>
          <w:ilvl w:val="0"/>
          <w:numId w:val="23"/>
        </w:numPr>
        <w:spacing w:after="100" w:afterAutospacing="1" w:line="259" w:lineRule="auto"/>
        <w:jc w:val="both"/>
        <w:rPr>
          <w:rFonts w:ascii="Arial" w:hAnsi="Arial" w:cs="Arial"/>
        </w:rPr>
      </w:pPr>
      <w:r w:rsidRPr="001C59A0">
        <w:rPr>
          <w:rFonts w:ascii="Arial" w:hAnsi="Arial" w:cs="Arial"/>
        </w:rPr>
        <w:t>Impacto en las Tarifas</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t>A pesar de un leve aumento en los costos de generación asociados a una matriz energética con más energía renovable la mayor competencia en el sector lleva a una reducción importante en las tarifas de hogares y pequeño comercio de 20% al 2030 y de casi 23% al 2050. Para los grandes consumidores esta reducción es de 25% para el 2030 y 28% al 2050.</w:t>
      </w:r>
    </w:p>
    <w:p w:rsidR="00C419B8" w:rsidRPr="001C59A0" w:rsidRDefault="00C419B8" w:rsidP="00C419B8">
      <w:pPr>
        <w:pStyle w:val="ListParagraph"/>
        <w:numPr>
          <w:ilvl w:val="0"/>
          <w:numId w:val="23"/>
        </w:numPr>
        <w:spacing w:after="100" w:afterAutospacing="1" w:line="259" w:lineRule="auto"/>
        <w:jc w:val="both"/>
        <w:rPr>
          <w:rFonts w:ascii="Arial" w:hAnsi="Arial" w:cs="Arial"/>
        </w:rPr>
      </w:pPr>
      <w:r w:rsidRPr="001C59A0">
        <w:rPr>
          <w:rFonts w:ascii="Arial" w:hAnsi="Arial" w:cs="Arial"/>
        </w:rPr>
        <w:t>Impacto en Emisiones</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bCs/>
          <w:sz w:val="22"/>
          <w:szCs w:val="22"/>
          <w:lang w:val="es-CO"/>
        </w:rPr>
        <w:t>El cambio en la matriz energética reduce las emisiones de gases de efecto invernadero. Este cambio, en conjunto con el reemplazo de calefacción a leña reduce también las emisiones de material particulado. Respecto de las emisiones de GEI, a partir del 2020, estas disminuyen con el Programa de manera significativa llegando a casi un 50% de reducción para los años 2030 y 2050. Esto equivale a una disminución de 29 y 23 millones de toneladas anuales respectivamente. Esta reducción se explica principalmente por el reemplazo de la generación térmica a carbón por energías renovables y por la menor demanda eléctrica.</w:t>
      </w:r>
    </w:p>
    <w:p w:rsidR="00C419B8" w:rsidRPr="001C59A0" w:rsidRDefault="00C419B8" w:rsidP="00C419B8">
      <w:pPr>
        <w:spacing w:after="100" w:afterAutospacing="1"/>
        <w:ind w:left="360"/>
        <w:jc w:val="both"/>
        <w:rPr>
          <w:rFonts w:ascii="Arial" w:hAnsi="Arial" w:cs="Arial"/>
          <w:bCs/>
          <w:sz w:val="22"/>
          <w:szCs w:val="22"/>
          <w:lang w:val="es-CO"/>
        </w:rPr>
      </w:pPr>
      <w:r w:rsidRPr="001C59A0">
        <w:rPr>
          <w:rFonts w:ascii="Arial" w:hAnsi="Arial" w:cs="Arial"/>
          <w:sz w:val="22"/>
          <w:szCs w:val="22"/>
          <w:lang w:val="es-CO"/>
        </w:rPr>
        <w:t xml:space="preserve">Las emisiones de </w:t>
      </w:r>
      <w:r w:rsidRPr="001C59A0">
        <w:rPr>
          <w:rFonts w:ascii="Arial" w:hAnsi="Arial" w:cs="Arial"/>
          <w:bCs/>
          <w:sz w:val="22"/>
          <w:szCs w:val="22"/>
          <w:lang w:val="es-CO"/>
        </w:rPr>
        <w:t>material particulado de centrales también disminuyen respecto de la línea base al cambiar la matriz energética. En ésta, las emisiones totales aumentan de 5 mil tons. el año 2015 a un peak de 7,6 mil tons. el 2030, quedando luego en 6,7 mil tons. el año 2050. Con Programa, se proyecta que éstas disminuyen de una forma relativamente continua hasta llegar a aproximadamente 3,3 mil tons. en el 2050, con una reducción para los años 2030 y 2050, de cerca de 3,5 mil ton/año. A esto se agregan reducciones de 0,6 tons el año 2030 y 0,7 tons. el 2050 por reemplazo de calefacción a leña.</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Los impactos señalados generan beneficios para el conjunto de la sociedad que se pueden valorizar. Por una parte, la reducción de emisiones de GEI tiene un precio de mercado que se utiliza para valorarlas. Las reducciones de emisiones de material particulado generan beneficios en salud, tanto por reducción de mortalidad como mortalidad que se estiman y valoran, utilizando antecedentes que la propia autoridad nacional ha utilizado en evaluaciones similares.</w:t>
      </w:r>
    </w:p>
    <w:p w:rsidR="00C419B8" w:rsidRPr="001C59A0" w:rsidRDefault="00C419B8" w:rsidP="00C419B8">
      <w:pPr>
        <w:spacing w:after="100" w:afterAutospacing="1"/>
        <w:jc w:val="both"/>
        <w:rPr>
          <w:rFonts w:ascii="Arial" w:hAnsi="Arial" w:cs="Arial"/>
          <w:bCs/>
          <w:sz w:val="22"/>
          <w:szCs w:val="22"/>
        </w:rPr>
      </w:pPr>
      <w:r w:rsidRPr="001C59A0">
        <w:rPr>
          <w:rFonts w:ascii="Arial" w:hAnsi="Arial" w:cs="Arial"/>
          <w:bCs/>
          <w:sz w:val="22"/>
          <w:szCs w:val="22"/>
          <w:lang w:val="es-CO"/>
        </w:rPr>
        <w:t xml:space="preserve">Cabe señalar que los resultados son conservadores. Por una parte, cuando la información no permite estimar un valor único, se ha utilizado el más conservador respecto de los beneficios. Por otra parte, hay un conjunto de beneficios que no se han evaluado. </w:t>
      </w:r>
      <w:r w:rsidRPr="001C59A0">
        <w:rPr>
          <w:rFonts w:ascii="Arial" w:hAnsi="Arial" w:cs="Arial"/>
          <w:bCs/>
          <w:sz w:val="22"/>
          <w:szCs w:val="22"/>
        </w:rPr>
        <w:t>Estos incluyen:</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Mayor competitividad de las industrias debido al menor gasto en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Reducción de emisiones directas de la generación de otros contaminantes como óxidos de nitrógeno, óxidos de azufre, metales, etc;</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Beneficio por reducción de emisiones por uso de calefacción a leña en ciudades no consideradas;</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Beneficio por mayor disponibilidad de ingreso en quintiles más vulnerables debido a menor gasto en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Menores costos de desarrollo de proyectos energéticos producto de menos conflictos sociales asociado a desarrollo de matriz más limpia y a la participación de la sociedad en la elaboración de la política energética;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bCs/>
          <w:lang w:val="es-CO"/>
        </w:rPr>
        <w:t>Menos riesgos en el desarrollo de proyectos productivos debido a menor incertidumbre en disponibilidad y tarifa de energía;</w:t>
      </w:r>
    </w:p>
    <w:p w:rsidR="00C419B8" w:rsidRPr="001C59A0" w:rsidRDefault="00C419B8" w:rsidP="00C419B8">
      <w:pPr>
        <w:pStyle w:val="ListParagraph"/>
        <w:numPr>
          <w:ilvl w:val="0"/>
          <w:numId w:val="24"/>
        </w:numPr>
        <w:spacing w:after="100" w:afterAutospacing="1" w:line="259" w:lineRule="auto"/>
        <w:jc w:val="both"/>
        <w:rPr>
          <w:rFonts w:ascii="Arial" w:hAnsi="Arial" w:cs="Arial"/>
          <w:bCs/>
          <w:lang w:val="es-CO"/>
        </w:rPr>
      </w:pPr>
      <w:r w:rsidRPr="001C59A0">
        <w:rPr>
          <w:rFonts w:ascii="Arial" w:hAnsi="Arial" w:cs="Arial"/>
          <w:lang w:val="es-CO"/>
        </w:rPr>
        <w:t>Mantener la condición de país de bajo riesgo para las inversiones externas y ser sujeto para los programas que se desarrollen para apoyar la incorporación de nuevas tecnologías para mitigar o adaptarse al cambio climático, producto del cumplimiento de los compromisos de reducción de emisiones GEI.</w:t>
      </w:r>
    </w:p>
    <w:p w:rsidR="00C419B8" w:rsidRPr="001C59A0" w:rsidRDefault="00C419B8" w:rsidP="00C419B8">
      <w:pPr>
        <w:spacing w:after="160" w:line="259" w:lineRule="auto"/>
        <w:jc w:val="both"/>
        <w:rPr>
          <w:rFonts w:ascii="Arial" w:eastAsia="Calibri" w:hAnsi="Arial" w:cs="Arial"/>
          <w:sz w:val="22"/>
          <w:lang w:val="es-CO"/>
        </w:rPr>
      </w:pPr>
      <w:r w:rsidRPr="001C59A0">
        <w:rPr>
          <w:rFonts w:ascii="Arial" w:hAnsi="Arial" w:cs="Arial"/>
          <w:bCs/>
          <w:sz w:val="22"/>
          <w:szCs w:val="22"/>
          <w:lang w:val="es-CO"/>
        </w:rPr>
        <w:t xml:space="preserve">Debido al riesgo que el Programa no sea tan exitoso, por ejemplo, que no sea posible generar el </w:t>
      </w:r>
      <w:r w:rsidRPr="001C59A0">
        <w:rPr>
          <w:rFonts w:ascii="Arial" w:hAnsi="Arial" w:cs="Arial"/>
          <w:sz w:val="22"/>
          <w:lang w:val="es-CO"/>
        </w:rPr>
        <w:t>desarrollo hídrico de gran escala</w:t>
      </w:r>
      <w:r w:rsidRPr="001C59A0">
        <w:rPr>
          <w:rFonts w:ascii="Arial" w:hAnsi="Arial" w:cs="Arial"/>
          <w:bCs/>
          <w:sz w:val="22"/>
          <w:szCs w:val="22"/>
          <w:lang w:val="es-CO"/>
        </w:rPr>
        <w:t>, que la penetración de ERNC sea menor a la estimada, que no se logre la competencia en generación esperada o que no se materialice las transacciones interregionales. Se ha evaluado un escenario de esfuerzo bajo desarrollado también por el proyecto MAPS</w:t>
      </w:r>
      <w:r w:rsidRPr="001C59A0">
        <w:rPr>
          <w:rStyle w:val="FootnoteReference"/>
          <w:rFonts w:ascii="Arial" w:hAnsi="Arial" w:cs="Arial"/>
          <w:bCs/>
          <w:sz w:val="22"/>
          <w:szCs w:val="22"/>
        </w:rPr>
        <w:footnoteReference w:id="30"/>
      </w:r>
      <w:r w:rsidRPr="001C59A0">
        <w:rPr>
          <w:rFonts w:ascii="Arial" w:hAnsi="Arial" w:cs="Arial"/>
          <w:bCs/>
          <w:sz w:val="22"/>
          <w:szCs w:val="22"/>
          <w:lang w:val="es-CO"/>
        </w:rPr>
        <w:t xml:space="preserve"> que </w:t>
      </w:r>
      <w:r w:rsidRPr="001C59A0">
        <w:rPr>
          <w:rFonts w:ascii="Arial" w:eastAsia="Calibri" w:hAnsi="Arial" w:cs="Arial"/>
          <w:sz w:val="22"/>
          <w:lang w:val="es-CO"/>
        </w:rPr>
        <w:t>se caracteriza por incluir solamente medidas catalogadas como de bajo costo de implementación y alta factibilidad de concreción.</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El siguiente cuadro presenta el rango de estos beneficios. El valor actual de los beneficios ambientales a una tasa de 6% (12%) que corresponde al utilizado por el Ministerio de Desarrollo Social de Chile (BID) es de entre 1.194 y 2.712 millones de dólares (603 y 1.286 millones de dólares).</w:t>
      </w:r>
    </w:p>
    <w:p w:rsidR="00C419B8" w:rsidRPr="001C59A0" w:rsidRDefault="00C419B8" w:rsidP="00C419B8">
      <w:pPr>
        <w:spacing w:after="100" w:afterAutospacing="1"/>
        <w:jc w:val="both"/>
        <w:rPr>
          <w:rFonts w:ascii="Arial" w:hAnsi="Arial" w:cs="Arial"/>
          <w:sz w:val="22"/>
          <w:szCs w:val="22"/>
          <w:lang w:val="es-CO"/>
        </w:rPr>
      </w:pPr>
    </w:p>
    <w:p w:rsidR="00C419B8" w:rsidRPr="001C59A0" w:rsidRDefault="00C419B8" w:rsidP="00C419B8">
      <w:pPr>
        <w:spacing w:after="100" w:afterAutospacing="1"/>
        <w:jc w:val="center"/>
        <w:rPr>
          <w:rFonts w:ascii="Arial" w:hAnsi="Arial" w:cs="Arial"/>
          <w:sz w:val="22"/>
          <w:szCs w:val="22"/>
          <w:lang w:val="es-CO"/>
        </w:rPr>
      </w:pPr>
      <w:r w:rsidRPr="001C59A0">
        <w:rPr>
          <w:rFonts w:ascii="Arial" w:eastAsia="Calibri" w:hAnsi="Arial" w:cs="Arial"/>
          <w:sz w:val="22"/>
          <w:szCs w:val="22"/>
          <w:lang w:val="es-CO"/>
        </w:rPr>
        <w:t xml:space="preserve">Rango de beneficios ambientales en escenario de esfuerzo medio </w:t>
      </w:r>
    </w:p>
    <w:tbl>
      <w:tblPr>
        <w:tblStyle w:val="TableGrid"/>
        <w:tblW w:w="0" w:type="auto"/>
        <w:jc w:val="center"/>
        <w:tblLook w:val="04A0" w:firstRow="1" w:lastRow="0" w:firstColumn="1" w:lastColumn="0" w:noHBand="0" w:noVBand="1"/>
      </w:tblPr>
      <w:tblGrid>
        <w:gridCol w:w="2972"/>
        <w:gridCol w:w="2552"/>
      </w:tblGrid>
      <w:tr w:rsidR="00C419B8" w:rsidRPr="00EF4F23" w:rsidTr="00DE4B10">
        <w:trPr>
          <w:trHeight w:val="454"/>
          <w:jc w:val="center"/>
        </w:trPr>
        <w:tc>
          <w:tcPr>
            <w:tcW w:w="2972"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552"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(US$ Millones)</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CO2</w:t>
            </w:r>
          </w:p>
        </w:tc>
        <w:tc>
          <w:tcPr>
            <w:tcW w:w="2552"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732 a 2.101</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Generación MP</w:t>
            </w:r>
          </w:p>
        </w:tc>
        <w:tc>
          <w:tcPr>
            <w:tcW w:w="2552"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89 a 238</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Calefacción MP</w:t>
            </w:r>
          </w:p>
        </w:tc>
        <w:tc>
          <w:tcPr>
            <w:tcW w:w="2552"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373</w:t>
            </w:r>
          </w:p>
        </w:tc>
      </w:tr>
      <w:tr w:rsidR="00C419B8" w:rsidRPr="001C59A0" w:rsidTr="00DE4B10">
        <w:trPr>
          <w:trHeight w:val="454"/>
          <w:jc w:val="center"/>
        </w:trPr>
        <w:tc>
          <w:tcPr>
            <w:tcW w:w="2972"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beneficios ambientales</w:t>
            </w:r>
          </w:p>
        </w:tc>
        <w:tc>
          <w:tcPr>
            <w:tcW w:w="2552"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1194 a 2.712</w:t>
            </w:r>
          </w:p>
        </w:tc>
      </w:tr>
    </w:tbl>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center"/>
        <w:rPr>
          <w:rFonts w:ascii="Arial" w:hAnsi="Arial" w:cs="Arial"/>
          <w:bCs/>
          <w:sz w:val="22"/>
          <w:szCs w:val="22"/>
        </w:rPr>
      </w:pPr>
    </w:p>
    <w:p w:rsidR="00C419B8" w:rsidRPr="001C59A0" w:rsidRDefault="00C419B8" w:rsidP="00C419B8">
      <w:pPr>
        <w:spacing w:after="100" w:afterAutospacing="1"/>
        <w:jc w:val="center"/>
        <w:rPr>
          <w:rFonts w:ascii="Arial" w:hAnsi="Arial" w:cs="Arial"/>
          <w:bCs/>
          <w:sz w:val="22"/>
          <w:szCs w:val="22"/>
          <w:lang w:val="es-CO"/>
        </w:rPr>
      </w:pPr>
      <w:r w:rsidRPr="001C59A0">
        <w:rPr>
          <w:rFonts w:ascii="Arial" w:eastAsia="Calibri" w:hAnsi="Arial" w:cs="Arial"/>
          <w:sz w:val="22"/>
          <w:szCs w:val="22"/>
          <w:lang w:val="es-CO"/>
        </w:rPr>
        <w:t>Rango de ahorro hogares e industrial en escenario de esfuerzo medio</w:t>
      </w:r>
    </w:p>
    <w:tbl>
      <w:tblPr>
        <w:tblStyle w:val="TableGrid"/>
        <w:tblW w:w="0" w:type="auto"/>
        <w:jc w:val="center"/>
        <w:tblLook w:val="04A0" w:firstRow="1" w:lastRow="0" w:firstColumn="1" w:lastColumn="0" w:noHBand="0" w:noVBand="1"/>
      </w:tblPr>
      <w:tblGrid>
        <w:gridCol w:w="1980"/>
        <w:gridCol w:w="2268"/>
      </w:tblGrid>
      <w:tr w:rsidR="00C419B8" w:rsidRPr="00EF4F23" w:rsidTr="00DE4B10">
        <w:trPr>
          <w:trHeight w:val="454"/>
          <w:jc w:val="center"/>
        </w:trPr>
        <w:tc>
          <w:tcPr>
            <w:tcW w:w="1980" w:type="dxa"/>
            <w:shd w:val="clear" w:color="auto" w:fill="D9D9D9" w:themeFill="background1" w:themeFillShade="D9"/>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Beneficio</w:t>
            </w:r>
          </w:p>
        </w:tc>
        <w:tc>
          <w:tcPr>
            <w:tcW w:w="2268" w:type="dxa"/>
            <w:shd w:val="clear" w:color="auto" w:fill="D9D9D9" w:themeFill="background1" w:themeFillShade="D9"/>
            <w:vAlign w:val="center"/>
          </w:tcPr>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VAN al año 2015, 6%</w:t>
            </w:r>
          </w:p>
          <w:p w:rsidR="00C419B8" w:rsidRPr="001C59A0" w:rsidRDefault="00C419B8" w:rsidP="00DE4B10">
            <w:pPr>
              <w:jc w:val="center"/>
              <w:rPr>
                <w:rFonts w:ascii="Arial" w:eastAsia="Calibri" w:hAnsi="Arial" w:cs="Arial"/>
                <w:sz w:val="22"/>
                <w:szCs w:val="22"/>
                <w:lang w:val="es-CO"/>
              </w:rPr>
            </w:pPr>
            <w:r w:rsidRPr="001C59A0">
              <w:rPr>
                <w:rFonts w:ascii="Arial" w:eastAsia="Calibri" w:hAnsi="Arial" w:cs="Arial"/>
                <w:sz w:val="22"/>
                <w:szCs w:val="22"/>
                <w:lang w:val="es-CO"/>
              </w:rPr>
              <w:t>(US$Millones)</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Hogares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1.439 a 2.334</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Ahorro Industria</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18.086 a 48.586</w:t>
            </w:r>
          </w:p>
        </w:tc>
      </w:tr>
      <w:tr w:rsidR="00C419B8" w:rsidRPr="001C59A0" w:rsidTr="00DE4B10">
        <w:trPr>
          <w:trHeight w:val="454"/>
          <w:jc w:val="center"/>
        </w:trPr>
        <w:tc>
          <w:tcPr>
            <w:tcW w:w="1980" w:type="dxa"/>
            <w:vAlign w:val="center"/>
          </w:tcPr>
          <w:p w:rsidR="00C419B8" w:rsidRPr="001C59A0" w:rsidRDefault="00C419B8" w:rsidP="00DE4B10">
            <w:pPr>
              <w:rPr>
                <w:rFonts w:ascii="Arial" w:eastAsia="Calibri" w:hAnsi="Arial" w:cs="Arial"/>
                <w:sz w:val="22"/>
                <w:szCs w:val="22"/>
              </w:rPr>
            </w:pPr>
            <w:r w:rsidRPr="001C59A0">
              <w:rPr>
                <w:rFonts w:ascii="Arial" w:eastAsia="Calibri" w:hAnsi="Arial" w:cs="Arial"/>
                <w:sz w:val="22"/>
                <w:szCs w:val="22"/>
              </w:rPr>
              <w:t>Total ahorros</w:t>
            </w:r>
          </w:p>
        </w:tc>
        <w:tc>
          <w:tcPr>
            <w:tcW w:w="2268" w:type="dxa"/>
            <w:vAlign w:val="center"/>
          </w:tcPr>
          <w:p w:rsidR="00C419B8" w:rsidRPr="001C59A0" w:rsidRDefault="00C419B8" w:rsidP="00DE4B10">
            <w:pPr>
              <w:jc w:val="center"/>
              <w:rPr>
                <w:rFonts w:ascii="Arial" w:eastAsia="Calibri" w:hAnsi="Arial" w:cs="Arial"/>
                <w:sz w:val="22"/>
                <w:szCs w:val="22"/>
              </w:rPr>
            </w:pPr>
            <w:r w:rsidRPr="001C59A0">
              <w:rPr>
                <w:rFonts w:ascii="Arial" w:eastAsia="Calibri" w:hAnsi="Arial" w:cs="Arial"/>
                <w:sz w:val="22"/>
                <w:szCs w:val="22"/>
              </w:rPr>
              <w:t>19.525 a 50.920</w:t>
            </w:r>
          </w:p>
        </w:tc>
      </w:tr>
    </w:tbl>
    <w:p w:rsidR="00C419B8" w:rsidRPr="001C59A0" w:rsidRDefault="00C419B8" w:rsidP="00C419B8">
      <w:pPr>
        <w:spacing w:after="100" w:afterAutospacing="1"/>
        <w:jc w:val="center"/>
        <w:rPr>
          <w:rFonts w:ascii="Arial" w:hAnsi="Arial" w:cs="Arial"/>
          <w:bCs/>
          <w:sz w:val="22"/>
          <w:szCs w:val="22"/>
        </w:rPr>
      </w:pPr>
      <w:r w:rsidRPr="001C59A0">
        <w:rPr>
          <w:rFonts w:ascii="Arial" w:hAnsi="Arial" w:cs="Arial"/>
          <w:bCs/>
          <w:sz w:val="22"/>
          <w:szCs w:val="22"/>
        </w:rPr>
        <w:t>Fuente: Elaboración propia</w:t>
      </w: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eastAsia="Calibri" w:hAnsi="Arial" w:cs="Arial"/>
          <w:sz w:val="22"/>
          <w:szCs w:val="22"/>
          <w:lang w:val="es-CO"/>
        </w:rPr>
      </w:pPr>
      <w:r w:rsidRPr="001C59A0">
        <w:rPr>
          <w:rFonts w:ascii="Arial" w:hAnsi="Arial" w:cs="Arial"/>
          <w:sz w:val="22"/>
          <w:szCs w:val="22"/>
          <w:lang w:val="es-CO"/>
        </w:rPr>
        <w:t>Otro beneficio importante es la reducción en el gasto energético tanto de los hogares como de las empresas, debido a las menores tarifas. Esto es fundamentalmente una transferencia desde el sector generación hacia estos otros sectores. Los resultados finales se presentan en el cuadro siguiente. Los hogares pueden reducir su gasto energético en el periodo 2015-2050 entre 1.439 y 2.334 millones de dólares. Ello significa ahorros anuales que varían por año desde 16 a 282 dólares. Considerando que el quintil de más bajos ingresos, tiene un gasto anual en electricidad (al año 2012) de aproximadamente 240 dólares, ello implicaría para una situación similar una reducción en su gasto en electricidad de aproximadamente un 7% y un 0,4% respecto del gasto total del hogar. Por otra parte, el valor presente de reducción en el gasto energético de empresas para el periodo sería de entre 18,1 y 48,6 mil millones de dólares. Esto corresponde a cerca del 0,7% del PIB cada año a partir del año 2025. Por cierto, esta reducción de costos aumenta la competitividad de los productos nacionales lo que sería un beneficio adicional al permitir aumentar la producción y venta de estos productos.</w:t>
      </w:r>
    </w:p>
    <w:p w:rsidR="00C419B8" w:rsidRPr="001C59A0" w:rsidRDefault="00C419B8" w:rsidP="00C419B8">
      <w:pPr>
        <w:pStyle w:val="Heading1"/>
        <w:rPr>
          <w:rFonts w:eastAsia="Calibri" w:cs="Arial"/>
          <w:b w:val="0"/>
          <w:sz w:val="22"/>
          <w:szCs w:val="22"/>
        </w:rPr>
      </w:pPr>
      <w:bookmarkStart w:id="31" w:name="_Toc459677789"/>
      <w:r w:rsidRPr="001C59A0">
        <w:rPr>
          <w:rFonts w:eastAsia="Calibri" w:cs="Arial"/>
          <w:b w:val="0"/>
          <w:sz w:val="22"/>
          <w:szCs w:val="22"/>
        </w:rPr>
        <w:t>Bibliografía:</w:t>
      </w:r>
      <w:bookmarkEnd w:id="31"/>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sz w:val="22"/>
          <w:szCs w:val="22"/>
        </w:rPr>
        <w:t>UNEP. “Green Energy Choices. The benefits, risks and trade-offs of low-carbon technologies for electricity production”, 2015.</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MAPS Chile: “Proyección escenario línea tendencial 2012 y escenarios de mitigación del sector comercial, público y residencial”. 2014</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MAPS Chile: “Estudio sobre la proyección de emisiones del sector industria y minería al 2050, y medidas de mitigación asociadas”, 2014</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MAPS Chile: “Proyección escenario línea base 2013 y escenarios de mitigación de los sectores generación eléctrica y otros centros de transformación”. 2013</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MAPS Chile: “Resultados de Fase 2”. 2014</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 Energía. “Energía 2050. Política Energética de Chile”.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 Desarrollo Social. “Precios Sociales Vigentes 2016”.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 Desarrollo Social “Estimación precio social del carbono”. 2013</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“Guía metodológica para la elaboración de un análisis general de impacto económico y social (AGIES) para instrumentos de calidad del aire”. 2013</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“Actualización para proyecto definitivo – Análisis general del impacto económico y social del plan de descontaminación de Temuco y Padre las Casas por MP10 y MP2,5”. 2014</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“Análisis general del impacto económico y social del anteproyecto de plan de prevención y descontaminación de la Región Metropolitana”. 2015</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“DS13/2011. Establece norma de emisión para centrales termoeléctricas”. 2011</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de Temuco y Padre las Casas”. 2015</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para la comuna de Osorno”.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para las comunas de Chillán y Chillán viejo”.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para la ciudad de Coyhaique”.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para las comunas de Talca y Maule”.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Ministerio del Medio Ambiente. “Plan de descontaminación atmosférica para el valle central de la región de O’Higgins” 2013.</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CONAMA. “Análisis general de impacto económico y social de una norma de emisión para termoeléctricas”. 2009</w:t>
      </w:r>
    </w:p>
    <w:p w:rsidR="00C419B8" w:rsidRPr="001C59A0" w:rsidRDefault="00C419B8" w:rsidP="00C419B8">
      <w:pPr>
        <w:pStyle w:val="Default"/>
        <w:spacing w:after="100" w:afterAutospacing="1"/>
        <w:jc w:val="both"/>
        <w:rPr>
          <w:rFonts w:ascii="Arial" w:hAnsi="Arial" w:cs="Arial"/>
          <w:color w:val="auto"/>
          <w:sz w:val="22"/>
          <w:szCs w:val="22"/>
          <w:lang w:val="es-CO"/>
        </w:rPr>
      </w:pPr>
      <w:r w:rsidRPr="001C59A0">
        <w:rPr>
          <w:rFonts w:ascii="Arial" w:hAnsi="Arial" w:cs="Arial"/>
          <w:color w:val="auto"/>
          <w:sz w:val="22"/>
          <w:szCs w:val="22"/>
          <w:lang w:val="es-CO"/>
        </w:rPr>
        <w:t>Ministerio de Hacienda. “Circular 47/2016. Imparte instrucciones sobre declaración y pago del impuesto a las emisiones de compuestos contaminantes producidas por fuentes fijas, contenido en el artículo 8° de la Ley N° 20.780, de 29 de septiembre de 2014, modificado por el artículo 8°, N° 2, de la Ley N° 20.899, de 8 de febrero de 2016, que simplifica el sistema de tributación a la renta y perfecciona otras disposiciones legales. Deja sin efecto Circular N° 52, de 2015.” 2016</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Instituto Nacional de Estadísticas. “Chile: Proyecciones y estimaciones de población. Total país 1950-2050”</w:t>
      </w:r>
    </w:p>
    <w:p w:rsidR="00C419B8" w:rsidRPr="001C59A0" w:rsidRDefault="00C419B8" w:rsidP="00C419B8">
      <w:pPr>
        <w:spacing w:after="100" w:afterAutospacing="1"/>
        <w:jc w:val="both"/>
        <w:rPr>
          <w:rFonts w:ascii="Arial" w:hAnsi="Arial" w:cs="Arial"/>
          <w:sz w:val="22"/>
          <w:szCs w:val="22"/>
          <w:lang w:val="es-CO"/>
        </w:rPr>
      </w:pPr>
      <w:r w:rsidRPr="001C59A0">
        <w:rPr>
          <w:rFonts w:ascii="Arial" w:hAnsi="Arial" w:cs="Arial"/>
          <w:sz w:val="22"/>
          <w:szCs w:val="22"/>
          <w:lang w:val="es-CO"/>
        </w:rPr>
        <w:t>Instituto Nacional de Estadísticas. “VII Encuesta de presupuestos familiares. Resultados VII EPF”. 2013</w:t>
      </w:r>
    </w:p>
    <w:p w:rsidR="00C419B8" w:rsidRPr="001C59A0" w:rsidRDefault="00C419B8" w:rsidP="00C419B8">
      <w:pPr>
        <w:spacing w:after="100" w:afterAutospacing="1"/>
        <w:jc w:val="both"/>
        <w:rPr>
          <w:rFonts w:ascii="Arial" w:hAnsi="Arial" w:cs="Arial"/>
          <w:b/>
          <w:bCs/>
          <w:sz w:val="22"/>
          <w:szCs w:val="22"/>
          <w:lang w:val="es-CO"/>
        </w:rPr>
      </w:pPr>
      <w:r w:rsidRPr="001C59A0">
        <w:rPr>
          <w:rFonts w:ascii="Arial" w:hAnsi="Arial" w:cs="Arial"/>
          <w:b/>
          <w:bCs/>
          <w:sz w:val="22"/>
          <w:szCs w:val="22"/>
          <w:lang w:val="es-CO"/>
        </w:rPr>
        <w:br w:type="page"/>
      </w:r>
    </w:p>
    <w:p w:rsidR="00C419B8" w:rsidRPr="001C59A0" w:rsidRDefault="00C419B8" w:rsidP="00C419B8">
      <w:pPr>
        <w:pStyle w:val="ListParagraph"/>
        <w:spacing w:after="100" w:afterAutospacing="1"/>
        <w:ind w:left="0"/>
        <w:jc w:val="both"/>
        <w:outlineLvl w:val="0"/>
        <w:rPr>
          <w:rFonts w:ascii="Arial" w:hAnsi="Arial" w:cs="Arial"/>
          <w:b/>
          <w:bCs/>
          <w:lang w:val="es-CO"/>
        </w:rPr>
      </w:pPr>
      <w:bookmarkStart w:id="32" w:name="_Toc459677790"/>
      <w:r w:rsidRPr="001C59A0">
        <w:rPr>
          <w:rFonts w:ascii="Arial" w:hAnsi="Arial" w:cs="Arial"/>
          <w:b/>
          <w:bCs/>
          <w:lang w:val="es-CO"/>
        </w:rPr>
        <w:t>ANEXO 1: PROYECCION DE LA POBLACION Y CRECIMIENTO DEL PIB 2013-2050</w:t>
      </w:r>
      <w:bookmarkEnd w:id="32"/>
    </w:p>
    <w:p w:rsidR="00C419B8" w:rsidRPr="001C59A0" w:rsidRDefault="00C419B8" w:rsidP="00C419B8">
      <w:pPr>
        <w:pStyle w:val="ListParagraph"/>
        <w:spacing w:after="100" w:afterAutospacing="1"/>
        <w:ind w:left="0"/>
        <w:jc w:val="both"/>
        <w:rPr>
          <w:rFonts w:ascii="Arial" w:hAnsi="Arial" w:cs="Arial"/>
          <w:b/>
          <w:bCs/>
        </w:rPr>
      </w:pPr>
      <w:r w:rsidRPr="001C59A0">
        <w:rPr>
          <w:rFonts w:ascii="Arial" w:hAnsi="Arial" w:cs="Arial"/>
          <w:b/>
          <w:bCs/>
          <w:lang w:val="es-CO"/>
        </w:rPr>
        <w:t xml:space="preserve">    </w:t>
      </w:r>
      <w:r w:rsidRPr="001C59A0">
        <w:rPr>
          <w:rFonts w:ascii="Arial" w:hAnsi="Arial" w:cs="Arial"/>
          <w:b/>
          <w:bCs/>
          <w:lang w:val="es-CO"/>
        </w:rPr>
        <w:tab/>
      </w:r>
      <w:r w:rsidRPr="001C59A0">
        <w:rPr>
          <w:rFonts w:ascii="Arial" w:hAnsi="Arial" w:cs="Arial"/>
          <w:b/>
          <w:bCs/>
          <w:lang w:val="es-CO"/>
        </w:rPr>
        <w:tab/>
      </w:r>
      <w:r w:rsidRPr="001C59A0">
        <w:rPr>
          <w:rFonts w:ascii="Arial" w:hAnsi="Arial" w:cs="Arial"/>
          <w:b/>
          <w:bCs/>
        </w:rPr>
        <w:t>(Fuente: MAPS Chile, Resultados Fase 2, Anexo 2)</w:t>
      </w:r>
    </w:p>
    <w:p w:rsidR="00C419B8" w:rsidRPr="001C59A0" w:rsidRDefault="00C419B8" w:rsidP="00C419B8">
      <w:pPr>
        <w:pStyle w:val="ListParagraph"/>
        <w:spacing w:after="100" w:afterAutospacing="1"/>
        <w:ind w:left="0"/>
        <w:jc w:val="both"/>
        <w:rPr>
          <w:rFonts w:ascii="Arial" w:hAnsi="Arial" w:cs="Arial"/>
          <w:b/>
          <w:bCs/>
        </w:rPr>
      </w:pPr>
    </w:p>
    <w:p w:rsidR="00C419B8" w:rsidRPr="001C59A0" w:rsidRDefault="00C419B8" w:rsidP="00C419B8">
      <w:pPr>
        <w:pStyle w:val="ListParagraph"/>
        <w:numPr>
          <w:ilvl w:val="0"/>
          <w:numId w:val="9"/>
        </w:numPr>
        <w:autoSpaceDE w:val="0"/>
        <w:autoSpaceDN w:val="0"/>
        <w:adjustRightInd w:val="0"/>
        <w:spacing w:after="100" w:afterAutospacing="1"/>
        <w:ind w:left="0" w:firstLine="0"/>
        <w:jc w:val="both"/>
        <w:rPr>
          <w:rFonts w:ascii="Arial" w:hAnsi="Arial" w:cs="Arial"/>
          <w:b/>
          <w:bCs/>
          <w:color w:val="000000"/>
        </w:rPr>
      </w:pPr>
      <w:r w:rsidRPr="001C59A0">
        <w:rPr>
          <w:rFonts w:ascii="Arial" w:hAnsi="Arial" w:cs="Arial"/>
          <w:b/>
          <w:bCs/>
          <w:color w:val="000000"/>
        </w:rPr>
        <w:t xml:space="preserve">Proyección de la población </w:t>
      </w:r>
    </w:p>
    <w:p w:rsidR="00C419B8" w:rsidRPr="001C59A0" w:rsidRDefault="00C419B8" w:rsidP="00C419B8">
      <w:pPr>
        <w:autoSpaceDE w:val="0"/>
        <w:autoSpaceDN w:val="0"/>
        <w:adjustRightInd w:val="0"/>
        <w:spacing w:after="100" w:afterAutospacing="1"/>
        <w:jc w:val="both"/>
        <w:rPr>
          <w:rFonts w:ascii="Arial" w:hAnsi="Arial" w:cs="Arial"/>
          <w:b/>
          <w:bCs/>
          <w:color w:val="000000"/>
          <w:sz w:val="22"/>
          <w:szCs w:val="22"/>
        </w:rPr>
      </w:pPr>
    </w:p>
    <w:tbl>
      <w:tblPr>
        <w:tblW w:w="0" w:type="auto"/>
        <w:tblInd w:w="2052" w:type="dxa"/>
        <w:tblBorders>
          <w:top w:val="nil"/>
          <w:left w:val="nil"/>
          <w:bottom w:val="nil"/>
          <w:right w:val="nil"/>
        </w:tblBorders>
        <w:tblLayout w:type="fixed"/>
        <w:tblLook w:val="0000" w:firstRow="0" w:lastRow="0" w:firstColumn="0" w:lastColumn="0" w:noHBand="0" w:noVBand="0"/>
      </w:tblPr>
      <w:tblGrid>
        <w:gridCol w:w="1114"/>
        <w:gridCol w:w="1114"/>
        <w:gridCol w:w="115"/>
        <w:gridCol w:w="999"/>
        <w:gridCol w:w="1269"/>
      </w:tblGrid>
      <w:tr w:rsidR="00C419B8" w:rsidRPr="00EF4F23" w:rsidTr="00DE4B10">
        <w:trPr>
          <w:trHeight w:val="109"/>
        </w:trPr>
        <w:tc>
          <w:tcPr>
            <w:tcW w:w="4611" w:type="dxa"/>
            <w:gridSpan w:val="5"/>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lang w:val="es-CO"/>
              </w:rPr>
            </w:pPr>
            <w:r w:rsidRPr="001C59A0">
              <w:rPr>
                <w:rFonts w:ascii="Arial" w:hAnsi="Arial" w:cs="Arial"/>
                <w:b/>
                <w:bCs/>
                <w:color w:val="000000"/>
                <w:sz w:val="22"/>
                <w:szCs w:val="22"/>
                <w:lang w:val="es-CO"/>
              </w:rPr>
              <w:t>Tasa de crecimiento de la población (%)</w:t>
            </w:r>
          </w:p>
        </w:tc>
      </w:tr>
      <w:tr w:rsidR="00C419B8" w:rsidRPr="00EF4F23" w:rsidTr="00DE4B10">
        <w:trPr>
          <w:trHeight w:val="109"/>
        </w:trPr>
        <w:tc>
          <w:tcPr>
            <w:tcW w:w="4611" w:type="dxa"/>
            <w:gridSpan w:val="5"/>
          </w:tcPr>
          <w:p w:rsidR="00C419B8" w:rsidRPr="001C59A0" w:rsidRDefault="00C419B8" w:rsidP="00DE4B10">
            <w:pPr>
              <w:autoSpaceDE w:val="0"/>
              <w:autoSpaceDN w:val="0"/>
              <w:adjustRightInd w:val="0"/>
              <w:spacing w:after="100" w:afterAutospacing="1"/>
              <w:jc w:val="both"/>
              <w:rPr>
                <w:rFonts w:ascii="Arial" w:hAnsi="Arial" w:cs="Arial"/>
                <w:b/>
                <w:bCs/>
                <w:color w:val="000000"/>
                <w:sz w:val="22"/>
                <w:szCs w:val="22"/>
                <w:lang w:val="es-CO"/>
              </w:rPr>
            </w:pP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Año</w:t>
            </w:r>
          </w:p>
        </w:tc>
        <w:tc>
          <w:tcPr>
            <w:tcW w:w="1229"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Escenario</w:t>
            </w:r>
          </w:p>
        </w:tc>
        <w:tc>
          <w:tcPr>
            <w:tcW w:w="99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Año</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Escenario</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2013</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0,89</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2032</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0,33</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2014</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0,88</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2033</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0,33</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2015</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0,87</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2034</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0,33</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2016</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0,77</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2035</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0,33</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2017</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0,76</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2036</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0,2</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2018</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0,75</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2037</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0,2</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2019</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0,75</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2038</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0,2</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2020</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0,74</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2039</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0,2</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2021</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0,63</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2040</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0,2</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2022</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0,62</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2041</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0,08</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2023</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0,62</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2042</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0,08</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2024</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0,61</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2043</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0,08</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2025</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0,61</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2044</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0,08</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2026</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0,48</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2045</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0,08</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2027</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0,48</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2046</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0,01</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2028</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0,47</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2047</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0,01</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2029</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0,47</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2048</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0,01</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2030</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0,47</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2049</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0,01</w:t>
            </w:r>
          </w:p>
        </w:tc>
      </w:tr>
      <w:tr w:rsidR="00C419B8" w:rsidRPr="001C59A0" w:rsidTr="00DE4B10">
        <w:trPr>
          <w:trHeight w:val="109"/>
        </w:trPr>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2031</w:t>
            </w:r>
          </w:p>
        </w:tc>
        <w:tc>
          <w:tcPr>
            <w:tcW w:w="1114"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0,33</w:t>
            </w:r>
          </w:p>
        </w:tc>
        <w:tc>
          <w:tcPr>
            <w:tcW w:w="1114"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2050</w:t>
            </w:r>
          </w:p>
        </w:tc>
        <w:tc>
          <w:tcPr>
            <w:tcW w:w="1269" w:type="dxa"/>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0,01</w:t>
            </w:r>
          </w:p>
        </w:tc>
      </w:tr>
      <w:tr w:rsidR="00C419B8" w:rsidRPr="001C59A0" w:rsidTr="00DE4B10">
        <w:trPr>
          <w:trHeight w:val="109"/>
        </w:trPr>
        <w:tc>
          <w:tcPr>
            <w:tcW w:w="2228"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Valor inicial 2012</w:t>
            </w:r>
          </w:p>
        </w:tc>
        <w:tc>
          <w:tcPr>
            <w:tcW w:w="2383" w:type="dxa"/>
            <w:gridSpan w:val="3"/>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17.402.630 habitantes</w:t>
            </w:r>
          </w:p>
        </w:tc>
      </w:tr>
      <w:tr w:rsidR="00C419B8" w:rsidRPr="001C59A0" w:rsidTr="00DE4B10">
        <w:trPr>
          <w:trHeight w:val="109"/>
        </w:trPr>
        <w:tc>
          <w:tcPr>
            <w:tcW w:w="2228" w:type="dxa"/>
            <w:gridSpan w:val="2"/>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b/>
                <w:bCs/>
                <w:color w:val="000000"/>
                <w:sz w:val="22"/>
                <w:szCs w:val="22"/>
              </w:rPr>
              <w:t>Fuente</w:t>
            </w:r>
          </w:p>
        </w:tc>
        <w:tc>
          <w:tcPr>
            <w:tcW w:w="2383" w:type="dxa"/>
            <w:gridSpan w:val="3"/>
          </w:tcPr>
          <w:p w:rsidR="00C419B8" w:rsidRPr="001C59A0" w:rsidRDefault="00C419B8" w:rsidP="00DE4B10">
            <w:pPr>
              <w:autoSpaceDE w:val="0"/>
              <w:autoSpaceDN w:val="0"/>
              <w:adjustRightInd w:val="0"/>
              <w:spacing w:after="100" w:afterAutospacing="1"/>
              <w:jc w:val="both"/>
              <w:rPr>
                <w:rFonts w:ascii="Arial" w:hAnsi="Arial" w:cs="Arial"/>
                <w:color w:val="000000"/>
                <w:sz w:val="22"/>
                <w:szCs w:val="22"/>
              </w:rPr>
            </w:pPr>
            <w:r w:rsidRPr="001C59A0">
              <w:rPr>
                <w:rFonts w:ascii="Arial" w:hAnsi="Arial" w:cs="Arial"/>
                <w:color w:val="000000"/>
                <w:sz w:val="22"/>
                <w:szCs w:val="22"/>
              </w:rPr>
              <w:t>Instituto Nacional de Estadísticas</w:t>
            </w:r>
          </w:p>
        </w:tc>
      </w:tr>
    </w:tbl>
    <w:p w:rsidR="00C419B8" w:rsidRPr="001C59A0" w:rsidRDefault="00C419B8" w:rsidP="00C419B8">
      <w:pPr>
        <w:autoSpaceDE w:val="0"/>
        <w:autoSpaceDN w:val="0"/>
        <w:adjustRightInd w:val="0"/>
        <w:spacing w:after="100" w:afterAutospacing="1"/>
        <w:jc w:val="both"/>
        <w:rPr>
          <w:rFonts w:ascii="Arial" w:hAnsi="Arial" w:cs="Arial"/>
          <w:b/>
          <w:bCs/>
          <w:color w:val="000000"/>
          <w:sz w:val="22"/>
          <w:szCs w:val="22"/>
        </w:rPr>
      </w:pPr>
    </w:p>
    <w:p w:rsidR="00C419B8" w:rsidRPr="001C59A0" w:rsidRDefault="00C419B8" w:rsidP="00C419B8">
      <w:pPr>
        <w:autoSpaceDE w:val="0"/>
        <w:autoSpaceDN w:val="0"/>
        <w:adjustRightInd w:val="0"/>
        <w:spacing w:after="100" w:afterAutospacing="1"/>
        <w:jc w:val="both"/>
        <w:rPr>
          <w:rFonts w:ascii="Arial" w:hAnsi="Arial" w:cs="Arial"/>
          <w:b/>
          <w:bCs/>
          <w:color w:val="000000"/>
          <w:sz w:val="22"/>
          <w:szCs w:val="22"/>
        </w:rPr>
      </w:pPr>
    </w:p>
    <w:p w:rsidR="00C419B8" w:rsidRPr="001C59A0" w:rsidRDefault="00C419B8" w:rsidP="00C419B8">
      <w:pPr>
        <w:autoSpaceDE w:val="0"/>
        <w:autoSpaceDN w:val="0"/>
        <w:adjustRightInd w:val="0"/>
        <w:spacing w:after="100" w:afterAutospacing="1"/>
        <w:jc w:val="both"/>
        <w:rPr>
          <w:rFonts w:ascii="Arial" w:hAnsi="Arial" w:cs="Arial"/>
          <w:b/>
          <w:bCs/>
          <w:color w:val="000000"/>
          <w:sz w:val="22"/>
          <w:szCs w:val="22"/>
        </w:rPr>
      </w:pPr>
    </w:p>
    <w:p w:rsidR="00C419B8" w:rsidRPr="001C59A0" w:rsidRDefault="00C419B8" w:rsidP="00C419B8">
      <w:pPr>
        <w:autoSpaceDE w:val="0"/>
        <w:autoSpaceDN w:val="0"/>
        <w:adjustRightInd w:val="0"/>
        <w:spacing w:after="100" w:afterAutospacing="1"/>
        <w:jc w:val="both"/>
        <w:rPr>
          <w:rFonts w:ascii="Arial" w:hAnsi="Arial" w:cs="Arial"/>
          <w:b/>
          <w:bCs/>
          <w:color w:val="000000"/>
          <w:sz w:val="22"/>
          <w:szCs w:val="22"/>
        </w:rPr>
      </w:pPr>
    </w:p>
    <w:p w:rsidR="00C419B8" w:rsidRPr="001C59A0" w:rsidRDefault="00C419B8" w:rsidP="00C419B8">
      <w:pPr>
        <w:spacing w:after="100" w:afterAutospacing="1"/>
        <w:jc w:val="both"/>
        <w:rPr>
          <w:rFonts w:ascii="Arial" w:hAnsi="Arial" w:cs="Arial"/>
          <w:b/>
          <w:bCs/>
          <w:color w:val="000000"/>
          <w:sz w:val="22"/>
          <w:szCs w:val="22"/>
        </w:rPr>
      </w:pPr>
      <w:r w:rsidRPr="001C59A0">
        <w:rPr>
          <w:rFonts w:ascii="Arial" w:hAnsi="Arial" w:cs="Arial"/>
          <w:b/>
          <w:bCs/>
          <w:color w:val="000000"/>
          <w:sz w:val="22"/>
          <w:szCs w:val="22"/>
        </w:rPr>
        <w:br w:type="page"/>
      </w:r>
    </w:p>
    <w:p w:rsidR="00C419B8" w:rsidRPr="001C59A0" w:rsidRDefault="00C419B8" w:rsidP="00C419B8">
      <w:pPr>
        <w:pStyle w:val="ListParagraph"/>
        <w:numPr>
          <w:ilvl w:val="0"/>
          <w:numId w:val="9"/>
        </w:numPr>
        <w:autoSpaceDE w:val="0"/>
        <w:autoSpaceDN w:val="0"/>
        <w:adjustRightInd w:val="0"/>
        <w:spacing w:after="100" w:afterAutospacing="1"/>
        <w:ind w:left="0" w:firstLine="0"/>
        <w:jc w:val="both"/>
        <w:rPr>
          <w:rFonts w:ascii="Arial" w:hAnsi="Arial" w:cs="Arial"/>
          <w:color w:val="000000"/>
          <w:lang w:val="es-CO"/>
        </w:rPr>
      </w:pPr>
      <w:r w:rsidRPr="001C59A0">
        <w:rPr>
          <w:rFonts w:ascii="Arial" w:hAnsi="Arial" w:cs="Arial"/>
          <w:b/>
          <w:bCs/>
          <w:lang w:val="es-CO"/>
        </w:rPr>
        <w:t xml:space="preserve">Proyección de la tasa de crecimiento del PIB </w:t>
      </w:r>
    </w:p>
    <w:p w:rsidR="00C419B8" w:rsidRPr="001C59A0" w:rsidRDefault="00C419B8" w:rsidP="00C419B8">
      <w:pPr>
        <w:pStyle w:val="ListParagraph"/>
        <w:autoSpaceDE w:val="0"/>
        <w:autoSpaceDN w:val="0"/>
        <w:adjustRightInd w:val="0"/>
        <w:spacing w:after="100" w:afterAutospacing="1"/>
        <w:ind w:left="0"/>
        <w:jc w:val="both"/>
        <w:rPr>
          <w:rFonts w:ascii="Arial" w:hAnsi="Arial" w:cs="Arial"/>
          <w:color w:val="000000"/>
          <w:lang w:val="es-CO"/>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8"/>
        <w:gridCol w:w="1147"/>
        <w:gridCol w:w="1134"/>
        <w:gridCol w:w="1134"/>
        <w:gridCol w:w="940"/>
        <w:gridCol w:w="1186"/>
        <w:gridCol w:w="1134"/>
        <w:gridCol w:w="1134"/>
      </w:tblGrid>
      <w:tr w:rsidR="00C419B8" w:rsidRPr="00EF4F23" w:rsidTr="00DE4B10">
        <w:trPr>
          <w:trHeight w:val="109"/>
        </w:trPr>
        <w:tc>
          <w:tcPr>
            <w:tcW w:w="8897" w:type="dxa"/>
            <w:gridSpan w:val="8"/>
          </w:tcPr>
          <w:p w:rsidR="00C419B8" w:rsidRPr="001C59A0" w:rsidRDefault="00C419B8" w:rsidP="00DE4B10">
            <w:pPr>
              <w:spacing w:after="100" w:afterAutospacing="1"/>
              <w:jc w:val="both"/>
              <w:rPr>
                <w:rFonts w:ascii="Arial" w:hAnsi="Arial" w:cs="Arial"/>
                <w:sz w:val="22"/>
                <w:szCs w:val="22"/>
                <w:lang w:val="es-CO"/>
              </w:rPr>
            </w:pPr>
            <w:r w:rsidRPr="001C59A0">
              <w:rPr>
                <w:rFonts w:ascii="Arial" w:hAnsi="Arial" w:cs="Arial"/>
                <w:b/>
                <w:bCs/>
                <w:sz w:val="22"/>
                <w:szCs w:val="22"/>
                <w:lang w:val="es-CO"/>
              </w:rPr>
              <w:t xml:space="preserve">Tasa de crecimiento del Producto Interno Bruto (%) </w:t>
            </w:r>
          </w:p>
        </w:tc>
      </w:tr>
      <w:tr w:rsidR="00C419B8" w:rsidRPr="001C59A0" w:rsidTr="00DE4B10">
        <w:trPr>
          <w:trHeight w:val="242"/>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Año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Bajo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Medio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Alto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Año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Bajo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Medio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Escenario Alto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2013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4,70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5,70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2032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2,70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3,63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2014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4,50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5,50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2033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2,64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3,15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3,52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2015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4,40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5,40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2034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2,59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3,10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3,40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2016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4,70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5,20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2035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2,54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3,05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3,25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2017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4,50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5,00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2036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2,49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3,10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2018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4,40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4,90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2037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2,44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2,95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2,93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2019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3,80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4,30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4,80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2038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2,39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2,76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2020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3,70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4,70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2039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2,34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2,84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2,59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2021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3,60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4,10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4,60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2040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2,29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2,78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2,45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2022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3,50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4,50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2041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2,25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2,71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2,33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2023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3,40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4,41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2042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2,64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2,23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2024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3,30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3,80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4,32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2043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2,15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2,56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2,15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2025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3,20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3,70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4,24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2044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2,10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2,47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2,08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2026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3,10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3,60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4,15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2045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2,38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2,04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2027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3,50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4,07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2046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2,28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2,00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2028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3,40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3,99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2047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2,18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1,97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2029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2,85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3,35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3,91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2048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2,09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1,95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2030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2,80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3,30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3,82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2049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1,85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2,00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1,93 </w:t>
            </w:r>
          </w:p>
        </w:tc>
      </w:tr>
      <w:tr w:rsidR="00C419B8" w:rsidRPr="001C59A0" w:rsidTr="00DE4B10">
        <w:trPr>
          <w:trHeight w:val="109"/>
        </w:trPr>
        <w:tc>
          <w:tcPr>
            <w:tcW w:w="1088"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2031 </w:t>
            </w:r>
          </w:p>
        </w:tc>
        <w:tc>
          <w:tcPr>
            <w:tcW w:w="1147"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2,75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3,25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3,73 </w:t>
            </w:r>
          </w:p>
        </w:tc>
        <w:tc>
          <w:tcPr>
            <w:tcW w:w="940"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2050 </w:t>
            </w:r>
          </w:p>
        </w:tc>
        <w:tc>
          <w:tcPr>
            <w:tcW w:w="1186"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1,80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1,91 </w:t>
            </w:r>
          </w:p>
        </w:tc>
        <w:tc>
          <w:tcPr>
            <w:tcW w:w="1134" w:type="dxa"/>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1,91 </w:t>
            </w:r>
          </w:p>
        </w:tc>
      </w:tr>
      <w:tr w:rsidR="00C419B8" w:rsidRPr="00EF4F23" w:rsidTr="00DE4B10">
        <w:trPr>
          <w:trHeight w:val="238"/>
        </w:trPr>
        <w:tc>
          <w:tcPr>
            <w:tcW w:w="4503" w:type="dxa"/>
            <w:gridSpan w:val="4"/>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Valor inicial 2012 </w:t>
            </w:r>
          </w:p>
        </w:tc>
        <w:tc>
          <w:tcPr>
            <w:tcW w:w="4394" w:type="dxa"/>
            <w:gridSpan w:val="4"/>
          </w:tcPr>
          <w:p w:rsidR="00C419B8" w:rsidRPr="001C59A0" w:rsidRDefault="00C419B8" w:rsidP="00DE4B10">
            <w:pPr>
              <w:spacing w:after="100" w:afterAutospacing="1"/>
              <w:jc w:val="both"/>
              <w:rPr>
                <w:rFonts w:ascii="Arial" w:hAnsi="Arial" w:cs="Arial"/>
                <w:sz w:val="22"/>
                <w:szCs w:val="22"/>
                <w:lang w:val="es-CO"/>
              </w:rPr>
            </w:pPr>
            <w:r w:rsidRPr="001C59A0">
              <w:rPr>
                <w:rFonts w:ascii="Arial" w:hAnsi="Arial" w:cs="Arial"/>
                <w:sz w:val="22"/>
                <w:szCs w:val="22"/>
                <w:lang w:val="es-CO"/>
              </w:rPr>
              <w:t xml:space="preserve">109.750.797 (PIB volumen a precios del año anterior encadenado, millones de pesos). </w:t>
            </w:r>
          </w:p>
        </w:tc>
      </w:tr>
      <w:tr w:rsidR="00C419B8" w:rsidRPr="001C59A0" w:rsidTr="00DE4B10">
        <w:trPr>
          <w:trHeight w:val="109"/>
        </w:trPr>
        <w:tc>
          <w:tcPr>
            <w:tcW w:w="4503" w:type="dxa"/>
            <w:gridSpan w:val="4"/>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b/>
                <w:bCs/>
                <w:sz w:val="22"/>
                <w:szCs w:val="22"/>
              </w:rPr>
              <w:t xml:space="preserve">Fuente </w:t>
            </w:r>
          </w:p>
        </w:tc>
        <w:tc>
          <w:tcPr>
            <w:tcW w:w="4394" w:type="dxa"/>
            <w:gridSpan w:val="4"/>
          </w:tcPr>
          <w:p w:rsidR="00C419B8" w:rsidRPr="001C59A0" w:rsidRDefault="00C419B8" w:rsidP="00DE4B10">
            <w:pPr>
              <w:spacing w:after="100" w:afterAutospacing="1"/>
              <w:jc w:val="both"/>
              <w:rPr>
                <w:rFonts w:ascii="Arial" w:hAnsi="Arial" w:cs="Arial"/>
                <w:sz w:val="22"/>
                <w:szCs w:val="22"/>
              </w:rPr>
            </w:pPr>
            <w:r w:rsidRPr="001C59A0">
              <w:rPr>
                <w:rFonts w:ascii="Arial" w:hAnsi="Arial" w:cs="Arial"/>
                <w:sz w:val="22"/>
                <w:szCs w:val="22"/>
              </w:rPr>
              <w:t xml:space="preserve">Cuentas Nacionales, Base de Datos Estadísticos, Banco Central de Chile, Ministerio </w:t>
            </w:r>
          </w:p>
        </w:tc>
      </w:tr>
    </w:tbl>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sz w:val="22"/>
          <w:szCs w:val="22"/>
        </w:rPr>
        <w:br w:type="page"/>
      </w:r>
    </w:p>
    <w:p w:rsidR="00C419B8" w:rsidRPr="001C59A0" w:rsidRDefault="00C419B8" w:rsidP="00C419B8">
      <w:pPr>
        <w:pStyle w:val="Heading1"/>
        <w:rPr>
          <w:rFonts w:eastAsiaTheme="minorHAnsi" w:cs="Arial"/>
          <w:b w:val="0"/>
          <w:bCs/>
          <w:sz w:val="22"/>
          <w:szCs w:val="22"/>
          <w:lang w:val="es-CO"/>
        </w:rPr>
      </w:pPr>
      <w:bookmarkStart w:id="33" w:name="_Toc459677791"/>
      <w:r w:rsidRPr="001C59A0">
        <w:rPr>
          <w:rFonts w:eastAsiaTheme="minorHAnsi" w:cs="Arial"/>
          <w:b w:val="0"/>
          <w:bCs/>
          <w:sz w:val="22"/>
          <w:szCs w:val="22"/>
          <w:lang w:val="es-CO"/>
        </w:rPr>
        <w:t>ANEXO 2: ANALISIS DE MEDIDAS DE MITIGACION MAPS DE LOS SECTORES DE TRANSPORTE Y DE INDUSTRIA Y MINERIA</w:t>
      </w:r>
      <w:bookmarkEnd w:id="33"/>
    </w:p>
    <w:p w:rsidR="00C419B8" w:rsidRPr="001C59A0" w:rsidRDefault="00C419B8" w:rsidP="00C419B8">
      <w:pPr>
        <w:spacing w:after="100" w:afterAutospacing="1"/>
        <w:jc w:val="both"/>
        <w:rPr>
          <w:rFonts w:ascii="Arial" w:hAnsi="Arial" w:cs="Arial"/>
          <w:b/>
          <w:sz w:val="22"/>
          <w:szCs w:val="22"/>
          <w:lang w:val="es-CO"/>
        </w:rPr>
      </w:pPr>
    </w:p>
    <w:p w:rsidR="00C419B8" w:rsidRPr="001C59A0" w:rsidRDefault="00C419B8" w:rsidP="00C419B8">
      <w:pPr>
        <w:spacing w:after="100" w:afterAutospacing="1"/>
        <w:jc w:val="both"/>
        <w:rPr>
          <w:rFonts w:ascii="Arial" w:hAnsi="Arial" w:cs="Arial"/>
          <w:b/>
          <w:sz w:val="22"/>
          <w:szCs w:val="22"/>
        </w:rPr>
      </w:pPr>
      <w:r w:rsidRPr="001C59A0">
        <w:rPr>
          <w:rFonts w:ascii="Arial" w:hAnsi="Arial" w:cs="Arial"/>
          <w:b/>
          <w:sz w:val="22"/>
          <w:szCs w:val="22"/>
        </w:rPr>
        <w:t>A2.1 Sector CPR</w:t>
      </w:r>
    </w:p>
    <w:p w:rsidR="00C419B8" w:rsidRPr="001C59A0" w:rsidRDefault="00C419B8" w:rsidP="00C419B8">
      <w:pPr>
        <w:pStyle w:val="ListParagraph"/>
        <w:spacing w:after="100" w:afterAutospacing="1"/>
        <w:ind w:left="0"/>
        <w:jc w:val="both"/>
        <w:rPr>
          <w:rFonts w:ascii="Arial" w:hAnsi="Arial" w:cs="Arial"/>
          <w:bCs/>
        </w:rPr>
      </w:pPr>
    </w:p>
    <w:p w:rsidR="00C419B8" w:rsidRPr="001C59A0" w:rsidRDefault="00C419B8" w:rsidP="00C419B8">
      <w:pPr>
        <w:pStyle w:val="ListParagraph"/>
        <w:spacing w:after="100" w:afterAutospacing="1"/>
        <w:ind w:left="0"/>
        <w:jc w:val="both"/>
        <w:rPr>
          <w:rFonts w:ascii="Arial" w:hAnsi="Arial" w:cs="Arial"/>
          <w:bCs/>
        </w:rPr>
      </w:pPr>
    </w:p>
    <w:p w:rsidR="00C419B8" w:rsidRPr="001C59A0" w:rsidRDefault="00C419B8" w:rsidP="00C419B8">
      <w:pPr>
        <w:pStyle w:val="ListParagraph"/>
        <w:spacing w:after="100" w:afterAutospacing="1"/>
        <w:ind w:left="0"/>
        <w:jc w:val="center"/>
        <w:rPr>
          <w:rFonts w:ascii="Arial" w:hAnsi="Arial" w:cs="Arial"/>
          <w:bCs/>
        </w:rPr>
      </w:pPr>
      <w:r w:rsidRPr="001C59A0">
        <w:rPr>
          <w:rFonts w:ascii="Arial" w:hAnsi="Arial" w:cs="Arial"/>
          <w:noProof/>
        </w:rPr>
        <w:drawing>
          <wp:inline distT="0" distB="0" distL="0" distR="0" wp14:anchorId="22F500B6" wp14:editId="2C291B9D">
            <wp:extent cx="4600513" cy="357439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1908" cy="3575475"/>
                    </a:xfrm>
                    <a:prstGeom prst="rect">
                      <a:avLst/>
                    </a:prstGeom>
                    <a:noFill/>
                    <a:ln>
                      <a:noFill/>
                    </a:ln>
                  </pic:spPr>
                </pic:pic>
              </a:graphicData>
            </a:graphic>
          </wp:inline>
        </w:drawing>
      </w: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b/>
          <w:sz w:val="22"/>
          <w:szCs w:val="22"/>
        </w:rPr>
      </w:pPr>
      <w:r w:rsidRPr="001C59A0">
        <w:rPr>
          <w:rFonts w:ascii="Arial" w:hAnsi="Arial" w:cs="Arial"/>
          <w:b/>
          <w:sz w:val="22"/>
          <w:szCs w:val="22"/>
        </w:rPr>
        <w:br w:type="page"/>
      </w: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b/>
          <w:sz w:val="22"/>
          <w:szCs w:val="22"/>
        </w:rPr>
        <w:t>A2.2 Sector INDUSTRIA Y MINERIA</w:t>
      </w:r>
    </w:p>
    <w:p w:rsidR="00C419B8" w:rsidRPr="001C59A0" w:rsidRDefault="00C419B8" w:rsidP="00C419B8">
      <w:pPr>
        <w:spacing w:after="100" w:afterAutospacing="1"/>
        <w:jc w:val="both"/>
        <w:rPr>
          <w:rFonts w:ascii="Arial" w:hAnsi="Arial" w:cs="Arial"/>
          <w:b/>
          <w:sz w:val="22"/>
          <w:szCs w:val="22"/>
        </w:rPr>
      </w:pPr>
    </w:p>
    <w:p w:rsidR="00C419B8" w:rsidRPr="001C59A0" w:rsidRDefault="00C419B8" w:rsidP="00C419B8">
      <w:pPr>
        <w:pStyle w:val="ListParagraph"/>
        <w:spacing w:after="100" w:afterAutospacing="1"/>
        <w:ind w:left="0"/>
        <w:jc w:val="center"/>
        <w:rPr>
          <w:rFonts w:ascii="Arial" w:hAnsi="Arial" w:cs="Arial"/>
          <w:bCs/>
        </w:rPr>
      </w:pPr>
      <w:r w:rsidRPr="001C59A0">
        <w:rPr>
          <w:rFonts w:ascii="Arial" w:hAnsi="Arial" w:cs="Arial"/>
          <w:bCs/>
          <w:noProof/>
        </w:rPr>
        <w:drawing>
          <wp:inline distT="0" distB="0" distL="0" distR="0" wp14:anchorId="4015132D" wp14:editId="038D8795">
            <wp:extent cx="5284470" cy="58305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4470" cy="5830570"/>
                    </a:xfrm>
                    <a:prstGeom prst="rect">
                      <a:avLst/>
                    </a:prstGeom>
                    <a:noFill/>
                    <a:ln>
                      <a:noFill/>
                    </a:ln>
                  </pic:spPr>
                </pic:pic>
              </a:graphicData>
            </a:graphic>
          </wp:inline>
        </w:drawing>
      </w:r>
    </w:p>
    <w:p w:rsidR="00C419B8" w:rsidRPr="001C59A0" w:rsidRDefault="00C419B8" w:rsidP="00C419B8">
      <w:pPr>
        <w:pStyle w:val="ListParagraph"/>
        <w:spacing w:after="100" w:afterAutospacing="1"/>
        <w:ind w:left="0"/>
        <w:jc w:val="both"/>
        <w:rPr>
          <w:rFonts w:ascii="Arial" w:hAnsi="Arial" w:cs="Arial"/>
          <w:bCs/>
        </w:rPr>
      </w:pPr>
    </w:p>
    <w:p w:rsidR="00C419B8" w:rsidRPr="001C59A0" w:rsidRDefault="00C419B8" w:rsidP="00C419B8">
      <w:pPr>
        <w:spacing w:after="100" w:afterAutospacing="1"/>
        <w:contextualSpacing/>
        <w:jc w:val="both"/>
        <w:rPr>
          <w:rFonts w:ascii="Arial" w:eastAsia="Calibri" w:hAnsi="Arial" w:cs="Arial"/>
          <w:sz w:val="22"/>
          <w:szCs w:val="22"/>
        </w:rPr>
      </w:pP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sz w:val="22"/>
          <w:szCs w:val="22"/>
        </w:rPr>
        <w:br w:type="page"/>
      </w: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b/>
          <w:sz w:val="22"/>
          <w:szCs w:val="22"/>
        </w:rPr>
        <w:t>A2.3 Sector TRANSPORTE Y URBANISMO</w:t>
      </w:r>
    </w:p>
    <w:p w:rsidR="00C419B8" w:rsidRPr="001C59A0" w:rsidRDefault="00C419B8" w:rsidP="00C419B8">
      <w:pPr>
        <w:tabs>
          <w:tab w:val="left" w:pos="3198"/>
        </w:tabs>
        <w:spacing w:after="100" w:afterAutospacing="1"/>
        <w:jc w:val="both"/>
        <w:rPr>
          <w:rFonts w:ascii="Arial" w:hAnsi="Arial" w:cs="Arial"/>
          <w:sz w:val="22"/>
          <w:szCs w:val="22"/>
        </w:rPr>
      </w:pPr>
    </w:p>
    <w:p w:rsidR="00C419B8" w:rsidRPr="001C59A0" w:rsidRDefault="00C419B8" w:rsidP="00C419B8">
      <w:pPr>
        <w:spacing w:after="100" w:afterAutospacing="1"/>
        <w:jc w:val="center"/>
        <w:rPr>
          <w:rFonts w:ascii="Arial" w:hAnsi="Arial" w:cs="Arial"/>
          <w:sz w:val="22"/>
          <w:szCs w:val="22"/>
        </w:rPr>
      </w:pPr>
      <w:r w:rsidRPr="001C59A0">
        <w:rPr>
          <w:rFonts w:ascii="Arial" w:hAnsi="Arial" w:cs="Arial"/>
          <w:noProof/>
          <w:sz w:val="22"/>
          <w:szCs w:val="22"/>
        </w:rPr>
        <w:drawing>
          <wp:inline distT="0" distB="0" distL="0" distR="0" wp14:anchorId="6797179F" wp14:editId="2A722D51">
            <wp:extent cx="5410946" cy="5521363"/>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5766" cy="5526281"/>
                    </a:xfrm>
                    <a:prstGeom prst="rect">
                      <a:avLst/>
                    </a:prstGeom>
                    <a:noFill/>
                    <a:ln>
                      <a:noFill/>
                    </a:ln>
                  </pic:spPr>
                </pic:pic>
              </a:graphicData>
            </a:graphic>
          </wp:inline>
        </w:drawing>
      </w:r>
    </w:p>
    <w:p w:rsidR="00C419B8" w:rsidRPr="001C59A0" w:rsidRDefault="00C419B8" w:rsidP="00C419B8">
      <w:pPr>
        <w:spacing w:after="100" w:afterAutospacing="1"/>
        <w:jc w:val="center"/>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p>
    <w:p w:rsidR="00C419B8" w:rsidRPr="001C59A0" w:rsidRDefault="00C419B8" w:rsidP="00C419B8">
      <w:pPr>
        <w:spacing w:after="100" w:afterAutospacing="1"/>
        <w:jc w:val="both"/>
        <w:rPr>
          <w:rFonts w:ascii="Arial" w:hAnsi="Arial" w:cs="Arial"/>
          <w:sz w:val="22"/>
          <w:szCs w:val="22"/>
        </w:rPr>
      </w:pPr>
      <w:r w:rsidRPr="001C59A0">
        <w:rPr>
          <w:rFonts w:ascii="Arial" w:hAnsi="Arial" w:cs="Arial"/>
          <w:sz w:val="22"/>
          <w:szCs w:val="22"/>
        </w:rPr>
        <w:br w:type="page"/>
      </w:r>
    </w:p>
    <w:p w:rsidR="00C419B8" w:rsidRPr="001C59A0" w:rsidRDefault="00C419B8" w:rsidP="00C419B8">
      <w:pPr>
        <w:pStyle w:val="Heading1"/>
        <w:rPr>
          <w:rFonts w:eastAsiaTheme="minorHAnsi" w:cs="Arial"/>
          <w:b w:val="0"/>
          <w:bCs/>
          <w:sz w:val="22"/>
          <w:szCs w:val="22"/>
          <w:lang w:val="es-CO"/>
        </w:rPr>
      </w:pPr>
      <w:bookmarkStart w:id="34" w:name="_Toc459677792"/>
      <w:r w:rsidRPr="001C59A0">
        <w:rPr>
          <w:rFonts w:eastAsiaTheme="minorHAnsi" w:cs="Arial"/>
          <w:b w:val="0"/>
          <w:bCs/>
          <w:sz w:val="22"/>
          <w:szCs w:val="22"/>
          <w:lang w:val="es-CO"/>
        </w:rPr>
        <w:t>ANEXO 3: ANÁLISIS DE LAS PRINCIPALES MEDIDAS DE MITIGACIÓN MAPS</w:t>
      </w:r>
      <w:bookmarkEnd w:id="34"/>
    </w:p>
    <w:p w:rsidR="00C419B8" w:rsidRPr="001C59A0" w:rsidRDefault="00C419B8" w:rsidP="00C419B8">
      <w:pPr>
        <w:spacing w:before="120" w:line="259" w:lineRule="auto"/>
        <w:jc w:val="both"/>
        <w:rPr>
          <w:rFonts w:ascii="Arial" w:hAnsi="Arial" w:cs="Arial"/>
          <w:color w:val="222222"/>
          <w:sz w:val="22"/>
          <w:szCs w:val="22"/>
          <w:lang w:val="es-ES"/>
        </w:rPr>
      </w:pPr>
    </w:p>
    <w:p w:rsidR="00C419B8" w:rsidRPr="001C59A0" w:rsidRDefault="00C419B8" w:rsidP="00C419B8">
      <w:pPr>
        <w:spacing w:before="120" w:line="259" w:lineRule="auto"/>
        <w:jc w:val="both"/>
        <w:rPr>
          <w:rFonts w:ascii="Arial" w:hAnsi="Arial" w:cs="Arial"/>
          <w:color w:val="222222"/>
          <w:sz w:val="22"/>
          <w:szCs w:val="22"/>
          <w:lang w:val="es-ES"/>
        </w:rPr>
      </w:pPr>
      <w:r w:rsidRPr="001C59A0">
        <w:rPr>
          <w:rFonts w:ascii="Arial" w:hAnsi="Arial" w:cs="Arial"/>
          <w:color w:val="222222"/>
          <w:sz w:val="22"/>
          <w:szCs w:val="22"/>
          <w:lang w:val="es-ES"/>
        </w:rPr>
        <w:t xml:space="preserve">En el trabajo de MAPS se identificó, analizó y evaluó más de 96 medidas de mitigación de emisiones GEI. La secuencia de cálculo se inició con la definición y modelación de cada una de estas medidas por separado, estableciendo los niveles de reducción de emisiones y los costos asociados a la medida; luego se definieron “escenarios de mitigación” consistentes en agrupamientos de medidas según ciertos criterios generales (los escenarios son alternativos, de forma que una medida puede formar parte de más de un escenario), para finalmente modelarse cada escenario de forma agregada con el fin de establecer las emisiones a nivel global y el funcionamiento general de la economía en términos de evolución esperada del PIB. Algunas medidas fueron analizadas en dos o tres niveles de profundidad de aplicación. </w:t>
      </w:r>
    </w:p>
    <w:p w:rsidR="00C419B8" w:rsidRPr="001C59A0" w:rsidRDefault="00C419B8" w:rsidP="00C419B8">
      <w:pPr>
        <w:spacing w:before="120" w:line="259" w:lineRule="auto"/>
        <w:jc w:val="both"/>
        <w:rPr>
          <w:rFonts w:ascii="Arial" w:hAnsi="Arial" w:cs="Arial"/>
          <w:color w:val="222222"/>
          <w:sz w:val="22"/>
          <w:szCs w:val="22"/>
          <w:lang w:val="es-ES"/>
        </w:rPr>
      </w:pPr>
      <w:r w:rsidRPr="001C59A0">
        <w:rPr>
          <w:rFonts w:ascii="Arial" w:hAnsi="Arial" w:cs="Arial"/>
          <w:color w:val="222222"/>
          <w:sz w:val="22"/>
          <w:szCs w:val="22"/>
          <w:lang w:val="es-ES"/>
        </w:rPr>
        <w:t xml:space="preserve">La evaluación de las medidas hecha por MAPS mostró que un grupo reducido de ellas es el que potencialmente contribuye con las mayores reducciones, destacando en su informe final de la Fase 2 que, del total de medidas inicialmente evaluadas, hay 29 que tienen efectos relevantes como potencial de reducción. En el cuadro siguiente se muestra las 29 medidas más relevantes, con una indicación de los niveles de reducción alcanzables en los años 2020, 2025 y 2030, y las reducciones promedio anual para los períodos 2020 – 2025 y 2025 - 2030. Estas reducciones son para el escenario de esfuerzo alto, único para el que se dispone este análisis. Los nombres de las medidas pueden diferir levemente de los nombres oficiales de MAPS. </w:t>
      </w:r>
    </w:p>
    <w:p w:rsidR="00C419B8" w:rsidRPr="001C59A0" w:rsidRDefault="00C419B8" w:rsidP="00C419B8">
      <w:pPr>
        <w:tabs>
          <w:tab w:val="left" w:pos="7759"/>
        </w:tabs>
        <w:jc w:val="both"/>
        <w:rPr>
          <w:rFonts w:ascii="Arial" w:hAnsi="Arial" w:cs="Arial"/>
          <w:sz w:val="22"/>
          <w:szCs w:val="22"/>
          <w:lang w:val="es-ES"/>
        </w:rPr>
      </w:pPr>
      <w:r w:rsidRPr="001C59A0">
        <w:rPr>
          <w:rFonts w:ascii="Arial" w:hAnsi="Arial" w:cs="Arial"/>
          <w:sz w:val="22"/>
          <w:szCs w:val="22"/>
          <w:lang w:val="es-ES"/>
        </w:rPr>
        <w:tab/>
      </w:r>
    </w:p>
    <w:p w:rsidR="00C419B8" w:rsidRPr="001C59A0" w:rsidRDefault="00C419B8" w:rsidP="00C419B8">
      <w:pPr>
        <w:spacing w:before="120" w:line="259" w:lineRule="auto"/>
        <w:jc w:val="both"/>
        <w:rPr>
          <w:rFonts w:ascii="Arial" w:hAnsi="Arial" w:cs="Arial"/>
          <w:b/>
          <w:color w:val="222222"/>
          <w:sz w:val="22"/>
          <w:szCs w:val="22"/>
          <w:lang w:val="es-ES"/>
        </w:rPr>
      </w:pPr>
      <w:r w:rsidRPr="001C59A0">
        <w:rPr>
          <w:rFonts w:ascii="Arial" w:hAnsi="Arial" w:cs="Arial"/>
          <w:b/>
          <w:color w:val="222222"/>
          <w:sz w:val="22"/>
          <w:szCs w:val="22"/>
          <w:lang w:val="es-ES"/>
        </w:rPr>
        <w:t>Comentarios a las reducciones de las medidas</w:t>
      </w:r>
    </w:p>
    <w:p w:rsidR="00C419B8" w:rsidRPr="001C59A0" w:rsidRDefault="00C419B8" w:rsidP="00C419B8">
      <w:pPr>
        <w:spacing w:before="120" w:line="259" w:lineRule="auto"/>
        <w:jc w:val="both"/>
        <w:rPr>
          <w:rFonts w:ascii="Arial" w:hAnsi="Arial" w:cs="Arial"/>
          <w:color w:val="222222"/>
          <w:sz w:val="22"/>
          <w:szCs w:val="22"/>
          <w:lang w:val="es-ES"/>
        </w:rPr>
      </w:pPr>
      <w:r w:rsidRPr="001C59A0">
        <w:rPr>
          <w:rFonts w:ascii="Arial" w:hAnsi="Arial" w:cs="Arial"/>
          <w:color w:val="222222"/>
          <w:sz w:val="22"/>
          <w:szCs w:val="22"/>
          <w:lang w:val="es-ES"/>
        </w:rPr>
        <w:t xml:space="preserve">Se observa en forma muy destacada que las principales medidas de mitigación corresponden al sector eléctrico, con medidas que reducen desde un mínimo de 2,5 mill tCO2eq hasta un máximo de 17 mill tCO2eq. Para el resto de las medidas estudiadas hay sólo dos casos relevantes: Meta de emisiones de vehículos nuevos, con 2,8 – 4,9 mill tCO2eq de reducción, y Fomento a la forestación, con reducciones de 6,1 – 4,1 mill tCO2eq (esta última del sector forestal por lo que no contaría para el cumplimiento del compromiso en evaluación). </w:t>
      </w:r>
    </w:p>
    <w:p w:rsidR="00C419B8" w:rsidRPr="001C59A0" w:rsidRDefault="00C419B8" w:rsidP="00C419B8">
      <w:pPr>
        <w:spacing w:before="120" w:line="259" w:lineRule="auto"/>
        <w:jc w:val="both"/>
        <w:rPr>
          <w:rFonts w:ascii="Arial" w:hAnsi="Arial" w:cs="Arial"/>
          <w:color w:val="222222"/>
          <w:sz w:val="22"/>
          <w:szCs w:val="22"/>
          <w:lang w:val="es-ES"/>
        </w:rPr>
      </w:pPr>
    </w:p>
    <w:p w:rsidR="00C419B8" w:rsidRPr="001C59A0" w:rsidRDefault="00C419B8" w:rsidP="00C419B8">
      <w:pPr>
        <w:spacing w:before="120" w:line="259" w:lineRule="auto"/>
        <w:jc w:val="both"/>
        <w:rPr>
          <w:rFonts w:ascii="Arial" w:hAnsi="Arial" w:cs="Arial"/>
          <w:color w:val="222222"/>
          <w:sz w:val="22"/>
          <w:szCs w:val="22"/>
          <w:lang w:val="es-ES"/>
        </w:rPr>
      </w:pPr>
      <w:r w:rsidRPr="001C59A0">
        <w:rPr>
          <w:rFonts w:ascii="Arial" w:hAnsi="Arial" w:cs="Arial"/>
          <w:color w:val="222222"/>
          <w:sz w:val="22"/>
          <w:szCs w:val="22"/>
          <w:lang w:val="es-ES"/>
        </w:rPr>
        <w:t xml:space="preserve">Las medidas del sector eléctrico que más reducen son: </w:t>
      </w:r>
      <w:r w:rsidRPr="001C59A0">
        <w:rPr>
          <w:rFonts w:ascii="Arial" w:hAnsi="Arial" w:cs="Arial"/>
          <w:sz w:val="22"/>
          <w:lang w:val="es-CO"/>
        </w:rPr>
        <w:t>Desarrollo hídrico de gran escala</w:t>
      </w:r>
      <w:r w:rsidRPr="001C59A0">
        <w:rPr>
          <w:rFonts w:ascii="Arial" w:hAnsi="Arial" w:cs="Arial"/>
          <w:color w:val="222222"/>
          <w:sz w:val="22"/>
          <w:szCs w:val="22"/>
          <w:lang w:val="es-ES"/>
        </w:rPr>
        <w:t xml:space="preserve"> , con rebajas de 10,4 – 17,2 mill tCO2eq, Aumento de la generación con GNl, con rebajas de 13,4 – 4,8 mill tCO2eq, Interconexión regional, con reducciones de 7,0 – 3,9 mill tCO2eq, y las medidas de incentivo a las generaciones eólica y solar, que separadamente reducen en forma significativa.  </w:t>
      </w:r>
    </w:p>
    <w:p w:rsidR="00C419B8" w:rsidRPr="001C59A0" w:rsidRDefault="00C419B8" w:rsidP="00C419B8">
      <w:pPr>
        <w:tabs>
          <w:tab w:val="left" w:pos="7759"/>
        </w:tabs>
        <w:jc w:val="both"/>
        <w:rPr>
          <w:rFonts w:ascii="Arial" w:hAnsi="Arial" w:cs="Arial"/>
          <w:sz w:val="22"/>
          <w:szCs w:val="22"/>
          <w:lang w:val="es-ES"/>
        </w:rPr>
      </w:pPr>
    </w:p>
    <w:p w:rsidR="00C419B8" w:rsidRPr="001C59A0" w:rsidRDefault="00C419B8" w:rsidP="00C419B8">
      <w:pPr>
        <w:spacing w:before="480" w:after="480" w:line="259" w:lineRule="auto"/>
        <w:ind w:left="284"/>
        <w:jc w:val="center"/>
        <w:rPr>
          <w:rFonts w:ascii="Arial" w:hAnsi="Arial" w:cs="Arial"/>
          <w:color w:val="222222"/>
          <w:sz w:val="22"/>
          <w:szCs w:val="22"/>
          <w:lang w:val="es-ES"/>
        </w:rPr>
      </w:pPr>
      <w:r w:rsidRPr="001C59A0">
        <w:rPr>
          <w:rFonts w:ascii="Arial" w:hAnsi="Arial" w:cs="Arial"/>
          <w:noProof/>
          <w:sz w:val="22"/>
          <w:szCs w:val="22"/>
        </w:rPr>
        <w:drawing>
          <wp:inline distT="0" distB="0" distL="0" distR="0" wp14:anchorId="79414E3F" wp14:editId="5963AE36">
            <wp:extent cx="5322627" cy="58960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9220" cy="5925474"/>
                    </a:xfrm>
                    <a:prstGeom prst="rect">
                      <a:avLst/>
                    </a:prstGeom>
                    <a:noFill/>
                    <a:ln>
                      <a:noFill/>
                    </a:ln>
                  </pic:spPr>
                </pic:pic>
              </a:graphicData>
            </a:graphic>
          </wp:inline>
        </w:drawing>
      </w:r>
    </w:p>
    <w:p w:rsidR="00C419B8" w:rsidRPr="001C59A0" w:rsidRDefault="00C419B8" w:rsidP="00C419B8">
      <w:pPr>
        <w:spacing w:before="120" w:line="259" w:lineRule="auto"/>
        <w:jc w:val="both"/>
        <w:rPr>
          <w:rFonts w:ascii="Arial" w:hAnsi="Arial" w:cs="Arial"/>
          <w:color w:val="222222"/>
          <w:sz w:val="22"/>
          <w:szCs w:val="22"/>
          <w:lang w:val="es-ES"/>
        </w:rPr>
      </w:pPr>
      <w:r w:rsidRPr="001C59A0">
        <w:rPr>
          <w:rFonts w:ascii="Arial" w:hAnsi="Arial" w:cs="Arial"/>
          <w:color w:val="222222"/>
          <w:sz w:val="22"/>
          <w:szCs w:val="22"/>
          <w:lang w:val="es-ES"/>
        </w:rPr>
        <w:t xml:space="preserve">También es interesante observar que las reducciones que producen las medidas son en general muy variables en el tiempo, con casos de aumentos (reducciones) al doble (la mitad) o triple (un tercio) en el lapso entre 2025 y 2030. Si bien estas variaciones tienen están justificadas por la forma en que fueron modelados los sistemas, en particular los eléctricos, variabilidades tan altas sugieren que estos resultados deben ser tomados con prudencia. </w:t>
      </w:r>
    </w:p>
    <w:p w:rsidR="00C419B8" w:rsidRPr="001C59A0" w:rsidRDefault="00C419B8" w:rsidP="00C419B8">
      <w:pPr>
        <w:spacing w:after="100" w:afterAutospacing="1"/>
        <w:jc w:val="both"/>
        <w:rPr>
          <w:rFonts w:ascii="Arial" w:hAnsi="Arial" w:cs="Arial"/>
          <w:sz w:val="22"/>
          <w:szCs w:val="22"/>
          <w:lang w:val="es-ES"/>
        </w:rPr>
      </w:pPr>
    </w:p>
    <w:p w:rsidR="00C419B8" w:rsidRPr="001C59A0" w:rsidRDefault="00C419B8" w:rsidP="00C419B8">
      <w:pPr>
        <w:spacing w:after="160" w:line="259" w:lineRule="auto"/>
        <w:rPr>
          <w:rFonts w:ascii="Arial" w:hAnsi="Arial" w:cs="Arial"/>
          <w:b/>
          <w:bCs/>
          <w:sz w:val="22"/>
          <w:szCs w:val="22"/>
          <w:lang w:val="es-CO"/>
        </w:rPr>
      </w:pPr>
      <w:r w:rsidRPr="001C59A0">
        <w:rPr>
          <w:rFonts w:ascii="Arial" w:hAnsi="Arial" w:cs="Arial"/>
          <w:b/>
          <w:bCs/>
          <w:sz w:val="22"/>
          <w:szCs w:val="22"/>
          <w:lang w:val="es-CO"/>
        </w:rPr>
        <w:br w:type="page"/>
      </w:r>
    </w:p>
    <w:p w:rsidR="00C419B8" w:rsidRPr="001C59A0" w:rsidRDefault="00C419B8" w:rsidP="00C419B8">
      <w:pPr>
        <w:pStyle w:val="Heading1"/>
        <w:rPr>
          <w:rFonts w:eastAsiaTheme="minorHAnsi" w:cs="Arial"/>
          <w:b w:val="0"/>
          <w:bCs/>
          <w:sz w:val="22"/>
          <w:szCs w:val="22"/>
        </w:rPr>
      </w:pPr>
      <w:bookmarkStart w:id="35" w:name="_Toc459677793"/>
      <w:r w:rsidRPr="001C59A0">
        <w:rPr>
          <w:rFonts w:eastAsiaTheme="minorHAnsi" w:cs="Arial"/>
          <w:b w:val="0"/>
          <w:bCs/>
          <w:sz w:val="22"/>
          <w:szCs w:val="22"/>
        </w:rPr>
        <w:t>ANEXO 4: IMPACTOS ECOSISTEMICOS DE DIVERSAS TECNOLOGIAS DE GENERACION ELECTRICA</w:t>
      </w:r>
      <w:bookmarkEnd w:id="35"/>
    </w:p>
    <w:p w:rsidR="00C419B8" w:rsidRPr="001C59A0" w:rsidRDefault="00C419B8" w:rsidP="00C419B8">
      <w:pPr>
        <w:spacing w:after="100" w:afterAutospacing="1"/>
        <w:jc w:val="both"/>
        <w:rPr>
          <w:rFonts w:ascii="Arial" w:hAnsi="Arial" w:cs="Arial"/>
          <w:b/>
          <w:sz w:val="22"/>
          <w:szCs w:val="22"/>
        </w:rPr>
      </w:pPr>
    </w:p>
    <w:p w:rsidR="00C419B8" w:rsidRPr="001C59A0" w:rsidRDefault="00C419B8" w:rsidP="00C419B8">
      <w:pPr>
        <w:spacing w:after="100" w:afterAutospacing="1"/>
        <w:jc w:val="both"/>
        <w:rPr>
          <w:rFonts w:ascii="Arial" w:hAnsi="Arial" w:cs="Arial"/>
          <w:b/>
          <w:sz w:val="22"/>
          <w:szCs w:val="22"/>
        </w:rPr>
      </w:pPr>
      <w:r w:rsidRPr="001C59A0">
        <w:rPr>
          <w:rFonts w:ascii="Arial" w:hAnsi="Arial" w:cs="Arial"/>
          <w:noProof/>
          <w:sz w:val="22"/>
          <w:szCs w:val="22"/>
        </w:rPr>
        <w:drawing>
          <wp:inline distT="0" distB="0" distL="0" distR="0" wp14:anchorId="601F3A09" wp14:editId="2902651B">
            <wp:extent cx="5612130" cy="285847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858470"/>
                    </a:xfrm>
                    <a:prstGeom prst="rect">
                      <a:avLst/>
                    </a:prstGeom>
                    <a:noFill/>
                    <a:ln>
                      <a:noFill/>
                    </a:ln>
                  </pic:spPr>
                </pic:pic>
              </a:graphicData>
            </a:graphic>
          </wp:inline>
        </w:drawing>
      </w:r>
    </w:p>
    <w:p w:rsidR="00C419B8" w:rsidRDefault="00C419B8" w:rsidP="001C59A0">
      <w:pPr>
        <w:spacing w:after="100" w:afterAutospacing="1"/>
        <w:jc w:val="both"/>
        <w:rPr>
          <w:rFonts w:ascii="Arial" w:hAnsi="Arial" w:cs="Arial"/>
          <w:sz w:val="22"/>
          <w:szCs w:val="22"/>
        </w:rPr>
      </w:pPr>
      <w:r w:rsidRPr="001C59A0">
        <w:rPr>
          <w:rFonts w:ascii="Arial" w:hAnsi="Arial" w:cs="Arial"/>
          <w:sz w:val="22"/>
          <w:szCs w:val="22"/>
        </w:rPr>
        <w:t>Fuente: Green Energy Choices, UNEP, 2015.</w:t>
      </w:r>
    </w:p>
    <w:p w:rsidR="001C59A0" w:rsidRDefault="001C59A0" w:rsidP="001C59A0">
      <w:pPr>
        <w:spacing w:after="100" w:afterAutospacing="1"/>
        <w:jc w:val="both"/>
        <w:rPr>
          <w:rFonts w:ascii="Arial" w:hAnsi="Arial" w:cs="Arial"/>
          <w:sz w:val="22"/>
          <w:szCs w:val="22"/>
        </w:rPr>
      </w:pPr>
    </w:p>
    <w:p w:rsidR="001C59A0" w:rsidRPr="001C59A0" w:rsidRDefault="001C59A0" w:rsidP="001C59A0">
      <w:pPr>
        <w:spacing w:after="100" w:afterAutospacing="1"/>
        <w:jc w:val="both"/>
        <w:rPr>
          <w:rFonts w:ascii="Arial" w:hAnsi="Arial" w:cs="Arial"/>
          <w:sz w:val="22"/>
          <w:szCs w:val="22"/>
        </w:rPr>
        <w:sectPr w:rsidR="001C59A0" w:rsidRPr="001C59A0" w:rsidSect="00F25582">
          <w:pgSz w:w="12240" w:h="15840"/>
          <w:pgMar w:top="1440" w:right="1800" w:bottom="907" w:left="1800" w:header="720" w:footer="720" w:gutter="0"/>
          <w:cols w:space="720"/>
          <w:titlePg/>
          <w:docGrid w:linePitch="326"/>
        </w:sectPr>
      </w:pPr>
    </w:p>
    <w:p w:rsidR="00F25582" w:rsidRPr="001C59A0" w:rsidRDefault="00F25582" w:rsidP="00C419B8">
      <w:pPr>
        <w:rPr>
          <w:rFonts w:ascii="Arial" w:hAnsi="Arial" w:cs="Arial"/>
        </w:rPr>
      </w:pPr>
    </w:p>
    <w:sectPr w:rsidR="00F25582" w:rsidRPr="001C59A0" w:rsidSect="00753475">
      <w:headerReference w:type="default" r:id="rId60"/>
      <w:pgSz w:w="15840" w:h="12240" w:orient="landscape"/>
      <w:pgMar w:top="1800" w:right="1440" w:bottom="1800" w:left="9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15D" w:rsidRDefault="00C8615D" w:rsidP="00530A6E">
      <w:r>
        <w:separator/>
      </w:r>
    </w:p>
  </w:endnote>
  <w:endnote w:type="continuationSeparator" w:id="0">
    <w:p w:rsidR="00C8615D" w:rsidRDefault="00C8615D" w:rsidP="0053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15D" w:rsidRDefault="00C8615D" w:rsidP="00530A6E">
      <w:r>
        <w:separator/>
      </w:r>
    </w:p>
  </w:footnote>
  <w:footnote w:type="continuationSeparator" w:id="0">
    <w:p w:rsidR="00C8615D" w:rsidRDefault="00C8615D" w:rsidP="00530A6E">
      <w:r>
        <w:continuationSeparator/>
      </w:r>
    </w:p>
  </w:footnote>
  <w:footnote w:id="1">
    <w:p w:rsidR="00C8615D" w:rsidRDefault="00C8615D" w:rsidP="00C8615D">
      <w:pPr>
        <w:pStyle w:val="FootnoteText"/>
        <w:rPr>
          <w:lang w:val="es-ES_tradnl"/>
        </w:rPr>
      </w:pPr>
      <w:r>
        <w:rPr>
          <w:rStyle w:val="FootnoteReference"/>
        </w:rPr>
        <w:footnoteRef/>
      </w:r>
      <w:r w:rsidRPr="00EF4F23">
        <w:rPr>
          <w:lang w:val="es-ES_tradnl"/>
        </w:rPr>
        <w:t xml:space="preserve"> </w:t>
      </w:r>
      <w:r>
        <w:rPr>
          <w:lang w:val="es-CO"/>
        </w:rPr>
        <w:t>Actualmente solo aplica para vehículos livianos de pasajeros.</w:t>
      </w:r>
    </w:p>
  </w:footnote>
  <w:footnote w:id="2">
    <w:p w:rsidR="00C8615D" w:rsidRPr="00D6554E" w:rsidRDefault="00C8615D" w:rsidP="00D6554E">
      <w:pPr>
        <w:pStyle w:val="FootnoteText"/>
        <w:ind w:left="180" w:hanging="180"/>
        <w:rPr>
          <w:rFonts w:ascii="Arial" w:hAnsi="Arial" w:cs="Arial"/>
          <w:sz w:val="18"/>
          <w:szCs w:val="18"/>
          <w:lang w:val="es-ES_tradnl"/>
        </w:rPr>
      </w:pPr>
      <w:r w:rsidRPr="00D6554E">
        <w:rPr>
          <w:rStyle w:val="FootnoteReference"/>
          <w:rFonts w:ascii="Arial" w:eastAsiaTheme="majorEastAsia" w:hAnsi="Arial" w:cs="Arial"/>
          <w:sz w:val="18"/>
          <w:szCs w:val="18"/>
        </w:rPr>
        <w:footnoteRef/>
      </w:r>
      <w:r w:rsidRPr="00D6554E">
        <w:rPr>
          <w:rFonts w:ascii="Arial" w:hAnsi="Arial" w:cs="Arial"/>
          <w:sz w:val="18"/>
          <w:szCs w:val="18"/>
          <w:lang w:val="es-ES_tradnl"/>
        </w:rPr>
        <w:t xml:space="preserve"> </w:t>
      </w:r>
      <w:r w:rsidRPr="00D6554E">
        <w:rPr>
          <w:rFonts w:ascii="Arial" w:hAnsi="Arial" w:cs="Arial"/>
          <w:sz w:val="18"/>
          <w:szCs w:val="18"/>
          <w:lang w:val="es-CO"/>
        </w:rPr>
        <w:t>Emisiones de GEI calculadas en emisiones de CO</w:t>
      </w:r>
      <w:r w:rsidRPr="00D6554E">
        <w:rPr>
          <w:rFonts w:ascii="Arial" w:hAnsi="Arial" w:cs="Arial"/>
          <w:sz w:val="18"/>
          <w:szCs w:val="18"/>
          <w:vertAlign w:val="subscript"/>
          <w:lang w:val="es-CO"/>
        </w:rPr>
        <w:t>2</w:t>
      </w:r>
      <w:r w:rsidRPr="00D6554E">
        <w:rPr>
          <w:rFonts w:ascii="Arial" w:hAnsi="Arial" w:cs="Arial"/>
          <w:sz w:val="18"/>
          <w:szCs w:val="18"/>
          <w:lang w:val="es-CO"/>
        </w:rPr>
        <w:t xml:space="preserve"> equivalentes.</w:t>
      </w:r>
    </w:p>
  </w:footnote>
  <w:footnote w:id="3">
    <w:p w:rsidR="00C8615D" w:rsidRPr="00D6554E" w:rsidRDefault="00C8615D" w:rsidP="00D6554E">
      <w:pPr>
        <w:pStyle w:val="FootnoteText"/>
        <w:ind w:left="180" w:hanging="180"/>
        <w:rPr>
          <w:sz w:val="18"/>
          <w:szCs w:val="18"/>
          <w:lang w:val="es-CO"/>
        </w:rPr>
      </w:pPr>
      <w:r w:rsidRPr="00D6554E">
        <w:rPr>
          <w:rStyle w:val="FootnoteReference"/>
          <w:rFonts w:ascii="Arial" w:eastAsiaTheme="majorEastAsia" w:hAnsi="Arial" w:cs="Arial"/>
          <w:sz w:val="18"/>
          <w:szCs w:val="18"/>
        </w:rPr>
        <w:footnoteRef/>
      </w:r>
      <w:r w:rsidRPr="00D6554E">
        <w:rPr>
          <w:rFonts w:ascii="Arial" w:hAnsi="Arial" w:cs="Arial"/>
          <w:sz w:val="18"/>
          <w:szCs w:val="18"/>
          <w:lang w:val="es-CO"/>
        </w:rPr>
        <w:t xml:space="preserve"> Incluye consultas públicas con la participación de instituciones públicas, académicas, ONGs y del sector privado</w:t>
      </w:r>
      <w:r w:rsidRPr="00D6554E">
        <w:rPr>
          <w:sz w:val="18"/>
          <w:szCs w:val="18"/>
          <w:lang w:val="es-CO"/>
        </w:rPr>
        <w:t xml:space="preserve">. </w:t>
      </w:r>
    </w:p>
  </w:footnote>
  <w:footnote w:id="4">
    <w:p w:rsidR="00C8615D" w:rsidRPr="00D6554E" w:rsidRDefault="00C8615D" w:rsidP="00D6554E">
      <w:pPr>
        <w:pStyle w:val="FootnoteText"/>
        <w:ind w:left="180" w:hanging="180"/>
        <w:jc w:val="both"/>
        <w:rPr>
          <w:rFonts w:ascii="Arial" w:hAnsi="Arial" w:cs="Arial"/>
          <w:sz w:val="18"/>
          <w:szCs w:val="18"/>
        </w:rPr>
      </w:pPr>
      <w:r w:rsidRPr="00D6554E">
        <w:rPr>
          <w:rFonts w:ascii="Arial" w:hAnsi="Arial" w:cs="Arial"/>
          <w:sz w:val="18"/>
          <w:szCs w:val="18"/>
        </w:rPr>
        <w:footnoteRef/>
      </w:r>
      <w:r w:rsidRPr="00D6554E">
        <w:rPr>
          <w:rFonts w:ascii="Arial" w:hAnsi="Arial" w:cs="Arial"/>
          <w:sz w:val="18"/>
          <w:szCs w:val="18"/>
        </w:rPr>
        <w:t xml:space="preserve"> Abadie, A. and J. Gardeazabal (2003). “The economic costs of conflict: A case study of the Basque Country.” American Economic Review 93(1): 113-132.</w:t>
      </w:r>
    </w:p>
  </w:footnote>
  <w:footnote w:id="5">
    <w:p w:rsidR="00C8615D" w:rsidRPr="00D6554E" w:rsidRDefault="00C8615D" w:rsidP="00D6554E">
      <w:pPr>
        <w:pStyle w:val="FootnoteText"/>
        <w:ind w:left="180" w:hanging="180"/>
        <w:jc w:val="both"/>
        <w:rPr>
          <w:rFonts w:ascii="Arial" w:hAnsi="Arial" w:cs="Arial"/>
          <w:sz w:val="18"/>
          <w:szCs w:val="18"/>
        </w:rPr>
      </w:pPr>
      <w:r w:rsidRPr="00D6554E">
        <w:rPr>
          <w:rFonts w:ascii="Arial" w:hAnsi="Arial" w:cs="Arial"/>
          <w:sz w:val="18"/>
          <w:szCs w:val="18"/>
        </w:rPr>
        <w:footnoteRef/>
      </w:r>
      <w:r w:rsidRPr="00D6554E">
        <w:rPr>
          <w:rFonts w:ascii="Arial" w:hAnsi="Arial" w:cs="Arial"/>
          <w:sz w:val="18"/>
          <w:szCs w:val="18"/>
        </w:rPr>
        <w:t xml:space="preserve"> Craig, P. (2015). “Synthetic controls: a new approach to evaluating interventions” What works Scotland working paper, March.</w:t>
      </w:r>
    </w:p>
  </w:footnote>
  <w:footnote w:id="6">
    <w:p w:rsidR="00C8615D" w:rsidRPr="00D6554E" w:rsidRDefault="00C8615D" w:rsidP="00D6554E">
      <w:pPr>
        <w:pStyle w:val="FootnoteText"/>
        <w:ind w:left="180" w:hanging="180"/>
        <w:jc w:val="both"/>
        <w:rPr>
          <w:rFonts w:ascii="Arial" w:hAnsi="Arial" w:cs="Arial"/>
          <w:sz w:val="18"/>
          <w:szCs w:val="18"/>
        </w:rPr>
      </w:pPr>
      <w:r w:rsidRPr="00D6554E">
        <w:rPr>
          <w:rFonts w:ascii="Arial" w:hAnsi="Arial" w:cs="Arial"/>
          <w:sz w:val="18"/>
          <w:szCs w:val="18"/>
        </w:rPr>
        <w:footnoteRef/>
      </w:r>
      <w:r w:rsidRPr="00D6554E">
        <w:rPr>
          <w:rFonts w:ascii="Arial" w:hAnsi="Arial" w:cs="Arial"/>
          <w:sz w:val="18"/>
          <w:szCs w:val="18"/>
        </w:rPr>
        <w:t xml:space="preserve"> Ver por ejemplo: Farhani y Ben Rejeb (2012) “Energy Consumption, Economic Growth and CO2 Emissions: Evidence from Panel Data for MENA Region”. International Journal of Energy Economics and Policy. Vol. 2, No. 2, 2012, pp. 71-81. Tyner et. Al. (2010) “Land Use Changes and Consequent CO2 Emissions due to US Corn Ethanol Production: A Comprehensive Analysis” Department of Agricultural Economics, Purdue University (Working Paper). Ozturk y Acaravci (2013) “The long-run and causal analysis of energy, growth, openness and financial development on carbon emissions in Turkey”. Energy Economics. </w:t>
      </w:r>
      <w:hyperlink r:id="rId1" w:tooltip="Go to table of contents for this volume/issue" w:history="1">
        <w:r w:rsidRPr="00D6554E">
          <w:rPr>
            <w:rFonts w:ascii="Arial" w:hAnsi="Arial" w:cs="Arial"/>
            <w:sz w:val="18"/>
            <w:szCs w:val="18"/>
          </w:rPr>
          <w:t>Volume 36</w:t>
        </w:r>
      </w:hyperlink>
      <w:r w:rsidRPr="00D6554E">
        <w:rPr>
          <w:rFonts w:ascii="Arial" w:hAnsi="Arial" w:cs="Arial"/>
          <w:sz w:val="18"/>
          <w:szCs w:val="18"/>
        </w:rPr>
        <w:t>, March 2013, Pages 262–267. Jalil y Mahmud (2009) “Environment Kuznets curve for CO2 emissions: A cointegration analysis for China”. Energy Policy. Volume 37, Issue 12, December 2009, Pages 5167–5172.</w:t>
      </w:r>
    </w:p>
    <w:p w:rsidR="00C8615D" w:rsidRPr="00D6554E" w:rsidRDefault="00C8615D" w:rsidP="00D6554E">
      <w:pPr>
        <w:pStyle w:val="FootnoteText"/>
        <w:ind w:left="180" w:hanging="180"/>
        <w:jc w:val="both"/>
        <w:rPr>
          <w:rFonts w:ascii="Arial" w:hAnsi="Arial" w:cs="Arial"/>
          <w:sz w:val="18"/>
          <w:szCs w:val="18"/>
        </w:rPr>
      </w:pPr>
    </w:p>
  </w:footnote>
  <w:footnote w:id="7">
    <w:p w:rsidR="00C8615D" w:rsidRPr="00D6554E" w:rsidRDefault="00C8615D" w:rsidP="00D6554E">
      <w:pPr>
        <w:pStyle w:val="FootnoteText"/>
        <w:ind w:left="180" w:hanging="180"/>
        <w:jc w:val="both"/>
        <w:rPr>
          <w:rFonts w:ascii="Arial" w:hAnsi="Arial" w:cs="Arial"/>
          <w:sz w:val="18"/>
          <w:szCs w:val="18"/>
          <w:lang w:val="es-ES_tradnl"/>
        </w:rPr>
      </w:pPr>
      <w:r w:rsidRPr="00D6554E">
        <w:rPr>
          <w:rFonts w:ascii="Arial" w:hAnsi="Arial" w:cs="Arial"/>
          <w:sz w:val="18"/>
          <w:szCs w:val="18"/>
        </w:rPr>
        <w:footnoteRef/>
      </w:r>
      <w:r w:rsidRPr="00D6554E">
        <w:rPr>
          <w:rFonts w:ascii="Arial" w:hAnsi="Arial" w:cs="Arial"/>
          <w:sz w:val="18"/>
          <w:szCs w:val="18"/>
        </w:rPr>
        <w:t xml:space="preserve"> Siguiendo a Abadie, Diamond y Hainmmueller (2012). “Synthetic control methods for comparative case studies: Estimating the effect of California's tobacco control program”. </w:t>
      </w:r>
      <w:r w:rsidRPr="00D6554E">
        <w:rPr>
          <w:rFonts w:ascii="Arial" w:hAnsi="Arial" w:cs="Arial"/>
          <w:sz w:val="18"/>
          <w:szCs w:val="18"/>
          <w:lang w:val="es-ES_tradnl"/>
        </w:rPr>
        <w:t>Journal of the American Statistical Association.</w:t>
      </w:r>
    </w:p>
  </w:footnote>
  <w:footnote w:id="8">
    <w:p w:rsidR="00C8615D" w:rsidRPr="00D6554E" w:rsidRDefault="00C8615D" w:rsidP="00D6554E">
      <w:pPr>
        <w:pStyle w:val="FootnoteText"/>
        <w:ind w:left="180" w:hanging="180"/>
        <w:rPr>
          <w:sz w:val="18"/>
          <w:szCs w:val="18"/>
          <w:lang w:val="es-BO"/>
        </w:rPr>
      </w:pPr>
      <w:r w:rsidRPr="00D6554E">
        <w:rPr>
          <w:rStyle w:val="FootnoteReference"/>
          <w:sz w:val="18"/>
          <w:szCs w:val="18"/>
        </w:rPr>
        <w:footnoteRef/>
      </w:r>
      <w:r w:rsidRPr="00D6554E">
        <w:rPr>
          <w:sz w:val="18"/>
          <w:szCs w:val="18"/>
          <w:lang w:val="es-BO"/>
        </w:rPr>
        <w:t xml:space="preserve"> </w:t>
      </w:r>
      <w:r w:rsidRPr="00D6554E">
        <w:rPr>
          <w:sz w:val="18"/>
          <w:szCs w:val="18"/>
          <w:lang w:val="es-ES_tradnl" w:eastAsia="es-ES"/>
        </w:rPr>
        <w:t>En este caso, el criterio de eficiencia se evalúa pero no se califica al ser un programático</w:t>
      </w:r>
    </w:p>
  </w:footnote>
  <w:footnote w:id="9">
    <w:p w:rsidR="00C8615D" w:rsidRPr="00D6554E" w:rsidRDefault="00C8615D" w:rsidP="00D6554E">
      <w:pPr>
        <w:pStyle w:val="FootnoteText"/>
        <w:ind w:left="180" w:hanging="180"/>
        <w:jc w:val="both"/>
        <w:rPr>
          <w:rFonts w:asciiTheme="minorHAnsi" w:hAnsiTheme="minorHAnsi"/>
          <w:sz w:val="18"/>
          <w:szCs w:val="18"/>
          <w:lang w:val="es-CO"/>
        </w:rPr>
      </w:pPr>
      <w:r w:rsidRPr="00D6554E">
        <w:rPr>
          <w:rStyle w:val="FootnoteReference"/>
          <w:sz w:val="18"/>
          <w:szCs w:val="18"/>
        </w:rPr>
        <w:footnoteRef/>
      </w:r>
      <w:r w:rsidRPr="00D6554E">
        <w:rPr>
          <w:sz w:val="18"/>
          <w:szCs w:val="18"/>
          <w:lang w:val="es-CO"/>
        </w:rPr>
        <w:t xml:space="preserve"> </w:t>
      </w:r>
      <w:r w:rsidRPr="00D6554E">
        <w:rPr>
          <w:rFonts w:asciiTheme="minorHAnsi" w:hAnsiTheme="minorHAnsi"/>
          <w:sz w:val="18"/>
          <w:szCs w:val="18"/>
          <w:lang w:val="es-CO"/>
        </w:rPr>
        <w:t>Los precios con competencia son superiores inicialmente a los de línea base debido a que el escenario con competencia considera que el Programa incentiva además una mayor incorporación de energías renovables, las que son más caras. Este mayor costo se verifica desde que se hacen las inversiones lo que sucede al comienzo del Programa y se refleja en las mayores tarifas iniciales. En cambio las reducciones de precio por competencia -que más que compensan este aumento- solo se verifican al entrar en efecto las licitaciones, lo que sucede con rezago a partir del 2019.</w:t>
      </w:r>
    </w:p>
    <w:p w:rsidR="00C8615D" w:rsidRPr="00D6554E" w:rsidRDefault="00C8615D" w:rsidP="00D6554E">
      <w:pPr>
        <w:pStyle w:val="FootnoteText"/>
        <w:ind w:left="180" w:hanging="180"/>
        <w:rPr>
          <w:sz w:val="18"/>
          <w:szCs w:val="18"/>
          <w:lang w:val="es-CO"/>
        </w:rPr>
      </w:pPr>
    </w:p>
  </w:footnote>
  <w:footnote w:id="10">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El escenario que en este documento se denomina “esfuerzo bajo” corresponde al de “esfuerzo base” de MAPS. Se ha modificado el nombre para evitar confusiones con la línea base</w:t>
      </w:r>
    </w:p>
  </w:footnote>
  <w:footnote w:id="11">
    <w:p w:rsidR="00C8615D" w:rsidRPr="00D6554E" w:rsidRDefault="00C8615D" w:rsidP="00D6554E">
      <w:pPr>
        <w:pStyle w:val="FootnoteText"/>
        <w:ind w:left="180" w:hanging="180"/>
        <w:jc w:val="both"/>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Ver “</w:t>
      </w:r>
      <w:r w:rsidRPr="00D6554E">
        <w:rPr>
          <w:rFonts w:asciiTheme="minorHAnsi" w:hAnsiTheme="minorHAnsi"/>
          <w:bCs/>
          <w:sz w:val="18"/>
          <w:szCs w:val="18"/>
          <w:lang w:val="es-CO"/>
        </w:rPr>
        <w:t>Informe final de proyección escenario línea base 2013 y escenarios de mitigación de los sectores generación eléctrica y otros centros de transformación”, proyecto PNUD SDP 27/2013, preparado para el proyecto MAPS, enero 2014.</w:t>
      </w:r>
    </w:p>
  </w:footnote>
  <w:footnote w:id="12">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El crecimiento del PIB fue menos de la mitad de lo proyectado para el 2014 y 2015, situación que se espera se mantenga al menos hasta el 2017 debido a la baja en los precios del cobre, reducción en inversiones y baja en consumo privado. http://www.worldbank.org/en/country/chile/overview.</w:t>
      </w:r>
    </w:p>
  </w:footnote>
  <w:footnote w:id="13">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El escenario que en este documento se denomina “esfuerzo bajo” corresponde al de “esfuerzo base” de MAPS. Se ha modificado el nombre para evitar confusiones con la línea base</w:t>
      </w:r>
    </w:p>
  </w:footnote>
  <w:footnote w:id="14">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Esta es una de las principales razones para no evaluar cada medida por sí sola,</w:t>
      </w:r>
    </w:p>
  </w:footnote>
  <w:footnote w:id="15">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Solo se grafican los tipos de fuentes que presentan alguna variación con respecto a la línea base.</w:t>
      </w:r>
    </w:p>
  </w:footnote>
  <w:footnote w:id="16">
    <w:p w:rsidR="00C8615D" w:rsidRPr="00D6554E" w:rsidRDefault="00C8615D" w:rsidP="00D6554E">
      <w:pPr>
        <w:pStyle w:val="FootnoteText"/>
        <w:ind w:left="180" w:hanging="180"/>
        <w:jc w:val="both"/>
        <w:rPr>
          <w:sz w:val="18"/>
          <w:szCs w:val="18"/>
          <w:lang w:val="es-CO"/>
        </w:rPr>
      </w:pPr>
      <w:r w:rsidRPr="00D6554E">
        <w:rPr>
          <w:rStyle w:val="FootnoteReference"/>
          <w:sz w:val="18"/>
          <w:szCs w:val="18"/>
        </w:rPr>
        <w:footnoteRef/>
      </w:r>
      <w:r w:rsidRPr="00D6554E">
        <w:rPr>
          <w:sz w:val="18"/>
          <w:szCs w:val="18"/>
          <w:lang w:val="es-CO"/>
        </w:rPr>
        <w:t xml:space="preserve"> </w:t>
      </w:r>
      <w:r w:rsidRPr="00D6554E">
        <w:rPr>
          <w:rFonts w:asciiTheme="minorHAnsi" w:hAnsiTheme="minorHAnsi"/>
          <w:sz w:val="18"/>
          <w:szCs w:val="18"/>
          <w:lang w:val="es-CO"/>
        </w:rPr>
        <w:t>Los precios con competencia son superiores inicialmente a los de línea base debido a que el escenario con competencia considera que el Programa incentiva además una mayor incorporación de energías renovables, las que son más caras. Este mayor costo se verifica desde que se hacen las inversiones lo que sucede al comienzo del Programa y se refleja en las mayores tarifas iniciales. En cambio las reducciones de precio por competencia -que más que compensan este aumento- solo se verifican al entrar en efecto las licitaciones, lo que sucede con rezago,  a partir del 2019.</w:t>
      </w:r>
    </w:p>
  </w:footnote>
  <w:footnote w:id="17">
    <w:p w:rsidR="00C8615D" w:rsidRPr="00D6554E" w:rsidRDefault="00C8615D" w:rsidP="00D6554E">
      <w:pPr>
        <w:pStyle w:val="FootnoteText"/>
        <w:ind w:left="180" w:hanging="180"/>
        <w:jc w:val="both"/>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Los resultados se presentan a partir del año 2016, sin embargo, fueron estimados con información al año 2014, por lo que pueden diferir de los precios actuales. </w:t>
      </w:r>
    </w:p>
  </w:footnote>
  <w:footnote w:id="18">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w:t>
      </w:r>
      <w:r w:rsidRPr="00D6554E">
        <w:rPr>
          <w:rFonts w:asciiTheme="minorHAnsi" w:hAnsiTheme="minorHAnsi" w:cs="Calibri"/>
          <w:color w:val="000000"/>
          <w:sz w:val="18"/>
          <w:szCs w:val="18"/>
          <w:lang w:val="es-CO"/>
        </w:rPr>
        <w:t>Fuente: MAPS informe sectorial CPR</w:t>
      </w:r>
    </w:p>
  </w:footnote>
  <w:footnote w:id="19">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Usando la tasa de descuento del BID (12%) el van es de 989 millones de dólares</w:t>
      </w:r>
    </w:p>
  </w:footnote>
  <w:footnote w:id="20">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BC6D71">
        <w:rPr>
          <w:rFonts w:asciiTheme="minorHAnsi" w:hAnsiTheme="minorHAnsi" w:cs="Arial"/>
          <w:sz w:val="18"/>
          <w:szCs w:val="18"/>
          <w:lang w:val="es-CO"/>
        </w:rPr>
        <w:t>Esta cifra no corresponde al mismo año 2020 sino que 2050 (el único año en que se desagregan beneficios de salud por tipo de contaminante). Lo relevante es la desagregación porcentual y no cifras absolutas.</w:t>
      </w:r>
    </w:p>
  </w:footnote>
  <w:footnote w:id="21">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Para mayor detalle se recomienda revisar el capítulo 11 de la “Guía metodológica para la elaboración de un análisis general de impacto económico y social (AGIES) para instrumentos de gestión de calidad del aire”.</w:t>
      </w:r>
    </w:p>
  </w:footnote>
  <w:footnote w:id="22">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Usando la tasa de descuento del BID (12%) el van es de 102 millones de dólares</w:t>
      </w:r>
    </w:p>
  </w:footnote>
  <w:footnote w:id="23">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Usando la tasa de descuento del BID (12%) el van es de 195 millones de dólares</w:t>
      </w:r>
    </w:p>
  </w:footnote>
  <w:footnote w:id="24">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Usando la tasa de descuento del BID (12%) el van es de 1.009 millones de dólares</w:t>
      </w:r>
    </w:p>
  </w:footnote>
  <w:footnote w:id="25">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Usando la tasa de descuento del BID (12%) el van es de 18.006 millones de dólares</w:t>
      </w:r>
    </w:p>
  </w:footnote>
  <w:footnote w:id="26">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Valor presente del total de los beneficios ambientales con tasa BID (12%) son 1.286 millones de dólares</w:t>
      </w:r>
    </w:p>
  </w:footnote>
  <w:footnote w:id="27">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Valor presente del total de los ahorros con tasa BID (12%) son 19.015 millones de dólares</w:t>
      </w:r>
    </w:p>
    <w:p w:rsidR="00C8615D" w:rsidRPr="00D6554E" w:rsidRDefault="00C8615D" w:rsidP="00D6554E">
      <w:pPr>
        <w:pStyle w:val="FootnoteText"/>
        <w:ind w:left="180" w:hanging="180"/>
        <w:rPr>
          <w:sz w:val="18"/>
          <w:szCs w:val="18"/>
          <w:lang w:val="es-CO"/>
        </w:rPr>
      </w:pPr>
    </w:p>
  </w:footnote>
  <w:footnote w:id="28">
    <w:p w:rsidR="00C8615D" w:rsidRPr="00D6554E" w:rsidRDefault="00C8615D" w:rsidP="00D6554E">
      <w:pPr>
        <w:pStyle w:val="FootnoteText"/>
        <w:ind w:left="180" w:hanging="180"/>
        <w:rPr>
          <w:sz w:val="18"/>
          <w:szCs w:val="18"/>
          <w:lang w:val="es-CO"/>
        </w:rPr>
      </w:pPr>
      <w:r w:rsidRPr="00D6554E">
        <w:rPr>
          <w:rStyle w:val="FootnoteReference"/>
          <w:sz w:val="18"/>
          <w:szCs w:val="18"/>
        </w:rPr>
        <w:footnoteRef/>
      </w:r>
      <w:r w:rsidRPr="00D6554E">
        <w:rPr>
          <w:sz w:val="18"/>
          <w:szCs w:val="18"/>
          <w:lang w:val="es-CO"/>
        </w:rPr>
        <w:t xml:space="preserve"> </w:t>
      </w:r>
      <w:r w:rsidRPr="00D6554E">
        <w:rPr>
          <w:rFonts w:asciiTheme="minorHAnsi" w:hAnsiTheme="minorHAnsi"/>
          <w:sz w:val="18"/>
          <w:szCs w:val="18"/>
          <w:lang w:val="es-CO"/>
        </w:rPr>
        <w:t>Usando la tasa de descuento del BID (12%) el van es de 603 millones de dólares</w:t>
      </w:r>
    </w:p>
  </w:footnote>
  <w:footnote w:id="29">
    <w:p w:rsidR="00C8615D" w:rsidRPr="00D6554E" w:rsidRDefault="00C8615D" w:rsidP="00D6554E">
      <w:pPr>
        <w:pStyle w:val="FootnoteText"/>
        <w:ind w:left="180" w:hanging="180"/>
        <w:rPr>
          <w:sz w:val="18"/>
          <w:szCs w:val="18"/>
          <w:lang w:val="es-CO"/>
        </w:rPr>
      </w:pPr>
      <w:r w:rsidRPr="00D6554E">
        <w:rPr>
          <w:rStyle w:val="FootnoteReference"/>
          <w:sz w:val="18"/>
          <w:szCs w:val="18"/>
        </w:rPr>
        <w:footnoteRef/>
      </w:r>
      <w:r w:rsidRPr="00D6554E">
        <w:rPr>
          <w:sz w:val="18"/>
          <w:szCs w:val="18"/>
          <w:lang w:val="es-CO"/>
        </w:rPr>
        <w:t xml:space="preserve"> </w:t>
      </w:r>
      <w:r w:rsidRPr="00D6554E">
        <w:rPr>
          <w:rFonts w:asciiTheme="minorHAnsi" w:hAnsiTheme="minorHAnsi"/>
          <w:sz w:val="18"/>
          <w:szCs w:val="18"/>
          <w:lang w:val="es-CO"/>
        </w:rPr>
        <w:t>Usando la tasa de descuento del BID (12%) el van es de 7.500 millones de dólares</w:t>
      </w:r>
    </w:p>
  </w:footnote>
  <w:footnote w:id="30">
    <w:p w:rsidR="00C8615D" w:rsidRPr="00D6554E" w:rsidRDefault="00C8615D" w:rsidP="00D6554E">
      <w:pPr>
        <w:pStyle w:val="FootnoteText"/>
        <w:ind w:left="180" w:hanging="180"/>
        <w:rPr>
          <w:rFonts w:asciiTheme="minorHAnsi" w:hAnsiTheme="minorHAnsi"/>
          <w:sz w:val="18"/>
          <w:szCs w:val="18"/>
          <w:lang w:val="es-CO"/>
        </w:rPr>
      </w:pPr>
      <w:r w:rsidRPr="00D6554E">
        <w:rPr>
          <w:rStyle w:val="FootnoteReference"/>
          <w:rFonts w:asciiTheme="minorHAnsi" w:hAnsiTheme="minorHAnsi"/>
          <w:sz w:val="18"/>
          <w:szCs w:val="18"/>
        </w:rPr>
        <w:footnoteRef/>
      </w:r>
      <w:r w:rsidRPr="00D6554E">
        <w:rPr>
          <w:rFonts w:asciiTheme="minorHAnsi" w:hAnsiTheme="minorHAnsi"/>
          <w:sz w:val="18"/>
          <w:szCs w:val="18"/>
          <w:lang w:val="es-CO"/>
        </w:rPr>
        <w:t xml:space="preserve"> El escenario que en este documento se denomina “esfuerzo bajo” corresponde al de “esfuerzo base” de MAPS. Se ha modificado el nombre para evitar confusiones con la línea 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3983230"/>
      <w:docPartObj>
        <w:docPartGallery w:val="Page Numbers (Top of Page)"/>
        <w:docPartUnique/>
      </w:docPartObj>
    </w:sdtPr>
    <w:sdtEndPr>
      <w:rPr>
        <w:sz w:val="24"/>
      </w:rPr>
    </w:sdtEndPr>
    <w:sdtContent>
      <w:p w:rsidR="00C8615D" w:rsidRDefault="00C8615D" w:rsidP="001167C9">
        <w:pPr>
          <w:pStyle w:val="Header"/>
          <w:jc w:val="right"/>
        </w:pPr>
      </w:p>
      <w:p w:rsidR="00C8615D" w:rsidRPr="001641DD" w:rsidRDefault="00C251A9" w:rsidP="001641DD">
        <w:pPr>
          <w:pStyle w:val="Header"/>
          <w:jc w:val="right"/>
          <w:rPr>
            <w:lang w:val="es-ES_tradnl"/>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307712577"/>
      <w:docPartObj>
        <w:docPartGallery w:val="Page Numbers (Top of Page)"/>
        <w:docPartUnique/>
      </w:docPartObj>
    </w:sdtPr>
    <w:sdtEndPr>
      <w:rPr>
        <w:sz w:val="24"/>
      </w:rPr>
    </w:sdtEndPr>
    <w:sdtContent>
      <w:p w:rsidR="00C8615D" w:rsidRDefault="00C8615D" w:rsidP="001167C9">
        <w:pPr>
          <w:pStyle w:val="Header"/>
          <w:jc w:val="right"/>
        </w:pPr>
      </w:p>
      <w:p w:rsidR="00C8615D" w:rsidRPr="001641DD" w:rsidRDefault="00C251A9" w:rsidP="001641DD">
        <w:pPr>
          <w:pStyle w:val="Header"/>
          <w:jc w:val="right"/>
          <w:rPr>
            <w:lang w:val="es-ES_tradnl"/>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7B94"/>
    <w:multiLevelType w:val="hybridMultilevel"/>
    <w:tmpl w:val="5A168D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B37A62"/>
    <w:multiLevelType w:val="hybridMultilevel"/>
    <w:tmpl w:val="5448A330"/>
    <w:lvl w:ilvl="0" w:tplc="8892B9BC">
      <w:start w:val="1"/>
      <w:numFmt w:val="decimal"/>
      <w:pStyle w:val="Banknumbered"/>
      <w:lvlText w:val="%1."/>
      <w:lvlJc w:val="left"/>
      <w:pPr>
        <w:ind w:left="720" w:hanging="360"/>
      </w:pPr>
    </w:lvl>
    <w:lvl w:ilvl="1" w:tplc="D062F1AC">
      <w:start w:val="1"/>
      <w:numFmt w:val="lowerLetter"/>
      <w:lvlText w:val="%2."/>
      <w:lvlJc w:val="left"/>
      <w:pPr>
        <w:ind w:left="1440" w:hanging="360"/>
      </w:pPr>
    </w:lvl>
    <w:lvl w:ilvl="2" w:tplc="EC7CEA70">
      <w:start w:val="1"/>
      <w:numFmt w:val="lowerRoman"/>
      <w:lvlText w:val="%3."/>
      <w:lvlJc w:val="right"/>
      <w:pPr>
        <w:ind w:left="2160" w:hanging="180"/>
      </w:pPr>
    </w:lvl>
    <w:lvl w:ilvl="3" w:tplc="7DCC7474">
      <w:start w:val="1"/>
      <w:numFmt w:val="decimal"/>
      <w:lvlText w:val="%4."/>
      <w:lvlJc w:val="left"/>
      <w:pPr>
        <w:ind w:left="2880" w:hanging="360"/>
      </w:pPr>
    </w:lvl>
    <w:lvl w:ilvl="4" w:tplc="F1E46218">
      <w:start w:val="1"/>
      <w:numFmt w:val="lowerLetter"/>
      <w:lvlText w:val="%5."/>
      <w:lvlJc w:val="left"/>
      <w:pPr>
        <w:ind w:left="3600" w:hanging="360"/>
      </w:pPr>
    </w:lvl>
    <w:lvl w:ilvl="5" w:tplc="B2D421B2">
      <w:start w:val="1"/>
      <w:numFmt w:val="lowerRoman"/>
      <w:lvlText w:val="%6."/>
      <w:lvlJc w:val="right"/>
      <w:pPr>
        <w:ind w:left="4320" w:hanging="180"/>
      </w:pPr>
    </w:lvl>
    <w:lvl w:ilvl="6" w:tplc="02CE06CE">
      <w:start w:val="1"/>
      <w:numFmt w:val="decimal"/>
      <w:lvlText w:val="%7."/>
      <w:lvlJc w:val="left"/>
      <w:pPr>
        <w:ind w:left="5040" w:hanging="360"/>
      </w:pPr>
    </w:lvl>
    <w:lvl w:ilvl="7" w:tplc="90F69492">
      <w:start w:val="1"/>
      <w:numFmt w:val="lowerLetter"/>
      <w:lvlText w:val="%8."/>
      <w:lvlJc w:val="left"/>
      <w:pPr>
        <w:ind w:left="5760" w:hanging="360"/>
      </w:pPr>
    </w:lvl>
    <w:lvl w:ilvl="8" w:tplc="5120964A">
      <w:start w:val="1"/>
      <w:numFmt w:val="lowerRoman"/>
      <w:lvlText w:val="%9."/>
      <w:lvlJc w:val="right"/>
      <w:pPr>
        <w:ind w:left="6480" w:hanging="180"/>
      </w:pPr>
    </w:lvl>
  </w:abstractNum>
  <w:abstractNum w:abstractNumId="2">
    <w:nsid w:val="0A3254A0"/>
    <w:multiLevelType w:val="hybridMultilevel"/>
    <w:tmpl w:val="1AA22BF0"/>
    <w:lvl w:ilvl="0" w:tplc="E5220954">
      <w:start w:val="1"/>
      <w:numFmt w:val="lowerLetter"/>
      <w:lvlText w:val="%1)"/>
      <w:lvlJc w:val="left"/>
      <w:pPr>
        <w:ind w:left="1152" w:hanging="360"/>
      </w:pPr>
      <w:rPr>
        <w:rFonts w:hint="default"/>
      </w:rPr>
    </w:lvl>
    <w:lvl w:ilvl="1" w:tplc="340A0019" w:tentative="1">
      <w:start w:val="1"/>
      <w:numFmt w:val="lowerLetter"/>
      <w:lvlText w:val="%2."/>
      <w:lvlJc w:val="left"/>
      <w:pPr>
        <w:ind w:left="1872" w:hanging="360"/>
      </w:pPr>
    </w:lvl>
    <w:lvl w:ilvl="2" w:tplc="340A001B" w:tentative="1">
      <w:start w:val="1"/>
      <w:numFmt w:val="lowerRoman"/>
      <w:lvlText w:val="%3."/>
      <w:lvlJc w:val="right"/>
      <w:pPr>
        <w:ind w:left="2592" w:hanging="180"/>
      </w:pPr>
    </w:lvl>
    <w:lvl w:ilvl="3" w:tplc="340A000F" w:tentative="1">
      <w:start w:val="1"/>
      <w:numFmt w:val="decimal"/>
      <w:lvlText w:val="%4."/>
      <w:lvlJc w:val="left"/>
      <w:pPr>
        <w:ind w:left="3312" w:hanging="360"/>
      </w:pPr>
    </w:lvl>
    <w:lvl w:ilvl="4" w:tplc="340A0019" w:tentative="1">
      <w:start w:val="1"/>
      <w:numFmt w:val="lowerLetter"/>
      <w:lvlText w:val="%5."/>
      <w:lvlJc w:val="left"/>
      <w:pPr>
        <w:ind w:left="4032" w:hanging="360"/>
      </w:pPr>
    </w:lvl>
    <w:lvl w:ilvl="5" w:tplc="340A001B" w:tentative="1">
      <w:start w:val="1"/>
      <w:numFmt w:val="lowerRoman"/>
      <w:lvlText w:val="%6."/>
      <w:lvlJc w:val="right"/>
      <w:pPr>
        <w:ind w:left="4752" w:hanging="180"/>
      </w:pPr>
    </w:lvl>
    <w:lvl w:ilvl="6" w:tplc="340A000F" w:tentative="1">
      <w:start w:val="1"/>
      <w:numFmt w:val="decimal"/>
      <w:lvlText w:val="%7."/>
      <w:lvlJc w:val="left"/>
      <w:pPr>
        <w:ind w:left="5472" w:hanging="360"/>
      </w:pPr>
    </w:lvl>
    <w:lvl w:ilvl="7" w:tplc="340A0019" w:tentative="1">
      <w:start w:val="1"/>
      <w:numFmt w:val="lowerLetter"/>
      <w:lvlText w:val="%8."/>
      <w:lvlJc w:val="left"/>
      <w:pPr>
        <w:ind w:left="6192" w:hanging="360"/>
      </w:pPr>
    </w:lvl>
    <w:lvl w:ilvl="8" w:tplc="340A001B" w:tentative="1">
      <w:start w:val="1"/>
      <w:numFmt w:val="lowerRoman"/>
      <w:lvlText w:val="%9."/>
      <w:lvlJc w:val="right"/>
      <w:pPr>
        <w:ind w:left="6912" w:hanging="180"/>
      </w:pPr>
    </w:lvl>
  </w:abstractNum>
  <w:abstractNum w:abstractNumId="3">
    <w:nsid w:val="0CA3768B"/>
    <w:multiLevelType w:val="hybridMultilevel"/>
    <w:tmpl w:val="1076FB32"/>
    <w:lvl w:ilvl="0" w:tplc="340A0001">
      <w:start w:val="1"/>
      <w:numFmt w:val="bullet"/>
      <w:lvlText w:val=""/>
      <w:lvlJc w:val="left"/>
      <w:pPr>
        <w:ind w:left="765" w:hanging="360"/>
      </w:pPr>
      <w:rPr>
        <w:rFonts w:ascii="Symbol" w:hAnsi="Symbol" w:hint="default"/>
      </w:rPr>
    </w:lvl>
    <w:lvl w:ilvl="1" w:tplc="340A0003">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4">
    <w:nsid w:val="135A1E92"/>
    <w:multiLevelType w:val="hybridMultilevel"/>
    <w:tmpl w:val="2166C040"/>
    <w:lvl w:ilvl="0" w:tplc="16DAF15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6C654F1"/>
    <w:multiLevelType w:val="hybridMultilevel"/>
    <w:tmpl w:val="19D434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C4052E"/>
    <w:multiLevelType w:val="hybridMultilevel"/>
    <w:tmpl w:val="C3040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D79533A"/>
    <w:multiLevelType w:val="multilevel"/>
    <w:tmpl w:val="FF560952"/>
    <w:lvl w:ilvl="0">
      <w:start w:val="1"/>
      <w:numFmt w:val="upperRoman"/>
      <w:pStyle w:val="FirstHeading"/>
      <w:lvlText w:val="%1."/>
      <w:lvlJc w:val="right"/>
      <w:pPr>
        <w:ind w:left="720" w:hanging="720"/>
      </w:pPr>
    </w:lvl>
    <w:lvl w:ilvl="1">
      <w:start w:val="1"/>
      <w:numFmt w:val="decimal"/>
      <w:pStyle w:val="SecHeading"/>
      <w:lvlText w:val="%2."/>
      <w:lvlJc w:val="left"/>
      <w:pPr>
        <w:tabs>
          <w:tab w:val="num" w:pos="1296"/>
        </w:tabs>
        <w:ind w:left="1296" w:hanging="576"/>
      </w:pPr>
    </w:lvl>
    <w:lvl w:ilvl="2">
      <w:start w:val="1"/>
      <w:numFmt w:val="lowerLetter"/>
      <w:pStyle w:val="SubHeading1"/>
      <w:lvlText w:val="%3)"/>
      <w:lvlJc w:val="left"/>
      <w:pPr>
        <w:tabs>
          <w:tab w:val="num" w:pos="666"/>
        </w:tabs>
        <w:ind w:left="666" w:hanging="576"/>
      </w:pPr>
    </w:lvl>
    <w:lvl w:ilvl="3">
      <w:start w:val="1"/>
      <w:numFmt w:val="lowerRoman"/>
      <w:pStyle w:val="Subheading2"/>
      <w:lvlText w:val="(%4)"/>
      <w:lvlJc w:val="right"/>
      <w:pPr>
        <w:tabs>
          <w:tab w:val="num" w:pos="2376"/>
        </w:tabs>
        <w:ind w:left="2376" w:hanging="288"/>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8">
    <w:nsid w:val="2260681E"/>
    <w:multiLevelType w:val="hybridMultilevel"/>
    <w:tmpl w:val="7B10A50C"/>
    <w:lvl w:ilvl="0" w:tplc="312E07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1711D"/>
    <w:multiLevelType w:val="hybridMultilevel"/>
    <w:tmpl w:val="AFC483F4"/>
    <w:lvl w:ilvl="0" w:tplc="A0EC231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55E3D"/>
    <w:multiLevelType w:val="hybridMultilevel"/>
    <w:tmpl w:val="E56CF8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1067149"/>
    <w:multiLevelType w:val="hybridMultilevel"/>
    <w:tmpl w:val="EC1A559C"/>
    <w:lvl w:ilvl="0" w:tplc="54A4A546">
      <w:start w:val="20"/>
      <w:numFmt w:val="bullet"/>
      <w:lvlText w:val="-"/>
      <w:lvlJc w:val="left"/>
      <w:pPr>
        <w:ind w:left="720" w:hanging="360"/>
      </w:pPr>
      <w:rPr>
        <w:rFonts w:ascii="Calibri" w:eastAsiaTheme="minorHAns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30E4F99"/>
    <w:multiLevelType w:val="hybridMultilevel"/>
    <w:tmpl w:val="AE2A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42F2F02"/>
    <w:multiLevelType w:val="hybridMultilevel"/>
    <w:tmpl w:val="12BCFCBA"/>
    <w:lvl w:ilvl="0" w:tplc="ED62782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7CB2C9B"/>
    <w:multiLevelType w:val="hybridMultilevel"/>
    <w:tmpl w:val="7F2077CE"/>
    <w:lvl w:ilvl="0" w:tplc="C3C4A706">
      <w:start w:val="1"/>
      <w:numFmt w:val="bullet"/>
      <w:pStyle w:val="Bullet"/>
      <w:lvlText w:val=""/>
      <w:lvlJc w:val="left"/>
      <w:pPr>
        <w:ind w:left="1080" w:hanging="360"/>
      </w:pPr>
      <w:rPr>
        <w:rFonts w:ascii="Symbol" w:hAnsi="Symbol"/>
      </w:rPr>
    </w:lvl>
    <w:lvl w:ilvl="1" w:tplc="359E5848">
      <w:start w:val="1"/>
      <w:numFmt w:val="bullet"/>
      <w:lvlText w:val="o"/>
      <w:lvlJc w:val="left"/>
      <w:pPr>
        <w:ind w:left="1800" w:hanging="360"/>
      </w:pPr>
      <w:rPr>
        <w:rFonts w:ascii="Courier New" w:hAnsi="Courier New"/>
      </w:rPr>
    </w:lvl>
    <w:lvl w:ilvl="2" w:tplc="1C0437E4">
      <w:start w:val="1"/>
      <w:numFmt w:val="bullet"/>
      <w:lvlText w:val=""/>
      <w:lvlJc w:val="left"/>
      <w:pPr>
        <w:ind w:left="2520" w:hanging="360"/>
      </w:pPr>
      <w:rPr>
        <w:rFonts w:ascii="Wingdings" w:hAnsi="Wingdings"/>
      </w:rPr>
    </w:lvl>
    <w:lvl w:ilvl="3" w:tplc="78B2B2AE">
      <w:start w:val="1"/>
      <w:numFmt w:val="bullet"/>
      <w:lvlText w:val=""/>
      <w:lvlJc w:val="left"/>
      <w:pPr>
        <w:ind w:left="3240" w:hanging="360"/>
      </w:pPr>
      <w:rPr>
        <w:rFonts w:ascii="Symbol" w:hAnsi="Symbol"/>
      </w:rPr>
    </w:lvl>
    <w:lvl w:ilvl="4" w:tplc="3F48FC98">
      <w:start w:val="1"/>
      <w:numFmt w:val="bullet"/>
      <w:lvlText w:val="o"/>
      <w:lvlJc w:val="left"/>
      <w:pPr>
        <w:ind w:left="3960" w:hanging="360"/>
      </w:pPr>
      <w:rPr>
        <w:rFonts w:ascii="Courier New" w:hAnsi="Courier New"/>
      </w:rPr>
    </w:lvl>
    <w:lvl w:ilvl="5" w:tplc="2004B80C">
      <w:start w:val="1"/>
      <w:numFmt w:val="bullet"/>
      <w:lvlText w:val=""/>
      <w:lvlJc w:val="left"/>
      <w:pPr>
        <w:ind w:left="4680" w:hanging="360"/>
      </w:pPr>
      <w:rPr>
        <w:rFonts w:ascii="Wingdings" w:hAnsi="Wingdings"/>
      </w:rPr>
    </w:lvl>
    <w:lvl w:ilvl="6" w:tplc="4E326A10">
      <w:start w:val="1"/>
      <w:numFmt w:val="bullet"/>
      <w:lvlText w:val=""/>
      <w:lvlJc w:val="left"/>
      <w:pPr>
        <w:ind w:left="5400" w:hanging="360"/>
      </w:pPr>
      <w:rPr>
        <w:rFonts w:ascii="Symbol" w:hAnsi="Symbol"/>
      </w:rPr>
    </w:lvl>
    <w:lvl w:ilvl="7" w:tplc="65E22BF2">
      <w:start w:val="1"/>
      <w:numFmt w:val="bullet"/>
      <w:lvlText w:val="o"/>
      <w:lvlJc w:val="left"/>
      <w:pPr>
        <w:ind w:left="6120" w:hanging="360"/>
      </w:pPr>
      <w:rPr>
        <w:rFonts w:ascii="Courier New" w:hAnsi="Courier New"/>
      </w:rPr>
    </w:lvl>
    <w:lvl w:ilvl="8" w:tplc="43CE85B4">
      <w:start w:val="1"/>
      <w:numFmt w:val="bullet"/>
      <w:lvlText w:val=""/>
      <w:lvlJc w:val="left"/>
      <w:pPr>
        <w:ind w:left="6840" w:hanging="360"/>
      </w:pPr>
      <w:rPr>
        <w:rFonts w:ascii="Wingdings" w:hAnsi="Wingdings"/>
      </w:rPr>
    </w:lvl>
  </w:abstractNum>
  <w:abstractNum w:abstractNumId="15">
    <w:nsid w:val="39257BA7"/>
    <w:multiLevelType w:val="multilevel"/>
    <w:tmpl w:val="18C21D76"/>
    <w:lvl w:ilvl="0">
      <w:start w:val="1"/>
      <w:numFmt w:val="decimal"/>
      <w:lvlText w:val="%1."/>
      <w:lvlJc w:val="left"/>
      <w:pPr>
        <w:ind w:left="720" w:hanging="360"/>
      </w:pPr>
      <w:rPr>
        <w:rFonts w:hint="default"/>
        <w:b/>
        <w:u w:val="singl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E2E2F48"/>
    <w:multiLevelType w:val="hybridMultilevel"/>
    <w:tmpl w:val="7C681796"/>
    <w:lvl w:ilvl="0" w:tplc="A6241B8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2364EF7"/>
    <w:multiLevelType w:val="hybridMultilevel"/>
    <w:tmpl w:val="41666986"/>
    <w:lvl w:ilvl="0" w:tplc="39A279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9D816FB"/>
    <w:multiLevelType w:val="multilevel"/>
    <w:tmpl w:val="36DC049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EF72575"/>
    <w:multiLevelType w:val="hybridMultilevel"/>
    <w:tmpl w:val="497C86C6"/>
    <w:lvl w:ilvl="0" w:tplc="C1E043AA">
      <w:start w:val="20"/>
      <w:numFmt w:val="bullet"/>
      <w:lvlText w:val="-"/>
      <w:lvlJc w:val="left"/>
      <w:pPr>
        <w:ind w:left="720" w:hanging="360"/>
      </w:pPr>
      <w:rPr>
        <w:rFonts w:ascii="Calibri" w:eastAsiaTheme="minorHAns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3BC15C4"/>
    <w:multiLevelType w:val="hybridMultilevel"/>
    <w:tmpl w:val="FE9AE7A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1B10987"/>
    <w:multiLevelType w:val="hybridMultilevel"/>
    <w:tmpl w:val="670497E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AB6D73"/>
    <w:multiLevelType w:val="hybridMultilevel"/>
    <w:tmpl w:val="A5121D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50A7A19"/>
    <w:multiLevelType w:val="hybridMultilevel"/>
    <w:tmpl w:val="9C865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2D0E22"/>
    <w:multiLevelType w:val="hybridMultilevel"/>
    <w:tmpl w:val="D762847E"/>
    <w:lvl w:ilvl="0" w:tplc="400A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74C74592"/>
    <w:multiLevelType w:val="multilevel"/>
    <w:tmpl w:val="D68E96DE"/>
    <w:lvl w:ilvl="0">
      <w:start w:val="1"/>
      <w:numFmt w:val="upperRoman"/>
      <w:pStyle w:val="Heading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6">
    <w:nsid w:val="758E0EF5"/>
    <w:multiLevelType w:val="hybridMultilevel"/>
    <w:tmpl w:val="FED4A2D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7">
    <w:nsid w:val="7F3E4506"/>
    <w:multiLevelType w:val="multilevel"/>
    <w:tmpl w:val="28441710"/>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7"/>
  </w:num>
  <w:num w:numId="3">
    <w:abstractNumId w:val="8"/>
  </w:num>
  <w:num w:numId="4">
    <w:abstractNumId w:val="18"/>
  </w:num>
  <w:num w:numId="5">
    <w:abstractNumId w:val="24"/>
  </w:num>
  <w:num w:numId="6">
    <w:abstractNumId w:val="13"/>
  </w:num>
  <w:num w:numId="7">
    <w:abstractNumId w:val="16"/>
  </w:num>
  <w:num w:numId="8">
    <w:abstractNumId w:val="27"/>
  </w:num>
  <w:num w:numId="9">
    <w:abstractNumId w:val="22"/>
  </w:num>
  <w:num w:numId="10">
    <w:abstractNumId w:val="12"/>
  </w:num>
  <w:num w:numId="11">
    <w:abstractNumId w:val="1"/>
  </w:num>
  <w:num w:numId="12">
    <w:abstractNumId w:val="14"/>
  </w:num>
  <w:num w:numId="13">
    <w:abstractNumId w:val="2"/>
  </w:num>
  <w:num w:numId="14">
    <w:abstractNumId w:val="21"/>
  </w:num>
  <w:num w:numId="15">
    <w:abstractNumId w:val="10"/>
  </w:num>
  <w:num w:numId="16">
    <w:abstractNumId w:val="5"/>
  </w:num>
  <w:num w:numId="17">
    <w:abstractNumId w:val="20"/>
  </w:num>
  <w:num w:numId="18">
    <w:abstractNumId w:val="6"/>
  </w:num>
  <w:num w:numId="19">
    <w:abstractNumId w:val="0"/>
  </w:num>
  <w:num w:numId="20">
    <w:abstractNumId w:val="3"/>
  </w:num>
  <w:num w:numId="21">
    <w:abstractNumId w:val="26"/>
  </w:num>
  <w:num w:numId="22">
    <w:abstractNumId w:val="4"/>
  </w:num>
  <w:num w:numId="23">
    <w:abstractNumId w:val="17"/>
  </w:num>
  <w:num w:numId="24">
    <w:abstractNumId w:val="11"/>
  </w:num>
  <w:num w:numId="25">
    <w:abstractNumId w:val="19"/>
  </w:num>
  <w:num w:numId="26">
    <w:abstractNumId w:val="23"/>
  </w:num>
  <w:num w:numId="27">
    <w:abstractNumId w:val="9"/>
  </w:num>
  <w:num w:numId="28">
    <w:abstractNumId w:val="1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visionView w:markup="0"/>
  <w:defaultTabStop w:val="720"/>
  <w:hyphenationZone w:val="425"/>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AC3"/>
    <w:rsid w:val="000014BF"/>
    <w:rsid w:val="000031D9"/>
    <w:rsid w:val="00005C0E"/>
    <w:rsid w:val="0000675F"/>
    <w:rsid w:val="00010F47"/>
    <w:rsid w:val="00013939"/>
    <w:rsid w:val="00014D26"/>
    <w:rsid w:val="00015FDF"/>
    <w:rsid w:val="0002710C"/>
    <w:rsid w:val="00030889"/>
    <w:rsid w:val="00031C82"/>
    <w:rsid w:val="00043BD5"/>
    <w:rsid w:val="0005070E"/>
    <w:rsid w:val="000519FA"/>
    <w:rsid w:val="00052B85"/>
    <w:rsid w:val="00053E35"/>
    <w:rsid w:val="000605EA"/>
    <w:rsid w:val="00062A61"/>
    <w:rsid w:val="00062ECE"/>
    <w:rsid w:val="00066FD8"/>
    <w:rsid w:val="00067A0D"/>
    <w:rsid w:val="000721CB"/>
    <w:rsid w:val="00080E6B"/>
    <w:rsid w:val="000817FB"/>
    <w:rsid w:val="00081862"/>
    <w:rsid w:val="00086045"/>
    <w:rsid w:val="000947FF"/>
    <w:rsid w:val="00097AB2"/>
    <w:rsid w:val="000A063F"/>
    <w:rsid w:val="000A17AF"/>
    <w:rsid w:val="000A5FF0"/>
    <w:rsid w:val="000B0A6A"/>
    <w:rsid w:val="000B186A"/>
    <w:rsid w:val="000B2024"/>
    <w:rsid w:val="000B2894"/>
    <w:rsid w:val="000B656A"/>
    <w:rsid w:val="000B6E87"/>
    <w:rsid w:val="000C3BE1"/>
    <w:rsid w:val="000C4727"/>
    <w:rsid w:val="000C6386"/>
    <w:rsid w:val="000C7A6C"/>
    <w:rsid w:val="000D17A6"/>
    <w:rsid w:val="000D556E"/>
    <w:rsid w:val="000D5C45"/>
    <w:rsid w:val="000E16C1"/>
    <w:rsid w:val="000E583F"/>
    <w:rsid w:val="000E7A18"/>
    <w:rsid w:val="00100989"/>
    <w:rsid w:val="00107663"/>
    <w:rsid w:val="00107D44"/>
    <w:rsid w:val="0011098F"/>
    <w:rsid w:val="00110F7A"/>
    <w:rsid w:val="0011167D"/>
    <w:rsid w:val="00111AEE"/>
    <w:rsid w:val="001136F5"/>
    <w:rsid w:val="001167C9"/>
    <w:rsid w:val="00117928"/>
    <w:rsid w:val="0012118F"/>
    <w:rsid w:val="0012414D"/>
    <w:rsid w:val="00131F49"/>
    <w:rsid w:val="00133551"/>
    <w:rsid w:val="001347A7"/>
    <w:rsid w:val="0014161E"/>
    <w:rsid w:val="001417F1"/>
    <w:rsid w:val="001468FE"/>
    <w:rsid w:val="001515E6"/>
    <w:rsid w:val="001530F4"/>
    <w:rsid w:val="00154610"/>
    <w:rsid w:val="0015621C"/>
    <w:rsid w:val="00160777"/>
    <w:rsid w:val="00160B02"/>
    <w:rsid w:val="001633A2"/>
    <w:rsid w:val="001641BB"/>
    <w:rsid w:val="001641DD"/>
    <w:rsid w:val="001743E5"/>
    <w:rsid w:val="00176B50"/>
    <w:rsid w:val="00192BBB"/>
    <w:rsid w:val="001933FE"/>
    <w:rsid w:val="001957AE"/>
    <w:rsid w:val="00195FC2"/>
    <w:rsid w:val="001A1F50"/>
    <w:rsid w:val="001A44BD"/>
    <w:rsid w:val="001A57EC"/>
    <w:rsid w:val="001A67BC"/>
    <w:rsid w:val="001B054B"/>
    <w:rsid w:val="001B2D4B"/>
    <w:rsid w:val="001B4FED"/>
    <w:rsid w:val="001B5576"/>
    <w:rsid w:val="001C59A0"/>
    <w:rsid w:val="001D3EC6"/>
    <w:rsid w:val="001D45B1"/>
    <w:rsid w:val="001E2995"/>
    <w:rsid w:val="001E31CC"/>
    <w:rsid w:val="001E577D"/>
    <w:rsid w:val="001E63CD"/>
    <w:rsid w:val="001E7DC3"/>
    <w:rsid w:val="001F01A7"/>
    <w:rsid w:val="001F05F8"/>
    <w:rsid w:val="001F19D7"/>
    <w:rsid w:val="001F36D0"/>
    <w:rsid w:val="001F485A"/>
    <w:rsid w:val="00202900"/>
    <w:rsid w:val="002057D1"/>
    <w:rsid w:val="002063FA"/>
    <w:rsid w:val="0020705F"/>
    <w:rsid w:val="00215334"/>
    <w:rsid w:val="002177B7"/>
    <w:rsid w:val="0022066F"/>
    <w:rsid w:val="002211A9"/>
    <w:rsid w:val="00222644"/>
    <w:rsid w:val="0022270B"/>
    <w:rsid w:val="00223F4F"/>
    <w:rsid w:val="00224B8A"/>
    <w:rsid w:val="0023656F"/>
    <w:rsid w:val="00237567"/>
    <w:rsid w:val="00240631"/>
    <w:rsid w:val="00244D4B"/>
    <w:rsid w:val="00246FC9"/>
    <w:rsid w:val="00252416"/>
    <w:rsid w:val="002559C0"/>
    <w:rsid w:val="0025681E"/>
    <w:rsid w:val="00261F8D"/>
    <w:rsid w:val="00263F58"/>
    <w:rsid w:val="00265D8F"/>
    <w:rsid w:val="00267C80"/>
    <w:rsid w:val="00271FDC"/>
    <w:rsid w:val="002736CF"/>
    <w:rsid w:val="00274390"/>
    <w:rsid w:val="00280DC2"/>
    <w:rsid w:val="00281268"/>
    <w:rsid w:val="00281AC3"/>
    <w:rsid w:val="00282FBD"/>
    <w:rsid w:val="00283322"/>
    <w:rsid w:val="00284D79"/>
    <w:rsid w:val="00285916"/>
    <w:rsid w:val="00287C3B"/>
    <w:rsid w:val="002949F4"/>
    <w:rsid w:val="00294FFB"/>
    <w:rsid w:val="00295D75"/>
    <w:rsid w:val="00296583"/>
    <w:rsid w:val="0029730E"/>
    <w:rsid w:val="002A056E"/>
    <w:rsid w:val="002A33C2"/>
    <w:rsid w:val="002B3102"/>
    <w:rsid w:val="002B384A"/>
    <w:rsid w:val="002B5636"/>
    <w:rsid w:val="002B792C"/>
    <w:rsid w:val="002C134D"/>
    <w:rsid w:val="002C268E"/>
    <w:rsid w:val="002C3FFE"/>
    <w:rsid w:val="002C6AF3"/>
    <w:rsid w:val="002D1B02"/>
    <w:rsid w:val="002D1E15"/>
    <w:rsid w:val="002D374F"/>
    <w:rsid w:val="002D680E"/>
    <w:rsid w:val="002E1F46"/>
    <w:rsid w:val="002E2C7A"/>
    <w:rsid w:val="002E3F77"/>
    <w:rsid w:val="002E46A5"/>
    <w:rsid w:val="002E5F6C"/>
    <w:rsid w:val="002F0D17"/>
    <w:rsid w:val="002F50CB"/>
    <w:rsid w:val="002F5DD6"/>
    <w:rsid w:val="002F6F90"/>
    <w:rsid w:val="0030253E"/>
    <w:rsid w:val="003026EE"/>
    <w:rsid w:val="00302AB7"/>
    <w:rsid w:val="00305BF8"/>
    <w:rsid w:val="00306757"/>
    <w:rsid w:val="003123A6"/>
    <w:rsid w:val="0032663A"/>
    <w:rsid w:val="003515E9"/>
    <w:rsid w:val="00356FFF"/>
    <w:rsid w:val="003604CF"/>
    <w:rsid w:val="003750FA"/>
    <w:rsid w:val="00377B03"/>
    <w:rsid w:val="0038164A"/>
    <w:rsid w:val="003822C0"/>
    <w:rsid w:val="00382F1F"/>
    <w:rsid w:val="00383BB2"/>
    <w:rsid w:val="0038441B"/>
    <w:rsid w:val="003854BB"/>
    <w:rsid w:val="003964FB"/>
    <w:rsid w:val="00396984"/>
    <w:rsid w:val="00396F81"/>
    <w:rsid w:val="003A36D4"/>
    <w:rsid w:val="003A5574"/>
    <w:rsid w:val="003A5826"/>
    <w:rsid w:val="003B0B3A"/>
    <w:rsid w:val="003B25D4"/>
    <w:rsid w:val="003B2E3C"/>
    <w:rsid w:val="003B374F"/>
    <w:rsid w:val="003B40CB"/>
    <w:rsid w:val="003B62A4"/>
    <w:rsid w:val="003B79A7"/>
    <w:rsid w:val="003C6E2A"/>
    <w:rsid w:val="003D5532"/>
    <w:rsid w:val="003D7955"/>
    <w:rsid w:val="003E1D96"/>
    <w:rsid w:val="003E3BDC"/>
    <w:rsid w:val="003E68D0"/>
    <w:rsid w:val="003F2323"/>
    <w:rsid w:val="004016ED"/>
    <w:rsid w:val="00402A76"/>
    <w:rsid w:val="00403D11"/>
    <w:rsid w:val="00405174"/>
    <w:rsid w:val="004060BD"/>
    <w:rsid w:val="004064E5"/>
    <w:rsid w:val="00406B8C"/>
    <w:rsid w:val="00406EA6"/>
    <w:rsid w:val="0041011B"/>
    <w:rsid w:val="0041239D"/>
    <w:rsid w:val="0041339E"/>
    <w:rsid w:val="00414BEE"/>
    <w:rsid w:val="00415E16"/>
    <w:rsid w:val="00416285"/>
    <w:rsid w:val="0042162C"/>
    <w:rsid w:val="00422B81"/>
    <w:rsid w:val="00422E5F"/>
    <w:rsid w:val="00424184"/>
    <w:rsid w:val="0042669F"/>
    <w:rsid w:val="00426E2F"/>
    <w:rsid w:val="00427FF6"/>
    <w:rsid w:val="00431177"/>
    <w:rsid w:val="004312E6"/>
    <w:rsid w:val="00444D9C"/>
    <w:rsid w:val="0044674F"/>
    <w:rsid w:val="00451BB6"/>
    <w:rsid w:val="00451BF2"/>
    <w:rsid w:val="00452F78"/>
    <w:rsid w:val="0045536F"/>
    <w:rsid w:val="00455860"/>
    <w:rsid w:val="004569C2"/>
    <w:rsid w:val="00461414"/>
    <w:rsid w:val="00463526"/>
    <w:rsid w:val="00465EA8"/>
    <w:rsid w:val="00466834"/>
    <w:rsid w:val="004670F6"/>
    <w:rsid w:val="00467806"/>
    <w:rsid w:val="0047412F"/>
    <w:rsid w:val="00477B70"/>
    <w:rsid w:val="00480F0A"/>
    <w:rsid w:val="00487E74"/>
    <w:rsid w:val="00490161"/>
    <w:rsid w:val="00491A40"/>
    <w:rsid w:val="004A0843"/>
    <w:rsid w:val="004A34BE"/>
    <w:rsid w:val="004A616F"/>
    <w:rsid w:val="004B0002"/>
    <w:rsid w:val="004B45D3"/>
    <w:rsid w:val="004C1B17"/>
    <w:rsid w:val="004C24A6"/>
    <w:rsid w:val="004C3EA9"/>
    <w:rsid w:val="004C651D"/>
    <w:rsid w:val="004C658A"/>
    <w:rsid w:val="004D1B8B"/>
    <w:rsid w:val="004D2882"/>
    <w:rsid w:val="004D32ED"/>
    <w:rsid w:val="004D3462"/>
    <w:rsid w:val="004D40E5"/>
    <w:rsid w:val="004D6218"/>
    <w:rsid w:val="004D6B22"/>
    <w:rsid w:val="004F53DE"/>
    <w:rsid w:val="00500499"/>
    <w:rsid w:val="00501185"/>
    <w:rsid w:val="00501620"/>
    <w:rsid w:val="00502F0E"/>
    <w:rsid w:val="0050342B"/>
    <w:rsid w:val="00506B35"/>
    <w:rsid w:val="005071F8"/>
    <w:rsid w:val="0051105A"/>
    <w:rsid w:val="0051240D"/>
    <w:rsid w:val="00513F9F"/>
    <w:rsid w:val="00514DBD"/>
    <w:rsid w:val="005172F0"/>
    <w:rsid w:val="005177B2"/>
    <w:rsid w:val="00530A6E"/>
    <w:rsid w:val="00530EA8"/>
    <w:rsid w:val="00537521"/>
    <w:rsid w:val="005401BC"/>
    <w:rsid w:val="005408E3"/>
    <w:rsid w:val="005421BB"/>
    <w:rsid w:val="00543F4F"/>
    <w:rsid w:val="00544C35"/>
    <w:rsid w:val="00546169"/>
    <w:rsid w:val="00546746"/>
    <w:rsid w:val="00547E9D"/>
    <w:rsid w:val="00550DB9"/>
    <w:rsid w:val="005552D8"/>
    <w:rsid w:val="005633A9"/>
    <w:rsid w:val="00566D4F"/>
    <w:rsid w:val="0057086D"/>
    <w:rsid w:val="00574C7F"/>
    <w:rsid w:val="00575B19"/>
    <w:rsid w:val="00576462"/>
    <w:rsid w:val="005770E5"/>
    <w:rsid w:val="00580214"/>
    <w:rsid w:val="00583036"/>
    <w:rsid w:val="00583C33"/>
    <w:rsid w:val="0058495B"/>
    <w:rsid w:val="00584D54"/>
    <w:rsid w:val="005852B3"/>
    <w:rsid w:val="00586BDE"/>
    <w:rsid w:val="00591D50"/>
    <w:rsid w:val="0059210B"/>
    <w:rsid w:val="005978C6"/>
    <w:rsid w:val="005A516D"/>
    <w:rsid w:val="005A5BAB"/>
    <w:rsid w:val="005A715C"/>
    <w:rsid w:val="005B44EB"/>
    <w:rsid w:val="005B6341"/>
    <w:rsid w:val="005B76CB"/>
    <w:rsid w:val="005B7707"/>
    <w:rsid w:val="005C3B68"/>
    <w:rsid w:val="005C6DEA"/>
    <w:rsid w:val="005C7538"/>
    <w:rsid w:val="005E0ECB"/>
    <w:rsid w:val="005E39A5"/>
    <w:rsid w:val="005E3EE8"/>
    <w:rsid w:val="005E4065"/>
    <w:rsid w:val="005F5628"/>
    <w:rsid w:val="005F6874"/>
    <w:rsid w:val="005F72E3"/>
    <w:rsid w:val="005F7D9F"/>
    <w:rsid w:val="00602972"/>
    <w:rsid w:val="006040FC"/>
    <w:rsid w:val="006041CE"/>
    <w:rsid w:val="006053CA"/>
    <w:rsid w:val="00605D0A"/>
    <w:rsid w:val="006069D2"/>
    <w:rsid w:val="006078F1"/>
    <w:rsid w:val="00610BC3"/>
    <w:rsid w:val="006124F6"/>
    <w:rsid w:val="00612E61"/>
    <w:rsid w:val="0061307E"/>
    <w:rsid w:val="00620CEB"/>
    <w:rsid w:val="00621CB7"/>
    <w:rsid w:val="00626246"/>
    <w:rsid w:val="00630669"/>
    <w:rsid w:val="00634B20"/>
    <w:rsid w:val="006370F5"/>
    <w:rsid w:val="006429AF"/>
    <w:rsid w:val="00644492"/>
    <w:rsid w:val="00644504"/>
    <w:rsid w:val="006448E2"/>
    <w:rsid w:val="006505D5"/>
    <w:rsid w:val="006507FA"/>
    <w:rsid w:val="00654FFB"/>
    <w:rsid w:val="0066116F"/>
    <w:rsid w:val="006715A0"/>
    <w:rsid w:val="006730AD"/>
    <w:rsid w:val="006733CD"/>
    <w:rsid w:val="00674C06"/>
    <w:rsid w:val="006753A6"/>
    <w:rsid w:val="00677927"/>
    <w:rsid w:val="00677EBA"/>
    <w:rsid w:val="0068168C"/>
    <w:rsid w:val="00695621"/>
    <w:rsid w:val="00697030"/>
    <w:rsid w:val="006A1055"/>
    <w:rsid w:val="006A3C1E"/>
    <w:rsid w:val="006A4243"/>
    <w:rsid w:val="006B0ED2"/>
    <w:rsid w:val="006B5C00"/>
    <w:rsid w:val="006D1765"/>
    <w:rsid w:val="006D23DD"/>
    <w:rsid w:val="006E1CBC"/>
    <w:rsid w:val="006E6B25"/>
    <w:rsid w:val="006F1EF5"/>
    <w:rsid w:val="006F63C5"/>
    <w:rsid w:val="006F6810"/>
    <w:rsid w:val="0070013A"/>
    <w:rsid w:val="00703794"/>
    <w:rsid w:val="00704FFB"/>
    <w:rsid w:val="007069E2"/>
    <w:rsid w:val="00707E32"/>
    <w:rsid w:val="00711630"/>
    <w:rsid w:val="00720022"/>
    <w:rsid w:val="0072337A"/>
    <w:rsid w:val="00725C3C"/>
    <w:rsid w:val="00727A64"/>
    <w:rsid w:val="00731137"/>
    <w:rsid w:val="0073377D"/>
    <w:rsid w:val="00734E4D"/>
    <w:rsid w:val="00736479"/>
    <w:rsid w:val="00737813"/>
    <w:rsid w:val="00740F31"/>
    <w:rsid w:val="0074165A"/>
    <w:rsid w:val="00743617"/>
    <w:rsid w:val="00744029"/>
    <w:rsid w:val="00745C43"/>
    <w:rsid w:val="00747EA1"/>
    <w:rsid w:val="00752F9F"/>
    <w:rsid w:val="00753475"/>
    <w:rsid w:val="00753A15"/>
    <w:rsid w:val="00766BAA"/>
    <w:rsid w:val="00770A7A"/>
    <w:rsid w:val="007745D7"/>
    <w:rsid w:val="0078177B"/>
    <w:rsid w:val="007825C2"/>
    <w:rsid w:val="00784651"/>
    <w:rsid w:val="00785271"/>
    <w:rsid w:val="007972EC"/>
    <w:rsid w:val="007A1939"/>
    <w:rsid w:val="007A5866"/>
    <w:rsid w:val="007A7B00"/>
    <w:rsid w:val="007B1349"/>
    <w:rsid w:val="007B48F2"/>
    <w:rsid w:val="007B4CF4"/>
    <w:rsid w:val="007B4F7A"/>
    <w:rsid w:val="007B64A6"/>
    <w:rsid w:val="007C2848"/>
    <w:rsid w:val="007C3521"/>
    <w:rsid w:val="007C4F9A"/>
    <w:rsid w:val="007D14F5"/>
    <w:rsid w:val="007D390F"/>
    <w:rsid w:val="007E213F"/>
    <w:rsid w:val="007E21E3"/>
    <w:rsid w:val="007E5C10"/>
    <w:rsid w:val="007E71D7"/>
    <w:rsid w:val="007F5B8A"/>
    <w:rsid w:val="0080052B"/>
    <w:rsid w:val="008013C2"/>
    <w:rsid w:val="00802C7C"/>
    <w:rsid w:val="00802F10"/>
    <w:rsid w:val="00804169"/>
    <w:rsid w:val="00806623"/>
    <w:rsid w:val="00807EA0"/>
    <w:rsid w:val="00815AF4"/>
    <w:rsid w:val="00820CBF"/>
    <w:rsid w:val="008228C7"/>
    <w:rsid w:val="00823F65"/>
    <w:rsid w:val="00824F9F"/>
    <w:rsid w:val="00826150"/>
    <w:rsid w:val="00826769"/>
    <w:rsid w:val="0083077A"/>
    <w:rsid w:val="008312DD"/>
    <w:rsid w:val="00833622"/>
    <w:rsid w:val="00836BA8"/>
    <w:rsid w:val="00841D23"/>
    <w:rsid w:val="0084207C"/>
    <w:rsid w:val="00842C66"/>
    <w:rsid w:val="008501D1"/>
    <w:rsid w:val="0086131C"/>
    <w:rsid w:val="008615F7"/>
    <w:rsid w:val="00862FD4"/>
    <w:rsid w:val="00862FF9"/>
    <w:rsid w:val="008633A2"/>
    <w:rsid w:val="00863EF0"/>
    <w:rsid w:val="00867044"/>
    <w:rsid w:val="00876B8A"/>
    <w:rsid w:val="008808C9"/>
    <w:rsid w:val="00880CF0"/>
    <w:rsid w:val="008814E5"/>
    <w:rsid w:val="00881C2D"/>
    <w:rsid w:val="00883FD0"/>
    <w:rsid w:val="008874E7"/>
    <w:rsid w:val="0089001F"/>
    <w:rsid w:val="00891BB1"/>
    <w:rsid w:val="008A02B3"/>
    <w:rsid w:val="008A1CFF"/>
    <w:rsid w:val="008A2909"/>
    <w:rsid w:val="008A78D3"/>
    <w:rsid w:val="008B16EE"/>
    <w:rsid w:val="008B2DC3"/>
    <w:rsid w:val="008B4802"/>
    <w:rsid w:val="008B4CA5"/>
    <w:rsid w:val="008B7D21"/>
    <w:rsid w:val="008C03F9"/>
    <w:rsid w:val="008C3C38"/>
    <w:rsid w:val="008C7AAE"/>
    <w:rsid w:val="008D21A6"/>
    <w:rsid w:val="008D3017"/>
    <w:rsid w:val="008D344E"/>
    <w:rsid w:val="008E4A17"/>
    <w:rsid w:val="008E5E30"/>
    <w:rsid w:val="008E7AE4"/>
    <w:rsid w:val="008F3092"/>
    <w:rsid w:val="008F5693"/>
    <w:rsid w:val="008F63DC"/>
    <w:rsid w:val="0090222F"/>
    <w:rsid w:val="00906F21"/>
    <w:rsid w:val="00911D51"/>
    <w:rsid w:val="00911E00"/>
    <w:rsid w:val="00913D8C"/>
    <w:rsid w:val="00917B5A"/>
    <w:rsid w:val="0092094B"/>
    <w:rsid w:val="00924A7C"/>
    <w:rsid w:val="00925B80"/>
    <w:rsid w:val="00931518"/>
    <w:rsid w:val="0093182C"/>
    <w:rsid w:val="009338EF"/>
    <w:rsid w:val="00944E8E"/>
    <w:rsid w:val="009516C2"/>
    <w:rsid w:val="00951C99"/>
    <w:rsid w:val="0095312F"/>
    <w:rsid w:val="00953CE5"/>
    <w:rsid w:val="009547B5"/>
    <w:rsid w:val="0095796F"/>
    <w:rsid w:val="00965C57"/>
    <w:rsid w:val="009672BA"/>
    <w:rsid w:val="009673C0"/>
    <w:rsid w:val="00967531"/>
    <w:rsid w:val="00967655"/>
    <w:rsid w:val="00967F11"/>
    <w:rsid w:val="009727F1"/>
    <w:rsid w:val="0097477C"/>
    <w:rsid w:val="00980A2F"/>
    <w:rsid w:val="0098318B"/>
    <w:rsid w:val="009920D8"/>
    <w:rsid w:val="009A0475"/>
    <w:rsid w:val="009A0A9D"/>
    <w:rsid w:val="009A50FA"/>
    <w:rsid w:val="009B261D"/>
    <w:rsid w:val="009B3935"/>
    <w:rsid w:val="009B7749"/>
    <w:rsid w:val="009C0610"/>
    <w:rsid w:val="009C22BB"/>
    <w:rsid w:val="009C4493"/>
    <w:rsid w:val="009D14E5"/>
    <w:rsid w:val="009E0CAB"/>
    <w:rsid w:val="009E2E3E"/>
    <w:rsid w:val="009F0721"/>
    <w:rsid w:val="009F2624"/>
    <w:rsid w:val="009F2CEB"/>
    <w:rsid w:val="009F4DA7"/>
    <w:rsid w:val="009F6685"/>
    <w:rsid w:val="009F7F76"/>
    <w:rsid w:val="00A04CEE"/>
    <w:rsid w:val="00A04F71"/>
    <w:rsid w:val="00A067B4"/>
    <w:rsid w:val="00A07837"/>
    <w:rsid w:val="00A1248A"/>
    <w:rsid w:val="00A147A9"/>
    <w:rsid w:val="00A207CA"/>
    <w:rsid w:val="00A20BD6"/>
    <w:rsid w:val="00A26100"/>
    <w:rsid w:val="00A266B9"/>
    <w:rsid w:val="00A307FA"/>
    <w:rsid w:val="00A30CCE"/>
    <w:rsid w:val="00A312A3"/>
    <w:rsid w:val="00A32A8D"/>
    <w:rsid w:val="00A33E7E"/>
    <w:rsid w:val="00A34AC6"/>
    <w:rsid w:val="00A3532E"/>
    <w:rsid w:val="00A40DDA"/>
    <w:rsid w:val="00A437AA"/>
    <w:rsid w:val="00A45F54"/>
    <w:rsid w:val="00A46F13"/>
    <w:rsid w:val="00A50F9B"/>
    <w:rsid w:val="00A6072B"/>
    <w:rsid w:val="00A631ED"/>
    <w:rsid w:val="00A701F5"/>
    <w:rsid w:val="00A71C85"/>
    <w:rsid w:val="00A740B3"/>
    <w:rsid w:val="00A743C1"/>
    <w:rsid w:val="00A84885"/>
    <w:rsid w:val="00A857B0"/>
    <w:rsid w:val="00A85A58"/>
    <w:rsid w:val="00A90B17"/>
    <w:rsid w:val="00A9234B"/>
    <w:rsid w:val="00A92D54"/>
    <w:rsid w:val="00A93F35"/>
    <w:rsid w:val="00A94144"/>
    <w:rsid w:val="00A95993"/>
    <w:rsid w:val="00A95F68"/>
    <w:rsid w:val="00AA27A8"/>
    <w:rsid w:val="00AA2D61"/>
    <w:rsid w:val="00AA53BC"/>
    <w:rsid w:val="00AA5554"/>
    <w:rsid w:val="00AB5FEC"/>
    <w:rsid w:val="00AB74E4"/>
    <w:rsid w:val="00AC035E"/>
    <w:rsid w:val="00AC0CF1"/>
    <w:rsid w:val="00AC0D1D"/>
    <w:rsid w:val="00AC2F5A"/>
    <w:rsid w:val="00AC72F1"/>
    <w:rsid w:val="00AD0A37"/>
    <w:rsid w:val="00AD5ADC"/>
    <w:rsid w:val="00AE2997"/>
    <w:rsid w:val="00AE41B0"/>
    <w:rsid w:val="00AE426C"/>
    <w:rsid w:val="00AE60BC"/>
    <w:rsid w:val="00B00245"/>
    <w:rsid w:val="00B004F6"/>
    <w:rsid w:val="00B04502"/>
    <w:rsid w:val="00B06A15"/>
    <w:rsid w:val="00B10D6F"/>
    <w:rsid w:val="00B11C51"/>
    <w:rsid w:val="00B1729D"/>
    <w:rsid w:val="00B21909"/>
    <w:rsid w:val="00B25CEA"/>
    <w:rsid w:val="00B3074F"/>
    <w:rsid w:val="00B30A1C"/>
    <w:rsid w:val="00B32DB2"/>
    <w:rsid w:val="00B34CD9"/>
    <w:rsid w:val="00B360E2"/>
    <w:rsid w:val="00B377C1"/>
    <w:rsid w:val="00B43240"/>
    <w:rsid w:val="00B43B25"/>
    <w:rsid w:val="00B43BFA"/>
    <w:rsid w:val="00B44AE7"/>
    <w:rsid w:val="00B45C40"/>
    <w:rsid w:val="00B47A58"/>
    <w:rsid w:val="00B5320D"/>
    <w:rsid w:val="00B558D6"/>
    <w:rsid w:val="00B6292D"/>
    <w:rsid w:val="00B62BC2"/>
    <w:rsid w:val="00B70874"/>
    <w:rsid w:val="00B741C6"/>
    <w:rsid w:val="00B83ACB"/>
    <w:rsid w:val="00B85E8E"/>
    <w:rsid w:val="00B86024"/>
    <w:rsid w:val="00B92B03"/>
    <w:rsid w:val="00B9574D"/>
    <w:rsid w:val="00B96E22"/>
    <w:rsid w:val="00BA0857"/>
    <w:rsid w:val="00BA7303"/>
    <w:rsid w:val="00BB23BB"/>
    <w:rsid w:val="00BB2401"/>
    <w:rsid w:val="00BB25A4"/>
    <w:rsid w:val="00BB4723"/>
    <w:rsid w:val="00BB56D3"/>
    <w:rsid w:val="00BB6C0D"/>
    <w:rsid w:val="00BB72C2"/>
    <w:rsid w:val="00BC112D"/>
    <w:rsid w:val="00BC5F7D"/>
    <w:rsid w:val="00BC6D71"/>
    <w:rsid w:val="00BD3434"/>
    <w:rsid w:val="00BE07FC"/>
    <w:rsid w:val="00BE1EB7"/>
    <w:rsid w:val="00BE4DB4"/>
    <w:rsid w:val="00BF2D78"/>
    <w:rsid w:val="00BF3BC6"/>
    <w:rsid w:val="00C00771"/>
    <w:rsid w:val="00C04622"/>
    <w:rsid w:val="00C10BB5"/>
    <w:rsid w:val="00C11822"/>
    <w:rsid w:val="00C135C6"/>
    <w:rsid w:val="00C13FEB"/>
    <w:rsid w:val="00C2281A"/>
    <w:rsid w:val="00C251A1"/>
    <w:rsid w:val="00C251A9"/>
    <w:rsid w:val="00C257C0"/>
    <w:rsid w:val="00C31500"/>
    <w:rsid w:val="00C32265"/>
    <w:rsid w:val="00C419B8"/>
    <w:rsid w:val="00C43FE4"/>
    <w:rsid w:val="00C44EF7"/>
    <w:rsid w:val="00C62E47"/>
    <w:rsid w:val="00C656F9"/>
    <w:rsid w:val="00C65733"/>
    <w:rsid w:val="00C66195"/>
    <w:rsid w:val="00C67010"/>
    <w:rsid w:val="00C6742B"/>
    <w:rsid w:val="00C74B5C"/>
    <w:rsid w:val="00C77024"/>
    <w:rsid w:val="00C81905"/>
    <w:rsid w:val="00C8615D"/>
    <w:rsid w:val="00C90C58"/>
    <w:rsid w:val="00C90E92"/>
    <w:rsid w:val="00C92DE3"/>
    <w:rsid w:val="00C9366B"/>
    <w:rsid w:val="00C95495"/>
    <w:rsid w:val="00C960A4"/>
    <w:rsid w:val="00CA34DF"/>
    <w:rsid w:val="00CA685C"/>
    <w:rsid w:val="00CB11D0"/>
    <w:rsid w:val="00CB1DA3"/>
    <w:rsid w:val="00CB31AE"/>
    <w:rsid w:val="00CB5170"/>
    <w:rsid w:val="00CB5781"/>
    <w:rsid w:val="00CB609D"/>
    <w:rsid w:val="00CC1F25"/>
    <w:rsid w:val="00CC1F90"/>
    <w:rsid w:val="00CC5C8B"/>
    <w:rsid w:val="00CC698C"/>
    <w:rsid w:val="00CD0E5B"/>
    <w:rsid w:val="00CD5D91"/>
    <w:rsid w:val="00CD62B5"/>
    <w:rsid w:val="00CD6C31"/>
    <w:rsid w:val="00CD76B8"/>
    <w:rsid w:val="00CD7F04"/>
    <w:rsid w:val="00CE351B"/>
    <w:rsid w:val="00CE4005"/>
    <w:rsid w:val="00CE4A94"/>
    <w:rsid w:val="00CE4C2E"/>
    <w:rsid w:val="00CE79F7"/>
    <w:rsid w:val="00CF1ECC"/>
    <w:rsid w:val="00CF3132"/>
    <w:rsid w:val="00CF36A8"/>
    <w:rsid w:val="00CF5875"/>
    <w:rsid w:val="00CF7AD8"/>
    <w:rsid w:val="00D01B96"/>
    <w:rsid w:val="00D03AA1"/>
    <w:rsid w:val="00D12CD7"/>
    <w:rsid w:val="00D13BF8"/>
    <w:rsid w:val="00D1589B"/>
    <w:rsid w:val="00D214E9"/>
    <w:rsid w:val="00D21530"/>
    <w:rsid w:val="00D23607"/>
    <w:rsid w:val="00D30BF0"/>
    <w:rsid w:val="00D344B3"/>
    <w:rsid w:val="00D344E0"/>
    <w:rsid w:val="00D35C29"/>
    <w:rsid w:val="00D413F8"/>
    <w:rsid w:val="00D41E6D"/>
    <w:rsid w:val="00D430CD"/>
    <w:rsid w:val="00D468C8"/>
    <w:rsid w:val="00D54564"/>
    <w:rsid w:val="00D55EF4"/>
    <w:rsid w:val="00D6554E"/>
    <w:rsid w:val="00D735C1"/>
    <w:rsid w:val="00D83F41"/>
    <w:rsid w:val="00D85E53"/>
    <w:rsid w:val="00D8655E"/>
    <w:rsid w:val="00D938E2"/>
    <w:rsid w:val="00D947B1"/>
    <w:rsid w:val="00DA5910"/>
    <w:rsid w:val="00DA618B"/>
    <w:rsid w:val="00DA6654"/>
    <w:rsid w:val="00DB449D"/>
    <w:rsid w:val="00DB6067"/>
    <w:rsid w:val="00DC0C04"/>
    <w:rsid w:val="00DC1490"/>
    <w:rsid w:val="00DC3075"/>
    <w:rsid w:val="00DC6154"/>
    <w:rsid w:val="00DD404A"/>
    <w:rsid w:val="00DD7E83"/>
    <w:rsid w:val="00DE1F4E"/>
    <w:rsid w:val="00DE2706"/>
    <w:rsid w:val="00DE3A7D"/>
    <w:rsid w:val="00DE4B10"/>
    <w:rsid w:val="00DF062D"/>
    <w:rsid w:val="00DF0FB7"/>
    <w:rsid w:val="00DF10A8"/>
    <w:rsid w:val="00DF1DB9"/>
    <w:rsid w:val="00DF47A2"/>
    <w:rsid w:val="00E01F0D"/>
    <w:rsid w:val="00E02538"/>
    <w:rsid w:val="00E11669"/>
    <w:rsid w:val="00E22102"/>
    <w:rsid w:val="00E238D2"/>
    <w:rsid w:val="00E24C6D"/>
    <w:rsid w:val="00E2561A"/>
    <w:rsid w:val="00E26929"/>
    <w:rsid w:val="00E30C1D"/>
    <w:rsid w:val="00E353EA"/>
    <w:rsid w:val="00E35E37"/>
    <w:rsid w:val="00E40AD9"/>
    <w:rsid w:val="00E4288A"/>
    <w:rsid w:val="00E54DAB"/>
    <w:rsid w:val="00E55C10"/>
    <w:rsid w:val="00E62070"/>
    <w:rsid w:val="00E64643"/>
    <w:rsid w:val="00E751FE"/>
    <w:rsid w:val="00E75320"/>
    <w:rsid w:val="00E75A99"/>
    <w:rsid w:val="00E75AA9"/>
    <w:rsid w:val="00E7686E"/>
    <w:rsid w:val="00E80B23"/>
    <w:rsid w:val="00E87FDB"/>
    <w:rsid w:val="00E90BC0"/>
    <w:rsid w:val="00E92350"/>
    <w:rsid w:val="00EA0363"/>
    <w:rsid w:val="00EA0588"/>
    <w:rsid w:val="00EA0C0E"/>
    <w:rsid w:val="00EA5512"/>
    <w:rsid w:val="00EB01CA"/>
    <w:rsid w:val="00EC2B31"/>
    <w:rsid w:val="00EC2E10"/>
    <w:rsid w:val="00EC58FE"/>
    <w:rsid w:val="00ED13FF"/>
    <w:rsid w:val="00ED1E05"/>
    <w:rsid w:val="00ED2892"/>
    <w:rsid w:val="00ED7A60"/>
    <w:rsid w:val="00EE40B0"/>
    <w:rsid w:val="00EE5B06"/>
    <w:rsid w:val="00EF1400"/>
    <w:rsid w:val="00EF2734"/>
    <w:rsid w:val="00EF39B2"/>
    <w:rsid w:val="00EF4F23"/>
    <w:rsid w:val="00EF594E"/>
    <w:rsid w:val="00F03497"/>
    <w:rsid w:val="00F044ED"/>
    <w:rsid w:val="00F07AD0"/>
    <w:rsid w:val="00F10905"/>
    <w:rsid w:val="00F24B5D"/>
    <w:rsid w:val="00F25582"/>
    <w:rsid w:val="00F25C3F"/>
    <w:rsid w:val="00F32FB1"/>
    <w:rsid w:val="00F4441E"/>
    <w:rsid w:val="00F57288"/>
    <w:rsid w:val="00F7051D"/>
    <w:rsid w:val="00F76EB7"/>
    <w:rsid w:val="00F82BE1"/>
    <w:rsid w:val="00F830C8"/>
    <w:rsid w:val="00F836CD"/>
    <w:rsid w:val="00F9783B"/>
    <w:rsid w:val="00FA13DD"/>
    <w:rsid w:val="00FA4C31"/>
    <w:rsid w:val="00FB1D32"/>
    <w:rsid w:val="00FB22C0"/>
    <w:rsid w:val="00FC0EE7"/>
    <w:rsid w:val="00FC2BC4"/>
    <w:rsid w:val="00FC3B46"/>
    <w:rsid w:val="00FC4367"/>
    <w:rsid w:val="00FC4BB5"/>
    <w:rsid w:val="00FC4DE0"/>
    <w:rsid w:val="00FC6ABF"/>
    <w:rsid w:val="00FC7BCA"/>
    <w:rsid w:val="00FD4703"/>
    <w:rsid w:val="00FD484A"/>
    <w:rsid w:val="00FD48BC"/>
    <w:rsid w:val="00FD76B8"/>
    <w:rsid w:val="00FD7EFA"/>
    <w:rsid w:val="00FE1AD9"/>
    <w:rsid w:val="00FE542B"/>
    <w:rsid w:val="00FE7BE1"/>
    <w:rsid w:val="00FF254C"/>
    <w:rsid w:val="00FF2F9D"/>
    <w:rsid w:val="00FF519E"/>
    <w:rsid w:val="00FF7B23"/>
    <w:rsid w:val="00FF7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A6E"/>
    <w:pPr>
      <w:keepNext/>
      <w:numPr>
        <w:numId w:val="1"/>
      </w:numPr>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unhideWhenUsed/>
    <w:qFormat/>
    <w:rsid w:val="00C44E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30A6E"/>
    <w:pPr>
      <w:keepNext/>
      <w:numPr>
        <w:ilvl w:val="2"/>
        <w:numId w:val="1"/>
      </w:numPr>
      <w:spacing w:before="240" w:after="60"/>
      <w:outlineLvl w:val="2"/>
    </w:pPr>
    <w:rPr>
      <w:rFonts w:ascii="Arial" w:hAnsi="Arial"/>
      <w:szCs w:val="20"/>
    </w:rPr>
  </w:style>
  <w:style w:type="paragraph" w:styleId="Heading4">
    <w:name w:val="heading 4"/>
    <w:basedOn w:val="Normal"/>
    <w:next w:val="Normal"/>
    <w:link w:val="Heading4Char"/>
    <w:uiPriority w:val="9"/>
    <w:qFormat/>
    <w:rsid w:val="00530A6E"/>
    <w:pPr>
      <w:keepNext/>
      <w:numPr>
        <w:ilvl w:val="3"/>
        <w:numId w:val="1"/>
      </w:numPr>
      <w:spacing w:before="240" w:after="60"/>
      <w:outlineLvl w:val="3"/>
    </w:pPr>
    <w:rPr>
      <w:rFonts w:ascii="Arial" w:hAnsi="Arial"/>
      <w:b/>
      <w:szCs w:val="20"/>
    </w:rPr>
  </w:style>
  <w:style w:type="paragraph" w:styleId="Heading5">
    <w:name w:val="heading 5"/>
    <w:basedOn w:val="Normal"/>
    <w:next w:val="Normal"/>
    <w:link w:val="Heading5Char"/>
    <w:uiPriority w:val="9"/>
    <w:semiHidden/>
    <w:unhideWhenUsed/>
    <w:qFormat/>
    <w:rsid w:val="004B0002"/>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30A6E"/>
    <w:pPr>
      <w:numPr>
        <w:ilvl w:val="5"/>
        <w:numId w:val="1"/>
      </w:numPr>
      <w:spacing w:before="240" w:after="60"/>
      <w:outlineLvl w:val="5"/>
    </w:pPr>
    <w:rPr>
      <w:i/>
      <w:sz w:val="22"/>
      <w:szCs w:val="20"/>
    </w:rPr>
  </w:style>
  <w:style w:type="paragraph" w:styleId="Heading7">
    <w:name w:val="heading 7"/>
    <w:basedOn w:val="Normal"/>
    <w:next w:val="Normal"/>
    <w:link w:val="Heading7Char"/>
    <w:uiPriority w:val="9"/>
    <w:qFormat/>
    <w:rsid w:val="00530A6E"/>
    <w:pPr>
      <w:numPr>
        <w:ilvl w:val="6"/>
        <w:numId w:val="1"/>
      </w:numPr>
      <w:spacing w:before="240" w:after="60"/>
      <w:outlineLvl w:val="6"/>
    </w:pPr>
    <w:rPr>
      <w:rFonts w:ascii="Arial" w:hAnsi="Arial"/>
      <w:szCs w:val="20"/>
    </w:rPr>
  </w:style>
  <w:style w:type="paragraph" w:styleId="Heading8">
    <w:name w:val="heading 8"/>
    <w:basedOn w:val="Normal"/>
    <w:next w:val="Normal"/>
    <w:link w:val="Heading8Char"/>
    <w:uiPriority w:val="9"/>
    <w:qFormat/>
    <w:rsid w:val="00530A6E"/>
    <w:pPr>
      <w:numPr>
        <w:ilvl w:val="7"/>
        <w:numId w:val="1"/>
      </w:numPr>
      <w:spacing w:before="240" w:after="60"/>
      <w:outlineLvl w:val="7"/>
    </w:pPr>
    <w:rPr>
      <w:rFonts w:ascii="Arial" w:hAnsi="Arial"/>
      <w:i/>
      <w:szCs w:val="20"/>
    </w:rPr>
  </w:style>
  <w:style w:type="paragraph" w:styleId="Heading9">
    <w:name w:val="heading 9"/>
    <w:basedOn w:val="Normal"/>
    <w:next w:val="Normal"/>
    <w:link w:val="Heading9Char"/>
    <w:uiPriority w:val="9"/>
    <w:qFormat/>
    <w:rsid w:val="00530A6E"/>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AC3"/>
    <w:pPr>
      <w:spacing w:after="0" w:line="240" w:lineRule="auto"/>
    </w:pPr>
  </w:style>
  <w:style w:type="character" w:customStyle="1" w:styleId="Heading1Char">
    <w:name w:val="Heading 1 Char"/>
    <w:basedOn w:val="DefaultParagraphFont"/>
    <w:link w:val="Heading1"/>
    <w:uiPriority w:val="9"/>
    <w:rsid w:val="00530A6E"/>
    <w:rPr>
      <w:rFonts w:ascii="Arial" w:eastAsia="Times New Roman" w:hAnsi="Arial" w:cs="Times New Roman"/>
      <w:b/>
      <w:kern w:val="28"/>
      <w:sz w:val="28"/>
      <w:szCs w:val="20"/>
    </w:rPr>
  </w:style>
  <w:style w:type="character" w:customStyle="1" w:styleId="Heading3Char">
    <w:name w:val="Heading 3 Char"/>
    <w:basedOn w:val="DefaultParagraphFont"/>
    <w:link w:val="Heading3"/>
    <w:uiPriority w:val="9"/>
    <w:rsid w:val="00530A6E"/>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30A6E"/>
    <w:rPr>
      <w:rFonts w:ascii="Arial" w:eastAsia="Times New Roman" w:hAnsi="Arial" w:cs="Times New Roman"/>
      <w:b/>
      <w:sz w:val="24"/>
      <w:szCs w:val="20"/>
    </w:rPr>
  </w:style>
  <w:style w:type="character" w:customStyle="1" w:styleId="Heading6Char">
    <w:name w:val="Heading 6 Char"/>
    <w:basedOn w:val="DefaultParagraphFont"/>
    <w:link w:val="Heading6"/>
    <w:rsid w:val="00530A6E"/>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530A6E"/>
    <w:rPr>
      <w:rFonts w:ascii="Arial" w:eastAsia="Times New Roman" w:hAnsi="Arial" w:cs="Times New Roman"/>
      <w:sz w:val="24"/>
      <w:szCs w:val="20"/>
    </w:rPr>
  </w:style>
  <w:style w:type="character" w:customStyle="1" w:styleId="Heading8Char">
    <w:name w:val="Heading 8 Char"/>
    <w:basedOn w:val="DefaultParagraphFont"/>
    <w:link w:val="Heading8"/>
    <w:uiPriority w:val="9"/>
    <w:rsid w:val="00530A6E"/>
    <w:rPr>
      <w:rFonts w:ascii="Arial" w:eastAsia="Times New Roman" w:hAnsi="Arial" w:cs="Times New Roman"/>
      <w:i/>
      <w:sz w:val="24"/>
      <w:szCs w:val="20"/>
    </w:rPr>
  </w:style>
  <w:style w:type="character" w:customStyle="1" w:styleId="Heading9Char">
    <w:name w:val="Heading 9 Char"/>
    <w:basedOn w:val="DefaultParagraphFont"/>
    <w:link w:val="Heading9"/>
    <w:uiPriority w:val="9"/>
    <w:rsid w:val="00530A6E"/>
    <w:rPr>
      <w:rFonts w:ascii="Arial" w:eastAsia="Times New Roman" w:hAnsi="Arial" w:cs="Times New Roman"/>
      <w:b/>
      <w:i/>
      <w:sz w:val="18"/>
      <w:szCs w:val="20"/>
    </w:rPr>
  </w:style>
  <w:style w:type="paragraph" w:customStyle="1" w:styleId="Chapter">
    <w:name w:val="Chapter"/>
    <w:basedOn w:val="Normal"/>
    <w:next w:val="Normal"/>
    <w:rsid w:val="00530A6E"/>
    <w:pPr>
      <w:tabs>
        <w:tab w:val="num" w:pos="720"/>
        <w:tab w:val="left" w:pos="1440"/>
      </w:tabs>
      <w:spacing w:after="240"/>
      <w:ind w:left="720" w:hanging="720"/>
      <w:jc w:val="center"/>
    </w:pPr>
    <w:rPr>
      <w:b/>
      <w:smallCaps/>
      <w:noProof/>
      <w:szCs w:val="20"/>
    </w:rPr>
  </w:style>
  <w:style w:type="paragraph" w:customStyle="1" w:styleId="Paragraph">
    <w:name w:val="Paragraph"/>
    <w:aliases w:val="paragraph,p,PARAGRAPH,PG,pa,at"/>
    <w:basedOn w:val="BodyTextIndent"/>
    <w:link w:val="ParagraphChar"/>
    <w:qFormat/>
    <w:rsid w:val="00530A6E"/>
    <w:pPr>
      <w:tabs>
        <w:tab w:val="num" w:pos="1440"/>
      </w:tabs>
      <w:spacing w:before="120"/>
      <w:ind w:left="1440" w:hanging="720"/>
      <w:jc w:val="both"/>
      <w:outlineLvl w:val="1"/>
    </w:pPr>
    <w:rPr>
      <w:szCs w:val="20"/>
    </w:rPr>
  </w:style>
  <w:style w:type="paragraph" w:styleId="Header">
    <w:name w:val="header"/>
    <w:basedOn w:val="Normal"/>
    <w:link w:val="HeaderChar"/>
    <w:rsid w:val="00530A6E"/>
    <w:pPr>
      <w:tabs>
        <w:tab w:val="center" w:pos="4320"/>
        <w:tab w:val="right" w:pos="8640"/>
      </w:tabs>
    </w:pPr>
  </w:style>
  <w:style w:type="character" w:customStyle="1" w:styleId="HeaderChar">
    <w:name w:val="Header Char"/>
    <w:basedOn w:val="DefaultParagraphFont"/>
    <w:link w:val="Header"/>
    <w:rsid w:val="00530A6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30A6E"/>
    <w:pPr>
      <w:spacing w:after="120"/>
      <w:ind w:left="360"/>
    </w:pPr>
  </w:style>
  <w:style w:type="character" w:customStyle="1" w:styleId="BodyTextIndentChar">
    <w:name w:val="Body Text Indent Char"/>
    <w:basedOn w:val="DefaultParagraphFont"/>
    <w:link w:val="BodyTextIndent"/>
    <w:uiPriority w:val="99"/>
    <w:semiHidden/>
    <w:rsid w:val="00530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0A6E"/>
    <w:pPr>
      <w:tabs>
        <w:tab w:val="center" w:pos="4680"/>
        <w:tab w:val="right" w:pos="9360"/>
      </w:tabs>
    </w:pPr>
  </w:style>
  <w:style w:type="character" w:customStyle="1" w:styleId="FooterChar">
    <w:name w:val="Footer Char"/>
    <w:basedOn w:val="DefaultParagraphFont"/>
    <w:link w:val="Footer"/>
    <w:uiPriority w:val="99"/>
    <w:rsid w:val="00530A6E"/>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530A6E"/>
    <w:rPr>
      <w:rFonts w:ascii="Tahoma" w:hAnsi="Tahoma" w:cs="Tahoma"/>
      <w:sz w:val="16"/>
      <w:szCs w:val="16"/>
    </w:rPr>
  </w:style>
  <w:style w:type="character" w:customStyle="1" w:styleId="BalloonTextChar">
    <w:name w:val="Balloon Text Char"/>
    <w:basedOn w:val="DefaultParagraphFont"/>
    <w:link w:val="BalloonText"/>
    <w:uiPriority w:val="99"/>
    <w:rsid w:val="00530A6E"/>
    <w:rPr>
      <w:rFonts w:ascii="Tahoma" w:eastAsia="Times New Roman" w:hAnsi="Tahoma" w:cs="Tahoma"/>
      <w:sz w:val="16"/>
      <w:szCs w:val="16"/>
    </w:rPr>
  </w:style>
  <w:style w:type="character" w:customStyle="1" w:styleId="Heading2Char">
    <w:name w:val="Heading 2 Char"/>
    <w:basedOn w:val="DefaultParagraphFont"/>
    <w:link w:val="Heading2"/>
    <w:uiPriority w:val="99"/>
    <w:rsid w:val="00C44E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C44EF7"/>
    <w:pPr>
      <w:spacing w:after="120"/>
    </w:pPr>
  </w:style>
  <w:style w:type="character" w:customStyle="1" w:styleId="BodyTextChar">
    <w:name w:val="Body Text Char"/>
    <w:basedOn w:val="DefaultParagraphFont"/>
    <w:link w:val="BodyText"/>
    <w:uiPriority w:val="99"/>
    <w:rsid w:val="00C44EF7"/>
    <w:rPr>
      <w:rFonts w:ascii="Times New Roman" w:eastAsia="Times New Roman" w:hAnsi="Times New Roman" w:cs="Times New Roman"/>
      <w:sz w:val="24"/>
      <w:szCs w:val="24"/>
    </w:rPr>
  </w:style>
  <w:style w:type="character" w:styleId="PageNumber">
    <w:name w:val="page number"/>
    <w:basedOn w:val="DefaultParagraphFont"/>
    <w:rsid w:val="00C44EF7"/>
  </w:style>
  <w:style w:type="paragraph" w:styleId="Subtitle">
    <w:name w:val="Subtitle"/>
    <w:basedOn w:val="Normal"/>
    <w:link w:val="SubtitleChar"/>
    <w:uiPriority w:val="11"/>
    <w:qFormat/>
    <w:rsid w:val="00C44EF7"/>
    <w:pPr>
      <w:tabs>
        <w:tab w:val="center" w:pos="4680"/>
      </w:tabs>
      <w:spacing w:before="120"/>
      <w:jc w:val="center"/>
    </w:pPr>
    <w:rPr>
      <w:b/>
      <w:bCs/>
      <w:szCs w:val="20"/>
      <w:lang w:val="es-ES"/>
    </w:rPr>
  </w:style>
  <w:style w:type="character" w:customStyle="1" w:styleId="SubtitleChar">
    <w:name w:val="Subtitle Char"/>
    <w:basedOn w:val="DefaultParagraphFont"/>
    <w:link w:val="Subtitle"/>
    <w:uiPriority w:val="11"/>
    <w:rsid w:val="00C44EF7"/>
    <w:rPr>
      <w:rFonts w:ascii="Times New Roman" w:eastAsia="Times New Roman" w:hAnsi="Times New Roman" w:cs="Times New Roman"/>
      <w:b/>
      <w:bCs/>
      <w:sz w:val="24"/>
      <w:szCs w:val="20"/>
      <w:lang w:val="es-ES"/>
    </w:rPr>
  </w:style>
  <w:style w:type="character" w:styleId="Hyperlink">
    <w:name w:val="Hyperlink"/>
    <w:basedOn w:val="DefaultParagraphFont"/>
    <w:uiPriority w:val="99"/>
    <w:rsid w:val="00891BB1"/>
    <w:rPr>
      <w:color w:val="0000FF"/>
      <w:u w:val="single"/>
    </w:rPr>
  </w:style>
  <w:style w:type="paragraph" w:styleId="ListParagraph">
    <w:name w:val="List Paragraph"/>
    <w:basedOn w:val="Normal"/>
    <w:link w:val="ListParagraphChar"/>
    <w:uiPriority w:val="34"/>
    <w:qFormat/>
    <w:rsid w:val="00731137"/>
    <w:pPr>
      <w:ind w:left="720"/>
      <w:contextualSpacing/>
    </w:pPr>
  </w:style>
  <w:style w:type="paragraph" w:customStyle="1" w:styleId="subpar">
    <w:name w:val="subpar"/>
    <w:basedOn w:val="BodyTextIndent3"/>
    <w:rsid w:val="002D1E15"/>
    <w:pPr>
      <w:tabs>
        <w:tab w:val="num" w:pos="1152"/>
      </w:tabs>
      <w:spacing w:before="120"/>
      <w:ind w:left="1152" w:hanging="432"/>
      <w:jc w:val="both"/>
      <w:outlineLvl w:val="2"/>
    </w:pPr>
    <w:rPr>
      <w:sz w:val="24"/>
      <w:szCs w:val="20"/>
    </w:rPr>
  </w:style>
  <w:style w:type="paragraph" w:customStyle="1" w:styleId="SubSubPar">
    <w:name w:val="SubSubPar"/>
    <w:basedOn w:val="subpar"/>
    <w:rsid w:val="002D1E15"/>
  </w:style>
  <w:style w:type="character" w:customStyle="1" w:styleId="ParagraphChar">
    <w:name w:val="Paragraph Char"/>
    <w:aliases w:val="paragraph Char,p Char,PARAGRAPH Char,PG Char,pa Char,at Char"/>
    <w:basedOn w:val="DefaultParagraphFont"/>
    <w:link w:val="Paragraph"/>
    <w:locked/>
    <w:rsid w:val="002D1E1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2D1E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1E15"/>
    <w:rPr>
      <w:rFonts w:ascii="Times New Roman" w:eastAsia="Times New Roman" w:hAnsi="Times New Roman" w:cs="Times New Roman"/>
      <w:sz w:val="16"/>
      <w:szCs w:val="16"/>
    </w:rPr>
  </w:style>
  <w:style w:type="paragraph" w:styleId="FootnoteText">
    <w:name w:val="footnote text"/>
    <w:aliases w:val="fn,single space,footnote text,foottextfra,footnote,F,Texto nota pie Car Car,texto de nota al pie,Nota a pie/Bibliog,Texto nota pie Car Car Car Car Car Car Car Car,Texto nota pie Car Car Car,f,FOOTNOTES,Footnote Text Char Char,ALTS FOOTNOTE"/>
    <w:basedOn w:val="Normal"/>
    <w:link w:val="FootnoteTextChar1"/>
    <w:uiPriority w:val="99"/>
    <w:qFormat/>
    <w:rsid w:val="002D1E15"/>
    <w:rPr>
      <w:sz w:val="20"/>
      <w:szCs w:val="20"/>
    </w:rPr>
  </w:style>
  <w:style w:type="character" w:customStyle="1" w:styleId="FootnoteTextChar">
    <w:name w:val="Footnote Text Char"/>
    <w:aliases w:val="foottextfra Char,footnote Char,F Char,Texto nota pie Car Car Char,texto de nota al pie Char,Nota a pie/Bibliog Char,Texto nota pie Car Car Car Car Car Car Car Car Char,Texto nota pie Car Car Car Char,Texto de rodapé Char,fn Char1"/>
    <w:basedOn w:val="DefaultParagraphFont"/>
    <w:uiPriority w:val="99"/>
    <w:rsid w:val="002D1E15"/>
    <w:rPr>
      <w:rFonts w:ascii="Times New Roman" w:eastAsia="Times New Roman" w:hAnsi="Times New Roman" w:cs="Times New Roman"/>
      <w:sz w:val="20"/>
      <w:szCs w:val="20"/>
    </w:rPr>
  </w:style>
  <w:style w:type="character" w:styleId="FootnoteReference">
    <w:name w:val="footnote reference"/>
    <w:aliases w:val="referencia nota al pie,ftref,16 Point,Superscript 6 Point,FC,Ref,de nota al pie,(Ref. de nota al pie),Fußnotenzeichen DISS,Style 24,Appel note de bas de page"/>
    <w:basedOn w:val="DefaultParagraphFont"/>
    <w:uiPriority w:val="99"/>
    <w:qFormat/>
    <w:rsid w:val="002D1E15"/>
    <w:rPr>
      <w:vertAlign w:val="superscript"/>
    </w:rPr>
  </w:style>
  <w:style w:type="character" w:customStyle="1" w:styleId="FootnoteTextChar1">
    <w:name w:val="Footnote Text Char1"/>
    <w:aliases w:val="fn Char,single space Char,footnote text Char,foottextfra Char1,footnote Char1,F Char1,Texto nota pie Car Car Char1,texto de nota al pie Char1,Nota a pie/Bibliog Char1,Texto nota pie Car Car Car Car Car Car Car Car Char1,f Char"/>
    <w:basedOn w:val="DefaultParagraphFont"/>
    <w:link w:val="FootnoteText"/>
    <w:uiPriority w:val="99"/>
    <w:locked/>
    <w:rsid w:val="002D1E15"/>
    <w:rPr>
      <w:rFonts w:ascii="Times New Roman" w:eastAsia="Times New Roman" w:hAnsi="Times New Roman" w:cs="Times New Roman"/>
      <w:sz w:val="20"/>
      <w:szCs w:val="20"/>
    </w:rPr>
  </w:style>
  <w:style w:type="paragraph" w:customStyle="1" w:styleId="heading-b24">
    <w:name w:val="heading-b24"/>
    <w:basedOn w:val="Normal"/>
    <w:next w:val="Normal"/>
    <w:rsid w:val="00396984"/>
    <w:pPr>
      <w:spacing w:after="600"/>
      <w:jc w:val="center"/>
    </w:pPr>
    <w:rPr>
      <w:rFonts w:ascii="Times New Roman Bold" w:hAnsi="Times New Roman Bold"/>
      <w:b/>
      <w:smallCaps/>
      <w:spacing w:val="-3"/>
      <w:szCs w:val="20"/>
      <w:lang w:val="es-ES_tradnl"/>
    </w:rPr>
  </w:style>
  <w:style w:type="character" w:styleId="Strong">
    <w:name w:val="Strong"/>
    <w:basedOn w:val="DefaultParagraphFont"/>
    <w:uiPriority w:val="22"/>
    <w:qFormat/>
    <w:rsid w:val="00396984"/>
    <w:rPr>
      <w:b/>
      <w:bCs/>
    </w:rPr>
  </w:style>
  <w:style w:type="character" w:styleId="CommentReference">
    <w:name w:val="annotation reference"/>
    <w:basedOn w:val="DefaultParagraphFont"/>
    <w:uiPriority w:val="99"/>
    <w:unhideWhenUsed/>
    <w:rsid w:val="00CD6C31"/>
    <w:rPr>
      <w:sz w:val="16"/>
      <w:szCs w:val="16"/>
    </w:rPr>
  </w:style>
  <w:style w:type="paragraph" w:styleId="CommentText">
    <w:name w:val="annotation text"/>
    <w:basedOn w:val="Normal"/>
    <w:link w:val="CommentTextChar"/>
    <w:uiPriority w:val="99"/>
    <w:unhideWhenUsed/>
    <w:rsid w:val="00CD6C31"/>
    <w:rPr>
      <w:sz w:val="20"/>
      <w:szCs w:val="20"/>
    </w:rPr>
  </w:style>
  <w:style w:type="character" w:customStyle="1" w:styleId="CommentTextChar">
    <w:name w:val="Comment Text Char"/>
    <w:basedOn w:val="DefaultParagraphFont"/>
    <w:link w:val="CommentText"/>
    <w:uiPriority w:val="99"/>
    <w:rsid w:val="00CD6C31"/>
    <w:rPr>
      <w:rFonts w:ascii="Times New Roman" w:eastAsia="Times New Roman" w:hAnsi="Times New Roman" w:cs="Times New Roman"/>
      <w:sz w:val="20"/>
      <w:szCs w:val="20"/>
    </w:rPr>
  </w:style>
  <w:style w:type="character" w:customStyle="1" w:styleId="NoSpacingChar">
    <w:name w:val="No Spacing Char"/>
    <w:link w:val="NoSpacing"/>
    <w:uiPriority w:val="1"/>
    <w:rsid w:val="0047412F"/>
  </w:style>
  <w:style w:type="paragraph" w:styleId="Title">
    <w:name w:val="Title"/>
    <w:basedOn w:val="Normal"/>
    <w:link w:val="TitleChar"/>
    <w:qFormat/>
    <w:rsid w:val="0047412F"/>
    <w:pPr>
      <w:tabs>
        <w:tab w:val="left" w:pos="1440"/>
        <w:tab w:val="left" w:pos="3060"/>
      </w:tabs>
      <w:jc w:val="center"/>
      <w:outlineLvl w:val="0"/>
    </w:pPr>
    <w:rPr>
      <w:lang w:val="es-ES" w:eastAsia="x-none"/>
    </w:rPr>
  </w:style>
  <w:style w:type="character" w:customStyle="1" w:styleId="TitleChar">
    <w:name w:val="Title Char"/>
    <w:basedOn w:val="DefaultParagraphFont"/>
    <w:link w:val="Title"/>
    <w:rsid w:val="0047412F"/>
    <w:rPr>
      <w:rFonts w:ascii="Times New Roman" w:eastAsia="Times New Roman" w:hAnsi="Times New Roman" w:cs="Times New Roman"/>
      <w:sz w:val="24"/>
      <w:szCs w:val="24"/>
      <w:lang w:val="es-ES" w:eastAsia="x-none"/>
    </w:rPr>
  </w:style>
  <w:style w:type="paragraph" w:customStyle="1" w:styleId="FirstHeading">
    <w:name w:val="FirstHeading"/>
    <w:basedOn w:val="Normal"/>
    <w:link w:val="FirstHeadingChar"/>
    <w:uiPriority w:val="99"/>
    <w:rsid w:val="0047412F"/>
    <w:pPr>
      <w:keepNext/>
      <w:numPr>
        <w:numId w:val="2"/>
      </w:numPr>
      <w:tabs>
        <w:tab w:val="left" w:pos="0"/>
        <w:tab w:val="left" w:pos="90"/>
      </w:tabs>
      <w:spacing w:before="120" w:after="120"/>
    </w:pPr>
    <w:rPr>
      <w:rFonts w:eastAsia="Batang"/>
      <w:b/>
      <w:szCs w:val="20"/>
      <w:lang w:val="es-ES"/>
    </w:rPr>
  </w:style>
  <w:style w:type="paragraph" w:customStyle="1" w:styleId="SecHeading">
    <w:name w:val="SecHeading"/>
    <w:basedOn w:val="Normal"/>
    <w:next w:val="Normal"/>
    <w:uiPriority w:val="99"/>
    <w:rsid w:val="0047412F"/>
    <w:pPr>
      <w:keepNext/>
      <w:numPr>
        <w:ilvl w:val="1"/>
        <w:numId w:val="2"/>
      </w:numPr>
      <w:spacing w:before="120" w:after="120"/>
    </w:pPr>
    <w:rPr>
      <w:rFonts w:eastAsia="Batang"/>
      <w:b/>
      <w:szCs w:val="20"/>
      <w:lang w:val="es-ES_tradnl"/>
    </w:rPr>
  </w:style>
  <w:style w:type="paragraph" w:customStyle="1" w:styleId="SubHeading1">
    <w:name w:val="SubHeading1"/>
    <w:basedOn w:val="SecHeading"/>
    <w:uiPriority w:val="99"/>
    <w:rsid w:val="0047412F"/>
    <w:pPr>
      <w:numPr>
        <w:ilvl w:val="2"/>
      </w:numPr>
    </w:pPr>
  </w:style>
  <w:style w:type="paragraph" w:customStyle="1" w:styleId="Subheading2">
    <w:name w:val="Subheading2"/>
    <w:basedOn w:val="SecHeading"/>
    <w:uiPriority w:val="99"/>
    <w:rsid w:val="0047412F"/>
    <w:pPr>
      <w:numPr>
        <w:ilvl w:val="3"/>
      </w:numPr>
    </w:pPr>
  </w:style>
  <w:style w:type="paragraph" w:styleId="CommentSubject">
    <w:name w:val="annotation subject"/>
    <w:basedOn w:val="CommentText"/>
    <w:next w:val="CommentText"/>
    <w:link w:val="CommentSubjectChar"/>
    <w:uiPriority w:val="99"/>
    <w:semiHidden/>
    <w:unhideWhenUsed/>
    <w:rsid w:val="00A6072B"/>
    <w:rPr>
      <w:b/>
      <w:bCs/>
    </w:rPr>
  </w:style>
  <w:style w:type="character" w:customStyle="1" w:styleId="CommentSubjectChar">
    <w:name w:val="Comment Subject Char"/>
    <w:basedOn w:val="CommentTextChar"/>
    <w:link w:val="CommentSubject"/>
    <w:uiPriority w:val="99"/>
    <w:semiHidden/>
    <w:rsid w:val="00A6072B"/>
    <w:rPr>
      <w:rFonts w:ascii="Times New Roman" w:eastAsia="Times New Roman" w:hAnsi="Times New Roman" w:cs="Times New Roman"/>
      <w:b/>
      <w:bCs/>
      <w:sz w:val="20"/>
      <w:szCs w:val="20"/>
    </w:rPr>
  </w:style>
  <w:style w:type="paragraph" w:styleId="Revision">
    <w:name w:val="Revision"/>
    <w:hidden/>
    <w:uiPriority w:val="99"/>
    <w:semiHidden/>
    <w:rsid w:val="00A6072B"/>
    <w:pPr>
      <w:spacing w:after="0" w:line="240" w:lineRule="auto"/>
    </w:pPr>
    <w:rPr>
      <w:rFonts w:ascii="Times New Roman" w:eastAsia="Times New Roman" w:hAnsi="Times New Roman" w:cs="Times New Roman"/>
      <w:sz w:val="24"/>
      <w:szCs w:val="24"/>
    </w:rPr>
  </w:style>
  <w:style w:type="paragraph" w:customStyle="1" w:styleId="Newpage">
    <w:name w:val="Newpage"/>
    <w:basedOn w:val="Normal"/>
    <w:link w:val="NewpageChar"/>
    <w:rsid w:val="00CE79F7"/>
    <w:pPr>
      <w:tabs>
        <w:tab w:val="left" w:pos="1440"/>
        <w:tab w:val="left" w:pos="3060"/>
      </w:tabs>
      <w:jc w:val="center"/>
    </w:pPr>
    <w:rPr>
      <w:rFonts w:cs="Arial"/>
      <w:b/>
      <w:smallCaps/>
      <w:spacing w:val="-3"/>
      <w:szCs w:val="20"/>
      <w:lang w:val="es-ES_tradnl"/>
    </w:rPr>
  </w:style>
  <w:style w:type="character" w:customStyle="1" w:styleId="ParagraphCar">
    <w:name w:val="Paragraph Car"/>
    <w:rsid w:val="00911E00"/>
    <w:rPr>
      <w:sz w:val="24"/>
    </w:rPr>
  </w:style>
  <w:style w:type="character" w:customStyle="1" w:styleId="FirstHeadingChar">
    <w:name w:val="FirstHeading Char"/>
    <w:link w:val="FirstHeading"/>
    <w:uiPriority w:val="99"/>
    <w:rsid w:val="00911E00"/>
    <w:rPr>
      <w:rFonts w:ascii="Times New Roman" w:eastAsia="Batang" w:hAnsi="Times New Roman" w:cs="Times New Roman"/>
      <w:b/>
      <w:sz w:val="24"/>
      <w:szCs w:val="20"/>
      <w:lang w:val="es-ES"/>
    </w:rPr>
  </w:style>
  <w:style w:type="table" w:styleId="TableGrid">
    <w:name w:val="Table Grid"/>
    <w:basedOn w:val="TableNormal"/>
    <w:uiPriority w:val="39"/>
    <w:rsid w:val="0022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ar1">
    <w:name w:val="Paragraph Car1"/>
    <w:locked/>
    <w:rsid w:val="009727F1"/>
    <w:rPr>
      <w:sz w:val="24"/>
    </w:rPr>
  </w:style>
  <w:style w:type="paragraph" w:customStyle="1" w:styleId="Default">
    <w:name w:val="Default"/>
    <w:rsid w:val="00501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pageChar">
    <w:name w:val="Newpage Char"/>
    <w:link w:val="Newpage"/>
    <w:rsid w:val="00480F0A"/>
    <w:rPr>
      <w:rFonts w:ascii="Times New Roman" w:eastAsia="Times New Roman" w:hAnsi="Times New Roman" w:cs="Arial"/>
      <w:b/>
      <w:smallCaps/>
      <w:spacing w:val="-3"/>
      <w:sz w:val="24"/>
      <w:szCs w:val="20"/>
      <w:lang w:val="es-ES_tradnl"/>
    </w:rPr>
  </w:style>
  <w:style w:type="character" w:customStyle="1" w:styleId="ListParagraphChar">
    <w:name w:val="List Paragraph Char"/>
    <w:link w:val="ListParagraph"/>
    <w:uiPriority w:val="34"/>
    <w:locked/>
    <w:rsid w:val="00422B8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B0002"/>
    <w:rPr>
      <w:rFonts w:eastAsiaTheme="minorEastAsia"/>
      <w:b/>
      <w:bCs/>
      <w:i/>
      <w:iCs/>
      <w:sz w:val="26"/>
      <w:szCs w:val="26"/>
    </w:rPr>
  </w:style>
  <w:style w:type="character" w:styleId="FollowedHyperlink">
    <w:name w:val="FollowedHyperlink"/>
    <w:basedOn w:val="DefaultParagraphFont"/>
    <w:uiPriority w:val="99"/>
    <w:semiHidden/>
    <w:unhideWhenUsed/>
    <w:rsid w:val="00281268"/>
    <w:rPr>
      <w:color w:val="800080" w:themeColor="followedHyperlink"/>
      <w:u w:val="single"/>
    </w:rPr>
  </w:style>
  <w:style w:type="paragraph" w:styleId="NormalWeb">
    <w:name w:val="Normal (Web)"/>
    <w:basedOn w:val="Normal"/>
    <w:uiPriority w:val="99"/>
    <w:semiHidden/>
    <w:unhideWhenUsed/>
    <w:rsid w:val="00465EA8"/>
    <w:pPr>
      <w:spacing w:before="100" w:beforeAutospacing="1" w:after="100" w:afterAutospacing="1"/>
    </w:pPr>
  </w:style>
  <w:style w:type="paragraph" w:styleId="BodyText2">
    <w:name w:val="Body Text 2"/>
    <w:basedOn w:val="Normal"/>
    <w:link w:val="BodyText2Char"/>
    <w:rsid w:val="00415E16"/>
    <w:pPr>
      <w:spacing w:after="120" w:line="480" w:lineRule="auto"/>
    </w:pPr>
    <w:rPr>
      <w:spacing w:val="-3"/>
      <w:szCs w:val="20"/>
      <w:lang w:val="es-ES_tradnl"/>
    </w:rPr>
  </w:style>
  <w:style w:type="character" w:customStyle="1" w:styleId="BodyText2Char">
    <w:name w:val="Body Text 2 Char"/>
    <w:basedOn w:val="DefaultParagraphFont"/>
    <w:link w:val="BodyText2"/>
    <w:rsid w:val="00415E16"/>
    <w:rPr>
      <w:rFonts w:ascii="Times New Roman" w:eastAsia="Times New Roman" w:hAnsi="Times New Roman" w:cs="Times New Roman"/>
      <w:spacing w:val="-3"/>
      <w:sz w:val="24"/>
      <w:szCs w:val="20"/>
      <w:lang w:val="es-ES_tradnl"/>
    </w:rPr>
  </w:style>
  <w:style w:type="paragraph" w:styleId="BodyText3">
    <w:name w:val="Body Text 3"/>
    <w:basedOn w:val="Normal"/>
    <w:link w:val="BodyText3Char"/>
    <w:uiPriority w:val="99"/>
    <w:rsid w:val="00377B03"/>
    <w:rPr>
      <w:szCs w:val="20"/>
      <w:lang w:val="es-ES_tradnl" w:eastAsia="es-ES"/>
    </w:rPr>
  </w:style>
  <w:style w:type="character" w:customStyle="1" w:styleId="BodyText3Char">
    <w:name w:val="Body Text 3 Char"/>
    <w:basedOn w:val="DefaultParagraphFont"/>
    <w:link w:val="BodyText3"/>
    <w:uiPriority w:val="99"/>
    <w:rsid w:val="00377B03"/>
    <w:rPr>
      <w:rFonts w:ascii="Times New Roman" w:eastAsia="Times New Roman" w:hAnsi="Times New Roman" w:cs="Times New Roman"/>
      <w:sz w:val="24"/>
      <w:szCs w:val="20"/>
      <w:lang w:val="es-ES_tradnl" w:eastAsia="es-ES"/>
    </w:rPr>
  </w:style>
  <w:style w:type="paragraph" w:customStyle="1" w:styleId="Bullet">
    <w:name w:val="Bullet"/>
    <w:basedOn w:val="ListParagraph"/>
    <w:qFormat/>
    <w:rsid w:val="00377B03"/>
    <w:pPr>
      <w:numPr>
        <w:numId w:val="12"/>
      </w:numPr>
      <w:spacing w:before="120"/>
      <w:contextualSpacing w:val="0"/>
    </w:pPr>
    <w:rPr>
      <w:rFonts w:eastAsiaTheme="minorHAnsi" w:cstheme="minorBidi"/>
      <w:szCs w:val="22"/>
    </w:rPr>
  </w:style>
  <w:style w:type="paragraph" w:customStyle="1" w:styleId="Banknumbered">
    <w:name w:val="Bank numbered"/>
    <w:qFormat/>
    <w:rsid w:val="00377B03"/>
    <w:pPr>
      <w:numPr>
        <w:numId w:val="11"/>
      </w:numPr>
      <w:spacing w:before="120" w:after="0" w:line="240" w:lineRule="auto"/>
      <w:ind w:left="0" w:firstLine="0"/>
    </w:pPr>
    <w:rPr>
      <w:rFonts w:ascii="Times New Roman" w:hAnsi="Times New Roman"/>
      <w:sz w:val="24"/>
      <w:szCs w:val="24"/>
    </w:rPr>
  </w:style>
  <w:style w:type="paragraph" w:styleId="EndnoteText">
    <w:name w:val="endnote text"/>
    <w:basedOn w:val="Normal"/>
    <w:link w:val="EndnoteTextChar"/>
    <w:uiPriority w:val="99"/>
    <w:semiHidden/>
    <w:unhideWhenUsed/>
    <w:rsid w:val="00377B03"/>
    <w:rPr>
      <w:sz w:val="20"/>
      <w:szCs w:val="20"/>
    </w:rPr>
  </w:style>
  <w:style w:type="character" w:customStyle="1" w:styleId="EndnoteTextChar">
    <w:name w:val="Endnote Text Char"/>
    <w:basedOn w:val="DefaultParagraphFont"/>
    <w:link w:val="EndnoteText"/>
    <w:uiPriority w:val="99"/>
    <w:semiHidden/>
    <w:rsid w:val="00377B0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77B03"/>
    <w:rPr>
      <w:vertAlign w:val="superscript"/>
    </w:rPr>
  </w:style>
  <w:style w:type="character" w:customStyle="1" w:styleId="apple-converted-space">
    <w:name w:val="apple-converted-space"/>
    <w:basedOn w:val="DefaultParagraphFont"/>
    <w:rsid w:val="00377B03"/>
  </w:style>
  <w:style w:type="character" w:customStyle="1" w:styleId="Estilo1Car">
    <w:name w:val="Estilo1 Car"/>
    <w:basedOn w:val="DefaultParagraphFont"/>
    <w:link w:val="Estilo1"/>
    <w:locked/>
    <w:rsid w:val="00377B03"/>
    <w:rPr>
      <w:rFonts w:ascii="Times New Roman" w:eastAsiaTheme="majorEastAsia" w:hAnsi="Times New Roman" w:cstheme="majorBidi"/>
      <w:sz w:val="24"/>
      <w:szCs w:val="24"/>
      <w:lang w:bidi="en-US"/>
    </w:rPr>
  </w:style>
  <w:style w:type="paragraph" w:customStyle="1" w:styleId="Estilo1">
    <w:name w:val="Estilo1"/>
    <w:basedOn w:val="Normal"/>
    <w:link w:val="Estilo1Car"/>
    <w:qFormat/>
    <w:rsid w:val="00377B03"/>
    <w:pPr>
      <w:spacing w:before="120" w:after="320"/>
      <w:ind w:firstLine="284"/>
      <w:jc w:val="both"/>
    </w:pPr>
    <w:rPr>
      <w:rFonts w:eastAsiaTheme="majorEastAsia" w:cstheme="majorBidi"/>
      <w:lang w:bidi="en-US"/>
    </w:rPr>
  </w:style>
  <w:style w:type="paragraph" w:styleId="TOCHeading">
    <w:name w:val="TOC Heading"/>
    <w:basedOn w:val="Heading1"/>
    <w:next w:val="Normal"/>
    <w:uiPriority w:val="39"/>
    <w:unhideWhenUsed/>
    <w:qFormat/>
    <w:rsid w:val="00377B03"/>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es-CL" w:eastAsia="es-CL"/>
    </w:rPr>
  </w:style>
  <w:style w:type="paragraph" w:styleId="TOC1">
    <w:name w:val="toc 1"/>
    <w:basedOn w:val="Normal"/>
    <w:next w:val="Normal"/>
    <w:autoRedefine/>
    <w:uiPriority w:val="39"/>
    <w:unhideWhenUsed/>
    <w:rsid w:val="00377B03"/>
    <w:pPr>
      <w:spacing w:after="100"/>
    </w:pPr>
    <w:rPr>
      <w:rFonts w:eastAsiaTheme="minorHAnsi"/>
      <w:lang w:val="es-CL" w:eastAsia="es-CL"/>
    </w:rPr>
  </w:style>
  <w:style w:type="paragraph" w:styleId="TOC2">
    <w:name w:val="toc 2"/>
    <w:basedOn w:val="Normal"/>
    <w:next w:val="Normal"/>
    <w:autoRedefine/>
    <w:uiPriority w:val="39"/>
    <w:unhideWhenUsed/>
    <w:rsid w:val="00377B03"/>
    <w:pPr>
      <w:spacing w:after="100"/>
      <w:ind w:left="240"/>
    </w:pPr>
    <w:rPr>
      <w:rFonts w:eastAsiaTheme="minorHAnsi"/>
      <w:lang w:val="es-CL" w:eastAsia="es-CL"/>
    </w:rPr>
  </w:style>
  <w:style w:type="paragraph" w:styleId="TOC3">
    <w:name w:val="toc 3"/>
    <w:basedOn w:val="Normal"/>
    <w:next w:val="Normal"/>
    <w:autoRedefine/>
    <w:uiPriority w:val="39"/>
    <w:unhideWhenUsed/>
    <w:rsid w:val="00377B03"/>
    <w:pPr>
      <w:spacing w:after="100"/>
      <w:ind w:left="480"/>
    </w:pPr>
    <w:rPr>
      <w:rFonts w:eastAsiaTheme="minorHAnsi"/>
      <w:lang w:val="es-CL" w:eastAsia="es-CL"/>
    </w:rPr>
  </w:style>
  <w:style w:type="character" w:customStyle="1" w:styleId="a">
    <w:name w:val="a"/>
    <w:basedOn w:val="DefaultParagraphFont"/>
    <w:rsid w:val="00377B03"/>
  </w:style>
  <w:style w:type="paragraph" w:styleId="Caption">
    <w:name w:val="caption"/>
    <w:basedOn w:val="Normal"/>
    <w:next w:val="Normal"/>
    <w:uiPriority w:val="35"/>
    <w:unhideWhenUsed/>
    <w:qFormat/>
    <w:rsid w:val="00EA0363"/>
    <w:pPr>
      <w:spacing w:after="200"/>
    </w:pPr>
    <w:rPr>
      <w:rFonts w:asciiTheme="minorHAnsi" w:eastAsiaTheme="minorHAnsi" w:hAnsiTheme="minorHAnsi" w:cstheme="minorBidi"/>
      <w:b/>
      <w:bCs/>
      <w:color w:val="4F81BD" w:themeColor="accent1"/>
      <w:sz w:val="18"/>
      <w:szCs w:val="1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A6E"/>
    <w:pPr>
      <w:keepNext/>
      <w:numPr>
        <w:numId w:val="1"/>
      </w:numPr>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unhideWhenUsed/>
    <w:qFormat/>
    <w:rsid w:val="00C44E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30A6E"/>
    <w:pPr>
      <w:keepNext/>
      <w:numPr>
        <w:ilvl w:val="2"/>
        <w:numId w:val="1"/>
      </w:numPr>
      <w:spacing w:before="240" w:after="60"/>
      <w:outlineLvl w:val="2"/>
    </w:pPr>
    <w:rPr>
      <w:rFonts w:ascii="Arial" w:hAnsi="Arial"/>
      <w:szCs w:val="20"/>
    </w:rPr>
  </w:style>
  <w:style w:type="paragraph" w:styleId="Heading4">
    <w:name w:val="heading 4"/>
    <w:basedOn w:val="Normal"/>
    <w:next w:val="Normal"/>
    <w:link w:val="Heading4Char"/>
    <w:uiPriority w:val="9"/>
    <w:qFormat/>
    <w:rsid w:val="00530A6E"/>
    <w:pPr>
      <w:keepNext/>
      <w:numPr>
        <w:ilvl w:val="3"/>
        <w:numId w:val="1"/>
      </w:numPr>
      <w:spacing w:before="240" w:after="60"/>
      <w:outlineLvl w:val="3"/>
    </w:pPr>
    <w:rPr>
      <w:rFonts w:ascii="Arial" w:hAnsi="Arial"/>
      <w:b/>
      <w:szCs w:val="20"/>
    </w:rPr>
  </w:style>
  <w:style w:type="paragraph" w:styleId="Heading5">
    <w:name w:val="heading 5"/>
    <w:basedOn w:val="Normal"/>
    <w:next w:val="Normal"/>
    <w:link w:val="Heading5Char"/>
    <w:uiPriority w:val="9"/>
    <w:semiHidden/>
    <w:unhideWhenUsed/>
    <w:qFormat/>
    <w:rsid w:val="004B0002"/>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30A6E"/>
    <w:pPr>
      <w:numPr>
        <w:ilvl w:val="5"/>
        <w:numId w:val="1"/>
      </w:numPr>
      <w:spacing w:before="240" w:after="60"/>
      <w:outlineLvl w:val="5"/>
    </w:pPr>
    <w:rPr>
      <w:i/>
      <w:sz w:val="22"/>
      <w:szCs w:val="20"/>
    </w:rPr>
  </w:style>
  <w:style w:type="paragraph" w:styleId="Heading7">
    <w:name w:val="heading 7"/>
    <w:basedOn w:val="Normal"/>
    <w:next w:val="Normal"/>
    <w:link w:val="Heading7Char"/>
    <w:uiPriority w:val="9"/>
    <w:qFormat/>
    <w:rsid w:val="00530A6E"/>
    <w:pPr>
      <w:numPr>
        <w:ilvl w:val="6"/>
        <w:numId w:val="1"/>
      </w:numPr>
      <w:spacing w:before="240" w:after="60"/>
      <w:outlineLvl w:val="6"/>
    </w:pPr>
    <w:rPr>
      <w:rFonts w:ascii="Arial" w:hAnsi="Arial"/>
      <w:szCs w:val="20"/>
    </w:rPr>
  </w:style>
  <w:style w:type="paragraph" w:styleId="Heading8">
    <w:name w:val="heading 8"/>
    <w:basedOn w:val="Normal"/>
    <w:next w:val="Normal"/>
    <w:link w:val="Heading8Char"/>
    <w:uiPriority w:val="9"/>
    <w:qFormat/>
    <w:rsid w:val="00530A6E"/>
    <w:pPr>
      <w:numPr>
        <w:ilvl w:val="7"/>
        <w:numId w:val="1"/>
      </w:numPr>
      <w:spacing w:before="240" w:after="60"/>
      <w:outlineLvl w:val="7"/>
    </w:pPr>
    <w:rPr>
      <w:rFonts w:ascii="Arial" w:hAnsi="Arial"/>
      <w:i/>
      <w:szCs w:val="20"/>
    </w:rPr>
  </w:style>
  <w:style w:type="paragraph" w:styleId="Heading9">
    <w:name w:val="heading 9"/>
    <w:basedOn w:val="Normal"/>
    <w:next w:val="Normal"/>
    <w:link w:val="Heading9Char"/>
    <w:uiPriority w:val="9"/>
    <w:qFormat/>
    <w:rsid w:val="00530A6E"/>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AC3"/>
    <w:pPr>
      <w:spacing w:after="0" w:line="240" w:lineRule="auto"/>
    </w:pPr>
  </w:style>
  <w:style w:type="character" w:customStyle="1" w:styleId="Heading1Char">
    <w:name w:val="Heading 1 Char"/>
    <w:basedOn w:val="DefaultParagraphFont"/>
    <w:link w:val="Heading1"/>
    <w:uiPriority w:val="9"/>
    <w:rsid w:val="00530A6E"/>
    <w:rPr>
      <w:rFonts w:ascii="Arial" w:eastAsia="Times New Roman" w:hAnsi="Arial" w:cs="Times New Roman"/>
      <w:b/>
      <w:kern w:val="28"/>
      <w:sz w:val="28"/>
      <w:szCs w:val="20"/>
    </w:rPr>
  </w:style>
  <w:style w:type="character" w:customStyle="1" w:styleId="Heading3Char">
    <w:name w:val="Heading 3 Char"/>
    <w:basedOn w:val="DefaultParagraphFont"/>
    <w:link w:val="Heading3"/>
    <w:uiPriority w:val="9"/>
    <w:rsid w:val="00530A6E"/>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30A6E"/>
    <w:rPr>
      <w:rFonts w:ascii="Arial" w:eastAsia="Times New Roman" w:hAnsi="Arial" w:cs="Times New Roman"/>
      <w:b/>
      <w:sz w:val="24"/>
      <w:szCs w:val="20"/>
    </w:rPr>
  </w:style>
  <w:style w:type="character" w:customStyle="1" w:styleId="Heading6Char">
    <w:name w:val="Heading 6 Char"/>
    <w:basedOn w:val="DefaultParagraphFont"/>
    <w:link w:val="Heading6"/>
    <w:rsid w:val="00530A6E"/>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530A6E"/>
    <w:rPr>
      <w:rFonts w:ascii="Arial" w:eastAsia="Times New Roman" w:hAnsi="Arial" w:cs="Times New Roman"/>
      <w:sz w:val="24"/>
      <w:szCs w:val="20"/>
    </w:rPr>
  </w:style>
  <w:style w:type="character" w:customStyle="1" w:styleId="Heading8Char">
    <w:name w:val="Heading 8 Char"/>
    <w:basedOn w:val="DefaultParagraphFont"/>
    <w:link w:val="Heading8"/>
    <w:uiPriority w:val="9"/>
    <w:rsid w:val="00530A6E"/>
    <w:rPr>
      <w:rFonts w:ascii="Arial" w:eastAsia="Times New Roman" w:hAnsi="Arial" w:cs="Times New Roman"/>
      <w:i/>
      <w:sz w:val="24"/>
      <w:szCs w:val="20"/>
    </w:rPr>
  </w:style>
  <w:style w:type="character" w:customStyle="1" w:styleId="Heading9Char">
    <w:name w:val="Heading 9 Char"/>
    <w:basedOn w:val="DefaultParagraphFont"/>
    <w:link w:val="Heading9"/>
    <w:uiPriority w:val="9"/>
    <w:rsid w:val="00530A6E"/>
    <w:rPr>
      <w:rFonts w:ascii="Arial" w:eastAsia="Times New Roman" w:hAnsi="Arial" w:cs="Times New Roman"/>
      <w:b/>
      <w:i/>
      <w:sz w:val="18"/>
      <w:szCs w:val="20"/>
    </w:rPr>
  </w:style>
  <w:style w:type="paragraph" w:customStyle="1" w:styleId="Chapter">
    <w:name w:val="Chapter"/>
    <w:basedOn w:val="Normal"/>
    <w:next w:val="Normal"/>
    <w:rsid w:val="00530A6E"/>
    <w:pPr>
      <w:tabs>
        <w:tab w:val="num" w:pos="720"/>
        <w:tab w:val="left" w:pos="1440"/>
      </w:tabs>
      <w:spacing w:after="240"/>
      <w:ind w:left="720" w:hanging="720"/>
      <w:jc w:val="center"/>
    </w:pPr>
    <w:rPr>
      <w:b/>
      <w:smallCaps/>
      <w:noProof/>
      <w:szCs w:val="20"/>
    </w:rPr>
  </w:style>
  <w:style w:type="paragraph" w:customStyle="1" w:styleId="Paragraph">
    <w:name w:val="Paragraph"/>
    <w:aliases w:val="paragraph,p,PARAGRAPH,PG,pa,at"/>
    <w:basedOn w:val="BodyTextIndent"/>
    <w:link w:val="ParagraphChar"/>
    <w:qFormat/>
    <w:rsid w:val="00530A6E"/>
    <w:pPr>
      <w:tabs>
        <w:tab w:val="num" w:pos="1440"/>
      </w:tabs>
      <w:spacing w:before="120"/>
      <w:ind w:left="1440" w:hanging="720"/>
      <w:jc w:val="both"/>
      <w:outlineLvl w:val="1"/>
    </w:pPr>
    <w:rPr>
      <w:szCs w:val="20"/>
    </w:rPr>
  </w:style>
  <w:style w:type="paragraph" w:styleId="Header">
    <w:name w:val="header"/>
    <w:basedOn w:val="Normal"/>
    <w:link w:val="HeaderChar"/>
    <w:rsid w:val="00530A6E"/>
    <w:pPr>
      <w:tabs>
        <w:tab w:val="center" w:pos="4320"/>
        <w:tab w:val="right" w:pos="8640"/>
      </w:tabs>
    </w:pPr>
  </w:style>
  <w:style w:type="character" w:customStyle="1" w:styleId="HeaderChar">
    <w:name w:val="Header Char"/>
    <w:basedOn w:val="DefaultParagraphFont"/>
    <w:link w:val="Header"/>
    <w:rsid w:val="00530A6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30A6E"/>
    <w:pPr>
      <w:spacing w:after="120"/>
      <w:ind w:left="360"/>
    </w:pPr>
  </w:style>
  <w:style w:type="character" w:customStyle="1" w:styleId="BodyTextIndentChar">
    <w:name w:val="Body Text Indent Char"/>
    <w:basedOn w:val="DefaultParagraphFont"/>
    <w:link w:val="BodyTextIndent"/>
    <w:uiPriority w:val="99"/>
    <w:semiHidden/>
    <w:rsid w:val="00530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0A6E"/>
    <w:pPr>
      <w:tabs>
        <w:tab w:val="center" w:pos="4680"/>
        <w:tab w:val="right" w:pos="9360"/>
      </w:tabs>
    </w:pPr>
  </w:style>
  <w:style w:type="character" w:customStyle="1" w:styleId="FooterChar">
    <w:name w:val="Footer Char"/>
    <w:basedOn w:val="DefaultParagraphFont"/>
    <w:link w:val="Footer"/>
    <w:uiPriority w:val="99"/>
    <w:rsid w:val="00530A6E"/>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530A6E"/>
    <w:rPr>
      <w:rFonts w:ascii="Tahoma" w:hAnsi="Tahoma" w:cs="Tahoma"/>
      <w:sz w:val="16"/>
      <w:szCs w:val="16"/>
    </w:rPr>
  </w:style>
  <w:style w:type="character" w:customStyle="1" w:styleId="BalloonTextChar">
    <w:name w:val="Balloon Text Char"/>
    <w:basedOn w:val="DefaultParagraphFont"/>
    <w:link w:val="BalloonText"/>
    <w:uiPriority w:val="99"/>
    <w:rsid w:val="00530A6E"/>
    <w:rPr>
      <w:rFonts w:ascii="Tahoma" w:eastAsia="Times New Roman" w:hAnsi="Tahoma" w:cs="Tahoma"/>
      <w:sz w:val="16"/>
      <w:szCs w:val="16"/>
    </w:rPr>
  </w:style>
  <w:style w:type="character" w:customStyle="1" w:styleId="Heading2Char">
    <w:name w:val="Heading 2 Char"/>
    <w:basedOn w:val="DefaultParagraphFont"/>
    <w:link w:val="Heading2"/>
    <w:uiPriority w:val="99"/>
    <w:rsid w:val="00C44E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C44EF7"/>
    <w:pPr>
      <w:spacing w:after="120"/>
    </w:pPr>
  </w:style>
  <w:style w:type="character" w:customStyle="1" w:styleId="BodyTextChar">
    <w:name w:val="Body Text Char"/>
    <w:basedOn w:val="DefaultParagraphFont"/>
    <w:link w:val="BodyText"/>
    <w:uiPriority w:val="99"/>
    <w:rsid w:val="00C44EF7"/>
    <w:rPr>
      <w:rFonts w:ascii="Times New Roman" w:eastAsia="Times New Roman" w:hAnsi="Times New Roman" w:cs="Times New Roman"/>
      <w:sz w:val="24"/>
      <w:szCs w:val="24"/>
    </w:rPr>
  </w:style>
  <w:style w:type="character" w:styleId="PageNumber">
    <w:name w:val="page number"/>
    <w:basedOn w:val="DefaultParagraphFont"/>
    <w:rsid w:val="00C44EF7"/>
  </w:style>
  <w:style w:type="paragraph" w:styleId="Subtitle">
    <w:name w:val="Subtitle"/>
    <w:basedOn w:val="Normal"/>
    <w:link w:val="SubtitleChar"/>
    <w:uiPriority w:val="11"/>
    <w:qFormat/>
    <w:rsid w:val="00C44EF7"/>
    <w:pPr>
      <w:tabs>
        <w:tab w:val="center" w:pos="4680"/>
      </w:tabs>
      <w:spacing w:before="120"/>
      <w:jc w:val="center"/>
    </w:pPr>
    <w:rPr>
      <w:b/>
      <w:bCs/>
      <w:szCs w:val="20"/>
      <w:lang w:val="es-ES"/>
    </w:rPr>
  </w:style>
  <w:style w:type="character" w:customStyle="1" w:styleId="SubtitleChar">
    <w:name w:val="Subtitle Char"/>
    <w:basedOn w:val="DefaultParagraphFont"/>
    <w:link w:val="Subtitle"/>
    <w:uiPriority w:val="11"/>
    <w:rsid w:val="00C44EF7"/>
    <w:rPr>
      <w:rFonts w:ascii="Times New Roman" w:eastAsia="Times New Roman" w:hAnsi="Times New Roman" w:cs="Times New Roman"/>
      <w:b/>
      <w:bCs/>
      <w:sz w:val="24"/>
      <w:szCs w:val="20"/>
      <w:lang w:val="es-ES"/>
    </w:rPr>
  </w:style>
  <w:style w:type="character" w:styleId="Hyperlink">
    <w:name w:val="Hyperlink"/>
    <w:basedOn w:val="DefaultParagraphFont"/>
    <w:uiPriority w:val="99"/>
    <w:rsid w:val="00891BB1"/>
    <w:rPr>
      <w:color w:val="0000FF"/>
      <w:u w:val="single"/>
    </w:rPr>
  </w:style>
  <w:style w:type="paragraph" w:styleId="ListParagraph">
    <w:name w:val="List Paragraph"/>
    <w:basedOn w:val="Normal"/>
    <w:link w:val="ListParagraphChar"/>
    <w:uiPriority w:val="34"/>
    <w:qFormat/>
    <w:rsid w:val="00731137"/>
    <w:pPr>
      <w:ind w:left="720"/>
      <w:contextualSpacing/>
    </w:pPr>
  </w:style>
  <w:style w:type="paragraph" w:customStyle="1" w:styleId="subpar">
    <w:name w:val="subpar"/>
    <w:basedOn w:val="BodyTextIndent3"/>
    <w:rsid w:val="002D1E15"/>
    <w:pPr>
      <w:tabs>
        <w:tab w:val="num" w:pos="1152"/>
      </w:tabs>
      <w:spacing w:before="120"/>
      <w:ind w:left="1152" w:hanging="432"/>
      <w:jc w:val="both"/>
      <w:outlineLvl w:val="2"/>
    </w:pPr>
    <w:rPr>
      <w:sz w:val="24"/>
      <w:szCs w:val="20"/>
    </w:rPr>
  </w:style>
  <w:style w:type="paragraph" w:customStyle="1" w:styleId="SubSubPar">
    <w:name w:val="SubSubPar"/>
    <w:basedOn w:val="subpar"/>
    <w:rsid w:val="002D1E15"/>
  </w:style>
  <w:style w:type="character" w:customStyle="1" w:styleId="ParagraphChar">
    <w:name w:val="Paragraph Char"/>
    <w:aliases w:val="paragraph Char,p Char,PARAGRAPH Char,PG Char,pa Char,at Char"/>
    <w:basedOn w:val="DefaultParagraphFont"/>
    <w:link w:val="Paragraph"/>
    <w:locked/>
    <w:rsid w:val="002D1E1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2D1E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1E15"/>
    <w:rPr>
      <w:rFonts w:ascii="Times New Roman" w:eastAsia="Times New Roman" w:hAnsi="Times New Roman" w:cs="Times New Roman"/>
      <w:sz w:val="16"/>
      <w:szCs w:val="16"/>
    </w:rPr>
  </w:style>
  <w:style w:type="paragraph" w:styleId="FootnoteText">
    <w:name w:val="footnote text"/>
    <w:aliases w:val="fn,single space,footnote text,foottextfra,footnote,F,Texto nota pie Car Car,texto de nota al pie,Nota a pie/Bibliog,Texto nota pie Car Car Car Car Car Car Car Car,Texto nota pie Car Car Car,f,FOOTNOTES,Footnote Text Char Char,ALTS FOOTNOTE"/>
    <w:basedOn w:val="Normal"/>
    <w:link w:val="FootnoteTextChar1"/>
    <w:uiPriority w:val="99"/>
    <w:qFormat/>
    <w:rsid w:val="002D1E15"/>
    <w:rPr>
      <w:sz w:val="20"/>
      <w:szCs w:val="20"/>
    </w:rPr>
  </w:style>
  <w:style w:type="character" w:customStyle="1" w:styleId="FootnoteTextChar">
    <w:name w:val="Footnote Text Char"/>
    <w:aliases w:val="foottextfra Char,footnote Char,F Char,Texto nota pie Car Car Char,texto de nota al pie Char,Nota a pie/Bibliog Char,Texto nota pie Car Car Car Car Car Car Car Car Char,Texto nota pie Car Car Car Char,Texto de rodapé Char,fn Char1"/>
    <w:basedOn w:val="DefaultParagraphFont"/>
    <w:uiPriority w:val="99"/>
    <w:rsid w:val="002D1E15"/>
    <w:rPr>
      <w:rFonts w:ascii="Times New Roman" w:eastAsia="Times New Roman" w:hAnsi="Times New Roman" w:cs="Times New Roman"/>
      <w:sz w:val="20"/>
      <w:szCs w:val="20"/>
    </w:rPr>
  </w:style>
  <w:style w:type="character" w:styleId="FootnoteReference">
    <w:name w:val="footnote reference"/>
    <w:aliases w:val="referencia nota al pie,ftref,16 Point,Superscript 6 Point,FC,Ref,de nota al pie,(Ref. de nota al pie),Fußnotenzeichen DISS,Style 24,Appel note de bas de page"/>
    <w:basedOn w:val="DefaultParagraphFont"/>
    <w:uiPriority w:val="99"/>
    <w:qFormat/>
    <w:rsid w:val="002D1E15"/>
    <w:rPr>
      <w:vertAlign w:val="superscript"/>
    </w:rPr>
  </w:style>
  <w:style w:type="character" w:customStyle="1" w:styleId="FootnoteTextChar1">
    <w:name w:val="Footnote Text Char1"/>
    <w:aliases w:val="fn Char,single space Char,footnote text Char,foottextfra Char1,footnote Char1,F Char1,Texto nota pie Car Car Char1,texto de nota al pie Char1,Nota a pie/Bibliog Char1,Texto nota pie Car Car Car Car Car Car Car Car Char1,f Char"/>
    <w:basedOn w:val="DefaultParagraphFont"/>
    <w:link w:val="FootnoteText"/>
    <w:uiPriority w:val="99"/>
    <w:locked/>
    <w:rsid w:val="002D1E15"/>
    <w:rPr>
      <w:rFonts w:ascii="Times New Roman" w:eastAsia="Times New Roman" w:hAnsi="Times New Roman" w:cs="Times New Roman"/>
      <w:sz w:val="20"/>
      <w:szCs w:val="20"/>
    </w:rPr>
  </w:style>
  <w:style w:type="paragraph" w:customStyle="1" w:styleId="heading-b24">
    <w:name w:val="heading-b24"/>
    <w:basedOn w:val="Normal"/>
    <w:next w:val="Normal"/>
    <w:rsid w:val="00396984"/>
    <w:pPr>
      <w:spacing w:after="600"/>
      <w:jc w:val="center"/>
    </w:pPr>
    <w:rPr>
      <w:rFonts w:ascii="Times New Roman Bold" w:hAnsi="Times New Roman Bold"/>
      <w:b/>
      <w:smallCaps/>
      <w:spacing w:val="-3"/>
      <w:szCs w:val="20"/>
      <w:lang w:val="es-ES_tradnl"/>
    </w:rPr>
  </w:style>
  <w:style w:type="character" w:styleId="Strong">
    <w:name w:val="Strong"/>
    <w:basedOn w:val="DefaultParagraphFont"/>
    <w:uiPriority w:val="22"/>
    <w:qFormat/>
    <w:rsid w:val="00396984"/>
    <w:rPr>
      <w:b/>
      <w:bCs/>
    </w:rPr>
  </w:style>
  <w:style w:type="character" w:styleId="CommentReference">
    <w:name w:val="annotation reference"/>
    <w:basedOn w:val="DefaultParagraphFont"/>
    <w:uiPriority w:val="99"/>
    <w:unhideWhenUsed/>
    <w:rsid w:val="00CD6C31"/>
    <w:rPr>
      <w:sz w:val="16"/>
      <w:szCs w:val="16"/>
    </w:rPr>
  </w:style>
  <w:style w:type="paragraph" w:styleId="CommentText">
    <w:name w:val="annotation text"/>
    <w:basedOn w:val="Normal"/>
    <w:link w:val="CommentTextChar"/>
    <w:uiPriority w:val="99"/>
    <w:unhideWhenUsed/>
    <w:rsid w:val="00CD6C31"/>
    <w:rPr>
      <w:sz w:val="20"/>
      <w:szCs w:val="20"/>
    </w:rPr>
  </w:style>
  <w:style w:type="character" w:customStyle="1" w:styleId="CommentTextChar">
    <w:name w:val="Comment Text Char"/>
    <w:basedOn w:val="DefaultParagraphFont"/>
    <w:link w:val="CommentText"/>
    <w:uiPriority w:val="99"/>
    <w:rsid w:val="00CD6C31"/>
    <w:rPr>
      <w:rFonts w:ascii="Times New Roman" w:eastAsia="Times New Roman" w:hAnsi="Times New Roman" w:cs="Times New Roman"/>
      <w:sz w:val="20"/>
      <w:szCs w:val="20"/>
    </w:rPr>
  </w:style>
  <w:style w:type="character" w:customStyle="1" w:styleId="NoSpacingChar">
    <w:name w:val="No Spacing Char"/>
    <w:link w:val="NoSpacing"/>
    <w:uiPriority w:val="1"/>
    <w:rsid w:val="0047412F"/>
  </w:style>
  <w:style w:type="paragraph" w:styleId="Title">
    <w:name w:val="Title"/>
    <w:basedOn w:val="Normal"/>
    <w:link w:val="TitleChar"/>
    <w:qFormat/>
    <w:rsid w:val="0047412F"/>
    <w:pPr>
      <w:tabs>
        <w:tab w:val="left" w:pos="1440"/>
        <w:tab w:val="left" w:pos="3060"/>
      </w:tabs>
      <w:jc w:val="center"/>
      <w:outlineLvl w:val="0"/>
    </w:pPr>
    <w:rPr>
      <w:lang w:val="es-ES" w:eastAsia="x-none"/>
    </w:rPr>
  </w:style>
  <w:style w:type="character" w:customStyle="1" w:styleId="TitleChar">
    <w:name w:val="Title Char"/>
    <w:basedOn w:val="DefaultParagraphFont"/>
    <w:link w:val="Title"/>
    <w:rsid w:val="0047412F"/>
    <w:rPr>
      <w:rFonts w:ascii="Times New Roman" w:eastAsia="Times New Roman" w:hAnsi="Times New Roman" w:cs="Times New Roman"/>
      <w:sz w:val="24"/>
      <w:szCs w:val="24"/>
      <w:lang w:val="es-ES" w:eastAsia="x-none"/>
    </w:rPr>
  </w:style>
  <w:style w:type="paragraph" w:customStyle="1" w:styleId="FirstHeading">
    <w:name w:val="FirstHeading"/>
    <w:basedOn w:val="Normal"/>
    <w:link w:val="FirstHeadingChar"/>
    <w:uiPriority w:val="99"/>
    <w:rsid w:val="0047412F"/>
    <w:pPr>
      <w:keepNext/>
      <w:numPr>
        <w:numId w:val="2"/>
      </w:numPr>
      <w:tabs>
        <w:tab w:val="left" w:pos="0"/>
        <w:tab w:val="left" w:pos="90"/>
      </w:tabs>
      <w:spacing w:before="120" w:after="120"/>
    </w:pPr>
    <w:rPr>
      <w:rFonts w:eastAsia="Batang"/>
      <w:b/>
      <w:szCs w:val="20"/>
      <w:lang w:val="es-ES"/>
    </w:rPr>
  </w:style>
  <w:style w:type="paragraph" w:customStyle="1" w:styleId="SecHeading">
    <w:name w:val="SecHeading"/>
    <w:basedOn w:val="Normal"/>
    <w:next w:val="Normal"/>
    <w:uiPriority w:val="99"/>
    <w:rsid w:val="0047412F"/>
    <w:pPr>
      <w:keepNext/>
      <w:numPr>
        <w:ilvl w:val="1"/>
        <w:numId w:val="2"/>
      </w:numPr>
      <w:spacing w:before="120" w:after="120"/>
    </w:pPr>
    <w:rPr>
      <w:rFonts w:eastAsia="Batang"/>
      <w:b/>
      <w:szCs w:val="20"/>
      <w:lang w:val="es-ES_tradnl"/>
    </w:rPr>
  </w:style>
  <w:style w:type="paragraph" w:customStyle="1" w:styleId="SubHeading1">
    <w:name w:val="SubHeading1"/>
    <w:basedOn w:val="SecHeading"/>
    <w:uiPriority w:val="99"/>
    <w:rsid w:val="0047412F"/>
    <w:pPr>
      <w:numPr>
        <w:ilvl w:val="2"/>
      </w:numPr>
    </w:pPr>
  </w:style>
  <w:style w:type="paragraph" w:customStyle="1" w:styleId="Subheading2">
    <w:name w:val="Subheading2"/>
    <w:basedOn w:val="SecHeading"/>
    <w:uiPriority w:val="99"/>
    <w:rsid w:val="0047412F"/>
    <w:pPr>
      <w:numPr>
        <w:ilvl w:val="3"/>
      </w:numPr>
    </w:pPr>
  </w:style>
  <w:style w:type="paragraph" w:styleId="CommentSubject">
    <w:name w:val="annotation subject"/>
    <w:basedOn w:val="CommentText"/>
    <w:next w:val="CommentText"/>
    <w:link w:val="CommentSubjectChar"/>
    <w:uiPriority w:val="99"/>
    <w:semiHidden/>
    <w:unhideWhenUsed/>
    <w:rsid w:val="00A6072B"/>
    <w:rPr>
      <w:b/>
      <w:bCs/>
    </w:rPr>
  </w:style>
  <w:style w:type="character" w:customStyle="1" w:styleId="CommentSubjectChar">
    <w:name w:val="Comment Subject Char"/>
    <w:basedOn w:val="CommentTextChar"/>
    <w:link w:val="CommentSubject"/>
    <w:uiPriority w:val="99"/>
    <w:semiHidden/>
    <w:rsid w:val="00A6072B"/>
    <w:rPr>
      <w:rFonts w:ascii="Times New Roman" w:eastAsia="Times New Roman" w:hAnsi="Times New Roman" w:cs="Times New Roman"/>
      <w:b/>
      <w:bCs/>
      <w:sz w:val="20"/>
      <w:szCs w:val="20"/>
    </w:rPr>
  </w:style>
  <w:style w:type="paragraph" w:styleId="Revision">
    <w:name w:val="Revision"/>
    <w:hidden/>
    <w:uiPriority w:val="99"/>
    <w:semiHidden/>
    <w:rsid w:val="00A6072B"/>
    <w:pPr>
      <w:spacing w:after="0" w:line="240" w:lineRule="auto"/>
    </w:pPr>
    <w:rPr>
      <w:rFonts w:ascii="Times New Roman" w:eastAsia="Times New Roman" w:hAnsi="Times New Roman" w:cs="Times New Roman"/>
      <w:sz w:val="24"/>
      <w:szCs w:val="24"/>
    </w:rPr>
  </w:style>
  <w:style w:type="paragraph" w:customStyle="1" w:styleId="Newpage">
    <w:name w:val="Newpage"/>
    <w:basedOn w:val="Normal"/>
    <w:link w:val="NewpageChar"/>
    <w:rsid w:val="00CE79F7"/>
    <w:pPr>
      <w:tabs>
        <w:tab w:val="left" w:pos="1440"/>
        <w:tab w:val="left" w:pos="3060"/>
      </w:tabs>
      <w:jc w:val="center"/>
    </w:pPr>
    <w:rPr>
      <w:rFonts w:cs="Arial"/>
      <w:b/>
      <w:smallCaps/>
      <w:spacing w:val="-3"/>
      <w:szCs w:val="20"/>
      <w:lang w:val="es-ES_tradnl"/>
    </w:rPr>
  </w:style>
  <w:style w:type="character" w:customStyle="1" w:styleId="ParagraphCar">
    <w:name w:val="Paragraph Car"/>
    <w:rsid w:val="00911E00"/>
    <w:rPr>
      <w:sz w:val="24"/>
    </w:rPr>
  </w:style>
  <w:style w:type="character" w:customStyle="1" w:styleId="FirstHeadingChar">
    <w:name w:val="FirstHeading Char"/>
    <w:link w:val="FirstHeading"/>
    <w:uiPriority w:val="99"/>
    <w:rsid w:val="00911E00"/>
    <w:rPr>
      <w:rFonts w:ascii="Times New Roman" w:eastAsia="Batang" w:hAnsi="Times New Roman" w:cs="Times New Roman"/>
      <w:b/>
      <w:sz w:val="24"/>
      <w:szCs w:val="20"/>
      <w:lang w:val="es-ES"/>
    </w:rPr>
  </w:style>
  <w:style w:type="table" w:styleId="TableGrid">
    <w:name w:val="Table Grid"/>
    <w:basedOn w:val="TableNormal"/>
    <w:uiPriority w:val="39"/>
    <w:rsid w:val="0022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ar1">
    <w:name w:val="Paragraph Car1"/>
    <w:locked/>
    <w:rsid w:val="009727F1"/>
    <w:rPr>
      <w:sz w:val="24"/>
    </w:rPr>
  </w:style>
  <w:style w:type="paragraph" w:customStyle="1" w:styleId="Default">
    <w:name w:val="Default"/>
    <w:rsid w:val="00501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pageChar">
    <w:name w:val="Newpage Char"/>
    <w:link w:val="Newpage"/>
    <w:rsid w:val="00480F0A"/>
    <w:rPr>
      <w:rFonts w:ascii="Times New Roman" w:eastAsia="Times New Roman" w:hAnsi="Times New Roman" w:cs="Arial"/>
      <w:b/>
      <w:smallCaps/>
      <w:spacing w:val="-3"/>
      <w:sz w:val="24"/>
      <w:szCs w:val="20"/>
      <w:lang w:val="es-ES_tradnl"/>
    </w:rPr>
  </w:style>
  <w:style w:type="character" w:customStyle="1" w:styleId="ListParagraphChar">
    <w:name w:val="List Paragraph Char"/>
    <w:link w:val="ListParagraph"/>
    <w:uiPriority w:val="34"/>
    <w:locked/>
    <w:rsid w:val="00422B8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B0002"/>
    <w:rPr>
      <w:rFonts w:eastAsiaTheme="minorEastAsia"/>
      <w:b/>
      <w:bCs/>
      <w:i/>
      <w:iCs/>
      <w:sz w:val="26"/>
      <w:szCs w:val="26"/>
    </w:rPr>
  </w:style>
  <w:style w:type="character" w:styleId="FollowedHyperlink">
    <w:name w:val="FollowedHyperlink"/>
    <w:basedOn w:val="DefaultParagraphFont"/>
    <w:uiPriority w:val="99"/>
    <w:semiHidden/>
    <w:unhideWhenUsed/>
    <w:rsid w:val="00281268"/>
    <w:rPr>
      <w:color w:val="800080" w:themeColor="followedHyperlink"/>
      <w:u w:val="single"/>
    </w:rPr>
  </w:style>
  <w:style w:type="paragraph" w:styleId="NormalWeb">
    <w:name w:val="Normal (Web)"/>
    <w:basedOn w:val="Normal"/>
    <w:uiPriority w:val="99"/>
    <w:semiHidden/>
    <w:unhideWhenUsed/>
    <w:rsid w:val="00465EA8"/>
    <w:pPr>
      <w:spacing w:before="100" w:beforeAutospacing="1" w:after="100" w:afterAutospacing="1"/>
    </w:pPr>
  </w:style>
  <w:style w:type="paragraph" w:styleId="BodyText2">
    <w:name w:val="Body Text 2"/>
    <w:basedOn w:val="Normal"/>
    <w:link w:val="BodyText2Char"/>
    <w:rsid w:val="00415E16"/>
    <w:pPr>
      <w:spacing w:after="120" w:line="480" w:lineRule="auto"/>
    </w:pPr>
    <w:rPr>
      <w:spacing w:val="-3"/>
      <w:szCs w:val="20"/>
      <w:lang w:val="es-ES_tradnl"/>
    </w:rPr>
  </w:style>
  <w:style w:type="character" w:customStyle="1" w:styleId="BodyText2Char">
    <w:name w:val="Body Text 2 Char"/>
    <w:basedOn w:val="DefaultParagraphFont"/>
    <w:link w:val="BodyText2"/>
    <w:rsid w:val="00415E16"/>
    <w:rPr>
      <w:rFonts w:ascii="Times New Roman" w:eastAsia="Times New Roman" w:hAnsi="Times New Roman" w:cs="Times New Roman"/>
      <w:spacing w:val="-3"/>
      <w:sz w:val="24"/>
      <w:szCs w:val="20"/>
      <w:lang w:val="es-ES_tradnl"/>
    </w:rPr>
  </w:style>
  <w:style w:type="paragraph" w:styleId="BodyText3">
    <w:name w:val="Body Text 3"/>
    <w:basedOn w:val="Normal"/>
    <w:link w:val="BodyText3Char"/>
    <w:uiPriority w:val="99"/>
    <w:rsid w:val="00377B03"/>
    <w:rPr>
      <w:szCs w:val="20"/>
      <w:lang w:val="es-ES_tradnl" w:eastAsia="es-ES"/>
    </w:rPr>
  </w:style>
  <w:style w:type="character" w:customStyle="1" w:styleId="BodyText3Char">
    <w:name w:val="Body Text 3 Char"/>
    <w:basedOn w:val="DefaultParagraphFont"/>
    <w:link w:val="BodyText3"/>
    <w:uiPriority w:val="99"/>
    <w:rsid w:val="00377B03"/>
    <w:rPr>
      <w:rFonts w:ascii="Times New Roman" w:eastAsia="Times New Roman" w:hAnsi="Times New Roman" w:cs="Times New Roman"/>
      <w:sz w:val="24"/>
      <w:szCs w:val="20"/>
      <w:lang w:val="es-ES_tradnl" w:eastAsia="es-ES"/>
    </w:rPr>
  </w:style>
  <w:style w:type="paragraph" w:customStyle="1" w:styleId="Bullet">
    <w:name w:val="Bullet"/>
    <w:basedOn w:val="ListParagraph"/>
    <w:qFormat/>
    <w:rsid w:val="00377B03"/>
    <w:pPr>
      <w:numPr>
        <w:numId w:val="12"/>
      </w:numPr>
      <w:spacing w:before="120"/>
      <w:contextualSpacing w:val="0"/>
    </w:pPr>
    <w:rPr>
      <w:rFonts w:eastAsiaTheme="minorHAnsi" w:cstheme="minorBidi"/>
      <w:szCs w:val="22"/>
    </w:rPr>
  </w:style>
  <w:style w:type="paragraph" w:customStyle="1" w:styleId="Banknumbered">
    <w:name w:val="Bank numbered"/>
    <w:qFormat/>
    <w:rsid w:val="00377B03"/>
    <w:pPr>
      <w:numPr>
        <w:numId w:val="11"/>
      </w:numPr>
      <w:spacing w:before="120" w:after="0" w:line="240" w:lineRule="auto"/>
      <w:ind w:left="0" w:firstLine="0"/>
    </w:pPr>
    <w:rPr>
      <w:rFonts w:ascii="Times New Roman" w:hAnsi="Times New Roman"/>
      <w:sz w:val="24"/>
      <w:szCs w:val="24"/>
    </w:rPr>
  </w:style>
  <w:style w:type="paragraph" w:styleId="EndnoteText">
    <w:name w:val="endnote text"/>
    <w:basedOn w:val="Normal"/>
    <w:link w:val="EndnoteTextChar"/>
    <w:uiPriority w:val="99"/>
    <w:semiHidden/>
    <w:unhideWhenUsed/>
    <w:rsid w:val="00377B03"/>
    <w:rPr>
      <w:sz w:val="20"/>
      <w:szCs w:val="20"/>
    </w:rPr>
  </w:style>
  <w:style w:type="character" w:customStyle="1" w:styleId="EndnoteTextChar">
    <w:name w:val="Endnote Text Char"/>
    <w:basedOn w:val="DefaultParagraphFont"/>
    <w:link w:val="EndnoteText"/>
    <w:uiPriority w:val="99"/>
    <w:semiHidden/>
    <w:rsid w:val="00377B0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77B03"/>
    <w:rPr>
      <w:vertAlign w:val="superscript"/>
    </w:rPr>
  </w:style>
  <w:style w:type="character" w:customStyle="1" w:styleId="apple-converted-space">
    <w:name w:val="apple-converted-space"/>
    <w:basedOn w:val="DefaultParagraphFont"/>
    <w:rsid w:val="00377B03"/>
  </w:style>
  <w:style w:type="character" w:customStyle="1" w:styleId="Estilo1Car">
    <w:name w:val="Estilo1 Car"/>
    <w:basedOn w:val="DefaultParagraphFont"/>
    <w:link w:val="Estilo1"/>
    <w:locked/>
    <w:rsid w:val="00377B03"/>
    <w:rPr>
      <w:rFonts w:ascii="Times New Roman" w:eastAsiaTheme="majorEastAsia" w:hAnsi="Times New Roman" w:cstheme="majorBidi"/>
      <w:sz w:val="24"/>
      <w:szCs w:val="24"/>
      <w:lang w:bidi="en-US"/>
    </w:rPr>
  </w:style>
  <w:style w:type="paragraph" w:customStyle="1" w:styleId="Estilo1">
    <w:name w:val="Estilo1"/>
    <w:basedOn w:val="Normal"/>
    <w:link w:val="Estilo1Car"/>
    <w:qFormat/>
    <w:rsid w:val="00377B03"/>
    <w:pPr>
      <w:spacing w:before="120" w:after="320"/>
      <w:ind w:firstLine="284"/>
      <w:jc w:val="both"/>
    </w:pPr>
    <w:rPr>
      <w:rFonts w:eastAsiaTheme="majorEastAsia" w:cstheme="majorBidi"/>
      <w:lang w:bidi="en-US"/>
    </w:rPr>
  </w:style>
  <w:style w:type="paragraph" w:styleId="TOCHeading">
    <w:name w:val="TOC Heading"/>
    <w:basedOn w:val="Heading1"/>
    <w:next w:val="Normal"/>
    <w:uiPriority w:val="39"/>
    <w:unhideWhenUsed/>
    <w:qFormat/>
    <w:rsid w:val="00377B03"/>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es-CL" w:eastAsia="es-CL"/>
    </w:rPr>
  </w:style>
  <w:style w:type="paragraph" w:styleId="TOC1">
    <w:name w:val="toc 1"/>
    <w:basedOn w:val="Normal"/>
    <w:next w:val="Normal"/>
    <w:autoRedefine/>
    <w:uiPriority w:val="39"/>
    <w:unhideWhenUsed/>
    <w:rsid w:val="00377B03"/>
    <w:pPr>
      <w:spacing w:after="100"/>
    </w:pPr>
    <w:rPr>
      <w:rFonts w:eastAsiaTheme="minorHAnsi"/>
      <w:lang w:val="es-CL" w:eastAsia="es-CL"/>
    </w:rPr>
  </w:style>
  <w:style w:type="paragraph" w:styleId="TOC2">
    <w:name w:val="toc 2"/>
    <w:basedOn w:val="Normal"/>
    <w:next w:val="Normal"/>
    <w:autoRedefine/>
    <w:uiPriority w:val="39"/>
    <w:unhideWhenUsed/>
    <w:rsid w:val="00377B03"/>
    <w:pPr>
      <w:spacing w:after="100"/>
      <w:ind w:left="240"/>
    </w:pPr>
    <w:rPr>
      <w:rFonts w:eastAsiaTheme="minorHAnsi"/>
      <w:lang w:val="es-CL" w:eastAsia="es-CL"/>
    </w:rPr>
  </w:style>
  <w:style w:type="paragraph" w:styleId="TOC3">
    <w:name w:val="toc 3"/>
    <w:basedOn w:val="Normal"/>
    <w:next w:val="Normal"/>
    <w:autoRedefine/>
    <w:uiPriority w:val="39"/>
    <w:unhideWhenUsed/>
    <w:rsid w:val="00377B03"/>
    <w:pPr>
      <w:spacing w:after="100"/>
      <w:ind w:left="480"/>
    </w:pPr>
    <w:rPr>
      <w:rFonts w:eastAsiaTheme="minorHAnsi"/>
      <w:lang w:val="es-CL" w:eastAsia="es-CL"/>
    </w:rPr>
  </w:style>
  <w:style w:type="character" w:customStyle="1" w:styleId="a">
    <w:name w:val="a"/>
    <w:basedOn w:val="DefaultParagraphFont"/>
    <w:rsid w:val="00377B03"/>
  </w:style>
  <w:style w:type="paragraph" w:styleId="Caption">
    <w:name w:val="caption"/>
    <w:basedOn w:val="Normal"/>
    <w:next w:val="Normal"/>
    <w:uiPriority w:val="35"/>
    <w:unhideWhenUsed/>
    <w:qFormat/>
    <w:rsid w:val="00EA0363"/>
    <w:pPr>
      <w:spacing w:after="200"/>
    </w:pPr>
    <w:rPr>
      <w:rFonts w:asciiTheme="minorHAnsi" w:eastAsiaTheme="minorHAnsi" w:hAnsiTheme="minorHAnsi" w:cstheme="minorBidi"/>
      <w:b/>
      <w:bCs/>
      <w:color w:val="4F81BD" w:themeColor="accent1"/>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343293">
      <w:bodyDiv w:val="1"/>
      <w:marLeft w:val="0"/>
      <w:marRight w:val="0"/>
      <w:marTop w:val="0"/>
      <w:marBottom w:val="0"/>
      <w:divBdr>
        <w:top w:val="none" w:sz="0" w:space="0" w:color="auto"/>
        <w:left w:val="none" w:sz="0" w:space="0" w:color="auto"/>
        <w:bottom w:val="none" w:sz="0" w:space="0" w:color="auto"/>
        <w:right w:val="none" w:sz="0" w:space="0" w:color="auto"/>
      </w:divBdr>
    </w:div>
    <w:div w:id="482161392">
      <w:bodyDiv w:val="1"/>
      <w:marLeft w:val="0"/>
      <w:marRight w:val="0"/>
      <w:marTop w:val="0"/>
      <w:marBottom w:val="0"/>
      <w:divBdr>
        <w:top w:val="none" w:sz="0" w:space="0" w:color="auto"/>
        <w:left w:val="none" w:sz="0" w:space="0" w:color="auto"/>
        <w:bottom w:val="none" w:sz="0" w:space="0" w:color="auto"/>
        <w:right w:val="none" w:sz="0" w:space="0" w:color="auto"/>
      </w:divBdr>
    </w:div>
    <w:div w:id="652871791">
      <w:bodyDiv w:val="1"/>
      <w:marLeft w:val="0"/>
      <w:marRight w:val="0"/>
      <w:marTop w:val="0"/>
      <w:marBottom w:val="0"/>
      <w:divBdr>
        <w:top w:val="none" w:sz="0" w:space="0" w:color="auto"/>
        <w:left w:val="none" w:sz="0" w:space="0" w:color="auto"/>
        <w:bottom w:val="none" w:sz="0" w:space="0" w:color="auto"/>
        <w:right w:val="none" w:sz="0" w:space="0" w:color="auto"/>
      </w:divBdr>
    </w:div>
    <w:div w:id="690494743">
      <w:bodyDiv w:val="1"/>
      <w:marLeft w:val="0"/>
      <w:marRight w:val="0"/>
      <w:marTop w:val="0"/>
      <w:marBottom w:val="0"/>
      <w:divBdr>
        <w:top w:val="none" w:sz="0" w:space="0" w:color="auto"/>
        <w:left w:val="none" w:sz="0" w:space="0" w:color="auto"/>
        <w:bottom w:val="none" w:sz="0" w:space="0" w:color="auto"/>
        <w:right w:val="none" w:sz="0" w:space="0" w:color="auto"/>
      </w:divBdr>
    </w:div>
    <w:div w:id="1128202982">
      <w:bodyDiv w:val="1"/>
      <w:marLeft w:val="0"/>
      <w:marRight w:val="0"/>
      <w:marTop w:val="0"/>
      <w:marBottom w:val="0"/>
      <w:divBdr>
        <w:top w:val="none" w:sz="0" w:space="0" w:color="auto"/>
        <w:left w:val="none" w:sz="0" w:space="0" w:color="auto"/>
        <w:bottom w:val="none" w:sz="0" w:space="0" w:color="auto"/>
        <w:right w:val="none" w:sz="0" w:space="0" w:color="auto"/>
      </w:divBdr>
    </w:div>
    <w:div w:id="194329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png"/><Relationship Id="rId11" Type="http://schemas.openxmlformats.org/officeDocument/2006/relationships/hyperlink" Target="http://idbdocs.iadb.org/wsdocs/getDocument.aspx?DOCNUM=40519294"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mapschile.cl/"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business.baylor.edu/scott_cunningham/Causalinf/Cunningham,_Fall_2012_files/Abadie%20and%20Gardeazabal%202003.pdf" TargetMode="Externa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customXml" Target="../customXml/item6.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hyperlink" Target="http://idbdocs.iadb.org/wsdocs/getDocument.aspx?DOCNUM=4051930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2.xml"/><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idbdocs.iadb.org/wsdocs/getDocument.aspx?DOCNUM=40519340" TargetMode="External"/><Relationship Id="rId13" Type="http://schemas.openxmlformats.org/officeDocument/2006/relationships/image" Target="media/image1.emf"/><Relationship Id="rId18" Type="http://schemas.openxmlformats.org/officeDocument/2006/relationships/image" Target="media/image5.jpe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www.sciencedirect.com/science/journal/01409883/36/sup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6D33403A27A15D4CB30C565E390C16F2" ma:contentTypeVersion="0" ma:contentTypeDescription="A content type to manage public (operations) IDB documents" ma:contentTypeScope="" ma:versionID="7e7a56676c6706de5f182ac92033ab35">
  <xsd:schema xmlns:xsd="http://www.w3.org/2001/XMLSchema" xmlns:xs="http://www.w3.org/2001/XMLSchema" xmlns:p="http://schemas.microsoft.com/office/2006/metadata/properties" xmlns:ns2="9c571b2f-e523-4ab2-ba2e-09e151a03ef4" targetNamespace="http://schemas.microsoft.com/office/2006/metadata/properties" ma:root="true" ma:fieldsID="5cef9acc7f5f2c21ae68466fda6a47c8"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09f7d02-9c79-4040-8fb6-60e7837b3d3f}" ma:internalName="TaxCatchAll" ma:showField="CatchAllData" ma:web="e5f1387b-93c4-4727-9a71-194fef630f9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c09f7d02-9c79-4040-8fb6-60e7837b3d3f}" ma:internalName="TaxCatchAllLabel" ma:readOnly="true" ma:showField="CatchAllDataLabel" ma:web="e5f1387b-93c4-4727-9a71-194fef630f9e">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INE/ENE</Division_x0020_or_x0020_Unit>
    <Other_x0020_Author xmlns="9c571b2f-e523-4ab2-ba2e-09e151a03ef4" xsi:nil="true"/>
    <Region xmlns="9c571b2f-e523-4ab2-ba2e-09e151a03ef4" xsi:nil="true"/>
    <IDBDocs_x0020_Number xmlns="9c571b2f-e523-4ab2-ba2e-09e151a03ef4">40523622</IDBDocs_x0020_Number>
    <Document_x0020_Author xmlns="9c571b2f-e523-4ab2-ba2e-09e151a03ef4">Rodriguez Flores, Enrique</Document_x0020_Author>
    <Publication_x0020_Type xmlns="9c571b2f-e523-4ab2-ba2e-09e151a03ef4" xsi:nil="true"/>
    <Operation_x0020_Type xmlns="9c571b2f-e523-4ab2-ba2e-09e151a03ef4" xsi:nil="true"/>
    <TaxCatchAll xmlns="9c571b2f-e523-4ab2-ba2e-09e151a03ef4">
      <Value>7</Value>
      <Value>6</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CH-L1136</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Proposal&lt;/USER_STAGE&gt;&lt;APPROVAL_CODE&gt;DE&lt;/APPROVAL_CODE&gt;&lt;APPROVAL_DESC&gt;Board of Executive Directors&lt;/APPROVAL_DESC&gt;&lt;PD_OBJ_TYPE&gt;0&lt;/PD_OBJ_TYPE&gt;&lt;MAKERECORD&gt;N&lt;/MAKERECORD&gt;&lt;/Data&gt;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EN-ALT</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F598A437-5924-4D6B-B12E-12D8126A893A}"/>
</file>

<file path=customXml/itemProps2.xml><?xml version="1.0" encoding="utf-8"?>
<ds:datastoreItem xmlns:ds="http://schemas.openxmlformats.org/officeDocument/2006/customXml" ds:itemID="{72FA5FD2-ED50-41E8-A48C-3AB5CE955F47}"/>
</file>

<file path=customXml/itemProps3.xml><?xml version="1.0" encoding="utf-8"?>
<ds:datastoreItem xmlns:ds="http://schemas.openxmlformats.org/officeDocument/2006/customXml" ds:itemID="{85B7E223-5E2B-4CE3-AC80-68844BCDE553}"/>
</file>

<file path=customXml/itemProps4.xml><?xml version="1.0" encoding="utf-8"?>
<ds:datastoreItem xmlns:ds="http://schemas.openxmlformats.org/officeDocument/2006/customXml" ds:itemID="{05ED876C-B6F5-4530-B601-A6D6D4E8DED3}"/>
</file>

<file path=customXml/itemProps5.xml><?xml version="1.0" encoding="utf-8"?>
<ds:datastoreItem xmlns:ds="http://schemas.openxmlformats.org/officeDocument/2006/customXml" ds:itemID="{F7472B6E-7969-4F01-ACE4-069CB4127FAD}"/>
</file>

<file path=customXml/itemProps6.xml><?xml version="1.0" encoding="utf-8"?>
<ds:datastoreItem xmlns:ds="http://schemas.openxmlformats.org/officeDocument/2006/customXml" ds:itemID="{52E531FD-5381-42C0-B9FF-3487B2BA2DCC}"/>
</file>

<file path=docProps/app.xml><?xml version="1.0" encoding="utf-8"?>
<Properties xmlns="http://schemas.openxmlformats.org/officeDocument/2006/extended-properties" xmlns:vt="http://schemas.openxmlformats.org/officeDocument/2006/docPropsVTypes">
  <Template>Normal.dotm</Template>
  <TotalTime>10</TotalTime>
  <Pages>47</Pages>
  <Words>24740</Words>
  <Characters>141021</Characters>
  <Application>Microsoft Office Word</Application>
  <DocSecurity>0</DocSecurity>
  <Lines>1175</Lines>
  <Paragraphs>330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165431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Seguimiento y Evaluacion</dc:title>
  <dc:creator>almar</dc:creator>
  <cp:lastModifiedBy>IADB</cp:lastModifiedBy>
  <cp:revision>6</cp:revision>
  <cp:lastPrinted>2014-05-13T14:10:00Z</cp:lastPrinted>
  <dcterms:created xsi:type="dcterms:W3CDTF">2016-10-14T18:58:00Z</dcterms:created>
  <dcterms:modified xsi:type="dcterms:W3CDTF">2016-11-18T19:53:00Z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0x01010046CF21643EE8D14686A648AA6DAD0892006D33403A27A15D4CB30C565E390C16F2</vt:lpwstr>
  </property>
  <property fmtid="{D5CDD505-2E9C-101B-9397-08002B2CF9AE}" pid="5" name="TaxKeywordTaxHTField">
    <vt:lpwstr/>
  </property>
  <property fmtid="{D5CDD505-2E9C-101B-9397-08002B2CF9AE}" pid="6" name="Series Operations IDB">
    <vt:lpwstr>6;#Unclassified|a6dff32e-d477-44cd-a56b-85efe9e0a56c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6;#Unclassified|a6dff32e-d477-44cd-a56b-85efe9e0a56c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7;#IDBDocs|cca77002-e150-4b2d-ab1f-1d7a7cdcae16</vt:lpwstr>
  </property>
</Properties>
</file>