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8E" w:rsidRPr="0099082F" w:rsidRDefault="00C2448E" w:rsidP="00C2448E">
      <w:pPr>
        <w:pStyle w:val="Title"/>
        <w:tabs>
          <w:tab w:val="clear" w:pos="1440"/>
          <w:tab w:val="clear" w:pos="3060"/>
        </w:tabs>
        <w:outlineLvl w:val="9"/>
        <w:rPr>
          <w:rFonts w:ascii="Arial" w:hAnsi="Arial" w:cs="Arial"/>
          <w:smallCaps/>
          <w:sz w:val="20"/>
          <w:lang w:val="es-ES"/>
        </w:rPr>
      </w:pPr>
      <w:bookmarkStart w:id="0" w:name="_Toc329186121"/>
      <w:bookmarkStart w:id="1" w:name="_GoBack"/>
      <w:bookmarkEnd w:id="1"/>
      <w:r w:rsidRPr="0099082F">
        <w:rPr>
          <w:rFonts w:ascii="Arial" w:hAnsi="Arial" w:cs="Arial"/>
          <w:smallCaps/>
          <w:sz w:val="20"/>
          <w:lang w:val="es-ES"/>
        </w:rPr>
        <w:t>Documento del Banco Interamericano de Desarrollo</w:t>
      </w:r>
      <w:bookmarkEnd w:id="0"/>
    </w:p>
    <w:p w:rsidR="00C2448E" w:rsidRPr="0099082F" w:rsidRDefault="00C2448E" w:rsidP="00C2448E">
      <w:pPr>
        <w:pStyle w:val="ListParagraph"/>
        <w:spacing w:before="120"/>
        <w:ind w:left="0"/>
        <w:jc w:val="center"/>
        <w:rPr>
          <w:rFonts w:ascii="Arial" w:hAnsi="Arial" w:cs="Arial"/>
          <w:b/>
          <w:sz w:val="20"/>
          <w:szCs w:val="20"/>
          <w:lang w:val="es-ES"/>
        </w:rPr>
      </w:pPr>
    </w:p>
    <w:p w:rsidR="00C2448E" w:rsidRPr="0099082F" w:rsidRDefault="00C2448E" w:rsidP="00C2448E">
      <w:pPr>
        <w:tabs>
          <w:tab w:val="left" w:pos="1440"/>
          <w:tab w:val="left" w:pos="3060"/>
        </w:tabs>
        <w:jc w:val="center"/>
        <w:rPr>
          <w:rFonts w:ascii="Arial" w:hAnsi="Arial" w:cs="Arial"/>
          <w:b/>
          <w:smallCaps/>
          <w:sz w:val="20"/>
          <w:szCs w:val="20"/>
          <w:lang w:val="es-ES"/>
        </w:rPr>
      </w:pPr>
    </w:p>
    <w:p w:rsidR="00C2448E" w:rsidRPr="0099082F" w:rsidRDefault="00C2448E" w:rsidP="00C2448E">
      <w:pPr>
        <w:tabs>
          <w:tab w:val="left" w:pos="1440"/>
          <w:tab w:val="left" w:pos="3060"/>
        </w:tabs>
        <w:jc w:val="center"/>
        <w:rPr>
          <w:rFonts w:ascii="Arial" w:hAnsi="Arial" w:cs="Arial"/>
          <w:b/>
          <w:smallCaps/>
          <w:sz w:val="20"/>
          <w:szCs w:val="20"/>
          <w:lang w:val="es-ES"/>
        </w:rPr>
      </w:pPr>
    </w:p>
    <w:p w:rsidR="00C2448E" w:rsidRPr="0099082F" w:rsidRDefault="00C2448E" w:rsidP="00C2448E">
      <w:pPr>
        <w:tabs>
          <w:tab w:val="left" w:pos="1440"/>
          <w:tab w:val="left" w:pos="3060"/>
        </w:tabs>
        <w:jc w:val="center"/>
        <w:rPr>
          <w:rFonts w:ascii="Arial" w:hAnsi="Arial" w:cs="Arial"/>
          <w:b/>
          <w:smallCaps/>
          <w:sz w:val="20"/>
          <w:szCs w:val="20"/>
          <w:lang w:val="es-AR"/>
        </w:rPr>
      </w:pPr>
      <w:r w:rsidRPr="0099082F">
        <w:rPr>
          <w:rFonts w:ascii="Arial" w:hAnsi="Arial" w:cs="Arial"/>
          <w:b/>
          <w:smallCaps/>
          <w:sz w:val="20"/>
          <w:szCs w:val="20"/>
          <w:lang w:val="es-AR"/>
        </w:rPr>
        <w:t>Argentina</w:t>
      </w:r>
    </w:p>
    <w:p w:rsidR="00C2448E" w:rsidRPr="0099082F" w:rsidRDefault="00C2448E" w:rsidP="00C2448E">
      <w:pPr>
        <w:tabs>
          <w:tab w:val="left" w:pos="1440"/>
          <w:tab w:val="left" w:pos="3060"/>
        </w:tabs>
        <w:jc w:val="center"/>
        <w:rPr>
          <w:rFonts w:ascii="Arial" w:hAnsi="Arial" w:cs="Arial"/>
          <w:b/>
          <w:smallCaps/>
          <w:sz w:val="20"/>
          <w:szCs w:val="20"/>
          <w:highlight w:val="lightGray"/>
          <w:lang w:val="es-ES"/>
        </w:rPr>
      </w:pPr>
    </w:p>
    <w:p w:rsidR="00C2448E" w:rsidRPr="0099082F" w:rsidRDefault="00C2448E" w:rsidP="00C2448E">
      <w:pPr>
        <w:tabs>
          <w:tab w:val="left" w:pos="1440"/>
          <w:tab w:val="left" w:pos="3060"/>
        </w:tabs>
        <w:jc w:val="center"/>
        <w:rPr>
          <w:rFonts w:ascii="Arial" w:hAnsi="Arial" w:cs="Arial"/>
          <w:b/>
          <w:smallCaps/>
          <w:sz w:val="20"/>
          <w:szCs w:val="20"/>
          <w:highlight w:val="lightGray"/>
          <w:lang w:val="es-ES"/>
        </w:rPr>
      </w:pPr>
    </w:p>
    <w:p w:rsidR="00C2448E" w:rsidRPr="0099082F" w:rsidRDefault="00621293" w:rsidP="00621293">
      <w:pPr>
        <w:tabs>
          <w:tab w:val="left" w:pos="3060"/>
        </w:tabs>
        <w:jc w:val="center"/>
        <w:rPr>
          <w:rFonts w:ascii="Arial" w:hAnsi="Arial" w:cs="Arial"/>
          <w:b/>
          <w:smallCaps/>
          <w:sz w:val="20"/>
          <w:szCs w:val="20"/>
          <w:lang w:val="es-ES_tradnl"/>
        </w:rPr>
      </w:pPr>
      <w:r w:rsidRPr="0099082F">
        <w:rPr>
          <w:rFonts w:ascii="Arial" w:hAnsi="Arial" w:cs="Arial"/>
          <w:b/>
          <w:smallCaps/>
          <w:sz w:val="20"/>
          <w:szCs w:val="20"/>
          <w:lang w:val="es-ES_tradnl"/>
        </w:rPr>
        <w:t>Programa de Desarrollo de Áreas Metropolitanas. Programa de Desarrollo de Áreas Metropolitanas II</w:t>
      </w:r>
    </w:p>
    <w:p w:rsidR="00C2448E" w:rsidRPr="0099082F" w:rsidRDefault="00C2448E" w:rsidP="00C2448E">
      <w:pPr>
        <w:tabs>
          <w:tab w:val="left" w:pos="1440"/>
          <w:tab w:val="left" w:pos="3060"/>
        </w:tabs>
        <w:jc w:val="center"/>
        <w:rPr>
          <w:rFonts w:ascii="Arial" w:hAnsi="Arial" w:cs="Arial"/>
          <w:b/>
          <w:smallCaps/>
          <w:sz w:val="20"/>
          <w:szCs w:val="20"/>
          <w:lang w:val="es-ES"/>
        </w:rPr>
      </w:pPr>
      <w:r w:rsidRPr="0099082F">
        <w:rPr>
          <w:rFonts w:ascii="Arial" w:hAnsi="Arial" w:cs="Arial"/>
          <w:b/>
          <w:smallCaps/>
          <w:sz w:val="20"/>
          <w:szCs w:val="20"/>
          <w:lang w:val="es-AR"/>
        </w:rPr>
        <w:t>(AR-L1</w:t>
      </w:r>
      <w:r w:rsidR="00621293" w:rsidRPr="0099082F">
        <w:rPr>
          <w:rFonts w:ascii="Arial" w:hAnsi="Arial" w:cs="Arial"/>
          <w:b/>
          <w:smallCaps/>
          <w:sz w:val="20"/>
          <w:szCs w:val="20"/>
          <w:lang w:val="es-AR"/>
        </w:rPr>
        <w:t>243</w:t>
      </w:r>
      <w:r w:rsidRPr="0099082F">
        <w:rPr>
          <w:rFonts w:ascii="Arial" w:hAnsi="Arial" w:cs="Arial"/>
          <w:b/>
          <w:smallCaps/>
          <w:sz w:val="20"/>
          <w:szCs w:val="20"/>
          <w:lang w:val="es-AR"/>
        </w:rPr>
        <w:t>)</w:t>
      </w:r>
    </w:p>
    <w:p w:rsidR="00C2448E" w:rsidRPr="0099082F" w:rsidRDefault="00C2448E" w:rsidP="00C2448E">
      <w:pPr>
        <w:pStyle w:val="Newpage"/>
        <w:rPr>
          <w:rFonts w:ascii="Arial" w:hAnsi="Arial"/>
          <w:b w:val="0"/>
          <w:caps/>
          <w:smallCaps w:val="0"/>
          <w:sz w:val="20"/>
          <w:lang w:val="es-ES"/>
        </w:rPr>
      </w:pPr>
    </w:p>
    <w:p w:rsidR="00C2448E" w:rsidRPr="0099082F" w:rsidRDefault="00C2448E" w:rsidP="00C2448E">
      <w:pPr>
        <w:tabs>
          <w:tab w:val="left" w:pos="1440"/>
          <w:tab w:val="left" w:pos="3060"/>
        </w:tabs>
        <w:jc w:val="center"/>
        <w:rPr>
          <w:rFonts w:ascii="Arial" w:hAnsi="Arial" w:cs="Arial"/>
          <w:smallCaps/>
          <w:sz w:val="20"/>
          <w:szCs w:val="20"/>
          <w:lang w:val="es-ES"/>
        </w:rPr>
      </w:pPr>
    </w:p>
    <w:p w:rsidR="00C2448E" w:rsidRPr="0099082F" w:rsidRDefault="00C2448E" w:rsidP="00C2448E">
      <w:pPr>
        <w:tabs>
          <w:tab w:val="left" w:pos="3060"/>
        </w:tabs>
        <w:jc w:val="center"/>
        <w:rPr>
          <w:rFonts w:ascii="Arial" w:hAnsi="Arial" w:cs="Arial"/>
          <w:b/>
          <w:smallCaps/>
          <w:sz w:val="20"/>
          <w:szCs w:val="20"/>
          <w:lang w:val="es-ES_tradnl"/>
        </w:rPr>
      </w:pPr>
      <w:r w:rsidRPr="0099082F">
        <w:rPr>
          <w:rFonts w:ascii="Arial" w:hAnsi="Arial" w:cs="Arial"/>
          <w:b/>
          <w:smallCaps/>
          <w:sz w:val="20"/>
          <w:szCs w:val="20"/>
          <w:lang w:val="es-ES_tradnl"/>
        </w:rPr>
        <w:t xml:space="preserve">Análisis del Cumplimiento de la </w:t>
      </w:r>
      <w:r w:rsidRPr="0099082F">
        <w:rPr>
          <w:rFonts w:ascii="Arial" w:hAnsi="Arial" w:cs="Arial"/>
          <w:b/>
          <w:smallCaps/>
          <w:sz w:val="20"/>
          <w:szCs w:val="20"/>
          <w:lang w:val="es-ES_tradnl"/>
        </w:rPr>
        <w:br/>
        <w:t>Política de Servicios Públicos Domiciliarios (</w:t>
      </w:r>
      <w:r w:rsidR="00162860" w:rsidRPr="0099082F">
        <w:rPr>
          <w:rFonts w:ascii="Arial" w:hAnsi="Arial" w:cs="Arial"/>
          <w:b/>
          <w:smallCaps/>
          <w:sz w:val="20"/>
          <w:szCs w:val="20"/>
          <w:lang w:val="es-ES"/>
        </w:rPr>
        <w:t>GN-2716-6</w:t>
      </w:r>
      <w:r w:rsidRPr="0099082F">
        <w:rPr>
          <w:rFonts w:ascii="Arial" w:hAnsi="Arial" w:cs="Arial"/>
          <w:b/>
          <w:smallCaps/>
          <w:sz w:val="20"/>
          <w:szCs w:val="20"/>
          <w:lang w:val="es-ES_tradnl"/>
        </w:rPr>
        <w:t xml:space="preserve">) </w:t>
      </w:r>
    </w:p>
    <w:p w:rsidR="00C2448E" w:rsidRPr="0099082F" w:rsidRDefault="00C2448E" w:rsidP="00C2448E">
      <w:pPr>
        <w:jc w:val="center"/>
        <w:rPr>
          <w:rFonts w:ascii="Arial" w:hAnsi="Arial" w:cs="Arial"/>
          <w:b/>
          <w:smallCaps/>
          <w:sz w:val="20"/>
          <w:szCs w:val="20"/>
          <w:lang w:val="es-ES_tradnl"/>
        </w:rPr>
      </w:pPr>
    </w:p>
    <w:p w:rsidR="00C2448E" w:rsidRPr="0099082F" w:rsidRDefault="00C2448E" w:rsidP="00C2448E">
      <w:pPr>
        <w:tabs>
          <w:tab w:val="left" w:pos="1440"/>
          <w:tab w:val="left" w:pos="3060"/>
        </w:tabs>
        <w:outlineLvl w:val="0"/>
        <w:rPr>
          <w:rFonts w:ascii="Arial" w:hAnsi="Arial" w:cs="Arial"/>
          <w:b/>
          <w:smallCaps/>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pStyle w:val="ListParagraph"/>
        <w:spacing w:before="120"/>
        <w:ind w:left="1080"/>
        <w:jc w:val="center"/>
        <w:rPr>
          <w:rFonts w:ascii="Arial" w:hAnsi="Arial" w:cs="Arial"/>
          <w:b/>
          <w:sz w:val="20"/>
          <w:szCs w:val="20"/>
          <w:lang w:val="es-AR"/>
        </w:rPr>
      </w:pPr>
    </w:p>
    <w:p w:rsidR="00C2448E" w:rsidRPr="0099082F" w:rsidRDefault="00C2448E" w:rsidP="00C2448E">
      <w:pPr>
        <w:tabs>
          <w:tab w:val="left" w:pos="1440"/>
          <w:tab w:val="left" w:pos="3060"/>
        </w:tabs>
        <w:jc w:val="center"/>
        <w:rPr>
          <w:rFonts w:ascii="Arial" w:hAnsi="Arial" w:cs="Arial"/>
          <w:sz w:val="20"/>
          <w:szCs w:val="20"/>
          <w:lang w:val="es-AR"/>
        </w:rPr>
      </w:pPr>
    </w:p>
    <w:p w:rsidR="00C2448E" w:rsidRPr="0099082F" w:rsidRDefault="00C2448E" w:rsidP="00C2448E">
      <w:pPr>
        <w:autoSpaceDE w:val="0"/>
        <w:autoSpaceDN w:val="0"/>
        <w:adjustRightInd w:val="0"/>
        <w:jc w:val="both"/>
        <w:rPr>
          <w:rFonts w:ascii="Arial" w:hAnsi="Arial" w:cs="Arial"/>
          <w:b/>
          <w:bCs/>
          <w:i/>
          <w:iCs/>
          <w:sz w:val="20"/>
          <w:szCs w:val="20"/>
          <w:lang w:val="es-ES"/>
        </w:rPr>
        <w:sectPr w:rsidR="00C2448E" w:rsidRPr="0099082F" w:rsidSect="00862C11">
          <w:footerReference w:type="default" r:id="rId9"/>
          <w:pgSz w:w="12240" w:h="15840" w:code="1"/>
          <w:pgMar w:top="1440" w:right="1800" w:bottom="1440" w:left="1800" w:header="720" w:footer="432" w:gutter="0"/>
          <w:cols w:space="720"/>
          <w:vAlign w:val="both"/>
          <w:titlePg/>
          <w:docGrid w:linePitch="360"/>
        </w:sectPr>
      </w:pPr>
    </w:p>
    <w:p w:rsidR="00621293" w:rsidRPr="0099082F" w:rsidRDefault="00621293" w:rsidP="00621293">
      <w:pPr>
        <w:tabs>
          <w:tab w:val="left" w:pos="3060"/>
        </w:tabs>
        <w:jc w:val="center"/>
        <w:rPr>
          <w:rFonts w:ascii="Arial" w:hAnsi="Arial" w:cs="Arial"/>
          <w:b/>
          <w:smallCaps/>
          <w:sz w:val="20"/>
          <w:szCs w:val="20"/>
          <w:lang w:val="es-ES_tradnl"/>
        </w:rPr>
      </w:pPr>
      <w:r w:rsidRPr="0099082F">
        <w:rPr>
          <w:rFonts w:ascii="Arial" w:hAnsi="Arial" w:cs="Arial"/>
          <w:b/>
          <w:smallCaps/>
          <w:sz w:val="20"/>
          <w:szCs w:val="20"/>
          <w:lang w:val="es-ES_tradnl"/>
        </w:rPr>
        <w:lastRenderedPageBreak/>
        <w:t>Programa de Desarrollo de Áreas Metropolitanas. Programa de Desarrollo de Áreas Metropolitanas II</w:t>
      </w:r>
    </w:p>
    <w:p w:rsidR="00C2448E" w:rsidRPr="0099082F" w:rsidRDefault="00C2448E" w:rsidP="00600AC8">
      <w:pPr>
        <w:tabs>
          <w:tab w:val="left" w:pos="3060"/>
        </w:tabs>
        <w:jc w:val="center"/>
        <w:rPr>
          <w:rFonts w:ascii="Arial" w:hAnsi="Arial" w:cs="Arial"/>
          <w:b/>
          <w:smallCaps/>
          <w:sz w:val="20"/>
          <w:szCs w:val="20"/>
          <w:lang w:val="es-ES" w:eastAsia="pt-BR"/>
        </w:rPr>
      </w:pPr>
      <w:bookmarkStart w:id="2" w:name="_Toc329271481"/>
      <w:bookmarkStart w:id="3" w:name="_Toc329338481"/>
      <w:bookmarkStart w:id="4" w:name="_Toc366596096"/>
      <w:bookmarkStart w:id="5" w:name="_Toc366759151"/>
      <w:r w:rsidRPr="0099082F">
        <w:rPr>
          <w:rFonts w:ascii="Arial" w:hAnsi="Arial" w:cs="Arial"/>
          <w:b/>
          <w:smallCaps/>
          <w:sz w:val="20"/>
          <w:szCs w:val="20"/>
          <w:lang w:val="es-ES" w:eastAsia="pt-BR"/>
        </w:rPr>
        <w:t>(AR-L1</w:t>
      </w:r>
      <w:r w:rsidR="00621293" w:rsidRPr="0099082F">
        <w:rPr>
          <w:rFonts w:ascii="Arial" w:hAnsi="Arial" w:cs="Arial"/>
          <w:b/>
          <w:smallCaps/>
          <w:sz w:val="20"/>
          <w:szCs w:val="20"/>
          <w:lang w:val="es-ES" w:eastAsia="pt-BR"/>
        </w:rPr>
        <w:t>243</w:t>
      </w:r>
      <w:r w:rsidRPr="0099082F">
        <w:rPr>
          <w:rFonts w:ascii="Arial" w:hAnsi="Arial" w:cs="Arial"/>
          <w:b/>
          <w:smallCaps/>
          <w:sz w:val="20"/>
          <w:szCs w:val="20"/>
          <w:lang w:val="es-ES" w:eastAsia="pt-BR"/>
        </w:rPr>
        <w:t>)</w:t>
      </w:r>
      <w:bookmarkEnd w:id="2"/>
      <w:bookmarkEnd w:id="3"/>
      <w:bookmarkEnd w:id="4"/>
      <w:bookmarkEnd w:id="5"/>
    </w:p>
    <w:p w:rsidR="000F1306" w:rsidRPr="0099082F" w:rsidRDefault="000F1306" w:rsidP="00600AC8">
      <w:pPr>
        <w:tabs>
          <w:tab w:val="left" w:pos="3060"/>
        </w:tabs>
        <w:jc w:val="center"/>
        <w:rPr>
          <w:rFonts w:ascii="Arial" w:hAnsi="Arial" w:cs="Arial"/>
          <w:b/>
          <w:smallCaps/>
          <w:sz w:val="20"/>
          <w:szCs w:val="20"/>
          <w:lang w:val="es-ES_tradnl"/>
        </w:rPr>
      </w:pPr>
      <w:r w:rsidRPr="0099082F">
        <w:rPr>
          <w:rFonts w:ascii="Arial" w:hAnsi="Arial" w:cs="Arial"/>
          <w:b/>
          <w:smallCaps/>
          <w:sz w:val="20"/>
          <w:szCs w:val="20"/>
          <w:lang w:val="es-ES_tradnl"/>
        </w:rPr>
        <w:t>Análisis del Cumplimiento del Programa de con la</w:t>
      </w:r>
      <w:r w:rsidR="00C2448E" w:rsidRPr="0099082F">
        <w:rPr>
          <w:rFonts w:ascii="Arial" w:hAnsi="Arial" w:cs="Arial"/>
          <w:b/>
          <w:smallCaps/>
          <w:sz w:val="20"/>
          <w:szCs w:val="20"/>
          <w:lang w:val="es-ES_tradnl"/>
        </w:rPr>
        <w:t xml:space="preserve"> Política de Servicios Públicos </w:t>
      </w:r>
      <w:r w:rsidRPr="0099082F">
        <w:rPr>
          <w:rFonts w:ascii="Arial" w:hAnsi="Arial" w:cs="Arial"/>
          <w:b/>
          <w:smallCaps/>
          <w:sz w:val="20"/>
          <w:szCs w:val="20"/>
          <w:lang w:val="es-ES_tradnl"/>
        </w:rPr>
        <w:t>Domiciliarios (</w:t>
      </w:r>
      <w:r w:rsidR="00BE1B62" w:rsidRPr="0099082F">
        <w:rPr>
          <w:rFonts w:ascii="Arial" w:hAnsi="Arial" w:cs="Arial"/>
          <w:b/>
          <w:smallCaps/>
          <w:sz w:val="20"/>
          <w:szCs w:val="20"/>
          <w:lang w:val="es-ES"/>
        </w:rPr>
        <w:t>GN-2716-</w:t>
      </w:r>
      <w:r w:rsidR="00162860" w:rsidRPr="0099082F">
        <w:rPr>
          <w:rFonts w:ascii="Arial" w:hAnsi="Arial" w:cs="Arial"/>
          <w:b/>
          <w:smallCaps/>
          <w:sz w:val="20"/>
          <w:szCs w:val="20"/>
          <w:lang w:val="es-ES"/>
        </w:rPr>
        <w:t>6</w:t>
      </w:r>
      <w:r w:rsidRPr="0099082F">
        <w:rPr>
          <w:rFonts w:ascii="Arial" w:hAnsi="Arial" w:cs="Arial"/>
          <w:b/>
          <w:smallCaps/>
          <w:sz w:val="20"/>
          <w:szCs w:val="20"/>
          <w:lang w:val="es-ES_tradnl"/>
        </w:rPr>
        <w:t xml:space="preserve">) del 4 de Diciembre de 2013 </w:t>
      </w:r>
    </w:p>
    <w:p w:rsidR="000F1306" w:rsidRPr="0099082F" w:rsidRDefault="000F1306" w:rsidP="000F1306">
      <w:pPr>
        <w:rPr>
          <w:rFonts w:ascii="Arial" w:hAnsi="Arial" w:cs="Arial"/>
          <w:sz w:val="20"/>
          <w:szCs w:val="20"/>
          <w:lang w:val="es-ES_tradnl"/>
        </w:rPr>
      </w:pP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709"/>
        <w:gridCol w:w="4397"/>
      </w:tblGrid>
      <w:tr w:rsidR="001B7D52" w:rsidRPr="0099082F" w:rsidTr="00C01741">
        <w:trPr>
          <w:jc w:val="center"/>
        </w:trPr>
        <w:tc>
          <w:tcPr>
            <w:tcW w:w="2129" w:type="dxa"/>
            <w:shd w:val="clear" w:color="auto" w:fill="C0C0C0"/>
          </w:tcPr>
          <w:p w:rsidR="001B7D52" w:rsidRPr="0099082F" w:rsidRDefault="001B7D52" w:rsidP="0014135C">
            <w:pPr>
              <w:rPr>
                <w:rFonts w:ascii="Arial" w:hAnsi="Arial" w:cs="Arial"/>
                <w:b/>
                <w:sz w:val="20"/>
                <w:szCs w:val="20"/>
                <w:lang w:val="es-ES_tradnl"/>
              </w:rPr>
            </w:pPr>
            <w:r w:rsidRPr="0099082F">
              <w:rPr>
                <w:rFonts w:ascii="Arial" w:hAnsi="Arial" w:cs="Arial"/>
                <w:b/>
                <w:sz w:val="20"/>
                <w:szCs w:val="20"/>
                <w:lang w:val="es-ES_tradnl"/>
              </w:rPr>
              <w:t>Condiciones de la Política</w:t>
            </w:r>
          </w:p>
          <w:p w:rsidR="001B7D52" w:rsidRPr="0099082F" w:rsidRDefault="001B7D52" w:rsidP="0014135C">
            <w:pPr>
              <w:rPr>
                <w:rFonts w:ascii="Arial" w:hAnsi="Arial" w:cs="Arial"/>
                <w:b/>
                <w:sz w:val="20"/>
                <w:szCs w:val="20"/>
                <w:lang w:val="es-ES_tradnl"/>
              </w:rPr>
            </w:pPr>
          </w:p>
        </w:tc>
        <w:tc>
          <w:tcPr>
            <w:tcW w:w="3709" w:type="dxa"/>
            <w:shd w:val="clear" w:color="auto" w:fill="C0C0C0"/>
          </w:tcPr>
          <w:p w:rsidR="001B7D52" w:rsidRPr="0099082F" w:rsidRDefault="001B7D52" w:rsidP="0014135C">
            <w:pPr>
              <w:rPr>
                <w:rFonts w:ascii="Arial" w:hAnsi="Arial" w:cs="Arial"/>
                <w:b/>
                <w:sz w:val="20"/>
                <w:szCs w:val="20"/>
                <w:lang w:val="es-ES_tradnl"/>
              </w:rPr>
            </w:pPr>
            <w:r w:rsidRPr="0099082F">
              <w:rPr>
                <w:rFonts w:ascii="Arial" w:hAnsi="Arial" w:cs="Arial"/>
                <w:b/>
                <w:sz w:val="20"/>
                <w:szCs w:val="20"/>
                <w:lang w:val="es-ES_tradnl"/>
              </w:rPr>
              <w:t xml:space="preserve">Descripción </w:t>
            </w:r>
          </w:p>
        </w:tc>
        <w:tc>
          <w:tcPr>
            <w:tcW w:w="4397" w:type="dxa"/>
            <w:shd w:val="clear" w:color="auto" w:fill="C0C0C0"/>
          </w:tcPr>
          <w:p w:rsidR="001B7D52" w:rsidRPr="0099082F" w:rsidRDefault="001B7D52" w:rsidP="0014135C">
            <w:pPr>
              <w:rPr>
                <w:rFonts w:ascii="Arial" w:hAnsi="Arial" w:cs="Arial"/>
                <w:b/>
                <w:sz w:val="20"/>
                <w:szCs w:val="20"/>
                <w:lang w:val="es-ES_tradnl"/>
              </w:rPr>
            </w:pPr>
            <w:r w:rsidRPr="0099082F">
              <w:rPr>
                <w:rFonts w:ascii="Arial" w:hAnsi="Arial" w:cs="Arial"/>
                <w:b/>
                <w:sz w:val="20"/>
                <w:szCs w:val="20"/>
                <w:lang w:val="es-ES_tradnl"/>
              </w:rPr>
              <w:t>Comentarios</w:t>
            </w:r>
          </w:p>
        </w:tc>
      </w:tr>
      <w:tr w:rsidR="001B7D52" w:rsidRPr="0099082F" w:rsidTr="00C01741">
        <w:trPr>
          <w:jc w:val="center"/>
        </w:trPr>
        <w:tc>
          <w:tcPr>
            <w:tcW w:w="2129" w:type="dxa"/>
            <w:shd w:val="clear" w:color="auto" w:fill="auto"/>
          </w:tcPr>
          <w:p w:rsidR="001B7D52" w:rsidRPr="0099082F" w:rsidRDefault="001B7D52" w:rsidP="001B7D52">
            <w:pPr>
              <w:rPr>
                <w:rFonts w:ascii="Arial" w:hAnsi="Arial" w:cs="Arial"/>
                <w:sz w:val="20"/>
                <w:szCs w:val="20"/>
                <w:lang w:val="es-ES_tradnl"/>
              </w:rPr>
            </w:pPr>
            <w:r w:rsidRPr="0099082F">
              <w:rPr>
                <w:rFonts w:ascii="Arial" w:hAnsi="Arial" w:cs="Arial"/>
                <w:b/>
                <w:bCs/>
                <w:sz w:val="20"/>
                <w:szCs w:val="20"/>
                <w:lang w:val="es-ES_tradnl"/>
              </w:rPr>
              <w:t>1.</w:t>
            </w:r>
            <w:r w:rsidR="000B3F4E" w:rsidRPr="0099082F">
              <w:rPr>
                <w:rFonts w:ascii="Arial" w:hAnsi="Arial" w:cs="Arial"/>
                <w:b/>
                <w:bCs/>
                <w:sz w:val="20"/>
                <w:szCs w:val="20"/>
                <w:lang w:val="es-ES_tradnl"/>
              </w:rPr>
              <w:t>1</w:t>
            </w:r>
            <w:r w:rsidRPr="0099082F">
              <w:rPr>
                <w:rFonts w:ascii="Arial" w:hAnsi="Arial" w:cs="Arial"/>
                <w:b/>
                <w:bCs/>
                <w:sz w:val="20"/>
                <w:szCs w:val="20"/>
                <w:lang w:val="es-ES_tradnl"/>
              </w:rPr>
              <w:t xml:space="preserve"> Sostenibilidad Financiera</w:t>
            </w:r>
          </w:p>
        </w:tc>
        <w:tc>
          <w:tcPr>
            <w:tcW w:w="3709" w:type="dxa"/>
            <w:shd w:val="clear" w:color="auto" w:fill="auto"/>
          </w:tcPr>
          <w:p w:rsidR="001B7D52" w:rsidRPr="0099082F" w:rsidRDefault="001B7D52" w:rsidP="001B7D52">
            <w:pPr>
              <w:autoSpaceDE w:val="0"/>
              <w:autoSpaceDN w:val="0"/>
              <w:adjustRightInd w:val="0"/>
              <w:rPr>
                <w:rFonts w:ascii="Arial" w:hAnsi="Arial" w:cs="Arial"/>
                <w:sz w:val="20"/>
                <w:szCs w:val="20"/>
                <w:lang w:val="es-ES_tradnl"/>
              </w:rPr>
            </w:pPr>
            <w:r w:rsidRPr="0099082F">
              <w:rPr>
                <w:rFonts w:ascii="Arial" w:eastAsiaTheme="minorHAnsi" w:hAnsi="Arial" w:cs="Arial"/>
                <w:sz w:val="20"/>
                <w:szCs w:val="20"/>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4397" w:type="dxa"/>
            <w:shd w:val="clear" w:color="auto" w:fill="auto"/>
          </w:tcPr>
          <w:p w:rsidR="0099082F" w:rsidRPr="0099082F" w:rsidRDefault="00E938DE" w:rsidP="006E382A">
            <w:pPr>
              <w:jc w:val="both"/>
              <w:rPr>
                <w:rFonts w:ascii="Arial" w:hAnsi="Arial" w:cs="Arial"/>
                <w:sz w:val="20"/>
                <w:szCs w:val="20"/>
                <w:lang w:val="es-ES_tradnl"/>
              </w:rPr>
            </w:pPr>
            <w:r w:rsidRPr="0099082F">
              <w:rPr>
                <w:rFonts w:ascii="Arial" w:hAnsi="Arial" w:cs="Arial"/>
                <w:sz w:val="20"/>
                <w:szCs w:val="20"/>
                <w:lang w:val="es-ES_tradnl"/>
              </w:rPr>
              <w:t xml:space="preserve">El </w:t>
            </w:r>
            <w:r w:rsidR="00054CEA" w:rsidRPr="0099082F">
              <w:rPr>
                <w:rFonts w:ascii="Arial" w:hAnsi="Arial" w:cs="Arial"/>
                <w:sz w:val="20"/>
                <w:szCs w:val="20"/>
                <w:lang w:val="es-ES_tradnl"/>
              </w:rPr>
              <w:t xml:space="preserve">programa </w:t>
            </w:r>
            <w:r w:rsidR="00194EDA" w:rsidRPr="0099082F">
              <w:rPr>
                <w:rFonts w:ascii="Arial" w:hAnsi="Arial" w:cs="Arial"/>
                <w:sz w:val="20"/>
                <w:szCs w:val="20"/>
                <w:lang w:val="es-ES_tradnl"/>
              </w:rPr>
              <w:t>DAMI</w:t>
            </w:r>
            <w:r w:rsidRPr="0099082F">
              <w:rPr>
                <w:rFonts w:ascii="Arial" w:hAnsi="Arial" w:cs="Arial"/>
                <w:sz w:val="20"/>
                <w:szCs w:val="20"/>
                <w:lang w:val="es-ES_tradnl"/>
              </w:rPr>
              <w:t xml:space="preserve"> traspasa obras de infraestructura a empresas prestadoras de servicio muy diversas (provinciales, municipales, </w:t>
            </w:r>
            <w:r w:rsidR="00054CEA" w:rsidRPr="0099082F">
              <w:rPr>
                <w:rFonts w:ascii="Arial" w:hAnsi="Arial" w:cs="Arial"/>
                <w:sz w:val="20"/>
                <w:szCs w:val="20"/>
                <w:lang w:val="es-ES_tradnl"/>
              </w:rPr>
              <w:t>consorcios</w:t>
            </w:r>
            <w:r w:rsidRPr="0099082F">
              <w:rPr>
                <w:rFonts w:ascii="Arial" w:hAnsi="Arial" w:cs="Arial"/>
                <w:sz w:val="20"/>
                <w:szCs w:val="20"/>
                <w:lang w:val="es-ES_tradnl"/>
              </w:rPr>
              <w:t>), la gran mayoría de las cuales prestan los servicios en forma regular</w:t>
            </w:r>
            <w:r w:rsidR="00B3004C" w:rsidRPr="0099082F">
              <w:rPr>
                <w:rFonts w:ascii="Arial" w:hAnsi="Arial" w:cs="Arial"/>
                <w:sz w:val="20"/>
                <w:szCs w:val="20"/>
                <w:lang w:val="es-ES_tradnl"/>
              </w:rPr>
              <w:t>.</w:t>
            </w:r>
            <w:r w:rsidR="0099082F" w:rsidRPr="0099082F">
              <w:rPr>
                <w:rFonts w:ascii="Arial" w:hAnsi="Arial" w:cs="Arial"/>
                <w:sz w:val="20"/>
                <w:szCs w:val="20"/>
                <w:lang w:val="es-AR"/>
              </w:rPr>
              <w:t xml:space="preserve"> El programa firma Convenio Marco de Adhesión con las Unidades Ejecutoras Provinciales (UEP) y otras entidades de gestión correspondientes donde se establece que: “Al finalizar la ejecución y a partir del momento de la suscripción del Acta de Transferencia, la empresa recibirá las obras, teniendo a su cargo la explotación del servicio y el mantenimiento de las mismas, garantizando la calidad de la prestación según lo establecido en el contrato de concesión y en las normas regulatorias existentes en la materia.” </w:t>
            </w:r>
          </w:p>
          <w:p w:rsidR="00FE4C25" w:rsidRPr="0099082F" w:rsidRDefault="0099082F" w:rsidP="0099082F">
            <w:pPr>
              <w:jc w:val="both"/>
              <w:rPr>
                <w:rFonts w:ascii="Arial" w:hAnsi="Arial" w:cs="Arial"/>
                <w:sz w:val="20"/>
                <w:szCs w:val="20"/>
                <w:lang w:val="es-ES_tradnl"/>
              </w:rPr>
            </w:pPr>
            <w:r w:rsidRPr="0099082F">
              <w:rPr>
                <w:rFonts w:ascii="Arial" w:hAnsi="Arial" w:cs="Arial"/>
                <w:sz w:val="20"/>
                <w:szCs w:val="20"/>
                <w:lang w:val="es-ES_tradnl"/>
              </w:rPr>
              <w:t>En el proceso de evaluación de proyecto a ser financiados por el programa, se analiza el</w:t>
            </w:r>
            <w:r w:rsidR="00B3004C" w:rsidRPr="0099082F">
              <w:rPr>
                <w:rFonts w:ascii="Arial" w:hAnsi="Arial" w:cs="Arial"/>
                <w:sz w:val="20"/>
                <w:szCs w:val="20"/>
                <w:lang w:val="es-ES_tradnl"/>
              </w:rPr>
              <w:t xml:space="preserve"> </w:t>
            </w:r>
            <w:r w:rsidRPr="0099082F">
              <w:rPr>
                <w:rFonts w:ascii="Arial" w:hAnsi="Arial" w:cs="Arial"/>
                <w:sz w:val="20"/>
                <w:szCs w:val="20"/>
                <w:lang w:val="es-ES_tradnl"/>
              </w:rPr>
              <w:t>esquema organizativo para garantizar la operación y mantenimiento de los resultados del proyecto, demostrando que dicha organización es viable desde el punto de vista técnico, institucional y financiero. Asimismo se determinan los costos de operación, administración, y mantenimiento, considerando costos de personal, de servicios, de impuestos, gastos incrementales de administración  y todo otro concepto vinculado al mantenimiento y operación del proyecto. Finalmente, se estiman y presentan (detallando los cálculos) los costos anuales incrementales que generará el proyecto en su etapa de operación y mantenimiento durante la vida útil del proyecto.</w:t>
            </w:r>
            <w:r w:rsidR="00054CEA" w:rsidRPr="0099082F">
              <w:rPr>
                <w:rFonts w:ascii="Arial" w:hAnsi="Arial" w:cs="Arial"/>
                <w:sz w:val="20"/>
                <w:szCs w:val="20"/>
                <w:lang w:val="es-ES_tradnl"/>
              </w:rPr>
              <w:br/>
            </w:r>
          </w:p>
          <w:p w:rsidR="006E382A" w:rsidRPr="0099082F" w:rsidRDefault="00D7738D" w:rsidP="006E382A">
            <w:pPr>
              <w:jc w:val="both"/>
              <w:rPr>
                <w:rFonts w:ascii="Arial" w:hAnsi="Arial" w:cs="Arial"/>
                <w:sz w:val="20"/>
                <w:szCs w:val="20"/>
                <w:lang w:val="es-AR"/>
              </w:rPr>
            </w:pPr>
            <w:r w:rsidRPr="0099082F">
              <w:rPr>
                <w:rFonts w:ascii="Arial" w:hAnsi="Arial" w:cs="Arial"/>
                <w:sz w:val="20"/>
                <w:szCs w:val="20"/>
                <w:lang w:val="es-ES_tradnl"/>
              </w:rPr>
              <w:t>Dentro de los proyectos de la muestra, e</w:t>
            </w:r>
            <w:r w:rsidR="00FE4C25" w:rsidRPr="0099082F">
              <w:rPr>
                <w:rFonts w:ascii="Arial" w:hAnsi="Arial" w:cs="Arial"/>
                <w:sz w:val="20"/>
                <w:szCs w:val="20"/>
                <w:lang w:val="es-ES_tradnl"/>
              </w:rPr>
              <w:t xml:space="preserve">n el marco del análisis económico-financiero del proyecto </w:t>
            </w:r>
            <w:r w:rsidR="00911F4F" w:rsidRPr="0099082F">
              <w:rPr>
                <w:rFonts w:ascii="Arial" w:hAnsi="Arial" w:cs="Arial"/>
                <w:sz w:val="20"/>
                <w:szCs w:val="20"/>
                <w:lang w:val="es-ES_tradnl"/>
              </w:rPr>
              <w:t xml:space="preserve">de </w:t>
            </w:r>
            <w:r w:rsidR="0099082F" w:rsidRPr="0099082F">
              <w:rPr>
                <w:rFonts w:ascii="Arial" w:hAnsi="Arial" w:cs="Arial"/>
                <w:sz w:val="20"/>
                <w:szCs w:val="20"/>
                <w:lang w:val="es-ES_tradnl"/>
              </w:rPr>
              <w:t xml:space="preserve">saneamiento del Centro Ambiental </w:t>
            </w:r>
            <w:r w:rsidR="00911F4F" w:rsidRPr="0099082F">
              <w:rPr>
                <w:rFonts w:ascii="Arial" w:hAnsi="Arial" w:cs="Arial"/>
                <w:sz w:val="20"/>
                <w:szCs w:val="20"/>
                <w:lang w:val="es-ES_tradnl"/>
              </w:rPr>
              <w:t>Gestión de Residuos Sólidos Urbanos (</w:t>
            </w:r>
            <w:r w:rsidR="00FE4C25" w:rsidRPr="0099082F">
              <w:rPr>
                <w:rFonts w:ascii="Arial" w:hAnsi="Arial" w:cs="Arial"/>
                <w:sz w:val="20"/>
                <w:szCs w:val="20"/>
                <w:lang w:val="es-ES_tradnl"/>
              </w:rPr>
              <w:t>GIRSU</w:t>
            </w:r>
            <w:r w:rsidR="00911F4F" w:rsidRPr="0099082F">
              <w:rPr>
                <w:rFonts w:ascii="Arial" w:hAnsi="Arial" w:cs="Arial"/>
                <w:sz w:val="20"/>
                <w:szCs w:val="20"/>
                <w:lang w:val="es-ES_tradnl"/>
              </w:rPr>
              <w:t>)</w:t>
            </w:r>
            <w:r w:rsidR="00FE4C25" w:rsidRPr="0099082F">
              <w:rPr>
                <w:rFonts w:ascii="Arial" w:hAnsi="Arial" w:cs="Arial"/>
                <w:sz w:val="20"/>
                <w:szCs w:val="20"/>
                <w:lang w:val="es-ES_tradnl"/>
              </w:rPr>
              <w:t xml:space="preserve"> de</w:t>
            </w:r>
            <w:r w:rsidR="0099082F" w:rsidRPr="0099082F">
              <w:rPr>
                <w:rFonts w:ascii="Arial" w:hAnsi="Arial" w:cs="Arial"/>
                <w:sz w:val="20"/>
                <w:szCs w:val="20"/>
                <w:lang w:val="es-ES_tradnl"/>
              </w:rPr>
              <w:t>l Area Metropolitana de</w:t>
            </w:r>
            <w:r w:rsidR="00FE4C25" w:rsidRPr="0099082F">
              <w:rPr>
                <w:rFonts w:ascii="Arial" w:hAnsi="Arial" w:cs="Arial"/>
                <w:sz w:val="20"/>
                <w:szCs w:val="20"/>
                <w:lang w:val="es-ES_tradnl"/>
              </w:rPr>
              <w:t xml:space="preserve"> Mendoza</w:t>
            </w:r>
            <w:r w:rsidRPr="0099082F">
              <w:rPr>
                <w:rFonts w:ascii="Arial" w:hAnsi="Arial" w:cs="Arial"/>
                <w:sz w:val="20"/>
                <w:szCs w:val="20"/>
                <w:lang w:val="es-ES_tradnl"/>
              </w:rPr>
              <w:t>,</w:t>
            </w:r>
            <w:r w:rsidR="00FE4C25" w:rsidRPr="0099082F">
              <w:rPr>
                <w:rFonts w:ascii="Arial" w:hAnsi="Arial" w:cs="Arial"/>
                <w:sz w:val="20"/>
                <w:szCs w:val="20"/>
                <w:lang w:val="es-ES_tradnl"/>
              </w:rPr>
              <w:t xml:space="preserve"> se </w:t>
            </w:r>
            <w:r w:rsidR="008B595C" w:rsidRPr="0099082F">
              <w:rPr>
                <w:rFonts w:ascii="Arial" w:hAnsi="Arial" w:cs="Arial"/>
                <w:sz w:val="20"/>
                <w:szCs w:val="20"/>
                <w:lang w:val="es-AR"/>
              </w:rPr>
              <w:t>realiza</w:t>
            </w:r>
            <w:r w:rsidR="00FE4C25" w:rsidRPr="0099082F">
              <w:rPr>
                <w:rFonts w:ascii="Arial" w:hAnsi="Arial" w:cs="Arial"/>
                <w:sz w:val="20"/>
                <w:szCs w:val="20"/>
                <w:lang w:val="es-AR"/>
              </w:rPr>
              <w:t>ron</w:t>
            </w:r>
            <w:r w:rsidR="008B595C" w:rsidRPr="0099082F">
              <w:rPr>
                <w:rFonts w:ascii="Arial" w:hAnsi="Arial" w:cs="Arial"/>
                <w:sz w:val="20"/>
                <w:szCs w:val="20"/>
                <w:lang w:val="es-AR"/>
              </w:rPr>
              <w:t xml:space="preserve"> </w:t>
            </w:r>
            <w:r w:rsidR="006E382A" w:rsidRPr="0099082F">
              <w:rPr>
                <w:rFonts w:ascii="Arial" w:hAnsi="Arial" w:cs="Arial"/>
                <w:sz w:val="20"/>
                <w:szCs w:val="20"/>
                <w:lang w:val="es-AR"/>
              </w:rPr>
              <w:t xml:space="preserve">estudios </w:t>
            </w:r>
            <w:r w:rsidR="00FE4C25" w:rsidRPr="0099082F">
              <w:rPr>
                <w:rFonts w:ascii="Arial" w:hAnsi="Arial" w:cs="Arial"/>
                <w:sz w:val="20"/>
                <w:szCs w:val="20"/>
                <w:lang w:val="es-AR"/>
              </w:rPr>
              <w:t>de alternativas</w:t>
            </w:r>
            <w:r w:rsidR="006E382A" w:rsidRPr="0099082F">
              <w:rPr>
                <w:rFonts w:ascii="Arial" w:hAnsi="Arial" w:cs="Arial"/>
                <w:sz w:val="20"/>
                <w:szCs w:val="20"/>
                <w:lang w:val="es-AR"/>
              </w:rPr>
              <w:t xml:space="preserve"> </w:t>
            </w:r>
            <w:r w:rsidR="00FE4C25" w:rsidRPr="0099082F">
              <w:rPr>
                <w:rFonts w:ascii="Arial" w:hAnsi="Arial" w:cs="Arial"/>
                <w:sz w:val="20"/>
                <w:szCs w:val="20"/>
                <w:lang w:val="es-AR"/>
              </w:rPr>
              <w:t xml:space="preserve">de gestión </w:t>
            </w:r>
            <w:r w:rsidR="008A306E" w:rsidRPr="0099082F">
              <w:rPr>
                <w:rFonts w:ascii="Arial" w:hAnsi="Arial" w:cs="Arial"/>
                <w:sz w:val="20"/>
                <w:szCs w:val="20"/>
                <w:lang w:val="es-AR"/>
              </w:rPr>
              <w:t xml:space="preserve">que </w:t>
            </w:r>
            <w:r w:rsidR="00054CEA" w:rsidRPr="0099082F">
              <w:rPr>
                <w:rFonts w:ascii="Arial" w:hAnsi="Arial" w:cs="Arial"/>
                <w:sz w:val="20"/>
                <w:szCs w:val="20"/>
                <w:lang w:val="es-AR"/>
              </w:rPr>
              <w:t>permitirían</w:t>
            </w:r>
            <w:r w:rsidR="008A306E" w:rsidRPr="0099082F">
              <w:rPr>
                <w:rFonts w:ascii="Arial" w:hAnsi="Arial" w:cs="Arial"/>
                <w:sz w:val="20"/>
                <w:szCs w:val="20"/>
                <w:lang w:val="es-AR"/>
              </w:rPr>
              <w:t xml:space="preserve"> la sustentabilidad económica del proyecto. Las acciones a llevar adelante serán desarrolladas por el Con</w:t>
            </w:r>
            <w:r w:rsidR="0075526B" w:rsidRPr="0099082F">
              <w:rPr>
                <w:rFonts w:ascii="Arial" w:hAnsi="Arial" w:cs="Arial"/>
                <w:sz w:val="20"/>
                <w:szCs w:val="20"/>
                <w:lang w:val="es-AR"/>
              </w:rPr>
              <w:t>sorcio Interjurisdiccional de Ge</w:t>
            </w:r>
            <w:r w:rsidR="008A306E" w:rsidRPr="0099082F">
              <w:rPr>
                <w:rFonts w:ascii="Arial" w:hAnsi="Arial" w:cs="Arial"/>
                <w:sz w:val="20"/>
                <w:szCs w:val="20"/>
                <w:lang w:val="es-AR"/>
              </w:rPr>
              <w:t xml:space="preserve">stión de RSU </w:t>
            </w:r>
            <w:r w:rsidR="008A306E" w:rsidRPr="0099082F">
              <w:rPr>
                <w:rFonts w:ascii="Arial" w:hAnsi="Arial" w:cs="Arial"/>
                <w:sz w:val="20"/>
                <w:szCs w:val="20"/>
                <w:lang w:val="es-AR"/>
              </w:rPr>
              <w:lastRenderedPageBreak/>
              <w:t>conformado para la zona Metropolitana de Mendoza. (</w:t>
            </w:r>
            <w:hyperlink r:id="rId10" w:history="1">
              <w:r w:rsidR="008A306E" w:rsidRPr="0099082F">
                <w:rPr>
                  <w:rStyle w:val="Hyperlink"/>
                  <w:rFonts w:ascii="Arial" w:hAnsi="Arial" w:cs="Arial"/>
                  <w:sz w:val="20"/>
                  <w:szCs w:val="20"/>
                  <w:lang w:val="es-AR"/>
                </w:rPr>
                <w:t xml:space="preserve">Ver </w:t>
              </w:r>
              <w:r w:rsidR="00530694" w:rsidRPr="0099082F">
                <w:rPr>
                  <w:rStyle w:val="Hyperlink"/>
                  <w:rFonts w:ascii="Arial" w:hAnsi="Arial" w:cs="Arial"/>
                  <w:sz w:val="20"/>
                  <w:szCs w:val="20"/>
                  <w:lang w:val="es-AR"/>
                </w:rPr>
                <w:t>Marco Legal e Institucional</w:t>
              </w:r>
            </w:hyperlink>
            <w:r w:rsidR="008A306E" w:rsidRPr="0099082F">
              <w:rPr>
                <w:rFonts w:ascii="Arial" w:hAnsi="Arial" w:cs="Arial"/>
                <w:sz w:val="20"/>
                <w:szCs w:val="20"/>
                <w:lang w:val="es-AR"/>
              </w:rPr>
              <w:t>)</w:t>
            </w:r>
            <w:r w:rsidR="00054CEA" w:rsidRPr="0099082F">
              <w:rPr>
                <w:rFonts w:ascii="Arial" w:hAnsi="Arial" w:cs="Arial"/>
                <w:sz w:val="20"/>
                <w:szCs w:val="20"/>
                <w:lang w:val="es-AR"/>
              </w:rPr>
              <w:t xml:space="preserve"> a través de un proyecto de desarrollo institucional a ser apoyado por el programa DAMI-II. En la actualidad, cada municipio gestiona por su cuenta la recolección y disposición</w:t>
            </w:r>
            <w:r w:rsidR="00054CEA" w:rsidRPr="0099082F">
              <w:rPr>
                <w:rFonts w:ascii="Arial" w:hAnsi="Arial" w:cs="Arial"/>
                <w:sz w:val="20"/>
                <w:szCs w:val="20"/>
                <w:lang w:val="es-ES_tradnl"/>
              </w:rPr>
              <w:t xml:space="preserve"> final de los RSU. A través del nuevo Consorcio GIRSU y el proyecto de inversión del Centro Ambiental, se busca una gestión del servicio que pueda aprovechar economías de escala, compartiendo recursos entre los siete municipios.</w:t>
            </w:r>
            <w:r w:rsidR="00054CEA" w:rsidRPr="0099082F">
              <w:rPr>
                <w:rFonts w:ascii="Arial" w:hAnsi="Arial" w:cs="Arial"/>
                <w:sz w:val="20"/>
                <w:szCs w:val="20"/>
                <w:lang w:val="es-AR"/>
              </w:rPr>
              <w:t xml:space="preserve"> </w:t>
            </w:r>
          </w:p>
          <w:p w:rsidR="001B7D52" w:rsidRPr="0099082F" w:rsidRDefault="001B7D52" w:rsidP="00054CEA">
            <w:pPr>
              <w:jc w:val="both"/>
              <w:rPr>
                <w:rFonts w:ascii="Arial" w:hAnsi="Arial" w:cs="Arial"/>
                <w:sz w:val="20"/>
                <w:szCs w:val="20"/>
                <w:highlight w:val="yellow"/>
                <w:lang w:val="es-AR"/>
              </w:rPr>
            </w:pPr>
          </w:p>
        </w:tc>
      </w:tr>
      <w:tr w:rsidR="004D1DA8" w:rsidRPr="0099082F" w:rsidTr="00C01741">
        <w:trPr>
          <w:jc w:val="center"/>
        </w:trPr>
        <w:tc>
          <w:tcPr>
            <w:tcW w:w="2129" w:type="dxa"/>
            <w:shd w:val="clear" w:color="auto" w:fill="auto"/>
          </w:tcPr>
          <w:p w:rsidR="004D1DA8" w:rsidRPr="0099082F" w:rsidRDefault="000B3F4E" w:rsidP="001B7D52">
            <w:pPr>
              <w:rPr>
                <w:rFonts w:ascii="Arial" w:hAnsi="Arial" w:cs="Arial"/>
                <w:sz w:val="20"/>
                <w:szCs w:val="20"/>
                <w:lang w:val="es-ES_tradnl"/>
              </w:rPr>
            </w:pPr>
            <w:r w:rsidRPr="0099082F">
              <w:rPr>
                <w:rFonts w:ascii="Arial" w:hAnsi="Arial" w:cs="Arial"/>
                <w:b/>
                <w:bCs/>
                <w:sz w:val="20"/>
                <w:szCs w:val="20"/>
                <w:lang w:val="es-ES_tradnl"/>
              </w:rPr>
              <w:lastRenderedPageBreak/>
              <w:t>1.</w:t>
            </w:r>
            <w:r w:rsidR="004D1DA8" w:rsidRPr="0099082F">
              <w:rPr>
                <w:rFonts w:ascii="Arial" w:hAnsi="Arial" w:cs="Arial"/>
                <w:b/>
                <w:bCs/>
                <w:sz w:val="20"/>
                <w:szCs w:val="20"/>
                <w:lang w:val="es-ES_tradnl"/>
              </w:rPr>
              <w:t>2. Evaluación Económica</w:t>
            </w:r>
          </w:p>
        </w:tc>
        <w:tc>
          <w:tcPr>
            <w:tcW w:w="3709" w:type="dxa"/>
            <w:shd w:val="clear" w:color="auto" w:fill="auto"/>
          </w:tcPr>
          <w:p w:rsidR="004D1DA8" w:rsidRPr="0099082F" w:rsidRDefault="00A9123E" w:rsidP="0014135C">
            <w:pPr>
              <w:rPr>
                <w:rFonts w:ascii="Arial" w:hAnsi="Arial" w:cs="Arial"/>
                <w:sz w:val="20"/>
                <w:szCs w:val="20"/>
                <w:lang w:val="es-ES_tradnl"/>
              </w:rPr>
            </w:pPr>
            <w:r w:rsidRPr="0099082F">
              <w:rPr>
                <w:rFonts w:ascii="Arial" w:hAnsi="Arial" w:cs="Arial"/>
                <w:sz w:val="20"/>
                <w:szCs w:val="20"/>
                <w:lang w:val="es-ES_tradnl"/>
              </w:rPr>
              <w:t>Los proyectos de servicios públicos domiciliarios deberán ser económicamente rentables [de acuerdo a las metodologías de evaluación costo beneficio y costo efectividad utilizadas y aceptadas por le Banco.]</w:t>
            </w:r>
          </w:p>
        </w:tc>
        <w:tc>
          <w:tcPr>
            <w:tcW w:w="4397" w:type="dxa"/>
            <w:shd w:val="clear" w:color="auto" w:fill="auto"/>
          </w:tcPr>
          <w:p w:rsidR="004D1DA8" w:rsidRPr="0099082F" w:rsidRDefault="006E382A" w:rsidP="00911F4F">
            <w:pPr>
              <w:jc w:val="both"/>
              <w:rPr>
                <w:rFonts w:ascii="Arial" w:hAnsi="Arial" w:cs="Arial"/>
                <w:sz w:val="20"/>
                <w:szCs w:val="20"/>
                <w:highlight w:val="yellow"/>
                <w:lang w:val="es-ES"/>
              </w:rPr>
            </w:pPr>
            <w:r w:rsidRPr="0099082F">
              <w:rPr>
                <w:rFonts w:ascii="Arial" w:hAnsi="Arial" w:cs="Arial"/>
                <w:sz w:val="20"/>
                <w:szCs w:val="20"/>
                <w:lang w:val="es-AR"/>
              </w:rPr>
              <w:t>Para la evaluación económica del Programa</w:t>
            </w:r>
            <w:r w:rsidR="0099082F">
              <w:rPr>
                <w:rFonts w:ascii="Arial" w:hAnsi="Arial" w:cs="Arial"/>
                <w:sz w:val="20"/>
                <w:szCs w:val="20"/>
                <w:lang w:val="es-AR"/>
              </w:rPr>
              <w:t xml:space="preserve"> DAMI-II</w:t>
            </w:r>
            <w:r w:rsidRPr="0099082F">
              <w:rPr>
                <w:rFonts w:ascii="Arial" w:hAnsi="Arial" w:cs="Arial"/>
                <w:sz w:val="20"/>
                <w:szCs w:val="20"/>
                <w:lang w:val="es-AR"/>
              </w:rPr>
              <w:t xml:space="preserve"> se realizó un análisis costo-beneficio para los proyectos de una muestra representativa (ver </w:t>
            </w:r>
            <w:hyperlink r:id="rId11" w:history="1">
              <w:r w:rsidRPr="0099082F">
                <w:rPr>
                  <w:rStyle w:val="Hyperlink"/>
                  <w:rFonts w:ascii="Arial" w:hAnsi="Arial" w:cs="Arial"/>
                  <w:sz w:val="20"/>
                  <w:szCs w:val="20"/>
                  <w:lang w:val="es-AR"/>
                </w:rPr>
                <w:t>EEO 1</w:t>
              </w:r>
            </w:hyperlink>
            <w:r w:rsidRPr="0099082F">
              <w:rPr>
                <w:rFonts w:ascii="Arial" w:hAnsi="Arial" w:cs="Arial"/>
                <w:sz w:val="20"/>
                <w:szCs w:val="20"/>
                <w:lang w:val="es-AR"/>
              </w:rPr>
              <w:t>). E</w:t>
            </w:r>
            <w:r w:rsidR="00911F4F" w:rsidRPr="0099082F">
              <w:rPr>
                <w:rFonts w:ascii="Arial" w:hAnsi="Arial" w:cs="Arial"/>
                <w:sz w:val="20"/>
                <w:szCs w:val="20"/>
                <w:lang w:val="es-AR"/>
              </w:rPr>
              <w:t>n particular en el análisis realizado sobre el proyecto</w:t>
            </w:r>
            <w:r w:rsidR="0099082F">
              <w:rPr>
                <w:rFonts w:ascii="Arial" w:hAnsi="Arial" w:cs="Arial"/>
                <w:sz w:val="20"/>
                <w:szCs w:val="20"/>
                <w:lang w:val="es-AR"/>
              </w:rPr>
              <w:t xml:space="preserve"> del Centro Ambiental</w:t>
            </w:r>
            <w:r w:rsidR="00911F4F" w:rsidRPr="0099082F">
              <w:rPr>
                <w:rFonts w:ascii="Arial" w:hAnsi="Arial" w:cs="Arial"/>
                <w:sz w:val="20"/>
                <w:szCs w:val="20"/>
                <w:lang w:val="es-AR"/>
              </w:rPr>
              <w:t xml:space="preserve"> GIRSU que forma parte de la</w:t>
            </w:r>
            <w:r w:rsidRPr="0099082F">
              <w:rPr>
                <w:rFonts w:ascii="Arial" w:hAnsi="Arial" w:cs="Arial"/>
                <w:sz w:val="20"/>
                <w:szCs w:val="20"/>
                <w:lang w:val="es-AR"/>
              </w:rPr>
              <w:t xml:space="preserve"> muestra, utilizando una tasa de descuento del 12% y </w:t>
            </w:r>
            <w:r w:rsidR="005372C2" w:rsidRPr="0099082F">
              <w:rPr>
                <w:rFonts w:ascii="Arial" w:hAnsi="Arial" w:cs="Arial"/>
                <w:sz w:val="20"/>
                <w:szCs w:val="20"/>
                <w:lang w:val="es-AR"/>
              </w:rPr>
              <w:t>un horizonte de evaluación de 24</w:t>
            </w:r>
            <w:r w:rsidRPr="0099082F">
              <w:rPr>
                <w:rFonts w:ascii="Arial" w:hAnsi="Arial" w:cs="Arial"/>
                <w:sz w:val="20"/>
                <w:szCs w:val="20"/>
                <w:lang w:val="es-AR"/>
              </w:rPr>
              <w:t xml:space="preserve"> años, arrojó un valor actual neto (VAN) positivo, equivalente a US$ </w:t>
            </w:r>
            <w:r w:rsidR="005372C2" w:rsidRPr="0099082F">
              <w:rPr>
                <w:rFonts w:ascii="Arial" w:hAnsi="Arial" w:cs="Arial"/>
                <w:sz w:val="20"/>
                <w:szCs w:val="20"/>
                <w:lang w:val="es-AR"/>
              </w:rPr>
              <w:t>31.05</w:t>
            </w:r>
            <w:r w:rsidRPr="0099082F">
              <w:rPr>
                <w:rFonts w:ascii="Arial" w:hAnsi="Arial" w:cs="Arial"/>
                <w:sz w:val="20"/>
                <w:szCs w:val="20"/>
                <w:lang w:val="es-AR"/>
              </w:rPr>
              <w:t xml:space="preserve"> millones (sobre una inversión de US$</w:t>
            </w:r>
            <w:r w:rsidR="005372C2" w:rsidRPr="0099082F">
              <w:rPr>
                <w:rFonts w:ascii="Arial" w:hAnsi="Arial" w:cs="Arial"/>
                <w:sz w:val="20"/>
                <w:szCs w:val="20"/>
                <w:lang w:val="es-AR"/>
              </w:rPr>
              <w:t>21.6</w:t>
            </w:r>
            <w:r w:rsidRPr="0099082F">
              <w:rPr>
                <w:rFonts w:ascii="Arial" w:hAnsi="Arial" w:cs="Arial"/>
                <w:sz w:val="20"/>
                <w:szCs w:val="20"/>
                <w:lang w:val="es-AR"/>
              </w:rPr>
              <w:t xml:space="preserve"> millones a precios económicos y una valorización total de US$</w:t>
            </w:r>
            <w:r w:rsidR="005372C2" w:rsidRPr="0099082F">
              <w:rPr>
                <w:rFonts w:ascii="Arial" w:hAnsi="Arial" w:cs="Arial"/>
                <w:sz w:val="20"/>
                <w:szCs w:val="20"/>
                <w:lang w:val="es-AR"/>
              </w:rPr>
              <w:t>51.7</w:t>
            </w:r>
            <w:r w:rsidRPr="0099082F">
              <w:rPr>
                <w:rFonts w:ascii="Arial" w:hAnsi="Arial" w:cs="Arial"/>
                <w:sz w:val="20"/>
                <w:szCs w:val="20"/>
                <w:lang w:val="es-AR"/>
              </w:rPr>
              <w:t xml:space="preserve"> millones), y una Tasa Interna de Retorno </w:t>
            </w:r>
            <w:r w:rsidR="005372C2" w:rsidRPr="0099082F">
              <w:rPr>
                <w:rFonts w:ascii="Arial" w:hAnsi="Arial" w:cs="Arial"/>
                <w:sz w:val="20"/>
                <w:szCs w:val="20"/>
                <w:lang w:val="es-AR"/>
              </w:rPr>
              <w:t>(TIR) del 18.3</w:t>
            </w:r>
            <w:r w:rsidRPr="0099082F">
              <w:rPr>
                <w:rFonts w:ascii="Arial" w:hAnsi="Arial" w:cs="Arial"/>
                <w:sz w:val="20"/>
                <w:szCs w:val="20"/>
                <w:lang w:val="es-AR"/>
              </w:rPr>
              <w:t xml:space="preserve">%. </w:t>
            </w:r>
          </w:p>
        </w:tc>
      </w:tr>
    </w:tbl>
    <w:p w:rsidR="004F5CD3" w:rsidRPr="0099082F" w:rsidRDefault="004F5CD3">
      <w:pPr>
        <w:rPr>
          <w:rFonts w:ascii="Arial" w:hAnsi="Arial" w:cs="Arial"/>
          <w:sz w:val="20"/>
          <w:szCs w:val="20"/>
          <w:lang w:val="es-ES_tradnl"/>
        </w:rPr>
      </w:pPr>
      <w:r w:rsidRPr="0099082F">
        <w:rPr>
          <w:rFonts w:ascii="Arial" w:hAnsi="Arial" w:cs="Arial"/>
          <w:sz w:val="20"/>
          <w:szCs w:val="20"/>
          <w:lang w:val="es-ES_tradnl"/>
        </w:rPr>
        <w:br w:type="page"/>
      </w: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709"/>
        <w:gridCol w:w="4397"/>
      </w:tblGrid>
      <w:tr w:rsidR="000F1306" w:rsidRPr="0099082F" w:rsidTr="00C01741">
        <w:trPr>
          <w:jc w:val="center"/>
        </w:trPr>
        <w:tc>
          <w:tcPr>
            <w:tcW w:w="2129" w:type="dxa"/>
            <w:shd w:val="clear" w:color="auto" w:fill="C0C0C0"/>
          </w:tcPr>
          <w:p w:rsidR="000F1306" w:rsidRPr="0099082F" w:rsidRDefault="000F1306" w:rsidP="000F1306">
            <w:pPr>
              <w:rPr>
                <w:rFonts w:ascii="Arial" w:hAnsi="Arial" w:cs="Arial"/>
                <w:b/>
                <w:sz w:val="20"/>
                <w:szCs w:val="20"/>
                <w:lang w:val="es-ES_tradnl"/>
              </w:rPr>
            </w:pPr>
            <w:r w:rsidRPr="0099082F">
              <w:rPr>
                <w:rFonts w:ascii="Arial" w:hAnsi="Arial" w:cs="Arial"/>
                <w:b/>
                <w:sz w:val="20"/>
                <w:szCs w:val="20"/>
                <w:lang w:val="es-ES_tradnl"/>
              </w:rPr>
              <w:lastRenderedPageBreak/>
              <w:t>Objetivos de la Política</w:t>
            </w:r>
          </w:p>
          <w:p w:rsidR="000F1306" w:rsidRPr="0099082F" w:rsidRDefault="000F1306" w:rsidP="000F1306">
            <w:pPr>
              <w:rPr>
                <w:rFonts w:ascii="Arial" w:hAnsi="Arial" w:cs="Arial"/>
                <w:b/>
                <w:sz w:val="20"/>
                <w:szCs w:val="20"/>
                <w:lang w:val="es-ES_tradnl"/>
              </w:rPr>
            </w:pPr>
          </w:p>
        </w:tc>
        <w:tc>
          <w:tcPr>
            <w:tcW w:w="3709" w:type="dxa"/>
            <w:shd w:val="clear" w:color="auto" w:fill="C0C0C0"/>
          </w:tcPr>
          <w:p w:rsidR="000F1306" w:rsidRPr="0099082F" w:rsidRDefault="000F1306" w:rsidP="000F1306">
            <w:pPr>
              <w:rPr>
                <w:rFonts w:ascii="Arial" w:hAnsi="Arial" w:cs="Arial"/>
                <w:b/>
                <w:sz w:val="20"/>
                <w:szCs w:val="20"/>
                <w:lang w:val="es-ES_tradnl"/>
              </w:rPr>
            </w:pPr>
            <w:r w:rsidRPr="0099082F">
              <w:rPr>
                <w:rFonts w:ascii="Arial" w:hAnsi="Arial" w:cs="Arial"/>
                <w:b/>
                <w:sz w:val="20"/>
                <w:szCs w:val="20"/>
                <w:lang w:val="es-ES_tradnl"/>
              </w:rPr>
              <w:t xml:space="preserve">Descripción </w:t>
            </w:r>
          </w:p>
        </w:tc>
        <w:tc>
          <w:tcPr>
            <w:tcW w:w="4397" w:type="dxa"/>
            <w:shd w:val="clear" w:color="auto" w:fill="C0C0C0"/>
          </w:tcPr>
          <w:p w:rsidR="000F1306" w:rsidRPr="0099082F" w:rsidRDefault="000F1306" w:rsidP="000F1306">
            <w:pPr>
              <w:rPr>
                <w:rFonts w:ascii="Arial" w:hAnsi="Arial" w:cs="Arial"/>
                <w:b/>
                <w:sz w:val="20"/>
                <w:szCs w:val="20"/>
                <w:lang w:val="es-ES_tradnl"/>
              </w:rPr>
            </w:pPr>
            <w:r w:rsidRPr="0099082F">
              <w:rPr>
                <w:rFonts w:ascii="Arial" w:hAnsi="Arial" w:cs="Arial"/>
                <w:b/>
                <w:sz w:val="20"/>
                <w:szCs w:val="20"/>
                <w:lang w:val="es-ES_tradnl"/>
              </w:rPr>
              <w:t>Comentarios</w:t>
            </w:r>
          </w:p>
        </w:tc>
      </w:tr>
      <w:tr w:rsidR="000F1306" w:rsidRPr="0099082F" w:rsidTr="00C01741">
        <w:trPr>
          <w:jc w:val="center"/>
        </w:trPr>
        <w:tc>
          <w:tcPr>
            <w:tcW w:w="2129" w:type="dxa"/>
            <w:shd w:val="clear" w:color="auto" w:fill="auto"/>
          </w:tcPr>
          <w:p w:rsidR="000F1306" w:rsidRPr="0099082F" w:rsidRDefault="000B3F4E" w:rsidP="000F1306">
            <w:pPr>
              <w:rPr>
                <w:rFonts w:ascii="Arial" w:hAnsi="Arial" w:cs="Arial"/>
                <w:sz w:val="20"/>
                <w:szCs w:val="20"/>
                <w:lang w:val="es-ES_tradnl"/>
              </w:rPr>
            </w:pPr>
            <w:r w:rsidRPr="0099082F">
              <w:rPr>
                <w:rFonts w:ascii="Arial" w:hAnsi="Arial" w:cs="Arial"/>
                <w:b/>
                <w:bCs/>
                <w:sz w:val="20"/>
                <w:szCs w:val="20"/>
                <w:lang w:val="es-ES_tradnl"/>
              </w:rPr>
              <w:t>2.</w:t>
            </w:r>
            <w:r w:rsidR="000F1306" w:rsidRPr="0099082F">
              <w:rPr>
                <w:rFonts w:ascii="Arial" w:hAnsi="Arial" w:cs="Arial"/>
                <w:b/>
                <w:bCs/>
                <w:sz w:val="20"/>
                <w:szCs w:val="20"/>
                <w:lang w:val="es-ES_tradnl"/>
              </w:rPr>
              <w:t>1. Fomentar el Acceso</w:t>
            </w:r>
          </w:p>
        </w:tc>
        <w:tc>
          <w:tcPr>
            <w:tcW w:w="370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 xml:space="preserve">Las políticas deben promover el acceso a todos los usuarios, especialmente a las comunidades y grupos  más desfavorecidos. </w:t>
            </w:r>
          </w:p>
        </w:tc>
        <w:tc>
          <w:tcPr>
            <w:tcW w:w="4397" w:type="dxa"/>
            <w:tcBorders>
              <w:bottom w:val="single" w:sz="4" w:space="0" w:color="auto"/>
            </w:tcBorders>
            <w:shd w:val="clear" w:color="auto" w:fill="auto"/>
          </w:tcPr>
          <w:p w:rsidR="000F1306" w:rsidRPr="0099082F" w:rsidRDefault="00B40EDC" w:rsidP="00B40EDC">
            <w:pPr>
              <w:jc w:val="both"/>
              <w:rPr>
                <w:rFonts w:ascii="Arial" w:hAnsi="Arial" w:cs="Arial"/>
                <w:sz w:val="20"/>
                <w:szCs w:val="20"/>
                <w:lang w:val="es-AR"/>
              </w:rPr>
            </w:pPr>
            <w:r w:rsidRPr="0099082F">
              <w:rPr>
                <w:rFonts w:ascii="Arial" w:hAnsi="Arial" w:cs="Arial"/>
                <w:sz w:val="20"/>
                <w:szCs w:val="20"/>
                <w:lang w:val="es-ES_tradnl"/>
              </w:rPr>
              <w:t>En el diseño de los proyecto</w:t>
            </w:r>
            <w:r w:rsidR="00D7738D" w:rsidRPr="0099082F">
              <w:rPr>
                <w:rFonts w:ascii="Arial" w:hAnsi="Arial" w:cs="Arial"/>
                <w:sz w:val="20"/>
                <w:szCs w:val="20"/>
                <w:lang w:val="es-ES_tradnl"/>
              </w:rPr>
              <w:t>s</w:t>
            </w:r>
            <w:r w:rsidRPr="0099082F">
              <w:rPr>
                <w:rFonts w:ascii="Arial" w:hAnsi="Arial" w:cs="Arial"/>
                <w:sz w:val="20"/>
                <w:szCs w:val="20"/>
                <w:lang w:val="es-ES_tradnl"/>
              </w:rPr>
              <w:t xml:space="preserve"> financiados por el Programa se considera su afectación a los distintos grupos de la población alcanzados por el mismo. En el caso del GIRSU por ejemplo </w:t>
            </w:r>
            <w:hyperlink r:id="rId12" w:history="1">
              <w:r w:rsidRPr="0099082F">
                <w:rPr>
                  <w:rStyle w:val="Hyperlink"/>
                  <w:rFonts w:ascii="Arial" w:hAnsi="Arial" w:cs="Arial"/>
                  <w:sz w:val="20"/>
                  <w:szCs w:val="20"/>
                  <w:lang w:val="es-ES_tradnl"/>
                </w:rPr>
                <w:t>Ver Plan de inclusión social</w:t>
              </w:r>
            </w:hyperlink>
          </w:p>
        </w:tc>
      </w:tr>
      <w:tr w:rsidR="000F1306" w:rsidRPr="0099082F" w:rsidTr="00C01741">
        <w:trPr>
          <w:jc w:val="center"/>
        </w:trPr>
        <w:tc>
          <w:tcPr>
            <w:tcW w:w="212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b/>
                <w:bCs/>
                <w:sz w:val="20"/>
                <w:szCs w:val="20"/>
                <w:lang w:val="es-ES_tradnl"/>
              </w:rPr>
              <w:t>2.</w:t>
            </w:r>
            <w:r w:rsidR="000B3F4E" w:rsidRPr="0099082F">
              <w:rPr>
                <w:rFonts w:ascii="Arial" w:hAnsi="Arial" w:cs="Arial"/>
                <w:b/>
                <w:bCs/>
                <w:sz w:val="20"/>
                <w:szCs w:val="20"/>
                <w:lang w:val="es-ES_tradnl"/>
              </w:rPr>
              <w:t>2</w:t>
            </w:r>
            <w:r w:rsidRPr="0099082F">
              <w:rPr>
                <w:rFonts w:ascii="Arial" w:hAnsi="Arial" w:cs="Arial"/>
                <w:b/>
                <w:bCs/>
                <w:sz w:val="20"/>
                <w:szCs w:val="20"/>
                <w:lang w:val="es-ES_tradnl"/>
              </w:rPr>
              <w:t xml:space="preserve"> Suministrar el acceso al servicio en condiciones de confiabilidad y calidad adecuadas</w:t>
            </w:r>
          </w:p>
        </w:tc>
        <w:tc>
          <w:tcPr>
            <w:tcW w:w="370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4397" w:type="dxa"/>
            <w:shd w:val="clear" w:color="auto" w:fill="auto"/>
          </w:tcPr>
          <w:p w:rsidR="000F1306" w:rsidRPr="0099082F" w:rsidRDefault="00153BCF" w:rsidP="005372C2">
            <w:pPr>
              <w:jc w:val="both"/>
              <w:rPr>
                <w:rFonts w:ascii="Arial" w:hAnsi="Arial" w:cs="Arial"/>
                <w:sz w:val="20"/>
                <w:szCs w:val="20"/>
                <w:highlight w:val="yellow"/>
                <w:lang w:val="es-ES_tradnl"/>
              </w:rPr>
            </w:pPr>
            <w:r w:rsidRPr="0099082F">
              <w:rPr>
                <w:rFonts w:ascii="Arial" w:hAnsi="Arial" w:cs="Arial"/>
                <w:sz w:val="20"/>
                <w:szCs w:val="20"/>
                <w:lang w:val="es-ES_tradnl"/>
              </w:rPr>
              <w:t xml:space="preserve">El </w:t>
            </w:r>
            <w:r w:rsidR="005372C2" w:rsidRPr="0099082F">
              <w:rPr>
                <w:rFonts w:ascii="Arial" w:hAnsi="Arial" w:cs="Arial"/>
                <w:sz w:val="20"/>
                <w:szCs w:val="20"/>
                <w:lang w:val="es-ES_tradnl"/>
              </w:rPr>
              <w:t>DAMI</w:t>
            </w:r>
            <w:r w:rsidRPr="0099082F">
              <w:rPr>
                <w:rFonts w:ascii="Arial" w:hAnsi="Arial" w:cs="Arial"/>
                <w:sz w:val="20"/>
                <w:szCs w:val="20"/>
                <w:lang w:val="es-ES_tradnl"/>
              </w:rPr>
              <w:t xml:space="preserve"> opera de acuerdo con el marco regulatorio vigente en cada provincia y municipio.</w:t>
            </w:r>
          </w:p>
        </w:tc>
      </w:tr>
      <w:tr w:rsidR="000F1306" w:rsidRPr="0099082F" w:rsidTr="00C01741">
        <w:trPr>
          <w:jc w:val="center"/>
        </w:trPr>
        <w:tc>
          <w:tcPr>
            <w:tcW w:w="2129" w:type="dxa"/>
            <w:shd w:val="clear" w:color="auto" w:fill="auto"/>
          </w:tcPr>
          <w:p w:rsidR="000F1306" w:rsidRPr="0099082F" w:rsidRDefault="000B3F4E" w:rsidP="000F1306">
            <w:pPr>
              <w:rPr>
                <w:rFonts w:ascii="Arial" w:hAnsi="Arial" w:cs="Arial"/>
                <w:b/>
                <w:bCs/>
                <w:sz w:val="20"/>
                <w:szCs w:val="20"/>
                <w:lang w:val="es-ES_tradnl"/>
              </w:rPr>
            </w:pPr>
            <w:r w:rsidRPr="0099082F">
              <w:rPr>
                <w:rFonts w:ascii="Arial" w:hAnsi="Arial" w:cs="Arial"/>
                <w:b/>
                <w:bCs/>
                <w:sz w:val="20"/>
                <w:szCs w:val="20"/>
                <w:lang w:val="es-ES_tradnl"/>
              </w:rPr>
              <w:t>2.</w:t>
            </w:r>
            <w:r w:rsidR="000F1306" w:rsidRPr="0099082F">
              <w:rPr>
                <w:rFonts w:ascii="Arial" w:hAnsi="Arial" w:cs="Arial"/>
                <w:b/>
                <w:bCs/>
                <w:sz w:val="20"/>
                <w:szCs w:val="20"/>
                <w:lang w:val="es-ES_tradnl"/>
              </w:rPr>
              <w:t>3. Suministrar un servicio en condiciones de eficiencia</w:t>
            </w:r>
          </w:p>
        </w:tc>
        <w:tc>
          <w:tcPr>
            <w:tcW w:w="370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Debe asegurarse que, desde el punto de vista de la oferta, los servicios se proveen con los menores costos posibles.</w:t>
            </w:r>
          </w:p>
        </w:tc>
        <w:tc>
          <w:tcPr>
            <w:tcW w:w="4397" w:type="dxa"/>
            <w:shd w:val="clear" w:color="auto" w:fill="auto"/>
          </w:tcPr>
          <w:p w:rsidR="000F1306" w:rsidRPr="0099082F" w:rsidRDefault="005C76BF" w:rsidP="005C76BF">
            <w:pPr>
              <w:jc w:val="both"/>
              <w:rPr>
                <w:rFonts w:ascii="Arial" w:hAnsi="Arial" w:cs="Arial"/>
                <w:sz w:val="20"/>
                <w:szCs w:val="20"/>
                <w:lang w:val="es-ES_tradnl"/>
              </w:rPr>
            </w:pPr>
            <w:r w:rsidRPr="0099082F">
              <w:rPr>
                <w:rFonts w:ascii="Arial" w:hAnsi="Arial" w:cs="Arial"/>
                <w:sz w:val="20"/>
                <w:szCs w:val="20"/>
                <w:lang w:val="es-ES_tradnl"/>
              </w:rPr>
              <w:t xml:space="preserve">En </w:t>
            </w:r>
            <w:r w:rsidR="00B90497" w:rsidRPr="0099082F">
              <w:rPr>
                <w:rFonts w:ascii="Arial" w:hAnsi="Arial" w:cs="Arial"/>
                <w:sz w:val="20"/>
                <w:szCs w:val="20"/>
                <w:lang w:val="es-ES_tradnl"/>
              </w:rPr>
              <w:t>el diseño de</w:t>
            </w:r>
            <w:r w:rsidRPr="0099082F">
              <w:rPr>
                <w:rFonts w:ascii="Arial" w:hAnsi="Arial" w:cs="Arial"/>
                <w:sz w:val="20"/>
                <w:szCs w:val="20"/>
                <w:lang w:val="es-ES_tradnl"/>
              </w:rPr>
              <w:t>l proyecto GIRSU de</w:t>
            </w:r>
            <w:r w:rsidR="00135629">
              <w:rPr>
                <w:rFonts w:ascii="Arial" w:hAnsi="Arial" w:cs="Arial"/>
                <w:sz w:val="20"/>
                <w:szCs w:val="20"/>
                <w:lang w:val="es-ES_tradnl"/>
              </w:rPr>
              <w:t>l AM de</w:t>
            </w:r>
            <w:r w:rsidRPr="0099082F">
              <w:rPr>
                <w:rFonts w:ascii="Arial" w:hAnsi="Arial" w:cs="Arial"/>
                <w:sz w:val="20"/>
                <w:szCs w:val="20"/>
                <w:lang w:val="es-ES_tradnl"/>
              </w:rPr>
              <w:t xml:space="preserve"> Mendoza</w:t>
            </w:r>
            <w:r w:rsidR="00B90497" w:rsidRPr="0099082F">
              <w:rPr>
                <w:rFonts w:ascii="Arial" w:hAnsi="Arial" w:cs="Arial"/>
                <w:sz w:val="20"/>
                <w:szCs w:val="20"/>
                <w:lang w:val="es-ES_tradnl"/>
              </w:rPr>
              <w:t>, se ha verificado que se ha realizado un análisis de alternativas que ha permitido identificar la de mínimo costo</w:t>
            </w:r>
            <w:r w:rsidRPr="0099082F">
              <w:rPr>
                <w:rFonts w:ascii="Arial" w:hAnsi="Arial" w:cs="Arial"/>
                <w:sz w:val="20"/>
                <w:szCs w:val="20"/>
                <w:lang w:val="es-ES_tradnl"/>
              </w:rPr>
              <w:t xml:space="preserve"> (ver </w:t>
            </w:r>
            <w:hyperlink r:id="rId13" w:history="1">
              <w:r w:rsidRPr="0099082F">
                <w:rPr>
                  <w:rStyle w:val="Hyperlink"/>
                  <w:rFonts w:ascii="Arial" w:hAnsi="Arial" w:cs="Arial"/>
                  <w:sz w:val="20"/>
                  <w:szCs w:val="20"/>
                  <w:lang w:val="es-AR"/>
                </w:rPr>
                <w:t>Estudio alternativas</w:t>
              </w:r>
            </w:hyperlink>
            <w:r w:rsidRPr="0099082F">
              <w:rPr>
                <w:rStyle w:val="Hyperlink"/>
                <w:rFonts w:ascii="Arial" w:hAnsi="Arial" w:cs="Arial"/>
                <w:sz w:val="20"/>
                <w:szCs w:val="20"/>
                <w:lang w:val="es-AR"/>
              </w:rPr>
              <w:t xml:space="preserve"> GIRSU)</w:t>
            </w:r>
            <w:r w:rsidR="00B90497" w:rsidRPr="0099082F">
              <w:rPr>
                <w:rFonts w:ascii="Arial" w:hAnsi="Arial" w:cs="Arial"/>
                <w:sz w:val="20"/>
                <w:szCs w:val="20"/>
                <w:lang w:val="es-ES_tradnl"/>
              </w:rPr>
              <w:t>, lo que asegura la provisión de los servicios mediante la nueva infraestructura bajo esta condición.</w:t>
            </w:r>
            <w:r w:rsidR="00153BCF" w:rsidRPr="0099082F">
              <w:rPr>
                <w:rFonts w:ascii="Arial" w:hAnsi="Arial" w:cs="Arial"/>
                <w:sz w:val="20"/>
                <w:szCs w:val="20"/>
                <w:lang w:val="es-ES_tradnl"/>
              </w:rPr>
              <w:t xml:space="preserve"> Este análisis se efectúa para todos los proyectos elegibles del programa. </w:t>
            </w:r>
          </w:p>
        </w:tc>
      </w:tr>
      <w:tr w:rsidR="000F1306" w:rsidRPr="00232D0D" w:rsidTr="00C01741">
        <w:trPr>
          <w:jc w:val="center"/>
        </w:trPr>
        <w:tc>
          <w:tcPr>
            <w:tcW w:w="2129" w:type="dxa"/>
            <w:tcBorders>
              <w:bottom w:val="single" w:sz="4" w:space="0" w:color="auto"/>
            </w:tcBorders>
            <w:shd w:val="clear" w:color="auto" w:fill="auto"/>
          </w:tcPr>
          <w:p w:rsidR="000F1306" w:rsidRPr="0099082F" w:rsidRDefault="000B3F4E" w:rsidP="000F1306">
            <w:pPr>
              <w:rPr>
                <w:rFonts w:ascii="Arial" w:hAnsi="Arial" w:cs="Arial"/>
                <w:b/>
                <w:bCs/>
                <w:sz w:val="20"/>
                <w:szCs w:val="20"/>
                <w:lang w:val="es-ES_tradnl"/>
              </w:rPr>
            </w:pPr>
            <w:r w:rsidRPr="0099082F">
              <w:rPr>
                <w:rFonts w:ascii="Arial" w:hAnsi="Arial" w:cs="Arial"/>
                <w:b/>
                <w:bCs/>
                <w:sz w:val="20"/>
                <w:szCs w:val="20"/>
                <w:lang w:val="es-ES_tradnl"/>
              </w:rPr>
              <w:t>2.</w:t>
            </w:r>
            <w:r w:rsidR="000F1306" w:rsidRPr="0099082F">
              <w:rPr>
                <w:rFonts w:ascii="Arial" w:hAnsi="Arial" w:cs="Arial"/>
                <w:b/>
                <w:bCs/>
                <w:sz w:val="20"/>
                <w:szCs w:val="20"/>
                <w:lang w:val="es-ES_tradnl"/>
              </w:rPr>
              <w:t>4. Generar incentivos adecuados a la demanda de servicios.</w:t>
            </w:r>
          </w:p>
        </w:tc>
        <w:tc>
          <w:tcPr>
            <w:tcW w:w="3709" w:type="dxa"/>
            <w:tcBorders>
              <w:bottom w:val="single" w:sz="4" w:space="0" w:color="auto"/>
            </w:tcBorders>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Debe velarse porque existan los incentivos adecuados para que los usuarios hagan un uso de estos servicios compatible con su sostenibilidad económica, financiera y ambiental</w:t>
            </w:r>
          </w:p>
        </w:tc>
        <w:tc>
          <w:tcPr>
            <w:tcW w:w="4397" w:type="dxa"/>
            <w:tcBorders>
              <w:bottom w:val="single" w:sz="4" w:space="0" w:color="auto"/>
            </w:tcBorders>
            <w:shd w:val="clear" w:color="auto" w:fill="auto"/>
          </w:tcPr>
          <w:p w:rsidR="000F1306" w:rsidRPr="0099082F" w:rsidRDefault="00135629" w:rsidP="00B02809">
            <w:pPr>
              <w:jc w:val="both"/>
              <w:rPr>
                <w:rFonts w:ascii="Arial" w:hAnsi="Arial" w:cs="Arial"/>
                <w:sz w:val="20"/>
                <w:szCs w:val="20"/>
                <w:lang w:val="es-ES_tradnl"/>
              </w:rPr>
            </w:pPr>
            <w:r w:rsidRPr="00135629">
              <w:rPr>
                <w:rFonts w:ascii="Arial" w:hAnsi="Arial" w:cs="Arial"/>
                <w:sz w:val="20"/>
                <w:szCs w:val="20"/>
                <w:lang w:val="es-ES_tradnl"/>
              </w:rPr>
              <w:t xml:space="preserve">Los proyectos de saneamiento, como el Centro Ambiental GIRSU del AM de Mendoza, incluyen dentro de su diseño </w:t>
            </w:r>
            <w:r>
              <w:rPr>
                <w:rFonts w:ascii="Arial" w:hAnsi="Arial" w:cs="Arial"/>
                <w:sz w:val="20"/>
                <w:szCs w:val="20"/>
                <w:lang w:val="es-ES_tradnl"/>
              </w:rPr>
              <w:t>componentes</w:t>
            </w:r>
            <w:r w:rsidRPr="00135629">
              <w:rPr>
                <w:rFonts w:ascii="Arial" w:hAnsi="Arial" w:cs="Arial"/>
                <w:sz w:val="20"/>
                <w:szCs w:val="20"/>
                <w:lang w:val="es-ES_tradnl"/>
              </w:rPr>
              <w:t xml:space="preserve"> de conc</w:t>
            </w:r>
            <w:r>
              <w:rPr>
                <w:rFonts w:ascii="Arial" w:hAnsi="Arial" w:cs="Arial"/>
                <w:sz w:val="20"/>
                <w:szCs w:val="20"/>
                <w:lang w:val="es-ES_tradnl"/>
              </w:rPr>
              <w:t xml:space="preserve">ientización de </w:t>
            </w:r>
            <w:r w:rsidR="00232D0D">
              <w:rPr>
                <w:rFonts w:ascii="Arial" w:hAnsi="Arial" w:cs="Arial"/>
                <w:sz w:val="20"/>
                <w:szCs w:val="20"/>
                <w:lang w:val="es-ES_tradnl"/>
              </w:rPr>
              <w:t xml:space="preserve">la población en relación a la problemática de la gestión de RSU, los beneficios ambientales y sociales de la gestión integral de RSU, y la importancia de participar en el programa de separación en origen para fomentar la recuperación, reducción y reciclado de residuos. </w:t>
            </w:r>
            <w:r w:rsidR="00B02809">
              <w:rPr>
                <w:rFonts w:ascii="Arial" w:hAnsi="Arial" w:cs="Arial"/>
                <w:sz w:val="20"/>
                <w:szCs w:val="20"/>
                <w:lang w:val="es-ES_tradnl"/>
              </w:rPr>
              <w:t xml:space="preserve">Existe un Plan de Comunicación que detalla esta estrategia. </w:t>
            </w:r>
            <w:r w:rsidR="00EC1483" w:rsidRPr="00135629">
              <w:rPr>
                <w:rFonts w:ascii="Arial" w:hAnsi="Arial" w:cs="Arial"/>
                <w:sz w:val="20"/>
                <w:szCs w:val="20"/>
                <w:lang w:val="es-ES_tradnl"/>
              </w:rPr>
              <w:t>Estas medidas</w:t>
            </w:r>
            <w:r w:rsidR="004F5CD3" w:rsidRPr="00135629">
              <w:rPr>
                <w:rFonts w:ascii="Arial" w:hAnsi="Arial" w:cs="Arial"/>
                <w:sz w:val="20"/>
                <w:szCs w:val="20"/>
                <w:lang w:val="es-ES_tradnl"/>
              </w:rPr>
              <w:t xml:space="preserve"> resultan compatibles con este principio.</w:t>
            </w:r>
            <w:r w:rsidR="000F7095" w:rsidRPr="0099082F">
              <w:rPr>
                <w:rFonts w:ascii="Arial" w:hAnsi="Arial" w:cs="Arial"/>
                <w:sz w:val="20"/>
                <w:szCs w:val="20"/>
                <w:lang w:val="es-ES_tradnl"/>
              </w:rPr>
              <w:t xml:space="preserve"> </w:t>
            </w:r>
          </w:p>
        </w:tc>
      </w:tr>
      <w:tr w:rsidR="000F1306" w:rsidRPr="0099082F" w:rsidTr="00C01741">
        <w:trPr>
          <w:jc w:val="center"/>
        </w:trPr>
        <w:tc>
          <w:tcPr>
            <w:tcW w:w="2129" w:type="dxa"/>
            <w:tcBorders>
              <w:bottom w:val="single" w:sz="4" w:space="0" w:color="auto"/>
            </w:tcBorders>
            <w:shd w:val="clear" w:color="auto" w:fill="auto"/>
          </w:tcPr>
          <w:p w:rsidR="000F1306" w:rsidRPr="0099082F" w:rsidRDefault="000B3F4E" w:rsidP="000F1306">
            <w:pPr>
              <w:rPr>
                <w:rFonts w:ascii="Arial" w:hAnsi="Arial" w:cs="Arial"/>
                <w:b/>
                <w:bCs/>
                <w:sz w:val="20"/>
                <w:szCs w:val="20"/>
                <w:lang w:val="es-ES_tradnl"/>
              </w:rPr>
            </w:pPr>
            <w:r w:rsidRPr="0099082F">
              <w:rPr>
                <w:rFonts w:ascii="Arial" w:hAnsi="Arial" w:cs="Arial"/>
                <w:b/>
                <w:bCs/>
                <w:sz w:val="20"/>
                <w:szCs w:val="20"/>
                <w:lang w:val="es-ES_tradnl"/>
              </w:rPr>
              <w:t>2.</w:t>
            </w:r>
            <w:r w:rsidR="00B53A67" w:rsidRPr="0099082F">
              <w:rPr>
                <w:rFonts w:ascii="Arial" w:hAnsi="Arial" w:cs="Arial"/>
                <w:b/>
                <w:bCs/>
                <w:sz w:val="20"/>
                <w:szCs w:val="20"/>
                <w:lang w:val="es-ES_tradnl"/>
              </w:rPr>
              <w:t xml:space="preserve">5. Promover la </w:t>
            </w:r>
            <w:r w:rsidR="000F1306" w:rsidRPr="0099082F">
              <w:rPr>
                <w:rFonts w:ascii="Arial" w:hAnsi="Arial" w:cs="Arial"/>
                <w:b/>
                <w:bCs/>
                <w:sz w:val="20"/>
                <w:szCs w:val="20"/>
                <w:lang w:val="es-ES_tradnl"/>
              </w:rPr>
              <w:t>sostenibilidad de los servicios públicos domiciliarios</w:t>
            </w:r>
          </w:p>
        </w:tc>
        <w:tc>
          <w:tcPr>
            <w:tcW w:w="3709" w:type="dxa"/>
            <w:tcBorders>
              <w:bottom w:val="single" w:sz="4" w:space="0" w:color="auto"/>
            </w:tcBorders>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El alcance de la sostenibilidad de los servicios públicos domiciliarios se promoverá en función de tres pilares:</w:t>
            </w:r>
          </w:p>
          <w:p w:rsidR="000F1306" w:rsidRPr="0099082F" w:rsidRDefault="000F1306" w:rsidP="000F1306">
            <w:pPr>
              <w:rPr>
                <w:rFonts w:ascii="Arial" w:hAnsi="Arial" w:cs="Arial"/>
                <w:sz w:val="20"/>
                <w:szCs w:val="20"/>
                <w:lang w:val="es-ES_tradnl"/>
              </w:rPr>
            </w:pPr>
          </w:p>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rsidR="000F1306" w:rsidRPr="0099082F" w:rsidRDefault="000F1306" w:rsidP="000F1306">
            <w:pPr>
              <w:rPr>
                <w:rFonts w:ascii="Arial" w:hAnsi="Arial" w:cs="Arial"/>
                <w:sz w:val="20"/>
                <w:szCs w:val="20"/>
                <w:lang w:val="es-ES_tradnl"/>
              </w:rPr>
            </w:pPr>
          </w:p>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lastRenderedPageBreak/>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rsidR="000F1306" w:rsidRPr="0099082F" w:rsidRDefault="000F1306" w:rsidP="000F1306">
            <w:pPr>
              <w:rPr>
                <w:rFonts w:ascii="Arial" w:hAnsi="Arial" w:cs="Arial"/>
                <w:sz w:val="20"/>
                <w:szCs w:val="20"/>
                <w:lang w:val="es-ES_tradnl"/>
              </w:rPr>
            </w:pPr>
          </w:p>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c. Sostenibilidad social: contribuyendo a incrementar el acceso al servicio y previendo mecanismos de consulta con la comunidad sobre los aspectos relevantes de la provisión del servicio.</w:t>
            </w:r>
          </w:p>
        </w:tc>
        <w:tc>
          <w:tcPr>
            <w:tcW w:w="4397" w:type="dxa"/>
            <w:tcBorders>
              <w:bottom w:val="single" w:sz="4" w:space="0" w:color="auto"/>
            </w:tcBorders>
            <w:shd w:val="clear" w:color="auto" w:fill="auto"/>
          </w:tcPr>
          <w:p w:rsidR="000F1306" w:rsidRPr="0099082F" w:rsidRDefault="000F1306" w:rsidP="00600AC8">
            <w:pPr>
              <w:jc w:val="both"/>
              <w:rPr>
                <w:rFonts w:ascii="Arial" w:hAnsi="Arial" w:cs="Arial"/>
                <w:sz w:val="20"/>
                <w:szCs w:val="20"/>
                <w:lang w:val="es-ES_tradnl"/>
              </w:rPr>
            </w:pPr>
            <w:r w:rsidRPr="0099082F">
              <w:rPr>
                <w:rFonts w:ascii="Arial" w:hAnsi="Arial" w:cs="Arial"/>
                <w:i/>
                <w:sz w:val="20"/>
                <w:szCs w:val="20"/>
                <w:lang w:val="es-ES_tradnl"/>
              </w:rPr>
              <w:lastRenderedPageBreak/>
              <w:t>Sostenibilidad Financiera:</w:t>
            </w:r>
            <w:r w:rsidRPr="0099082F">
              <w:rPr>
                <w:rFonts w:ascii="Arial" w:hAnsi="Arial" w:cs="Arial"/>
                <w:sz w:val="20"/>
                <w:szCs w:val="20"/>
                <w:lang w:val="es-ES_tradnl"/>
              </w:rPr>
              <w:t xml:space="preserve"> </w:t>
            </w:r>
          </w:p>
          <w:p w:rsidR="006B46FE" w:rsidRPr="0099082F" w:rsidRDefault="000B3F4E" w:rsidP="00EC1EAF">
            <w:pPr>
              <w:jc w:val="both"/>
              <w:rPr>
                <w:rFonts w:ascii="Arial" w:hAnsi="Arial" w:cs="Arial"/>
                <w:sz w:val="20"/>
                <w:szCs w:val="20"/>
                <w:lang w:val="es-ES_tradnl"/>
              </w:rPr>
            </w:pPr>
            <w:r w:rsidRPr="0099082F">
              <w:rPr>
                <w:rFonts w:ascii="Arial" w:hAnsi="Arial" w:cs="Arial"/>
                <w:sz w:val="20"/>
                <w:szCs w:val="20"/>
                <w:lang w:val="es-ES_tradnl"/>
              </w:rPr>
              <w:t>Ver respuesta en punto 1.1</w:t>
            </w:r>
          </w:p>
          <w:p w:rsidR="00B53A67" w:rsidRPr="0099082F" w:rsidRDefault="00B53A67" w:rsidP="000F1306">
            <w:pPr>
              <w:jc w:val="both"/>
              <w:rPr>
                <w:rFonts w:ascii="Arial" w:hAnsi="Arial" w:cs="Arial"/>
                <w:i/>
                <w:sz w:val="20"/>
                <w:szCs w:val="20"/>
                <w:lang w:val="es-ES_tradnl"/>
              </w:rPr>
            </w:pPr>
          </w:p>
          <w:p w:rsidR="00B53A67" w:rsidRPr="0099082F" w:rsidRDefault="00B53A67" w:rsidP="00B53A67">
            <w:pPr>
              <w:jc w:val="both"/>
              <w:rPr>
                <w:rFonts w:ascii="Arial" w:hAnsi="Arial" w:cs="Arial"/>
                <w:sz w:val="20"/>
                <w:szCs w:val="20"/>
                <w:lang w:val="es-ES_tradnl"/>
              </w:rPr>
            </w:pPr>
            <w:r w:rsidRPr="0099082F">
              <w:rPr>
                <w:rFonts w:ascii="Arial" w:hAnsi="Arial" w:cs="Arial"/>
                <w:i/>
                <w:sz w:val="20"/>
                <w:szCs w:val="20"/>
                <w:lang w:val="es-ES_tradnl"/>
              </w:rPr>
              <w:t>Sostenibilidad Ambiental:</w:t>
            </w:r>
            <w:r w:rsidRPr="0099082F">
              <w:rPr>
                <w:rFonts w:ascii="Arial" w:hAnsi="Arial" w:cs="Arial"/>
                <w:sz w:val="20"/>
                <w:szCs w:val="20"/>
                <w:lang w:val="es-ES_tradnl"/>
              </w:rPr>
              <w:t xml:space="preserve"> </w:t>
            </w:r>
          </w:p>
          <w:p w:rsidR="00FD023E" w:rsidRPr="0099082F" w:rsidRDefault="00B45065" w:rsidP="00FD023E">
            <w:pPr>
              <w:tabs>
                <w:tab w:val="left" w:pos="3200"/>
              </w:tabs>
              <w:rPr>
                <w:rFonts w:ascii="Arial" w:hAnsi="Arial" w:cs="Arial"/>
                <w:sz w:val="20"/>
                <w:szCs w:val="20"/>
                <w:lang w:val="es-ES_tradnl"/>
              </w:rPr>
            </w:pPr>
            <w:r w:rsidRPr="0099082F">
              <w:rPr>
                <w:rFonts w:ascii="Arial" w:hAnsi="Arial" w:cs="Arial"/>
                <w:sz w:val="20"/>
                <w:szCs w:val="20"/>
                <w:lang w:val="es-ES_tradnl"/>
              </w:rPr>
              <w:t>El programa cumple con las políticas de s</w:t>
            </w:r>
            <w:r w:rsidR="00FD023E" w:rsidRPr="0099082F">
              <w:rPr>
                <w:rFonts w:ascii="Arial" w:hAnsi="Arial" w:cs="Arial"/>
                <w:sz w:val="20"/>
                <w:szCs w:val="20"/>
                <w:lang w:val="es-ES_tradnl"/>
              </w:rPr>
              <w:t>alvaguardias ambientales (OP-703</w:t>
            </w:r>
            <w:r w:rsidRPr="0099082F">
              <w:rPr>
                <w:rFonts w:ascii="Arial" w:hAnsi="Arial" w:cs="Arial"/>
                <w:sz w:val="20"/>
                <w:szCs w:val="20"/>
                <w:lang w:val="es-ES_tradnl"/>
              </w:rPr>
              <w:t xml:space="preserve">) y fue clasificada en categoría ambiental “B”. </w:t>
            </w:r>
          </w:p>
          <w:p w:rsidR="00FD023E" w:rsidRPr="0099082F" w:rsidRDefault="00FD023E" w:rsidP="00FD023E">
            <w:pPr>
              <w:tabs>
                <w:tab w:val="left" w:pos="3200"/>
              </w:tabs>
              <w:rPr>
                <w:rFonts w:ascii="Arial" w:hAnsi="Arial" w:cs="Arial"/>
                <w:sz w:val="20"/>
                <w:szCs w:val="20"/>
                <w:lang w:val="es-ES_tradnl"/>
              </w:rPr>
            </w:pPr>
          </w:p>
          <w:p w:rsidR="00FD023E" w:rsidRPr="0099082F" w:rsidRDefault="00FD023E" w:rsidP="00FD023E">
            <w:pPr>
              <w:tabs>
                <w:tab w:val="left" w:pos="3200"/>
              </w:tabs>
              <w:rPr>
                <w:rFonts w:ascii="Arial" w:hAnsi="Arial" w:cs="Arial"/>
                <w:sz w:val="20"/>
                <w:szCs w:val="20"/>
                <w:lang w:val="es-ES_tradnl"/>
              </w:rPr>
            </w:pPr>
            <w:r w:rsidRPr="0099082F">
              <w:rPr>
                <w:rFonts w:ascii="Arial" w:hAnsi="Arial" w:cs="Arial"/>
                <w:sz w:val="20"/>
                <w:szCs w:val="20"/>
                <w:lang w:val="es-ES_tradnl"/>
              </w:rPr>
              <w:t xml:space="preserve">Durante la ejecución del Proyecto del Parque del Bicentenario en Salta, financiado por el DAMI I (2499/OC-AR)- la única obra finalizada hasta la fecha del DAMI I- se realizaron las consultas correspondientes, las cuales deben </w:t>
            </w:r>
            <w:r w:rsidRPr="0099082F">
              <w:rPr>
                <w:rFonts w:ascii="Arial" w:hAnsi="Arial" w:cs="Arial"/>
                <w:sz w:val="20"/>
                <w:szCs w:val="20"/>
                <w:lang w:val="es-ES_tradnl"/>
              </w:rPr>
              <w:lastRenderedPageBreak/>
              <w:t>ser realizadas como parte del proceso para la obtención del Certificado de Aptitud Ambiental. Por otro lado para los proyectos presentes en la muestra, el ejecutor ha incluido el proceso de consulta correspondiente en la elaboración del EIA para el proyecto de GIRSU y también para el de Parques Costeros de Neuquén.</w:t>
            </w:r>
          </w:p>
          <w:p w:rsidR="00C44FEF" w:rsidRPr="0099082F" w:rsidRDefault="00B45065" w:rsidP="00FD023E">
            <w:pPr>
              <w:tabs>
                <w:tab w:val="left" w:pos="3200"/>
              </w:tabs>
              <w:rPr>
                <w:rFonts w:ascii="Arial" w:hAnsi="Arial" w:cs="Arial"/>
                <w:sz w:val="20"/>
                <w:szCs w:val="20"/>
                <w:lang w:val="es-ES_tradnl"/>
              </w:rPr>
            </w:pPr>
            <w:r w:rsidRPr="0099082F">
              <w:rPr>
                <w:rFonts w:ascii="Arial" w:hAnsi="Arial" w:cs="Arial"/>
                <w:sz w:val="20"/>
                <w:szCs w:val="20"/>
                <w:lang w:val="es-ES_tradnl"/>
              </w:rPr>
              <w:t>Se aplicarán los procedimientos ya exist</w:t>
            </w:r>
            <w:r w:rsidR="00FD023E" w:rsidRPr="0099082F">
              <w:rPr>
                <w:rFonts w:ascii="Arial" w:hAnsi="Arial" w:cs="Arial"/>
                <w:sz w:val="20"/>
                <w:szCs w:val="20"/>
                <w:lang w:val="es-ES_tradnl"/>
              </w:rPr>
              <w:t>entes en el RO del préstamo 2499</w:t>
            </w:r>
            <w:r w:rsidRPr="0099082F">
              <w:rPr>
                <w:rFonts w:ascii="Arial" w:hAnsi="Arial" w:cs="Arial"/>
                <w:sz w:val="20"/>
                <w:szCs w:val="20"/>
                <w:lang w:val="es-ES_tradnl"/>
              </w:rPr>
              <w:t>/OC-AR utilizados para el análisis ambiental y social de los proyectos, la elaboración de rutinas de supervisión y monitoreo de la gestión ambiental</w:t>
            </w:r>
            <w:r w:rsidR="00FD023E" w:rsidRPr="0099082F">
              <w:rPr>
                <w:rFonts w:ascii="Arial" w:hAnsi="Arial" w:cs="Arial"/>
                <w:sz w:val="20"/>
                <w:szCs w:val="20"/>
                <w:lang w:val="es-ES_tradnl"/>
              </w:rPr>
              <w:t xml:space="preserve"> </w:t>
            </w:r>
          </w:p>
          <w:p w:rsidR="00C44FEF" w:rsidRPr="0099082F" w:rsidRDefault="00C44FEF" w:rsidP="00B53A67">
            <w:pPr>
              <w:jc w:val="both"/>
              <w:rPr>
                <w:rFonts w:ascii="Arial" w:hAnsi="Arial" w:cs="Arial"/>
                <w:sz w:val="20"/>
                <w:szCs w:val="20"/>
                <w:lang w:val="es-ES_tradnl"/>
              </w:rPr>
            </w:pPr>
          </w:p>
          <w:p w:rsidR="000F1306" w:rsidRPr="0099082F" w:rsidRDefault="000F1306" w:rsidP="000F1306">
            <w:pPr>
              <w:jc w:val="both"/>
              <w:rPr>
                <w:rFonts w:ascii="Arial" w:hAnsi="Arial" w:cs="Arial"/>
                <w:sz w:val="20"/>
                <w:szCs w:val="20"/>
                <w:lang w:val="es-ES_tradnl"/>
              </w:rPr>
            </w:pPr>
            <w:r w:rsidRPr="0099082F">
              <w:rPr>
                <w:rFonts w:ascii="Arial" w:hAnsi="Arial" w:cs="Arial"/>
                <w:i/>
                <w:sz w:val="20"/>
                <w:szCs w:val="20"/>
                <w:lang w:val="es-ES_tradnl"/>
              </w:rPr>
              <w:t>Sostenibilidad Social</w:t>
            </w:r>
            <w:r w:rsidRPr="0099082F">
              <w:rPr>
                <w:rFonts w:ascii="Arial" w:hAnsi="Arial" w:cs="Arial"/>
                <w:sz w:val="20"/>
                <w:szCs w:val="20"/>
                <w:lang w:val="es-ES_tradnl"/>
              </w:rPr>
              <w:t xml:space="preserve">: </w:t>
            </w:r>
          </w:p>
          <w:p w:rsidR="00C44FEF" w:rsidRPr="0099082F" w:rsidRDefault="00BA3B40" w:rsidP="008B6E1E">
            <w:pPr>
              <w:jc w:val="both"/>
              <w:rPr>
                <w:rFonts w:ascii="Arial" w:hAnsi="Arial" w:cs="Arial"/>
                <w:sz w:val="20"/>
                <w:szCs w:val="20"/>
                <w:lang w:val="es-AR"/>
              </w:rPr>
            </w:pPr>
            <w:r w:rsidRPr="0099082F">
              <w:rPr>
                <w:rFonts w:ascii="Arial" w:hAnsi="Arial" w:cs="Arial"/>
                <w:sz w:val="20"/>
                <w:szCs w:val="20"/>
                <w:lang w:val="es-ES_tradnl"/>
              </w:rPr>
              <w:t xml:space="preserve">Tanto la legislación nacional como local prevé la Audiencia </w:t>
            </w:r>
            <w:r w:rsidR="00E0306E" w:rsidRPr="0099082F">
              <w:rPr>
                <w:rFonts w:ascii="Arial" w:hAnsi="Arial" w:cs="Arial"/>
                <w:sz w:val="20"/>
                <w:szCs w:val="20"/>
                <w:lang w:val="es-AR"/>
              </w:rPr>
              <w:t>Pública como</w:t>
            </w:r>
            <w:r w:rsidR="00C44FEF" w:rsidRPr="0099082F">
              <w:rPr>
                <w:rFonts w:ascii="Arial" w:hAnsi="Arial" w:cs="Arial"/>
                <w:sz w:val="20"/>
                <w:szCs w:val="20"/>
                <w:lang w:val="es-AR"/>
              </w:rPr>
              <w:t xml:space="preserve"> un inst</w:t>
            </w:r>
            <w:r w:rsidR="00E0306E" w:rsidRPr="0099082F">
              <w:rPr>
                <w:rFonts w:ascii="Arial" w:hAnsi="Arial" w:cs="Arial"/>
                <w:sz w:val="20"/>
                <w:szCs w:val="20"/>
                <w:lang w:val="es-AR"/>
              </w:rPr>
              <w:t>rumento</w:t>
            </w:r>
            <w:r w:rsidR="00C44FEF" w:rsidRPr="0099082F">
              <w:rPr>
                <w:rFonts w:ascii="Arial" w:hAnsi="Arial" w:cs="Arial"/>
                <w:sz w:val="20"/>
                <w:szCs w:val="20"/>
                <w:lang w:val="es-AR"/>
              </w:rPr>
              <w:t xml:space="preserve"> a través del cual se someten las intervenciones a la consideración de los destinatarios, organismos gubernamentales, ONG locales y público en general. </w:t>
            </w:r>
            <w:r w:rsidR="00E0306E" w:rsidRPr="0099082F">
              <w:rPr>
                <w:rFonts w:ascii="Arial" w:hAnsi="Arial" w:cs="Arial"/>
                <w:sz w:val="20"/>
                <w:szCs w:val="20"/>
                <w:lang w:val="es-AR"/>
              </w:rPr>
              <w:t xml:space="preserve">Para mayor detalle ver el </w:t>
            </w:r>
            <w:hyperlink r:id="rId14" w:history="1">
              <w:r w:rsidR="00FD023E" w:rsidRPr="0099082F">
                <w:rPr>
                  <w:rStyle w:val="Hyperlink"/>
                  <w:rFonts w:ascii="Arial" w:eastAsiaTheme="minorHAnsi" w:hAnsi="Arial" w:cs="Arial"/>
                  <w:sz w:val="20"/>
                  <w:szCs w:val="20"/>
                  <w:lang w:val="es-ES_tradnl"/>
                </w:rPr>
                <w:t>Informe de Gestión Ambiental y Social (IGAS)</w:t>
              </w:r>
            </w:hyperlink>
          </w:p>
          <w:p w:rsidR="00C44FEF" w:rsidRPr="0099082F" w:rsidRDefault="00C44FEF" w:rsidP="008B6E1E">
            <w:pPr>
              <w:jc w:val="both"/>
              <w:rPr>
                <w:rFonts w:ascii="Arial" w:hAnsi="Arial" w:cs="Arial"/>
                <w:sz w:val="20"/>
                <w:szCs w:val="20"/>
                <w:lang w:val="es-ES_tradnl"/>
              </w:rPr>
            </w:pPr>
          </w:p>
          <w:p w:rsidR="000F1306" w:rsidRPr="0099082F" w:rsidRDefault="000F1306" w:rsidP="00E62F16">
            <w:pPr>
              <w:jc w:val="both"/>
              <w:rPr>
                <w:rFonts w:ascii="Arial" w:hAnsi="Arial" w:cs="Arial"/>
                <w:sz w:val="20"/>
                <w:szCs w:val="20"/>
                <w:lang w:val="es-AR"/>
              </w:rPr>
            </w:pPr>
          </w:p>
        </w:tc>
      </w:tr>
    </w:tbl>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lastRenderedPageBreak/>
        <w:br w:type="page"/>
      </w: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4879"/>
        <w:gridCol w:w="3227"/>
      </w:tblGrid>
      <w:tr w:rsidR="000F1306" w:rsidRPr="0099082F" w:rsidTr="00C01741">
        <w:trPr>
          <w:trHeight w:val="701"/>
          <w:jc w:val="center"/>
        </w:trPr>
        <w:tc>
          <w:tcPr>
            <w:tcW w:w="2129" w:type="dxa"/>
            <w:shd w:val="clear" w:color="auto" w:fill="C0C0C0"/>
          </w:tcPr>
          <w:p w:rsidR="000F1306" w:rsidRPr="0099082F" w:rsidRDefault="000F1306" w:rsidP="000F1306">
            <w:pPr>
              <w:rPr>
                <w:rFonts w:ascii="Arial" w:hAnsi="Arial" w:cs="Arial"/>
                <w:b/>
                <w:sz w:val="20"/>
                <w:szCs w:val="20"/>
                <w:lang w:val="es-ES_tradnl"/>
              </w:rPr>
            </w:pPr>
            <w:r w:rsidRPr="0099082F">
              <w:rPr>
                <w:rFonts w:ascii="Arial" w:hAnsi="Arial" w:cs="Arial"/>
                <w:b/>
                <w:sz w:val="20"/>
                <w:szCs w:val="20"/>
                <w:lang w:val="es-ES_tradnl"/>
              </w:rPr>
              <w:lastRenderedPageBreak/>
              <w:t>Principios de la Política que orientan el diseño de las operaciones del Banco</w:t>
            </w:r>
          </w:p>
        </w:tc>
        <w:tc>
          <w:tcPr>
            <w:tcW w:w="4879" w:type="dxa"/>
            <w:shd w:val="clear" w:color="auto" w:fill="C0C0C0"/>
            <w:vAlign w:val="center"/>
          </w:tcPr>
          <w:p w:rsidR="000F1306" w:rsidRPr="0099082F" w:rsidRDefault="000F1306" w:rsidP="000F1306">
            <w:pPr>
              <w:jc w:val="center"/>
              <w:rPr>
                <w:rFonts w:ascii="Arial" w:hAnsi="Arial" w:cs="Arial"/>
                <w:b/>
                <w:sz w:val="20"/>
                <w:szCs w:val="20"/>
                <w:lang w:val="es-ES_tradnl"/>
              </w:rPr>
            </w:pPr>
            <w:r w:rsidRPr="0099082F">
              <w:rPr>
                <w:rFonts w:ascii="Arial" w:hAnsi="Arial" w:cs="Arial"/>
                <w:b/>
                <w:sz w:val="20"/>
                <w:szCs w:val="20"/>
                <w:lang w:val="es-ES_tradnl"/>
              </w:rPr>
              <w:t>Descripción</w:t>
            </w:r>
          </w:p>
        </w:tc>
        <w:tc>
          <w:tcPr>
            <w:tcW w:w="3227" w:type="dxa"/>
            <w:shd w:val="clear" w:color="auto" w:fill="C0C0C0"/>
            <w:vAlign w:val="center"/>
          </w:tcPr>
          <w:p w:rsidR="000F1306" w:rsidRPr="0099082F" w:rsidRDefault="000F1306" w:rsidP="000F1306">
            <w:pPr>
              <w:jc w:val="center"/>
              <w:rPr>
                <w:rFonts w:ascii="Arial" w:hAnsi="Arial" w:cs="Arial"/>
                <w:b/>
                <w:sz w:val="20"/>
                <w:szCs w:val="20"/>
                <w:lang w:val="es-ES_tradnl"/>
              </w:rPr>
            </w:pPr>
            <w:r w:rsidRPr="0099082F">
              <w:rPr>
                <w:rFonts w:ascii="Arial" w:hAnsi="Arial" w:cs="Arial"/>
                <w:b/>
                <w:sz w:val="20"/>
                <w:szCs w:val="20"/>
                <w:lang w:val="es-ES_tradnl"/>
              </w:rPr>
              <w:t>Comentarios</w:t>
            </w:r>
          </w:p>
        </w:tc>
      </w:tr>
      <w:tr w:rsidR="000F1306" w:rsidRPr="0099082F" w:rsidTr="00C01741">
        <w:trPr>
          <w:jc w:val="center"/>
        </w:trPr>
        <w:tc>
          <w:tcPr>
            <w:tcW w:w="2129" w:type="dxa"/>
            <w:shd w:val="clear" w:color="auto" w:fill="auto"/>
          </w:tcPr>
          <w:p w:rsidR="000F1306" w:rsidRPr="0099082F" w:rsidRDefault="00384DE1" w:rsidP="000F1306">
            <w:pPr>
              <w:rPr>
                <w:rFonts w:ascii="Arial" w:hAnsi="Arial" w:cs="Arial"/>
                <w:b/>
                <w:bCs/>
                <w:sz w:val="20"/>
                <w:szCs w:val="20"/>
                <w:lang w:val="es-ES_tradnl"/>
              </w:rPr>
            </w:pPr>
            <w:r w:rsidRPr="0099082F">
              <w:rPr>
                <w:rFonts w:ascii="Arial" w:hAnsi="Arial" w:cs="Arial"/>
                <w:b/>
                <w:bCs/>
                <w:sz w:val="20"/>
                <w:szCs w:val="20"/>
                <w:lang w:val="es-ES_tradnl"/>
              </w:rPr>
              <w:t>3.</w:t>
            </w:r>
            <w:r w:rsidR="000F1306" w:rsidRPr="0099082F">
              <w:rPr>
                <w:rFonts w:ascii="Arial" w:hAnsi="Arial" w:cs="Arial"/>
                <w:b/>
                <w:bCs/>
                <w:sz w:val="20"/>
                <w:szCs w:val="20"/>
                <w:lang w:val="es-ES_tradnl"/>
              </w:rPr>
              <w:t xml:space="preserve">1. Apoyar a los países para atender las necesidades básicas </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227" w:type="dxa"/>
            <w:shd w:val="clear" w:color="auto" w:fill="auto"/>
          </w:tcPr>
          <w:p w:rsidR="009B26D0" w:rsidRPr="00BF2241" w:rsidRDefault="000F1306" w:rsidP="005E54BE">
            <w:pPr>
              <w:jc w:val="both"/>
              <w:rPr>
                <w:rFonts w:ascii="Arial" w:hAnsi="Arial" w:cs="Arial"/>
                <w:sz w:val="20"/>
                <w:szCs w:val="20"/>
                <w:lang w:val="es-ES_tradnl"/>
              </w:rPr>
            </w:pPr>
            <w:r w:rsidRPr="00BF2241">
              <w:rPr>
                <w:rFonts w:ascii="Arial" w:hAnsi="Arial" w:cs="Arial"/>
                <w:sz w:val="20"/>
                <w:szCs w:val="20"/>
                <w:lang w:val="es-ES_tradnl"/>
              </w:rPr>
              <w:t xml:space="preserve">El Programa propuesto </w:t>
            </w:r>
            <w:r w:rsidR="00B90497" w:rsidRPr="00BF2241">
              <w:rPr>
                <w:rFonts w:ascii="Arial" w:hAnsi="Arial" w:cs="Arial"/>
                <w:sz w:val="20"/>
                <w:szCs w:val="20"/>
                <w:lang w:val="es-ES_tradnl"/>
              </w:rPr>
              <w:t xml:space="preserve">cuenta con análisis de alternativas </w:t>
            </w:r>
            <w:r w:rsidR="005E54BE" w:rsidRPr="00BF2241">
              <w:rPr>
                <w:rFonts w:ascii="Arial" w:hAnsi="Arial" w:cs="Arial"/>
                <w:sz w:val="20"/>
                <w:szCs w:val="20"/>
                <w:lang w:val="es-ES_tradnl"/>
              </w:rPr>
              <w:t xml:space="preserve">de cada uno de los proyectos que lo integran, lo </w:t>
            </w:r>
            <w:r w:rsidR="00B90497" w:rsidRPr="00BF2241">
              <w:rPr>
                <w:rFonts w:ascii="Arial" w:hAnsi="Arial" w:cs="Arial"/>
                <w:sz w:val="20"/>
                <w:szCs w:val="20"/>
                <w:lang w:val="es-ES_tradnl"/>
              </w:rPr>
              <w:t xml:space="preserve">que ha permitido identificar las soluciones tecnólogicas de mínimo costo, lo que asegura la adecuada combinación de costo </w:t>
            </w:r>
            <w:r w:rsidR="005E54BE" w:rsidRPr="00BF2241">
              <w:rPr>
                <w:rFonts w:ascii="Arial" w:hAnsi="Arial" w:cs="Arial"/>
                <w:sz w:val="20"/>
                <w:szCs w:val="20"/>
                <w:lang w:val="es-ES_tradnl"/>
              </w:rPr>
              <w:t>–</w:t>
            </w:r>
            <w:r w:rsidR="00B90497" w:rsidRPr="00BF2241">
              <w:rPr>
                <w:rFonts w:ascii="Arial" w:hAnsi="Arial" w:cs="Arial"/>
                <w:sz w:val="20"/>
                <w:szCs w:val="20"/>
                <w:lang w:val="es-ES_tradnl"/>
              </w:rPr>
              <w:t xml:space="preserve"> eficiencia</w:t>
            </w:r>
            <w:r w:rsidR="005E54BE" w:rsidRPr="00BF2241">
              <w:rPr>
                <w:rFonts w:ascii="Arial" w:hAnsi="Arial" w:cs="Arial"/>
                <w:sz w:val="20"/>
                <w:szCs w:val="20"/>
                <w:lang w:val="es-ES_tradnl"/>
              </w:rPr>
              <w:t xml:space="preserve"> para la población. </w:t>
            </w:r>
          </w:p>
        </w:tc>
      </w:tr>
      <w:tr w:rsidR="000F1306" w:rsidRPr="0099082F" w:rsidTr="00C01741">
        <w:trPr>
          <w:jc w:val="center"/>
        </w:trPr>
        <w:tc>
          <w:tcPr>
            <w:tcW w:w="2129" w:type="dxa"/>
            <w:shd w:val="clear" w:color="auto" w:fill="auto"/>
          </w:tcPr>
          <w:p w:rsidR="000F1306" w:rsidRPr="0099082F" w:rsidRDefault="00384DE1" w:rsidP="000F1306">
            <w:pPr>
              <w:rPr>
                <w:rFonts w:ascii="Arial" w:hAnsi="Arial" w:cs="Arial"/>
                <w:b/>
                <w:bCs/>
                <w:sz w:val="20"/>
                <w:szCs w:val="20"/>
                <w:lang w:val="es-ES_tradnl"/>
              </w:rPr>
            </w:pPr>
            <w:r w:rsidRPr="0099082F">
              <w:rPr>
                <w:rFonts w:ascii="Arial" w:hAnsi="Arial" w:cs="Arial"/>
                <w:b/>
                <w:bCs/>
                <w:sz w:val="20"/>
                <w:szCs w:val="20"/>
                <w:lang w:val="es-ES_tradnl"/>
              </w:rPr>
              <w:t>3.</w:t>
            </w:r>
            <w:r w:rsidR="000F1306" w:rsidRPr="0099082F">
              <w:rPr>
                <w:rFonts w:ascii="Arial" w:hAnsi="Arial" w:cs="Arial"/>
                <w:b/>
                <w:bCs/>
                <w:sz w:val="20"/>
                <w:szCs w:val="20"/>
                <w:lang w:val="es-ES_tradnl"/>
              </w:rPr>
              <w:t>2. Las mejoras continuas en la gobernanza de los servicios públicos domiciliarios serán clave para incrementar la eficiencia en su provisión y proteger satisfactoriamente los intereses de los usuarios</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3227" w:type="dxa"/>
            <w:shd w:val="clear" w:color="auto" w:fill="auto"/>
          </w:tcPr>
          <w:p w:rsidR="000F1306" w:rsidRPr="0099082F" w:rsidRDefault="00384DE1" w:rsidP="003147D4">
            <w:pPr>
              <w:jc w:val="both"/>
              <w:rPr>
                <w:rFonts w:ascii="Arial" w:hAnsi="Arial" w:cs="Arial"/>
                <w:sz w:val="20"/>
                <w:szCs w:val="20"/>
                <w:highlight w:val="green"/>
                <w:lang w:val="es-ES_tradnl"/>
              </w:rPr>
            </w:pPr>
            <w:r w:rsidRPr="0099082F">
              <w:rPr>
                <w:rFonts w:ascii="Arial" w:hAnsi="Arial" w:cs="Arial"/>
                <w:sz w:val="20"/>
                <w:szCs w:val="20"/>
                <w:lang w:val="es-ES_tradnl"/>
              </w:rPr>
              <w:t xml:space="preserve">El </w:t>
            </w:r>
            <w:r w:rsidR="00E0306E" w:rsidRPr="0099082F">
              <w:rPr>
                <w:rFonts w:ascii="Arial" w:hAnsi="Arial" w:cs="Arial"/>
                <w:sz w:val="20"/>
                <w:szCs w:val="20"/>
                <w:lang w:val="es-ES_tradnl"/>
              </w:rPr>
              <w:t>DAMI</w:t>
            </w:r>
            <w:r w:rsidR="00BF2241">
              <w:rPr>
                <w:rFonts w:ascii="Arial" w:hAnsi="Arial" w:cs="Arial"/>
                <w:sz w:val="20"/>
                <w:szCs w:val="20"/>
                <w:lang w:val="es-ES_tradnl"/>
              </w:rPr>
              <w:t>-II</w:t>
            </w:r>
            <w:r w:rsidRPr="0099082F">
              <w:rPr>
                <w:rFonts w:ascii="Arial" w:hAnsi="Arial" w:cs="Arial"/>
                <w:sz w:val="20"/>
                <w:szCs w:val="20"/>
                <w:lang w:val="es-ES_tradnl"/>
              </w:rPr>
              <w:t xml:space="preserve"> </w:t>
            </w:r>
            <w:r w:rsidR="003147D4" w:rsidRPr="00BF2241">
              <w:rPr>
                <w:rFonts w:ascii="Arial" w:hAnsi="Arial" w:cs="Arial"/>
                <w:sz w:val="20"/>
                <w:szCs w:val="20"/>
                <w:lang w:val="es-ES_tradnl"/>
              </w:rPr>
              <w:t xml:space="preserve">opera de acuerdo con el marco regulatorio vigente en cada provincia y </w:t>
            </w:r>
            <w:r w:rsidRPr="00BF2241">
              <w:rPr>
                <w:rFonts w:ascii="Arial" w:hAnsi="Arial" w:cs="Arial"/>
                <w:sz w:val="20"/>
                <w:szCs w:val="20"/>
                <w:lang w:val="es-ES_tradnl"/>
              </w:rPr>
              <w:t xml:space="preserve">no tiene injerencia sobre el marco regulatorio y de gobernanza de la prestación de servicios públicos. </w:t>
            </w:r>
            <w:r w:rsidR="00BF2241">
              <w:rPr>
                <w:rFonts w:ascii="Arial" w:hAnsi="Arial" w:cs="Arial"/>
                <w:sz w:val="20"/>
                <w:szCs w:val="20"/>
                <w:lang w:val="es-ES_tradnl"/>
              </w:rPr>
              <w:t>Sin embargo es un objetivo del programa mejorar la gobernanza interjurisdiccional de servicios públicos en áreas metropolitanas por lo que el programa apoya proyectos de desarrollo institucional con este fin. En relación a servicios públicos domiciliarios, el programa apoya la conformación y fortalecimiento de Consorcios públicos para la gestión integral de residuos sólidos urbanos (GIRSU) conformados por municipios y provincias.</w:t>
            </w:r>
          </w:p>
          <w:p w:rsidR="00FD05D0" w:rsidRPr="00BF2241" w:rsidRDefault="00FD05D0" w:rsidP="003147D4">
            <w:pPr>
              <w:jc w:val="both"/>
              <w:rPr>
                <w:rFonts w:ascii="Arial" w:hAnsi="Arial" w:cs="Arial"/>
                <w:sz w:val="20"/>
                <w:szCs w:val="20"/>
                <w:lang w:val="es-ES_tradnl"/>
              </w:rPr>
            </w:pPr>
          </w:p>
          <w:p w:rsidR="00AB49AB" w:rsidRPr="00BF2241" w:rsidRDefault="00FD05D0" w:rsidP="00FD05D0">
            <w:pPr>
              <w:jc w:val="both"/>
              <w:rPr>
                <w:rFonts w:ascii="Arial" w:hAnsi="Arial" w:cs="Arial"/>
                <w:sz w:val="20"/>
                <w:szCs w:val="20"/>
                <w:lang w:val="es-ES_tradnl"/>
              </w:rPr>
            </w:pPr>
            <w:r w:rsidRPr="00BF2241">
              <w:rPr>
                <w:rFonts w:ascii="Arial" w:hAnsi="Arial" w:cs="Arial"/>
                <w:sz w:val="20"/>
                <w:szCs w:val="20"/>
                <w:lang w:val="es-ES_tradnl"/>
              </w:rPr>
              <w:t xml:space="preserve">Con base en el análisis realizado en los marcos jurídicos, se considera que estos son adecuados. Las empresas cuentan con un contrato de concesión y están sometidas </w:t>
            </w:r>
            <w:r w:rsidR="00AB49AB" w:rsidRPr="00BF2241">
              <w:rPr>
                <w:rFonts w:ascii="Arial" w:hAnsi="Arial" w:cs="Arial"/>
                <w:sz w:val="20"/>
                <w:szCs w:val="20"/>
                <w:lang w:val="es-ES_tradnl"/>
              </w:rPr>
              <w:t xml:space="preserve">al control de un Ente Regulador </w:t>
            </w:r>
            <w:r w:rsidRPr="00BF2241">
              <w:rPr>
                <w:rFonts w:ascii="Arial" w:hAnsi="Arial" w:cs="Arial"/>
                <w:sz w:val="20"/>
                <w:szCs w:val="20"/>
                <w:lang w:val="es-ES_tradnl"/>
              </w:rPr>
              <w:t xml:space="preserve">y/o mecanismos trasparentes y normados de rendición de cuentas, tienen autonomía y </w:t>
            </w:r>
            <w:r w:rsidR="00AB49AB" w:rsidRPr="00BF2241">
              <w:rPr>
                <w:rFonts w:ascii="Arial" w:hAnsi="Arial" w:cs="Arial"/>
                <w:sz w:val="20"/>
                <w:szCs w:val="20"/>
                <w:lang w:val="es-ES_tradnl"/>
              </w:rPr>
              <w:t>deben suministrar información necesaria para la función del regulador, de modo que se puedan ejercer una apropiada rendición de cuentas</w:t>
            </w:r>
            <w:r w:rsidRPr="00BF2241">
              <w:rPr>
                <w:rFonts w:ascii="Arial" w:hAnsi="Arial" w:cs="Arial"/>
                <w:sz w:val="20"/>
                <w:szCs w:val="20"/>
                <w:lang w:val="es-ES_tradnl"/>
              </w:rPr>
              <w:t xml:space="preserve">. </w:t>
            </w:r>
            <w:r w:rsidR="00AB49AB" w:rsidRPr="00BF2241">
              <w:rPr>
                <w:rFonts w:ascii="Arial" w:hAnsi="Arial" w:cs="Arial"/>
                <w:sz w:val="20"/>
                <w:szCs w:val="20"/>
                <w:lang w:val="es-ES_tradnl"/>
              </w:rPr>
              <w:t xml:space="preserve">Ciertas informaciones son además públicas para facilitar el control social. Se exige el uso de procedimientos de licitación pública para obras y </w:t>
            </w:r>
            <w:r w:rsidR="00AB49AB" w:rsidRPr="00BF2241">
              <w:rPr>
                <w:rFonts w:ascii="Arial" w:hAnsi="Arial" w:cs="Arial"/>
                <w:sz w:val="20"/>
                <w:szCs w:val="20"/>
                <w:lang w:val="es-ES_tradnl"/>
              </w:rPr>
              <w:lastRenderedPageBreak/>
              <w:t xml:space="preserve">equipamientos. </w:t>
            </w:r>
          </w:p>
          <w:p w:rsidR="00AB49AB" w:rsidRPr="00BF2241" w:rsidRDefault="00AB49AB" w:rsidP="00FD05D0">
            <w:pPr>
              <w:jc w:val="both"/>
              <w:rPr>
                <w:rFonts w:ascii="Arial" w:hAnsi="Arial" w:cs="Arial"/>
                <w:sz w:val="20"/>
                <w:szCs w:val="20"/>
                <w:lang w:val="es-ES_tradnl"/>
              </w:rPr>
            </w:pPr>
          </w:p>
          <w:p w:rsidR="00FD05D0" w:rsidRPr="0099082F" w:rsidRDefault="00FD05D0" w:rsidP="00FD05D0">
            <w:pPr>
              <w:jc w:val="both"/>
              <w:rPr>
                <w:rFonts w:ascii="Arial" w:hAnsi="Arial" w:cs="Arial"/>
                <w:sz w:val="20"/>
                <w:szCs w:val="20"/>
                <w:lang w:val="es-ES_tradnl"/>
              </w:rPr>
            </w:pPr>
            <w:r w:rsidRPr="00BF2241">
              <w:rPr>
                <w:rFonts w:ascii="Arial" w:hAnsi="Arial" w:cs="Arial"/>
                <w:sz w:val="20"/>
                <w:szCs w:val="20"/>
                <w:lang w:val="es-ES_tradnl"/>
              </w:rPr>
              <w:t>Asimismo, están sujetas al cumplimiento de normas y cuentan con marcos regulatorios para la calidad y prestación de servicios acorde con los modelos de gestión desarrollados.</w:t>
            </w:r>
            <w:r w:rsidR="00AB49AB" w:rsidRPr="0099082F">
              <w:rPr>
                <w:rFonts w:ascii="Arial" w:hAnsi="Arial" w:cs="Arial"/>
                <w:sz w:val="20"/>
                <w:szCs w:val="20"/>
                <w:lang w:val="es-ES_tradnl"/>
              </w:rPr>
              <w:t xml:space="preserve"> </w:t>
            </w: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b/>
                <w:bCs/>
                <w:i/>
                <w:sz w:val="20"/>
                <w:szCs w:val="20"/>
                <w:lang w:val="es-ES_tradnl"/>
              </w:rPr>
            </w:pPr>
            <w:r w:rsidRPr="0099082F">
              <w:rPr>
                <w:rFonts w:ascii="Arial" w:hAnsi="Arial" w:cs="Arial"/>
                <w:b/>
                <w:bCs/>
                <w:i/>
                <w:sz w:val="20"/>
                <w:szCs w:val="20"/>
                <w:lang w:val="es-ES_tradnl"/>
              </w:rPr>
              <w:lastRenderedPageBreak/>
              <w:t>A. Promover la integridad, la transparencia y la rendición de cuentas</w:t>
            </w:r>
          </w:p>
        </w:tc>
        <w:tc>
          <w:tcPr>
            <w:tcW w:w="4879" w:type="dxa"/>
            <w:shd w:val="clear" w:color="auto" w:fill="auto"/>
          </w:tcPr>
          <w:p w:rsidR="000F1306" w:rsidRPr="0099082F" w:rsidRDefault="009B26D0" w:rsidP="009B26D0">
            <w:pPr>
              <w:autoSpaceDE w:val="0"/>
              <w:autoSpaceDN w:val="0"/>
              <w:adjustRightInd w:val="0"/>
              <w:rPr>
                <w:rFonts w:ascii="Arial" w:hAnsi="Arial" w:cs="Arial"/>
                <w:sz w:val="20"/>
                <w:szCs w:val="20"/>
                <w:lang w:val="es-ES_tradnl"/>
              </w:rPr>
            </w:pPr>
            <w:r w:rsidRPr="0099082F">
              <w:rPr>
                <w:rFonts w:ascii="Arial" w:eastAsiaTheme="minorHAnsi" w:hAnsi="Arial" w:cs="Arial"/>
                <w:sz w:val="20"/>
                <w:szCs w:val="20"/>
                <w:lang w:val="es-ES_tradnl"/>
              </w:rPr>
              <w:t>Se impulsarán los arreglos institucionales básicos para que los países de la región adopten medidas que promuevan la integridad y aumenten la transparencia en la provisión de servicios públicos domiciliarios, con el objetivo de mejorar la rendición de cuentas y fortalecer el cumplimiento de los derechos de los usuarios</w:t>
            </w:r>
            <w:r w:rsidR="000F1306" w:rsidRPr="0099082F">
              <w:rPr>
                <w:rFonts w:ascii="Arial" w:hAnsi="Arial" w:cs="Arial"/>
                <w:sz w:val="20"/>
                <w:szCs w:val="20"/>
                <w:lang w:val="es-ES_tradnl"/>
              </w:rPr>
              <w:t>.</w:t>
            </w:r>
          </w:p>
        </w:tc>
        <w:tc>
          <w:tcPr>
            <w:tcW w:w="3227" w:type="dxa"/>
            <w:shd w:val="clear" w:color="auto" w:fill="auto"/>
          </w:tcPr>
          <w:p w:rsidR="000F1306" w:rsidRPr="0099082F" w:rsidRDefault="003147D4" w:rsidP="003147D4">
            <w:pPr>
              <w:jc w:val="both"/>
              <w:rPr>
                <w:rFonts w:ascii="Arial" w:hAnsi="Arial" w:cs="Arial"/>
                <w:sz w:val="20"/>
                <w:szCs w:val="20"/>
                <w:lang w:val="es-ES_tradnl"/>
              </w:rPr>
            </w:pPr>
            <w:r w:rsidRPr="0099082F">
              <w:rPr>
                <w:rFonts w:ascii="Arial" w:hAnsi="Arial" w:cs="Arial"/>
                <w:sz w:val="20"/>
                <w:szCs w:val="20"/>
                <w:lang w:val="es-ES_tradnl"/>
              </w:rPr>
              <w:t>Idem anterior.</w:t>
            </w: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b/>
                <w:bCs/>
                <w:i/>
                <w:sz w:val="20"/>
                <w:szCs w:val="20"/>
                <w:lang w:val="es-ES_tradnl"/>
              </w:rPr>
            </w:pPr>
            <w:r w:rsidRPr="0099082F">
              <w:rPr>
                <w:rFonts w:ascii="Arial" w:hAnsi="Arial" w:cs="Arial"/>
                <w:b/>
                <w:bCs/>
                <w:i/>
                <w:sz w:val="20"/>
                <w:szCs w:val="20"/>
                <w:lang w:val="es-ES_tradnl"/>
              </w:rPr>
              <w:t>B. Analizar las características e impactos de los subsidios</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3227" w:type="dxa"/>
            <w:shd w:val="clear" w:color="auto" w:fill="auto"/>
          </w:tcPr>
          <w:p w:rsidR="000F1306" w:rsidRPr="0099082F" w:rsidRDefault="003147D4" w:rsidP="000F1306">
            <w:pPr>
              <w:jc w:val="both"/>
              <w:rPr>
                <w:rFonts w:ascii="Arial" w:hAnsi="Arial" w:cs="Arial"/>
                <w:sz w:val="20"/>
                <w:szCs w:val="20"/>
                <w:lang w:val="es-ES_tradnl"/>
              </w:rPr>
            </w:pPr>
            <w:r w:rsidRPr="0099082F">
              <w:rPr>
                <w:rFonts w:ascii="Arial" w:hAnsi="Arial" w:cs="Arial"/>
                <w:sz w:val="20"/>
                <w:szCs w:val="20"/>
                <w:lang w:val="es-ES_tradnl"/>
              </w:rPr>
              <w:t>Idem anterior.</w:t>
            </w:r>
          </w:p>
          <w:p w:rsidR="000F1306" w:rsidRPr="0099082F" w:rsidRDefault="000F1306" w:rsidP="00600AC8">
            <w:pPr>
              <w:jc w:val="both"/>
              <w:rPr>
                <w:rFonts w:ascii="Arial" w:hAnsi="Arial" w:cs="Arial"/>
                <w:sz w:val="20"/>
                <w:szCs w:val="20"/>
                <w:lang w:val="es-ES_tradnl"/>
              </w:rPr>
            </w:pP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i/>
                <w:sz w:val="20"/>
                <w:szCs w:val="20"/>
                <w:lang w:val="es-ES_tradnl"/>
              </w:rPr>
            </w:pPr>
            <w:r w:rsidRPr="0099082F">
              <w:rPr>
                <w:rFonts w:ascii="Arial" w:hAnsi="Arial" w:cs="Arial"/>
                <w:b/>
                <w:bCs/>
                <w:i/>
                <w:sz w:val="20"/>
                <w:szCs w:val="20"/>
                <w:lang w:val="es-ES_tradnl"/>
              </w:rPr>
              <w:t>C. Separación de Funciones para mejorar la gobernanza sectorial</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 xml:space="preserve">Deben separarse las funciones de </w:t>
            </w:r>
            <w:r w:rsidRPr="0099082F">
              <w:rPr>
                <w:rFonts w:ascii="Arial" w:hAnsi="Arial" w:cs="Arial"/>
                <w:b/>
                <w:bCs/>
                <w:sz w:val="20"/>
                <w:szCs w:val="20"/>
                <w:lang w:val="es-ES_tradnl"/>
              </w:rPr>
              <w:t>formulador de políticas, regulador</w:t>
            </w:r>
            <w:r w:rsidRPr="0099082F">
              <w:rPr>
                <w:rFonts w:ascii="Arial" w:hAnsi="Arial" w:cs="Arial"/>
                <w:sz w:val="20"/>
                <w:szCs w:val="20"/>
                <w:lang w:val="es-ES_tradnl"/>
              </w:rPr>
              <w:t xml:space="preserve"> y </w:t>
            </w:r>
            <w:r w:rsidRPr="0099082F">
              <w:rPr>
                <w:rFonts w:ascii="Arial" w:hAnsi="Arial" w:cs="Arial"/>
                <w:b/>
                <w:bCs/>
                <w:sz w:val="20"/>
                <w:szCs w:val="20"/>
                <w:lang w:val="es-ES_tradnl"/>
              </w:rPr>
              <w:t>empresario</w:t>
            </w:r>
            <w:r w:rsidRPr="0099082F">
              <w:rPr>
                <w:rFonts w:ascii="Arial" w:hAnsi="Arial" w:cs="Arial"/>
                <w:sz w:val="20"/>
                <w:szCs w:val="20"/>
                <w:lang w:val="es-ES_tradnl"/>
              </w:rPr>
              <w:t xml:space="preserve"> y asignarse a instituciones distintas y apropiadas. De esta manera, las autoridades conservarán la responsabilidad de </w:t>
            </w:r>
            <w:r w:rsidRPr="0099082F">
              <w:rPr>
                <w:rFonts w:ascii="Arial" w:hAnsi="Arial" w:cs="Arial"/>
                <w:b/>
                <w:bCs/>
                <w:sz w:val="20"/>
                <w:szCs w:val="20"/>
                <w:lang w:val="es-ES_tradnl"/>
              </w:rPr>
              <w:t>formular la política</w:t>
            </w:r>
            <w:r w:rsidRPr="0099082F">
              <w:rPr>
                <w:rFonts w:ascii="Arial" w:hAnsi="Arial" w:cs="Arial"/>
                <w:sz w:val="20"/>
                <w:szCs w:val="20"/>
                <w:lang w:val="es-ES_tradnl"/>
              </w:rPr>
              <w:t xml:space="preserve">, un ente público separado dictará el </w:t>
            </w:r>
            <w:r w:rsidRPr="0099082F">
              <w:rPr>
                <w:rFonts w:ascii="Arial" w:hAnsi="Arial" w:cs="Arial"/>
                <w:b/>
                <w:bCs/>
                <w:sz w:val="20"/>
                <w:szCs w:val="20"/>
                <w:lang w:val="es-ES_tradnl"/>
              </w:rPr>
              <w:t>régimen reglamentario</w:t>
            </w:r>
            <w:r w:rsidRPr="0099082F">
              <w:rPr>
                <w:rFonts w:ascii="Arial" w:hAnsi="Arial" w:cs="Arial"/>
                <w:sz w:val="20"/>
                <w:szCs w:val="20"/>
                <w:lang w:val="es-ES_tradnl"/>
              </w:rPr>
              <w:t xml:space="preserve"> y se asignará al proveedor del servicio una función exclusivamente </w:t>
            </w:r>
            <w:r w:rsidRPr="0099082F">
              <w:rPr>
                <w:rFonts w:ascii="Arial" w:hAnsi="Arial" w:cs="Arial"/>
                <w:b/>
                <w:bCs/>
                <w:sz w:val="20"/>
                <w:szCs w:val="20"/>
                <w:lang w:val="es-ES_tradnl"/>
              </w:rPr>
              <w:t>empresarial</w:t>
            </w:r>
            <w:r w:rsidRPr="0099082F">
              <w:rPr>
                <w:rFonts w:ascii="Arial" w:hAnsi="Arial" w:cs="Arial"/>
                <w:sz w:val="20"/>
                <w:szCs w:val="20"/>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99082F">
              <w:rPr>
                <w:rFonts w:ascii="Arial" w:hAnsi="Arial" w:cs="Arial"/>
                <w:sz w:val="20"/>
                <w:szCs w:val="20"/>
                <w:lang w:val="es-ES"/>
              </w:rPr>
              <w:t xml:space="preserve"> </w:t>
            </w:r>
            <w:r w:rsidRPr="0099082F">
              <w:rPr>
                <w:rFonts w:ascii="Arial" w:hAnsi="Arial" w:cs="Arial"/>
                <w:sz w:val="20"/>
                <w:szCs w:val="20"/>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w:t>
            </w:r>
            <w:r w:rsidRPr="0099082F">
              <w:rPr>
                <w:rFonts w:ascii="Arial" w:hAnsi="Arial" w:cs="Arial"/>
                <w:sz w:val="20"/>
                <w:szCs w:val="20"/>
                <w:lang w:val="es-ES_tradnl"/>
              </w:rPr>
              <w:lastRenderedPageBreak/>
              <w:t xml:space="preserve">mecanismos de supervisión y control. Además, contribuirá a desarrollar mecanismos institucionales que fortalezcan la debida gestión en el marco de la legislación local. </w:t>
            </w:r>
          </w:p>
        </w:tc>
        <w:tc>
          <w:tcPr>
            <w:tcW w:w="3227" w:type="dxa"/>
            <w:shd w:val="clear" w:color="auto" w:fill="auto"/>
          </w:tcPr>
          <w:p w:rsidR="008F75CC" w:rsidRPr="0099082F" w:rsidRDefault="008F75CC" w:rsidP="008F75CC">
            <w:pPr>
              <w:jc w:val="both"/>
              <w:rPr>
                <w:rFonts w:ascii="Arial" w:hAnsi="Arial" w:cs="Arial"/>
                <w:sz w:val="20"/>
                <w:szCs w:val="20"/>
                <w:lang w:val="es-ES_tradnl"/>
              </w:rPr>
            </w:pPr>
            <w:r w:rsidRPr="0099082F">
              <w:rPr>
                <w:rFonts w:ascii="Arial" w:hAnsi="Arial" w:cs="Arial"/>
                <w:sz w:val="20"/>
                <w:szCs w:val="20"/>
                <w:lang w:val="es-ES_tradnl"/>
              </w:rPr>
              <w:lastRenderedPageBreak/>
              <w:t>N/A</w:t>
            </w:r>
          </w:p>
          <w:p w:rsidR="000F1306" w:rsidRPr="0099082F" w:rsidRDefault="000F1306" w:rsidP="003147D4">
            <w:pPr>
              <w:jc w:val="both"/>
              <w:rPr>
                <w:rFonts w:ascii="Arial" w:hAnsi="Arial" w:cs="Arial"/>
                <w:sz w:val="20"/>
                <w:szCs w:val="20"/>
                <w:lang w:val="es-ES_tradnl"/>
              </w:rPr>
            </w:pP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i/>
                <w:sz w:val="20"/>
                <w:szCs w:val="20"/>
                <w:lang w:val="es-ES_tradnl"/>
              </w:rPr>
            </w:pPr>
            <w:r w:rsidRPr="0099082F">
              <w:rPr>
                <w:rFonts w:ascii="Arial" w:hAnsi="Arial" w:cs="Arial"/>
                <w:b/>
                <w:bCs/>
                <w:i/>
                <w:sz w:val="20"/>
                <w:szCs w:val="20"/>
                <w:lang w:val="es-ES_tradnl"/>
              </w:rPr>
              <w:lastRenderedPageBreak/>
              <w:t>D. Establecer la estructura sectorial más apropiada en el contexto de las características del servicio y los objetivos de la política</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227" w:type="dxa"/>
            <w:shd w:val="clear" w:color="auto" w:fill="auto"/>
          </w:tcPr>
          <w:p w:rsidR="003147D4" w:rsidRPr="0099082F" w:rsidRDefault="003147D4" w:rsidP="003147D4">
            <w:pPr>
              <w:jc w:val="both"/>
              <w:rPr>
                <w:rFonts w:ascii="Arial" w:hAnsi="Arial" w:cs="Arial"/>
                <w:sz w:val="20"/>
                <w:szCs w:val="20"/>
                <w:lang w:val="es-ES_tradnl"/>
              </w:rPr>
            </w:pPr>
            <w:r w:rsidRPr="0099082F">
              <w:rPr>
                <w:rFonts w:ascii="Arial" w:hAnsi="Arial" w:cs="Arial"/>
                <w:sz w:val="20"/>
                <w:szCs w:val="20"/>
                <w:lang w:val="es-ES_tradnl"/>
              </w:rPr>
              <w:t>Idem anterior.</w:t>
            </w:r>
          </w:p>
          <w:p w:rsidR="007A2A90" w:rsidRPr="0099082F" w:rsidRDefault="007A2A90" w:rsidP="00030DCC">
            <w:pPr>
              <w:jc w:val="both"/>
              <w:rPr>
                <w:rFonts w:ascii="Arial" w:hAnsi="Arial" w:cs="Arial"/>
                <w:sz w:val="20"/>
                <w:szCs w:val="20"/>
                <w:highlight w:val="yellow"/>
                <w:lang w:val="es-ES_tradnl"/>
              </w:rPr>
            </w:pP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i/>
                <w:sz w:val="20"/>
                <w:szCs w:val="20"/>
                <w:lang w:val="es-ES_tradnl"/>
              </w:rPr>
            </w:pPr>
            <w:r w:rsidRPr="0099082F">
              <w:rPr>
                <w:rFonts w:ascii="Arial" w:hAnsi="Arial" w:cs="Arial"/>
                <w:b/>
                <w:bCs/>
                <w:i/>
                <w:sz w:val="20"/>
                <w:szCs w:val="20"/>
                <w:lang w:val="es-ES_tradnl"/>
              </w:rPr>
              <w:t>E.</w:t>
            </w:r>
            <w:r w:rsidRPr="0099082F">
              <w:rPr>
                <w:rFonts w:ascii="Arial" w:hAnsi="Arial" w:cs="Arial"/>
                <w:i/>
                <w:sz w:val="20"/>
                <w:szCs w:val="20"/>
                <w:lang w:val="es-ES"/>
              </w:rPr>
              <w:t xml:space="preserve"> </w:t>
            </w:r>
            <w:r w:rsidRPr="0099082F">
              <w:rPr>
                <w:rFonts w:ascii="Arial" w:hAnsi="Arial" w:cs="Arial"/>
                <w:b/>
                <w:bCs/>
                <w:i/>
                <w:sz w:val="20"/>
                <w:szCs w:val="20"/>
                <w:lang w:val="es-ES_tradnl"/>
              </w:rPr>
              <w:t>El rol de la regulación económica para incentivar la eficiencia, la inversión y proteger los derechos de los usuarios</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bCs/>
                <w:sz w:val="20"/>
                <w:szCs w:val="20"/>
                <w:lang w:val="es-ES_tradnl"/>
              </w:rPr>
              <w:t>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227" w:type="dxa"/>
            <w:shd w:val="clear" w:color="auto" w:fill="auto"/>
          </w:tcPr>
          <w:p w:rsidR="003147D4" w:rsidRPr="0099082F" w:rsidRDefault="003147D4" w:rsidP="003147D4">
            <w:pPr>
              <w:jc w:val="both"/>
              <w:rPr>
                <w:rFonts w:ascii="Arial" w:hAnsi="Arial" w:cs="Arial"/>
                <w:sz w:val="20"/>
                <w:szCs w:val="20"/>
                <w:lang w:val="es-ES_tradnl"/>
              </w:rPr>
            </w:pPr>
            <w:r w:rsidRPr="0099082F">
              <w:rPr>
                <w:rFonts w:ascii="Arial" w:hAnsi="Arial" w:cs="Arial"/>
                <w:sz w:val="20"/>
                <w:szCs w:val="20"/>
                <w:lang w:val="es-ES_tradnl"/>
              </w:rPr>
              <w:t>Idem anterior.</w:t>
            </w:r>
          </w:p>
          <w:p w:rsidR="000F1306" w:rsidRPr="0099082F" w:rsidRDefault="000F1306" w:rsidP="00030DCC">
            <w:pPr>
              <w:jc w:val="both"/>
              <w:rPr>
                <w:rFonts w:ascii="Arial" w:hAnsi="Arial" w:cs="Arial"/>
                <w:sz w:val="20"/>
                <w:szCs w:val="20"/>
                <w:highlight w:val="yellow"/>
                <w:lang w:val="es-ES_tradnl"/>
              </w:rPr>
            </w:pP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b/>
                <w:i/>
                <w:sz w:val="20"/>
                <w:szCs w:val="20"/>
                <w:lang w:val="es-ES_tradnl"/>
              </w:rPr>
            </w:pPr>
            <w:r w:rsidRPr="0099082F">
              <w:rPr>
                <w:rFonts w:ascii="Arial" w:hAnsi="Arial" w:cs="Arial"/>
                <w:b/>
                <w:i/>
                <w:sz w:val="20"/>
                <w:szCs w:val="20"/>
                <w:lang w:val="es-ES_tradnl"/>
              </w:rPr>
              <w:t xml:space="preserve">F. Generar condiciones adecuadas para que la participación privada sea una opción viable para la provisión de servicios públicos </w:t>
            </w:r>
            <w:r w:rsidRPr="0099082F">
              <w:rPr>
                <w:rFonts w:ascii="Arial" w:hAnsi="Arial" w:cs="Arial"/>
                <w:b/>
                <w:bCs/>
                <w:i/>
                <w:sz w:val="20"/>
                <w:szCs w:val="20"/>
                <w:lang w:val="es-ES_tradnl"/>
              </w:rPr>
              <w:t>domiciliarios</w:t>
            </w:r>
          </w:p>
        </w:tc>
        <w:tc>
          <w:tcPr>
            <w:tcW w:w="4879" w:type="dxa"/>
            <w:shd w:val="clear" w:color="auto" w:fill="auto"/>
          </w:tcPr>
          <w:p w:rsidR="000F1306" w:rsidRPr="0099082F" w:rsidRDefault="000F1306" w:rsidP="000F1306">
            <w:pPr>
              <w:rPr>
                <w:rFonts w:ascii="Arial" w:hAnsi="Arial" w:cs="Arial"/>
                <w:sz w:val="20"/>
                <w:szCs w:val="20"/>
                <w:lang w:val="es-ES_tradnl"/>
              </w:rPr>
            </w:pPr>
            <w:r w:rsidRPr="0099082F">
              <w:rPr>
                <w:rFonts w:ascii="Arial" w:hAnsi="Arial" w:cs="Arial"/>
                <w:sz w:val="20"/>
                <w:szCs w:val="20"/>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227" w:type="dxa"/>
            <w:shd w:val="clear" w:color="auto" w:fill="auto"/>
          </w:tcPr>
          <w:p w:rsidR="003147D4" w:rsidRPr="0099082F" w:rsidRDefault="00AB49AB" w:rsidP="003147D4">
            <w:pPr>
              <w:jc w:val="both"/>
              <w:rPr>
                <w:rFonts w:ascii="Arial" w:hAnsi="Arial" w:cs="Arial"/>
                <w:sz w:val="20"/>
                <w:szCs w:val="20"/>
                <w:lang w:val="es-ES_tradnl"/>
              </w:rPr>
            </w:pPr>
            <w:r w:rsidRPr="0099082F">
              <w:rPr>
                <w:rFonts w:ascii="Arial" w:hAnsi="Arial" w:cs="Arial"/>
                <w:sz w:val="20"/>
                <w:szCs w:val="20"/>
                <w:lang w:val="es-ES_tradnl"/>
              </w:rPr>
              <w:t>N/A</w:t>
            </w:r>
          </w:p>
          <w:p w:rsidR="000F1306" w:rsidRPr="0099082F" w:rsidRDefault="000F1306" w:rsidP="000F1306">
            <w:pPr>
              <w:jc w:val="both"/>
              <w:rPr>
                <w:rFonts w:ascii="Arial" w:hAnsi="Arial" w:cs="Arial"/>
                <w:sz w:val="20"/>
                <w:szCs w:val="20"/>
                <w:highlight w:val="yellow"/>
                <w:lang w:val="es-ES_tradnl"/>
              </w:rPr>
            </w:pPr>
          </w:p>
        </w:tc>
      </w:tr>
      <w:tr w:rsidR="000F1306" w:rsidRPr="0099082F" w:rsidTr="00C01741">
        <w:trPr>
          <w:jc w:val="center"/>
        </w:trPr>
        <w:tc>
          <w:tcPr>
            <w:tcW w:w="2129" w:type="dxa"/>
            <w:shd w:val="clear" w:color="auto" w:fill="auto"/>
          </w:tcPr>
          <w:p w:rsidR="000F1306" w:rsidRPr="0099082F" w:rsidRDefault="000F1306" w:rsidP="000F1306">
            <w:pPr>
              <w:ind w:left="330" w:hanging="150"/>
              <w:rPr>
                <w:rFonts w:ascii="Arial" w:hAnsi="Arial" w:cs="Arial"/>
                <w:b/>
                <w:i/>
                <w:sz w:val="20"/>
                <w:szCs w:val="20"/>
                <w:lang w:val="es-ES"/>
              </w:rPr>
            </w:pPr>
            <w:r w:rsidRPr="0099082F">
              <w:rPr>
                <w:rFonts w:ascii="Arial" w:hAnsi="Arial" w:cs="Arial"/>
                <w:b/>
                <w:i/>
                <w:sz w:val="20"/>
                <w:szCs w:val="20"/>
                <w:lang w:val="es-ES"/>
              </w:rPr>
              <w:lastRenderedPageBreak/>
              <w:t xml:space="preserve">G. </w:t>
            </w:r>
            <w:r w:rsidRPr="0099082F">
              <w:rPr>
                <w:rFonts w:ascii="Arial" w:hAnsi="Arial" w:cs="Arial"/>
                <w:b/>
                <w:bCs/>
                <w:i/>
                <w:sz w:val="20"/>
                <w:szCs w:val="20"/>
                <w:lang w:val="es-ES_tradnl"/>
              </w:rPr>
              <w:t>Fortalecer</w:t>
            </w:r>
            <w:r w:rsidRPr="0099082F">
              <w:rPr>
                <w:rFonts w:ascii="Arial" w:hAnsi="Arial" w:cs="Arial"/>
                <w:b/>
                <w:i/>
                <w:sz w:val="20"/>
                <w:szCs w:val="20"/>
                <w:lang w:val="es-ES"/>
              </w:rPr>
              <w:t xml:space="preserve"> la gestión de la infraestructura utilizada para la prestación de los servicios públicos domiciliarios.</w:t>
            </w:r>
          </w:p>
        </w:tc>
        <w:tc>
          <w:tcPr>
            <w:tcW w:w="4879" w:type="dxa"/>
            <w:shd w:val="clear" w:color="auto" w:fill="auto"/>
          </w:tcPr>
          <w:p w:rsidR="000F1306" w:rsidRPr="0099082F" w:rsidRDefault="000F1306" w:rsidP="000F1306">
            <w:pPr>
              <w:rPr>
                <w:rFonts w:ascii="Arial" w:hAnsi="Arial" w:cs="Arial"/>
                <w:sz w:val="20"/>
                <w:szCs w:val="20"/>
                <w:lang w:val="es-ES"/>
              </w:rPr>
            </w:pPr>
            <w:r w:rsidRPr="0099082F">
              <w:rPr>
                <w:rFonts w:ascii="Arial" w:hAnsi="Arial" w:cs="Arial"/>
                <w:sz w:val="20"/>
                <w:szCs w:val="20"/>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227" w:type="dxa"/>
            <w:shd w:val="clear" w:color="auto" w:fill="auto"/>
          </w:tcPr>
          <w:p w:rsidR="00D95A9F" w:rsidRPr="0099082F" w:rsidRDefault="00BF2241" w:rsidP="008F75CC">
            <w:pPr>
              <w:jc w:val="both"/>
              <w:rPr>
                <w:rFonts w:ascii="Arial" w:hAnsi="Arial" w:cs="Arial"/>
                <w:sz w:val="20"/>
                <w:szCs w:val="20"/>
                <w:lang w:val="es-ES"/>
              </w:rPr>
            </w:pPr>
            <w:r>
              <w:rPr>
                <w:rFonts w:ascii="Arial" w:hAnsi="Arial" w:cs="Arial"/>
                <w:sz w:val="20"/>
                <w:szCs w:val="20"/>
                <w:lang w:val="es-ES"/>
              </w:rPr>
              <w:t xml:space="preserve">El </w:t>
            </w:r>
            <w:r w:rsidR="008F75CC">
              <w:rPr>
                <w:rFonts w:ascii="Arial" w:hAnsi="Arial" w:cs="Arial"/>
                <w:sz w:val="20"/>
                <w:szCs w:val="20"/>
                <w:lang w:val="es-ES"/>
              </w:rPr>
              <w:t>programa</w:t>
            </w:r>
            <w:r>
              <w:rPr>
                <w:rFonts w:ascii="Arial" w:hAnsi="Arial" w:cs="Arial"/>
                <w:sz w:val="20"/>
                <w:szCs w:val="20"/>
                <w:lang w:val="es-ES"/>
              </w:rPr>
              <w:t xml:space="preserve"> DAMI</w:t>
            </w:r>
            <w:r w:rsidR="008F75CC" w:rsidRPr="008F75CC">
              <w:rPr>
                <w:rFonts w:ascii="Arial" w:hAnsi="Arial" w:cs="Arial"/>
                <w:sz w:val="20"/>
                <w:szCs w:val="20"/>
                <w:lang w:val="es-AR"/>
              </w:rPr>
              <w:t>-II</w:t>
            </w:r>
            <w:r>
              <w:rPr>
                <w:rFonts w:ascii="Arial" w:hAnsi="Arial" w:cs="Arial"/>
                <w:sz w:val="20"/>
                <w:szCs w:val="20"/>
                <w:lang w:val="es-ES"/>
              </w:rPr>
              <w:t xml:space="preserve"> a </w:t>
            </w:r>
            <w:r w:rsidR="008F75CC">
              <w:rPr>
                <w:rFonts w:ascii="Arial" w:hAnsi="Arial" w:cs="Arial"/>
                <w:sz w:val="20"/>
                <w:szCs w:val="20"/>
                <w:lang w:val="es-ES"/>
              </w:rPr>
              <w:t>través</w:t>
            </w:r>
            <w:r>
              <w:rPr>
                <w:rFonts w:ascii="Arial" w:hAnsi="Arial" w:cs="Arial"/>
                <w:sz w:val="20"/>
                <w:szCs w:val="20"/>
                <w:lang w:val="es-ES"/>
              </w:rPr>
              <w:t xml:space="preserve"> del </w:t>
            </w:r>
            <w:r w:rsidR="00D95A9F" w:rsidRPr="0099082F">
              <w:rPr>
                <w:rFonts w:ascii="Arial" w:hAnsi="Arial" w:cs="Arial"/>
                <w:sz w:val="20"/>
                <w:szCs w:val="20"/>
                <w:lang w:val="es-ES"/>
              </w:rPr>
              <w:t xml:space="preserve">componente de “Apoyo a la gobernabilidad de las </w:t>
            </w:r>
            <w:r w:rsidRPr="0099082F">
              <w:rPr>
                <w:rFonts w:ascii="Arial" w:hAnsi="Arial" w:cs="Arial"/>
                <w:sz w:val="20"/>
                <w:szCs w:val="20"/>
                <w:lang w:val="es-ES"/>
              </w:rPr>
              <w:t>Áreas</w:t>
            </w:r>
            <w:r w:rsidR="00D95A9F" w:rsidRPr="0099082F">
              <w:rPr>
                <w:rFonts w:ascii="Arial" w:hAnsi="Arial" w:cs="Arial"/>
                <w:sz w:val="20"/>
                <w:szCs w:val="20"/>
                <w:lang w:val="es-ES"/>
              </w:rPr>
              <w:t xml:space="preserve"> Metropolitanas” busca </w:t>
            </w:r>
            <w:r w:rsidR="008F75CC">
              <w:rPr>
                <w:rFonts w:ascii="Arial" w:hAnsi="Arial" w:cs="Arial"/>
                <w:sz w:val="20"/>
                <w:szCs w:val="20"/>
                <w:lang w:val="es-ES"/>
              </w:rPr>
              <w:t>i</w:t>
            </w:r>
            <w:r w:rsidR="00D95A9F" w:rsidRPr="0099082F">
              <w:rPr>
                <w:rFonts w:ascii="Arial" w:hAnsi="Arial" w:cs="Arial"/>
                <w:sz w:val="20"/>
                <w:szCs w:val="20"/>
                <w:lang w:val="es-ES"/>
              </w:rPr>
              <w:t xml:space="preserve">ncorporar a la agenda pública la problemática de la gestión metropolitana, apoyando la creación de espacios para la identificación de problemas metropolitanos, el intercambio de conocimiento respecto a las políticas metropolitanas y el desarrollo de la capacidad técnica para la inversión urbana coordinada </w:t>
            </w:r>
          </w:p>
          <w:p w:rsidR="000F1306" w:rsidRPr="0099082F" w:rsidRDefault="00AB49AB" w:rsidP="008F75CC">
            <w:pPr>
              <w:jc w:val="both"/>
              <w:rPr>
                <w:rFonts w:ascii="Arial" w:hAnsi="Arial" w:cs="Arial"/>
                <w:sz w:val="20"/>
                <w:szCs w:val="20"/>
                <w:lang w:val="es-ES_tradnl"/>
              </w:rPr>
            </w:pPr>
            <w:r w:rsidRPr="0099082F">
              <w:rPr>
                <w:rFonts w:ascii="Arial" w:hAnsi="Arial" w:cs="Arial"/>
                <w:sz w:val="20"/>
                <w:szCs w:val="20"/>
                <w:lang w:val="es-ES_tradnl"/>
              </w:rPr>
              <w:t>Asimismo se podrán financiar acciones para el fortalecimiento del ente ejecutor y cuando se considere necesario el fortalecimiento de las funciones de regulación y de planificación provincial o municipal.</w:t>
            </w:r>
          </w:p>
        </w:tc>
      </w:tr>
      <w:tr w:rsidR="000F1306" w:rsidRPr="0099082F" w:rsidTr="00C01741">
        <w:trPr>
          <w:jc w:val="center"/>
        </w:trPr>
        <w:tc>
          <w:tcPr>
            <w:tcW w:w="2129" w:type="dxa"/>
            <w:shd w:val="clear" w:color="auto" w:fill="auto"/>
          </w:tcPr>
          <w:p w:rsidR="000F1306" w:rsidRPr="0099082F" w:rsidRDefault="00933A23" w:rsidP="000F1306">
            <w:pPr>
              <w:rPr>
                <w:rFonts w:ascii="Arial" w:hAnsi="Arial" w:cs="Arial"/>
                <w:sz w:val="20"/>
                <w:szCs w:val="20"/>
                <w:lang w:val="es-ES"/>
              </w:rPr>
            </w:pPr>
            <w:r w:rsidRPr="0099082F">
              <w:rPr>
                <w:rFonts w:ascii="Arial" w:hAnsi="Arial" w:cs="Arial"/>
                <w:b/>
                <w:sz w:val="20"/>
                <w:szCs w:val="20"/>
                <w:lang w:val="es-ES"/>
              </w:rPr>
              <w:t>3.</w:t>
            </w:r>
            <w:r w:rsidR="000F1306" w:rsidRPr="0099082F">
              <w:rPr>
                <w:rFonts w:ascii="Arial" w:hAnsi="Arial" w:cs="Arial"/>
                <w:b/>
                <w:sz w:val="20"/>
                <w:szCs w:val="20"/>
                <w:lang w:val="es-ES"/>
              </w:rPr>
              <w:t>3. Promover la innovación para fomentar la eficiencia, el acceso y la sostenibilidad ambiental</w:t>
            </w:r>
          </w:p>
        </w:tc>
        <w:tc>
          <w:tcPr>
            <w:tcW w:w="4879" w:type="dxa"/>
            <w:shd w:val="clear" w:color="auto" w:fill="auto"/>
          </w:tcPr>
          <w:p w:rsidR="000F1306" w:rsidRPr="0099082F" w:rsidRDefault="000F1306" w:rsidP="000F1306">
            <w:pPr>
              <w:rPr>
                <w:rFonts w:ascii="Arial" w:hAnsi="Arial" w:cs="Arial"/>
                <w:sz w:val="20"/>
                <w:szCs w:val="20"/>
                <w:lang w:val="es-ES"/>
              </w:rPr>
            </w:pPr>
            <w:r w:rsidRPr="0099082F">
              <w:rPr>
                <w:rFonts w:ascii="Arial" w:hAnsi="Arial" w:cs="Arial"/>
                <w:sz w:val="20"/>
                <w:szCs w:val="20"/>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227" w:type="dxa"/>
            <w:shd w:val="clear" w:color="auto" w:fill="auto"/>
          </w:tcPr>
          <w:p w:rsidR="000F1306" w:rsidRPr="0099082F" w:rsidRDefault="003147D4" w:rsidP="003147D4">
            <w:pPr>
              <w:rPr>
                <w:rFonts w:ascii="Arial" w:hAnsi="Arial" w:cs="Arial"/>
                <w:sz w:val="20"/>
                <w:szCs w:val="20"/>
                <w:lang w:val="es-ES"/>
              </w:rPr>
            </w:pPr>
            <w:r w:rsidRPr="0099082F">
              <w:rPr>
                <w:rFonts w:ascii="Arial" w:hAnsi="Arial" w:cs="Arial"/>
                <w:sz w:val="20"/>
                <w:szCs w:val="20"/>
                <w:lang w:val="es-ES"/>
              </w:rPr>
              <w:t xml:space="preserve">Ver 2.5 </w:t>
            </w:r>
          </w:p>
        </w:tc>
      </w:tr>
    </w:tbl>
    <w:p w:rsidR="000F1306" w:rsidRPr="0099082F" w:rsidRDefault="000F1306" w:rsidP="000F1306">
      <w:pPr>
        <w:rPr>
          <w:rFonts w:ascii="Arial" w:hAnsi="Arial" w:cs="Arial"/>
          <w:sz w:val="20"/>
          <w:szCs w:val="20"/>
          <w:lang w:val="es-ES"/>
        </w:rPr>
      </w:pPr>
    </w:p>
    <w:p w:rsidR="003B02C4" w:rsidRPr="0099082F" w:rsidRDefault="003B02C4" w:rsidP="000F1306">
      <w:pPr>
        <w:rPr>
          <w:rFonts w:ascii="Arial" w:hAnsi="Arial" w:cs="Arial"/>
          <w:sz w:val="20"/>
          <w:szCs w:val="20"/>
          <w:lang w:val="es-ES"/>
        </w:rPr>
      </w:pPr>
    </w:p>
    <w:sectPr w:rsidR="003B02C4" w:rsidRPr="0099082F" w:rsidSect="00C2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83" w:rsidRDefault="002E3483">
      <w:r>
        <w:separator/>
      </w:r>
    </w:p>
  </w:endnote>
  <w:endnote w:type="continuationSeparator" w:id="0">
    <w:p w:rsidR="002E3483" w:rsidRDefault="002E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9E" w:rsidRDefault="007F4C90">
    <w:pPr>
      <w:pStyle w:val="Footer"/>
      <w:jc w:val="right"/>
    </w:pPr>
    <w:r>
      <w:fldChar w:fldCharType="begin"/>
    </w:r>
    <w:r>
      <w:instrText xml:space="preserve"> PAGE   \* MERGEFORMAT </w:instrText>
    </w:r>
    <w:r>
      <w:fldChar w:fldCharType="separate"/>
    </w:r>
    <w:r w:rsidR="00C01741">
      <w:rPr>
        <w:noProof/>
      </w:rPr>
      <w:t>9</w:t>
    </w:r>
    <w:r>
      <w:rPr>
        <w:noProof/>
      </w:rPr>
      <w:fldChar w:fldCharType="end"/>
    </w:r>
  </w:p>
  <w:p w:rsidR="006D2A9E" w:rsidRPr="00862C11" w:rsidRDefault="00C01741" w:rsidP="0086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83" w:rsidRDefault="002E3483">
      <w:r>
        <w:separator/>
      </w:r>
    </w:p>
  </w:footnote>
  <w:footnote w:type="continuationSeparator" w:id="0">
    <w:p w:rsidR="002E3483" w:rsidRDefault="002E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30DCC"/>
    <w:rsid w:val="00053DF6"/>
    <w:rsid w:val="00054CEA"/>
    <w:rsid w:val="0008572D"/>
    <w:rsid w:val="000942AB"/>
    <w:rsid w:val="000A500C"/>
    <w:rsid w:val="000B3F4E"/>
    <w:rsid w:val="000C1545"/>
    <w:rsid w:val="000F1306"/>
    <w:rsid w:val="000F7095"/>
    <w:rsid w:val="00135629"/>
    <w:rsid w:val="00153BCF"/>
    <w:rsid w:val="00162860"/>
    <w:rsid w:val="00194EDA"/>
    <w:rsid w:val="001B7D52"/>
    <w:rsid w:val="001E0E4A"/>
    <w:rsid w:val="00232D0D"/>
    <w:rsid w:val="00247EBE"/>
    <w:rsid w:val="002E3483"/>
    <w:rsid w:val="002E53CF"/>
    <w:rsid w:val="003038A6"/>
    <w:rsid w:val="003147D4"/>
    <w:rsid w:val="003379E6"/>
    <w:rsid w:val="003425A4"/>
    <w:rsid w:val="003569B4"/>
    <w:rsid w:val="00384DE1"/>
    <w:rsid w:val="003B02C4"/>
    <w:rsid w:val="003B64F3"/>
    <w:rsid w:val="003C227A"/>
    <w:rsid w:val="003D5F9E"/>
    <w:rsid w:val="00422879"/>
    <w:rsid w:val="0042689E"/>
    <w:rsid w:val="00492F1B"/>
    <w:rsid w:val="004C6770"/>
    <w:rsid w:val="004D1DA8"/>
    <w:rsid w:val="004D2395"/>
    <w:rsid w:val="004F5CD3"/>
    <w:rsid w:val="005245BE"/>
    <w:rsid w:val="00530694"/>
    <w:rsid w:val="005372C2"/>
    <w:rsid w:val="00553263"/>
    <w:rsid w:val="005734F8"/>
    <w:rsid w:val="005C76BF"/>
    <w:rsid w:val="005E54BE"/>
    <w:rsid w:val="00600AC8"/>
    <w:rsid w:val="00614E30"/>
    <w:rsid w:val="00621293"/>
    <w:rsid w:val="00631DB9"/>
    <w:rsid w:val="00660364"/>
    <w:rsid w:val="006B46FE"/>
    <w:rsid w:val="006E382A"/>
    <w:rsid w:val="0072537E"/>
    <w:rsid w:val="0075526B"/>
    <w:rsid w:val="00782859"/>
    <w:rsid w:val="007A2A90"/>
    <w:rsid w:val="007A3580"/>
    <w:rsid w:val="007A55BE"/>
    <w:rsid w:val="007B7927"/>
    <w:rsid w:val="007E3287"/>
    <w:rsid w:val="007F4C90"/>
    <w:rsid w:val="00870DB0"/>
    <w:rsid w:val="008A306E"/>
    <w:rsid w:val="008B595C"/>
    <w:rsid w:val="008B6E1E"/>
    <w:rsid w:val="008D5208"/>
    <w:rsid w:val="008F75CC"/>
    <w:rsid w:val="00911F4F"/>
    <w:rsid w:val="00933A23"/>
    <w:rsid w:val="009443BC"/>
    <w:rsid w:val="00951A1B"/>
    <w:rsid w:val="0095547B"/>
    <w:rsid w:val="0099082F"/>
    <w:rsid w:val="009B26D0"/>
    <w:rsid w:val="009C36F8"/>
    <w:rsid w:val="009F73A9"/>
    <w:rsid w:val="00A44FC9"/>
    <w:rsid w:val="00A67558"/>
    <w:rsid w:val="00A82B28"/>
    <w:rsid w:val="00A9123E"/>
    <w:rsid w:val="00AB47F0"/>
    <w:rsid w:val="00AB49AB"/>
    <w:rsid w:val="00B02809"/>
    <w:rsid w:val="00B3004C"/>
    <w:rsid w:val="00B40EDC"/>
    <w:rsid w:val="00B45065"/>
    <w:rsid w:val="00B53A67"/>
    <w:rsid w:val="00B74A4D"/>
    <w:rsid w:val="00B90497"/>
    <w:rsid w:val="00BA3B40"/>
    <w:rsid w:val="00BE1B62"/>
    <w:rsid w:val="00BF2241"/>
    <w:rsid w:val="00C009E0"/>
    <w:rsid w:val="00C01741"/>
    <w:rsid w:val="00C2448E"/>
    <w:rsid w:val="00C24624"/>
    <w:rsid w:val="00C44FEF"/>
    <w:rsid w:val="00C51E2E"/>
    <w:rsid w:val="00C65665"/>
    <w:rsid w:val="00CD2D1E"/>
    <w:rsid w:val="00CE50DC"/>
    <w:rsid w:val="00D21D37"/>
    <w:rsid w:val="00D7738D"/>
    <w:rsid w:val="00D841FB"/>
    <w:rsid w:val="00D95A9F"/>
    <w:rsid w:val="00E0306E"/>
    <w:rsid w:val="00E078BC"/>
    <w:rsid w:val="00E130F6"/>
    <w:rsid w:val="00E62F16"/>
    <w:rsid w:val="00E938DE"/>
    <w:rsid w:val="00EB73C6"/>
    <w:rsid w:val="00EC1483"/>
    <w:rsid w:val="00EC1EAF"/>
    <w:rsid w:val="00ED0DF1"/>
    <w:rsid w:val="00F06490"/>
    <w:rsid w:val="00F17AA3"/>
    <w:rsid w:val="00F95C98"/>
    <w:rsid w:val="00FD023E"/>
    <w:rsid w:val="00FD05D0"/>
    <w:rsid w:val="00FE2B05"/>
    <w:rsid w:val="00FE30A9"/>
    <w:rsid w:val="00FE4C25"/>
    <w:rsid w:val="00FE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customStyle="1" w:styleId="BalloonTextChar">
    <w:name w:val="Balloon Text Char"/>
    <w:basedOn w:val="DefaultParagraphFont"/>
    <w:link w:val="BalloonText"/>
    <w:uiPriority w:val="99"/>
    <w:semiHidden/>
    <w:rsid w:val="004D23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customStyle="1" w:styleId="CommentTextChar">
    <w:name w:val="Comment Text Char"/>
    <w:basedOn w:val="DefaultParagraphFont"/>
    <w:link w:val="CommentText"/>
    <w:uiPriority w:val="99"/>
    <w:semiHidden/>
    <w:rsid w:val="0033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customStyle="1" w:styleId="CommentSubjectChar">
    <w:name w:val="Comment Subject Char"/>
    <w:basedOn w:val="CommentTextChar"/>
    <w:link w:val="CommentSubject"/>
    <w:uiPriority w:val="99"/>
    <w:semiHidden/>
    <w:rsid w:val="003379E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customStyle="1" w:styleId="BalloonTextChar">
    <w:name w:val="Balloon Text Char"/>
    <w:basedOn w:val="DefaultParagraphFont"/>
    <w:link w:val="BalloonText"/>
    <w:uiPriority w:val="99"/>
    <w:semiHidden/>
    <w:rsid w:val="004D23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customStyle="1" w:styleId="CommentTextChar">
    <w:name w:val="Comment Text Char"/>
    <w:basedOn w:val="DefaultParagraphFont"/>
    <w:link w:val="CommentText"/>
    <w:uiPriority w:val="99"/>
    <w:semiHidden/>
    <w:rsid w:val="0033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customStyle="1" w:styleId="CommentSubjectChar">
    <w:name w:val="Comment Subject Char"/>
    <w:basedOn w:val="CommentTextChar"/>
    <w:link w:val="CommentSubject"/>
    <w:uiPriority w:val="99"/>
    <w:semiHidden/>
    <w:rsid w:val="003379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40476478"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idbdocs.iadb.org/wsdocs/getdocument.aspx?docnum=4047775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404126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dbdocs.iadb.org/wsdocs/getdocument.aspx?docnum=40477951"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dbdocs.iadb.org/wsdocs/getdocument.aspx?docnum=40427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98F0DA89D35F34DB3433FA7F5508E14" ma:contentTypeVersion="0" ma:contentTypeDescription="A content type to manage public (operations) IDB documents" ma:contentTypeScope="" ma:versionID="7a5edb655b3694ce0af82693fb2e7498">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40505818</IDBDocs_x0020_Number>
    <TaxCatchAll xmlns="9c571b2f-e523-4ab2-ba2e-09e151a03ef4">
      <Value>10</Value>
      <Value>9</Value>
    </TaxCatchAll>
    <Phase xmlns="9c571b2f-e523-4ab2-ba2e-09e151a03ef4" xsi:nil="true"/>
    <SISCOR_x0020_Number xmlns="9c571b2f-e523-4ab2-ba2e-09e151a03ef4" xsi:nil="true"/>
    <Division_x0020_or_x0020_Unit xmlns="9c571b2f-e523-4ab2-ba2e-09e151a03ef4">CSD/HUD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Procurement Administration</TermName>
          <TermId xmlns="http://schemas.microsoft.com/office/infopath/2007/PartnerControls">d8145667-6247-4db3-9e42-91a14331cc81</TermId>
        </TermInfo>
      </Terms>
    </o5138a91267540169645e33d09c9ddc6>
    <Approval_x0020_Number xmlns="9c571b2f-e523-4ab2-ba2e-09e151a03ef4" xsi:nil="true"/>
    <Document_x0020_Author xmlns="9c571b2f-e523-4ab2-ba2e-09e151a03ef4">Rojas, Francisca Maria Magdalena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fd0e48b6a66848a9885f717e5bbf40c4>
    <Project_x0020_Number xmlns="9c571b2f-e523-4ab2-ba2e-09e151a03ef4">AR-L1243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Proposal&lt;/USER_STAGE&gt;&lt;PD_OBJ_TYPE&gt;0&lt;/PD_OBJ_TYPE&gt;&lt;MAKERECORD&gt;N&lt;/MAKERECORD&gt;&lt;PD_FILEPT_NO&gt;PO-AR-L1243-GS&lt;/PD_FILEPT_NO&gt;&lt;/Data&gt;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DU-DUR</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Props1.xml><?xml version="1.0" encoding="utf-8"?>
<ds:datastoreItem xmlns:ds="http://schemas.openxmlformats.org/officeDocument/2006/customXml" ds:itemID="{757B518C-2219-4F51-B015-856269AC3D60}"/>
</file>

<file path=customXml/itemProps2.xml><?xml version="1.0" encoding="utf-8"?>
<ds:datastoreItem xmlns:ds="http://schemas.openxmlformats.org/officeDocument/2006/customXml" ds:itemID="{D9A435F4-C36C-4774-9AB6-6B2AC343CF7A}"/>
</file>

<file path=customXml/itemProps3.xml><?xml version="1.0" encoding="utf-8"?>
<ds:datastoreItem xmlns:ds="http://schemas.openxmlformats.org/officeDocument/2006/customXml" ds:itemID="{0C01D83A-1B42-4463-9E21-40F3CDE11B99}"/>
</file>

<file path=customXml/itemProps4.xml><?xml version="1.0" encoding="utf-8"?>
<ds:datastoreItem xmlns:ds="http://schemas.openxmlformats.org/officeDocument/2006/customXml" ds:itemID="{B4FE0B38-DFAD-4D95-A98E-F356C4A165A7}"/>
</file>

<file path=customXml/itemProps5.xml><?xml version="1.0" encoding="utf-8"?>
<ds:datastoreItem xmlns:ds="http://schemas.openxmlformats.org/officeDocument/2006/customXml" ds:itemID="{F62BE045-4C15-4AEF-9857-FAE82EDE2D7C}"/>
</file>

<file path=customXml/itemProps6.xml><?xml version="1.0" encoding="utf-8"?>
<ds:datastoreItem xmlns:ds="http://schemas.openxmlformats.org/officeDocument/2006/customXml" ds:itemID="{BACE3084-7A87-4202-9C66-F60ED642627F}"/>
</file>

<file path=docProps/app.xml><?xml version="1.0" encoding="utf-8"?>
<Properties xmlns="http://schemas.openxmlformats.org/officeDocument/2006/extended-properties" xmlns:vt="http://schemas.openxmlformats.org/officeDocument/2006/docPropsVTypes">
  <Template>Normal.dotm</Template>
  <TotalTime>38</TotalTime>
  <Pages>9</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de cumplimiento de la politica de servicios publicos domiciliarios</dc:title>
  <dc:creator>Inter-American Development Bank</dc:creator>
  <cp:lastModifiedBy>Test</cp:lastModifiedBy>
  <cp:revision>7</cp:revision>
  <dcterms:created xsi:type="dcterms:W3CDTF">2016-08-24T16:22:00Z</dcterms:created>
  <dcterms:modified xsi:type="dcterms:W3CDTF">2016-10-24T16:12:00Z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0x01010046CF21643EE8D14686A648AA6DAD089200C98F0DA89D35F34DB3433FA7F5508E14</vt:lpwstr>
  </property>
  <property fmtid="{D5CDD505-2E9C-101B-9397-08002B2CF9AE}" pid="3" name="TaxKeyword">
    <vt:lpwstr/>
  </property>
  <property fmtid="{D5CDD505-2E9C-101B-9397-08002B2CF9AE}" pid="4" name="Function Operations IDB">
    <vt:lpwstr>10;#Goods and Services|5bfebf1b-9f1f-4411-b1dd-4c19b807b799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9;#Procurement Administration|d8145667-6247-4db3-9e42-91a14331cc81</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9;#Procurement Administration|d8145667-6247-4db3-9e42-91a14331cc81</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